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F5D0CB" w14:textId="2532FFA9" w:rsidR="006C350D" w:rsidRDefault="00556E1C" w:rsidP="00556E1C">
      <w:pPr>
        <w:pStyle w:val="Pagedecouverture"/>
        <w:rPr>
          <w:noProof/>
        </w:rPr>
      </w:pPr>
      <w:bookmarkStart w:id="0" w:name="LW_BM_COVERPAGE"/>
      <w:r>
        <w:rPr>
          <w:noProof/>
        </w:rPr>
        <w:pict w14:anchorId="7051DF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260884B-48F4-47DB-AF22-39A142275D36" style="width:455.25pt;height:300pt">
            <v:imagedata r:id="rId12" o:title=""/>
          </v:shape>
        </w:pict>
      </w:r>
    </w:p>
    <w:bookmarkEnd w:id="0"/>
    <w:p w14:paraId="6A3B781B" w14:textId="77777777" w:rsidR="006C350D" w:rsidRDefault="006C350D" w:rsidP="006C350D">
      <w:pPr>
        <w:rPr>
          <w:noProof/>
        </w:rPr>
        <w:sectPr w:rsidR="006C350D" w:rsidSect="00556E1C">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219CF3A8" w14:textId="46A08407" w:rsidR="004C5C84" w:rsidRPr="00BE24EF" w:rsidRDefault="59812E20" w:rsidP="00C102A6">
      <w:pPr>
        <w:pStyle w:val="Heading1"/>
        <w:keepNext/>
        <w:ind w:left="431" w:hanging="431"/>
        <w:rPr>
          <w:noProof/>
        </w:rPr>
      </w:pPr>
      <w:bookmarkStart w:id="1" w:name="_GoBack"/>
      <w:bookmarkEnd w:id="1"/>
      <w:r>
        <w:rPr>
          <w:noProof/>
        </w:rPr>
        <w:lastRenderedPageBreak/>
        <w:t>Introduction</w:t>
      </w:r>
    </w:p>
    <w:p w14:paraId="1D38CB27" w14:textId="5D53ED42" w:rsidR="00FB0E0E" w:rsidRPr="00BE24EF" w:rsidRDefault="00EE2C96" w:rsidP="00E55C96">
      <w:pPr>
        <w:spacing w:line="240" w:lineRule="auto"/>
        <w:jc w:val="both"/>
        <w:rPr>
          <w:rFonts w:ascii="Times New Roman" w:eastAsia="Times New Roman" w:hAnsi="Times New Roman" w:cs="Times New Roman"/>
          <w:noProof/>
          <w:sz w:val="24"/>
          <w:szCs w:val="24"/>
        </w:rPr>
      </w:pPr>
      <w:r>
        <w:rPr>
          <w:rFonts w:ascii="Times New Roman" w:hAnsi="Times New Roman"/>
          <w:b/>
          <w:bCs/>
          <w:noProof/>
          <w:sz w:val="24"/>
        </w:rPr>
        <w:t>L’énergie locale, abordable et propre</w:t>
      </w:r>
      <w:r>
        <w:rPr>
          <w:rFonts w:ascii="Times New Roman" w:hAnsi="Times New Roman"/>
          <w:noProof/>
          <w:sz w:val="24"/>
        </w:rPr>
        <w:t xml:space="preserve"> soutient nos objectifs en matière de décarbonation, de compétitivité et de résilience, comme indiqué dans le pacte pour une industrie propre</w:t>
      </w:r>
      <w:r>
        <w:rPr>
          <w:rFonts w:ascii="Times New Roman" w:eastAsia="Times New Roman" w:hAnsi="Times New Roman" w:cs="Times New Roman"/>
          <w:noProof/>
          <w:sz w:val="24"/>
          <w:szCs w:val="24"/>
          <w:vertAlign w:val="superscript"/>
        </w:rPr>
        <w:footnoteReference w:id="2"/>
      </w:r>
      <w:r>
        <w:rPr>
          <w:rFonts w:ascii="Times New Roman" w:hAnsi="Times New Roman"/>
          <w:noProof/>
          <w:sz w:val="24"/>
        </w:rPr>
        <w:t xml:space="preserve"> et dans le plan d’action pour une énergie abordable</w:t>
      </w:r>
      <w:r>
        <w:rPr>
          <w:rFonts w:ascii="Times New Roman" w:eastAsia="Times New Roman" w:hAnsi="Times New Roman" w:cs="Times New Roman"/>
          <w:noProof/>
          <w:sz w:val="24"/>
          <w:szCs w:val="24"/>
          <w:vertAlign w:val="superscript"/>
        </w:rPr>
        <w:footnoteReference w:id="3"/>
      </w:r>
      <w:r>
        <w:rPr>
          <w:rFonts w:ascii="Times New Roman" w:hAnsi="Times New Roman"/>
          <w:noProof/>
          <w:sz w:val="24"/>
        </w:rPr>
        <w:t>.</w:t>
      </w:r>
    </w:p>
    <w:p w14:paraId="77E9B194" w14:textId="3271EF86" w:rsidR="00BC3846" w:rsidRPr="00BE24EF" w:rsidRDefault="00FB1FA1" w:rsidP="00ED3E40">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Pour certains États membres de l’UE, </w:t>
      </w:r>
      <w:r>
        <w:rPr>
          <w:rFonts w:ascii="Times New Roman" w:hAnsi="Times New Roman"/>
          <w:b/>
          <w:noProof/>
          <w:sz w:val="24"/>
        </w:rPr>
        <w:t>l’énergie nucléaire est un élément important des stratégies de décarbonation, de compétitivité industrielle et de sécurité d’approvisionnement.</w:t>
      </w:r>
      <w:r>
        <w:rPr>
          <w:rFonts w:ascii="Times New Roman" w:hAnsi="Times New Roman"/>
          <w:noProof/>
          <w:sz w:val="24"/>
        </w:rPr>
        <w:t xml:space="preserve"> Les plans nationaux actualisés en matière d’énergie et de climat (PNEC) indiquent que la capacité nucléaire installée devrait augmenter. Les centrales nucléaires fournissent de l’électricité propre, adaptée à l’électricité de base à faible intensité de carbone, en améliorant également l’intégration du système et en offrant une flexibilité facilitant le déploiement d’autres technologies propres. Ces avantages profitent à l’ensemble du système énergétique de l’UE.</w:t>
      </w:r>
    </w:p>
    <w:p w14:paraId="64EA083A" w14:textId="615790FE" w:rsidR="00944164" w:rsidRPr="00BE24EF" w:rsidRDefault="00BC3846" w:rsidP="00ED3E40">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Comme indiqué dans l’analyse d’impact sur l’objectif climatique à l’horizon 2040 de la Commission</w:t>
      </w:r>
      <w:r>
        <w:rPr>
          <w:rStyle w:val="FootnoteReference"/>
          <w:rFonts w:ascii="Times New Roman" w:eastAsia="Times New Roman" w:hAnsi="Times New Roman" w:cs="Times New Roman"/>
          <w:noProof/>
          <w:sz w:val="24"/>
          <w:szCs w:val="24"/>
        </w:rPr>
        <w:footnoteReference w:id="4"/>
      </w:r>
      <w:r>
        <w:rPr>
          <w:rFonts w:ascii="Times New Roman" w:hAnsi="Times New Roman"/>
          <w:noProof/>
          <w:sz w:val="24"/>
        </w:rPr>
        <w:t xml:space="preserve">, toutes les solutions énergétiques à émissions de carbone faibles ou nulles sont nécessaires pour décarboner le système énergétique de l’UE. Les projections montrent que les sources à émissions de carbone faibles ou nulles produiront plus de 90 % de l’électricité dans l’UE en 2040, principalement à partir d’énergies renouvelables, complétées par l’énergie nucléaire. La mise en œuvre des plans des États membres en matière d’énergie nucléaire nécessitera des </w:t>
      </w:r>
      <w:r>
        <w:rPr>
          <w:rFonts w:ascii="Times New Roman" w:hAnsi="Times New Roman"/>
          <w:b/>
          <w:noProof/>
          <w:sz w:val="24"/>
        </w:rPr>
        <w:t>investissements importants jusqu’en 2050</w:t>
      </w:r>
      <w:r>
        <w:rPr>
          <w:rFonts w:ascii="Times New Roman" w:hAnsi="Times New Roman"/>
          <w:noProof/>
          <w:sz w:val="24"/>
        </w:rPr>
        <w:t>, tant pour la prolongation de la durée de vie des réacteurs existants que pour la construction de nouveaux grands réacteurs. Des investissements supplémentaires sont nécessaires pour les petits réacteurs modulaires (PRM) et les réacteurs modulaires avancés (RMA) ainsi, à plus long terme, que pour la fusion.</w:t>
      </w:r>
    </w:p>
    <w:p w14:paraId="277EEAB0" w14:textId="19C8F2FF" w:rsidR="00944164" w:rsidRPr="00BE24EF" w:rsidRDefault="00BC3846" w:rsidP="49811C53">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Conformément aux traités de l’UE</w:t>
      </w:r>
      <w:r>
        <w:rPr>
          <w:rFonts w:ascii="Times New Roman" w:eastAsia="Times New Roman" w:hAnsi="Times New Roman" w:cs="Times New Roman"/>
          <w:noProof/>
          <w:sz w:val="24"/>
          <w:szCs w:val="24"/>
          <w:vertAlign w:val="superscript"/>
        </w:rPr>
        <w:footnoteReference w:id="5"/>
      </w:r>
      <w:r>
        <w:rPr>
          <w:rFonts w:ascii="Times New Roman" w:hAnsi="Times New Roman"/>
          <w:noProof/>
          <w:sz w:val="24"/>
        </w:rPr>
        <w:t xml:space="preserve">, c’est à chaque État membre que revient le choix des sources d’énergie composant son bouquet énergétique, et notamment la décision d’utiliser ou non l’énergie nucléaire. Certains pays de l’UE mettent en place des programmes nucléaires prolongeant la durée d’exploitation des réacteurs existants et annonçant de nouvelles constructions. Enfin, certains envisagent pour la première fois d’inclure le nucléaire dans leur bouquet énergétique. </w:t>
      </w:r>
      <w:r>
        <w:rPr>
          <w:rFonts w:ascii="Times New Roman" w:hAnsi="Times New Roman"/>
          <w:b/>
          <w:noProof/>
          <w:sz w:val="24"/>
        </w:rPr>
        <w:t>Les perspectives relatives à la part de l’énergie nucléaire dans la production d’électricité de l’UE dépendent de la prolongation de l’exploitation des réacteurs existants.</w:t>
      </w:r>
    </w:p>
    <w:p w14:paraId="791226C0" w14:textId="3A6FB1A0" w:rsidR="00107001" w:rsidRPr="00BE24EF" w:rsidRDefault="470B16E9" w:rsidP="00107001">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primauté industrielle de l’UE dans le domaine de l’énergie nucléaire trouve ses racines dans des engagements fondamentaux</w:t>
      </w:r>
      <w:r>
        <w:rPr>
          <w:rFonts w:ascii="Times New Roman" w:hAnsi="Times New Roman"/>
          <w:noProof/>
          <w:sz w:val="24"/>
        </w:rPr>
        <w:t xml:space="preserve">: la maîtrise de l’ensemble du cycle du combustible, la promotion des écosystèmes innovants de startups et la réalisation de recherches de pointe, tout en garantissant les normes les plus élevées en matière de </w:t>
      </w:r>
      <w:r>
        <w:rPr>
          <w:rFonts w:ascii="Times New Roman" w:hAnsi="Times New Roman"/>
          <w:b/>
          <w:noProof/>
          <w:sz w:val="24"/>
        </w:rPr>
        <w:t>sûreté, de sécurité et de garanties nucléaires, en matière de gestion sûre et responsable des déchets radioactifs, en matière d’éducation et de formation de haut niveau, ainsi qu’en promouvant la transparence et l’engagement du public</w:t>
      </w:r>
      <w:r>
        <w:rPr>
          <w:rFonts w:ascii="Times New Roman" w:hAnsi="Times New Roman"/>
          <w:noProof/>
          <w:sz w:val="24"/>
        </w:rPr>
        <w:t>. La poursuite du développement des infrastructures essentielles pour la gestion du combustible usé et des déchets radioactifs, telles que les installations de stockage en couche géologique profonde, ainsi que l’intégration des principes de l’économie circulaire sont donc des composantes essentielles de tous les programmes nucléaires. La planification industrielle future et les investissements dans les capacités nucléaires et les infrastructures de recherche doivent être étroitement alignés sur les progrès réalisés dans ces domaines.</w:t>
      </w:r>
    </w:p>
    <w:p w14:paraId="222B4FA3" w14:textId="019ECB6C" w:rsidR="00CE257B" w:rsidRPr="00BE24EF" w:rsidRDefault="008C2AA1" w:rsidP="00ED3E40">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La diversification est essentielle au niveau de l’UE</w:t>
      </w:r>
      <w:r>
        <w:rPr>
          <w:rFonts w:ascii="Times New Roman" w:hAnsi="Times New Roman"/>
          <w:noProof/>
          <w:sz w:val="24"/>
        </w:rPr>
        <w:t>; des scénarios intégrant différents niveaux de déploiement de l’énergie nucléaire, fondés sur les décisions des États membres, pourraient soutenir la transformation de notre système énergétique afin de parvenir à la fois à la décarbonation de notre économie et à l’indépendance énergétique stratégique de notre continent. Afin de renforcer la sécurité économique de l’UE, la Commission a présenté la feuille de route visant à mettre un terme aux importations d’énergie russes, qui définit des mesures pour diversifier l’approvisionnement énergétique et réduire la dépendance à l’égard des sources extérieures</w:t>
      </w:r>
      <w:r>
        <w:rPr>
          <w:rStyle w:val="FootnoteReference"/>
          <w:rFonts w:ascii="Times New Roman" w:hAnsi="Times New Roman" w:cs="Times New Roman"/>
          <w:noProof/>
          <w:sz w:val="24"/>
          <w:szCs w:val="24"/>
        </w:rPr>
        <w:footnoteReference w:id="6"/>
      </w:r>
      <w:r>
        <w:rPr>
          <w:noProof/>
        </w:rPr>
        <w:t>.</w:t>
      </w:r>
    </w:p>
    <w:p w14:paraId="1B4B2451" w14:textId="06A36B74" w:rsidR="00C102A6" w:rsidRPr="00BE24EF" w:rsidRDefault="5DCDD1C3" w:rsidP="00C102A6">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Le présent programme indicatif nucléaire de la Commission</w:t>
      </w:r>
      <w:r>
        <w:rPr>
          <w:rFonts w:ascii="Times New Roman" w:eastAsia="Times New Roman" w:hAnsi="Times New Roman" w:cs="Times New Roman"/>
          <w:noProof/>
          <w:sz w:val="24"/>
          <w:szCs w:val="24"/>
          <w:vertAlign w:val="superscript"/>
        </w:rPr>
        <w:footnoteReference w:id="7"/>
      </w:r>
      <w:r>
        <w:rPr>
          <w:rFonts w:ascii="Times New Roman" w:hAnsi="Times New Roman"/>
          <w:noProof/>
          <w:sz w:val="24"/>
        </w:rPr>
        <w:t xml:space="preserve"> fournit des informations quantitatives et qualitatives sur la portée des besoins d’investissement tout au long du cycle de vie de l’énergie nucléaire, en indiquant les domaines dans lesquels l’action des États membres devrait être prioritaire. Comme illustré ci-dessous, la réalisation des objectifs fixés par certains États membres nécessitera des </w:t>
      </w:r>
      <w:r>
        <w:rPr>
          <w:rFonts w:ascii="Times New Roman" w:hAnsi="Times New Roman"/>
          <w:b/>
          <w:noProof/>
          <w:sz w:val="24"/>
        </w:rPr>
        <w:t>investissements importants et des financements mixtes publics et privés</w:t>
      </w:r>
      <w:r>
        <w:rPr>
          <w:rFonts w:ascii="Times New Roman" w:hAnsi="Times New Roman"/>
          <w:noProof/>
          <w:sz w:val="24"/>
        </w:rPr>
        <w:t>. Des cadres politiques clairs pour réduire les risques des projets seront essentiels pour mobiliser les ressources nécessaires.</w:t>
      </w:r>
    </w:p>
    <w:p w14:paraId="0A13EF2D" w14:textId="17D7E85F" w:rsidR="00564053" w:rsidRPr="00BE24EF" w:rsidRDefault="0027527A" w:rsidP="001D4FC1">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Comité économique et social européen (CESE)</w:t>
      </w:r>
      <w:r>
        <w:rPr>
          <w:rFonts w:ascii="Times New Roman" w:hAnsi="Times New Roman"/>
          <w:noProof/>
          <w:sz w:val="24"/>
        </w:rPr>
        <w:t xml:space="preserve"> a rendu, le 4 décembre 2025</w:t>
      </w:r>
      <w:r>
        <w:rPr>
          <w:rStyle w:val="FootnoteReference"/>
          <w:rFonts w:ascii="Times New Roman" w:eastAsia="Times New Roman" w:hAnsi="Times New Roman" w:cs="Times New Roman"/>
          <w:noProof/>
          <w:sz w:val="24"/>
          <w:szCs w:val="24"/>
        </w:rPr>
        <w:footnoteReference w:id="8"/>
      </w:r>
      <w:r>
        <w:rPr>
          <w:rFonts w:ascii="Times New Roman" w:hAnsi="Times New Roman"/>
          <w:noProof/>
          <w:sz w:val="24"/>
        </w:rPr>
        <w:t>, son avis sur ce programme indicatif nucléaire</w:t>
      </w:r>
      <w:r>
        <w:rPr>
          <w:rStyle w:val="FootnoteReference"/>
          <w:rFonts w:ascii="Times New Roman" w:eastAsia="Times New Roman" w:hAnsi="Times New Roman" w:cs="Times New Roman"/>
          <w:noProof/>
          <w:sz w:val="24"/>
          <w:szCs w:val="24"/>
        </w:rPr>
        <w:footnoteReference w:id="9"/>
      </w:r>
      <w:r>
        <w:rPr>
          <w:rFonts w:ascii="Times New Roman" w:hAnsi="Times New Roman"/>
          <w:noProof/>
          <w:sz w:val="24"/>
        </w:rPr>
        <w:t xml:space="preserve">, conformément au traité Euratom. Adopté à une large majorité, cet avis affirme que l’énergie nucléaire joue et continuera de jouer un rôle déterminant dans la décarbonation du continent européen, compte tenu notamment du fait que l’UE va devoir renforcer son autonomie stratégique dans les domaines de l’énergie et des technologies. </w:t>
      </w:r>
    </w:p>
    <w:p w14:paraId="1E3EF4D2" w14:textId="50FA3CB5" w:rsidR="001D4FC1" w:rsidRPr="00BE24EF" w:rsidRDefault="0040424C" w:rsidP="00942FEF">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son avis, le CESE invite la Commission à définir des mesures réglementaires et financières de soutien aux investissements prévus dans les États membres. Il recommande en outre une approche neutre sur le plan technologique pour tous les instruments de soutien aux investissements dans les technologies propres, ainsi que l’accélération des investissements au moyen de mesures spécifiques, telles qu’un processus rationalisé en matière d’aides d’État et des incitations fiscales, ou encore des procédures d’autorisation plus efficaces et des décisions plus rapides à l’échelle européenne et nationale (en incluant notamment un engagement à rendre accessibles les fonds de cohésion de l’Union lorsque les États membres le décident, ainsi que les financements à long terme). De plus, le CESE a formulé des recommandations à propos de l’hydrogène, du rôle de l’énergie nucléaire dans l’intégration du système et des PRM. </w:t>
      </w:r>
    </w:p>
    <w:p w14:paraId="0488BED0" w14:textId="381CB851" w:rsidR="00246226" w:rsidRPr="00BE24EF" w:rsidRDefault="001D4FC1" w:rsidP="001D4FC1">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Commission se félicite de l’avis et des recommandations du CESE, qui vont dans le sens de ses initiatives stratégiques récentes et à venir. En 2025, la Commission a adopté un </w:t>
      </w:r>
      <w:r>
        <w:rPr>
          <w:rFonts w:ascii="Times New Roman" w:hAnsi="Times New Roman"/>
          <w:b/>
          <w:noProof/>
          <w:sz w:val="24"/>
        </w:rPr>
        <w:t>nouvel encadrement des aides d’État accompagnant le pacte pour une industrie propre</w:t>
      </w:r>
      <w:r>
        <w:rPr>
          <w:rFonts w:ascii="Times New Roman" w:hAnsi="Times New Roman"/>
          <w:noProof/>
          <w:sz w:val="24"/>
        </w:rPr>
        <w:t xml:space="preserve">, dont un volet simplifie les aides d’État en faveur des capacités de production dans le domaine des technologies propres, notamment des technologies nucléaires. En outre, la Commission a fourni des </w:t>
      </w:r>
      <w:r>
        <w:rPr>
          <w:rFonts w:ascii="Times New Roman" w:hAnsi="Times New Roman"/>
          <w:b/>
          <w:noProof/>
          <w:sz w:val="24"/>
        </w:rPr>
        <w:t>orientations aux États membres relatives à la conception de contrats sur différence et d’accords d’achat d’électricité efficaces</w:t>
      </w:r>
      <w:r>
        <w:rPr>
          <w:rFonts w:ascii="Times New Roman" w:hAnsi="Times New Roman"/>
          <w:noProof/>
          <w:sz w:val="24"/>
        </w:rPr>
        <w:t xml:space="preserve">, conformément à une approche neutre sur le plan technologique. La Commission a également adopté l’acte délégué établissant la </w:t>
      </w:r>
      <w:r>
        <w:rPr>
          <w:rFonts w:ascii="Times New Roman" w:hAnsi="Times New Roman"/>
          <w:b/>
          <w:noProof/>
          <w:sz w:val="24"/>
        </w:rPr>
        <w:t>méthode de comptabilisation des émissions de gaz à effet de serre pour les carburants bas carbone</w:t>
      </w:r>
      <w:r>
        <w:rPr>
          <w:rFonts w:ascii="Times New Roman" w:hAnsi="Times New Roman"/>
          <w:noProof/>
          <w:sz w:val="24"/>
        </w:rPr>
        <w:t xml:space="preserve">, ouvrant ainsi la voie à la production d’hydrogène à partir de l’énergie nucléaire. </w:t>
      </w:r>
    </w:p>
    <w:p w14:paraId="5956F9CE" w14:textId="162D4E37" w:rsidR="008834B3" w:rsidRPr="00BE24EF" w:rsidRDefault="002B39B6" w:rsidP="001D4FC1">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outre, la Commission préparera une </w:t>
      </w:r>
      <w:r>
        <w:rPr>
          <w:rFonts w:ascii="Times New Roman" w:hAnsi="Times New Roman"/>
          <w:b/>
          <w:noProof/>
          <w:sz w:val="24"/>
        </w:rPr>
        <w:t>évaluation des besoins du système énergétique en vue de la transition propre</w:t>
      </w:r>
      <w:r>
        <w:rPr>
          <w:rFonts w:ascii="Times New Roman" w:hAnsi="Times New Roman"/>
          <w:noProof/>
          <w:sz w:val="24"/>
        </w:rPr>
        <w:t xml:space="preserve"> qui permettra de mettre à jour les besoins d’investissement dans le secteur de l’énergie pour la période 2031-2040 en examinant ce système de manière globale et en adoptant une approche neutre sur le plan technologique. Dans le cadre du train de mesures sur l’énergie de mars 2026, qui comprend le présent programme indicatif nucléaire et la stratégie relative aux PRM, la Commission présente également une </w:t>
      </w:r>
      <w:r>
        <w:rPr>
          <w:rFonts w:ascii="Times New Roman" w:hAnsi="Times New Roman"/>
          <w:b/>
          <w:noProof/>
          <w:sz w:val="24"/>
        </w:rPr>
        <w:t>stratégie d’investissement dans les énergies propres</w:t>
      </w:r>
      <w:r>
        <w:rPr>
          <w:rFonts w:ascii="Times New Roman" w:hAnsi="Times New Roman"/>
          <w:noProof/>
          <w:sz w:val="24"/>
        </w:rPr>
        <w:t xml:space="preserve"> visant à mobiliser des investissements privés à grande échelle en faveur de toutes les technologies énergétiques propres, y compris le nucléaire. En outre, la </w:t>
      </w:r>
      <w:r>
        <w:rPr>
          <w:rFonts w:ascii="Times New Roman" w:hAnsi="Times New Roman"/>
          <w:b/>
          <w:noProof/>
          <w:sz w:val="24"/>
        </w:rPr>
        <w:t>stratégie de la Commission relative aux PRM</w:t>
      </w:r>
      <w:r>
        <w:rPr>
          <w:rFonts w:ascii="Times New Roman" w:hAnsi="Times New Roman"/>
          <w:noProof/>
          <w:sz w:val="24"/>
        </w:rPr>
        <w:t xml:space="preserve">, qui s’appuie sur les travaux de l’alliance industrielle européenne pour les PRM, soutient l’accélération du développement et du déploiement de ces réacteurs dans l’UE au début des années 2030 en vue de renforcer la compétitivité industrielle de l’Union. La future </w:t>
      </w:r>
      <w:r>
        <w:rPr>
          <w:rFonts w:ascii="Times New Roman" w:hAnsi="Times New Roman"/>
          <w:b/>
          <w:noProof/>
          <w:sz w:val="24"/>
        </w:rPr>
        <w:t>stratégie de l’UE pour la fusion</w:t>
      </w:r>
      <w:r>
        <w:rPr>
          <w:rFonts w:ascii="Times New Roman" w:hAnsi="Times New Roman"/>
          <w:noProof/>
          <w:sz w:val="24"/>
        </w:rPr>
        <w:t xml:space="preserve"> définira un ensemble complet d’actions stratégiques visant à orienter les activités des secteurs public et privé européens dans les prochaines années, et confirmera le statut d’ITER en tant que pierre angulaire des efforts déployés par l’UE pour accélérer la commercialisation de l’énergie de fusion. </w:t>
      </w:r>
    </w:p>
    <w:p w14:paraId="18AEB503" w14:textId="3932FF79" w:rsidR="00C102A6" w:rsidRPr="00BE24EF" w:rsidRDefault="00C102A6" w:rsidP="00C102A6">
      <w:pPr>
        <w:pStyle w:val="Heading1"/>
        <w:keepNext/>
        <w:ind w:left="431" w:hanging="431"/>
        <w:rPr>
          <w:noProof/>
        </w:rPr>
      </w:pPr>
      <w:bookmarkStart w:id="2" w:name="_Hlk198746961"/>
      <w:r>
        <w:rPr>
          <w:noProof/>
        </w:rPr>
        <w:t>Énergie nucléaire dans le contexte actuel</w:t>
      </w:r>
    </w:p>
    <w:p w14:paraId="49FDD411" w14:textId="0A969904" w:rsidR="00010365" w:rsidRPr="00BE24EF" w:rsidRDefault="74B4CA38" w:rsidP="00010365">
      <w:pPr>
        <w:spacing w:line="240" w:lineRule="auto"/>
        <w:jc w:val="both"/>
        <w:rPr>
          <w:rFonts w:ascii="Times New Roman" w:hAnsi="Times New Roman" w:cs="Times New Roman"/>
          <w:noProof/>
          <w:sz w:val="24"/>
          <w:szCs w:val="24"/>
        </w:rPr>
      </w:pPr>
      <w:bookmarkStart w:id="3" w:name="_Hlk198746937"/>
      <w:bookmarkEnd w:id="2"/>
      <w:r>
        <w:rPr>
          <w:rFonts w:ascii="Times New Roman" w:hAnsi="Times New Roman"/>
          <w:noProof/>
          <w:sz w:val="24"/>
        </w:rPr>
        <w:t>À la fin de l’année 2024, 101 réacteurs nucléaires étaient en service dans 12 États membres</w:t>
      </w:r>
      <w:r>
        <w:rPr>
          <w:rFonts w:ascii="Times New Roman" w:hAnsi="Times New Roman" w:cs="Times New Roman"/>
          <w:noProof/>
          <w:sz w:val="24"/>
          <w:szCs w:val="24"/>
          <w:vertAlign w:val="superscript"/>
        </w:rPr>
        <w:footnoteReference w:id="10"/>
      </w:r>
      <w:r>
        <w:rPr>
          <w:rFonts w:ascii="Times New Roman" w:hAnsi="Times New Roman"/>
          <w:noProof/>
          <w:sz w:val="24"/>
        </w:rPr>
        <w:t>. Leur capacité nette installée s’élevait à environ 98 gigawatts électriques (GWe). En 2023, l’énergie nucléaire représentait 23 % de la production d’électricité de l’UE</w:t>
      </w:r>
      <w:bookmarkEnd w:id="3"/>
      <w:r>
        <w:rPr>
          <w:rFonts w:ascii="Times New Roman" w:hAnsi="Times New Roman"/>
          <w:noProof/>
          <w:sz w:val="24"/>
        </w:rPr>
        <w:t xml:space="preserve"> (</w:t>
      </w:r>
      <w:r>
        <w:rPr>
          <w:rFonts w:ascii="Times New Roman" w:hAnsi="Times New Roman" w:cs="Times New Roman"/>
          <w:noProof/>
          <w:sz w:val="24"/>
          <w:szCs w:val="24"/>
          <w:vertAlign w:val="superscript"/>
        </w:rPr>
        <w:footnoteReference w:id="11"/>
      </w:r>
      <w:r>
        <w:rPr>
          <w:rFonts w:ascii="Times New Roman" w:hAnsi="Times New Roman"/>
          <w:noProof/>
          <w:sz w:val="24"/>
        </w:rPr>
        <w:t>). Le parc de réacteurs dans l’UE comprend trois nouvelles unités récemment raccordées au réseau et trois autres en construction</w:t>
      </w:r>
      <w:r>
        <w:rPr>
          <w:rFonts w:ascii="Times New Roman" w:hAnsi="Times New Roman" w:cs="Times New Roman"/>
          <w:noProof/>
          <w:sz w:val="24"/>
          <w:szCs w:val="24"/>
          <w:vertAlign w:val="superscript"/>
        </w:rPr>
        <w:footnoteReference w:id="12"/>
      </w:r>
      <w:r>
        <w:rPr>
          <w:rFonts w:ascii="Times New Roman" w:hAnsi="Times New Roman"/>
          <w:noProof/>
          <w:sz w:val="24"/>
        </w:rPr>
        <w:t xml:space="preserve">. </w:t>
      </w:r>
    </w:p>
    <w:p w14:paraId="29BD70C3" w14:textId="3E8875B9" w:rsidR="00010365" w:rsidRPr="00BE24EF" w:rsidRDefault="74B4CA38" w:rsidP="00010365">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À titre de comparaison, à l’échelle mondiale, 410 réacteurs électronucléaires étaient en service dans plus de 30 pays en 2023. 63 réacteurs supplémentaires étaient en cours de construction, dont trois quarts dans les économies émergentes et la moitié dans la seule Chine</w:t>
      </w:r>
      <w:r>
        <w:rPr>
          <w:rStyle w:val="FootnoteReference"/>
          <w:rFonts w:ascii="Times New Roman" w:hAnsi="Times New Roman" w:cs="Times New Roman"/>
          <w:noProof/>
          <w:sz w:val="24"/>
          <w:szCs w:val="24"/>
        </w:rPr>
        <w:footnoteReference w:id="13"/>
      </w:r>
      <w:r>
        <w:rPr>
          <w:rFonts w:ascii="Times New Roman" w:hAnsi="Times New Roman"/>
          <w:noProof/>
          <w:sz w:val="24"/>
        </w:rPr>
        <w:t xml:space="preserve">. </w:t>
      </w:r>
    </w:p>
    <w:p w14:paraId="2B826934" w14:textId="3E92240E" w:rsidR="00460D51" w:rsidRPr="00BE24EF" w:rsidRDefault="00C85700" w:rsidP="00B44E2F">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Une chaîne d’approvisionnement résiliente et une industrie nucléaire européenne compétitive sont essentielles pour maintenir le leadership de l’UE dans ce secteur.</w:t>
      </w:r>
      <w:r>
        <w:rPr>
          <w:rFonts w:ascii="Times New Roman" w:hAnsi="Times New Roman"/>
          <w:noProof/>
          <w:sz w:val="24"/>
        </w:rPr>
        <w:t xml:space="preserve"> Tout au long du cycle de vie du combustible nucléaire et des installations nucléaires, il existe des vulnérabilités et des dépendances nécessitant une intervention coordonnée des États membres et de la Commission. La feuille de route visant à mettre un terme aux importations d’énergie russe</w:t>
      </w:r>
      <w:r>
        <w:rPr>
          <w:rStyle w:val="FootnoteReference"/>
          <w:rFonts w:ascii="Times New Roman" w:hAnsi="Times New Roman"/>
          <w:noProof/>
        </w:rPr>
        <w:footnoteReference w:id="14"/>
      </w:r>
      <w:r>
        <w:rPr>
          <w:rFonts w:ascii="Times New Roman" w:hAnsi="Times New Roman"/>
          <w:noProof/>
          <w:sz w:val="24"/>
        </w:rPr>
        <w:t xml:space="preserve"> contribuera à éliminer progressivement les dépendances nucléaires russes. En outre, </w:t>
      </w:r>
      <w:r>
        <w:rPr>
          <w:rFonts w:ascii="Times New Roman" w:hAnsi="Times New Roman"/>
          <w:b/>
          <w:noProof/>
          <w:sz w:val="24"/>
        </w:rPr>
        <w:t>la mobilisation de nouveaux talents et le soutien aux startups, la reconversion de la main</w:t>
      </w:r>
      <w:r w:rsidR="00F87215">
        <w:rPr>
          <w:rFonts w:ascii="Times New Roman" w:hAnsi="Times New Roman"/>
          <w:b/>
          <w:noProof/>
          <w:sz w:val="24"/>
        </w:rPr>
        <w:noBreakHyphen/>
      </w:r>
      <w:r>
        <w:rPr>
          <w:rFonts w:ascii="Times New Roman" w:hAnsi="Times New Roman"/>
          <w:b/>
          <w:noProof/>
          <w:sz w:val="24"/>
        </w:rPr>
        <w:t>d’œuvre existante et le maintien et le renforcement des compétences dans le domaine des technologies nucléaires seront essentiels</w:t>
      </w:r>
      <w:r>
        <w:rPr>
          <w:rFonts w:ascii="Times New Roman" w:hAnsi="Times New Roman"/>
          <w:noProof/>
          <w:sz w:val="24"/>
        </w:rPr>
        <w:t xml:space="preserve"> pour soutenir le leadership stratégique de l’UE.</w:t>
      </w:r>
    </w:p>
    <w:p w14:paraId="1FC67F26" w14:textId="527BC0E3" w:rsidR="0015104D" w:rsidRPr="00BE24EF" w:rsidRDefault="11B14F9E" w:rsidP="00972054">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sz w:val="24"/>
        </w:rPr>
        <w:t>Les technologies nucléaires innovantes émergent et arrivent à maturité.</w:t>
      </w:r>
      <w:r>
        <w:rPr>
          <w:rFonts w:ascii="Times New Roman" w:hAnsi="Times New Roman"/>
          <w:noProof/>
          <w:sz w:val="24"/>
        </w:rPr>
        <w:t xml:space="preserve"> La volonté de plusieurs États membres et de l’industrie européenne de développer de </w:t>
      </w:r>
      <w:r>
        <w:rPr>
          <w:rFonts w:ascii="Times New Roman" w:hAnsi="Times New Roman"/>
          <w:b/>
          <w:bCs/>
          <w:noProof/>
          <w:sz w:val="24"/>
        </w:rPr>
        <w:t>petits réacteurs modulaires</w:t>
      </w:r>
      <w:r>
        <w:rPr>
          <w:rFonts w:ascii="Times New Roman" w:hAnsi="Times New Roman"/>
          <w:noProof/>
          <w:sz w:val="24"/>
        </w:rPr>
        <w:t xml:space="preserve"> (PRM) et des </w:t>
      </w:r>
      <w:r>
        <w:rPr>
          <w:rFonts w:ascii="Times New Roman" w:hAnsi="Times New Roman"/>
          <w:b/>
          <w:bCs/>
          <w:noProof/>
          <w:sz w:val="24"/>
        </w:rPr>
        <w:t>réacteurs modulaires avancés</w:t>
      </w:r>
      <w:r>
        <w:rPr>
          <w:rFonts w:ascii="Times New Roman" w:hAnsi="Times New Roman"/>
          <w:noProof/>
          <w:sz w:val="24"/>
        </w:rPr>
        <w:t xml:space="preserve"> (RMA), y compris des conceptions fondées sur des technologies de génération IV, a conduit à la création d’une alliance industrielle européenne</w:t>
      </w:r>
      <w:r>
        <w:rPr>
          <w:rStyle w:val="FootnoteReference"/>
          <w:rFonts w:ascii="Times New Roman" w:hAnsi="Times New Roman" w:cs="Times New Roman"/>
          <w:noProof/>
          <w:sz w:val="24"/>
          <w:szCs w:val="24"/>
        </w:rPr>
        <w:footnoteReference w:id="15"/>
      </w:r>
      <w:r>
        <w:rPr>
          <w:rFonts w:ascii="Times New Roman" w:hAnsi="Times New Roman"/>
          <w:noProof/>
          <w:sz w:val="24"/>
        </w:rPr>
        <w:t xml:space="preserve">. Pour l’avenir, le développement et la commercialisation des technologies de </w:t>
      </w:r>
      <w:r>
        <w:rPr>
          <w:rFonts w:ascii="Times New Roman" w:hAnsi="Times New Roman"/>
          <w:b/>
          <w:noProof/>
          <w:sz w:val="24"/>
        </w:rPr>
        <w:t>fusion nucléaire nécessiteraient une approche stratégique de l’UE</w:t>
      </w:r>
      <w:r>
        <w:rPr>
          <w:rFonts w:ascii="Times New Roman" w:hAnsi="Times New Roman"/>
          <w:noProof/>
          <w:sz w:val="24"/>
        </w:rPr>
        <w:t xml:space="preserve"> pour contribuer de manière significative à la réalisation et au maintien des objectifs ambitieux de l’UE en matière de climat, d’énergie et d’industrie au cours de la seconde moitié de ce siècle.</w:t>
      </w:r>
    </w:p>
    <w:p w14:paraId="55184112" w14:textId="543BFF5A" w:rsidR="008B63A7" w:rsidRPr="00BE24EF" w:rsidRDefault="3FCD0A81" w:rsidP="008B63A7">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Au-delà du secteur de l’énergie, </w:t>
      </w:r>
      <w:r>
        <w:rPr>
          <w:rFonts w:ascii="Times New Roman" w:hAnsi="Times New Roman"/>
          <w:b/>
          <w:noProof/>
          <w:sz w:val="24"/>
        </w:rPr>
        <w:t>les soins de santé modernes sont étroitement liés à la chaîne de valeur nucléaire</w:t>
      </w:r>
      <w:r>
        <w:rPr>
          <w:rFonts w:ascii="Times New Roman" w:hAnsi="Times New Roman"/>
          <w:noProof/>
          <w:sz w:val="24"/>
        </w:rPr>
        <w:t xml:space="preserve"> fournissant des radio-isotopes pour des diagnostics et traitements médicaux. Le maintien de la compétitivité sectorielle de l’UE est essentiel pour garantir l’accès des patients aux procédures et thérapies médicales vitales</w:t>
      </w:r>
      <w:r>
        <w:rPr>
          <w:rStyle w:val="FootnoteReference"/>
          <w:rFonts w:ascii="Times New Roman" w:eastAsia="Times New Roman" w:hAnsi="Times New Roman" w:cs="Times New Roman"/>
          <w:noProof/>
          <w:sz w:val="24"/>
          <w:szCs w:val="24"/>
        </w:rPr>
        <w:footnoteReference w:id="16"/>
      </w:r>
      <w:r>
        <w:rPr>
          <w:rFonts w:ascii="Times New Roman" w:hAnsi="Times New Roman"/>
          <w:noProof/>
          <w:sz w:val="24"/>
        </w:rPr>
        <w:t>.</w:t>
      </w:r>
    </w:p>
    <w:p w14:paraId="358CE001" w14:textId="77777777" w:rsidR="001C2414" w:rsidRPr="00BE24EF" w:rsidRDefault="001C2414" w:rsidP="001C2414">
      <w:pPr>
        <w:pStyle w:val="Heading1"/>
        <w:keepNext/>
        <w:ind w:left="431" w:hanging="431"/>
        <w:rPr>
          <w:noProof/>
        </w:rPr>
      </w:pPr>
      <w:r>
        <w:rPr>
          <w:noProof/>
        </w:rPr>
        <w:t>L’engagement de l’UE en faveur des normes de sécurité les plus élevées</w:t>
      </w:r>
    </w:p>
    <w:p w14:paraId="787A599B" w14:textId="77777777" w:rsidR="001C2414" w:rsidRPr="00BE24EF" w:rsidRDefault="001C2414" w:rsidP="001C2414">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Les engagements fondamentaux visant à garantir les normes les plus élevées possibles en matière de sûreté nucléaire dans trois piliers constituent le fondement de la primauté stratégique de l’UE dans ce secteur.</w:t>
      </w:r>
    </w:p>
    <w:p w14:paraId="08CC87F2" w14:textId="77777777" w:rsidR="001C2414" w:rsidRPr="00BE24EF" w:rsidRDefault="001C2414" w:rsidP="001D5C3B">
      <w:pPr>
        <w:pStyle w:val="Heading2"/>
        <w:keepNext/>
        <w:ind w:left="578" w:hanging="578"/>
        <w:rPr>
          <w:noProof/>
        </w:rPr>
      </w:pPr>
      <w:r>
        <w:rPr>
          <w:noProof/>
        </w:rPr>
        <w:t>Cadre réglementaire solide et indépendant</w:t>
      </w:r>
    </w:p>
    <w:p w14:paraId="19BEA6BB" w14:textId="77777777" w:rsidR="00FA47D3" w:rsidRPr="00BE24EF" w:rsidRDefault="001C2414" w:rsidP="001C2414">
      <w:pPr>
        <w:pStyle w:val="MyCustomStyle"/>
        <w:spacing w:before="0" w:after="160"/>
        <w:rPr>
          <w:noProof/>
        </w:rPr>
      </w:pPr>
      <w:r>
        <w:rPr>
          <w:noProof/>
        </w:rPr>
        <w:t>Des autorités de réglementation nationales fortes et indépendantes sont essentielles pour atteindre des niveaux élevés de sûreté nucléaire. Doter les régulateurs nationaux de ressources suffisantes, tant humaines que financières, pour s’acquitter de leurs missions de réglementation, de contrôle et d’application des règles en matière de sûreté nucléaire est un élément essentiel de l’indépendance réglementaire. La législation Euratom, notamment par le biais de la directive sur la sûreté nucléaire</w:t>
      </w:r>
      <w:r>
        <w:rPr>
          <w:rStyle w:val="FootnoteReference"/>
          <w:noProof/>
        </w:rPr>
        <w:footnoteReference w:id="17"/>
      </w:r>
      <w:r>
        <w:rPr>
          <w:noProof/>
        </w:rPr>
        <w:t xml:space="preserve"> et de la directive sur les déchets radioactifs</w:t>
      </w:r>
      <w:r>
        <w:rPr>
          <w:rStyle w:val="FootnoteReference"/>
          <w:noProof/>
        </w:rPr>
        <w:footnoteReference w:id="18"/>
      </w:r>
      <w:r>
        <w:rPr>
          <w:noProof/>
        </w:rPr>
        <w:t xml:space="preserve">, aborde les aspects de l’adéquation des ressources financières et des capacités humaines des autorités de régulation. </w:t>
      </w:r>
    </w:p>
    <w:p w14:paraId="2988137A" w14:textId="37DC6D7A" w:rsidR="001C2414" w:rsidRPr="00BE24EF" w:rsidRDefault="00FA47D3" w:rsidP="001C2414">
      <w:pPr>
        <w:pStyle w:val="MyCustomStyle"/>
        <w:spacing w:before="0" w:after="160"/>
        <w:rPr>
          <w:noProof/>
        </w:rPr>
      </w:pPr>
      <w:r>
        <w:rPr>
          <w:noProof/>
        </w:rPr>
        <w:t>Dans le même temps, l’acquis environnemental doit être mis en œuvre au moyen d’évaluations telles que celles découlant des directives pertinentes</w:t>
      </w:r>
      <w:r>
        <w:rPr>
          <w:rStyle w:val="FootnoteReference"/>
          <w:noProof/>
        </w:rPr>
        <w:footnoteReference w:id="19"/>
      </w:r>
      <w:r>
        <w:rPr>
          <w:noProof/>
        </w:rPr>
        <w:t>.</w:t>
      </w:r>
    </w:p>
    <w:p w14:paraId="645FEA83" w14:textId="77777777" w:rsidR="001C2414" w:rsidRPr="00BE24EF" w:rsidRDefault="001C2414" w:rsidP="001C241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Différentes situations nationales, telles que la taille du programme nucléaire, les caractéristiques du cadre juridique et réglementaire national et la structure de l’autorité de sûreté, ont suscité des approches nationales et systématiques pour estimer les besoins en ressources réglementaires.</w:t>
      </w:r>
    </w:p>
    <w:p w14:paraId="4EB49076" w14:textId="06584407" w:rsidR="001C2414" w:rsidRPr="00BE24EF" w:rsidRDefault="001C2414" w:rsidP="001C241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 groupe des régulateurs européens dans le domaine de la sûreté nucléaire (ENSREG) a contribué à partager des informations sur les plans de recrutement au niveau national afin de maintenir et de renforcer les capacités de régulation compte tenu des plans des États membres. Par rapport aux chiffres de référence de 2024, les postes supplémentaires prévus vont d’une augmentation des effectifs de 10 % à 50 % jusqu’au doublement des effectifs, en fonction des circonstances nationales. Un personnel suffisant des autorités de régulation est indispensable à la mise en œuvre sûre et efficace des plans nationaux.</w:t>
      </w:r>
    </w:p>
    <w:p w14:paraId="6695146C" w14:textId="424B3563" w:rsidR="00416A47" w:rsidRPr="00BE24EF" w:rsidRDefault="00416A47" w:rsidP="001C241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La coopération transfrontière entre les autorités de régulation nationales peut faciliter et accélérer l’octroi de licences pour de nouvelles installations, ce qui pourrait réduire la charge administrative pesant sur les différents régulateurs. La Commission recommande aux États membres qui envisagent d’utiliser l’énergie nucléaire d’envisager de former une «coalition de pays volontaires», dans le cadre de laquelle ils pourraient faire converger leurs réglementations ou convenir de reconnaître mutuellement leurs décisions d’autorisation.</w:t>
      </w:r>
    </w:p>
    <w:p w14:paraId="0016D5CA" w14:textId="635AAD83" w:rsidR="001C2414" w:rsidRPr="00BE24EF" w:rsidRDefault="001C2414" w:rsidP="003F5282">
      <w:pPr>
        <w:pStyle w:val="Heading2"/>
        <w:keepNext/>
        <w:ind w:left="578" w:hanging="578"/>
        <w:rPr>
          <w:noProof/>
        </w:rPr>
      </w:pPr>
      <w:r>
        <w:rPr>
          <w:noProof/>
        </w:rPr>
        <w:t xml:space="preserve">Processus transparent et ouvert de participation du public </w:t>
      </w:r>
    </w:p>
    <w:p w14:paraId="07144E79" w14:textId="77777777" w:rsidR="001C2414" w:rsidRPr="00BE24EF" w:rsidRDefault="001C2414" w:rsidP="001C241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La participation de la société civile et du grand public par un dialogue transparent et ouvert à toutes les étapes du développement des projets nucléaires (décisions stratégiques et politiques, localisation, construction, exploitation, déclassement, gestion du combustible usé et des déchets radioactifs) est essentielle à leur succès. </w:t>
      </w:r>
    </w:p>
    <w:p w14:paraId="487BB4E2" w14:textId="77777777" w:rsidR="001C2414" w:rsidRPr="00BE24EF" w:rsidRDefault="001C2414" w:rsidP="001C241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Les États membres devraient également tenir compte des besoins d’investissement dans ce secteur, en soutenant les représentants de la société civile et en renforçant l’éducation ou la communication.</w:t>
      </w:r>
    </w:p>
    <w:p w14:paraId="4CD71E7D" w14:textId="6E42A53C" w:rsidR="001C2414" w:rsidRPr="00BE24EF" w:rsidRDefault="001C2414" w:rsidP="003F5282">
      <w:pPr>
        <w:pStyle w:val="Heading2"/>
        <w:keepNext/>
        <w:ind w:left="578" w:hanging="578"/>
        <w:rPr>
          <w:noProof/>
        </w:rPr>
      </w:pPr>
      <w:r>
        <w:rPr>
          <w:noProof/>
        </w:rPr>
        <w:t>Déclassement efficace, gestion responsable des déchets et économie circulaire</w:t>
      </w:r>
    </w:p>
    <w:p w14:paraId="73B979D3" w14:textId="77777777" w:rsidR="001C2414" w:rsidRPr="00BE24EF" w:rsidRDefault="001C2414" w:rsidP="001C2414">
      <w:pPr>
        <w:pStyle w:val="ListNumber"/>
        <w:numPr>
          <w:ilvl w:val="0"/>
          <w:numId w:val="0"/>
        </w:numPr>
        <w:rPr>
          <w:noProof/>
          <w:szCs w:val="24"/>
        </w:rPr>
      </w:pPr>
      <w:r>
        <w:rPr>
          <w:noProof/>
        </w:rPr>
        <w:t>Un déclassement efficace et une gestion responsable des déchets radioactifs et du combustible usé sont essentiels pour garantir la sûreté et le maintien du soutien public à l’utilisation de l’énergie nucléaire.</w:t>
      </w:r>
      <w:bookmarkStart w:id="4" w:name="_Hlk198747014"/>
      <w:bookmarkEnd w:id="4"/>
    </w:p>
    <w:p w14:paraId="2D837A61" w14:textId="7C6A0395" w:rsidR="001C2414" w:rsidRPr="00BE24EF" w:rsidRDefault="001C2414" w:rsidP="001C2414">
      <w:pPr>
        <w:pStyle w:val="ListNumber"/>
        <w:numPr>
          <w:ilvl w:val="0"/>
          <w:numId w:val="0"/>
        </w:numPr>
        <w:spacing w:after="160"/>
        <w:rPr>
          <w:noProof/>
        </w:rPr>
      </w:pPr>
      <w:r>
        <w:rPr>
          <w:noProof/>
        </w:rPr>
        <w:t>Parallèlement à tout plan d’expansion nucléaire, les États membres sont encouragés à définir des politiques favorisant les progrès dans le domaine du déclassement et à faire avancer la réalisation des infrastructures nécessaires à la gestion des déchets radioactifs, y compris les installations de stockage en couche géologique profonde. Cela nécessite un engagement gouvernemental et un financement adéquat de la part des producteurs de déchets, conformément au droit dérivé d’Euratom</w:t>
      </w:r>
      <w:r>
        <w:rPr>
          <w:noProof/>
          <w:vertAlign w:val="superscript"/>
        </w:rPr>
        <w:t>14</w:t>
      </w:r>
      <w:r>
        <w:rPr>
          <w:noProof/>
        </w:rPr>
        <w:t>. Le règlement sur la taxinomie établit des critères d’examen technique pour classer certaines activités nucléaires comme durables</w:t>
      </w:r>
      <w:r>
        <w:rPr>
          <w:rStyle w:val="FootnoteReference"/>
          <w:noProof/>
          <w:szCs w:val="24"/>
          <w:lang w:val="en-IE"/>
        </w:rPr>
        <w:footnoteReference w:id="20"/>
      </w:r>
      <w:r>
        <w:rPr>
          <w:noProof/>
        </w:rPr>
        <w:t>.</w:t>
      </w:r>
    </w:p>
    <w:p w14:paraId="4F31DE12" w14:textId="2EF63E6A" w:rsidR="006402F6" w:rsidRPr="00BE24EF" w:rsidRDefault="001C2414" w:rsidP="001C2414">
      <w:pPr>
        <w:pStyle w:val="ListNumber"/>
        <w:numPr>
          <w:ilvl w:val="0"/>
          <w:numId w:val="0"/>
        </w:numPr>
        <w:spacing w:after="160"/>
        <w:rPr>
          <w:noProof/>
        </w:rPr>
      </w:pPr>
      <w:r>
        <w:rPr>
          <w:noProof/>
        </w:rPr>
        <w:t>Dans l’UE, environ 40 000 m</w:t>
      </w:r>
      <w:r>
        <w:rPr>
          <w:noProof/>
          <w:vertAlign w:val="superscript"/>
        </w:rPr>
        <w:t>3</w:t>
      </w:r>
      <w:r>
        <w:rPr>
          <w:noProof/>
        </w:rPr>
        <w:t xml:space="preserve"> de déchets radioactifs et environ 1 000 tonnes de métal lourd</w:t>
      </w:r>
      <w:r>
        <w:rPr>
          <w:rStyle w:val="FootnoteReference"/>
          <w:rFonts w:eastAsiaTheme="majorEastAsia"/>
          <w:noProof/>
          <w:lang w:val="en-IE"/>
        </w:rPr>
        <w:footnoteReference w:id="21"/>
      </w:r>
      <w:r>
        <w:rPr>
          <w:noProof/>
        </w:rPr>
        <w:t xml:space="preserve"> de combustible nucléaire usé sont produits chaque année, pour 620 TWh d’électricité sur la base de l’année 2023</w:t>
      </w:r>
      <w:r>
        <w:rPr>
          <w:noProof/>
          <w:vertAlign w:val="superscript"/>
          <w:lang w:val="en-IE"/>
        </w:rPr>
        <w:footnoteReference w:id="22"/>
      </w:r>
      <w:r>
        <w:rPr>
          <w:noProof/>
        </w:rPr>
        <w:t xml:space="preserve">. </w:t>
      </w:r>
    </w:p>
    <w:p w14:paraId="582F8FDE" w14:textId="64335801" w:rsidR="001C2414" w:rsidRPr="00BE24EF" w:rsidRDefault="00487B8C" w:rsidP="001C2414">
      <w:pPr>
        <w:pStyle w:val="ListNumber"/>
        <w:numPr>
          <w:ilvl w:val="0"/>
          <w:numId w:val="0"/>
        </w:numPr>
        <w:spacing w:after="160"/>
        <w:rPr>
          <w:noProof/>
          <w:szCs w:val="24"/>
        </w:rPr>
      </w:pPr>
      <w:r>
        <w:rPr>
          <w:noProof/>
        </w:rPr>
        <w:t>L’industrie nucléaire de l’UE est bien équipée pour mener des activités de gestion des déchets radioactifs (tant pour les opérations que pour le déclassement), ainsi que pour les travaux de déclassement nucléaire, en appliquant les principes de l’économie circulaire, en maximisant le recyclage et la réutilisation des matériaux/équipements. À titre d’exemple, plus de 95 % des matériaux issus du démantèlement des réacteurs de Bohunice V1 en Slovaquie ont été recyclés. Le coût unitaire du déclassement global de cette installation peut être estimé à 8,33 EUR par MWh fourni</w:t>
      </w:r>
      <w:r>
        <w:rPr>
          <w:rStyle w:val="FootnoteReference"/>
          <w:noProof/>
          <w:szCs w:val="24"/>
          <w:lang w:val="en-IE"/>
        </w:rPr>
        <w:footnoteReference w:id="23"/>
      </w:r>
      <w:r>
        <w:rPr>
          <w:noProof/>
        </w:rPr>
        <w:t xml:space="preserve">, y compris toutes les opérations de gestion des déchets, à l’exception du stockage géologique des déchets de haute activité. </w:t>
      </w:r>
    </w:p>
    <w:p w14:paraId="33AF1BD4" w14:textId="0A187108" w:rsidR="001C2414" w:rsidRPr="00BE24EF" w:rsidRDefault="001C2414" w:rsidP="001C2414">
      <w:pPr>
        <w:pStyle w:val="ListNumber"/>
        <w:numPr>
          <w:ilvl w:val="0"/>
          <w:numId w:val="0"/>
        </w:numPr>
        <w:spacing w:after="160"/>
        <w:rPr>
          <w:noProof/>
        </w:rPr>
      </w:pPr>
      <w:r>
        <w:rPr>
          <w:noProof/>
        </w:rPr>
        <w:t xml:space="preserve">Bien que les évaluations des coûts soient constamment plus précises sur la base de l’expérience acquise, il convient de poursuivre les améliorations afin d’accroître la transparence et la sécurité du financement. Un financement important est nécessaire pour achever l’infrastructure de gestion des déchets radioactifs, y compris les installations de stockage géologique. </w:t>
      </w:r>
      <w:bookmarkStart w:id="5" w:name="_Hlk198747033"/>
      <w:r>
        <w:rPr>
          <w:noProof/>
        </w:rPr>
        <w:t>Dans le dernier rapport publié par la Commission</w:t>
      </w:r>
      <w:r>
        <w:rPr>
          <w:rStyle w:val="FootnoteReference"/>
          <w:noProof/>
          <w:lang w:val="en-IE"/>
        </w:rPr>
        <w:footnoteReference w:id="24"/>
      </w:r>
      <w:r>
        <w:rPr>
          <w:noProof/>
        </w:rPr>
        <w:t xml:space="preserve">, l’estimation globale des coûts pour l’UE de la gestion de tous les déchets radioactifs, c’est-à-dire y compris les déchets générés par les activités passées, tous les déchets attendus des activités en cours et futures, et le déclassement des activités opérationnelles, s’élevait à environ </w:t>
      </w:r>
      <w:r>
        <w:rPr>
          <w:b/>
          <w:bCs/>
          <w:noProof/>
        </w:rPr>
        <w:t>300 milliards d’EUR</w:t>
      </w:r>
      <w:r>
        <w:rPr>
          <w:rStyle w:val="FootnoteReference"/>
          <w:noProof/>
          <w:lang w:val="en-IE"/>
        </w:rPr>
        <w:footnoteReference w:id="25"/>
      </w:r>
      <w:r>
        <w:rPr>
          <w:noProof/>
        </w:rPr>
        <w:t>.</w:t>
      </w:r>
      <w:bookmarkEnd w:id="5"/>
      <w:r>
        <w:rPr>
          <w:noProof/>
        </w:rPr>
        <w:t xml:space="preserve"> </w:t>
      </w:r>
    </w:p>
    <w:p w14:paraId="32FB5C76" w14:textId="3C0E00A5" w:rsidR="0053778F" w:rsidRPr="00BE24EF" w:rsidRDefault="0053778F" w:rsidP="001C2414">
      <w:pPr>
        <w:pStyle w:val="ListNumber"/>
        <w:numPr>
          <w:ilvl w:val="0"/>
          <w:numId w:val="0"/>
        </w:numPr>
        <w:spacing w:after="160"/>
        <w:rPr>
          <w:noProof/>
        </w:rPr>
      </w:pPr>
      <w:r>
        <w:rPr>
          <w:noProof/>
        </w:rPr>
        <w:t>Conformément aux principes de l’économie circulaire, il est nécessaire d’étudier d’autres possibilités de recyclage multiple du combustible usé par la fabrication d’un combustible neuf (MOX) pour les réacteurs nucléaires.</w:t>
      </w:r>
    </w:p>
    <w:p w14:paraId="412C5187" w14:textId="222F3E4A" w:rsidR="006D6E01" w:rsidRPr="00BE24EF" w:rsidRDefault="006D6E01" w:rsidP="00BA3E93">
      <w:pPr>
        <w:pStyle w:val="Heading1"/>
        <w:keepNext/>
        <w:ind w:left="431" w:hanging="431"/>
        <w:rPr>
          <w:noProof/>
        </w:rPr>
      </w:pPr>
      <w:r>
        <w:rPr>
          <w:noProof/>
        </w:rPr>
        <w:t>Perspectives en matière d’énergie nucléaire dans le système électrique de l’UE</w:t>
      </w:r>
    </w:p>
    <w:p w14:paraId="26C3EFC7" w14:textId="67732115" w:rsidR="0096681D" w:rsidRPr="00BE24EF" w:rsidRDefault="0272A0AB" w:rsidP="00497C3B">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Si l’on examine le PINC publié précédemment en 2017</w:t>
      </w:r>
      <w:r>
        <w:rPr>
          <w:rStyle w:val="FootnoteReference"/>
          <w:rFonts w:ascii="Times New Roman" w:eastAsia="Times New Roman" w:hAnsi="Times New Roman" w:cs="Times New Roman"/>
          <w:noProof/>
          <w:sz w:val="24"/>
          <w:szCs w:val="24"/>
        </w:rPr>
        <w:footnoteReference w:id="26"/>
      </w:r>
      <w:r>
        <w:rPr>
          <w:rFonts w:ascii="Times New Roman" w:hAnsi="Times New Roman"/>
          <w:noProof/>
          <w:sz w:val="24"/>
          <w:vertAlign w:val="superscript"/>
        </w:rPr>
        <w:t xml:space="preserve">, </w:t>
      </w:r>
      <w:r>
        <w:rPr>
          <w:rStyle w:val="FootnoteReference"/>
          <w:rFonts w:ascii="Times New Roman" w:eastAsia="Times New Roman" w:hAnsi="Times New Roman" w:cs="Times New Roman"/>
          <w:noProof/>
          <w:sz w:val="24"/>
          <w:szCs w:val="24"/>
        </w:rPr>
        <w:footnoteReference w:id="27"/>
      </w:r>
      <w:r>
        <w:rPr>
          <w:rFonts w:ascii="Times New Roman" w:hAnsi="Times New Roman"/>
          <w:noProof/>
          <w:sz w:val="24"/>
        </w:rPr>
        <w:t>, le scénario prospectif pour l’énergie nucléaire dans l’EU-27 avait été fixé à environ 80 GWe en 2025. La capacité actuelle est légèrement inférieure à 100 GWe, principalement en raison d’un nombre plus élevé d’installations existantes prolongeant leur activité que prévu au moment du précédent PINC.</w:t>
      </w:r>
    </w:p>
    <w:p w14:paraId="6B3DCED2" w14:textId="19EC5ACD" w:rsidR="00497C3B" w:rsidRPr="00BE24EF" w:rsidRDefault="79714E75" w:rsidP="00497C3B">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L’analyse présentée dans le document de travail des services de la Commission qui l’accompagne fournit un scénario de déploiement de grands réacteurs nucléaires, y compris des analyses de sensibilité, des perspectives de déploiement de petits réacteurs modulaires, ainsi que des analyses des lacunes portant sur le marché et les installations du cycle du combustible nucléaire ainsi que sur la chaîne d’approvisionnement industrielle. </w:t>
      </w:r>
    </w:p>
    <w:p w14:paraId="02D6B7DB" w14:textId="3D7DA0D2" w:rsidR="003675D8" w:rsidRPr="00BE24EF" w:rsidRDefault="00087770" w:rsidP="0047473C">
      <w:pPr>
        <w:pStyle w:val="Heading2"/>
        <w:keepNext/>
        <w:ind w:left="578" w:hanging="578"/>
        <w:rPr>
          <w:noProof/>
        </w:rPr>
      </w:pPr>
      <w:r>
        <w:rPr>
          <w:noProof/>
        </w:rPr>
        <w:t>Capacité de production d’énergie nucléaire jusqu’en 2050</w:t>
      </w:r>
    </w:p>
    <w:p w14:paraId="6E4E2929" w14:textId="0655C0DF" w:rsidR="005858D4" w:rsidRPr="00BE24EF" w:rsidRDefault="5FDD27FF" w:rsidP="49811C53">
      <w:pPr>
        <w:spacing w:line="240" w:lineRule="auto"/>
        <w:jc w:val="both"/>
        <w:rPr>
          <w:rFonts w:ascii="Times New Roman" w:eastAsia="Times New Roman" w:hAnsi="Times New Roman" w:cs="Times New Roman"/>
          <w:noProof/>
          <w:sz w:val="24"/>
          <w:szCs w:val="24"/>
        </w:rPr>
      </w:pPr>
      <w:bookmarkStart w:id="6" w:name="_Hlk198747111"/>
      <w:bookmarkStart w:id="7" w:name="_Hlk198497672"/>
      <w:r>
        <w:rPr>
          <w:rFonts w:ascii="Times New Roman" w:hAnsi="Times New Roman"/>
          <w:noProof/>
          <w:sz w:val="24"/>
        </w:rPr>
        <w:t>Sur la base principalement des plans nationaux actualisés en matière d’énergie et de climat (PNEC)(</w:t>
      </w:r>
      <w:r>
        <w:rPr>
          <w:rStyle w:val="FootnoteReference"/>
          <w:rFonts w:ascii="Times New Roman" w:hAnsi="Times New Roman" w:cs="Times New Roman"/>
          <w:noProof/>
          <w:sz w:val="24"/>
          <w:szCs w:val="24"/>
        </w:rPr>
        <w:footnoteReference w:id="28"/>
      </w:r>
      <w:r>
        <w:rPr>
          <w:noProof/>
        </w:rPr>
        <w:t>)</w:t>
      </w:r>
      <w:r>
        <w:rPr>
          <w:rFonts w:ascii="Times New Roman" w:hAnsi="Times New Roman"/>
          <w:noProof/>
          <w:sz w:val="24"/>
        </w:rPr>
        <w:t xml:space="preserve"> et des projets d’investissement notifiés à la Commission au titre de l’article 41 du traité Euratom, un scénario de base de 109 GWe de capacité nette de production d’électricité à partir de réacteurs nucléaires à grande échelle en 2050 </w:t>
      </w:r>
      <w:bookmarkEnd w:id="6"/>
      <w:r>
        <w:rPr>
          <w:rFonts w:ascii="Times New Roman" w:hAnsi="Times New Roman"/>
          <w:noProof/>
          <w:sz w:val="24"/>
        </w:rPr>
        <w:t>repose sur les hypothèses suivantes: i)</w:t>
      </w:r>
      <w:r w:rsidR="00F87215">
        <w:rPr>
          <w:rFonts w:ascii="Times New Roman" w:hAnsi="Times New Roman"/>
          <w:noProof/>
          <w:sz w:val="24"/>
        </w:rPr>
        <w:t> </w:t>
      </w:r>
      <w:r>
        <w:rPr>
          <w:rFonts w:ascii="Times New Roman" w:hAnsi="Times New Roman"/>
          <w:noProof/>
          <w:sz w:val="24"/>
        </w:rPr>
        <w:t>au moins une partie des réacteurs existants prolonge leur durée de vie au-delà de 60 ans; et ii) les projets de construction de nouveaux réacteurs prévus sont réalisés dans les délais. Étant donné que les prolongations de la durée de vie sont subordonnées à la vérification du respect des normes en matière de sûreté, de garanties et de sécurité nucléaires, il existe une incertitude quant à la disponibilité de tous ces réacteurs en 2050. Il existe également une incertitude quant à la livraison des nouvelles centrales comme prévu (c’est-à-dire dans les délais et sans dépassement de budget). Ces incertitudes ont été évaluées et ont donné lieu à une série de résultats s’étendant sur le scénario de base</w:t>
      </w:r>
      <w:bookmarkEnd w:id="7"/>
      <w:r>
        <w:rPr>
          <w:rFonts w:ascii="Times New Roman" w:hAnsi="Times New Roman"/>
          <w:noProof/>
          <w:sz w:val="24"/>
        </w:rPr>
        <w:t xml:space="preserve"> (figure 1). </w:t>
      </w:r>
    </w:p>
    <w:p w14:paraId="4C2A56FB" w14:textId="69C1C94D" w:rsidR="006E7A2A" w:rsidRPr="00BE24EF" w:rsidRDefault="006E7A2A" w:rsidP="00391F79">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rPr>
          <w:noProof/>
        </w:rPr>
        <w:t xml:space="preserve"> –</w:t>
      </w:r>
      <w:r>
        <w:rPr>
          <w:noProof/>
        </w:rPr>
        <w:tab/>
        <w:t>Évolution de la capacité selon le «scénario de base» et marge d’incertitude.</w:t>
      </w:r>
      <w:r>
        <w:rPr>
          <w:noProof/>
        </w:rPr>
        <w:tab/>
      </w:r>
    </w:p>
    <w:p w14:paraId="0C130183" w14:textId="72AE47E3" w:rsidR="0016028F" w:rsidRPr="00BE24EF" w:rsidRDefault="00F87215" w:rsidP="00B60FEE">
      <w:pPr>
        <w:pStyle w:val="Text1"/>
        <w:rPr>
          <w:rFonts w:eastAsiaTheme="minorEastAsia"/>
          <w:noProof/>
        </w:rPr>
      </w:pPr>
      <w:r w:rsidRPr="003A5CAB">
        <w:rPr>
          <w:rFonts w:eastAsiaTheme="minorEastAsia"/>
          <w:noProof/>
          <w:lang w:val="en-GB" w:eastAsia="en-GB"/>
        </w:rPr>
        <w:drawing>
          <wp:inline distT="0" distB="0" distL="0" distR="0" wp14:anchorId="5E862654" wp14:editId="5B795D73">
            <wp:extent cx="4882896" cy="3181510"/>
            <wp:effectExtent l="0" t="0" r="0" b="0"/>
            <wp:docPr id="796059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28559" cy="3211262"/>
                    </a:xfrm>
                    <a:prstGeom prst="rect">
                      <a:avLst/>
                    </a:prstGeom>
                    <a:noFill/>
                    <a:ln>
                      <a:noFill/>
                    </a:ln>
                  </pic:spPr>
                </pic:pic>
              </a:graphicData>
            </a:graphic>
          </wp:inline>
        </w:drawing>
      </w:r>
    </w:p>
    <w:p w14:paraId="68AAEC6E" w14:textId="5F0E0FBE" w:rsidR="00053CC7" w:rsidRPr="00BE24EF" w:rsidRDefault="00EB7D6E" w:rsidP="00053CC7">
      <w:pPr>
        <w:spacing w:line="240" w:lineRule="auto"/>
        <w:jc w:val="both"/>
        <w:rPr>
          <w:rFonts w:ascii="Times New Roman" w:eastAsia="Times New Roman" w:hAnsi="Times New Roman" w:cs="Times New Roman"/>
          <w:noProof/>
          <w:sz w:val="24"/>
          <w:szCs w:val="24"/>
        </w:rPr>
      </w:pPr>
      <w:bookmarkStart w:id="8" w:name="_Hlk198497683"/>
      <w:bookmarkStart w:id="9" w:name="_Toc192842750"/>
      <w:r>
        <w:rPr>
          <w:rFonts w:ascii="Times New Roman" w:hAnsi="Times New Roman"/>
          <w:noProof/>
          <w:sz w:val="24"/>
        </w:rPr>
        <w:t>Les centrales électriques dont la durée de vie est prolongée devraient représenter une part importante de la capacité nucléaire installée en 2050 (voir les barres bleu clair à la figure 2). Dans un des scénarios, la capacité installée pourrait tomber à moins de 70 GWe d’ici à 2050. À l’inverse, si les réacteurs existants étendent leur durée de vie à 70, voire 80 ans, et que tous les nouveaux projets de construction prévus ont été livrés à temps, la capacité installée pourrait atteindre 144 GWe en 2050</w:t>
      </w:r>
      <w:r>
        <w:rPr>
          <w:rStyle w:val="FootnoteReference"/>
          <w:rFonts w:ascii="Times New Roman" w:eastAsia="Times New Roman" w:hAnsi="Times New Roman" w:cs="Times New Roman"/>
          <w:noProof/>
          <w:sz w:val="24"/>
          <w:szCs w:val="24"/>
        </w:rPr>
        <w:footnoteReference w:id="29"/>
      </w:r>
      <w:r>
        <w:rPr>
          <w:rFonts w:ascii="Times New Roman" w:hAnsi="Times New Roman"/>
          <w:noProof/>
          <w:sz w:val="24"/>
        </w:rPr>
        <w:t>. Le taux de réalisation des prolongations de la durée de vie sera le principal facteur à l’origine d’un large éventail de résultats.</w:t>
      </w:r>
    </w:p>
    <w:bookmarkEnd w:id="8"/>
    <w:p w14:paraId="639B64DC" w14:textId="6984B76E" w:rsidR="00405909" w:rsidRPr="00BE24EF" w:rsidRDefault="00405909" w:rsidP="00391F79">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rPr>
          <w:noProof/>
        </w:rPr>
        <w:t xml:space="preserve"> –</w:t>
      </w:r>
      <w:r>
        <w:rPr>
          <w:noProof/>
        </w:rPr>
        <w:tab/>
        <w:t>Scénario de base des grandes centrales de production d’électricité dans l’UE, 2024</w:t>
      </w:r>
      <w:r w:rsidR="00F87215">
        <w:rPr>
          <w:noProof/>
        </w:rPr>
        <w:noBreakHyphen/>
      </w:r>
      <w:r>
        <w:rPr>
          <w:noProof/>
        </w:rPr>
        <w:t>2050.</w:t>
      </w:r>
      <w:bookmarkEnd w:id="9"/>
      <w:r>
        <w:rPr>
          <w:noProof/>
        </w:rPr>
        <w:t xml:space="preserve"> PDV signifie prolongation de la durée de vie.</w:t>
      </w:r>
    </w:p>
    <w:p w14:paraId="5B7949F3" w14:textId="6456A184" w:rsidR="00405909" w:rsidRPr="00BE24EF" w:rsidRDefault="00F87215" w:rsidP="00B60FEE">
      <w:pPr>
        <w:pStyle w:val="Text1"/>
        <w:rPr>
          <w:noProof/>
        </w:rPr>
      </w:pPr>
      <w:r w:rsidRPr="003A5CAB">
        <w:rPr>
          <w:noProof/>
          <w:lang w:val="en-GB" w:eastAsia="en-GB"/>
        </w:rPr>
        <w:drawing>
          <wp:inline distT="0" distB="0" distL="0" distR="0" wp14:anchorId="6A7F4381" wp14:editId="129FCA55">
            <wp:extent cx="5260769" cy="3427718"/>
            <wp:effectExtent l="0" t="0" r="0" b="0"/>
            <wp:docPr id="1171442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85884" cy="3444082"/>
                    </a:xfrm>
                    <a:prstGeom prst="rect">
                      <a:avLst/>
                    </a:prstGeom>
                    <a:noFill/>
                    <a:ln>
                      <a:noFill/>
                    </a:ln>
                  </pic:spPr>
                </pic:pic>
              </a:graphicData>
            </a:graphic>
          </wp:inline>
        </w:drawing>
      </w:r>
    </w:p>
    <w:p w14:paraId="45F1A74F" w14:textId="43319489" w:rsidR="4A0D72DE" w:rsidRPr="00BE24EF" w:rsidRDefault="7C8F136B" w:rsidP="4A0D72DE">
      <w:pPr>
        <w:spacing w:line="240" w:lineRule="auto"/>
        <w:jc w:val="both"/>
        <w:rPr>
          <w:rFonts w:ascii="Times New Roman" w:eastAsia="Times New Roman" w:hAnsi="Times New Roman" w:cs="Times New Roman"/>
          <w:noProof/>
          <w:sz w:val="24"/>
          <w:szCs w:val="24"/>
        </w:rPr>
      </w:pPr>
      <w:bookmarkStart w:id="10" w:name="_Hlk198497529"/>
      <w:r>
        <w:rPr>
          <w:rFonts w:ascii="Times New Roman" w:hAnsi="Times New Roman"/>
          <w:noProof/>
          <w:sz w:val="24"/>
        </w:rPr>
        <w:t>Outre les grands réacteurs traditionnels, le scénario peut être complété par des PRM. L’alliance industrielle européenne pour les PRM est en train d’élaborer un plan stratégique visant à lancer l’exploitation commerciale des premiers PRM au début de la prochaine décennie. En 2023, au cours de la phase préparatoire de l’alliance industrielle européenne pour les PRM, une évaluation préliminaire réalisée par les organisations sectorielles a abouti à des projections de la capacité des PRM allant de 17 GW à 53 GW d’ici à 2050</w:t>
      </w:r>
      <w:r>
        <w:rPr>
          <w:rStyle w:val="FootnoteReference"/>
          <w:rFonts w:ascii="Times New Roman" w:eastAsia="Times New Roman" w:hAnsi="Times New Roman" w:cs="Times New Roman"/>
          <w:noProof/>
          <w:sz w:val="24"/>
          <w:szCs w:val="24"/>
        </w:rPr>
        <w:footnoteReference w:id="30"/>
      </w:r>
      <w:r>
        <w:rPr>
          <w:rFonts w:ascii="Times New Roman" w:hAnsi="Times New Roman"/>
          <w:noProof/>
          <w:sz w:val="24"/>
        </w:rPr>
        <w:t>.</w:t>
      </w:r>
      <w:bookmarkStart w:id="11" w:name="_Hlk198747149"/>
      <w:bookmarkEnd w:id="11"/>
      <w:r>
        <w:rPr>
          <w:rFonts w:ascii="Times New Roman" w:hAnsi="Times New Roman"/>
          <w:noProof/>
          <w:sz w:val="24"/>
        </w:rPr>
        <w:t xml:space="preserve"> Ces projections sont cohérentes avec d’autres rapports plus récents</w:t>
      </w:r>
      <w:r>
        <w:rPr>
          <w:noProof/>
        </w:rPr>
        <w:t xml:space="preserve"> </w:t>
      </w:r>
      <w:r>
        <w:rPr>
          <w:rStyle w:val="FootnoteReference"/>
          <w:rFonts w:ascii="Times New Roman" w:eastAsia="Times New Roman" w:hAnsi="Times New Roman" w:cs="Times New Roman"/>
          <w:noProof/>
          <w:sz w:val="24"/>
          <w:szCs w:val="24"/>
        </w:rPr>
        <w:footnoteReference w:id="31"/>
      </w:r>
      <w:r>
        <w:rPr>
          <w:noProof/>
          <w:vertAlign w:val="superscript"/>
        </w:rPr>
        <w:t xml:space="preserve">, </w:t>
      </w:r>
      <w:r>
        <w:rPr>
          <w:rStyle w:val="FootnoteReference"/>
          <w:rFonts w:ascii="Times New Roman" w:eastAsia="Times New Roman" w:hAnsi="Times New Roman" w:cs="Times New Roman"/>
          <w:noProof/>
          <w:sz w:val="24"/>
          <w:szCs w:val="24"/>
        </w:rPr>
        <w:footnoteReference w:id="32"/>
      </w:r>
      <w:bookmarkEnd w:id="10"/>
      <w:r>
        <w:rPr>
          <w:rFonts w:ascii="Times New Roman" w:hAnsi="Times New Roman"/>
          <w:noProof/>
          <w:sz w:val="24"/>
        </w:rPr>
        <w:t>.</w:t>
      </w:r>
    </w:p>
    <w:p w14:paraId="47EE169D" w14:textId="6106C0AC" w:rsidR="00314FE8" w:rsidRPr="00BE24EF" w:rsidRDefault="007C1331" w:rsidP="00B60FEE">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La stratégie de la Commission relative aux PRM</w:t>
      </w:r>
      <w:r>
        <w:rPr>
          <w:rStyle w:val="FootnoteReference"/>
          <w:rFonts w:ascii="Times New Roman" w:eastAsia="Times New Roman" w:hAnsi="Times New Roman" w:cs="Times New Roman"/>
          <w:noProof/>
          <w:sz w:val="24"/>
          <w:szCs w:val="24"/>
        </w:rPr>
        <w:footnoteReference w:id="33"/>
      </w:r>
      <w:r>
        <w:rPr>
          <w:rFonts w:ascii="Times New Roman" w:hAnsi="Times New Roman"/>
          <w:noProof/>
          <w:sz w:val="24"/>
        </w:rPr>
        <w:t>, qui s’appuie sur les travaux de l’alliance industrielle européenne pour les PRM, vise à soutenir l’accélération du développement et du déploiement de ces réacteurs dans l’UE au début des années 2030.</w:t>
      </w:r>
    </w:p>
    <w:p w14:paraId="530E3C24" w14:textId="0341654E" w:rsidR="0022295D" w:rsidRPr="00BE24EF" w:rsidRDefault="683F775F" w:rsidP="006619C3">
      <w:pPr>
        <w:pStyle w:val="ListNumber"/>
        <w:numPr>
          <w:ilvl w:val="0"/>
          <w:numId w:val="0"/>
        </w:numPr>
        <w:spacing w:after="160"/>
        <w:rPr>
          <w:noProof/>
        </w:rPr>
      </w:pPr>
      <w:r>
        <w:rPr>
          <w:noProof/>
        </w:rPr>
        <w:t xml:space="preserve">Le scénario de base nécessite des investissements d’environ </w:t>
      </w:r>
      <w:r>
        <w:rPr>
          <w:b/>
          <w:bCs/>
          <w:noProof/>
        </w:rPr>
        <w:t>241 milliards d’EUR en valeur actuelle</w:t>
      </w:r>
      <w:r>
        <w:rPr>
          <w:rStyle w:val="FootnoteReference"/>
          <w:noProof/>
          <w:lang w:val="en-IE"/>
        </w:rPr>
        <w:footnoteReference w:id="34"/>
      </w:r>
      <w:r>
        <w:rPr>
          <w:noProof/>
        </w:rPr>
        <w:t>, la construction de nouveaux grands réacteurs représentant 205 milliards d’EUR et les prolongations de la durée de vie des réacteurs existants, 36 milliards d’EUR.</w:t>
      </w:r>
      <w:bookmarkStart w:id="12" w:name="_Hlk198747176"/>
      <w:bookmarkEnd w:id="12"/>
      <w:r>
        <w:rPr>
          <w:noProof/>
        </w:rPr>
        <w:t xml:space="preserve"> De ce fait, s’il est vrai que les prolongations effectives de la durée de vie de réacteurs existantes détermineront la capacité installée d’ici à 2050, elles ne représentent qu’une faible part des besoins d’investissement. D’autre part, la construction de nouveaux grands réacteurs dans les délais et conformément au budget prévu est un élément important pour l’ensemble des besoins d’investissement. L’exemple quantitatif suivant montre que si les nouveaux projets sont retardés de cinq ans, la capacité installée en 2050 diminuerait de près de 9 GWe, tandis que les investissements nécessaires augmenteraient de plus de 45 milliards d’EUR</w:t>
      </w:r>
      <w:r>
        <w:rPr>
          <w:rStyle w:val="FootnoteReference"/>
          <w:noProof/>
          <w:lang w:val="en-IE"/>
        </w:rPr>
        <w:footnoteReference w:id="35"/>
      </w:r>
      <w:r>
        <w:rPr>
          <w:noProof/>
        </w:rPr>
        <w:t>, ce qui revient à dépenser plus pour une capacité moindre</w:t>
      </w:r>
      <w:bookmarkStart w:id="13" w:name="_Hlk198747213"/>
      <w:bookmarkEnd w:id="13"/>
      <w:r>
        <w:rPr>
          <w:noProof/>
        </w:rPr>
        <w:t xml:space="preserve"> (figure 3). Les retards entraînant des coûts supplémentaires, les besoins d’investissement supportés jusqu’en 2050 restent nettement supérieurs à 200 milliards d’EUR, même si la capacité disponible diminue. </w:t>
      </w:r>
    </w:p>
    <w:p w14:paraId="3B3929EA" w14:textId="6A197B9E" w:rsidR="00531353" w:rsidRPr="00BE24EF" w:rsidRDefault="00531353" w:rsidP="00391F79">
      <w:pPr>
        <w:pStyle w:val="Caption"/>
        <w:rPr>
          <w:noProof/>
        </w:rPr>
      </w:pPr>
      <w:bookmarkStart w:id="14" w:name="_Toc192842754"/>
      <w:r>
        <w:rPr>
          <w:noProof/>
        </w:rP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rPr>
          <w:noProof/>
        </w:rPr>
        <w:t xml:space="preserve"> –</w:t>
      </w:r>
      <w:r>
        <w:rPr>
          <w:noProof/>
        </w:rPr>
        <w:tab/>
        <w:t>Besoins d’investissement pour de nouvelles capacités jusqu’en 2050 pour les scénarios de déploiement de nouvelles constructions retardés.</w:t>
      </w:r>
      <w:bookmarkEnd w:id="14"/>
    </w:p>
    <w:p w14:paraId="27491EF5" w14:textId="7341E6DD" w:rsidR="00D43F00" w:rsidRPr="00BE24EF" w:rsidRDefault="00F87215" w:rsidP="00B60FEE">
      <w:pPr>
        <w:pStyle w:val="Text1"/>
        <w:rPr>
          <w:noProof/>
        </w:rPr>
      </w:pPr>
      <w:r w:rsidRPr="003A5CAB">
        <w:rPr>
          <w:noProof/>
          <w:lang w:val="en-GB" w:eastAsia="en-GB"/>
        </w:rPr>
        <w:drawing>
          <wp:inline distT="0" distB="0" distL="0" distR="0" wp14:anchorId="4242A9CA" wp14:editId="01051473">
            <wp:extent cx="4308178" cy="2808000"/>
            <wp:effectExtent l="0" t="0" r="0" b="0"/>
            <wp:docPr id="18171622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08178" cy="2808000"/>
                    </a:xfrm>
                    <a:prstGeom prst="rect">
                      <a:avLst/>
                    </a:prstGeom>
                    <a:noFill/>
                    <a:ln>
                      <a:noFill/>
                    </a:ln>
                  </pic:spPr>
                </pic:pic>
              </a:graphicData>
            </a:graphic>
          </wp:inline>
        </w:drawing>
      </w:r>
    </w:p>
    <w:p w14:paraId="2D384D47" w14:textId="44BA9F63" w:rsidR="00C36488" w:rsidRPr="00BE24EF" w:rsidRDefault="008043F7" w:rsidP="003F5282">
      <w:pPr>
        <w:pStyle w:val="Heading2"/>
        <w:keepNext/>
        <w:ind w:left="578" w:hanging="578"/>
        <w:rPr>
          <w:noProof/>
        </w:rPr>
      </w:pPr>
      <w:r>
        <w:rPr>
          <w:noProof/>
        </w:rPr>
        <w:t>Effets sur le système énergétique</w:t>
      </w:r>
    </w:p>
    <w:p w14:paraId="5D3EFB62" w14:textId="253295F8" w:rsidR="00515B33" w:rsidRPr="00BE24EF" w:rsidRDefault="696B2DA3" w:rsidP="00D35899">
      <w:pPr>
        <w:pStyle w:val="ListNumber"/>
        <w:numPr>
          <w:ilvl w:val="0"/>
          <w:numId w:val="0"/>
        </w:numPr>
        <w:spacing w:after="160"/>
        <w:rPr>
          <w:rFonts w:cstheme="minorBidi"/>
          <w:noProof/>
        </w:rPr>
      </w:pPr>
      <w:r>
        <w:rPr>
          <w:noProof/>
        </w:rPr>
        <w:t>En fournissant une charge de base propre et fiable ainsi qu’une énergie électrique flexible, l’énergie nucléaire peut contribuer à soutenir l’intégration du système en offrant flexibilité et inertie pour la stabilité du réseau.</w:t>
      </w:r>
      <w:bookmarkStart w:id="15" w:name="_Hlk198748492"/>
      <w:bookmarkEnd w:id="15"/>
      <w:r>
        <w:rPr>
          <w:noProof/>
        </w:rPr>
        <w:t xml:space="preserve"> Les coûts initiaux élevés du capital de l’énergie nucléaire peuvent être atténués par des économies systémiques qui réduisent les besoins d’investissement dans les infrastructures de transport, de distribution et de stockage. </w:t>
      </w:r>
    </w:p>
    <w:p w14:paraId="7EEB6292" w14:textId="64AD6720" w:rsidR="00823373" w:rsidRPr="00BE24EF" w:rsidRDefault="002E317A" w:rsidP="00E65C1B">
      <w:pPr>
        <w:pStyle w:val="ListNumber"/>
        <w:numPr>
          <w:ilvl w:val="0"/>
          <w:numId w:val="0"/>
        </w:numPr>
        <w:spacing w:after="160"/>
        <w:rPr>
          <w:noProof/>
        </w:rPr>
      </w:pPr>
      <w:r>
        <w:rPr>
          <w:noProof/>
        </w:rPr>
        <w:t xml:space="preserve">Les exigences en matière de flexibilité vont augmenter à toutes les échelles de temps (journalière, hebdomadaire et saisonnière). Lorsqu’elle est utilisée, l’énergie nucléaire peut principalement répondre aux besoins de flexibilité hebdomadaires et mensuels (graphique 4). </w:t>
      </w:r>
    </w:p>
    <w:p w14:paraId="6C5D8AC7" w14:textId="755FBE22" w:rsidR="007F0205" w:rsidRPr="00BE24EF" w:rsidRDefault="05364E0C" w:rsidP="00D35899">
      <w:pPr>
        <w:pStyle w:val="ListNumber"/>
        <w:numPr>
          <w:ilvl w:val="0"/>
          <w:numId w:val="0"/>
        </w:numPr>
        <w:spacing w:after="160"/>
        <w:rPr>
          <w:noProof/>
        </w:rPr>
      </w:pPr>
      <w:bookmarkStart w:id="16" w:name="_Hlk198494697"/>
      <w:r>
        <w:rPr>
          <w:noProof/>
        </w:rPr>
        <w:t>L’énergie nucléaire peut contribuer à soutenir l’intégration totale du système au niveau national et par-delà les frontières. Les données relatives aux échanges d’électricité montrent que les États membres disposant d’énergie nucléaire sont des exportateurs nets (9 exportateurs nets sur 10 en 2023 disposaient d’une capacité nucléaire)</w:t>
      </w:r>
      <w:r>
        <w:rPr>
          <w:rStyle w:val="FootnoteReference"/>
          <w:noProof/>
          <w:lang w:val="en-IE"/>
        </w:rPr>
        <w:footnoteReference w:id="36"/>
      </w:r>
      <w:r>
        <w:rPr>
          <w:noProof/>
        </w:rPr>
        <w:t xml:space="preserve">. </w:t>
      </w:r>
      <w:bookmarkEnd w:id="16"/>
    </w:p>
    <w:p w14:paraId="5DBC5268" w14:textId="66B5196C" w:rsidR="001837B3" w:rsidRPr="00BE24EF" w:rsidRDefault="002C42C3" w:rsidP="00D35899">
      <w:pPr>
        <w:pStyle w:val="ListNumber"/>
        <w:numPr>
          <w:ilvl w:val="0"/>
          <w:numId w:val="0"/>
        </w:numPr>
        <w:spacing w:after="160"/>
        <w:rPr>
          <w:noProof/>
        </w:rPr>
      </w:pPr>
      <w:bookmarkStart w:id="17" w:name="_Hlk200024722"/>
      <w:r>
        <w:rPr>
          <w:noProof/>
        </w:rPr>
        <w:t>Tout en tenant compte de ses coûts, l’énergie nucléaire peut également contribuer, parallèlement à d’autres solutions rentables (y compris la flexibilité, le stockage, les réseaux et les interconnexions) à réduire les coûts totaux du système en complétant les énergies renouvelables (telles que l’énergie éolienne et solaire) par une capacité ferme et à faibles émissions de carbone qui favorise la stabilité, l’intégration et les besoins de stockage du réseau</w:t>
      </w:r>
      <w:r>
        <w:rPr>
          <w:noProof/>
          <w:szCs w:val="24"/>
          <w:vertAlign w:val="superscript"/>
          <w:lang w:val="en-IE"/>
        </w:rPr>
        <w:footnoteReference w:id="37"/>
      </w:r>
      <w:r>
        <w:rPr>
          <w:noProof/>
        </w:rPr>
        <w:t>. Cela devrait être orienté de manière à réduire au minimum le coût de la décarbonation conformément aux objectifs climatiques de l’UE.</w:t>
      </w:r>
    </w:p>
    <w:p w14:paraId="1DF9F372" w14:textId="77777777" w:rsidR="00B60FEE" w:rsidRPr="00BE24EF" w:rsidRDefault="00B60FEE" w:rsidP="00B60FEE">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r>
        <w:rPr>
          <w:noProof/>
        </w:rPr>
        <w:t xml:space="preserve"> –</w:t>
      </w:r>
      <w:r>
        <w:rPr>
          <w:noProof/>
        </w:rPr>
        <w:tab/>
        <w:t>Contribution de l’énergie nucléaire aux besoins quotidiens, hebdomadaires et mensuels de flexibilité en volume d’énergie dans l’UE et dans certains États membres en 2030.</w:t>
      </w:r>
    </w:p>
    <w:p w14:paraId="18FD2E63" w14:textId="0EB80C1F" w:rsidR="00B60FEE" w:rsidRPr="00BE24EF" w:rsidRDefault="00F87215" w:rsidP="00B60FEE">
      <w:pPr>
        <w:pStyle w:val="Text1"/>
        <w:rPr>
          <w:rFonts w:eastAsia="Arial"/>
          <w:noProof/>
        </w:rPr>
      </w:pPr>
      <w:r>
        <w:rPr>
          <w:rFonts w:eastAsia="Arial"/>
          <w:noProof/>
          <w:lang w:val="en-GB" w:eastAsia="en-GB"/>
        </w:rPr>
        <w:drawing>
          <wp:inline distT="0" distB="0" distL="0" distR="0" wp14:anchorId="2C1A776A" wp14:editId="50516CEA">
            <wp:extent cx="4031673" cy="2634695"/>
            <wp:effectExtent l="0" t="0" r="6985" b="0"/>
            <wp:docPr id="413531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41461" cy="2641091"/>
                    </a:xfrm>
                    <a:prstGeom prst="rect">
                      <a:avLst/>
                    </a:prstGeom>
                    <a:noFill/>
                  </pic:spPr>
                </pic:pic>
              </a:graphicData>
            </a:graphic>
          </wp:inline>
        </w:drawing>
      </w:r>
    </w:p>
    <w:bookmarkEnd w:id="17"/>
    <w:p w14:paraId="79E978C2" w14:textId="02FFDFC5" w:rsidR="003675D8" w:rsidRPr="00BE24EF" w:rsidRDefault="003675D8" w:rsidP="003F5282">
      <w:pPr>
        <w:pStyle w:val="Heading2"/>
        <w:keepNext/>
        <w:ind w:left="578" w:hanging="578"/>
        <w:rPr>
          <w:noProof/>
        </w:rPr>
      </w:pPr>
      <w:r>
        <w:rPr>
          <w:noProof/>
        </w:rPr>
        <w:t>Technologies innovantes émergentes</w:t>
      </w:r>
    </w:p>
    <w:p w14:paraId="0DD3BD24" w14:textId="50D73D75" w:rsidR="00482368" w:rsidRPr="00BE24EF" w:rsidRDefault="00DC0D5C" w:rsidP="00331BD2">
      <w:pPr>
        <w:pStyle w:val="Text1"/>
        <w:ind w:left="0"/>
        <w:rPr>
          <w:noProof/>
          <w:szCs w:val="24"/>
        </w:rPr>
      </w:pPr>
      <w:r>
        <w:rPr>
          <w:noProof/>
        </w:rPr>
        <w:t>Le développement de l’industrie des petits réacteurs modulaires et des réacteurs modulaires avancés (PRM et RMA) ainsi que des microréacteurs dans le monde entier suscite un intérêt croissant. Bien qu’ils ne soient pas concurrents des grands réacteurs sur le marché de l’énergie, ils sont conçus pour un déploiement plus rapide et plus efficace que les grands réacteurs, étant donné que les modules construits en usine bénéficient des effets concurrentiels de la fabrication en série.</w:t>
      </w:r>
      <w:bookmarkStart w:id="18" w:name="_Hlk198748574"/>
      <w:bookmarkEnd w:id="18"/>
      <w:r>
        <w:rPr>
          <w:noProof/>
        </w:rPr>
        <w:t xml:space="preserve"> Les PRM et les RMA ne sont pas en concurrence avec les grands réacteurs car ils peuvent répondre à des besoins énergétiques différents. </w:t>
      </w:r>
    </w:p>
    <w:p w14:paraId="3010B6D5" w14:textId="4002E580" w:rsidR="00CD3116" w:rsidRPr="00BE24EF" w:rsidRDefault="003828D7" w:rsidP="00331BD2">
      <w:pPr>
        <w:pStyle w:val="Text1"/>
        <w:ind w:left="0"/>
        <w:rPr>
          <w:noProof/>
        </w:rPr>
      </w:pPr>
      <w:r>
        <w:rPr>
          <w:noProof/>
        </w:rPr>
        <w:t>Bien que de nombreux projets de startups existent dans l’UE, la démonstration jusqu’à la réalisation d’usines pionnières est nécessaire. Dans l’UE, la taille du marché dans les différents pays ne correspond pas aux volumes de production nécessaires pour que les économies d’échelle puissent se concrétiser. Par conséquent, une approche coordonnée entre les États membres est nécessaire, par exemple une coopération accrue des autorités nationales compétentes en ce qui concerne les exigences réglementaires. À cet égard, la Commission a annoncé le lancement de la phase de conception d’un nouveau projet potentiel important d’intérêt européen commun (PIIEC) sur les technologies nucléaires innovantes. Les pays de l’UE intéressés développeront son champ d’application et sa structure avec l’appui du nouveau pôle de soutien à la conception du PIIEC.</w:t>
      </w:r>
    </w:p>
    <w:p w14:paraId="7B4F6ADC" w14:textId="172357A5" w:rsidR="00D03E74" w:rsidRPr="00BE24EF" w:rsidRDefault="644C23BC" w:rsidP="00333E9A">
      <w:pPr>
        <w:pStyle w:val="Text1"/>
        <w:ind w:left="0"/>
        <w:rPr>
          <w:noProof/>
        </w:rPr>
      </w:pPr>
      <w:r>
        <w:rPr>
          <w:noProof/>
        </w:rPr>
        <w:t>L’empreinte foncière relativement faible, la réduction de la consommation d’eau de refroidissement, l’utilisation combinée de la chaleur et, surtout, la réduction attendue des coûts de construction font de ces réacteurs une option potentiellement plus attrayante pour les investisseurs privés. Un exemple notable est le montant substantiel de capitaux investis par les entreprises de haute technologie pour fournir de l’énergie fiable et à faibles émissions aux centres de données et en l’utilisation accrue de l’intelligence artificielle (en 2020, la consommation de centres de données dans le monde représentait plus de 10 % de la consommation d’électricité de l’UE).</w:t>
      </w:r>
    </w:p>
    <w:p w14:paraId="16DEF455" w14:textId="2FA40F22" w:rsidR="00533EA1" w:rsidRPr="00BE24EF" w:rsidRDefault="1B0B6717" w:rsidP="00A61213">
      <w:pPr>
        <w:pStyle w:val="Text1"/>
        <w:ind w:left="0"/>
        <w:rPr>
          <w:noProof/>
        </w:rPr>
      </w:pPr>
      <w:r>
        <w:rPr>
          <w:noProof/>
        </w:rPr>
        <w:t xml:space="preserve">En outre, les PRM et les RMA peuvent s’intégrer dans de futurs systèmes énergétiques hybrides, servant de source de chaleur fiable pour le chauffage urbain et certaines industries difficiles à décarboner, parmi elles la production d’hydrogène bas carbone. Les PRM peuvent soutenir efficacement l’équilibrage de la charge sur le réseau, en raison de leur flexibilité opérationnelle généralement plus grande que celle des grands réacteurs nucléaires. En raison de leur taille, ces réacteurs peuvent être installés dans un large éventail de sites; cette caractéristique peut contribuer à optimiser l’utilisation des infrastructures existantes et à faciliter l’intégration de sources d’énergie diverses et complémentaires au sein d’une région donnée; elle pose toutefois des défis particuliers en matière de sûreté, de sécurité et de protection. D’une manière générale, lors de la sélection des sites, les États membres devraient procéder à un examen des risques climatiques en plus de l’évaluation générale des risques pour les infrastructures prévues et tenir compte des zones les plus propices à la réduction des risques recensés à des niveaux acceptables. </w:t>
      </w:r>
    </w:p>
    <w:p w14:paraId="59015C0B" w14:textId="4C0BF647" w:rsidR="00333E9A" w:rsidRPr="00BE24EF" w:rsidRDefault="645229AD" w:rsidP="00333E9A">
      <w:pPr>
        <w:pStyle w:val="Text1"/>
        <w:ind w:left="0"/>
        <w:rPr>
          <w:noProof/>
        </w:rPr>
      </w:pPr>
      <w:r>
        <w:rPr>
          <w:noProof/>
        </w:rPr>
        <w:t>Les microréacteurs sont conçus comme transportables, y compris par voie aérienne. Ainsi, malgré un coût actualisé élevé de l’électricité (estimé à environ 140 USD/MWh), ils suscitent l’intérêt pour une utilisation dans des applications de défense, dans des marchés difficiles d’accès, tels que les sites miniers éloignés où les coûts de l’énergie sont élevés, dans l’industrie pétrolière et gazière à la fois à terre et en mer, et dans le transport maritime.</w:t>
      </w:r>
    </w:p>
    <w:p w14:paraId="62BB15C6" w14:textId="01F3D8CA" w:rsidR="0025292C" w:rsidRPr="00BE24EF" w:rsidRDefault="005C55C0" w:rsidP="003F5282">
      <w:pPr>
        <w:pStyle w:val="Heading2"/>
        <w:keepNext/>
        <w:ind w:left="578" w:hanging="578"/>
        <w:rPr>
          <w:noProof/>
        </w:rPr>
      </w:pPr>
      <w:r>
        <w:rPr>
          <w:noProof/>
        </w:rPr>
        <w:t>Modèles de financement</w:t>
      </w:r>
    </w:p>
    <w:p w14:paraId="3E3F281E" w14:textId="5B179A24" w:rsidR="0025292C" w:rsidRPr="00BE24EF" w:rsidRDefault="5DAEC5BC" w:rsidP="0025292C">
      <w:pPr>
        <w:spacing w:before="100" w:after="100" w:line="240" w:lineRule="auto"/>
        <w:jc w:val="both"/>
        <w:rPr>
          <w:rFonts w:ascii="Times New Roman" w:eastAsia="Times New Roman" w:hAnsi="Times New Roman" w:cs="Times New Roman"/>
          <w:noProof/>
          <w:sz w:val="24"/>
          <w:szCs w:val="24"/>
        </w:rPr>
      </w:pPr>
      <w:r>
        <w:rPr>
          <w:rFonts w:ascii="Times New Roman" w:hAnsi="Times New Roman"/>
          <w:noProof/>
          <w:sz w:val="24"/>
        </w:rPr>
        <w:t>Pour que les plans nationaux se concrétisent, les États membres qui ont décidé de déployer l’énergie nucléaire devraient envisager d’investir rapidement et d’élaborer des politiques visant à maintenir un écosystème industriel durable pour l’énergie nucléaire.</w:t>
      </w:r>
    </w:p>
    <w:p w14:paraId="17F2E2EA" w14:textId="78941756" w:rsidR="0025292C" w:rsidRPr="00BE24EF" w:rsidRDefault="210FA2F7" w:rsidP="0025292C">
      <w:pPr>
        <w:spacing w:before="100" w:after="100" w:line="240" w:lineRule="auto"/>
        <w:jc w:val="both"/>
        <w:rPr>
          <w:rFonts w:ascii="Times New Roman" w:eastAsia="Times New Roman" w:hAnsi="Times New Roman" w:cs="Times New Roman"/>
          <w:noProof/>
          <w:sz w:val="24"/>
          <w:szCs w:val="24"/>
        </w:rPr>
      </w:pPr>
      <w:r>
        <w:rPr>
          <w:rFonts w:ascii="Times New Roman" w:hAnsi="Times New Roman"/>
          <w:noProof/>
          <w:sz w:val="24"/>
        </w:rPr>
        <w:t>La Commission a relevé dans certains cas l’absence d’instruments fondés sur le marché permettant aux acteurs privés de mettre en œuvre la répartition des risques souhaitée, ainsi que des défis liés au risque de «blocage»</w:t>
      </w:r>
      <w:r>
        <w:rPr>
          <w:rFonts w:ascii="Times New Roman" w:hAnsi="Times New Roman" w:cs="Times New Roman"/>
          <w:noProof/>
          <w:sz w:val="24"/>
          <w:szCs w:val="24"/>
          <w:vertAlign w:val="superscript"/>
        </w:rPr>
        <w:footnoteReference w:id="38"/>
      </w:r>
      <w:r>
        <w:rPr>
          <w:rFonts w:ascii="Times New Roman" w:hAnsi="Times New Roman"/>
          <w:noProof/>
          <w:sz w:val="24"/>
        </w:rPr>
        <w:t>, c’est-à-dire le risque perçu que les lois et réglementations applicables changent après que des parties privées ont investi à fonds perdus dans un projet.</w:t>
      </w:r>
    </w:p>
    <w:p w14:paraId="4F6F8919" w14:textId="653D20FF" w:rsidR="0025292C" w:rsidRPr="00BE24EF" w:rsidRDefault="0025292C" w:rsidP="0025292C">
      <w:pPr>
        <w:spacing w:before="100" w:after="10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Par conséquent, une combinaison de diverses sources de financement complétées par des instruments de réduction des risques pourrait constituer la réponse, l’intervention publique répondant aux défis susmentionnés, en tenant également compte des avantages, tels que la possibilité d’accroître l’intégration du système et l’offre de flexibilité. </w:t>
      </w:r>
    </w:p>
    <w:p w14:paraId="04EB5D2D" w14:textId="2969C229" w:rsidR="0025292C" w:rsidRPr="00BE24EF" w:rsidRDefault="5DAEC5BC" w:rsidP="0025292C">
      <w:pPr>
        <w:spacing w:before="100" w:after="10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instruments définis dans la version révisée de l’organisation du marché de l’électricité permettent aux États membres de soutenir les promoteurs de projets en réaffectant les risques liés au marché de l’électricité et à la construction. Le financement des projets peut également s’appuyer sur des accords d’achat d’électricité (AAE); dans ce cas, les États membres peuvent concevoir des instruments d’aide ciblant le producteur dans l’AAE en question. D’autres juridictions, par exemple les États-Unis et le Royaume-Uni, testent d’autres instruments innovants pour mieux gérer le risque de construction, par exemple en adaptant le modèle de base d’actifs réglementés, option que certains États membres ont également envisagée récemment. </w:t>
      </w:r>
    </w:p>
    <w:p w14:paraId="0E43C0FF" w14:textId="4BB204AF" w:rsidR="00C915D9" w:rsidRPr="00BE24EF" w:rsidRDefault="00C915D9" w:rsidP="00C915D9">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La Commission a fourni aux États membres des orientations relatives à la conception des contrats sur différence bidirectionnels pour les projets liés à l’énergie</w:t>
      </w:r>
      <w:r>
        <w:rPr>
          <w:rStyle w:val="FootnoteReference"/>
          <w:rFonts w:ascii="Times New Roman" w:eastAsia="Times New Roman" w:hAnsi="Times New Roman" w:cs="Times New Roman"/>
          <w:noProof/>
          <w:kern w:val="0"/>
          <w:sz w:val="24"/>
          <w:szCs w:val="24"/>
          <w:lang w:eastAsia="en-IE"/>
        </w:rPr>
        <w:footnoteReference w:id="39"/>
      </w:r>
      <w:r>
        <w:rPr>
          <w:rFonts w:ascii="Times New Roman" w:hAnsi="Times New Roman"/>
          <w:noProof/>
          <w:sz w:val="24"/>
        </w:rPr>
        <w:t xml:space="preserve">, couvrant notamment leur éventuelle combinaison avec des accords d’achat d’électricité (AAE), conformément aux règles en matière d’aides d’État, comme indiqué dans le rapport Draghi et annoncé dans le pacte pour une industrie propre. Conformément à l’approche adoptée dans le cadre de l’organisation du marché de l’électricité, la Commission coopère avec la BEI pour promouvoir les AAE, notamment les AAE transfrontaliers, d’une manière neutre sur le plan technologique. </w:t>
      </w:r>
    </w:p>
    <w:p w14:paraId="546239B3" w14:textId="6B13932F" w:rsidR="0025292C" w:rsidRPr="00BE24EF" w:rsidRDefault="5DAEC5BC" w:rsidP="0025292C">
      <w:pPr>
        <w:spacing w:line="240" w:lineRule="auto"/>
        <w:jc w:val="both"/>
        <w:rPr>
          <w:rFonts w:ascii="Times New Roman" w:eastAsia="Times New Roman" w:hAnsi="Times New Roman" w:cs="Times New Roman"/>
          <w:noProof/>
          <w:kern w:val="0"/>
          <w:sz w:val="24"/>
          <w:szCs w:val="24"/>
          <w14:ligatures w14:val="none"/>
        </w:rPr>
      </w:pPr>
      <w:bookmarkStart w:id="19" w:name="_Hlk198748857"/>
      <w:r>
        <w:rPr>
          <w:rFonts w:ascii="Times New Roman" w:hAnsi="Times New Roman"/>
          <w:noProof/>
          <w:sz w:val="24"/>
        </w:rPr>
        <w:t>Lorsqu’ils conçoivent les caractéristiques de l’aide publique, les États membres devraient conserver des incitations visant à garantir l’efficacité du comportement des bénéficiaires, par exemple en réalisant des travaux de construction dans les délais et dans les limites du budget</w:t>
      </w:r>
      <w:bookmarkEnd w:id="19"/>
      <w:r>
        <w:rPr>
          <w:rFonts w:ascii="Times New Roman" w:hAnsi="Times New Roman"/>
          <w:noProof/>
          <w:sz w:val="24"/>
        </w:rPr>
        <w:t xml:space="preserve"> et en répartissant les capacités en fonction des signaux du marché. </w:t>
      </w:r>
    </w:p>
    <w:p w14:paraId="21EDE68E" w14:textId="6A89DF68" w:rsidR="2015358D" w:rsidRPr="00BE24EF" w:rsidRDefault="00C810AC" w:rsidP="003762C9">
      <w:pPr>
        <w:pStyle w:val="Heading1"/>
        <w:keepNext/>
        <w:ind w:left="431" w:hanging="431"/>
        <w:rPr>
          <w:noProof/>
        </w:rPr>
      </w:pPr>
      <w:r>
        <w:rPr>
          <w:noProof/>
        </w:rPr>
        <w:t xml:space="preserve">Au-delà de la production d’électricité </w:t>
      </w:r>
    </w:p>
    <w:p w14:paraId="18377D30" w14:textId="131B6E94" w:rsidR="004E429F" w:rsidRPr="00BE24EF" w:rsidRDefault="00A11A61" w:rsidP="005078FD">
      <w:pPr>
        <w:pStyle w:val="ListNumber"/>
        <w:numPr>
          <w:ilvl w:val="0"/>
          <w:numId w:val="0"/>
        </w:numPr>
        <w:spacing w:after="160"/>
        <w:rPr>
          <w:noProof/>
        </w:rPr>
      </w:pPr>
      <w:r>
        <w:rPr>
          <w:noProof/>
        </w:rPr>
        <w:t xml:space="preserve">Tant le parc existant de réacteurs nucléaires que les nouveaux investissements prévus au niveau de l’UE et au niveau mondial sont largement axés sur l’approvisionnement en électricité. Toutefois, les technologies nucléaires peuvent également fournir une source de chaleur à faible intensité de carbone aux ménages et à diverses applications industrielles et contribuer à la production de radio-isotopes médicaux. </w:t>
      </w:r>
    </w:p>
    <w:p w14:paraId="3DCB70F3" w14:textId="4889DE78" w:rsidR="00D20229" w:rsidRPr="00BE24EF" w:rsidRDefault="1C8FC112" w:rsidP="003F5282">
      <w:pPr>
        <w:pStyle w:val="Heading2"/>
        <w:keepNext/>
        <w:ind w:left="578" w:hanging="578"/>
        <w:rPr>
          <w:noProof/>
        </w:rPr>
      </w:pPr>
      <w:r>
        <w:rPr>
          <w:noProof/>
        </w:rPr>
        <w:t>Fourniture de chaleur</w:t>
      </w:r>
    </w:p>
    <w:p w14:paraId="08DBF761" w14:textId="7910FF65" w:rsidR="004E429F" w:rsidRPr="00BE24EF" w:rsidRDefault="00857E2D" w:rsidP="00037E22">
      <w:pPr>
        <w:pStyle w:val="ListNumber"/>
        <w:numPr>
          <w:ilvl w:val="0"/>
          <w:numId w:val="0"/>
        </w:numPr>
        <w:spacing w:after="160"/>
        <w:rPr>
          <w:noProof/>
        </w:rPr>
      </w:pPr>
      <w:r>
        <w:rPr>
          <w:noProof/>
        </w:rPr>
        <w:t>De nombreux processus industriels nécessitent de la chaleur à haute température, traditionnellement produite à partir de combustibles fossiles. À l’heure actuelle, la demande de chaleur industrielle dans l’UE est d’environ 1 900 TWh, avec environ 960 TWh nécessaires à des températures comprises entre 500 °C et 1 000 °C. Conformément aux prévisions d’électrification des secteurs de la demande, les études</w:t>
      </w:r>
      <w:r>
        <w:rPr>
          <w:noProof/>
          <w:szCs w:val="24"/>
          <w:vertAlign w:val="superscript"/>
          <w:lang w:val="en-IE"/>
        </w:rPr>
        <w:footnoteReference w:id="40"/>
      </w:r>
      <w:r>
        <w:rPr>
          <w:noProof/>
        </w:rPr>
        <w:t xml:space="preserve"> font état d’une baisse de la demande de chaleur à haute température de 40 % pour atteindre environ 620 TWh en 2050.</w:t>
      </w:r>
    </w:p>
    <w:p w14:paraId="5D9146C0" w14:textId="29560399" w:rsidR="004E429F" w:rsidRPr="00BE24EF" w:rsidRDefault="00191B21" w:rsidP="00037E22">
      <w:pPr>
        <w:pStyle w:val="ListNumber"/>
        <w:numPr>
          <w:ilvl w:val="0"/>
          <w:numId w:val="0"/>
        </w:numPr>
        <w:spacing w:after="160"/>
        <w:rPr>
          <w:noProof/>
        </w:rPr>
      </w:pPr>
      <w:r>
        <w:rPr>
          <w:noProof/>
        </w:rPr>
        <w:t>La chaleur provenant de centrales nucléaires a déjà été utilisée ou envisagée pour le chauffage urbain, l’industrie chimique ou le dessalement de l’eau. En outre, les développeurs de PRM estiment que ces technologies ont leur place sur le marché de la chaleur à haute température, étant donné qu’elles peuvent contribuer soit à la fourniture de chaleur directement pour des procédés à émissions difficiles à réduire, soit à la production d’hydrogène (figure 5).</w:t>
      </w:r>
    </w:p>
    <w:p w14:paraId="226AC578" w14:textId="20EFF4EB" w:rsidR="007005AA" w:rsidRPr="00BE24EF" w:rsidRDefault="007005AA" w:rsidP="00037E22">
      <w:pPr>
        <w:pStyle w:val="ListNumber"/>
        <w:numPr>
          <w:ilvl w:val="0"/>
          <w:numId w:val="0"/>
        </w:numPr>
        <w:spacing w:after="160"/>
        <w:rPr>
          <w:noProof/>
        </w:rPr>
      </w:pPr>
      <w:r>
        <w:rPr>
          <w:noProof/>
        </w:rPr>
        <w:t>L’approvisionnement en chauffage urbain est l’une des utilisations potentielles des PRM. Par exemple, le projet CityHeat, qui a été sélectionné par l’alliance industrielle européenne pour les PRM, examine ce type d’utilisation.</w:t>
      </w:r>
    </w:p>
    <w:p w14:paraId="13FA66EA" w14:textId="18D3A9F1" w:rsidR="00584F23" w:rsidRDefault="00A2246E" w:rsidP="00744942">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r>
        <w:rPr>
          <w:noProof/>
        </w:rPr>
        <w:t xml:space="preserve"> –</w:t>
      </w:r>
      <w:r>
        <w:rPr>
          <w:noProof/>
        </w:rPr>
        <w:tab/>
      </w:r>
      <w:r w:rsidR="00545FDF" w:rsidRPr="00545FDF">
        <w:rPr>
          <w:noProof/>
        </w:rPr>
        <w:t>Scénarios de déploiement des PRM avec parts de l’approvisionnement en chaleur/hydrogène.</w:t>
      </w:r>
    </w:p>
    <w:p w14:paraId="0A54A95F" w14:textId="6A3B8CD5" w:rsidR="00744942" w:rsidRPr="00BE24EF" w:rsidRDefault="00044E11" w:rsidP="00584F23">
      <w:pPr>
        <w:pStyle w:val="Text1"/>
        <w:tabs>
          <w:tab w:val="left" w:pos="1609"/>
        </w:tabs>
        <w:rPr>
          <w:noProof/>
        </w:rPr>
      </w:pPr>
      <w:r w:rsidRPr="00044E11">
        <w:rPr>
          <w:noProof/>
          <w:lang w:val="en-GB" w:eastAsia="en-GB"/>
        </w:rPr>
        <w:drawing>
          <wp:inline distT="0" distB="0" distL="0" distR="0" wp14:anchorId="539BFDA2" wp14:editId="53E7447F">
            <wp:extent cx="5731510" cy="3738880"/>
            <wp:effectExtent l="0" t="0" r="2540" b="0"/>
            <wp:docPr id="1040789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3738880"/>
                    </a:xfrm>
                    <a:prstGeom prst="rect">
                      <a:avLst/>
                    </a:prstGeom>
                    <a:noFill/>
                    <a:ln>
                      <a:noFill/>
                    </a:ln>
                  </pic:spPr>
                </pic:pic>
              </a:graphicData>
            </a:graphic>
          </wp:inline>
        </w:drawing>
      </w:r>
    </w:p>
    <w:p w14:paraId="197867DB" w14:textId="434E8BD8" w:rsidR="004E429F" w:rsidRPr="00BE24EF" w:rsidRDefault="00281340" w:rsidP="003F5282">
      <w:pPr>
        <w:pStyle w:val="Heading2"/>
        <w:keepNext/>
        <w:ind w:left="578" w:hanging="578"/>
        <w:rPr>
          <w:noProof/>
        </w:rPr>
      </w:pPr>
      <w:r>
        <w:rPr>
          <w:noProof/>
        </w:rPr>
        <w:t xml:space="preserve">Radio-isotopes à usage médical </w:t>
      </w:r>
    </w:p>
    <w:p w14:paraId="1C788B31" w14:textId="70272214" w:rsidR="00B754E3" w:rsidRPr="00BE24EF" w:rsidRDefault="5A7C10AE" w:rsidP="24956FDE">
      <w:pPr>
        <w:pStyle w:val="ListNumber"/>
        <w:numPr>
          <w:ilvl w:val="0"/>
          <w:numId w:val="0"/>
        </w:numPr>
        <w:spacing w:after="160"/>
        <w:rPr>
          <w:noProof/>
        </w:rPr>
      </w:pPr>
      <w:r>
        <w:rPr>
          <w:noProof/>
        </w:rPr>
        <w:t xml:space="preserve">Les réacteurs de recherche nucléaire jouent un rôle crucial dans la production de radio-isotopes, qui sont essentiels tant pour les soins de santé que pour diverses applications industrielles. </w:t>
      </w:r>
    </w:p>
    <w:p w14:paraId="2A98BBFE" w14:textId="119A5C9B" w:rsidR="004E429F" w:rsidRPr="00BE24EF" w:rsidRDefault="5786578E" w:rsidP="24956FDE">
      <w:pPr>
        <w:pStyle w:val="ListNumber"/>
        <w:numPr>
          <w:ilvl w:val="0"/>
          <w:numId w:val="0"/>
        </w:numPr>
        <w:spacing w:after="160"/>
        <w:rPr>
          <w:noProof/>
        </w:rPr>
      </w:pPr>
      <w:r>
        <w:rPr>
          <w:noProof/>
        </w:rPr>
        <w:t>Dans le secteur médical, les radio-isotopes sont indispensables pour le diagnostic de maladies telles que le cancer, les maladies cardiaques, pulmonaires et neurologiques, et ils sont de plus en plus importants pour le traitement du cancer. Les projections montrent que le nombre de patients pouvant bénéficier d’une thérapie radiopharmaceutique/par radioligand dans l’UE triplera d’ici à 2035</w:t>
      </w:r>
      <w:r>
        <w:rPr>
          <w:noProof/>
          <w:vertAlign w:val="superscript"/>
          <w:lang w:val="en-IE"/>
        </w:rPr>
        <w:footnoteReference w:id="41"/>
      </w:r>
      <w:r>
        <w:rPr>
          <w:noProof/>
        </w:rPr>
        <w:t>. Par conséquent, un approvisionnement sûr et à long terme en radio</w:t>
      </w:r>
      <w:r w:rsidR="00F87215">
        <w:rPr>
          <w:noProof/>
        </w:rPr>
        <w:noBreakHyphen/>
      </w:r>
      <w:r>
        <w:rPr>
          <w:noProof/>
        </w:rPr>
        <w:t xml:space="preserve">isotopes médicaux dans l’UE est essentiel pour tous les citoyens. </w:t>
      </w:r>
    </w:p>
    <w:p w14:paraId="09008FDF" w14:textId="6080911A" w:rsidR="004E429F" w:rsidRPr="00BE24EF" w:rsidRDefault="00A715E3" w:rsidP="24956FDE">
      <w:pPr>
        <w:pStyle w:val="ListNumber"/>
        <w:numPr>
          <w:ilvl w:val="0"/>
          <w:numId w:val="0"/>
        </w:numPr>
        <w:spacing w:after="160"/>
        <w:rPr>
          <w:noProof/>
          <w:szCs w:val="24"/>
        </w:rPr>
      </w:pPr>
      <w:r>
        <w:rPr>
          <w:noProof/>
        </w:rPr>
        <w:t>L’UE est un acteur mondial de premier plan sur ce marché, fournissant constamment plus de 65 % des services mondiaux d’irradiation, avec une forte position à l’exportation. Toutefois, il existe des vulnérabilités sur lesquelles agir en temps utile, telles que les dépendances étrangères spécifiques (par exemple, l’approvisionnement en uranium faiblement enrichi à haut dosage — HALEU) et le vieillissement des réacteurs de recherche de l’UE. Alors que deux réacteurs de recherche en cours de construction pour produire des radio-isotopes à usage médical devraient être prêts au début des années 2030, il convient également de poursuivre l’innovation afin de diversifier les moyens de production et d’accroître la résilience du système.</w:t>
      </w:r>
    </w:p>
    <w:p w14:paraId="77005D98" w14:textId="1E9A2B02" w:rsidR="00957096" w:rsidRPr="00BE24EF" w:rsidRDefault="7C4E5F43" w:rsidP="00C92318">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À ce jour, d’autres pays occidentaux, à savoir les États-Unis et le Royaume-Uni, ont déjà investi des sommes importantes, de l’ordre de 1,2 milliard d’USD et de 300 millions de GBP, en faveur de l’approvisionnement national en HALEU</w:t>
      </w:r>
      <w:r>
        <w:rPr>
          <w:rFonts w:ascii="Times New Roman" w:eastAsia="Times New Roman" w:hAnsi="Times New Roman" w:cs="Times New Roman"/>
          <w:noProof/>
          <w:sz w:val="24"/>
          <w:szCs w:val="24"/>
          <w:vertAlign w:val="superscript"/>
        </w:rPr>
        <w:footnoteReference w:id="42"/>
      </w:r>
      <w:r>
        <w:rPr>
          <w:rFonts w:ascii="Times New Roman" w:hAnsi="Times New Roman"/>
          <w:noProof/>
          <w:sz w:val="24"/>
        </w:rPr>
        <w:t xml:space="preserve">. Les États membres devraient rattraper leur retard grâce à des investissements similaires destinés à assurer l’approvisionnement en matériaux de base et à développer de nouvelles capacités industrielles. </w:t>
      </w:r>
    </w:p>
    <w:p w14:paraId="6BE83806" w14:textId="14EAA5A8" w:rsidR="00FC4E8C" w:rsidRPr="00BE24EF" w:rsidRDefault="6302CE59" w:rsidP="00C92318">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Dans le cadre du plan d’action du programme stratégique pour les applications utilisant des rayonnements ionisants à des fins médicales (SAMIRA)</w:t>
      </w:r>
      <w:r>
        <w:rPr>
          <w:rFonts w:ascii="Times New Roman" w:eastAsia="Times New Roman" w:hAnsi="Times New Roman" w:cs="Times New Roman"/>
          <w:noProof/>
          <w:sz w:val="24"/>
          <w:szCs w:val="24"/>
          <w:vertAlign w:val="superscript"/>
        </w:rPr>
        <w:footnoteReference w:id="43"/>
      </w:r>
      <w:r>
        <w:rPr>
          <w:rFonts w:ascii="Times New Roman" w:hAnsi="Times New Roman"/>
          <w:noProof/>
          <w:sz w:val="24"/>
        </w:rPr>
        <w:t>, la Commission a entamé un processus en vue de la mise en place de l’«initiative européenne relative à une “Vallée des radio-isotopes”» (ERVI) afin de garantir l’approvisionnement de l’UE en radio-isotopes à usage médical</w:t>
      </w:r>
      <w:r>
        <w:rPr>
          <w:rStyle w:val="FootnoteReference"/>
          <w:rFonts w:ascii="Times New Roman" w:eastAsia="Times New Roman" w:hAnsi="Times New Roman" w:cs="Times New Roman"/>
          <w:noProof/>
          <w:sz w:val="24"/>
          <w:szCs w:val="24"/>
        </w:rPr>
        <w:footnoteReference w:id="44"/>
      </w:r>
      <w:r>
        <w:rPr>
          <w:rFonts w:ascii="Times New Roman" w:hAnsi="Times New Roman"/>
          <w:noProof/>
          <w:sz w:val="24"/>
        </w:rPr>
        <w:t>.</w:t>
      </w:r>
    </w:p>
    <w:p w14:paraId="442B8A2D" w14:textId="255F97C5" w:rsidR="00AC0047" w:rsidRPr="00BE24EF" w:rsidRDefault="07E42912" w:rsidP="00972054">
      <w:pPr>
        <w:pStyle w:val="Heading1"/>
        <w:keepNext/>
        <w:ind w:left="431" w:hanging="431"/>
        <w:rPr>
          <w:noProof/>
        </w:rPr>
      </w:pPr>
      <w:r>
        <w:rPr>
          <w:noProof/>
        </w:rPr>
        <w:t>Indépendance stratégique et diversification</w:t>
      </w:r>
    </w:p>
    <w:p w14:paraId="0A7CB81C" w14:textId="1E6280CF" w:rsidR="00130D8D" w:rsidRPr="00BE24EF" w:rsidRDefault="0021487C" w:rsidP="00A00B56">
      <w:pPr>
        <w:pStyle w:val="ListNumber"/>
        <w:numPr>
          <w:ilvl w:val="0"/>
          <w:numId w:val="0"/>
        </w:numPr>
        <w:spacing w:after="160"/>
        <w:rPr>
          <w:noProof/>
        </w:rPr>
      </w:pPr>
      <w:r>
        <w:rPr>
          <w:noProof/>
        </w:rPr>
        <w:t xml:space="preserve">L’indépendance stratégique de l’UE est liée aux forces et aux vulnérabilités de la chaîne d’approvisionnement. Compte tenu des plans nationaux faisant appel à l’énergie nucléaire pour décarboner le système énergétique et préserver la sécurité énergétique, </w:t>
      </w:r>
      <w:r>
        <w:rPr>
          <w:b/>
          <w:noProof/>
        </w:rPr>
        <w:t>il est nécessaire de favoriser un écosystème compétitif de l’industrie nucléaire dans l’UE</w:t>
      </w:r>
      <w:r>
        <w:rPr>
          <w:noProof/>
        </w:rPr>
        <w:t>.</w:t>
      </w:r>
      <w:r>
        <w:rPr>
          <w:b/>
          <w:noProof/>
        </w:rPr>
        <w:t xml:space="preserve"> </w:t>
      </w:r>
    </w:p>
    <w:p w14:paraId="46DC4DF9" w14:textId="6C5D942F" w:rsidR="00F0223B" w:rsidRPr="00BE24EF" w:rsidRDefault="00F47D1C" w:rsidP="003F5282">
      <w:pPr>
        <w:pStyle w:val="Heading2"/>
        <w:keepNext/>
        <w:ind w:left="578" w:hanging="578"/>
        <w:rPr>
          <w:noProof/>
        </w:rPr>
      </w:pPr>
      <w:r>
        <w:rPr>
          <w:noProof/>
        </w:rPr>
        <w:t xml:space="preserve">Contrôle de la chaîne d’approvisionnement du cycle du combustible </w:t>
      </w:r>
    </w:p>
    <w:p w14:paraId="632A080A" w14:textId="3E509706" w:rsidR="00061E78" w:rsidRPr="00BE24EF" w:rsidRDefault="00061E78" w:rsidP="00F0223B">
      <w:pPr>
        <w:pStyle w:val="ListNumber"/>
        <w:numPr>
          <w:ilvl w:val="0"/>
          <w:numId w:val="0"/>
        </w:numPr>
        <w:spacing w:after="160"/>
        <w:rPr>
          <w:noProof/>
        </w:rPr>
      </w:pPr>
      <w:r>
        <w:rPr>
          <w:noProof/>
        </w:rPr>
        <w:t>Garantir la sécurité de l’approvisionnement du minerai au combustible nucléaire devrait rester un objectif stratégique des États membres disposant de programmes dans le domaine de l’énergie nucléaire, y compris par la suppression des dépendances actuelles et la prévention des dépendances à l’avenir. Tous les États membres devraient également tenir compte de l’importance stratégique de la sécurité de l’approvisionnement en radio-isotopes.</w:t>
      </w:r>
    </w:p>
    <w:p w14:paraId="0CA821F3" w14:textId="4052B14A" w:rsidR="00F0223B" w:rsidRPr="00BE24EF" w:rsidRDefault="0BE3AA6D" w:rsidP="00F0223B">
      <w:pPr>
        <w:pStyle w:val="ListNumber"/>
        <w:numPr>
          <w:ilvl w:val="0"/>
          <w:numId w:val="0"/>
        </w:numPr>
        <w:spacing w:after="160"/>
        <w:rPr>
          <w:b/>
          <w:bCs/>
          <w:noProof/>
        </w:rPr>
      </w:pPr>
      <w:r>
        <w:rPr>
          <w:noProof/>
        </w:rPr>
        <w:t xml:space="preserve">L’agression militaire injustifiée de la Russie contre l’Ukraine a perturbé le système d’approvisionnement mondial pour toutes les sources d’énergie. Elle a eu des répercussions sur le marché de l’UE tout au long de la chaîne d’approvisionnement en combustible nucléaire: en particulier, les services de conversion, d’enrichissement et de fabrication de combustible doivent faire l’objet d’une gestion stratégique; dans une moindre mesure, l’extraction d’uranium nécessite également une attention particulière. </w:t>
      </w:r>
    </w:p>
    <w:p w14:paraId="694D3225" w14:textId="466BAA7E" w:rsidR="00657670" w:rsidRPr="00BE24EF" w:rsidRDefault="5E2D68E3" w:rsidP="000F1C4E">
      <w:pPr>
        <w:pStyle w:val="ListNumber"/>
        <w:numPr>
          <w:ilvl w:val="0"/>
          <w:numId w:val="0"/>
        </w:numPr>
        <w:spacing w:after="160"/>
        <w:rPr>
          <w:noProof/>
        </w:rPr>
      </w:pPr>
      <w:r>
        <w:rPr>
          <w:noProof/>
        </w:rPr>
        <w:t>L’indépendance stratégique de l’UE est vulnérable dans la mesure où les services de conversion et d’enrichissement (tant à l’intérieur de nos frontières que chez les partenaires partageant nos valeurs) ne sont pas suffisants pour garantir un approvisionnement adéquat compte tenu des scénarios prévus d’expansion nucléaire. Dans le scénario du statu quo, la capacité d’offre de conversion de l’UE répondrait à peine à la demande prévue jusqu’en 2050, tandis que la capacité d’approvisionnement de l’UE en matière d’enrichissement devrait être marginalement suffisante, avec un déficit certain en ce qui concerne l’HALEU, particulièrement nécessaire pour certains PRM.</w:t>
      </w:r>
    </w:p>
    <w:p w14:paraId="1DEC2459" w14:textId="59AA3BFA" w:rsidR="000F1C4E" w:rsidRPr="00BE24EF" w:rsidRDefault="00FD64D4" w:rsidP="000F1C4E">
      <w:pPr>
        <w:pStyle w:val="ListNumber"/>
        <w:numPr>
          <w:ilvl w:val="0"/>
          <w:numId w:val="0"/>
        </w:numPr>
        <w:spacing w:after="160"/>
        <w:rPr>
          <w:rStyle w:val="normaltextrun"/>
          <w:noProof/>
          <w:color w:val="000000"/>
          <w:shd w:val="clear" w:color="auto" w:fill="FFFFFF"/>
        </w:rPr>
      </w:pPr>
      <w:r>
        <w:rPr>
          <w:noProof/>
        </w:rPr>
        <w:t>Les prix de la conversion et de l’enrichissement de l’uranium ont presque triplé entre février 2022 et décembre 2023. Les capacités de conversion et d’enrichissement dans l’UE doivent augmenter pour répondre à la demande et éviter toute dépendance à l’égard d’un fournisseur unique ou non fiable. Si des investissements dans de nouvelles capacités d’enrichissement ont été annoncés</w:t>
      </w:r>
      <w:r>
        <w:rPr>
          <w:noProof/>
          <w:vertAlign w:val="superscript"/>
          <w:lang w:val="en-IE"/>
        </w:rPr>
        <w:footnoteReference w:id="45"/>
      </w:r>
      <w:r>
        <w:rPr>
          <w:noProof/>
        </w:rPr>
        <w:t>, les investissements dans les capacités de conversion accusent du retard (voir figure 6). Les prestataires de services de conversion et d’enrichissement ont besoin d’engagements à long terme pour garantir ces investissements</w:t>
      </w:r>
      <w:r>
        <w:rPr>
          <w:rStyle w:val="normaltextrun"/>
          <w:noProof/>
          <w:color w:val="000000"/>
          <w:shd w:val="clear" w:color="auto" w:fill="FFFFFF"/>
        </w:rPr>
        <w:t>.</w:t>
      </w:r>
    </w:p>
    <w:p w14:paraId="580D9D9C" w14:textId="2C5509CB" w:rsidR="00A543F5" w:rsidRPr="00744942" w:rsidRDefault="006B1D69" w:rsidP="00744942">
      <w:pPr>
        <w:pStyle w:val="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6</w:t>
      </w:r>
      <w:r>
        <w:rPr>
          <w:noProof/>
        </w:rPr>
        <w:fldChar w:fldCharType="end"/>
      </w:r>
      <w:r>
        <w:rPr>
          <w:noProof/>
        </w:rPr>
        <w:t xml:space="preserve"> –</w:t>
      </w:r>
      <w:r>
        <w:rPr>
          <w:noProof/>
        </w:rPr>
        <w:tab/>
        <w:t>Demande mondiale de services de conversion par rapport aux projections de la capacité d’offre (tU d’UF</w:t>
      </w:r>
      <w:r>
        <w:rPr>
          <w:noProof/>
          <w:vertAlign w:val="subscript"/>
        </w:rPr>
        <w:t>6</w:t>
      </w:r>
      <w:r>
        <w:rPr>
          <w:noProof/>
        </w:rPr>
        <w:t xml:space="preserve"> par an).</w:t>
      </w:r>
    </w:p>
    <w:p w14:paraId="328F0D1F" w14:textId="34F73149" w:rsidR="00744942" w:rsidRPr="00BE24EF" w:rsidRDefault="00744942" w:rsidP="00A543F5">
      <w:pPr>
        <w:pStyle w:val="Text1"/>
        <w:rPr>
          <w:rFonts w:ascii="Arial" w:hAnsi="Arial" w:cs="Arial"/>
          <w:noProof/>
          <w:sz w:val="18"/>
          <w:szCs w:val="18"/>
        </w:rPr>
      </w:pPr>
      <w:r w:rsidRPr="00B53384">
        <w:rPr>
          <w:noProof/>
          <w:lang w:val="en-GB" w:eastAsia="en-GB"/>
        </w:rPr>
        <w:drawing>
          <wp:inline distT="0" distB="0" distL="0" distR="0" wp14:anchorId="0A2A7AE4" wp14:editId="77DFDBCA">
            <wp:extent cx="5731510" cy="3734435"/>
            <wp:effectExtent l="0" t="0" r="0" b="0"/>
            <wp:docPr id="15220457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3734435"/>
                    </a:xfrm>
                    <a:prstGeom prst="rect">
                      <a:avLst/>
                    </a:prstGeom>
                    <a:noFill/>
                    <a:ln>
                      <a:noFill/>
                    </a:ln>
                  </pic:spPr>
                </pic:pic>
              </a:graphicData>
            </a:graphic>
          </wp:inline>
        </w:drawing>
      </w:r>
    </w:p>
    <w:p w14:paraId="6F2D80A6" w14:textId="43F448DC" w:rsidR="00B64951" w:rsidRPr="00BE24EF" w:rsidRDefault="04B7773F" w:rsidP="00056E8D">
      <w:pPr>
        <w:pStyle w:val="ListNumber"/>
        <w:numPr>
          <w:ilvl w:val="0"/>
          <w:numId w:val="0"/>
        </w:numPr>
        <w:spacing w:after="160"/>
        <w:rPr>
          <w:noProof/>
        </w:rPr>
      </w:pPr>
      <w:r>
        <w:rPr>
          <w:noProof/>
        </w:rPr>
        <w:t>La plupart des centrales de l’UE peuvent acheter du combustible nucléaire auprès d’au moins deux fournisseurs alternatifs. Une exception: les réacteurs nucléaires de conception russes opérant dans l’UE (VVER), qui dépendaient d’une conception et d’un fournisseur uniques de combustible, ce qui est devenu une vulnérabilité pour la sécurité de l’approvisionnement</w:t>
      </w:r>
      <w:r>
        <w:rPr>
          <w:noProof/>
          <w:vertAlign w:val="superscript"/>
          <w:lang w:val="en-IE"/>
        </w:rPr>
        <w:footnoteReference w:id="46"/>
      </w:r>
      <w:r>
        <w:rPr>
          <w:noProof/>
        </w:rPr>
        <w:t>. Presque tous les exploitants de l’UE concernés ont pris des mesures pour diversifier l’approvisionnement en combustible nucléaire; d’autres sources d’approvisionnement en carburant VVER devraient être pleinement disponibles d’ici à 2027, dans l’attente de l’approbation de la réglementation.</w:t>
      </w:r>
    </w:p>
    <w:p w14:paraId="27F1D4BF" w14:textId="3F4B3C18" w:rsidR="00EC3CAB" w:rsidRPr="00BE24EF" w:rsidRDefault="00B76D14" w:rsidP="00EC3CAB">
      <w:pPr>
        <w:pStyle w:val="ListNumber"/>
        <w:numPr>
          <w:ilvl w:val="0"/>
          <w:numId w:val="0"/>
        </w:numPr>
        <w:spacing w:after="160"/>
        <w:rPr>
          <w:noProof/>
        </w:rPr>
      </w:pPr>
      <w:r>
        <w:rPr>
          <w:noProof/>
        </w:rPr>
        <w:t>L’extraction d’uranium dans l’UE a considérablement diminué au cours des dernières décennies, ce qui a entraîné une forte dépendance à l’égard des importations en provenance de cinq pays pour répondre aux besoins de la région en matière d’énergie nucléaire. Le marché mondial de l’uranium est confronté à des défis en raison de l’agression militaire injustifiée de la Russie contre l’Ukraine, du coup d’État au Niger, des problèmes de production, des difficultés de transport et du renforcement de la demande, qui ont influencé l’offre et les prévisions de demande qui exercent une pression à la hausse sur les prix de l’uranium.</w:t>
      </w:r>
    </w:p>
    <w:p w14:paraId="29FE6D10" w14:textId="5D0AB161" w:rsidR="001654C3" w:rsidRPr="00BE24EF" w:rsidRDefault="00C1368E">
      <w:pPr>
        <w:pStyle w:val="ListNumber"/>
        <w:numPr>
          <w:ilvl w:val="0"/>
          <w:numId w:val="0"/>
        </w:numPr>
        <w:rPr>
          <w:noProof/>
        </w:rPr>
      </w:pPr>
      <w:r>
        <w:rPr>
          <w:noProof/>
        </w:rPr>
        <w:t>La suppression progressive des approvisionnements provenant de partenaires non fiables est une nécessité pour garantir la sécurité économique de l’UE. La condition préalable serait de veiller à ce que des marchés sûrs et ouverts puissent compenser la capacité russe. Il est essentiel, dans ce contexte, de renforcer la coopération entre l’UE et des partenaires internationaux fiables. L’UE et plusieurs pays devraient se coordonner afin d’assurer la résilience de la chaîne d’approvisionnement nucléaire dans le but d’atteindre les objectifs présentés par la Commission dans la feuille de route en vue de mettre un terme aux importations d’énergie russe</w:t>
      </w:r>
      <w:r>
        <w:rPr>
          <w:rStyle w:val="FootnoteReference"/>
          <w:noProof/>
          <w:lang w:val="en-IE"/>
        </w:rPr>
        <w:footnoteReference w:id="47"/>
      </w:r>
      <w:r>
        <w:rPr>
          <w:noProof/>
        </w:rPr>
        <w:t xml:space="preserve">. </w:t>
      </w:r>
    </w:p>
    <w:p w14:paraId="5B6CB58A" w14:textId="7E06C110" w:rsidR="00F0223B" w:rsidRPr="00BE24EF" w:rsidRDefault="008A5024" w:rsidP="003F5282">
      <w:pPr>
        <w:pStyle w:val="Heading2"/>
        <w:keepNext/>
        <w:ind w:left="578" w:hanging="578"/>
        <w:rPr>
          <w:noProof/>
        </w:rPr>
      </w:pPr>
      <w:r>
        <w:rPr>
          <w:noProof/>
        </w:rPr>
        <w:t>Capacité de la chaîne d’approvisionnement du cycle de vie industriel</w:t>
      </w:r>
    </w:p>
    <w:p w14:paraId="747D612C" w14:textId="7235230B" w:rsidR="00F0223B" w:rsidRPr="00BE24EF" w:rsidRDefault="009A283A" w:rsidP="00F0223B">
      <w:pPr>
        <w:pStyle w:val="ListNumber"/>
        <w:numPr>
          <w:ilvl w:val="0"/>
          <w:numId w:val="0"/>
        </w:numPr>
        <w:spacing w:after="160"/>
        <w:rPr>
          <w:noProof/>
          <w:szCs w:val="24"/>
        </w:rPr>
      </w:pPr>
      <w:r>
        <w:rPr>
          <w:noProof/>
        </w:rPr>
        <w:t>La chaîne d’approvisionnement en énergie nucléaire dans l’UE a un caractère interne prononcé et devrait être en mesure de faire face à d’éventuelles perturbations à venir dues à l’évolution de la situation géopolitique et de la disponibilité des matières premières ou du changement climatique. Il est essentiel de maintenir une chaîne d’approvisionnement solide, fiable et interconnectée pour concrétiser la demande prévue de capacités nucléaires dans l’UE. Au cours des dernières décennies, la chaîne d’approvisionnement nucléaire de l’UE a été marquée par des tendances à la fois à la contraction et à la réorientation vers l’entretien et la modernisation plutôt que vers de nouvelles activités de construction.</w:t>
      </w:r>
    </w:p>
    <w:p w14:paraId="3109FA6D" w14:textId="752448B8" w:rsidR="003B1E1E" w:rsidRPr="00BE24EF" w:rsidRDefault="38239716">
      <w:pPr>
        <w:pStyle w:val="ListNumber"/>
        <w:numPr>
          <w:ilvl w:val="0"/>
          <w:numId w:val="0"/>
        </w:numPr>
        <w:spacing w:after="160"/>
        <w:rPr>
          <w:noProof/>
          <w:szCs w:val="24"/>
        </w:rPr>
      </w:pPr>
      <w:r>
        <w:rPr>
          <w:noProof/>
        </w:rPr>
        <w:t>Les projets actuels de nouvelles constructions dans l’UE impliquent que la chaîne d’approvisionnement accroisse ses capacités pour produire tous les composants nécessaires à une centrale nucléaire. Pour atteindre 60 GWe de nouvelles capacités nucléaires à grande échelle d’ici à 2050, les États membres et l’industrie risquent de devoir mener simultanément de nombreux projets de construction. Compte tenu de la longue durée des travaux de construction des centrales nucléaires à grande échelle, il faudrait que près de 15 grands réacteurs nucléaires — représentant une puissance cumulée d’environ 20 Gwe — soient construits au cours de 25 prochaines années. L’analyse de la Commission a mis en évidence des procédés de fabrication critiques, tels que le forgeage lourd, qui nécessitent une intervention immédiate</w:t>
      </w:r>
      <w:r>
        <w:rPr>
          <w:rStyle w:val="FootnoteReference"/>
          <w:noProof/>
          <w:szCs w:val="24"/>
          <w:lang w:val="en-IE"/>
        </w:rPr>
        <w:footnoteReference w:id="48"/>
      </w:r>
      <w:r>
        <w:rPr>
          <w:noProof/>
        </w:rPr>
        <w:t>. Rendre la chaîne d’approvisionnement en énergie nucléaire plus résiliente dans l’UE permettrait également de diversifier davantage les technologies nucléaires et le cycle du combustible qui y est associé.</w:t>
      </w:r>
    </w:p>
    <w:p w14:paraId="08C907B7" w14:textId="6BAD342B" w:rsidR="004D5676" w:rsidRPr="00BE24EF" w:rsidRDefault="008A5024" w:rsidP="003121CE">
      <w:pPr>
        <w:pStyle w:val="ListNumber"/>
        <w:numPr>
          <w:ilvl w:val="0"/>
          <w:numId w:val="0"/>
        </w:numPr>
        <w:spacing w:after="160"/>
        <w:rPr>
          <w:i/>
          <w:iCs/>
          <w:noProof/>
        </w:rPr>
      </w:pPr>
      <w:r>
        <w:rPr>
          <w:i/>
          <w:noProof/>
        </w:rPr>
        <w:t xml:space="preserve">Disponibilité de la main-d’œuvre et des compétences </w:t>
      </w:r>
    </w:p>
    <w:p w14:paraId="2339B021" w14:textId="4F921ACA" w:rsidR="004D5676" w:rsidRPr="00BE24EF" w:rsidRDefault="007048E8" w:rsidP="004D5676">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La</w:t>
      </w:r>
      <w:bookmarkStart w:id="20" w:name="_Hlk198749360"/>
      <w:r>
        <w:rPr>
          <w:rFonts w:ascii="Times New Roman" w:hAnsi="Times New Roman"/>
          <w:noProof/>
          <w:sz w:val="24"/>
        </w:rPr>
        <w:t xml:space="preserve"> forte demande de main-d’œuvre qualifiée concerne tous les aspects de l’écosystème nucléaire, notamment les ingénieurs et scientifiques nucléaires, les exploitants de centrales électriques, les techniciens et le personnel de réglementation</w:t>
      </w:r>
      <w:bookmarkEnd w:id="20"/>
      <w:r>
        <w:rPr>
          <w:rFonts w:ascii="Times New Roman" w:hAnsi="Times New Roman"/>
          <w:noProof/>
          <w:sz w:val="24"/>
        </w:rPr>
        <w:t>.</w:t>
      </w:r>
      <w:r>
        <w:rPr>
          <w:noProof/>
        </w:rPr>
        <w:t xml:space="preserve"> </w:t>
      </w:r>
      <w:r>
        <w:rPr>
          <w:rFonts w:ascii="Times New Roman" w:hAnsi="Times New Roman"/>
          <w:noProof/>
          <w:sz w:val="24"/>
        </w:rPr>
        <w:t>Les goulets d’étranglement imminents de la main-d’œuvre, exacerbés par le vieillissement de la main-d’œuvre et l’afflux insuffisant de jeunes professionnels, en raison du faible attrait du secteur et d’un déficit dans l’enseignement des sciences, des technologies, de l’ingénierie et des mathématiques (STIM), créent divers défis pour les autorités nucléaires et l’industrie de l’UE.</w:t>
      </w:r>
    </w:p>
    <w:p w14:paraId="2BE95FE1" w14:textId="69DC62B6" w:rsidR="00016A68" w:rsidRPr="00BE24EF" w:rsidRDefault="02D086ED" w:rsidP="009E73F1">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Une étude</w:t>
      </w:r>
      <w:r>
        <w:rPr>
          <w:rStyle w:val="FootnoteReference"/>
          <w:rFonts w:ascii="Times New Roman" w:eastAsia="Times New Roman" w:hAnsi="Times New Roman" w:cs="Times New Roman"/>
          <w:noProof/>
          <w:sz w:val="24"/>
          <w:szCs w:val="24"/>
        </w:rPr>
        <w:footnoteReference w:id="49"/>
      </w:r>
      <w:r>
        <w:rPr>
          <w:rFonts w:ascii="Times New Roman" w:hAnsi="Times New Roman"/>
          <w:noProof/>
          <w:sz w:val="24"/>
        </w:rPr>
        <w:t xml:space="preserve"> a estimé les besoins du secteur nucléaire de l’UE en matière d’emplois. </w:t>
      </w:r>
      <w:bookmarkStart w:id="21" w:name="_Hlk198749409"/>
      <w:r>
        <w:rPr>
          <w:rFonts w:ascii="Times New Roman" w:hAnsi="Times New Roman"/>
          <w:noProof/>
          <w:sz w:val="24"/>
        </w:rPr>
        <w:t>Entre 180 000 et 250 000 professionnels supplémentaires devront être engagés d’ici à 2050, en plus du remplacement des salariés partant à la retraite.</w:t>
      </w:r>
      <w:bookmarkEnd w:id="21"/>
      <w:r>
        <w:rPr>
          <w:rFonts w:ascii="Times New Roman" w:hAnsi="Times New Roman"/>
          <w:noProof/>
          <w:sz w:val="24"/>
        </w:rPr>
        <w:t xml:space="preserve"> Environ 100 000 à 150 000 professionnels pourraient être nécessaires pour couvrir la phase de construction des nouvelles centrales nucléaires prévues. De 40 000 à près de 65 000 professionnels supplémentaires sont nécessaires pour exploiter et entretenir les centrales nucléaires prévues. Enfin, le secteur du déclassement pourrait avoir besoin de 40 000 professionnels supplémentaires. Même dans un scénario d’absence de croissance (équivalant au scénario du statu quo), environ 100 000 personnes devraient encore être recrutées pour remplacer les travailleurs partant à la retraite. Il convient également d’accorder une attention particulière au secteur de la fusion afin de maintenir le rôle moteur de l’UE.</w:t>
      </w:r>
    </w:p>
    <w:p w14:paraId="201832B2" w14:textId="3B69E453" w:rsidR="004D5676" w:rsidRPr="00BE24EF" w:rsidRDefault="00B57DCB" w:rsidP="004D5676">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Ce défi nécessite une réponse à plusieurs niveaux, consistant à recenser les besoins en main</w:t>
      </w:r>
      <w:r w:rsidR="00F87215">
        <w:rPr>
          <w:rFonts w:ascii="Times New Roman" w:hAnsi="Times New Roman"/>
          <w:noProof/>
          <w:sz w:val="24"/>
        </w:rPr>
        <w:noBreakHyphen/>
      </w:r>
      <w:r>
        <w:rPr>
          <w:rFonts w:ascii="Times New Roman" w:hAnsi="Times New Roman"/>
          <w:noProof/>
          <w:sz w:val="24"/>
        </w:rPr>
        <w:t>d’œuvre, à renforcer l’éducation et la formation, à améliorer les communications, à offrir de meilleures conditions de travail et à soutenir la mobilité des travailleurs (provenant des industries voisines ou des pays tiers) et l’accès aux infrastructures de recherche nucléaire.</w:t>
      </w:r>
    </w:p>
    <w:p w14:paraId="5F6C78F5" w14:textId="6DBF1DF2" w:rsidR="00A90CA6" w:rsidRPr="00BE24EF" w:rsidRDefault="00A90CA6" w:rsidP="00A90CA6">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Si aucune action n’est entreprise, l’Europe connaîtra une pénurie de compétences et de main</w:t>
      </w:r>
      <w:r w:rsidR="00F87215">
        <w:rPr>
          <w:rFonts w:ascii="Times New Roman" w:hAnsi="Times New Roman"/>
          <w:noProof/>
          <w:sz w:val="24"/>
        </w:rPr>
        <w:noBreakHyphen/>
      </w:r>
      <w:r>
        <w:rPr>
          <w:rFonts w:ascii="Times New Roman" w:hAnsi="Times New Roman"/>
          <w:noProof/>
          <w:sz w:val="24"/>
        </w:rPr>
        <w:t>d’œuvre dans le secteur nucléaire, y compris pour certains organismes de contrôle. La situation pourrait même être pire dans les technologies de pointe telles que les PRM. La main</w:t>
      </w:r>
      <w:r w:rsidR="00F87215">
        <w:rPr>
          <w:rFonts w:ascii="Times New Roman" w:hAnsi="Times New Roman"/>
          <w:noProof/>
          <w:sz w:val="24"/>
        </w:rPr>
        <w:noBreakHyphen/>
      </w:r>
      <w:r>
        <w:rPr>
          <w:rFonts w:ascii="Times New Roman" w:hAnsi="Times New Roman"/>
          <w:noProof/>
          <w:sz w:val="24"/>
        </w:rPr>
        <w:t>d’œuvre a besoin d’un renouvellement, d’un rajeunissement et d’un transfert de compétences et d’expériences vers la prochaine génération. Si l’initiative d’attirer de nouveaux talents revient au secteur nucléaire, la Commission et les États membres peuvent soutenir ce processus, par exemple au moyen d’académies de l’industrie «zéro net» et par le renforcement de l’action d’appui à l’évaluation, au maintien et au développement des compétences stratégiques nécessaires au niveau de l’Union financée par le programme de recherche et de formation d’Euratom.</w:t>
      </w:r>
    </w:p>
    <w:p w14:paraId="0D2FFADF" w14:textId="752F1BF9" w:rsidR="001845D2" w:rsidRPr="00BE24EF" w:rsidRDefault="001845D2" w:rsidP="00A90CA6">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Le projet SKILLS4NUCLEAR</w:t>
      </w:r>
      <w:r>
        <w:rPr>
          <w:rStyle w:val="FootnoteReference"/>
          <w:rFonts w:ascii="Times New Roman" w:eastAsia="Times New Roman" w:hAnsi="Times New Roman" w:cs="Times New Roman"/>
          <w:noProof/>
          <w:sz w:val="24"/>
          <w:szCs w:val="24"/>
        </w:rPr>
        <w:footnoteReference w:id="50"/>
      </w:r>
      <w:r>
        <w:rPr>
          <w:rFonts w:ascii="Times New Roman" w:hAnsi="Times New Roman"/>
          <w:noProof/>
          <w:sz w:val="24"/>
        </w:rPr>
        <w:t>, lancé en 2025 avec un financement d’Euratom de 1,5 million d’EUR, vise à renforcer les capacités dans les domaines de la sûreté nucléaire, du déclassement, de la gestion des déchets, de la radioprotection et des applications médicales, tout en favorisant le développement de la main-d’œuvre axée sur l’industrie. En outre, le projet mettra en place un forum européen pour la main-d’œuvre et les compétences nucléaires afin de mettre à jour les programmes de formation sur la base des évolutions émergentes et d’élaborer des initiatives de reconversion et de perfectionnement professionnels pour les travailleurs.</w:t>
      </w:r>
    </w:p>
    <w:p w14:paraId="303D91FB" w14:textId="0B421F06" w:rsidR="009D043B" w:rsidRPr="00BE24EF" w:rsidRDefault="009D043B" w:rsidP="00A90CA6">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Il est capital de disposer d’infrastructures de recherche nucléaire européennes solides, car celles-ci soutiennent la recherche de pointe, favorisent l’innovation et renforcent les efforts de collaboration entre les États membres. Il s’agit notamment du développement et de la maintenance d’installations expérimentales, de plateformes de partage de données et de réseaux de recherche intégrés qui permettent aux scientifiques et aux ingénieurs de mener des études approfondies sur la sûreté nucléaire, les garanties, la gestion des déchets, l’énergie de fusion et le développement de technologies de réacteurs de nouvelle génération. Ces infrastructures permettent également à l’Europe de rester à la pointe de la science et de la technologie nucléaires, en maintenant l’avantage concurrentiel de l’Europe dans le paysage mondial de la recherche et en relevant les défis énergétiques et environnementaux à venir.</w:t>
      </w:r>
    </w:p>
    <w:p w14:paraId="7D08F7EA" w14:textId="686CBAD4" w:rsidR="00BB106D" w:rsidRPr="00BE24EF" w:rsidRDefault="00327A9A" w:rsidP="003F5282">
      <w:pPr>
        <w:pStyle w:val="Heading2"/>
        <w:keepNext/>
        <w:ind w:left="578" w:hanging="578"/>
        <w:rPr>
          <w:noProof/>
        </w:rPr>
      </w:pPr>
      <w:r>
        <w:rPr>
          <w:noProof/>
        </w:rPr>
        <w:t xml:space="preserve">Coopération internationale stratégique </w:t>
      </w:r>
    </w:p>
    <w:p w14:paraId="4391BB76" w14:textId="121CAB5F" w:rsidR="003F7624" w:rsidRPr="00BE24EF" w:rsidRDefault="4C17923F" w:rsidP="00BB106D">
      <w:pPr>
        <w:spacing w:before="100" w:after="100" w:line="240" w:lineRule="auto"/>
        <w:jc w:val="both"/>
        <w:rPr>
          <w:rFonts w:ascii="Times New Roman" w:hAnsi="Times New Roman"/>
          <w:noProof/>
          <w:kern w:val="0"/>
          <w:sz w:val="24"/>
          <w14:ligatures w14:val="none"/>
        </w:rPr>
      </w:pPr>
      <w:r>
        <w:rPr>
          <w:rFonts w:ascii="Times New Roman" w:hAnsi="Times New Roman"/>
          <w:noProof/>
          <w:sz w:val="24"/>
        </w:rPr>
        <w:t>Le cadre des relations extérieures d’Euratom est essentiel pour promouvoir les normes de sûreté nucléaire les plus élevées, faciliter les échanges de connaissances et de technologies et soutenir la chaîne d’approvisionnement nucléaire compétitive de l’UE, grâce à des partenariats prospectifs et à la coopération commerciale</w:t>
      </w:r>
      <w:r>
        <w:rPr>
          <w:rStyle w:val="FootnoteReference"/>
          <w:rFonts w:ascii="Times New Roman" w:eastAsia="Times New Roman" w:hAnsi="Times New Roman" w:cs="Times New Roman"/>
          <w:noProof/>
          <w:kern w:val="0"/>
          <w:sz w:val="24"/>
          <w:szCs w:val="24"/>
          <w:lang w:eastAsia="en-IE"/>
        </w:rPr>
        <w:footnoteReference w:id="51"/>
      </w:r>
      <w:r>
        <w:rPr>
          <w:rFonts w:ascii="Times New Roman" w:hAnsi="Times New Roman"/>
          <w:noProof/>
          <w:sz w:val="24"/>
        </w:rPr>
        <w:t>.</w:t>
      </w:r>
    </w:p>
    <w:p w14:paraId="33788E4A" w14:textId="019F81BF" w:rsidR="00BB106D" w:rsidRPr="00BE24EF" w:rsidRDefault="00535E04" w:rsidP="00017223">
      <w:pPr>
        <w:spacing w:before="100" w:after="10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vue de renforcer l’autonomie stratégique de l’UE, il est essentiel de réexaminer les accords de coopération existants ou d’en conclure de nouveaux. Ces accords peuvent également contribuer à renforcer le respect des normes nucléaires internationales et faciliter l’intégration de technologies émergentes et innovantes, telles que les PRM et l’énergie de fusion. </w:t>
      </w:r>
    </w:p>
    <w:p w14:paraId="1CEF8922" w14:textId="2F5DF255" w:rsidR="00C34692" w:rsidRPr="00BE24EF" w:rsidRDefault="2D392908" w:rsidP="00C34692">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Plus important encore, une coopération accrue entre l’UE et des partenaires fiables renforcera la sécurité d’approvisionnement des services du cycle de l’uranium et du combustible nucléaire et facilitera l’accès aux marchés pour la chaîne d’approvisionnement de l’UE afin de développer ses capacités industrielles.</w:t>
      </w:r>
    </w:p>
    <w:p w14:paraId="2546F562" w14:textId="4A3C2996" w:rsidR="00A90CA6" w:rsidRDefault="00A90CA6" w:rsidP="00C34692">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Afin de renforcer la coopération entre l’UE et des partenaires fiables, la Communauté Euratom devrait s’engager soit dans le renouvellement (par exemple avec le Canada ou le Kazakhstan), soit dans la négociation de nouveaux accords de coopération nucléaire et protocoles d’accord.</w:t>
      </w:r>
    </w:p>
    <w:p w14:paraId="57939E19" w14:textId="28E72544" w:rsidR="00230772" w:rsidRDefault="00FB4A5B" w:rsidP="000348AC">
      <w:pPr>
        <w:pStyle w:val="Heading2"/>
        <w:keepNext/>
        <w:ind w:left="578" w:hanging="578"/>
        <w:rPr>
          <w:noProof/>
        </w:rPr>
      </w:pPr>
      <w:r>
        <w:rPr>
          <w:noProof/>
        </w:rPr>
        <w:t>Rôle moteur dans la recherche et la formation</w:t>
      </w:r>
    </w:p>
    <w:p w14:paraId="722A4F69" w14:textId="2C2292B8" w:rsidR="00BB7617" w:rsidRPr="00BB7617" w:rsidRDefault="001041A5" w:rsidP="00F51C5E">
      <w:pPr>
        <w:spacing w:before="100" w:after="100" w:line="240" w:lineRule="auto"/>
        <w:jc w:val="both"/>
        <w:rPr>
          <w:rFonts w:ascii="Times New Roman" w:eastAsia="Times New Roman" w:hAnsi="Times New Roman" w:cs="Times New Roman"/>
          <w:noProof/>
          <w:sz w:val="24"/>
          <w:szCs w:val="24"/>
        </w:rPr>
      </w:pPr>
      <w:r>
        <w:rPr>
          <w:rFonts w:ascii="Times New Roman" w:hAnsi="Times New Roman"/>
          <w:noProof/>
          <w:sz w:val="24"/>
        </w:rPr>
        <w:t>La recherche publique et privée au niveau national contribue de manière significative au rôle moteur que joue l’UE dans le domaine des technologies nucléaires. Les efforts de recherche contribuent à assurer les normes les plus élevées en matière de sûreté et de garanties nucléaires lors de la construction de nouvelles centrales nucléaires ou de la prolongation de la durée de vie des centrales existantes. Euratom a pour tâche de compléter les contributions des États membres au moyen de son programme de recherche et de formation. Le programme pour la période 2021-2025 a permis de soutenir l’acquisition de connaissances essentielles</w:t>
      </w:r>
      <w:r>
        <w:rPr>
          <w:rStyle w:val="FootnoteReference"/>
          <w:rFonts w:ascii="Times New Roman" w:eastAsia="Times New Roman" w:hAnsi="Times New Roman" w:cs="Times New Roman"/>
          <w:noProof/>
          <w:sz w:val="24"/>
          <w:szCs w:val="24"/>
        </w:rPr>
        <w:footnoteReference w:id="52"/>
      </w:r>
      <w:r>
        <w:rPr>
          <w:rFonts w:ascii="Times New Roman" w:hAnsi="Times New Roman"/>
          <w:noProof/>
          <w:sz w:val="24"/>
        </w:rPr>
        <w:t xml:space="preserve"> pour les États membres qui prévoient d’utiliser l’énergie nucléaire et pour ceux qui ont besoin d’être assurés que les centrales nucléaires des pays voisins respectent les normes de sûreté les plus élevées. Le public devrait également bénéficier de la recherche financée par Euratom relatives à d’autres applications des rayonnements ionisants, en particulier en médecine. La proposition de la Commission établissant le programme Euratom pour la période 2028-2032</w:t>
      </w:r>
      <w:r>
        <w:rPr>
          <w:rStyle w:val="FootnoteReference"/>
          <w:rFonts w:ascii="Times New Roman" w:eastAsia="Times New Roman" w:hAnsi="Times New Roman" w:cs="Times New Roman"/>
          <w:noProof/>
          <w:sz w:val="24"/>
          <w:szCs w:val="24"/>
        </w:rPr>
        <w:footnoteReference w:id="53"/>
      </w:r>
      <w:r>
        <w:rPr>
          <w:rFonts w:ascii="Times New Roman" w:hAnsi="Times New Roman"/>
          <w:noProof/>
          <w:sz w:val="24"/>
        </w:rPr>
        <w:t xml:space="preserve"> vise à accroître le financement de la recherche sur des technologies nucléaires sûres et innovantes en faveur d’une Union prospère, résiliente et durable.</w:t>
      </w:r>
    </w:p>
    <w:p w14:paraId="3824403A" w14:textId="5D2A3397" w:rsidR="00DE0FAE" w:rsidRPr="00BE24EF" w:rsidRDefault="004A5D89" w:rsidP="003762C9">
      <w:pPr>
        <w:pStyle w:val="Heading1"/>
        <w:keepNext/>
        <w:ind w:left="431" w:hanging="431"/>
        <w:rPr>
          <w:noProof/>
        </w:rPr>
      </w:pPr>
      <w:r>
        <w:rPr>
          <w:noProof/>
        </w:rPr>
        <w:t>Se préparer à un avenir avec la fusion nucléaire</w:t>
      </w:r>
    </w:p>
    <w:p w14:paraId="101B88AD" w14:textId="4314173E" w:rsidR="001B24BD" w:rsidRPr="00BE24EF" w:rsidRDefault="308D7FF4" w:rsidP="00C92318">
      <w:pPr>
        <w:pStyle w:val="MyCustomStyle"/>
        <w:spacing w:before="0" w:after="160"/>
        <w:rPr>
          <w:noProof/>
        </w:rPr>
      </w:pPr>
      <w:r>
        <w:rPr>
          <w:noProof/>
        </w:rPr>
        <w:t xml:space="preserve">Le </w:t>
      </w:r>
      <w:bookmarkStart w:id="22" w:name="_Hlk198749604"/>
      <w:r>
        <w:rPr>
          <w:noProof/>
        </w:rPr>
        <w:t>projet phare de</w:t>
      </w:r>
      <w:r>
        <w:rPr>
          <w:rStyle w:val="normaltextrun"/>
          <w:noProof/>
          <w:color w:val="000000"/>
          <w:shd w:val="clear" w:color="auto" w:fill="FFFFFF"/>
        </w:rPr>
        <w:t xml:space="preserve"> l’UE</w:t>
      </w:r>
      <w:r>
        <w:rPr>
          <w:noProof/>
        </w:rPr>
        <w:t>, ITER, basé en France, est la plus grande expérience de fusion au monde visant à démontrer la faisabilité scientifique et technologique de la fusion</w:t>
      </w:r>
      <w:bookmarkEnd w:id="22"/>
      <w:r>
        <w:rPr>
          <w:noProof/>
        </w:rPr>
        <w:t>. En tant que moteur majeur de l’innovation, ITER apporte les connaissances et la base industrielle qui sont essentielles au développement de la première centrale électrique à fusion de démonstration dans l’UE.</w:t>
      </w:r>
    </w:p>
    <w:p w14:paraId="0F6AAF49" w14:textId="7761F79D" w:rsidR="00E3251F" w:rsidRPr="00BE24EF" w:rsidRDefault="001B24BD" w:rsidP="00E3251F">
      <w:pPr>
        <w:pStyle w:val="MyCustomStyle"/>
        <w:spacing w:before="0" w:after="160"/>
        <w:rPr>
          <w:noProof/>
        </w:rPr>
      </w:pPr>
      <w:bookmarkStart w:id="23" w:name="_Hlk198749592"/>
      <w:r>
        <w:rPr>
          <w:noProof/>
        </w:rPr>
        <w:t>Il est très important d’ancrer les nouveaux investissements en faveur d’ITER</w:t>
      </w:r>
      <w:bookmarkEnd w:id="23"/>
      <w:r>
        <w:rPr>
          <w:noProof/>
        </w:rPr>
        <w:t xml:space="preserve"> – et de la fusion en général – dans une action européenne plus large visant à maîtriser la fusion non seulement en tant que domaine de recherche, mais aussi en tant qu’outil d’indépendance énergétique à long terme, de décarbonation et de compétitivité industrielle européenne à moyen terme. Les partenariats public-privé peuvent accélérer la commercialisation de l’énergie de fusion en tirant parti des atouts des deux secteurs. Il sera nécessaire de poursuivre les dépenses consacrées au développement d’un cycle du combustible pour les technologies de fusion et à la réduction des lacunes technologiques, parallèlement à la définition et à la mise en œuvre, si nécessaire, d’un cadre réglementaire différencié et proportionné pour les installations de fusion.</w:t>
      </w:r>
    </w:p>
    <w:p w14:paraId="1A97C4E7" w14:textId="0DDD34C2" w:rsidR="482D43F5" w:rsidRPr="00BE24EF" w:rsidRDefault="482D43F5" w:rsidP="6256DB12">
      <w:pPr>
        <w:pStyle w:val="MyCustomStyle"/>
        <w:spacing w:before="0" w:after="160"/>
        <w:rPr>
          <w:noProof/>
        </w:rPr>
      </w:pPr>
      <w:r>
        <w:rPr>
          <w:noProof/>
        </w:rPr>
        <w:t>Dans l’esprit du rapport Draghi et comme annoncé dans le plan d’action pour une énergie abordable, la Commission prépare une stratégie globale de l’UE pour la fusion, qui confirmera le statut d’ITER en tant que pierre angulaire en vue d’accélérer le développement à long terme de l’énergie de fusion.</w:t>
      </w:r>
    </w:p>
    <w:p w14:paraId="397F243A" w14:textId="261F188A" w:rsidR="002247CE" w:rsidRPr="00BE24EF" w:rsidRDefault="002247CE" w:rsidP="6256DB12">
      <w:pPr>
        <w:pStyle w:val="MyCustomStyle"/>
        <w:spacing w:before="0" w:after="160"/>
        <w:rPr>
          <w:noProof/>
        </w:rPr>
      </w:pPr>
      <w:r>
        <w:rPr>
          <w:noProof/>
        </w:rPr>
        <w:t>Ces développements sont soutenus par la recherche et le développement technologiques menés par le partenariat européen EUROfusion</w:t>
      </w:r>
      <w:r>
        <w:rPr>
          <w:rStyle w:val="FootnoteReference"/>
          <w:noProof/>
        </w:rPr>
        <w:footnoteReference w:id="54"/>
      </w:r>
      <w:r>
        <w:rPr>
          <w:noProof/>
        </w:rPr>
        <w:t xml:space="preserve"> et par Fusion for Energy (F4E), cofinancés par Euratom. Le déploiement commercial de l’énergie de fusion devrait être accéléré en renforçant la grande communauté de la fusion réunie au sein du groupe d’experts sur la fusion et la plateforme européenne des parties prenantes de la fusion, ainsi qu’en lançant un partenariat public-privé avec l’industrie et en soutenant de jeunes pousses dans le domaine de la fusion.</w:t>
      </w:r>
    </w:p>
    <w:p w14:paraId="2BAC5BF4" w14:textId="048E1D67" w:rsidR="004C5C84" w:rsidRPr="00BE24EF" w:rsidRDefault="59812E20" w:rsidP="00703D00">
      <w:pPr>
        <w:pStyle w:val="Heading1"/>
        <w:keepNext/>
        <w:ind w:left="431" w:hanging="431"/>
        <w:rPr>
          <w:noProof/>
          <w:kern w:val="0"/>
          <w14:ligatures w14:val="none"/>
        </w:rPr>
      </w:pPr>
      <w:r>
        <w:rPr>
          <w:noProof/>
        </w:rPr>
        <w:t>Conclusions</w:t>
      </w:r>
    </w:p>
    <w:p w14:paraId="07588248" w14:textId="66977F99" w:rsidR="00880E39" w:rsidRPr="00BE24EF" w:rsidRDefault="79C0B482" w:rsidP="00520403">
      <w:pPr>
        <w:spacing w:before="100" w:after="10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Étant donné que plusieurs pays de l’UE ont choisi de recourir à l’énergie nucléaire, celle-ci continuera de jouer un rôle important dans le système énergétique diversifié de l’UE. Il est donc essentiel de garantir son intégration sûre, efficace et durable et de tirer parti de tous les avantages que peut apporter l’énergie nucléaire, notamment l’intégration du système. </w:t>
      </w:r>
    </w:p>
    <w:p w14:paraId="48ECF224" w14:textId="0792AC40" w:rsidR="00132867" w:rsidRPr="00BE24EF" w:rsidRDefault="60B74006" w:rsidP="00132867">
      <w:pPr>
        <w:spacing w:before="100" w:after="100" w:line="240" w:lineRule="auto"/>
        <w:jc w:val="both"/>
        <w:rPr>
          <w:rFonts w:ascii="Times New Roman" w:eastAsia="Times New Roman" w:hAnsi="Times New Roman" w:cs="Times New Roman"/>
          <w:noProof/>
          <w:sz w:val="24"/>
          <w:szCs w:val="24"/>
        </w:rPr>
      </w:pPr>
      <w:bookmarkStart w:id="24" w:name="_Hlk198749709"/>
      <w:r>
        <w:rPr>
          <w:rFonts w:ascii="Times New Roman" w:hAnsi="Times New Roman"/>
          <w:noProof/>
          <w:sz w:val="24"/>
        </w:rPr>
        <w:t xml:space="preserve">Tous les projets d’investissement dans l’industrie nucléaire de l’UE doivent respecter les normes les plus élevées en matière de sûreté nucléaire, de radioprotection, de gestion des déchets radioactifs et de garanties applicables dans l’UE. </w:t>
      </w:r>
      <w:bookmarkEnd w:id="24"/>
      <w:r>
        <w:rPr>
          <w:rFonts w:ascii="Times New Roman" w:hAnsi="Times New Roman"/>
          <w:noProof/>
          <w:sz w:val="24"/>
        </w:rPr>
        <w:t>Les nouveaux projets nucléaires doivent respecter les objectifs de sûreté les plus élevés, en veillant à ce que la conception innovante des réacteurs réponde à ces exigences strictes. Les États membres devraient intensifier leurs efforts en vue de fournir des solutions à long terme pour la gestion des déchets radioactifs de haute activité et du combustible usé.</w:t>
      </w:r>
    </w:p>
    <w:p w14:paraId="3193E736" w14:textId="17A24954" w:rsidR="00520403" w:rsidRPr="00BE24EF" w:rsidRDefault="45310F42" w:rsidP="00520403">
      <w:pPr>
        <w:spacing w:before="100" w:after="100" w:line="240" w:lineRule="auto"/>
        <w:jc w:val="both"/>
        <w:rPr>
          <w:rFonts w:ascii="Times New Roman" w:eastAsia="Times New Roman" w:hAnsi="Times New Roman" w:cs="Times New Roman"/>
          <w:noProof/>
          <w:sz w:val="24"/>
          <w:szCs w:val="24"/>
        </w:rPr>
      </w:pPr>
      <w:r>
        <w:rPr>
          <w:rFonts w:ascii="Times New Roman" w:hAnsi="Times New Roman"/>
          <w:noProof/>
          <w:sz w:val="24"/>
        </w:rPr>
        <w:t>En 2050, un large éventail de concrétisations est prévu en ce qui concerne la capacité installée réelle. Les prolongations de durée de vie effectuées dans des conditions de sécurité strictes et les nouvelles installations seront essentielles, de même que la capacité de l’industrie à fournir des résultats dans les délais et en respectant les budgets.</w:t>
      </w:r>
    </w:p>
    <w:p w14:paraId="493D0D00" w14:textId="388DAC81" w:rsidR="00B409B8" w:rsidRPr="00BE24EF" w:rsidRDefault="003D2154" w:rsidP="008C43D1">
      <w:pPr>
        <w:spacing w:before="100" w:after="10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Des investissements importants sont nécessaires pour l’ensemble du cycle de vie nucléaire jusqu’en 2050. Par rapport au PINC publié précédemment, la Commission n’a pas observé de changement significatif dans les montants d’investissement envisagés, mais les plans sont plus articulés et diversifiés, en ce qui concerne les technologies innovantes et l’écosystème industriel complet. Il convient d’accorder une attention particulière au développement et au déploiement effectif des PRM, de renforcer la résilience de la chaîne d’approvisionnement, de garantir une capacité de conversion et d’enrichissement suffisante, diversifiée et souveraine dans l’UE, de renforcer la capacité réglementaire, la recherche et la main-d’œuvre et de parvenir à un approvisionnement sûr en radio-isotopes médicaux. </w:t>
      </w:r>
    </w:p>
    <w:p w14:paraId="4730ED73" w14:textId="078A8971" w:rsidR="007048E8" w:rsidRPr="006B3BDD" w:rsidRDefault="54B5AD1E" w:rsidP="009035AB">
      <w:pPr>
        <w:pStyle w:val="ListNumber"/>
        <w:numPr>
          <w:ilvl w:val="0"/>
          <w:numId w:val="0"/>
        </w:numPr>
        <w:spacing w:after="160"/>
        <w:rPr>
          <w:noProof/>
        </w:rPr>
      </w:pPr>
      <w:r>
        <w:rPr>
          <w:noProof/>
        </w:rPr>
        <w:t>Pour prospérer, la chaîne d’approvisionnement nucléaire de l’UE a besoin d’engagements stables à long terme, de niveaux de normalisation plus élevés et d’une coopération renforcée. Il est essentiel d’investir dans la compétitivité de l’industrie nucléaire de l’UE et de renforcer sa chaîne d’approvisionnement, avec l’ambition d’opérer dans le monde entier.</w:t>
      </w:r>
    </w:p>
    <w:sectPr w:rsidR="007048E8" w:rsidRPr="006B3BDD" w:rsidSect="006C350D">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D1C81B" w14:textId="77777777" w:rsidR="00335645" w:rsidRDefault="00335645" w:rsidP="004D63A1">
      <w:pPr>
        <w:spacing w:after="0" w:line="240" w:lineRule="auto"/>
      </w:pPr>
      <w:r>
        <w:separator/>
      </w:r>
    </w:p>
  </w:endnote>
  <w:endnote w:type="continuationSeparator" w:id="0">
    <w:p w14:paraId="159EBFB6" w14:textId="77777777" w:rsidR="00335645" w:rsidRDefault="00335645" w:rsidP="004D63A1">
      <w:pPr>
        <w:spacing w:after="0" w:line="240" w:lineRule="auto"/>
      </w:pPr>
      <w:r>
        <w:continuationSeparator/>
      </w:r>
    </w:p>
  </w:endnote>
  <w:endnote w:type="continuationNotice" w:id="1">
    <w:p w14:paraId="16E9B203" w14:textId="77777777" w:rsidR="00335645" w:rsidRDefault="003356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DDF45" w14:textId="13040057" w:rsidR="00556E1C" w:rsidRPr="00556E1C" w:rsidRDefault="00556E1C" w:rsidP="00556E1C">
    <w:pPr>
      <w:pStyle w:val="FooterCoverPage"/>
      <w:rPr>
        <w:rFonts w:ascii="Arial" w:hAnsi="Arial" w:cs="Arial"/>
        <w:b/>
        <w:sz w:val="48"/>
      </w:rPr>
    </w:pPr>
    <w:r w:rsidRPr="00556E1C">
      <w:rPr>
        <w:rFonts w:ascii="Arial" w:hAnsi="Arial" w:cs="Arial"/>
        <w:b/>
        <w:sz w:val="48"/>
      </w:rPr>
      <w:t>FR</w:t>
    </w:r>
    <w:r w:rsidRPr="00556E1C">
      <w:rPr>
        <w:rFonts w:ascii="Arial" w:hAnsi="Arial" w:cs="Arial"/>
        <w:b/>
        <w:sz w:val="48"/>
      </w:rPr>
      <w:tab/>
    </w:r>
    <w:r w:rsidRPr="00556E1C">
      <w:rPr>
        <w:rFonts w:ascii="Arial" w:hAnsi="Arial" w:cs="Arial"/>
        <w:b/>
        <w:sz w:val="48"/>
      </w:rPr>
      <w:tab/>
    </w:r>
    <w:r w:rsidRPr="00556E1C">
      <w:tab/>
    </w:r>
    <w:r w:rsidRPr="00556E1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CE517" w14:textId="44EE79F8" w:rsidR="00556E1C" w:rsidRPr="00556E1C" w:rsidRDefault="00556E1C" w:rsidP="00556E1C">
    <w:pPr>
      <w:pStyle w:val="FooterCoverPage"/>
      <w:rPr>
        <w:rFonts w:ascii="Arial" w:hAnsi="Arial" w:cs="Arial"/>
        <w:b/>
        <w:sz w:val="48"/>
      </w:rPr>
    </w:pPr>
    <w:r w:rsidRPr="00556E1C">
      <w:rPr>
        <w:rFonts w:ascii="Arial" w:hAnsi="Arial" w:cs="Arial"/>
        <w:b/>
        <w:sz w:val="48"/>
      </w:rPr>
      <w:t>FR</w:t>
    </w:r>
    <w:r w:rsidRPr="00556E1C">
      <w:rPr>
        <w:rFonts w:ascii="Arial" w:hAnsi="Arial" w:cs="Arial"/>
        <w:b/>
        <w:sz w:val="48"/>
      </w:rPr>
      <w:tab/>
    </w:r>
    <w:r w:rsidRPr="00556E1C">
      <w:rPr>
        <w:rFonts w:ascii="Arial" w:hAnsi="Arial" w:cs="Arial"/>
        <w:b/>
        <w:sz w:val="48"/>
      </w:rPr>
      <w:tab/>
    </w:r>
    <w:r w:rsidRPr="00556E1C">
      <w:tab/>
    </w:r>
    <w:r w:rsidRPr="00556E1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CC2D0" w14:textId="77777777" w:rsidR="00556E1C" w:rsidRPr="00556E1C" w:rsidRDefault="00556E1C" w:rsidP="00556E1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E898B" w14:textId="77777777" w:rsidR="006C350D" w:rsidRDefault="006C35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3876306"/>
      <w:docPartObj>
        <w:docPartGallery w:val="Page Numbers (Bottom of Page)"/>
        <w:docPartUnique/>
      </w:docPartObj>
    </w:sdtPr>
    <w:sdtEndPr>
      <w:rPr>
        <w:rFonts w:ascii="Times New Roman" w:hAnsi="Times New Roman" w:cs="Times New Roman"/>
        <w:noProof/>
      </w:rPr>
    </w:sdtEndPr>
    <w:sdtContent>
      <w:p w14:paraId="55C91017" w14:textId="0334D841" w:rsidR="006C350D" w:rsidRPr="002D295B" w:rsidRDefault="006C350D">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556E1C">
          <w:rPr>
            <w:rFonts w:ascii="Times New Roman" w:hAnsi="Times New Roman" w:cs="Times New Roman"/>
            <w:noProof/>
          </w:rPr>
          <w:t>1</w:t>
        </w:r>
        <w:r>
          <w:rPr>
            <w:rFonts w:ascii="Times New Roman" w:hAnsi="Times New Roman" w:cs="Times New Roman"/>
          </w:rPr>
          <w:fldChar w:fldCharType="end"/>
        </w:r>
      </w:p>
    </w:sdtContent>
  </w:sdt>
  <w:p w14:paraId="1D7B2D21" w14:textId="77777777" w:rsidR="006C350D" w:rsidRDefault="006C350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ABA14" w14:textId="77777777" w:rsidR="006C350D" w:rsidRDefault="006C3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191547" w14:textId="77777777" w:rsidR="00335645" w:rsidRDefault="00335645" w:rsidP="004D63A1">
      <w:pPr>
        <w:spacing w:after="0" w:line="240" w:lineRule="auto"/>
      </w:pPr>
      <w:r>
        <w:separator/>
      </w:r>
    </w:p>
  </w:footnote>
  <w:footnote w:type="continuationSeparator" w:id="0">
    <w:p w14:paraId="148A0F45" w14:textId="77777777" w:rsidR="00335645" w:rsidRDefault="00335645" w:rsidP="004D63A1">
      <w:pPr>
        <w:spacing w:after="0" w:line="240" w:lineRule="auto"/>
      </w:pPr>
      <w:r>
        <w:continuationSeparator/>
      </w:r>
    </w:p>
  </w:footnote>
  <w:footnote w:type="continuationNotice" w:id="1">
    <w:p w14:paraId="1B9D78DF" w14:textId="77777777" w:rsidR="00335645" w:rsidRDefault="00335645">
      <w:pPr>
        <w:spacing w:after="0" w:line="240" w:lineRule="auto"/>
      </w:pPr>
    </w:p>
  </w:footnote>
  <w:footnote w:id="2">
    <w:p w14:paraId="4A1A5B8E" w14:textId="6287FD99" w:rsidR="00BE2365" w:rsidRPr="00F87215" w:rsidRDefault="00BE2365" w:rsidP="00BE2365">
      <w:pPr>
        <w:pStyle w:val="FootnoteText"/>
        <w:ind w:left="567" w:hanging="567"/>
        <w:jc w:val="both"/>
        <w:rPr>
          <w:rFonts w:ascii="Times New Roman" w:eastAsia="Times New Roman" w:hAnsi="Times New Roman" w:cs="Times New Roman"/>
          <w:lang w:val="en-US"/>
        </w:rPr>
      </w:pPr>
      <w:r>
        <w:rPr>
          <w:rFonts w:ascii="Times New Roman" w:hAnsi="Times New Roman" w:cs="Times New Roman"/>
          <w:vertAlign w:val="superscript"/>
        </w:rPr>
        <w:footnoteRef/>
      </w:r>
      <w:r w:rsidRPr="00F87215">
        <w:rPr>
          <w:rFonts w:ascii="Times New Roman" w:hAnsi="Times New Roman"/>
          <w:lang w:val="en-US"/>
        </w:rPr>
        <w:t xml:space="preserve"> </w:t>
      </w:r>
      <w:r w:rsidRPr="00F87215">
        <w:rPr>
          <w:lang w:val="en-US"/>
        </w:rPr>
        <w:tab/>
      </w:r>
      <w:r w:rsidRPr="00F87215">
        <w:rPr>
          <w:rFonts w:ascii="Times New Roman" w:hAnsi="Times New Roman"/>
          <w:lang w:val="en-US"/>
        </w:rPr>
        <w:t xml:space="preserve">COM(2025) 85 final. </w:t>
      </w:r>
    </w:p>
  </w:footnote>
  <w:footnote w:id="3">
    <w:p w14:paraId="53678078" w14:textId="4C2F312A" w:rsidR="00BE2365" w:rsidRPr="00F87215" w:rsidRDefault="00BE2365" w:rsidP="00BE2365">
      <w:pPr>
        <w:pStyle w:val="FootnoteText"/>
        <w:ind w:left="567" w:hanging="567"/>
        <w:jc w:val="both"/>
        <w:rPr>
          <w:rFonts w:ascii="Times New Roman" w:eastAsia="Times New Roman" w:hAnsi="Times New Roman" w:cs="Times New Roman"/>
          <w:lang w:val="en-US"/>
        </w:rPr>
      </w:pPr>
      <w:r>
        <w:rPr>
          <w:rFonts w:ascii="Times New Roman" w:hAnsi="Times New Roman" w:cs="Times New Roman"/>
          <w:vertAlign w:val="superscript"/>
        </w:rPr>
        <w:footnoteRef/>
      </w:r>
      <w:r w:rsidRPr="00F87215">
        <w:rPr>
          <w:rFonts w:ascii="Times New Roman" w:hAnsi="Times New Roman"/>
          <w:lang w:val="en-US"/>
        </w:rPr>
        <w:t xml:space="preserve"> </w:t>
      </w:r>
      <w:r w:rsidRPr="00F87215">
        <w:rPr>
          <w:lang w:val="en-US"/>
        </w:rPr>
        <w:tab/>
      </w:r>
      <w:r w:rsidRPr="00F87215">
        <w:rPr>
          <w:rFonts w:ascii="Times New Roman" w:hAnsi="Times New Roman"/>
          <w:lang w:val="en-US"/>
        </w:rPr>
        <w:t>COM(2025) 79 final.</w:t>
      </w:r>
    </w:p>
  </w:footnote>
  <w:footnote w:id="4">
    <w:p w14:paraId="4A9C2526" w14:textId="7D2B3CFB" w:rsidR="00BC3846" w:rsidRPr="00F87215" w:rsidRDefault="00465C92" w:rsidP="00465C92">
      <w:pPr>
        <w:pStyle w:val="FootnoteText"/>
        <w:ind w:left="567" w:hanging="567"/>
        <w:jc w:val="both"/>
        <w:rPr>
          <w:rFonts w:ascii="Times New Roman" w:eastAsia="Times New Roman" w:hAnsi="Times New Roman" w:cs="Times New Roman"/>
          <w:lang w:val="en-US"/>
        </w:rPr>
      </w:pPr>
      <w:r>
        <w:rPr>
          <w:rFonts w:ascii="Times New Roman" w:hAnsi="Times New Roman" w:cs="Times New Roman"/>
          <w:vertAlign w:val="superscript"/>
        </w:rPr>
        <w:footnoteRef/>
      </w:r>
      <w:r w:rsidRPr="00F87215">
        <w:rPr>
          <w:lang w:val="en-US"/>
        </w:rPr>
        <w:tab/>
      </w:r>
      <w:hyperlink r:id="rId1" w:history="1">
        <w:r w:rsidRPr="00F87215">
          <w:rPr>
            <w:rFonts w:ascii="Times New Roman" w:hAnsi="Times New Roman"/>
            <w:lang w:val="en-US"/>
          </w:rPr>
          <w:t>COM(2024) 63 final</w:t>
        </w:r>
      </w:hyperlink>
      <w:r w:rsidRPr="00F87215">
        <w:rPr>
          <w:rFonts w:ascii="Times New Roman" w:hAnsi="Times New Roman"/>
          <w:lang w:val="en-US"/>
        </w:rPr>
        <w:t>.</w:t>
      </w:r>
    </w:p>
  </w:footnote>
  <w:footnote w:id="5">
    <w:p w14:paraId="2567B2F1" w14:textId="1B304828" w:rsidR="00BC3846" w:rsidRPr="006B3BDD" w:rsidRDefault="00465C92" w:rsidP="00465C92">
      <w:pPr>
        <w:pStyle w:val="FootnoteText"/>
        <w:ind w:left="567" w:hanging="567"/>
        <w:jc w:val="both"/>
        <w:rPr>
          <w:rFonts w:ascii="Times New Roman" w:eastAsia="Times New Roman" w:hAnsi="Times New Roman" w:cs="Times New Roman"/>
        </w:rPr>
      </w:pPr>
      <w:r>
        <w:rPr>
          <w:rFonts w:ascii="Times New Roman" w:eastAsia="Times New Roman" w:hAnsi="Times New Roman" w:cs="Times New Roman"/>
          <w:vertAlign w:val="superscript"/>
        </w:rPr>
        <w:footnoteRef/>
      </w:r>
      <w:r>
        <w:tab/>
      </w:r>
      <w:r>
        <w:rPr>
          <w:rFonts w:ascii="Times New Roman" w:hAnsi="Times New Roman"/>
        </w:rPr>
        <w:t>Article 194 du traité sur le fonctionnement de l’Union européenne (TFUE).</w:t>
      </w:r>
    </w:p>
  </w:footnote>
  <w:footnote w:id="6">
    <w:p w14:paraId="22AEDBD0" w14:textId="77777777" w:rsidR="008C2AA1" w:rsidRPr="006C350D" w:rsidRDefault="008C2AA1" w:rsidP="008C2AA1">
      <w:pPr>
        <w:pStyle w:val="FootnoteText"/>
        <w:ind w:left="567" w:hanging="567"/>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sidRPr="00F87215">
        <w:rPr>
          <w:rFonts w:ascii="Times New Roman" w:hAnsi="Times New Roman" w:cs="Times New Roman"/>
        </w:rPr>
        <w:t xml:space="preserve">COM(2025) 440 final, </w:t>
      </w:r>
      <w:hyperlink r:id="rId2" w:history="1">
        <w:r w:rsidRPr="00F87215">
          <w:rPr>
            <w:rFonts w:ascii="Times New Roman" w:hAnsi="Times New Roman" w:cs="Times New Roman"/>
          </w:rPr>
          <w:t>EUR-Lex - 52025DC0440 - FR - EUR-Lex (europa.eu)</w:t>
        </w:r>
      </w:hyperlink>
      <w:r>
        <w:t>.</w:t>
      </w:r>
    </w:p>
  </w:footnote>
  <w:footnote w:id="7">
    <w:p w14:paraId="2CBCF7CA" w14:textId="77777777" w:rsidR="00C102A6" w:rsidRPr="006B3BDD" w:rsidRDefault="00C102A6" w:rsidP="00C102A6">
      <w:pPr>
        <w:pStyle w:val="FootnoteText"/>
        <w:ind w:left="567" w:hanging="567"/>
        <w:jc w:val="both"/>
        <w:rPr>
          <w:rFonts w:ascii="Times New Roman" w:eastAsia="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Le programme indicatif nucléaire de la Commission, ou programme indicatif nucléaire communautaire (PINC), est une obligation de la Commission en vertu de l’article 40 du traité Euratom.</w:t>
      </w:r>
    </w:p>
  </w:footnote>
  <w:footnote w:id="8">
    <w:p w14:paraId="1F843491" w14:textId="4887CF85" w:rsidR="0032794D" w:rsidRPr="006B3BDD" w:rsidRDefault="0032794D" w:rsidP="00CB2FBD">
      <w:pPr>
        <w:pStyle w:val="FootnoteText"/>
        <w:ind w:left="567" w:hanging="567"/>
      </w:pPr>
      <w:r>
        <w:rPr>
          <w:rStyle w:val="FootnoteReference"/>
          <w:rFonts w:ascii="Times New Roman" w:hAnsi="Times New Roman" w:cs="Times New Roman"/>
        </w:rPr>
        <w:footnoteRef/>
      </w:r>
      <w:r>
        <w:tab/>
      </w:r>
      <w:r>
        <w:rPr>
          <w:rFonts w:ascii="Times New Roman" w:hAnsi="Times New Roman"/>
        </w:rPr>
        <w:t>TEN/856-EESC-2025.</w:t>
      </w:r>
    </w:p>
  </w:footnote>
  <w:footnote w:id="9">
    <w:p w14:paraId="062E9E12" w14:textId="47707FBD" w:rsidR="00ED29EF" w:rsidRPr="006B3BDD" w:rsidRDefault="00ED29EF" w:rsidP="00ED29EF">
      <w:pPr>
        <w:pStyle w:val="FootnoteText"/>
        <w:ind w:left="567" w:hanging="567"/>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COM(2025) 315 final. </w:t>
      </w:r>
    </w:p>
  </w:footnote>
  <w:footnote w:id="10">
    <w:p w14:paraId="639BA17C" w14:textId="77777777" w:rsidR="00010365" w:rsidRPr="006B3BDD" w:rsidRDefault="00010365" w:rsidP="003B3BB8">
      <w:pPr>
        <w:pStyle w:val="FootnoteText"/>
        <w:ind w:left="567" w:hanging="567"/>
        <w:jc w:val="both"/>
        <w:rPr>
          <w:rFonts w:ascii="Aptos" w:eastAsia="Aptos" w:hAnsi="Aptos" w:cs="Aptos"/>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Belgique, Bulgarie, République tchèque, Espagne, France, Hongrie, Pays-Bas, Roumanie, Slovénie (Croatie), Slovaquie, Finlande et Suède.</w:t>
      </w:r>
    </w:p>
  </w:footnote>
  <w:footnote w:id="11">
    <w:p w14:paraId="648EF82C" w14:textId="5E77AF28" w:rsidR="00010365" w:rsidRPr="006B3BDD" w:rsidRDefault="00010365" w:rsidP="003B3BB8">
      <w:pPr>
        <w:pStyle w:val="FootnoteText"/>
        <w:ind w:left="567" w:hanging="567"/>
        <w:jc w:val="both"/>
        <w:rPr>
          <w:rFonts w:ascii="Aptos" w:eastAsia="Aptos" w:hAnsi="Aptos" w:cs="Aptos"/>
        </w:rPr>
      </w:pPr>
      <w:r>
        <w:rPr>
          <w:rFonts w:ascii="Times New Roman" w:hAnsi="Times New Roman" w:cs="Times New Roman"/>
          <w:vertAlign w:val="superscript"/>
        </w:rPr>
        <w:footnoteRef/>
      </w:r>
      <w:r>
        <w:rPr>
          <w:rFonts w:ascii="Times New Roman" w:hAnsi="Times New Roman"/>
        </w:rPr>
        <w:t xml:space="preserve"> </w:t>
      </w:r>
      <w:r>
        <w:tab/>
      </w:r>
      <w:hyperlink r:id="rId3" w:history="1">
        <w:r>
          <w:rPr>
            <w:rStyle w:val="Hyperlink"/>
            <w:rFonts w:ascii="Times New Roman" w:hAnsi="Times New Roman"/>
          </w:rPr>
          <w:t>Légère augmentation de la production d’énergie nucléaire en 2023 — articles d’actualité — Eurostat.</w:t>
        </w:r>
      </w:hyperlink>
    </w:p>
  </w:footnote>
  <w:footnote w:id="12">
    <w:p w14:paraId="5BD39FED" w14:textId="77777777" w:rsidR="00010365" w:rsidRPr="006B3BDD" w:rsidRDefault="00010365" w:rsidP="003B3BB8">
      <w:pPr>
        <w:pStyle w:val="FootnoteText"/>
        <w:ind w:left="567" w:hanging="567"/>
        <w:jc w:val="both"/>
        <w:rPr>
          <w:rFonts w:ascii="Aptos" w:eastAsia="Aptos" w:hAnsi="Aptos" w:cs="Aptos"/>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Mochovce 3 en Slovaquie a été raccordée au réseau en janvier 2023, Olkiluoto 3 en Finlande a commencé à fonctionner commercialement en mai 2023 et Flamanville 3 en France a été raccordée au réseau en décembre 2024. Un réacteur en Slovaquie (Mochovce 4) et deux autres en Hongrie (Paks II) sont en cours de construction.</w:t>
      </w:r>
    </w:p>
  </w:footnote>
  <w:footnote w:id="13">
    <w:p w14:paraId="60AB2F2C" w14:textId="33A0509A" w:rsidR="00010365" w:rsidRPr="00F87215" w:rsidRDefault="00010365" w:rsidP="003B3BB8">
      <w:pPr>
        <w:pStyle w:val="FootnoteText"/>
        <w:ind w:left="567" w:hanging="567"/>
        <w:jc w:val="both"/>
        <w:rPr>
          <w:rFonts w:ascii="Times New Roman" w:hAnsi="Times New Roman" w:cs="Times New Roman"/>
          <w:lang w:val="en-US"/>
        </w:rPr>
      </w:pPr>
      <w:r>
        <w:rPr>
          <w:rStyle w:val="FootnoteReference"/>
          <w:rFonts w:ascii="Times New Roman" w:hAnsi="Times New Roman" w:cs="Times New Roman"/>
        </w:rPr>
        <w:footnoteRef/>
      </w:r>
      <w:r w:rsidRPr="00F87215">
        <w:rPr>
          <w:rFonts w:ascii="Times New Roman" w:hAnsi="Times New Roman"/>
          <w:lang w:val="en-US"/>
        </w:rPr>
        <w:t xml:space="preserve"> </w:t>
      </w:r>
      <w:r w:rsidRPr="00F87215">
        <w:rPr>
          <w:lang w:val="en-US"/>
        </w:rPr>
        <w:tab/>
      </w:r>
      <w:r w:rsidRPr="00F87215">
        <w:rPr>
          <w:rFonts w:ascii="Times New Roman" w:hAnsi="Times New Roman"/>
          <w:lang w:val="en-US"/>
        </w:rPr>
        <w:t xml:space="preserve">IEA (2025), The Path to a New Era for Nuclear Energy, IEA, Paris </w:t>
      </w:r>
      <w:hyperlink r:id="rId4" w:history="1">
        <w:r w:rsidRPr="00F87215">
          <w:rPr>
            <w:rStyle w:val="Hyperlink"/>
            <w:rFonts w:ascii="Times New Roman" w:hAnsi="Times New Roman"/>
            <w:lang w:val="en-US"/>
          </w:rPr>
          <w:t>https://www.iea.org/reports/the-path-to-a-new-era-for-nuclear-energy</w:t>
        </w:r>
      </w:hyperlink>
      <w:r w:rsidRPr="00F87215">
        <w:rPr>
          <w:rFonts w:ascii="Times New Roman" w:hAnsi="Times New Roman"/>
          <w:lang w:val="en-US"/>
        </w:rPr>
        <w:t>, Licence: CC-BY 4.0</w:t>
      </w:r>
    </w:p>
  </w:footnote>
  <w:footnote w:id="14">
    <w:p w14:paraId="0C6954FB" w14:textId="77777777" w:rsidR="007F379C" w:rsidRPr="006C350D" w:rsidRDefault="007F379C" w:rsidP="007F379C">
      <w:pPr>
        <w:pStyle w:val="FootnoteText"/>
        <w:ind w:left="567" w:hanging="567"/>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sidRPr="00F87215">
        <w:rPr>
          <w:rFonts w:ascii="Times New Roman" w:hAnsi="Times New Roman" w:cs="Times New Roman"/>
        </w:rPr>
        <w:t xml:space="preserve">COM(2025) 440 final, </w:t>
      </w:r>
      <w:hyperlink r:id="rId5" w:history="1">
        <w:r w:rsidRPr="00F87215">
          <w:rPr>
            <w:rFonts w:ascii="Times New Roman" w:hAnsi="Times New Roman" w:cs="Times New Roman"/>
          </w:rPr>
          <w:t>EUR-Lex - 52025DC0440 - FR - EUR-Lex (europa.eu)</w:t>
        </w:r>
      </w:hyperlink>
      <w:r>
        <w:t>.</w:t>
      </w:r>
    </w:p>
  </w:footnote>
  <w:footnote w:id="15">
    <w:p w14:paraId="5B0458CF" w14:textId="77777777" w:rsidR="00975114" w:rsidRPr="00FD300D" w:rsidRDefault="00975114" w:rsidP="00351C38">
      <w:pPr>
        <w:pStyle w:val="FootnoteText"/>
        <w:ind w:left="567" w:hanging="567"/>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w:t>
      </w:r>
      <w:r>
        <w:tab/>
      </w:r>
      <w:hyperlink r:id="rId6">
        <w:r>
          <w:rPr>
            <w:rFonts w:ascii="Times New Roman" w:hAnsi="Times New Roman"/>
            <w:color w:val="0000FF"/>
            <w:u w:val="single"/>
          </w:rPr>
          <w:t>Alliance industrielle européenne pour les petits réacteurs modulaires — Commission européenne (europa.eu)</w:t>
        </w:r>
      </w:hyperlink>
      <w:r>
        <w:rPr>
          <w:rFonts w:ascii="Times New Roman" w:hAnsi="Times New Roman"/>
        </w:rPr>
        <w:t>.</w:t>
      </w:r>
    </w:p>
  </w:footnote>
  <w:footnote w:id="16">
    <w:p w14:paraId="778EA129" w14:textId="36F5C2ED" w:rsidR="005F22CB" w:rsidRPr="006C350D" w:rsidRDefault="00D924DA" w:rsidP="00D924DA">
      <w:pPr>
        <w:pStyle w:val="FootnoteText"/>
        <w:ind w:left="567" w:hanging="567"/>
        <w:jc w:val="both"/>
        <w:rPr>
          <w:rFonts w:ascii="Times New Roman" w:hAnsi="Times New Roman" w:cs="Times New Roman"/>
        </w:rPr>
      </w:pPr>
      <w:r>
        <w:rPr>
          <w:rFonts w:ascii="Times New Roman" w:hAnsi="Times New Roman" w:cs="Times New Roman"/>
          <w:vertAlign w:val="superscript"/>
        </w:rPr>
        <w:footnoteRef/>
      </w:r>
      <w:r>
        <w:tab/>
      </w:r>
      <w:r>
        <w:rPr>
          <w:rFonts w:ascii="Times New Roman" w:hAnsi="Times New Roman"/>
        </w:rPr>
        <w:t>COM(2025) 440 final, EUR-Lex - 52025DC0440 - FR - EUR-Lex – Action 7.</w:t>
      </w:r>
    </w:p>
  </w:footnote>
  <w:footnote w:id="17">
    <w:p w14:paraId="2B6C7706" w14:textId="70D6FE31" w:rsidR="001C2414" w:rsidRPr="006B3BDD" w:rsidRDefault="001C2414" w:rsidP="001C2414">
      <w:pPr>
        <w:pStyle w:val="FootnoteText"/>
        <w:ind w:left="567" w:hanging="567"/>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Directive 2009/71/Euratom du Conseil telle que modifiée par la directive 2014/87/Euratom du Conseil</w:t>
      </w:r>
      <w:r>
        <w:t>.</w:t>
      </w:r>
    </w:p>
  </w:footnote>
  <w:footnote w:id="18">
    <w:p w14:paraId="7B1EF9AB" w14:textId="341BE826" w:rsidR="001C2414" w:rsidRPr="006B3BDD" w:rsidRDefault="001C2414" w:rsidP="001C2414">
      <w:pPr>
        <w:pStyle w:val="FootnoteText"/>
        <w:ind w:left="567" w:hanging="567"/>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Directive 2011/70/Euratom du Conseil</w:t>
      </w:r>
    </w:p>
  </w:footnote>
  <w:footnote w:id="19">
    <w:p w14:paraId="399B68D2" w14:textId="2B74AF2E" w:rsidR="0052789C" w:rsidRPr="006B3BDD" w:rsidRDefault="0052789C" w:rsidP="00F55C90">
      <w:pPr>
        <w:pStyle w:val="FootnoteText"/>
        <w:ind w:left="567" w:hanging="567"/>
        <w:jc w:val="both"/>
      </w:pPr>
      <w:r>
        <w:rPr>
          <w:rFonts w:ascii="Times New Roman" w:hAnsi="Times New Roman" w:cs="Times New Roman"/>
          <w:vertAlign w:val="superscript"/>
        </w:rPr>
        <w:footnoteRef/>
      </w:r>
      <w:r>
        <w:rPr>
          <w:rFonts w:ascii="Times New Roman" w:hAnsi="Times New Roman"/>
          <w:vertAlign w:val="superscript"/>
        </w:rPr>
        <w:t xml:space="preserve"> </w:t>
      </w:r>
      <w:r>
        <w:tab/>
      </w:r>
      <w:r>
        <w:rPr>
          <w:rFonts w:ascii="Times New Roman" w:hAnsi="Times New Roman"/>
        </w:rPr>
        <w:t>Notamment la directive 2011/92/UE concernant l’évaluation des incidences de certains projets publics et privés sur l’environnement, la directive 2001/42/CE relative à l’évaluation des incidences de certains plans et programmes sur l’environnement, la directive 92/43/CEE concernant la conservation des habitats naturels ainsi que de la faune et de la flore sauvages et la directive 2000/60/CE établissant un cadre pour une politique communautaire dans le domaine de l’eau.</w:t>
      </w:r>
    </w:p>
  </w:footnote>
  <w:footnote w:id="20">
    <w:p w14:paraId="329CAA53" w14:textId="256DFA91" w:rsidR="006402F6" w:rsidRPr="006B3BDD" w:rsidRDefault="006402F6" w:rsidP="006402F6">
      <w:pPr>
        <w:pStyle w:val="FootnoteText"/>
        <w:ind w:left="567" w:hanging="567"/>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Règlement (UE) 2020/852, JO L 198 du 22.6.2020, p. 13; Règlement délégué (UE) 2022/1214 de la Commission, JO L 188 du 15.7.2022, p. 1.</w:t>
      </w:r>
    </w:p>
  </w:footnote>
  <w:footnote w:id="21">
    <w:p w14:paraId="6E5D02D0" w14:textId="77777777" w:rsidR="001C2414" w:rsidRPr="006B3BDD" w:rsidRDefault="001C2414" w:rsidP="001C2414">
      <w:pPr>
        <w:pStyle w:val="FootnoteText"/>
        <w:ind w:left="567" w:hanging="567"/>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Tonnes de métal lourd, abrégées tHM, est une unité de masse utilisée pour quantifier l’uranium, le plutonium, le thorium et les mélanges de ces éléments.</w:t>
      </w:r>
    </w:p>
  </w:footnote>
  <w:footnote w:id="22">
    <w:p w14:paraId="0141E2C6" w14:textId="77777777" w:rsidR="001C2414" w:rsidRPr="00F87215" w:rsidRDefault="001C2414" w:rsidP="001C2414">
      <w:pPr>
        <w:pStyle w:val="FootnoteText"/>
        <w:ind w:left="567" w:hanging="567"/>
        <w:jc w:val="both"/>
        <w:rPr>
          <w:rFonts w:ascii="Times New Roman" w:hAnsi="Times New Roman" w:cs="Times New Roman"/>
          <w:lang w:val="en-US"/>
        </w:rPr>
      </w:pPr>
      <w:r>
        <w:rPr>
          <w:rFonts w:ascii="Times New Roman" w:hAnsi="Times New Roman" w:cs="Times New Roman"/>
          <w:vertAlign w:val="superscript"/>
        </w:rPr>
        <w:footnoteRef/>
      </w:r>
      <w:r w:rsidRPr="00F87215">
        <w:rPr>
          <w:lang w:val="en-US"/>
        </w:rPr>
        <w:tab/>
      </w:r>
      <w:r w:rsidRPr="00F87215">
        <w:rPr>
          <w:rFonts w:ascii="Times New Roman" w:hAnsi="Times New Roman"/>
          <w:lang w:val="en-US"/>
        </w:rPr>
        <w:t>Shedding light on energy in Europe — 2025 edition, ESTAT, ISBN 978-92-68-22424-3.</w:t>
      </w:r>
    </w:p>
  </w:footnote>
  <w:footnote w:id="23">
    <w:p w14:paraId="7ED7E552" w14:textId="28D1170B" w:rsidR="00A53818" w:rsidRPr="006B3BDD" w:rsidRDefault="00A53818" w:rsidP="00A53818">
      <w:pPr>
        <w:pStyle w:val="FootnoteText"/>
        <w:ind w:left="567" w:hanging="567"/>
        <w:jc w:val="both"/>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Le chiffre de 8,33 EUR par MWh représente un ratio, où: i) le numérateur est la somme des dépenses engagées pour le déclassement et toutes les opérations de gestion des déchets, à l’exception du stockage géologique; et ii) le dénominateur est l’énergie électrique produite au cours de la durée de vie opérationnelle de l’installation.</w:t>
      </w:r>
      <w:r>
        <w:t xml:space="preserve"> </w:t>
      </w:r>
    </w:p>
  </w:footnote>
  <w:footnote w:id="24">
    <w:p w14:paraId="57A5671F" w14:textId="77777777" w:rsidR="001C2414" w:rsidRPr="006B3BDD" w:rsidRDefault="001C2414" w:rsidP="001C2414">
      <w:pPr>
        <w:pStyle w:val="FootnoteText"/>
        <w:ind w:left="567" w:hanging="567"/>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COM(2024) 197 final, Rapport de la Commission au Conseil et au Parlement européen sur l’avancement de la mise en œuvre de la directive 2011/70/EURATOM du Conseil, un inventaire des déchets radioactifs et du combustible usé présents sur le territoire de la Communauté et les perspectives futures - TROISIÈME RAPPORT.</w:t>
      </w:r>
    </w:p>
  </w:footnote>
  <w:footnote w:id="25">
    <w:p w14:paraId="36E25009" w14:textId="7A3DB50A" w:rsidR="00DE2849" w:rsidRPr="006B3BDD" w:rsidRDefault="00DE2849" w:rsidP="00DE2849">
      <w:pPr>
        <w:pStyle w:val="FootnoteText"/>
        <w:ind w:left="567" w:hanging="567"/>
        <w:jc w:val="both"/>
      </w:pPr>
      <w:r>
        <w:rPr>
          <w:rFonts w:ascii="Times New Roman" w:hAnsi="Times New Roman" w:cs="Times New Roman"/>
          <w:vertAlign w:val="superscript"/>
        </w:rPr>
        <w:footnoteRef/>
      </w:r>
      <w:r>
        <w:tab/>
      </w:r>
      <w:r>
        <w:rPr>
          <w:rFonts w:ascii="Times New Roman" w:hAnsi="Times New Roman"/>
        </w:rPr>
        <w:t xml:space="preserve">Ce nombre représente la somme des estimations individuelles des États membres. Toutefois, les estimations des États membres varient considérablement en termes de méthodologie, d’hypothèses, d’exhaustivité des données, de portée et de calendrier. Les nombres correspondant aux différents États membres peuvent être donnés en valeur actuelle ou non.  </w:t>
      </w:r>
      <w:r>
        <w:t xml:space="preserve"> </w:t>
      </w:r>
    </w:p>
  </w:footnote>
  <w:footnote w:id="26">
    <w:p w14:paraId="09DDD1FC" w14:textId="678F8FD8" w:rsidR="00A30A18" w:rsidRPr="006B3BDD" w:rsidRDefault="00A30A18" w:rsidP="00A30A18">
      <w:pPr>
        <w:pStyle w:val="FootnoteText"/>
        <w:ind w:left="567" w:hanging="567"/>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COM(2017) 237 final.</w:t>
      </w:r>
    </w:p>
  </w:footnote>
  <w:footnote w:id="27">
    <w:p w14:paraId="4596A622" w14:textId="4AE341A8" w:rsidR="00097953" w:rsidRPr="006B3BDD" w:rsidRDefault="00097953" w:rsidP="00F55C90">
      <w:pPr>
        <w:pStyle w:val="FootnoteText"/>
        <w:ind w:left="567" w:hanging="567"/>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Tenant également compte du Brexit.</w:t>
      </w:r>
    </w:p>
  </w:footnote>
  <w:footnote w:id="28">
    <w:p w14:paraId="34FDAFA6" w14:textId="7A37967B" w:rsidR="008D1E2D" w:rsidRPr="006B3BDD" w:rsidRDefault="008D1E2D" w:rsidP="003B3BB8">
      <w:pPr>
        <w:pStyle w:val="FootnoteText"/>
        <w:ind w:left="567" w:hanging="567"/>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 xml:space="preserve">COM(2025) 274 final. </w:t>
      </w:r>
    </w:p>
  </w:footnote>
  <w:footnote w:id="29">
    <w:p w14:paraId="698C16B9" w14:textId="3A7FAEE8" w:rsidR="00DE2849" w:rsidRPr="006B3BDD" w:rsidRDefault="00DE2849" w:rsidP="00DE2849">
      <w:pPr>
        <w:pStyle w:val="FootnoteText"/>
        <w:ind w:left="567" w:hanging="567"/>
        <w:jc w:val="both"/>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En 2023, le gouvernement finlandais a accordé à la centrale nucléaire de Loviisa une nouvelle autorisation d’exploitation jusqu’à la fin de l’année 2050, date à laquelle elle aura achevé plus de 70 ans d’exploitation. Ces scénarios présentés ne reflètent que les durées d’exploitation potentielles des centrales nucléaires actuellement en exploitation. Ils ne tiennent pas compte de la possibilité de redémarrer des installations déjà fermées, ce qui pourrait accroître la capacité si elle était utilisée.</w:t>
      </w:r>
      <w:r>
        <w:t xml:space="preserve"> </w:t>
      </w:r>
    </w:p>
  </w:footnote>
  <w:footnote w:id="30">
    <w:p w14:paraId="75DCD10F" w14:textId="06E98DD9" w:rsidR="00994010" w:rsidRPr="006B3BDD" w:rsidRDefault="00994010" w:rsidP="003B3BB8">
      <w:pPr>
        <w:pStyle w:val="FootnoteText"/>
        <w:ind w:left="567" w:hanging="567"/>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7" w:history="1">
        <w:r>
          <w:rPr>
            <w:rStyle w:val="Hyperlink"/>
            <w:rFonts w:ascii="Times New Roman" w:hAnsi="Times New Roman"/>
          </w:rPr>
          <w:t>European SMR pre-Partnership - nucleareurope</w:t>
        </w:r>
      </w:hyperlink>
      <w:r>
        <w:rPr>
          <w:rFonts w:ascii="Times New Roman" w:hAnsi="Times New Roman"/>
        </w:rPr>
        <w:t>, il convient de noter que ce scénario inclut la capacité nécessaire pour la production d’électricité et l’approvisionnement en chaleur.</w:t>
      </w:r>
    </w:p>
  </w:footnote>
  <w:footnote w:id="31">
    <w:p w14:paraId="67435088" w14:textId="1789D5C7" w:rsidR="000F30D5" w:rsidRPr="006B3BDD" w:rsidRDefault="00424F10" w:rsidP="003B3BB8">
      <w:pPr>
        <w:pStyle w:val="FootnoteText"/>
        <w:ind w:left="567" w:hanging="567"/>
        <w:jc w:val="both"/>
        <w:rPr>
          <w:rFonts w:ascii="Times New Roman" w:hAnsi="Times New Roman" w:cs="Times New Roman"/>
        </w:rPr>
      </w:pPr>
      <w:r>
        <w:rPr>
          <w:rStyle w:val="FootnoteReference"/>
          <w:rFonts w:ascii="Times New Roman" w:hAnsi="Times New Roman" w:cs="Times New Roman"/>
        </w:rPr>
        <w:footnoteRef/>
      </w:r>
      <w:r w:rsidRPr="00F87215">
        <w:rPr>
          <w:rFonts w:ascii="Times New Roman" w:hAnsi="Times New Roman"/>
          <w:lang w:val="en-US"/>
        </w:rPr>
        <w:t xml:space="preserve"> </w:t>
      </w:r>
      <w:r w:rsidRPr="00F87215">
        <w:rPr>
          <w:lang w:val="en-US"/>
        </w:rPr>
        <w:tab/>
      </w:r>
      <w:r w:rsidRPr="00F87215">
        <w:rPr>
          <w:rFonts w:ascii="Times New Roman" w:hAnsi="Times New Roman"/>
          <w:lang w:val="en-US"/>
        </w:rPr>
        <w:t xml:space="preserve">The Path to a New Era for Nuclear Energy, IEA, 2025, </w:t>
      </w:r>
      <w:hyperlink r:id="rId8" w:history="1">
        <w:r w:rsidRPr="00F87215">
          <w:rPr>
            <w:rStyle w:val="Hyperlink"/>
            <w:rFonts w:ascii="Times New Roman" w:hAnsi="Times New Roman"/>
            <w:lang w:val="en-US"/>
          </w:rPr>
          <w:t>The Path to a New Era for Nuclear Energy</w:t>
        </w:r>
      </w:hyperlink>
      <w:r w:rsidRPr="00F87215">
        <w:rPr>
          <w:lang w:val="en-US"/>
        </w:rPr>
        <w:t xml:space="preserve">. </w:t>
      </w:r>
      <w:r>
        <w:rPr>
          <w:rFonts w:ascii="Times New Roman" w:hAnsi="Times New Roman"/>
        </w:rPr>
        <w:t xml:space="preserve">Si l’on considère conjointement les grands réacteurs et les PRM, l’AIE a prévu que la capacité de production nucléaire installée au niveau mondial passerait de 416 GWe en 2023 à entre 650 Gwe et 870 GWe, et plus de 1 000 GWe d’ici à 2050, selon trois scénarios. </w:t>
      </w:r>
    </w:p>
  </w:footnote>
  <w:footnote w:id="32">
    <w:p w14:paraId="225A23C7" w14:textId="3394D578" w:rsidR="00E63F68" w:rsidRPr="00F87215" w:rsidRDefault="00E63F68" w:rsidP="003B3BB8">
      <w:pPr>
        <w:pStyle w:val="FootnoteText"/>
        <w:ind w:left="567" w:hanging="567"/>
        <w:jc w:val="both"/>
        <w:rPr>
          <w:rFonts w:ascii="Times New Roman" w:hAnsi="Times New Roman" w:cs="Times New Roman"/>
          <w:lang w:val="en-US"/>
        </w:rPr>
      </w:pPr>
      <w:r>
        <w:rPr>
          <w:rStyle w:val="FootnoteReference"/>
          <w:rFonts w:ascii="Times New Roman" w:hAnsi="Times New Roman" w:cs="Times New Roman"/>
        </w:rPr>
        <w:footnoteRef/>
      </w:r>
      <w:r w:rsidRPr="00F87215">
        <w:rPr>
          <w:rFonts w:ascii="Times New Roman" w:hAnsi="Times New Roman"/>
          <w:lang w:val="en-US"/>
        </w:rPr>
        <w:t xml:space="preserve"> </w:t>
      </w:r>
      <w:r w:rsidRPr="00F87215">
        <w:rPr>
          <w:lang w:val="en-US"/>
        </w:rPr>
        <w:tab/>
      </w:r>
      <w:r w:rsidRPr="00F87215">
        <w:rPr>
          <w:rFonts w:ascii="Times New Roman" w:hAnsi="Times New Roman"/>
          <w:lang w:val="en-US"/>
        </w:rPr>
        <w:t xml:space="preserve">Pathways to 2050: the role of nuclear in a low-carbon Europe, Compass Lexecon, 2024, </w:t>
      </w:r>
      <w:hyperlink r:id="rId9" w:history="1">
        <w:r w:rsidRPr="00F87215">
          <w:rPr>
            <w:rStyle w:val="Hyperlink"/>
            <w:rFonts w:ascii="Times New Roman" w:hAnsi="Times New Roman"/>
            <w:lang w:val="en-US"/>
          </w:rPr>
          <w:t>Pathways to 2050 - nucleareurope</w:t>
        </w:r>
      </w:hyperlink>
      <w:r w:rsidRPr="00F87215">
        <w:rPr>
          <w:lang w:val="en-US"/>
        </w:rPr>
        <w:t>.</w:t>
      </w:r>
    </w:p>
  </w:footnote>
  <w:footnote w:id="33">
    <w:p w14:paraId="6CABD4CE" w14:textId="0FB39495" w:rsidR="00365A80" w:rsidRPr="006B3BDD" w:rsidRDefault="00081503" w:rsidP="00081503">
      <w:pPr>
        <w:pStyle w:val="FootnoteText"/>
        <w:ind w:left="567" w:hanging="567"/>
        <w:jc w:val="both"/>
        <w:rPr>
          <w:rFonts w:ascii="Times New Roman" w:hAnsi="Times New Roman" w:cs="Times New Roman"/>
        </w:rPr>
      </w:pPr>
      <w:r>
        <w:rPr>
          <w:rFonts w:ascii="Times New Roman" w:hAnsi="Times New Roman" w:cs="Times New Roman"/>
          <w:vertAlign w:val="superscript"/>
        </w:rPr>
        <w:footnoteRef/>
      </w:r>
      <w:r>
        <w:tab/>
      </w:r>
      <w:r w:rsidR="00C0717C" w:rsidRPr="00C0717C">
        <w:rPr>
          <w:rFonts w:ascii="Times New Roman" w:hAnsi="Times New Roman"/>
        </w:rPr>
        <w:t>COM(2026)</w:t>
      </w:r>
      <w:r w:rsidR="00C0717C">
        <w:rPr>
          <w:rFonts w:ascii="Times New Roman" w:hAnsi="Times New Roman"/>
        </w:rPr>
        <w:t> </w:t>
      </w:r>
      <w:r w:rsidR="00C0717C" w:rsidRPr="00C0717C">
        <w:rPr>
          <w:rFonts w:ascii="Times New Roman" w:hAnsi="Times New Roman"/>
        </w:rPr>
        <w:t>117.</w:t>
      </w:r>
    </w:p>
  </w:footnote>
  <w:footnote w:id="34">
    <w:p w14:paraId="19A8F9DF" w14:textId="7DCDE271" w:rsidR="003C78D2" w:rsidRPr="006B3BDD" w:rsidRDefault="003C78D2" w:rsidP="003C78D2">
      <w:pPr>
        <w:pStyle w:val="FootnoteText"/>
        <w:ind w:left="567" w:hanging="567"/>
        <w:jc w:val="both"/>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La Commission a calculé la valeur actuelle en utilisant un taux d’actualisation de 7,5 %. Les besoins d’investissement indiqués comprennent les nouvelles constructions et les prolongations de la durée de vie. La section 3.3 couvre séparément les besoins d’investissement pour le déclassement et la gestion des déchets radioactifs et du combustible usé.</w:t>
      </w:r>
    </w:p>
  </w:footnote>
  <w:footnote w:id="35">
    <w:p w14:paraId="0C4F9783" w14:textId="0277BA94" w:rsidR="00820E16" w:rsidRPr="006B3BDD" w:rsidRDefault="005A5396" w:rsidP="00B066D7">
      <w:pPr>
        <w:pStyle w:val="FootnoteText"/>
        <w:ind w:left="567" w:hanging="567"/>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L’exemple quantitatif suppose que les coûts de construction augmentent proportionnellement au temps de construction.</w:t>
      </w:r>
    </w:p>
  </w:footnote>
  <w:footnote w:id="36">
    <w:p w14:paraId="1426A20F" w14:textId="3247EC9E" w:rsidR="00CE63DD" w:rsidRPr="006B3BDD" w:rsidRDefault="00CE63DD" w:rsidP="00CE63DD">
      <w:pPr>
        <w:pStyle w:val="FootnoteText"/>
        <w:ind w:left="567" w:hanging="567"/>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Document de travail des services de la Commission joint, points 2.2.2 et 2.2.3.</w:t>
      </w:r>
    </w:p>
  </w:footnote>
  <w:footnote w:id="37">
    <w:p w14:paraId="23E26F97" w14:textId="641D41A6" w:rsidR="00BF1558" w:rsidRPr="00F87215" w:rsidRDefault="00BF1558" w:rsidP="003C53C5">
      <w:pPr>
        <w:pStyle w:val="FootnoteText"/>
        <w:ind w:left="567" w:hanging="567"/>
        <w:jc w:val="both"/>
        <w:rPr>
          <w:lang w:val="en-US"/>
        </w:rPr>
      </w:pPr>
      <w:r>
        <w:rPr>
          <w:rStyle w:val="FootnoteReference"/>
          <w:rFonts w:ascii="Times New Roman" w:hAnsi="Times New Roman" w:cs="Times New Roman"/>
        </w:rPr>
        <w:footnoteRef/>
      </w:r>
      <w:r w:rsidRPr="00F87215">
        <w:rPr>
          <w:lang w:val="en-US"/>
        </w:rPr>
        <w:t xml:space="preserve"> </w:t>
      </w:r>
      <w:r w:rsidRPr="00F87215">
        <w:rPr>
          <w:lang w:val="en-US"/>
        </w:rPr>
        <w:tab/>
      </w:r>
      <w:r w:rsidRPr="00F87215">
        <w:rPr>
          <w:rFonts w:ascii="Times New Roman" w:hAnsi="Times New Roman"/>
          <w:lang w:val="en-US"/>
        </w:rPr>
        <w:t xml:space="preserve">IEA (2025), The Path to a New Era for Nuclear Energy, IEA, Paris </w:t>
      </w:r>
      <w:hyperlink r:id="rId10" w:history="1">
        <w:r w:rsidRPr="00F87215">
          <w:rPr>
            <w:rFonts w:ascii="Times New Roman" w:hAnsi="Times New Roman"/>
            <w:lang w:val="en-US"/>
          </w:rPr>
          <w:t>https://www.iea.org/reports/the-path-to-a-new-era-for-nuclear-energy</w:t>
        </w:r>
      </w:hyperlink>
      <w:r w:rsidRPr="00F87215">
        <w:rPr>
          <w:rFonts w:ascii="Times New Roman" w:hAnsi="Times New Roman"/>
          <w:lang w:val="en-US"/>
        </w:rPr>
        <w:t>, Licence: CC BY 4.0.</w:t>
      </w:r>
      <w:r w:rsidRPr="00F87215">
        <w:rPr>
          <w:lang w:val="en-US"/>
        </w:rPr>
        <w:t xml:space="preserve"> </w:t>
      </w:r>
    </w:p>
  </w:footnote>
  <w:footnote w:id="38">
    <w:p w14:paraId="28AF4F2F" w14:textId="77777777" w:rsidR="0025292C" w:rsidRPr="006B3BDD" w:rsidRDefault="0025292C" w:rsidP="003B3BB8">
      <w:pPr>
        <w:pStyle w:val="FootnoteText"/>
        <w:ind w:left="567" w:hanging="567"/>
        <w:jc w:val="both"/>
        <w:rPr>
          <w:rFonts w:ascii="Aptos" w:eastAsia="Aptos" w:hAnsi="Aptos" w:cs="Aptos"/>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Décision (UE) 2015/658 de la Commission, du 8 octobre 2014, concernant la mesure d’aide SA.34947 (2013/C) (ex 2013/N) que le Royaume-Uni envisage de mettre à exécution à titre de soutien en faveur de l’unité C de la centrale nucléaire de Hinkley Point.</w:t>
      </w:r>
      <w:r>
        <w:tab/>
      </w:r>
    </w:p>
  </w:footnote>
  <w:footnote w:id="39">
    <w:p w14:paraId="383E207B" w14:textId="53EEC445" w:rsidR="001803D1" w:rsidRPr="006B3BDD" w:rsidRDefault="001803D1" w:rsidP="00CB2FBD">
      <w:pPr>
        <w:pStyle w:val="FootnoteText"/>
        <w:ind w:left="567" w:hanging="567"/>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C(2025) 8479 final.</w:t>
      </w:r>
    </w:p>
  </w:footnote>
  <w:footnote w:id="40">
    <w:p w14:paraId="2E039C6A" w14:textId="0CF6F101" w:rsidR="00765C4F" w:rsidRPr="006B3BDD" w:rsidRDefault="00765C4F" w:rsidP="00765C4F">
      <w:pPr>
        <w:pStyle w:val="FootnoteText"/>
        <w:ind w:left="567" w:hanging="567"/>
        <w:jc w:val="both"/>
        <w:rPr>
          <w:rFonts w:ascii="Aptos" w:eastAsia="Aptos" w:hAnsi="Aptos" w:cs="Aptos"/>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Document de travail des services de la Commission joint, point 3.1.2.</w:t>
      </w:r>
      <w:r>
        <w:tab/>
      </w:r>
    </w:p>
  </w:footnote>
  <w:footnote w:id="41">
    <w:p w14:paraId="4C327E79" w14:textId="77777777" w:rsidR="004A30BF" w:rsidRPr="006B3BDD" w:rsidRDefault="004A30BF" w:rsidP="003B3BB8">
      <w:pPr>
        <w:pStyle w:val="FootnoteText"/>
        <w:ind w:left="567" w:hanging="567"/>
        <w:jc w:val="both"/>
        <w:rPr>
          <w:rFonts w:ascii="Times New Roman" w:eastAsia="Aptos"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Document de travail des services de la Commission joint, point 3.2.1.</w:t>
      </w:r>
    </w:p>
  </w:footnote>
  <w:footnote w:id="42">
    <w:p w14:paraId="20A795F9" w14:textId="634ADC30" w:rsidR="00C42DE5" w:rsidRPr="006B3BDD" w:rsidRDefault="00C42DE5" w:rsidP="003B3BB8">
      <w:pPr>
        <w:pStyle w:val="FootnoteText"/>
        <w:ind w:left="567" w:hanging="567"/>
        <w:jc w:val="both"/>
        <w:rPr>
          <w:rFonts w:ascii="Times New Roman" w:eastAsia="Aptos"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Document de travail des services de la Commission, Box Supply of high assay low enriched uranium (HALEU).</w:t>
      </w:r>
    </w:p>
  </w:footnote>
  <w:footnote w:id="43">
    <w:p w14:paraId="388FC5D1" w14:textId="7409907F" w:rsidR="00FC4E8C" w:rsidRPr="006C350D" w:rsidRDefault="00FC4E8C" w:rsidP="003B3BB8">
      <w:pPr>
        <w:pStyle w:val="FootnoteText"/>
        <w:ind w:left="567" w:hanging="567"/>
        <w:jc w:val="both"/>
        <w:rPr>
          <w:rFonts w:ascii="Times New Roman" w:eastAsia="Aptos"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hyperlink r:id="rId11" w:history="1">
        <w:r>
          <w:rPr>
            <w:rStyle w:val="Hyperlink"/>
            <w:rFonts w:ascii="Times New Roman" w:hAnsi="Times New Roman"/>
          </w:rPr>
          <w:t>Plan d’action SAMIRA – Commission européenne</w:t>
        </w:r>
      </w:hyperlink>
      <w:r>
        <w:t>.</w:t>
      </w:r>
    </w:p>
  </w:footnote>
  <w:footnote w:id="44">
    <w:p w14:paraId="78824A30" w14:textId="77777777" w:rsidR="00D924DA" w:rsidRPr="006C350D" w:rsidRDefault="00D924DA" w:rsidP="00D924DA">
      <w:pPr>
        <w:pStyle w:val="FootnoteText"/>
        <w:ind w:left="567" w:hanging="567"/>
        <w:jc w:val="both"/>
        <w:rPr>
          <w:rFonts w:ascii="Times New Roman" w:hAnsi="Times New Roman" w:cs="Times New Roman"/>
        </w:rPr>
      </w:pPr>
      <w:r>
        <w:rPr>
          <w:rFonts w:ascii="Times New Roman" w:hAnsi="Times New Roman" w:cs="Times New Roman"/>
          <w:vertAlign w:val="superscript"/>
        </w:rPr>
        <w:footnoteRef/>
      </w:r>
      <w:r>
        <w:tab/>
      </w:r>
      <w:r>
        <w:rPr>
          <w:rFonts w:ascii="Times New Roman" w:hAnsi="Times New Roman"/>
        </w:rPr>
        <w:t>COM(2025) 440 final, EUR-Lex - 52025DC0440 - FR - EUR-Lex – Action 7.</w:t>
      </w:r>
    </w:p>
  </w:footnote>
  <w:footnote w:id="45">
    <w:p w14:paraId="490C7B31" w14:textId="02A67CCB" w:rsidR="003A22A8" w:rsidRPr="006B3BDD" w:rsidRDefault="003A22A8" w:rsidP="003B3BB8">
      <w:pPr>
        <w:pStyle w:val="FootnoteText"/>
        <w:ind w:left="567" w:hanging="567"/>
        <w:jc w:val="both"/>
        <w:rPr>
          <w:rFonts w:ascii="Times New Roman" w:eastAsia="Aptos"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hyperlink r:id="rId12" w:history="1">
        <w:r>
          <w:rPr>
            <w:rStyle w:val="Hyperlink"/>
            <w:rFonts w:ascii="Times New Roman" w:hAnsi="Times New Roman"/>
          </w:rPr>
          <w:t>France : la BEI et Orano signent un contrat de prêt de 400 millions d’euros dans le cadre du projet d’extension de l’usine d’enrichissement d’uranium Georges Besse 2</w:t>
        </w:r>
      </w:hyperlink>
      <w:r>
        <w:t>, Banque européenne d’investissement, 10 mars 2025.</w:t>
      </w:r>
    </w:p>
  </w:footnote>
  <w:footnote w:id="46">
    <w:p w14:paraId="4647ED1E" w14:textId="205BD4E8" w:rsidR="0054712F" w:rsidRPr="006B3BDD" w:rsidRDefault="0054712F" w:rsidP="003B3BB8">
      <w:pPr>
        <w:pStyle w:val="FootnoteText"/>
        <w:ind w:left="567" w:hanging="567"/>
        <w:jc w:val="both"/>
        <w:rPr>
          <w:rFonts w:ascii="Times New Roman" w:eastAsia="Aptos"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Le combustible destiné à ces réacteurs était initialement livré par TVEL (RU), filiale de Rosatom, dans le cadre de contrats groupés proposant de l’uranium et tous les services connexes, y compris la production d’assemblages de combustibles.</w:t>
      </w:r>
    </w:p>
  </w:footnote>
  <w:footnote w:id="47">
    <w:p w14:paraId="31AC2B0F" w14:textId="77777777" w:rsidR="00C1368E" w:rsidRPr="006C350D" w:rsidRDefault="00C1368E" w:rsidP="00C1368E">
      <w:pPr>
        <w:pStyle w:val="FootnoteText"/>
        <w:ind w:left="567" w:hanging="567"/>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t xml:space="preserve">COM(2025) 440 final, </w:t>
      </w:r>
      <w:hyperlink r:id="rId13" w:history="1">
        <w:r>
          <w:rPr>
            <w:rFonts w:ascii="Times New Roman" w:hAnsi="Times New Roman"/>
          </w:rPr>
          <w:t>EUR-Lex - 52025DC0440 - FR - EUR-Lex (europa.eu)</w:t>
        </w:r>
      </w:hyperlink>
      <w:r>
        <w:t>.</w:t>
      </w:r>
    </w:p>
  </w:footnote>
  <w:footnote w:id="48">
    <w:p w14:paraId="1C829B2B" w14:textId="2D9A0054" w:rsidR="00B86938" w:rsidRPr="006B3BDD" w:rsidRDefault="00B86938" w:rsidP="00B86938">
      <w:pPr>
        <w:pStyle w:val="FootnoteText"/>
        <w:ind w:left="567" w:hanging="567"/>
        <w:jc w:val="both"/>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Document de travail des services de la Commission joint, point 4.3.2.</w:t>
      </w:r>
    </w:p>
  </w:footnote>
  <w:footnote w:id="49">
    <w:p w14:paraId="28AEA52D" w14:textId="206C9359" w:rsidR="0004341E" w:rsidRPr="006B3BDD" w:rsidRDefault="00096EA8" w:rsidP="003B3BB8">
      <w:pPr>
        <w:pStyle w:val="FootnoteText"/>
        <w:ind w:left="567" w:hanging="567"/>
        <w:jc w:val="both"/>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Rapport sur l’écosystème nucléaire européen, préparé par Deloitte pour la DG ENER, en préparation en vue de sa publication.</w:t>
      </w:r>
    </w:p>
  </w:footnote>
  <w:footnote w:id="50">
    <w:p w14:paraId="41FA65C3" w14:textId="79AC37C3" w:rsidR="001845D2" w:rsidRPr="006B3BDD" w:rsidRDefault="001845D2" w:rsidP="001845D2">
      <w:pPr>
        <w:pStyle w:val="FootnoteText"/>
        <w:ind w:left="567" w:hanging="567"/>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4" w:history="1">
        <w:r>
          <w:rPr>
            <w:rStyle w:val="Hyperlink"/>
            <w:rFonts w:ascii="Times New Roman" w:hAnsi="Times New Roman"/>
          </w:rPr>
          <w:t>https://cordis.europa.eu/project/id/101213280/fr</w:t>
        </w:r>
      </w:hyperlink>
    </w:p>
  </w:footnote>
  <w:footnote w:id="51">
    <w:p w14:paraId="269B6985" w14:textId="457444CC" w:rsidR="002225A3" w:rsidRPr="006B3BDD" w:rsidRDefault="002225A3" w:rsidP="002225A3">
      <w:pPr>
        <w:pStyle w:val="FootnoteText"/>
        <w:ind w:left="567" w:hanging="567"/>
        <w:jc w:val="both"/>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En outre, l’instrument européen relatif à la coopération internationale en matière de sûreté nucléaire (ICSN) est un outil essentiel pour renforcer l’adoption des normes internationales de sûreté nucléaire les plus élevées au niveau mondial.</w:t>
      </w:r>
    </w:p>
  </w:footnote>
  <w:footnote w:id="52">
    <w:p w14:paraId="7F228E58" w14:textId="7D44649E" w:rsidR="002854AB" w:rsidRPr="00F51C5E" w:rsidRDefault="002854AB" w:rsidP="00F51C5E">
      <w:pPr>
        <w:pStyle w:val="FootnoteText"/>
        <w:ind w:left="567" w:hanging="567"/>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l’évaluation intermédiaire, COM(2025) 61.</w:t>
      </w:r>
    </w:p>
  </w:footnote>
  <w:footnote w:id="53">
    <w:p w14:paraId="316B0303" w14:textId="72A69764" w:rsidR="00335E48" w:rsidRPr="00212507" w:rsidRDefault="00212507" w:rsidP="00F51C5E">
      <w:pPr>
        <w:pStyle w:val="FootnoteText"/>
        <w:ind w:left="567" w:hanging="567"/>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COM(2025) 594. </w:t>
      </w:r>
    </w:p>
  </w:footnote>
  <w:footnote w:id="54">
    <w:p w14:paraId="5857DA7D" w14:textId="2AC34491" w:rsidR="00726C9E" w:rsidRPr="00726C9E" w:rsidRDefault="00726C9E" w:rsidP="00726C9E">
      <w:pPr>
        <w:pStyle w:val="FootnoteText"/>
        <w:ind w:left="567" w:hanging="567"/>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5" w:history="1">
        <w:r>
          <w:rPr>
            <w:rStyle w:val="Hyperlink"/>
            <w:rFonts w:ascii="Times New Roman" w:hAnsi="Times New Roman"/>
          </w:rPr>
          <w:t>https://cordis.europa.eu/project/id/101052200/fr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15D4A" w14:textId="77777777" w:rsidR="00556E1C" w:rsidRPr="00556E1C" w:rsidRDefault="00556E1C" w:rsidP="00556E1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46BD9" w14:textId="77777777" w:rsidR="00556E1C" w:rsidRPr="00556E1C" w:rsidRDefault="00556E1C" w:rsidP="00556E1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1D6BA" w14:textId="77777777" w:rsidR="00556E1C" w:rsidRPr="00556E1C" w:rsidRDefault="00556E1C" w:rsidP="00556E1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03C7B" w14:textId="77777777" w:rsidR="006C350D" w:rsidRDefault="006C35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734E5" w14:textId="77777777" w:rsidR="006C350D" w:rsidRDefault="006C350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4D575" w14:textId="77777777" w:rsidR="006C350D" w:rsidRDefault="006C35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83585374"/>
    <w:lvl w:ilvl="0">
      <w:start w:val="1"/>
      <w:numFmt w:val="decimal"/>
      <w:pStyle w:val="ListNumber"/>
      <w:lvlText w:val="%1."/>
      <w:lvlJc w:val="left"/>
      <w:pPr>
        <w:tabs>
          <w:tab w:val="num" w:pos="360"/>
        </w:tabs>
        <w:ind w:left="360" w:hanging="360"/>
      </w:pPr>
    </w:lvl>
  </w:abstractNum>
  <w:abstractNum w:abstractNumId="1" w15:restartNumberingAfterBreak="0">
    <w:nsid w:val="29B83428"/>
    <w:multiLevelType w:val="hybridMultilevel"/>
    <w:tmpl w:val="493CF2EC"/>
    <w:lvl w:ilvl="0" w:tplc="08CAB1B6">
      <w:start w:val="1"/>
      <w:numFmt w:val="decimal"/>
      <w:lvlText w:val="%1)"/>
      <w:lvlJc w:val="left"/>
      <w:pPr>
        <w:ind w:left="1020" w:hanging="360"/>
      </w:pPr>
    </w:lvl>
    <w:lvl w:ilvl="1" w:tplc="369C6F26">
      <w:start w:val="1"/>
      <w:numFmt w:val="decimal"/>
      <w:lvlText w:val="%2)"/>
      <w:lvlJc w:val="left"/>
      <w:pPr>
        <w:ind w:left="1020" w:hanging="360"/>
      </w:pPr>
    </w:lvl>
    <w:lvl w:ilvl="2" w:tplc="64324568">
      <w:start w:val="1"/>
      <w:numFmt w:val="decimal"/>
      <w:lvlText w:val="%3)"/>
      <w:lvlJc w:val="left"/>
      <w:pPr>
        <w:ind w:left="1020" w:hanging="360"/>
      </w:pPr>
    </w:lvl>
    <w:lvl w:ilvl="3" w:tplc="14AC5158">
      <w:start w:val="1"/>
      <w:numFmt w:val="decimal"/>
      <w:lvlText w:val="%4)"/>
      <w:lvlJc w:val="left"/>
      <w:pPr>
        <w:ind w:left="1020" w:hanging="360"/>
      </w:pPr>
    </w:lvl>
    <w:lvl w:ilvl="4" w:tplc="21F4034A">
      <w:start w:val="1"/>
      <w:numFmt w:val="decimal"/>
      <w:lvlText w:val="%5)"/>
      <w:lvlJc w:val="left"/>
      <w:pPr>
        <w:ind w:left="1020" w:hanging="360"/>
      </w:pPr>
    </w:lvl>
    <w:lvl w:ilvl="5" w:tplc="986CF86A">
      <w:start w:val="1"/>
      <w:numFmt w:val="decimal"/>
      <w:lvlText w:val="%6)"/>
      <w:lvlJc w:val="left"/>
      <w:pPr>
        <w:ind w:left="1020" w:hanging="360"/>
      </w:pPr>
    </w:lvl>
    <w:lvl w:ilvl="6" w:tplc="94FAE3B6">
      <w:start w:val="1"/>
      <w:numFmt w:val="decimal"/>
      <w:lvlText w:val="%7)"/>
      <w:lvlJc w:val="left"/>
      <w:pPr>
        <w:ind w:left="1020" w:hanging="360"/>
      </w:pPr>
    </w:lvl>
    <w:lvl w:ilvl="7" w:tplc="601457B6">
      <w:start w:val="1"/>
      <w:numFmt w:val="decimal"/>
      <w:lvlText w:val="%8)"/>
      <w:lvlJc w:val="left"/>
      <w:pPr>
        <w:ind w:left="1020" w:hanging="360"/>
      </w:pPr>
    </w:lvl>
    <w:lvl w:ilvl="8" w:tplc="3BC8F510">
      <w:start w:val="1"/>
      <w:numFmt w:val="decimal"/>
      <w:lvlText w:val="%9)"/>
      <w:lvlJc w:val="left"/>
      <w:pPr>
        <w:ind w:left="1020" w:hanging="360"/>
      </w:pPr>
    </w:lvl>
  </w:abstractNum>
  <w:abstractNum w:abstractNumId="2" w15:restartNumberingAfterBreak="0">
    <w:nsid w:val="3A7730C4"/>
    <w:multiLevelType w:val="multilevel"/>
    <w:tmpl w:val="8E76E4AA"/>
    <w:name w:val="ListBullet1Numbering"/>
    <w:lvl w:ilvl="0">
      <w:start w:val="1"/>
      <w:numFmt w:val="bullet"/>
      <w:pStyle w:val="ListBullet1"/>
      <w:lvlText w:val=""/>
      <w:lvlJc w:val="left"/>
      <w:pPr>
        <w:tabs>
          <w:tab w:val="num" w:pos="992"/>
        </w:tabs>
        <w:ind w:left="992"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5F70265C"/>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6FFF47AD"/>
    <w:multiLevelType w:val="hybridMultilevel"/>
    <w:tmpl w:val="06925430"/>
    <w:lvl w:ilvl="0" w:tplc="07F46B30">
      <w:start w:val="1"/>
      <w:numFmt w:val="decimal"/>
      <w:lvlText w:val="%1)"/>
      <w:lvlJc w:val="left"/>
      <w:pPr>
        <w:ind w:left="1020" w:hanging="360"/>
      </w:pPr>
    </w:lvl>
    <w:lvl w:ilvl="1" w:tplc="67EEAEE6">
      <w:start w:val="1"/>
      <w:numFmt w:val="decimal"/>
      <w:lvlText w:val="%2)"/>
      <w:lvlJc w:val="left"/>
      <w:pPr>
        <w:ind w:left="1020" w:hanging="360"/>
      </w:pPr>
    </w:lvl>
    <w:lvl w:ilvl="2" w:tplc="37FC160C">
      <w:start w:val="1"/>
      <w:numFmt w:val="decimal"/>
      <w:lvlText w:val="%3)"/>
      <w:lvlJc w:val="left"/>
      <w:pPr>
        <w:ind w:left="1020" w:hanging="360"/>
      </w:pPr>
    </w:lvl>
    <w:lvl w:ilvl="3" w:tplc="41223A50">
      <w:start w:val="1"/>
      <w:numFmt w:val="decimal"/>
      <w:lvlText w:val="%4)"/>
      <w:lvlJc w:val="left"/>
      <w:pPr>
        <w:ind w:left="1020" w:hanging="360"/>
      </w:pPr>
    </w:lvl>
    <w:lvl w:ilvl="4" w:tplc="9F46A78E">
      <w:start w:val="1"/>
      <w:numFmt w:val="decimal"/>
      <w:lvlText w:val="%5)"/>
      <w:lvlJc w:val="left"/>
      <w:pPr>
        <w:ind w:left="1020" w:hanging="360"/>
      </w:pPr>
    </w:lvl>
    <w:lvl w:ilvl="5" w:tplc="629C65A6">
      <w:start w:val="1"/>
      <w:numFmt w:val="decimal"/>
      <w:lvlText w:val="%6)"/>
      <w:lvlJc w:val="left"/>
      <w:pPr>
        <w:ind w:left="1020" w:hanging="360"/>
      </w:pPr>
    </w:lvl>
    <w:lvl w:ilvl="6" w:tplc="EF380192">
      <w:start w:val="1"/>
      <w:numFmt w:val="decimal"/>
      <w:lvlText w:val="%7)"/>
      <w:lvlJc w:val="left"/>
      <w:pPr>
        <w:ind w:left="1020" w:hanging="360"/>
      </w:pPr>
    </w:lvl>
    <w:lvl w:ilvl="7" w:tplc="BF968A18">
      <w:start w:val="1"/>
      <w:numFmt w:val="decimal"/>
      <w:lvlText w:val="%8)"/>
      <w:lvlJc w:val="left"/>
      <w:pPr>
        <w:ind w:left="1020" w:hanging="360"/>
      </w:pPr>
    </w:lvl>
    <w:lvl w:ilvl="8" w:tplc="3E5483E0">
      <w:start w:val="1"/>
      <w:numFmt w:val="decimal"/>
      <w:lvlText w:val="%9)"/>
      <w:lvlJc w:val="left"/>
      <w:pPr>
        <w:ind w:left="1020" w:hanging="360"/>
      </w:pPr>
    </w:lvl>
  </w:abstractNum>
  <w:num w:numId="1">
    <w:abstractNumId w:val="0"/>
  </w:num>
  <w:num w:numId="2">
    <w:abstractNumId w:val="2"/>
  </w:num>
  <w:num w:numId="3">
    <w:abstractNumId w:val="3"/>
  </w:num>
  <w:num w:numId="4">
    <w:abstractNumId w:val="4"/>
  </w:num>
  <w:num w:numId="5">
    <w:abstractNumId w:val="1"/>
  </w:num>
  <w:num w:numId="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260884B-48F4-47DB-AF22-39A142275D36"/>
    <w:docVar w:name="LW_COVERPAGE_TYPE" w:val="1"/>
    <w:docVar w:name="LW_CROSSREFERENCE" w:val="{SWD(2026) 84 final}"/>
    <w:docVar w:name="LW_DocType" w:val="NORMAL"/>
    <w:docVar w:name="LW_EMISSION" w:val="10.3.2026"/>
    <w:docVar w:name="LW_EMISSION_ISODATE" w:val="2026-03-10"/>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2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ogramme indicatif nucléaire présenté en vertu de l\u8217?article 40 du traité Euratom \u8211? version finale (après avis du Comité économique et social européen)"/>
    <w:docVar w:name="LW_TYPE.DOC.CP" w:val="COMMUNICATION DE LA COMMISSION"/>
    <w:docVar w:name="LW_TYPE.DOC.CP.USERTEXT" w:val="&lt;EMPTY&gt;"/>
    <w:docVar w:name="LwApiVersions" w:val="LW4CoDe 1.24.5.0; LW 9.2, Build 20251112"/>
  </w:docVars>
  <w:rsids>
    <w:rsidRoot w:val="00670873"/>
    <w:rsid w:val="000008A1"/>
    <w:rsid w:val="00000B55"/>
    <w:rsid w:val="00000C55"/>
    <w:rsid w:val="00000C65"/>
    <w:rsid w:val="00000D2C"/>
    <w:rsid w:val="00000F8E"/>
    <w:rsid w:val="000010F9"/>
    <w:rsid w:val="000014D9"/>
    <w:rsid w:val="000014E8"/>
    <w:rsid w:val="000018AF"/>
    <w:rsid w:val="00001A40"/>
    <w:rsid w:val="00001CEC"/>
    <w:rsid w:val="00001CF5"/>
    <w:rsid w:val="000020C3"/>
    <w:rsid w:val="0000217A"/>
    <w:rsid w:val="0000238F"/>
    <w:rsid w:val="000023C4"/>
    <w:rsid w:val="000024B3"/>
    <w:rsid w:val="000028E2"/>
    <w:rsid w:val="00002C8B"/>
    <w:rsid w:val="00002F78"/>
    <w:rsid w:val="000030BA"/>
    <w:rsid w:val="00003219"/>
    <w:rsid w:val="000036C7"/>
    <w:rsid w:val="00003C18"/>
    <w:rsid w:val="00003F8E"/>
    <w:rsid w:val="000047AA"/>
    <w:rsid w:val="00004D1C"/>
    <w:rsid w:val="000055A8"/>
    <w:rsid w:val="000057AF"/>
    <w:rsid w:val="00005B98"/>
    <w:rsid w:val="00005CE0"/>
    <w:rsid w:val="00005F20"/>
    <w:rsid w:val="0000609F"/>
    <w:rsid w:val="00006215"/>
    <w:rsid w:val="0000642C"/>
    <w:rsid w:val="0000680E"/>
    <w:rsid w:val="000068AF"/>
    <w:rsid w:val="00006960"/>
    <w:rsid w:val="000069C0"/>
    <w:rsid w:val="00006AEA"/>
    <w:rsid w:val="00006EB7"/>
    <w:rsid w:val="00006F78"/>
    <w:rsid w:val="000072C2"/>
    <w:rsid w:val="0000773E"/>
    <w:rsid w:val="00007BCE"/>
    <w:rsid w:val="00007E4C"/>
    <w:rsid w:val="00007E62"/>
    <w:rsid w:val="00010093"/>
    <w:rsid w:val="000101C1"/>
    <w:rsid w:val="00010365"/>
    <w:rsid w:val="00010425"/>
    <w:rsid w:val="000107EC"/>
    <w:rsid w:val="0001080C"/>
    <w:rsid w:val="00010AAC"/>
    <w:rsid w:val="00011201"/>
    <w:rsid w:val="00011282"/>
    <w:rsid w:val="000114A3"/>
    <w:rsid w:val="000114A4"/>
    <w:rsid w:val="00011897"/>
    <w:rsid w:val="00011BCA"/>
    <w:rsid w:val="00011D69"/>
    <w:rsid w:val="00011DD6"/>
    <w:rsid w:val="00013271"/>
    <w:rsid w:val="000134A4"/>
    <w:rsid w:val="00013A63"/>
    <w:rsid w:val="00013C98"/>
    <w:rsid w:val="00013CF0"/>
    <w:rsid w:val="0001416B"/>
    <w:rsid w:val="00014E49"/>
    <w:rsid w:val="00014F52"/>
    <w:rsid w:val="0001516B"/>
    <w:rsid w:val="00015204"/>
    <w:rsid w:val="00015739"/>
    <w:rsid w:val="00015857"/>
    <w:rsid w:val="0001591F"/>
    <w:rsid w:val="00015B06"/>
    <w:rsid w:val="00015C06"/>
    <w:rsid w:val="00015FEB"/>
    <w:rsid w:val="00015FEC"/>
    <w:rsid w:val="00016323"/>
    <w:rsid w:val="00016896"/>
    <w:rsid w:val="0001698F"/>
    <w:rsid w:val="00016A68"/>
    <w:rsid w:val="00016EF0"/>
    <w:rsid w:val="00016F30"/>
    <w:rsid w:val="00017223"/>
    <w:rsid w:val="000173A1"/>
    <w:rsid w:val="0001778C"/>
    <w:rsid w:val="00017A5A"/>
    <w:rsid w:val="00017BD6"/>
    <w:rsid w:val="00017C2A"/>
    <w:rsid w:val="00017F56"/>
    <w:rsid w:val="000202D4"/>
    <w:rsid w:val="00020AC0"/>
    <w:rsid w:val="00020D01"/>
    <w:rsid w:val="00021114"/>
    <w:rsid w:val="000213D1"/>
    <w:rsid w:val="000213DE"/>
    <w:rsid w:val="00021496"/>
    <w:rsid w:val="0002157F"/>
    <w:rsid w:val="00021702"/>
    <w:rsid w:val="00021D56"/>
    <w:rsid w:val="00021EF3"/>
    <w:rsid w:val="00021F42"/>
    <w:rsid w:val="000220A3"/>
    <w:rsid w:val="00022297"/>
    <w:rsid w:val="000225F5"/>
    <w:rsid w:val="000229C4"/>
    <w:rsid w:val="00022BE9"/>
    <w:rsid w:val="000230EC"/>
    <w:rsid w:val="000231F4"/>
    <w:rsid w:val="0002334A"/>
    <w:rsid w:val="000234C1"/>
    <w:rsid w:val="0002354F"/>
    <w:rsid w:val="000235B7"/>
    <w:rsid w:val="000238AE"/>
    <w:rsid w:val="000239F9"/>
    <w:rsid w:val="00023DA5"/>
    <w:rsid w:val="00023F5A"/>
    <w:rsid w:val="000240BD"/>
    <w:rsid w:val="000244E4"/>
    <w:rsid w:val="0002478E"/>
    <w:rsid w:val="0002482F"/>
    <w:rsid w:val="00024ABC"/>
    <w:rsid w:val="0002559C"/>
    <w:rsid w:val="000256E5"/>
    <w:rsid w:val="00025732"/>
    <w:rsid w:val="000257F9"/>
    <w:rsid w:val="00025896"/>
    <w:rsid w:val="0002589B"/>
    <w:rsid w:val="00025A3E"/>
    <w:rsid w:val="00025B9E"/>
    <w:rsid w:val="00025FA1"/>
    <w:rsid w:val="00025FB1"/>
    <w:rsid w:val="000260E0"/>
    <w:rsid w:val="000262C8"/>
    <w:rsid w:val="0002632A"/>
    <w:rsid w:val="000268C8"/>
    <w:rsid w:val="000268E0"/>
    <w:rsid w:val="0002692D"/>
    <w:rsid w:val="00027927"/>
    <w:rsid w:val="00027D46"/>
    <w:rsid w:val="00027D51"/>
    <w:rsid w:val="00027F26"/>
    <w:rsid w:val="0003022F"/>
    <w:rsid w:val="0003038E"/>
    <w:rsid w:val="00030ACE"/>
    <w:rsid w:val="00030C71"/>
    <w:rsid w:val="00030E70"/>
    <w:rsid w:val="00030F00"/>
    <w:rsid w:val="000311D2"/>
    <w:rsid w:val="000316AC"/>
    <w:rsid w:val="0003175A"/>
    <w:rsid w:val="0003176E"/>
    <w:rsid w:val="00031A58"/>
    <w:rsid w:val="00031ACC"/>
    <w:rsid w:val="00032128"/>
    <w:rsid w:val="00032173"/>
    <w:rsid w:val="00032377"/>
    <w:rsid w:val="000324BE"/>
    <w:rsid w:val="000324DD"/>
    <w:rsid w:val="000325D8"/>
    <w:rsid w:val="0003279C"/>
    <w:rsid w:val="00032922"/>
    <w:rsid w:val="00032C85"/>
    <w:rsid w:val="00032D75"/>
    <w:rsid w:val="0003313D"/>
    <w:rsid w:val="000333D6"/>
    <w:rsid w:val="000333F0"/>
    <w:rsid w:val="000337B5"/>
    <w:rsid w:val="00033D25"/>
    <w:rsid w:val="000341AD"/>
    <w:rsid w:val="00034359"/>
    <w:rsid w:val="00034711"/>
    <w:rsid w:val="000347EA"/>
    <w:rsid w:val="000348AC"/>
    <w:rsid w:val="00034CAD"/>
    <w:rsid w:val="00035955"/>
    <w:rsid w:val="00035B2C"/>
    <w:rsid w:val="000365C4"/>
    <w:rsid w:val="00036605"/>
    <w:rsid w:val="00036DA8"/>
    <w:rsid w:val="00036E42"/>
    <w:rsid w:val="00036F32"/>
    <w:rsid w:val="00036FD4"/>
    <w:rsid w:val="00037006"/>
    <w:rsid w:val="00037450"/>
    <w:rsid w:val="000374C2"/>
    <w:rsid w:val="00037721"/>
    <w:rsid w:val="000378B5"/>
    <w:rsid w:val="00037BF9"/>
    <w:rsid w:val="00037DDF"/>
    <w:rsid w:val="00037E22"/>
    <w:rsid w:val="00037F3B"/>
    <w:rsid w:val="00040016"/>
    <w:rsid w:val="00040220"/>
    <w:rsid w:val="000402DB"/>
    <w:rsid w:val="00040474"/>
    <w:rsid w:val="000404E4"/>
    <w:rsid w:val="00040D23"/>
    <w:rsid w:val="00040F49"/>
    <w:rsid w:val="00040FDC"/>
    <w:rsid w:val="0004102E"/>
    <w:rsid w:val="000412EA"/>
    <w:rsid w:val="00041745"/>
    <w:rsid w:val="00041919"/>
    <w:rsid w:val="000419F7"/>
    <w:rsid w:val="00041AAC"/>
    <w:rsid w:val="00041AE3"/>
    <w:rsid w:val="00041D63"/>
    <w:rsid w:val="00041EFD"/>
    <w:rsid w:val="00041F13"/>
    <w:rsid w:val="00042520"/>
    <w:rsid w:val="0004257E"/>
    <w:rsid w:val="000428D3"/>
    <w:rsid w:val="00042957"/>
    <w:rsid w:val="00042D72"/>
    <w:rsid w:val="00043239"/>
    <w:rsid w:val="0004341E"/>
    <w:rsid w:val="0004361A"/>
    <w:rsid w:val="00043D31"/>
    <w:rsid w:val="00043EC4"/>
    <w:rsid w:val="0004408F"/>
    <w:rsid w:val="000442E4"/>
    <w:rsid w:val="00044654"/>
    <w:rsid w:val="000446F1"/>
    <w:rsid w:val="0004476A"/>
    <w:rsid w:val="00044894"/>
    <w:rsid w:val="000448C5"/>
    <w:rsid w:val="00044A2F"/>
    <w:rsid w:val="00044D61"/>
    <w:rsid w:val="00044DB7"/>
    <w:rsid w:val="00044E11"/>
    <w:rsid w:val="00044E4A"/>
    <w:rsid w:val="000452C7"/>
    <w:rsid w:val="00045955"/>
    <w:rsid w:val="00046167"/>
    <w:rsid w:val="0004643C"/>
    <w:rsid w:val="000465E1"/>
    <w:rsid w:val="00046640"/>
    <w:rsid w:val="00046695"/>
    <w:rsid w:val="00046779"/>
    <w:rsid w:val="00046BFD"/>
    <w:rsid w:val="00046C66"/>
    <w:rsid w:val="0004770E"/>
    <w:rsid w:val="00047902"/>
    <w:rsid w:val="000500D2"/>
    <w:rsid w:val="0005031B"/>
    <w:rsid w:val="000507B8"/>
    <w:rsid w:val="000508A4"/>
    <w:rsid w:val="000508BA"/>
    <w:rsid w:val="00050A31"/>
    <w:rsid w:val="00050E55"/>
    <w:rsid w:val="00051055"/>
    <w:rsid w:val="000512A2"/>
    <w:rsid w:val="000512A6"/>
    <w:rsid w:val="00051690"/>
    <w:rsid w:val="00051E6A"/>
    <w:rsid w:val="00051E8C"/>
    <w:rsid w:val="00051EB8"/>
    <w:rsid w:val="00051EDE"/>
    <w:rsid w:val="000520F6"/>
    <w:rsid w:val="00052322"/>
    <w:rsid w:val="000523D2"/>
    <w:rsid w:val="000525D0"/>
    <w:rsid w:val="0005273E"/>
    <w:rsid w:val="00052D62"/>
    <w:rsid w:val="00052EA4"/>
    <w:rsid w:val="00053188"/>
    <w:rsid w:val="000533A3"/>
    <w:rsid w:val="000533D1"/>
    <w:rsid w:val="00053639"/>
    <w:rsid w:val="00053771"/>
    <w:rsid w:val="00053CC7"/>
    <w:rsid w:val="00053ED4"/>
    <w:rsid w:val="00053F34"/>
    <w:rsid w:val="00053FA9"/>
    <w:rsid w:val="00054633"/>
    <w:rsid w:val="00054985"/>
    <w:rsid w:val="000549F8"/>
    <w:rsid w:val="00054A20"/>
    <w:rsid w:val="00054A7D"/>
    <w:rsid w:val="00054BE4"/>
    <w:rsid w:val="00054EE2"/>
    <w:rsid w:val="00055374"/>
    <w:rsid w:val="00055CE1"/>
    <w:rsid w:val="00055FA1"/>
    <w:rsid w:val="000564ED"/>
    <w:rsid w:val="00056568"/>
    <w:rsid w:val="000568B0"/>
    <w:rsid w:val="000568F2"/>
    <w:rsid w:val="00056ACE"/>
    <w:rsid w:val="00056B0E"/>
    <w:rsid w:val="00056D1F"/>
    <w:rsid w:val="00056E8D"/>
    <w:rsid w:val="00057AE2"/>
    <w:rsid w:val="00057EF0"/>
    <w:rsid w:val="0006074D"/>
    <w:rsid w:val="00060812"/>
    <w:rsid w:val="00060B04"/>
    <w:rsid w:val="00061042"/>
    <w:rsid w:val="00061923"/>
    <w:rsid w:val="00061B8E"/>
    <w:rsid w:val="00061C32"/>
    <w:rsid w:val="00061E78"/>
    <w:rsid w:val="0006263F"/>
    <w:rsid w:val="00062718"/>
    <w:rsid w:val="0006299D"/>
    <w:rsid w:val="00062C4F"/>
    <w:rsid w:val="00062CB7"/>
    <w:rsid w:val="00062FCA"/>
    <w:rsid w:val="00063260"/>
    <w:rsid w:val="00063346"/>
    <w:rsid w:val="00063810"/>
    <w:rsid w:val="00063881"/>
    <w:rsid w:val="00063BE3"/>
    <w:rsid w:val="00063BEF"/>
    <w:rsid w:val="00063C2C"/>
    <w:rsid w:val="00063CC9"/>
    <w:rsid w:val="00064145"/>
    <w:rsid w:val="0006425E"/>
    <w:rsid w:val="000642B8"/>
    <w:rsid w:val="00064C73"/>
    <w:rsid w:val="00064C9C"/>
    <w:rsid w:val="00064CF9"/>
    <w:rsid w:val="00064D94"/>
    <w:rsid w:val="000651A0"/>
    <w:rsid w:val="00065275"/>
    <w:rsid w:val="00065754"/>
    <w:rsid w:val="00065946"/>
    <w:rsid w:val="00065AF5"/>
    <w:rsid w:val="00065C32"/>
    <w:rsid w:val="00065CBA"/>
    <w:rsid w:val="00065E09"/>
    <w:rsid w:val="00065F1B"/>
    <w:rsid w:val="0006680E"/>
    <w:rsid w:val="0006690A"/>
    <w:rsid w:val="000669E4"/>
    <w:rsid w:val="00066E94"/>
    <w:rsid w:val="00066FBD"/>
    <w:rsid w:val="000672EA"/>
    <w:rsid w:val="00067895"/>
    <w:rsid w:val="00067A38"/>
    <w:rsid w:val="00067BC2"/>
    <w:rsid w:val="00067F92"/>
    <w:rsid w:val="00067FAD"/>
    <w:rsid w:val="000701BE"/>
    <w:rsid w:val="00070469"/>
    <w:rsid w:val="00070C7C"/>
    <w:rsid w:val="000712A5"/>
    <w:rsid w:val="00071506"/>
    <w:rsid w:val="00071C2E"/>
    <w:rsid w:val="00071F02"/>
    <w:rsid w:val="00072265"/>
    <w:rsid w:val="00072A5C"/>
    <w:rsid w:val="00072E9B"/>
    <w:rsid w:val="00072F5C"/>
    <w:rsid w:val="000730E8"/>
    <w:rsid w:val="000734E1"/>
    <w:rsid w:val="0007386D"/>
    <w:rsid w:val="00073A41"/>
    <w:rsid w:val="00073A98"/>
    <w:rsid w:val="00073B7B"/>
    <w:rsid w:val="00073C9E"/>
    <w:rsid w:val="00073CF2"/>
    <w:rsid w:val="00073E36"/>
    <w:rsid w:val="00073E5A"/>
    <w:rsid w:val="0007410F"/>
    <w:rsid w:val="0007436E"/>
    <w:rsid w:val="000746F1"/>
    <w:rsid w:val="0007477F"/>
    <w:rsid w:val="00074C07"/>
    <w:rsid w:val="00074CE6"/>
    <w:rsid w:val="000753F0"/>
    <w:rsid w:val="0007545A"/>
    <w:rsid w:val="00075759"/>
    <w:rsid w:val="000757FF"/>
    <w:rsid w:val="00075ED3"/>
    <w:rsid w:val="000760BF"/>
    <w:rsid w:val="0007625B"/>
    <w:rsid w:val="0007625F"/>
    <w:rsid w:val="00076667"/>
    <w:rsid w:val="00076C59"/>
    <w:rsid w:val="000771F9"/>
    <w:rsid w:val="000774FD"/>
    <w:rsid w:val="0007764E"/>
    <w:rsid w:val="00077676"/>
    <w:rsid w:val="000778B5"/>
    <w:rsid w:val="00077B7F"/>
    <w:rsid w:val="00077BE4"/>
    <w:rsid w:val="00077C26"/>
    <w:rsid w:val="000802E7"/>
    <w:rsid w:val="0008070C"/>
    <w:rsid w:val="00081206"/>
    <w:rsid w:val="0008125D"/>
    <w:rsid w:val="000814E7"/>
    <w:rsid w:val="00081503"/>
    <w:rsid w:val="000817FA"/>
    <w:rsid w:val="000819E3"/>
    <w:rsid w:val="00081B6B"/>
    <w:rsid w:val="00081C9B"/>
    <w:rsid w:val="000823A1"/>
    <w:rsid w:val="000824DF"/>
    <w:rsid w:val="00082533"/>
    <w:rsid w:val="000825E5"/>
    <w:rsid w:val="0008275B"/>
    <w:rsid w:val="00083128"/>
    <w:rsid w:val="0008314A"/>
    <w:rsid w:val="0008330E"/>
    <w:rsid w:val="0008371D"/>
    <w:rsid w:val="000839E4"/>
    <w:rsid w:val="000840E0"/>
    <w:rsid w:val="00084501"/>
    <w:rsid w:val="00084508"/>
    <w:rsid w:val="00084652"/>
    <w:rsid w:val="0008475A"/>
    <w:rsid w:val="0008493E"/>
    <w:rsid w:val="000853D4"/>
    <w:rsid w:val="000856F3"/>
    <w:rsid w:val="0008576E"/>
    <w:rsid w:val="00085C44"/>
    <w:rsid w:val="00086195"/>
    <w:rsid w:val="000861C4"/>
    <w:rsid w:val="000861F0"/>
    <w:rsid w:val="00086E88"/>
    <w:rsid w:val="00087198"/>
    <w:rsid w:val="00087770"/>
    <w:rsid w:val="000877C5"/>
    <w:rsid w:val="00087D64"/>
    <w:rsid w:val="00087EB0"/>
    <w:rsid w:val="00087EB9"/>
    <w:rsid w:val="00087EC0"/>
    <w:rsid w:val="0009022A"/>
    <w:rsid w:val="00090A57"/>
    <w:rsid w:val="00090AE2"/>
    <w:rsid w:val="00090DE7"/>
    <w:rsid w:val="00090F5C"/>
    <w:rsid w:val="000910BE"/>
    <w:rsid w:val="00091544"/>
    <w:rsid w:val="000919CE"/>
    <w:rsid w:val="00091A63"/>
    <w:rsid w:val="00092341"/>
    <w:rsid w:val="0009237B"/>
    <w:rsid w:val="00092584"/>
    <w:rsid w:val="0009258A"/>
    <w:rsid w:val="0009290E"/>
    <w:rsid w:val="00092FF8"/>
    <w:rsid w:val="0009319D"/>
    <w:rsid w:val="000933D7"/>
    <w:rsid w:val="0009352A"/>
    <w:rsid w:val="0009356C"/>
    <w:rsid w:val="000935CB"/>
    <w:rsid w:val="000937BB"/>
    <w:rsid w:val="0009386A"/>
    <w:rsid w:val="00093912"/>
    <w:rsid w:val="00093CBF"/>
    <w:rsid w:val="00093E01"/>
    <w:rsid w:val="0009416E"/>
    <w:rsid w:val="000941B1"/>
    <w:rsid w:val="00094746"/>
    <w:rsid w:val="000947E0"/>
    <w:rsid w:val="00094887"/>
    <w:rsid w:val="00094CA6"/>
    <w:rsid w:val="00094EA6"/>
    <w:rsid w:val="00094F3D"/>
    <w:rsid w:val="0009514B"/>
    <w:rsid w:val="00095292"/>
    <w:rsid w:val="00095AAE"/>
    <w:rsid w:val="00095B77"/>
    <w:rsid w:val="00095C29"/>
    <w:rsid w:val="00095E84"/>
    <w:rsid w:val="000961A3"/>
    <w:rsid w:val="00096293"/>
    <w:rsid w:val="00096902"/>
    <w:rsid w:val="0009698D"/>
    <w:rsid w:val="00096E55"/>
    <w:rsid w:val="00096EA8"/>
    <w:rsid w:val="0009708B"/>
    <w:rsid w:val="00097331"/>
    <w:rsid w:val="00097886"/>
    <w:rsid w:val="00097953"/>
    <w:rsid w:val="00097BD2"/>
    <w:rsid w:val="00097DC7"/>
    <w:rsid w:val="000A0306"/>
    <w:rsid w:val="000A0547"/>
    <w:rsid w:val="000A0566"/>
    <w:rsid w:val="000A0627"/>
    <w:rsid w:val="000A0649"/>
    <w:rsid w:val="000A0700"/>
    <w:rsid w:val="000A0B96"/>
    <w:rsid w:val="000A0D83"/>
    <w:rsid w:val="000A1091"/>
    <w:rsid w:val="000A128E"/>
    <w:rsid w:val="000A15DA"/>
    <w:rsid w:val="000A195E"/>
    <w:rsid w:val="000A19B2"/>
    <w:rsid w:val="000A1C22"/>
    <w:rsid w:val="000A201D"/>
    <w:rsid w:val="000A2303"/>
    <w:rsid w:val="000A2319"/>
    <w:rsid w:val="000A2424"/>
    <w:rsid w:val="000A2A53"/>
    <w:rsid w:val="000A2A6F"/>
    <w:rsid w:val="000A2A8A"/>
    <w:rsid w:val="000A2F60"/>
    <w:rsid w:val="000A308F"/>
    <w:rsid w:val="000A3151"/>
    <w:rsid w:val="000A3181"/>
    <w:rsid w:val="000A3850"/>
    <w:rsid w:val="000A38AD"/>
    <w:rsid w:val="000A3B36"/>
    <w:rsid w:val="000A412A"/>
    <w:rsid w:val="000A41A8"/>
    <w:rsid w:val="000A45D8"/>
    <w:rsid w:val="000A483E"/>
    <w:rsid w:val="000A49CB"/>
    <w:rsid w:val="000A4CA0"/>
    <w:rsid w:val="000A527E"/>
    <w:rsid w:val="000A5611"/>
    <w:rsid w:val="000A5667"/>
    <w:rsid w:val="000A583A"/>
    <w:rsid w:val="000A5850"/>
    <w:rsid w:val="000A5934"/>
    <w:rsid w:val="000A5F2D"/>
    <w:rsid w:val="000A61FA"/>
    <w:rsid w:val="000A6474"/>
    <w:rsid w:val="000A6485"/>
    <w:rsid w:val="000A65AA"/>
    <w:rsid w:val="000A6D14"/>
    <w:rsid w:val="000A7365"/>
    <w:rsid w:val="000A7568"/>
    <w:rsid w:val="000A785B"/>
    <w:rsid w:val="000A7901"/>
    <w:rsid w:val="000A7C1E"/>
    <w:rsid w:val="000A7D22"/>
    <w:rsid w:val="000B00C0"/>
    <w:rsid w:val="000B0406"/>
    <w:rsid w:val="000B04AA"/>
    <w:rsid w:val="000B04F7"/>
    <w:rsid w:val="000B054B"/>
    <w:rsid w:val="000B064C"/>
    <w:rsid w:val="000B0662"/>
    <w:rsid w:val="000B06BC"/>
    <w:rsid w:val="000B0B47"/>
    <w:rsid w:val="000B10F6"/>
    <w:rsid w:val="000B1310"/>
    <w:rsid w:val="000B1965"/>
    <w:rsid w:val="000B1D0E"/>
    <w:rsid w:val="000B1FCA"/>
    <w:rsid w:val="000B280F"/>
    <w:rsid w:val="000B28DC"/>
    <w:rsid w:val="000B3316"/>
    <w:rsid w:val="000B34D1"/>
    <w:rsid w:val="000B3509"/>
    <w:rsid w:val="000B40A5"/>
    <w:rsid w:val="000B4619"/>
    <w:rsid w:val="000B4802"/>
    <w:rsid w:val="000B4C5A"/>
    <w:rsid w:val="000B55CA"/>
    <w:rsid w:val="000B59E0"/>
    <w:rsid w:val="000B5BA2"/>
    <w:rsid w:val="000B61F7"/>
    <w:rsid w:val="000B6363"/>
    <w:rsid w:val="000B638F"/>
    <w:rsid w:val="000B6448"/>
    <w:rsid w:val="000B64E3"/>
    <w:rsid w:val="000B6550"/>
    <w:rsid w:val="000B666F"/>
    <w:rsid w:val="000B700E"/>
    <w:rsid w:val="000B7132"/>
    <w:rsid w:val="000B72AC"/>
    <w:rsid w:val="000B76D8"/>
    <w:rsid w:val="000B7B84"/>
    <w:rsid w:val="000B7EA1"/>
    <w:rsid w:val="000C0062"/>
    <w:rsid w:val="000C0363"/>
    <w:rsid w:val="000C063D"/>
    <w:rsid w:val="000C08B9"/>
    <w:rsid w:val="000C0BE3"/>
    <w:rsid w:val="000C0BF2"/>
    <w:rsid w:val="000C0C96"/>
    <w:rsid w:val="000C0D9C"/>
    <w:rsid w:val="000C0E15"/>
    <w:rsid w:val="000C11C4"/>
    <w:rsid w:val="000C1613"/>
    <w:rsid w:val="000C180B"/>
    <w:rsid w:val="000C1AD3"/>
    <w:rsid w:val="000C232E"/>
    <w:rsid w:val="000C2388"/>
    <w:rsid w:val="000C260F"/>
    <w:rsid w:val="000C279A"/>
    <w:rsid w:val="000C2B69"/>
    <w:rsid w:val="000C2BA8"/>
    <w:rsid w:val="000C2C0A"/>
    <w:rsid w:val="000C2E17"/>
    <w:rsid w:val="000C2FA0"/>
    <w:rsid w:val="000C3077"/>
    <w:rsid w:val="000C32A4"/>
    <w:rsid w:val="000C342E"/>
    <w:rsid w:val="000C372C"/>
    <w:rsid w:val="000C374B"/>
    <w:rsid w:val="000C3A73"/>
    <w:rsid w:val="000C3B1A"/>
    <w:rsid w:val="000C3D33"/>
    <w:rsid w:val="000C3D71"/>
    <w:rsid w:val="000C3E64"/>
    <w:rsid w:val="000C3FA6"/>
    <w:rsid w:val="000C4092"/>
    <w:rsid w:val="000C421E"/>
    <w:rsid w:val="000C4750"/>
    <w:rsid w:val="000C4859"/>
    <w:rsid w:val="000C4B0E"/>
    <w:rsid w:val="000C4E40"/>
    <w:rsid w:val="000C51B5"/>
    <w:rsid w:val="000C52D1"/>
    <w:rsid w:val="000C5576"/>
    <w:rsid w:val="000C572A"/>
    <w:rsid w:val="000C5B03"/>
    <w:rsid w:val="000C5B81"/>
    <w:rsid w:val="000C5BC8"/>
    <w:rsid w:val="000C5C10"/>
    <w:rsid w:val="000C5CEB"/>
    <w:rsid w:val="000C5F51"/>
    <w:rsid w:val="000C5FC1"/>
    <w:rsid w:val="000C6329"/>
    <w:rsid w:val="000C6841"/>
    <w:rsid w:val="000C6D27"/>
    <w:rsid w:val="000C7206"/>
    <w:rsid w:val="000C72F4"/>
    <w:rsid w:val="000C7344"/>
    <w:rsid w:val="000C7607"/>
    <w:rsid w:val="000C798F"/>
    <w:rsid w:val="000C7C87"/>
    <w:rsid w:val="000D00AB"/>
    <w:rsid w:val="000D0398"/>
    <w:rsid w:val="000D046C"/>
    <w:rsid w:val="000D0564"/>
    <w:rsid w:val="000D0CF4"/>
    <w:rsid w:val="000D176C"/>
    <w:rsid w:val="000D18D4"/>
    <w:rsid w:val="000D19A8"/>
    <w:rsid w:val="000D1CCC"/>
    <w:rsid w:val="000D1F7A"/>
    <w:rsid w:val="000D26ED"/>
    <w:rsid w:val="000D28CA"/>
    <w:rsid w:val="000D2BD4"/>
    <w:rsid w:val="000D33A7"/>
    <w:rsid w:val="000D34F3"/>
    <w:rsid w:val="000D3A1C"/>
    <w:rsid w:val="000D427D"/>
    <w:rsid w:val="000D4912"/>
    <w:rsid w:val="000D4ACD"/>
    <w:rsid w:val="000D4F8D"/>
    <w:rsid w:val="000D513E"/>
    <w:rsid w:val="000D52B5"/>
    <w:rsid w:val="000D58EC"/>
    <w:rsid w:val="000D5A85"/>
    <w:rsid w:val="000D5B76"/>
    <w:rsid w:val="000D5C63"/>
    <w:rsid w:val="000D5D7B"/>
    <w:rsid w:val="000D5E2A"/>
    <w:rsid w:val="000D5ED0"/>
    <w:rsid w:val="000D5FA2"/>
    <w:rsid w:val="000D630D"/>
    <w:rsid w:val="000D6379"/>
    <w:rsid w:val="000D66BA"/>
    <w:rsid w:val="000D6B41"/>
    <w:rsid w:val="000D6BC1"/>
    <w:rsid w:val="000D7223"/>
    <w:rsid w:val="000D73CB"/>
    <w:rsid w:val="000D767B"/>
    <w:rsid w:val="000D7A9F"/>
    <w:rsid w:val="000D7AAA"/>
    <w:rsid w:val="000D7AB3"/>
    <w:rsid w:val="000D7D7F"/>
    <w:rsid w:val="000E000F"/>
    <w:rsid w:val="000E0402"/>
    <w:rsid w:val="000E0457"/>
    <w:rsid w:val="000E04CF"/>
    <w:rsid w:val="000E0516"/>
    <w:rsid w:val="000E0A08"/>
    <w:rsid w:val="000E0DC2"/>
    <w:rsid w:val="000E125F"/>
    <w:rsid w:val="000E1322"/>
    <w:rsid w:val="000E1796"/>
    <w:rsid w:val="000E1B53"/>
    <w:rsid w:val="000E1CCD"/>
    <w:rsid w:val="000E1FBC"/>
    <w:rsid w:val="000E215A"/>
    <w:rsid w:val="000E22C4"/>
    <w:rsid w:val="000E25CB"/>
    <w:rsid w:val="000E2696"/>
    <w:rsid w:val="000E28D8"/>
    <w:rsid w:val="000E2B92"/>
    <w:rsid w:val="000E2DBF"/>
    <w:rsid w:val="000E306A"/>
    <w:rsid w:val="000E3248"/>
    <w:rsid w:val="000E3303"/>
    <w:rsid w:val="000E3678"/>
    <w:rsid w:val="000E3E41"/>
    <w:rsid w:val="000E42C5"/>
    <w:rsid w:val="000E4A7D"/>
    <w:rsid w:val="000E4AB1"/>
    <w:rsid w:val="000E4B5A"/>
    <w:rsid w:val="000E50B6"/>
    <w:rsid w:val="000E51B1"/>
    <w:rsid w:val="000E5422"/>
    <w:rsid w:val="000E5476"/>
    <w:rsid w:val="000E58DC"/>
    <w:rsid w:val="000E58F9"/>
    <w:rsid w:val="000E5A0E"/>
    <w:rsid w:val="000E5A37"/>
    <w:rsid w:val="000E5BE6"/>
    <w:rsid w:val="000E626B"/>
    <w:rsid w:val="000E6DE7"/>
    <w:rsid w:val="000E735B"/>
    <w:rsid w:val="000E7ED4"/>
    <w:rsid w:val="000F008F"/>
    <w:rsid w:val="000F0951"/>
    <w:rsid w:val="000F0ADA"/>
    <w:rsid w:val="000F0DEA"/>
    <w:rsid w:val="000F0EDA"/>
    <w:rsid w:val="000F123B"/>
    <w:rsid w:val="000F12D4"/>
    <w:rsid w:val="000F12EB"/>
    <w:rsid w:val="000F1771"/>
    <w:rsid w:val="000F17F5"/>
    <w:rsid w:val="000F18C1"/>
    <w:rsid w:val="000F1B05"/>
    <w:rsid w:val="000F1BCE"/>
    <w:rsid w:val="000F1C4E"/>
    <w:rsid w:val="000F1F2C"/>
    <w:rsid w:val="000F24BA"/>
    <w:rsid w:val="000F280E"/>
    <w:rsid w:val="000F2A14"/>
    <w:rsid w:val="000F2A99"/>
    <w:rsid w:val="000F2C52"/>
    <w:rsid w:val="000F2EE3"/>
    <w:rsid w:val="000F30D5"/>
    <w:rsid w:val="000F388A"/>
    <w:rsid w:val="000F4213"/>
    <w:rsid w:val="000F4315"/>
    <w:rsid w:val="000F44AE"/>
    <w:rsid w:val="000F4613"/>
    <w:rsid w:val="000F47EB"/>
    <w:rsid w:val="000F4B01"/>
    <w:rsid w:val="000F4B08"/>
    <w:rsid w:val="000F4BB9"/>
    <w:rsid w:val="000F4BCB"/>
    <w:rsid w:val="000F4D5C"/>
    <w:rsid w:val="000F4F81"/>
    <w:rsid w:val="000F50FF"/>
    <w:rsid w:val="000F5249"/>
    <w:rsid w:val="000F5317"/>
    <w:rsid w:val="000F5407"/>
    <w:rsid w:val="000F59F4"/>
    <w:rsid w:val="000F5C6A"/>
    <w:rsid w:val="000F5DFC"/>
    <w:rsid w:val="000F6140"/>
    <w:rsid w:val="000F6178"/>
    <w:rsid w:val="000F63DA"/>
    <w:rsid w:val="000F650B"/>
    <w:rsid w:val="000F6657"/>
    <w:rsid w:val="000F6720"/>
    <w:rsid w:val="000F6FD0"/>
    <w:rsid w:val="000F7054"/>
    <w:rsid w:val="000F73C2"/>
    <w:rsid w:val="000F787A"/>
    <w:rsid w:val="000F7A97"/>
    <w:rsid w:val="000F7AD1"/>
    <w:rsid w:val="000F7C04"/>
    <w:rsid w:val="000F7D67"/>
    <w:rsid w:val="00100379"/>
    <w:rsid w:val="0010051A"/>
    <w:rsid w:val="0010089A"/>
    <w:rsid w:val="0010089F"/>
    <w:rsid w:val="00101304"/>
    <w:rsid w:val="0010139B"/>
    <w:rsid w:val="00101665"/>
    <w:rsid w:val="001018DC"/>
    <w:rsid w:val="0010198A"/>
    <w:rsid w:val="00101AA1"/>
    <w:rsid w:val="00101B24"/>
    <w:rsid w:val="00101B6D"/>
    <w:rsid w:val="00101C19"/>
    <w:rsid w:val="00101FCB"/>
    <w:rsid w:val="001020B9"/>
    <w:rsid w:val="0010216B"/>
    <w:rsid w:val="001026A6"/>
    <w:rsid w:val="0010270E"/>
    <w:rsid w:val="00102B2A"/>
    <w:rsid w:val="00102B90"/>
    <w:rsid w:val="00102D67"/>
    <w:rsid w:val="001035CE"/>
    <w:rsid w:val="001038F6"/>
    <w:rsid w:val="00103A4A"/>
    <w:rsid w:val="00103A50"/>
    <w:rsid w:val="00103AFE"/>
    <w:rsid w:val="00103D4C"/>
    <w:rsid w:val="00103D9E"/>
    <w:rsid w:val="00103DD1"/>
    <w:rsid w:val="0010417E"/>
    <w:rsid w:val="001041A5"/>
    <w:rsid w:val="001041B0"/>
    <w:rsid w:val="00104643"/>
    <w:rsid w:val="001047A1"/>
    <w:rsid w:val="00104DE6"/>
    <w:rsid w:val="00104E16"/>
    <w:rsid w:val="001055E3"/>
    <w:rsid w:val="0010561F"/>
    <w:rsid w:val="001056B5"/>
    <w:rsid w:val="001057C3"/>
    <w:rsid w:val="00105D3A"/>
    <w:rsid w:val="00105D52"/>
    <w:rsid w:val="00106048"/>
    <w:rsid w:val="0010610C"/>
    <w:rsid w:val="00106861"/>
    <w:rsid w:val="00106F29"/>
    <w:rsid w:val="00106F5F"/>
    <w:rsid w:val="00107001"/>
    <w:rsid w:val="00107023"/>
    <w:rsid w:val="00107468"/>
    <w:rsid w:val="001074F9"/>
    <w:rsid w:val="001078FA"/>
    <w:rsid w:val="00107CE3"/>
    <w:rsid w:val="00107D98"/>
    <w:rsid w:val="001100BE"/>
    <w:rsid w:val="001103B2"/>
    <w:rsid w:val="00110589"/>
    <w:rsid w:val="00110602"/>
    <w:rsid w:val="00110E8D"/>
    <w:rsid w:val="00110F22"/>
    <w:rsid w:val="00110F52"/>
    <w:rsid w:val="00110F9F"/>
    <w:rsid w:val="001112C6"/>
    <w:rsid w:val="00111424"/>
    <w:rsid w:val="00111531"/>
    <w:rsid w:val="00111D78"/>
    <w:rsid w:val="00111DAD"/>
    <w:rsid w:val="00111FBE"/>
    <w:rsid w:val="001123BB"/>
    <w:rsid w:val="001123F0"/>
    <w:rsid w:val="00112844"/>
    <w:rsid w:val="00112859"/>
    <w:rsid w:val="00112C58"/>
    <w:rsid w:val="00113548"/>
    <w:rsid w:val="0011384A"/>
    <w:rsid w:val="00113955"/>
    <w:rsid w:val="00113D5A"/>
    <w:rsid w:val="001140A4"/>
    <w:rsid w:val="00114199"/>
    <w:rsid w:val="001141E5"/>
    <w:rsid w:val="00114244"/>
    <w:rsid w:val="001146F1"/>
    <w:rsid w:val="0011494F"/>
    <w:rsid w:val="00114A22"/>
    <w:rsid w:val="00114DD1"/>
    <w:rsid w:val="00114EB9"/>
    <w:rsid w:val="001152D7"/>
    <w:rsid w:val="001155D9"/>
    <w:rsid w:val="001155F7"/>
    <w:rsid w:val="00115A27"/>
    <w:rsid w:val="00115D59"/>
    <w:rsid w:val="00115F03"/>
    <w:rsid w:val="00116176"/>
    <w:rsid w:val="00116341"/>
    <w:rsid w:val="00116421"/>
    <w:rsid w:val="00116495"/>
    <w:rsid w:val="00116C61"/>
    <w:rsid w:val="00116EE9"/>
    <w:rsid w:val="00117144"/>
    <w:rsid w:val="00117174"/>
    <w:rsid w:val="001175C6"/>
    <w:rsid w:val="001175EC"/>
    <w:rsid w:val="0011774A"/>
    <w:rsid w:val="00117871"/>
    <w:rsid w:val="00117899"/>
    <w:rsid w:val="00117AA3"/>
    <w:rsid w:val="00120237"/>
    <w:rsid w:val="00120247"/>
    <w:rsid w:val="0012025D"/>
    <w:rsid w:val="001203F5"/>
    <w:rsid w:val="00120498"/>
    <w:rsid w:val="001204EE"/>
    <w:rsid w:val="00120510"/>
    <w:rsid w:val="0012096D"/>
    <w:rsid w:val="00120D5D"/>
    <w:rsid w:val="00121350"/>
    <w:rsid w:val="00121455"/>
    <w:rsid w:val="00121BC5"/>
    <w:rsid w:val="00121E60"/>
    <w:rsid w:val="0012221C"/>
    <w:rsid w:val="001222A1"/>
    <w:rsid w:val="00122340"/>
    <w:rsid w:val="00122CE3"/>
    <w:rsid w:val="0012335E"/>
    <w:rsid w:val="001234B4"/>
    <w:rsid w:val="001235D8"/>
    <w:rsid w:val="00123C62"/>
    <w:rsid w:val="001240C9"/>
    <w:rsid w:val="0012415F"/>
    <w:rsid w:val="001249DD"/>
    <w:rsid w:val="00124CB0"/>
    <w:rsid w:val="0012531E"/>
    <w:rsid w:val="00125576"/>
    <w:rsid w:val="0012566B"/>
    <w:rsid w:val="001256C5"/>
    <w:rsid w:val="0012572B"/>
    <w:rsid w:val="00125857"/>
    <w:rsid w:val="00125FCE"/>
    <w:rsid w:val="00126032"/>
    <w:rsid w:val="001262D3"/>
    <w:rsid w:val="0012675E"/>
    <w:rsid w:val="00126D71"/>
    <w:rsid w:val="00126E2D"/>
    <w:rsid w:val="001270F7"/>
    <w:rsid w:val="00127147"/>
    <w:rsid w:val="00127268"/>
    <w:rsid w:val="00127923"/>
    <w:rsid w:val="00127957"/>
    <w:rsid w:val="00127B8E"/>
    <w:rsid w:val="00127BBA"/>
    <w:rsid w:val="00127D12"/>
    <w:rsid w:val="00127E0C"/>
    <w:rsid w:val="0013030A"/>
    <w:rsid w:val="001306CF"/>
    <w:rsid w:val="001308B5"/>
    <w:rsid w:val="001308F6"/>
    <w:rsid w:val="00130B67"/>
    <w:rsid w:val="00130B8A"/>
    <w:rsid w:val="00130D8D"/>
    <w:rsid w:val="00130DCA"/>
    <w:rsid w:val="00130E9C"/>
    <w:rsid w:val="00130F2A"/>
    <w:rsid w:val="001316EE"/>
    <w:rsid w:val="00132170"/>
    <w:rsid w:val="001321C4"/>
    <w:rsid w:val="0013228F"/>
    <w:rsid w:val="00132298"/>
    <w:rsid w:val="0013273C"/>
    <w:rsid w:val="001327F2"/>
    <w:rsid w:val="00132867"/>
    <w:rsid w:val="00132A54"/>
    <w:rsid w:val="0013359D"/>
    <w:rsid w:val="001335F1"/>
    <w:rsid w:val="0013370A"/>
    <w:rsid w:val="00133B68"/>
    <w:rsid w:val="00133D09"/>
    <w:rsid w:val="00134139"/>
    <w:rsid w:val="00134258"/>
    <w:rsid w:val="001342CB"/>
    <w:rsid w:val="00134605"/>
    <w:rsid w:val="00134A35"/>
    <w:rsid w:val="00134C81"/>
    <w:rsid w:val="0013506E"/>
    <w:rsid w:val="0013517E"/>
    <w:rsid w:val="0013523A"/>
    <w:rsid w:val="001353AC"/>
    <w:rsid w:val="00135582"/>
    <w:rsid w:val="001359FE"/>
    <w:rsid w:val="00135A7C"/>
    <w:rsid w:val="00135B74"/>
    <w:rsid w:val="00135BE3"/>
    <w:rsid w:val="00136135"/>
    <w:rsid w:val="0013621F"/>
    <w:rsid w:val="00136A3B"/>
    <w:rsid w:val="00136A9E"/>
    <w:rsid w:val="00136BB9"/>
    <w:rsid w:val="00136F17"/>
    <w:rsid w:val="00136F91"/>
    <w:rsid w:val="00137324"/>
    <w:rsid w:val="00137332"/>
    <w:rsid w:val="001373EE"/>
    <w:rsid w:val="00137554"/>
    <w:rsid w:val="00137C29"/>
    <w:rsid w:val="00137ECB"/>
    <w:rsid w:val="00140035"/>
    <w:rsid w:val="00140285"/>
    <w:rsid w:val="0014033E"/>
    <w:rsid w:val="00140617"/>
    <w:rsid w:val="00140CF4"/>
    <w:rsid w:val="00140F20"/>
    <w:rsid w:val="00141089"/>
    <w:rsid w:val="00141392"/>
    <w:rsid w:val="00141409"/>
    <w:rsid w:val="00141D22"/>
    <w:rsid w:val="001423B8"/>
    <w:rsid w:val="001423CC"/>
    <w:rsid w:val="001423F2"/>
    <w:rsid w:val="00142450"/>
    <w:rsid w:val="00142503"/>
    <w:rsid w:val="00142526"/>
    <w:rsid w:val="001426D9"/>
    <w:rsid w:val="00142A45"/>
    <w:rsid w:val="00142ABA"/>
    <w:rsid w:val="00142B07"/>
    <w:rsid w:val="00142B37"/>
    <w:rsid w:val="001433A8"/>
    <w:rsid w:val="00143418"/>
    <w:rsid w:val="00143607"/>
    <w:rsid w:val="001439DF"/>
    <w:rsid w:val="00143ADA"/>
    <w:rsid w:val="00143B05"/>
    <w:rsid w:val="0014406D"/>
    <w:rsid w:val="0014427B"/>
    <w:rsid w:val="001444CA"/>
    <w:rsid w:val="001444CD"/>
    <w:rsid w:val="001446C3"/>
    <w:rsid w:val="001449E5"/>
    <w:rsid w:val="001450B1"/>
    <w:rsid w:val="00145223"/>
    <w:rsid w:val="001453A6"/>
    <w:rsid w:val="0014557A"/>
    <w:rsid w:val="001457B0"/>
    <w:rsid w:val="00145805"/>
    <w:rsid w:val="00145BA3"/>
    <w:rsid w:val="00145C14"/>
    <w:rsid w:val="0014611C"/>
    <w:rsid w:val="00146286"/>
    <w:rsid w:val="001464E0"/>
    <w:rsid w:val="001467D6"/>
    <w:rsid w:val="00146D75"/>
    <w:rsid w:val="00147536"/>
    <w:rsid w:val="00147676"/>
    <w:rsid w:val="0014768A"/>
    <w:rsid w:val="0014785F"/>
    <w:rsid w:val="001478F6"/>
    <w:rsid w:val="00147987"/>
    <w:rsid w:val="001500ED"/>
    <w:rsid w:val="001501A2"/>
    <w:rsid w:val="00150412"/>
    <w:rsid w:val="00150679"/>
    <w:rsid w:val="00150743"/>
    <w:rsid w:val="00150AB0"/>
    <w:rsid w:val="00150C87"/>
    <w:rsid w:val="00150F11"/>
    <w:rsid w:val="0015104D"/>
    <w:rsid w:val="001511BB"/>
    <w:rsid w:val="00151318"/>
    <w:rsid w:val="0015169C"/>
    <w:rsid w:val="00151C3C"/>
    <w:rsid w:val="00151CDE"/>
    <w:rsid w:val="00151EAF"/>
    <w:rsid w:val="00151F45"/>
    <w:rsid w:val="0015215E"/>
    <w:rsid w:val="00152CA1"/>
    <w:rsid w:val="00152F14"/>
    <w:rsid w:val="0015321F"/>
    <w:rsid w:val="001532E7"/>
    <w:rsid w:val="0015337E"/>
    <w:rsid w:val="0015344C"/>
    <w:rsid w:val="00153AA7"/>
    <w:rsid w:val="001540C3"/>
    <w:rsid w:val="0015414B"/>
    <w:rsid w:val="001541B7"/>
    <w:rsid w:val="0015453A"/>
    <w:rsid w:val="0015460D"/>
    <w:rsid w:val="001548F1"/>
    <w:rsid w:val="0015495F"/>
    <w:rsid w:val="0015539C"/>
    <w:rsid w:val="001554FC"/>
    <w:rsid w:val="00155AA8"/>
    <w:rsid w:val="00155F24"/>
    <w:rsid w:val="00155FBF"/>
    <w:rsid w:val="001560F7"/>
    <w:rsid w:val="00156435"/>
    <w:rsid w:val="00156775"/>
    <w:rsid w:val="00156999"/>
    <w:rsid w:val="00156B83"/>
    <w:rsid w:val="00156C44"/>
    <w:rsid w:val="00156E11"/>
    <w:rsid w:val="00156EF4"/>
    <w:rsid w:val="0015755C"/>
    <w:rsid w:val="0016028F"/>
    <w:rsid w:val="0016035E"/>
    <w:rsid w:val="001604E5"/>
    <w:rsid w:val="00160634"/>
    <w:rsid w:val="00160E9C"/>
    <w:rsid w:val="001610FB"/>
    <w:rsid w:val="0016129E"/>
    <w:rsid w:val="00161390"/>
    <w:rsid w:val="001613B2"/>
    <w:rsid w:val="0016143D"/>
    <w:rsid w:val="001619D5"/>
    <w:rsid w:val="00161A38"/>
    <w:rsid w:val="00161BA5"/>
    <w:rsid w:val="00161BC5"/>
    <w:rsid w:val="00161EE0"/>
    <w:rsid w:val="001620B7"/>
    <w:rsid w:val="001620DD"/>
    <w:rsid w:val="00162135"/>
    <w:rsid w:val="00162409"/>
    <w:rsid w:val="0016240B"/>
    <w:rsid w:val="00162433"/>
    <w:rsid w:val="001627F0"/>
    <w:rsid w:val="0016288B"/>
    <w:rsid w:val="00162D7A"/>
    <w:rsid w:val="00162E85"/>
    <w:rsid w:val="001636D8"/>
    <w:rsid w:val="001636E8"/>
    <w:rsid w:val="00163778"/>
    <w:rsid w:val="0016400C"/>
    <w:rsid w:val="00164156"/>
    <w:rsid w:val="00164175"/>
    <w:rsid w:val="001645B7"/>
    <w:rsid w:val="00164AC6"/>
    <w:rsid w:val="00164AD1"/>
    <w:rsid w:val="001650B6"/>
    <w:rsid w:val="0016548B"/>
    <w:rsid w:val="001654C3"/>
    <w:rsid w:val="00165799"/>
    <w:rsid w:val="00165E5C"/>
    <w:rsid w:val="00166447"/>
    <w:rsid w:val="001667E3"/>
    <w:rsid w:val="00166AD4"/>
    <w:rsid w:val="00166D52"/>
    <w:rsid w:val="00167091"/>
    <w:rsid w:val="00167185"/>
    <w:rsid w:val="0016740E"/>
    <w:rsid w:val="0016782F"/>
    <w:rsid w:val="001678A6"/>
    <w:rsid w:val="00167AD8"/>
    <w:rsid w:val="00167B99"/>
    <w:rsid w:val="00170906"/>
    <w:rsid w:val="00170F94"/>
    <w:rsid w:val="00170FF0"/>
    <w:rsid w:val="00171479"/>
    <w:rsid w:val="001715E8"/>
    <w:rsid w:val="001717D0"/>
    <w:rsid w:val="00171951"/>
    <w:rsid w:val="00171B91"/>
    <w:rsid w:val="00171C2B"/>
    <w:rsid w:val="00171CAE"/>
    <w:rsid w:val="00171D8B"/>
    <w:rsid w:val="001722B1"/>
    <w:rsid w:val="0017248B"/>
    <w:rsid w:val="001724F0"/>
    <w:rsid w:val="00172905"/>
    <w:rsid w:val="001735AE"/>
    <w:rsid w:val="001745C7"/>
    <w:rsid w:val="00174682"/>
    <w:rsid w:val="00174868"/>
    <w:rsid w:val="00174BB4"/>
    <w:rsid w:val="00174BFA"/>
    <w:rsid w:val="00174EF6"/>
    <w:rsid w:val="001752B8"/>
    <w:rsid w:val="00175747"/>
    <w:rsid w:val="001757BE"/>
    <w:rsid w:val="00175981"/>
    <w:rsid w:val="00175B2A"/>
    <w:rsid w:val="00175C01"/>
    <w:rsid w:val="00175C05"/>
    <w:rsid w:val="00175E57"/>
    <w:rsid w:val="00176101"/>
    <w:rsid w:val="00176561"/>
    <w:rsid w:val="001765A1"/>
    <w:rsid w:val="001765D4"/>
    <w:rsid w:val="00176A29"/>
    <w:rsid w:val="00177B4B"/>
    <w:rsid w:val="00177FDF"/>
    <w:rsid w:val="0018000D"/>
    <w:rsid w:val="001803D1"/>
    <w:rsid w:val="001805E2"/>
    <w:rsid w:val="00180F30"/>
    <w:rsid w:val="00180FC6"/>
    <w:rsid w:val="00181026"/>
    <w:rsid w:val="001815CF"/>
    <w:rsid w:val="00181AE7"/>
    <w:rsid w:val="00182079"/>
    <w:rsid w:val="00182368"/>
    <w:rsid w:val="00182990"/>
    <w:rsid w:val="00182998"/>
    <w:rsid w:val="00182A9B"/>
    <w:rsid w:val="00182C13"/>
    <w:rsid w:val="001833D0"/>
    <w:rsid w:val="00183501"/>
    <w:rsid w:val="0018366C"/>
    <w:rsid w:val="001837B3"/>
    <w:rsid w:val="00183833"/>
    <w:rsid w:val="00183A29"/>
    <w:rsid w:val="001842E2"/>
    <w:rsid w:val="001843D6"/>
    <w:rsid w:val="001845D2"/>
    <w:rsid w:val="00184AB3"/>
    <w:rsid w:val="00184E9F"/>
    <w:rsid w:val="00184EFD"/>
    <w:rsid w:val="00184F3A"/>
    <w:rsid w:val="00185987"/>
    <w:rsid w:val="00186088"/>
    <w:rsid w:val="00186F1B"/>
    <w:rsid w:val="001870AA"/>
    <w:rsid w:val="0018716F"/>
    <w:rsid w:val="00187333"/>
    <w:rsid w:val="00187487"/>
    <w:rsid w:val="001877EA"/>
    <w:rsid w:val="001900C7"/>
    <w:rsid w:val="001901E3"/>
    <w:rsid w:val="0019088E"/>
    <w:rsid w:val="00190A41"/>
    <w:rsid w:val="00190D9C"/>
    <w:rsid w:val="00190E7B"/>
    <w:rsid w:val="00191434"/>
    <w:rsid w:val="0019153A"/>
    <w:rsid w:val="001915FB"/>
    <w:rsid w:val="00191AB5"/>
    <w:rsid w:val="00191B21"/>
    <w:rsid w:val="00191B2E"/>
    <w:rsid w:val="00192062"/>
    <w:rsid w:val="00192081"/>
    <w:rsid w:val="00192128"/>
    <w:rsid w:val="00192150"/>
    <w:rsid w:val="00192428"/>
    <w:rsid w:val="0019250C"/>
    <w:rsid w:val="00192633"/>
    <w:rsid w:val="00192A24"/>
    <w:rsid w:val="0019345B"/>
    <w:rsid w:val="00193509"/>
    <w:rsid w:val="00193658"/>
    <w:rsid w:val="0019375F"/>
    <w:rsid w:val="00193A1E"/>
    <w:rsid w:val="00193D95"/>
    <w:rsid w:val="00193F5C"/>
    <w:rsid w:val="001942E0"/>
    <w:rsid w:val="0019432B"/>
    <w:rsid w:val="001946B6"/>
    <w:rsid w:val="00194B96"/>
    <w:rsid w:val="0019503D"/>
    <w:rsid w:val="00195363"/>
    <w:rsid w:val="001953B3"/>
    <w:rsid w:val="00195565"/>
    <w:rsid w:val="001959FF"/>
    <w:rsid w:val="001965B5"/>
    <w:rsid w:val="00196AC1"/>
    <w:rsid w:val="00196FFC"/>
    <w:rsid w:val="0019707A"/>
    <w:rsid w:val="001973F1"/>
    <w:rsid w:val="0019774B"/>
    <w:rsid w:val="00197F3F"/>
    <w:rsid w:val="00197FBB"/>
    <w:rsid w:val="001A0E20"/>
    <w:rsid w:val="001A10A3"/>
    <w:rsid w:val="001A1933"/>
    <w:rsid w:val="001A1951"/>
    <w:rsid w:val="001A1A30"/>
    <w:rsid w:val="001A1CD6"/>
    <w:rsid w:val="001A1D7C"/>
    <w:rsid w:val="001A2060"/>
    <w:rsid w:val="001A20EA"/>
    <w:rsid w:val="001A2437"/>
    <w:rsid w:val="001A2623"/>
    <w:rsid w:val="001A296F"/>
    <w:rsid w:val="001A3256"/>
    <w:rsid w:val="001A330B"/>
    <w:rsid w:val="001A3697"/>
    <w:rsid w:val="001A36C4"/>
    <w:rsid w:val="001A37BB"/>
    <w:rsid w:val="001A3B6F"/>
    <w:rsid w:val="001A3DA9"/>
    <w:rsid w:val="001A3F18"/>
    <w:rsid w:val="001A3FE1"/>
    <w:rsid w:val="001A41EF"/>
    <w:rsid w:val="001A485A"/>
    <w:rsid w:val="001A4AB2"/>
    <w:rsid w:val="001A4D17"/>
    <w:rsid w:val="001A4DCC"/>
    <w:rsid w:val="001A4F4E"/>
    <w:rsid w:val="001A5051"/>
    <w:rsid w:val="001A5100"/>
    <w:rsid w:val="001A55B8"/>
    <w:rsid w:val="001A5A5E"/>
    <w:rsid w:val="001A5BFA"/>
    <w:rsid w:val="001A6103"/>
    <w:rsid w:val="001A6110"/>
    <w:rsid w:val="001A665A"/>
    <w:rsid w:val="001A6ABB"/>
    <w:rsid w:val="001A6B36"/>
    <w:rsid w:val="001A6BB7"/>
    <w:rsid w:val="001A7D79"/>
    <w:rsid w:val="001A7DCF"/>
    <w:rsid w:val="001A7F26"/>
    <w:rsid w:val="001B0101"/>
    <w:rsid w:val="001B045A"/>
    <w:rsid w:val="001B0549"/>
    <w:rsid w:val="001B072F"/>
    <w:rsid w:val="001B094D"/>
    <w:rsid w:val="001B0EA1"/>
    <w:rsid w:val="001B10D1"/>
    <w:rsid w:val="001B1181"/>
    <w:rsid w:val="001B11B4"/>
    <w:rsid w:val="001B11B7"/>
    <w:rsid w:val="001B12A1"/>
    <w:rsid w:val="001B1664"/>
    <w:rsid w:val="001B16BC"/>
    <w:rsid w:val="001B1A32"/>
    <w:rsid w:val="001B1B93"/>
    <w:rsid w:val="001B244D"/>
    <w:rsid w:val="001B24BD"/>
    <w:rsid w:val="001B2EAA"/>
    <w:rsid w:val="001B3038"/>
    <w:rsid w:val="001B32EB"/>
    <w:rsid w:val="001B3B25"/>
    <w:rsid w:val="001B3F05"/>
    <w:rsid w:val="001B41C3"/>
    <w:rsid w:val="001B423F"/>
    <w:rsid w:val="001B4375"/>
    <w:rsid w:val="001B4B28"/>
    <w:rsid w:val="001B4C2B"/>
    <w:rsid w:val="001B4E09"/>
    <w:rsid w:val="001B515A"/>
    <w:rsid w:val="001B5191"/>
    <w:rsid w:val="001B5236"/>
    <w:rsid w:val="001B52B9"/>
    <w:rsid w:val="001B57A3"/>
    <w:rsid w:val="001B57DE"/>
    <w:rsid w:val="001B5895"/>
    <w:rsid w:val="001B5A39"/>
    <w:rsid w:val="001B5A5D"/>
    <w:rsid w:val="001B5A8D"/>
    <w:rsid w:val="001B5E85"/>
    <w:rsid w:val="001B5E95"/>
    <w:rsid w:val="001B626A"/>
    <w:rsid w:val="001B6291"/>
    <w:rsid w:val="001B62E6"/>
    <w:rsid w:val="001B6385"/>
    <w:rsid w:val="001B64A6"/>
    <w:rsid w:val="001B72BF"/>
    <w:rsid w:val="001B759B"/>
    <w:rsid w:val="001B765E"/>
    <w:rsid w:val="001B76B9"/>
    <w:rsid w:val="001B76D0"/>
    <w:rsid w:val="001B7954"/>
    <w:rsid w:val="001B7C16"/>
    <w:rsid w:val="001B7EB4"/>
    <w:rsid w:val="001B7FF9"/>
    <w:rsid w:val="001C0035"/>
    <w:rsid w:val="001C066E"/>
    <w:rsid w:val="001C09AD"/>
    <w:rsid w:val="001C09FF"/>
    <w:rsid w:val="001C0F5E"/>
    <w:rsid w:val="001C11C7"/>
    <w:rsid w:val="001C1662"/>
    <w:rsid w:val="001C1780"/>
    <w:rsid w:val="001C17D4"/>
    <w:rsid w:val="001C1B5E"/>
    <w:rsid w:val="001C1E93"/>
    <w:rsid w:val="001C1ED7"/>
    <w:rsid w:val="001C1FFB"/>
    <w:rsid w:val="001C2414"/>
    <w:rsid w:val="001C26EA"/>
    <w:rsid w:val="001C27E3"/>
    <w:rsid w:val="001C295D"/>
    <w:rsid w:val="001C29E5"/>
    <w:rsid w:val="001C2BE3"/>
    <w:rsid w:val="001C2DC2"/>
    <w:rsid w:val="001C2FAF"/>
    <w:rsid w:val="001C3069"/>
    <w:rsid w:val="001C33DD"/>
    <w:rsid w:val="001C3629"/>
    <w:rsid w:val="001C36EF"/>
    <w:rsid w:val="001C3895"/>
    <w:rsid w:val="001C3A8D"/>
    <w:rsid w:val="001C3AF7"/>
    <w:rsid w:val="001C3D41"/>
    <w:rsid w:val="001C3EE5"/>
    <w:rsid w:val="001C3FA2"/>
    <w:rsid w:val="001C437F"/>
    <w:rsid w:val="001C48B3"/>
    <w:rsid w:val="001C4922"/>
    <w:rsid w:val="001C4BF2"/>
    <w:rsid w:val="001C4C68"/>
    <w:rsid w:val="001C4CCB"/>
    <w:rsid w:val="001C4CD2"/>
    <w:rsid w:val="001C4D64"/>
    <w:rsid w:val="001C4F6F"/>
    <w:rsid w:val="001C4F75"/>
    <w:rsid w:val="001C51AB"/>
    <w:rsid w:val="001C525D"/>
    <w:rsid w:val="001C52DC"/>
    <w:rsid w:val="001C5810"/>
    <w:rsid w:val="001C5B68"/>
    <w:rsid w:val="001C5CC1"/>
    <w:rsid w:val="001C5CE8"/>
    <w:rsid w:val="001C5F44"/>
    <w:rsid w:val="001C62E6"/>
    <w:rsid w:val="001C67AA"/>
    <w:rsid w:val="001C6A11"/>
    <w:rsid w:val="001C7056"/>
    <w:rsid w:val="001C72A4"/>
    <w:rsid w:val="001C74D9"/>
    <w:rsid w:val="001C7536"/>
    <w:rsid w:val="001C75A0"/>
    <w:rsid w:val="001C7830"/>
    <w:rsid w:val="001C7B28"/>
    <w:rsid w:val="001C7C71"/>
    <w:rsid w:val="001D03D0"/>
    <w:rsid w:val="001D0479"/>
    <w:rsid w:val="001D07D2"/>
    <w:rsid w:val="001D0AE2"/>
    <w:rsid w:val="001D0EEE"/>
    <w:rsid w:val="001D11FE"/>
    <w:rsid w:val="001D128E"/>
    <w:rsid w:val="001D1409"/>
    <w:rsid w:val="001D1C84"/>
    <w:rsid w:val="001D1EA6"/>
    <w:rsid w:val="001D1EA8"/>
    <w:rsid w:val="001D2041"/>
    <w:rsid w:val="001D2377"/>
    <w:rsid w:val="001D2555"/>
    <w:rsid w:val="001D27BF"/>
    <w:rsid w:val="001D2D0D"/>
    <w:rsid w:val="001D2E5A"/>
    <w:rsid w:val="001D353D"/>
    <w:rsid w:val="001D363E"/>
    <w:rsid w:val="001D386A"/>
    <w:rsid w:val="001D38FA"/>
    <w:rsid w:val="001D3FFB"/>
    <w:rsid w:val="001D462E"/>
    <w:rsid w:val="001D4942"/>
    <w:rsid w:val="001D4B6B"/>
    <w:rsid w:val="001D4E75"/>
    <w:rsid w:val="001D4FC1"/>
    <w:rsid w:val="001D5C3B"/>
    <w:rsid w:val="001D6003"/>
    <w:rsid w:val="001D64DA"/>
    <w:rsid w:val="001D6621"/>
    <w:rsid w:val="001D67C6"/>
    <w:rsid w:val="001D688A"/>
    <w:rsid w:val="001D6996"/>
    <w:rsid w:val="001D6A18"/>
    <w:rsid w:val="001D6A4A"/>
    <w:rsid w:val="001D6AEA"/>
    <w:rsid w:val="001D6AF0"/>
    <w:rsid w:val="001D6E8A"/>
    <w:rsid w:val="001D70D3"/>
    <w:rsid w:val="001D77BA"/>
    <w:rsid w:val="001D7B4C"/>
    <w:rsid w:val="001E0074"/>
    <w:rsid w:val="001E024F"/>
    <w:rsid w:val="001E03B9"/>
    <w:rsid w:val="001E03FB"/>
    <w:rsid w:val="001E04CA"/>
    <w:rsid w:val="001E055C"/>
    <w:rsid w:val="001E05A3"/>
    <w:rsid w:val="001E0739"/>
    <w:rsid w:val="001E0C08"/>
    <w:rsid w:val="001E0DCA"/>
    <w:rsid w:val="001E0E95"/>
    <w:rsid w:val="001E0EB4"/>
    <w:rsid w:val="001E11C9"/>
    <w:rsid w:val="001E1478"/>
    <w:rsid w:val="001E18BF"/>
    <w:rsid w:val="001E1A01"/>
    <w:rsid w:val="001E1C43"/>
    <w:rsid w:val="001E1D39"/>
    <w:rsid w:val="001E1EB9"/>
    <w:rsid w:val="001E1FDB"/>
    <w:rsid w:val="001E22E8"/>
    <w:rsid w:val="001E2459"/>
    <w:rsid w:val="001E245C"/>
    <w:rsid w:val="001E2ACA"/>
    <w:rsid w:val="001E2CC8"/>
    <w:rsid w:val="001E3157"/>
    <w:rsid w:val="001E31EC"/>
    <w:rsid w:val="001E3458"/>
    <w:rsid w:val="001E372F"/>
    <w:rsid w:val="001E3935"/>
    <w:rsid w:val="001E3C9C"/>
    <w:rsid w:val="001E3D9B"/>
    <w:rsid w:val="001E3E44"/>
    <w:rsid w:val="001E410B"/>
    <w:rsid w:val="001E4479"/>
    <w:rsid w:val="001E4583"/>
    <w:rsid w:val="001E4687"/>
    <w:rsid w:val="001E4697"/>
    <w:rsid w:val="001E4A5D"/>
    <w:rsid w:val="001E51C4"/>
    <w:rsid w:val="001E543C"/>
    <w:rsid w:val="001E588A"/>
    <w:rsid w:val="001E5AE1"/>
    <w:rsid w:val="001E5E86"/>
    <w:rsid w:val="001E6191"/>
    <w:rsid w:val="001E6222"/>
    <w:rsid w:val="001E663F"/>
    <w:rsid w:val="001E6715"/>
    <w:rsid w:val="001E6A76"/>
    <w:rsid w:val="001E6AF1"/>
    <w:rsid w:val="001E6C0D"/>
    <w:rsid w:val="001E71AD"/>
    <w:rsid w:val="001E74F4"/>
    <w:rsid w:val="001E756A"/>
    <w:rsid w:val="001E765A"/>
    <w:rsid w:val="001E775C"/>
    <w:rsid w:val="001E783F"/>
    <w:rsid w:val="001E7D72"/>
    <w:rsid w:val="001F023B"/>
    <w:rsid w:val="001F05BC"/>
    <w:rsid w:val="001F0705"/>
    <w:rsid w:val="001F07C6"/>
    <w:rsid w:val="001F0E19"/>
    <w:rsid w:val="001F0EE7"/>
    <w:rsid w:val="001F0F38"/>
    <w:rsid w:val="001F1198"/>
    <w:rsid w:val="001F11E6"/>
    <w:rsid w:val="001F1256"/>
    <w:rsid w:val="001F13BA"/>
    <w:rsid w:val="001F152D"/>
    <w:rsid w:val="001F1AB5"/>
    <w:rsid w:val="001F1CB0"/>
    <w:rsid w:val="001F210C"/>
    <w:rsid w:val="001F250A"/>
    <w:rsid w:val="001F29BC"/>
    <w:rsid w:val="001F2AED"/>
    <w:rsid w:val="001F2E01"/>
    <w:rsid w:val="001F2E88"/>
    <w:rsid w:val="001F30CB"/>
    <w:rsid w:val="001F39F5"/>
    <w:rsid w:val="001F3CE1"/>
    <w:rsid w:val="001F4061"/>
    <w:rsid w:val="001F4412"/>
    <w:rsid w:val="001F462F"/>
    <w:rsid w:val="001F4AF1"/>
    <w:rsid w:val="001F4BF2"/>
    <w:rsid w:val="001F4D41"/>
    <w:rsid w:val="001F4E16"/>
    <w:rsid w:val="001F5004"/>
    <w:rsid w:val="001F5646"/>
    <w:rsid w:val="001F59E3"/>
    <w:rsid w:val="001F5A16"/>
    <w:rsid w:val="001F5A4C"/>
    <w:rsid w:val="001F5E58"/>
    <w:rsid w:val="001F644E"/>
    <w:rsid w:val="001F6453"/>
    <w:rsid w:val="001F6545"/>
    <w:rsid w:val="001F683B"/>
    <w:rsid w:val="001F7088"/>
    <w:rsid w:val="001F70F1"/>
    <w:rsid w:val="001F721E"/>
    <w:rsid w:val="001F7353"/>
    <w:rsid w:val="001F77FD"/>
    <w:rsid w:val="001F7CF7"/>
    <w:rsid w:val="001F7F7C"/>
    <w:rsid w:val="0020007D"/>
    <w:rsid w:val="002000E9"/>
    <w:rsid w:val="00200207"/>
    <w:rsid w:val="00200242"/>
    <w:rsid w:val="00200671"/>
    <w:rsid w:val="00200774"/>
    <w:rsid w:val="00200BF9"/>
    <w:rsid w:val="00200FC4"/>
    <w:rsid w:val="002012BE"/>
    <w:rsid w:val="002016B8"/>
    <w:rsid w:val="002019AB"/>
    <w:rsid w:val="00201C62"/>
    <w:rsid w:val="00201CD3"/>
    <w:rsid w:val="00201EAE"/>
    <w:rsid w:val="00201F6B"/>
    <w:rsid w:val="00202681"/>
    <w:rsid w:val="00202AAD"/>
    <w:rsid w:val="00202B86"/>
    <w:rsid w:val="00202BB9"/>
    <w:rsid w:val="00203318"/>
    <w:rsid w:val="00203519"/>
    <w:rsid w:val="002035D6"/>
    <w:rsid w:val="0020363E"/>
    <w:rsid w:val="002037FD"/>
    <w:rsid w:val="002038F8"/>
    <w:rsid w:val="00203D4C"/>
    <w:rsid w:val="00204548"/>
    <w:rsid w:val="00204659"/>
    <w:rsid w:val="00204811"/>
    <w:rsid w:val="0020495B"/>
    <w:rsid w:val="00204BA0"/>
    <w:rsid w:val="00204F04"/>
    <w:rsid w:val="002052EC"/>
    <w:rsid w:val="00205312"/>
    <w:rsid w:val="00205A96"/>
    <w:rsid w:val="00205DD4"/>
    <w:rsid w:val="00205FC9"/>
    <w:rsid w:val="0020609D"/>
    <w:rsid w:val="00206F11"/>
    <w:rsid w:val="00206FEB"/>
    <w:rsid w:val="002074A2"/>
    <w:rsid w:val="00207B52"/>
    <w:rsid w:val="002104D8"/>
    <w:rsid w:val="0021054B"/>
    <w:rsid w:val="00210832"/>
    <w:rsid w:val="00210E5C"/>
    <w:rsid w:val="00210FCE"/>
    <w:rsid w:val="00210FDA"/>
    <w:rsid w:val="00211010"/>
    <w:rsid w:val="0021108C"/>
    <w:rsid w:val="0021108F"/>
    <w:rsid w:val="002110F0"/>
    <w:rsid w:val="0021122E"/>
    <w:rsid w:val="002112AF"/>
    <w:rsid w:val="002114EA"/>
    <w:rsid w:val="00211545"/>
    <w:rsid w:val="00211806"/>
    <w:rsid w:val="00211830"/>
    <w:rsid w:val="00211DB5"/>
    <w:rsid w:val="00212507"/>
    <w:rsid w:val="0021255E"/>
    <w:rsid w:val="00212627"/>
    <w:rsid w:val="0021298A"/>
    <w:rsid w:val="00212C32"/>
    <w:rsid w:val="002131DD"/>
    <w:rsid w:val="00213222"/>
    <w:rsid w:val="00213296"/>
    <w:rsid w:val="00213BC7"/>
    <w:rsid w:val="00213DD8"/>
    <w:rsid w:val="002141C8"/>
    <w:rsid w:val="002141E6"/>
    <w:rsid w:val="002144A7"/>
    <w:rsid w:val="002146C0"/>
    <w:rsid w:val="002147C2"/>
    <w:rsid w:val="0021487C"/>
    <w:rsid w:val="0021493F"/>
    <w:rsid w:val="00215063"/>
    <w:rsid w:val="002150AB"/>
    <w:rsid w:val="00215145"/>
    <w:rsid w:val="0021543A"/>
    <w:rsid w:val="002155ED"/>
    <w:rsid w:val="002156D7"/>
    <w:rsid w:val="00215AB3"/>
    <w:rsid w:val="00215FAB"/>
    <w:rsid w:val="0021605D"/>
    <w:rsid w:val="002161F8"/>
    <w:rsid w:val="00216213"/>
    <w:rsid w:val="0021636B"/>
    <w:rsid w:val="00216405"/>
    <w:rsid w:val="00216484"/>
    <w:rsid w:val="00216706"/>
    <w:rsid w:val="002169C3"/>
    <w:rsid w:val="00216A1C"/>
    <w:rsid w:val="00216DB0"/>
    <w:rsid w:val="0021701B"/>
    <w:rsid w:val="00217063"/>
    <w:rsid w:val="00217155"/>
    <w:rsid w:val="002172BD"/>
    <w:rsid w:val="002177CC"/>
    <w:rsid w:val="00217948"/>
    <w:rsid w:val="00220325"/>
    <w:rsid w:val="0022049D"/>
    <w:rsid w:val="0022065D"/>
    <w:rsid w:val="00220757"/>
    <w:rsid w:val="002208E4"/>
    <w:rsid w:val="00220B38"/>
    <w:rsid w:val="00220B4E"/>
    <w:rsid w:val="00220DC3"/>
    <w:rsid w:val="002211D7"/>
    <w:rsid w:val="0022137F"/>
    <w:rsid w:val="002214D6"/>
    <w:rsid w:val="0022153C"/>
    <w:rsid w:val="002216EC"/>
    <w:rsid w:val="0022176F"/>
    <w:rsid w:val="00221976"/>
    <w:rsid w:val="002219D1"/>
    <w:rsid w:val="002224CB"/>
    <w:rsid w:val="002225A3"/>
    <w:rsid w:val="0022260E"/>
    <w:rsid w:val="00222685"/>
    <w:rsid w:val="002227A5"/>
    <w:rsid w:val="00222846"/>
    <w:rsid w:val="0022295D"/>
    <w:rsid w:val="00222B11"/>
    <w:rsid w:val="00222BE0"/>
    <w:rsid w:val="00222F87"/>
    <w:rsid w:val="002232DB"/>
    <w:rsid w:val="002234E8"/>
    <w:rsid w:val="002234FC"/>
    <w:rsid w:val="00223948"/>
    <w:rsid w:val="00223C20"/>
    <w:rsid w:val="00223D68"/>
    <w:rsid w:val="00224274"/>
    <w:rsid w:val="002247CE"/>
    <w:rsid w:val="00224C8C"/>
    <w:rsid w:val="0022506C"/>
    <w:rsid w:val="002258BD"/>
    <w:rsid w:val="002261E5"/>
    <w:rsid w:val="002263A9"/>
    <w:rsid w:val="00226627"/>
    <w:rsid w:val="00226CEC"/>
    <w:rsid w:val="00227076"/>
    <w:rsid w:val="00227174"/>
    <w:rsid w:val="00227279"/>
    <w:rsid w:val="002272E5"/>
    <w:rsid w:val="002279B3"/>
    <w:rsid w:val="002300F3"/>
    <w:rsid w:val="002302A6"/>
    <w:rsid w:val="0023033F"/>
    <w:rsid w:val="00230772"/>
    <w:rsid w:val="00230792"/>
    <w:rsid w:val="0023082F"/>
    <w:rsid w:val="00230A37"/>
    <w:rsid w:val="00230FE1"/>
    <w:rsid w:val="002312D0"/>
    <w:rsid w:val="00231407"/>
    <w:rsid w:val="00231420"/>
    <w:rsid w:val="00231CA4"/>
    <w:rsid w:val="00231F25"/>
    <w:rsid w:val="00231F38"/>
    <w:rsid w:val="002323C1"/>
    <w:rsid w:val="00232F26"/>
    <w:rsid w:val="002330C0"/>
    <w:rsid w:val="0023345D"/>
    <w:rsid w:val="00233526"/>
    <w:rsid w:val="00233BAA"/>
    <w:rsid w:val="00233BCE"/>
    <w:rsid w:val="00233BE5"/>
    <w:rsid w:val="00233CB7"/>
    <w:rsid w:val="00233CF9"/>
    <w:rsid w:val="0023408D"/>
    <w:rsid w:val="002340BF"/>
    <w:rsid w:val="002341D6"/>
    <w:rsid w:val="0023462C"/>
    <w:rsid w:val="00234A4E"/>
    <w:rsid w:val="00234DA4"/>
    <w:rsid w:val="0023510F"/>
    <w:rsid w:val="002353F6"/>
    <w:rsid w:val="002355A4"/>
    <w:rsid w:val="002355F4"/>
    <w:rsid w:val="002359D8"/>
    <w:rsid w:val="00235A4F"/>
    <w:rsid w:val="00235A90"/>
    <w:rsid w:val="00235B6A"/>
    <w:rsid w:val="00235D1F"/>
    <w:rsid w:val="00235E97"/>
    <w:rsid w:val="0023613E"/>
    <w:rsid w:val="0023636C"/>
    <w:rsid w:val="0023638F"/>
    <w:rsid w:val="002364C7"/>
    <w:rsid w:val="002366B2"/>
    <w:rsid w:val="002369BF"/>
    <w:rsid w:val="00236AE5"/>
    <w:rsid w:val="00237029"/>
    <w:rsid w:val="0023731A"/>
    <w:rsid w:val="002377C5"/>
    <w:rsid w:val="002377E9"/>
    <w:rsid w:val="00237D13"/>
    <w:rsid w:val="00240532"/>
    <w:rsid w:val="00240C37"/>
    <w:rsid w:val="00240D7B"/>
    <w:rsid w:val="00240F8B"/>
    <w:rsid w:val="00241040"/>
    <w:rsid w:val="00241384"/>
    <w:rsid w:val="00241820"/>
    <w:rsid w:val="00241A47"/>
    <w:rsid w:val="00241B73"/>
    <w:rsid w:val="00241B85"/>
    <w:rsid w:val="00241C08"/>
    <w:rsid w:val="00241D1E"/>
    <w:rsid w:val="002420D2"/>
    <w:rsid w:val="00242588"/>
    <w:rsid w:val="00242A7C"/>
    <w:rsid w:val="00242D87"/>
    <w:rsid w:val="00243271"/>
    <w:rsid w:val="00243865"/>
    <w:rsid w:val="0024389A"/>
    <w:rsid w:val="00243C6C"/>
    <w:rsid w:val="00243C82"/>
    <w:rsid w:val="00243CFA"/>
    <w:rsid w:val="00243D4E"/>
    <w:rsid w:val="00243DF7"/>
    <w:rsid w:val="00244504"/>
    <w:rsid w:val="002445AB"/>
    <w:rsid w:val="002446A5"/>
    <w:rsid w:val="00244915"/>
    <w:rsid w:val="00244AC4"/>
    <w:rsid w:val="00244BD2"/>
    <w:rsid w:val="00245001"/>
    <w:rsid w:val="002452CE"/>
    <w:rsid w:val="00245656"/>
    <w:rsid w:val="00246226"/>
    <w:rsid w:val="002463A4"/>
    <w:rsid w:val="00246549"/>
    <w:rsid w:val="00246A5C"/>
    <w:rsid w:val="00246EBE"/>
    <w:rsid w:val="002474A0"/>
    <w:rsid w:val="002475C7"/>
    <w:rsid w:val="0024763D"/>
    <w:rsid w:val="0024769B"/>
    <w:rsid w:val="002477A6"/>
    <w:rsid w:val="002477D4"/>
    <w:rsid w:val="00247AF1"/>
    <w:rsid w:val="00247F35"/>
    <w:rsid w:val="00247F3F"/>
    <w:rsid w:val="0025014D"/>
    <w:rsid w:val="002502B3"/>
    <w:rsid w:val="00250542"/>
    <w:rsid w:val="00250E94"/>
    <w:rsid w:val="0025107E"/>
    <w:rsid w:val="002510E2"/>
    <w:rsid w:val="002513E8"/>
    <w:rsid w:val="00251415"/>
    <w:rsid w:val="00251CAD"/>
    <w:rsid w:val="00252116"/>
    <w:rsid w:val="0025211D"/>
    <w:rsid w:val="002528E4"/>
    <w:rsid w:val="0025292C"/>
    <w:rsid w:val="00252BDF"/>
    <w:rsid w:val="00253165"/>
    <w:rsid w:val="00253676"/>
    <w:rsid w:val="002537D6"/>
    <w:rsid w:val="002540E9"/>
    <w:rsid w:val="0025425E"/>
    <w:rsid w:val="00254661"/>
    <w:rsid w:val="0025486A"/>
    <w:rsid w:val="002549C1"/>
    <w:rsid w:val="00254D62"/>
    <w:rsid w:val="0025537E"/>
    <w:rsid w:val="0025567A"/>
    <w:rsid w:val="00255776"/>
    <w:rsid w:val="00255833"/>
    <w:rsid w:val="0025591C"/>
    <w:rsid w:val="002559A6"/>
    <w:rsid w:val="0025612C"/>
    <w:rsid w:val="0025637D"/>
    <w:rsid w:val="00256B5A"/>
    <w:rsid w:val="00257466"/>
    <w:rsid w:val="002575B6"/>
    <w:rsid w:val="00257A5B"/>
    <w:rsid w:val="00257EAA"/>
    <w:rsid w:val="00260144"/>
    <w:rsid w:val="0026023F"/>
    <w:rsid w:val="0026055F"/>
    <w:rsid w:val="00260595"/>
    <w:rsid w:val="0026062C"/>
    <w:rsid w:val="0026086D"/>
    <w:rsid w:val="00260BFE"/>
    <w:rsid w:val="00260FDA"/>
    <w:rsid w:val="0026119F"/>
    <w:rsid w:val="002612C3"/>
    <w:rsid w:val="0026177C"/>
    <w:rsid w:val="00261970"/>
    <w:rsid w:val="00261A8F"/>
    <w:rsid w:val="00261B8A"/>
    <w:rsid w:val="00261C39"/>
    <w:rsid w:val="00261F4F"/>
    <w:rsid w:val="00262040"/>
    <w:rsid w:val="00262262"/>
    <w:rsid w:val="00262435"/>
    <w:rsid w:val="002625C0"/>
    <w:rsid w:val="00262C00"/>
    <w:rsid w:val="00263422"/>
    <w:rsid w:val="002635DF"/>
    <w:rsid w:val="002636AA"/>
    <w:rsid w:val="0026389A"/>
    <w:rsid w:val="002639A1"/>
    <w:rsid w:val="00263D1A"/>
    <w:rsid w:val="002643AE"/>
    <w:rsid w:val="00264AA8"/>
    <w:rsid w:val="00264D48"/>
    <w:rsid w:val="00264E50"/>
    <w:rsid w:val="00265396"/>
    <w:rsid w:val="002653D4"/>
    <w:rsid w:val="0026576B"/>
    <w:rsid w:val="0026590B"/>
    <w:rsid w:val="00266021"/>
    <w:rsid w:val="0026608F"/>
    <w:rsid w:val="002663D0"/>
    <w:rsid w:val="002663D6"/>
    <w:rsid w:val="0026669D"/>
    <w:rsid w:val="00266A57"/>
    <w:rsid w:val="00266AA7"/>
    <w:rsid w:val="00266AE8"/>
    <w:rsid w:val="00266D23"/>
    <w:rsid w:val="00266E1A"/>
    <w:rsid w:val="00267242"/>
    <w:rsid w:val="0026727F"/>
    <w:rsid w:val="002675D4"/>
    <w:rsid w:val="00267A46"/>
    <w:rsid w:val="00267E29"/>
    <w:rsid w:val="00267F5F"/>
    <w:rsid w:val="0027063F"/>
    <w:rsid w:val="00270830"/>
    <w:rsid w:val="00270AAD"/>
    <w:rsid w:val="00270DC6"/>
    <w:rsid w:val="00270E34"/>
    <w:rsid w:val="00270E71"/>
    <w:rsid w:val="00270FB5"/>
    <w:rsid w:val="002710C2"/>
    <w:rsid w:val="002713F2"/>
    <w:rsid w:val="00272240"/>
    <w:rsid w:val="002723CF"/>
    <w:rsid w:val="00272507"/>
    <w:rsid w:val="002727F2"/>
    <w:rsid w:val="00272D55"/>
    <w:rsid w:val="002730E8"/>
    <w:rsid w:val="00273168"/>
    <w:rsid w:val="0027338A"/>
    <w:rsid w:val="002736AB"/>
    <w:rsid w:val="00273B0C"/>
    <w:rsid w:val="00273E67"/>
    <w:rsid w:val="002742B5"/>
    <w:rsid w:val="00274316"/>
    <w:rsid w:val="00275272"/>
    <w:rsid w:val="0027527A"/>
    <w:rsid w:val="00275349"/>
    <w:rsid w:val="00275691"/>
    <w:rsid w:val="002756C7"/>
    <w:rsid w:val="002759BA"/>
    <w:rsid w:val="00275D7A"/>
    <w:rsid w:val="00275EA6"/>
    <w:rsid w:val="00276230"/>
    <w:rsid w:val="002764D2"/>
    <w:rsid w:val="0027651D"/>
    <w:rsid w:val="00276B15"/>
    <w:rsid w:val="00276BC4"/>
    <w:rsid w:val="00276C6B"/>
    <w:rsid w:val="00276D8E"/>
    <w:rsid w:val="0027701B"/>
    <w:rsid w:val="00277096"/>
    <w:rsid w:val="00277B73"/>
    <w:rsid w:val="002806AA"/>
    <w:rsid w:val="00280821"/>
    <w:rsid w:val="002808F2"/>
    <w:rsid w:val="00280C27"/>
    <w:rsid w:val="00280DB3"/>
    <w:rsid w:val="00280EAC"/>
    <w:rsid w:val="00281181"/>
    <w:rsid w:val="00281340"/>
    <w:rsid w:val="0028158F"/>
    <w:rsid w:val="0028167D"/>
    <w:rsid w:val="002817C4"/>
    <w:rsid w:val="002818FB"/>
    <w:rsid w:val="00281B85"/>
    <w:rsid w:val="00281D4F"/>
    <w:rsid w:val="00281E4C"/>
    <w:rsid w:val="002822AB"/>
    <w:rsid w:val="00282467"/>
    <w:rsid w:val="0028251E"/>
    <w:rsid w:val="0028253E"/>
    <w:rsid w:val="002825DF"/>
    <w:rsid w:val="002827C2"/>
    <w:rsid w:val="00282B5F"/>
    <w:rsid w:val="00282F16"/>
    <w:rsid w:val="00283011"/>
    <w:rsid w:val="002832F1"/>
    <w:rsid w:val="002833EE"/>
    <w:rsid w:val="00283DC0"/>
    <w:rsid w:val="0028452E"/>
    <w:rsid w:val="00284926"/>
    <w:rsid w:val="00284BC5"/>
    <w:rsid w:val="002854AB"/>
    <w:rsid w:val="002854D6"/>
    <w:rsid w:val="002854FC"/>
    <w:rsid w:val="00285CEE"/>
    <w:rsid w:val="00285D33"/>
    <w:rsid w:val="00285E31"/>
    <w:rsid w:val="00285E3E"/>
    <w:rsid w:val="0028661D"/>
    <w:rsid w:val="00286D88"/>
    <w:rsid w:val="00287060"/>
    <w:rsid w:val="00287154"/>
    <w:rsid w:val="0028723C"/>
    <w:rsid w:val="00287468"/>
    <w:rsid w:val="00287694"/>
    <w:rsid w:val="0028771F"/>
    <w:rsid w:val="0028791E"/>
    <w:rsid w:val="00287948"/>
    <w:rsid w:val="00287DFA"/>
    <w:rsid w:val="00287E1A"/>
    <w:rsid w:val="00287E58"/>
    <w:rsid w:val="00290210"/>
    <w:rsid w:val="002902BE"/>
    <w:rsid w:val="002904D0"/>
    <w:rsid w:val="002908A8"/>
    <w:rsid w:val="0029092A"/>
    <w:rsid w:val="00290B1F"/>
    <w:rsid w:val="00290C9F"/>
    <w:rsid w:val="00291178"/>
    <w:rsid w:val="002914CA"/>
    <w:rsid w:val="002918D6"/>
    <w:rsid w:val="00291CD0"/>
    <w:rsid w:val="00291D62"/>
    <w:rsid w:val="00292051"/>
    <w:rsid w:val="00292427"/>
    <w:rsid w:val="00292428"/>
    <w:rsid w:val="002926ED"/>
    <w:rsid w:val="002928A0"/>
    <w:rsid w:val="00292F06"/>
    <w:rsid w:val="0029308F"/>
    <w:rsid w:val="002935EB"/>
    <w:rsid w:val="0029363F"/>
    <w:rsid w:val="002939C7"/>
    <w:rsid w:val="00293EAA"/>
    <w:rsid w:val="00294300"/>
    <w:rsid w:val="002943A3"/>
    <w:rsid w:val="00294493"/>
    <w:rsid w:val="002946B6"/>
    <w:rsid w:val="002948B9"/>
    <w:rsid w:val="00294F85"/>
    <w:rsid w:val="002950A1"/>
    <w:rsid w:val="00295272"/>
    <w:rsid w:val="002958D0"/>
    <w:rsid w:val="00295AB5"/>
    <w:rsid w:val="00295ABA"/>
    <w:rsid w:val="00295BBB"/>
    <w:rsid w:val="0029605C"/>
    <w:rsid w:val="0029615A"/>
    <w:rsid w:val="00296309"/>
    <w:rsid w:val="00296741"/>
    <w:rsid w:val="002967B2"/>
    <w:rsid w:val="00296E17"/>
    <w:rsid w:val="00297148"/>
    <w:rsid w:val="0029743B"/>
    <w:rsid w:val="00297921"/>
    <w:rsid w:val="00297A6C"/>
    <w:rsid w:val="00297EB9"/>
    <w:rsid w:val="002A0271"/>
    <w:rsid w:val="002A0624"/>
    <w:rsid w:val="002A07C3"/>
    <w:rsid w:val="002A0CD9"/>
    <w:rsid w:val="002A0D45"/>
    <w:rsid w:val="002A0E3F"/>
    <w:rsid w:val="002A19FC"/>
    <w:rsid w:val="002A1AB7"/>
    <w:rsid w:val="002A1E38"/>
    <w:rsid w:val="002A27D0"/>
    <w:rsid w:val="002A2A63"/>
    <w:rsid w:val="002A2DDA"/>
    <w:rsid w:val="002A3104"/>
    <w:rsid w:val="002A32FC"/>
    <w:rsid w:val="002A33F6"/>
    <w:rsid w:val="002A34A3"/>
    <w:rsid w:val="002A37DA"/>
    <w:rsid w:val="002A3EF8"/>
    <w:rsid w:val="002A42F0"/>
    <w:rsid w:val="002A4325"/>
    <w:rsid w:val="002A491D"/>
    <w:rsid w:val="002A494B"/>
    <w:rsid w:val="002A4E43"/>
    <w:rsid w:val="002A4F0B"/>
    <w:rsid w:val="002A5051"/>
    <w:rsid w:val="002A54CE"/>
    <w:rsid w:val="002A56F8"/>
    <w:rsid w:val="002A5702"/>
    <w:rsid w:val="002A57B2"/>
    <w:rsid w:val="002A5834"/>
    <w:rsid w:val="002A585C"/>
    <w:rsid w:val="002A5943"/>
    <w:rsid w:val="002A5B27"/>
    <w:rsid w:val="002A5BEC"/>
    <w:rsid w:val="002A5E59"/>
    <w:rsid w:val="002A620D"/>
    <w:rsid w:val="002A638F"/>
    <w:rsid w:val="002A6444"/>
    <w:rsid w:val="002A655C"/>
    <w:rsid w:val="002A6964"/>
    <w:rsid w:val="002A6CD6"/>
    <w:rsid w:val="002A6D23"/>
    <w:rsid w:val="002A6EE4"/>
    <w:rsid w:val="002A6F1A"/>
    <w:rsid w:val="002A6FF7"/>
    <w:rsid w:val="002A732D"/>
    <w:rsid w:val="002A7602"/>
    <w:rsid w:val="002A762A"/>
    <w:rsid w:val="002A7D0E"/>
    <w:rsid w:val="002A7D29"/>
    <w:rsid w:val="002A7EFB"/>
    <w:rsid w:val="002A7FC6"/>
    <w:rsid w:val="002B033D"/>
    <w:rsid w:val="002B0483"/>
    <w:rsid w:val="002B04A0"/>
    <w:rsid w:val="002B04A2"/>
    <w:rsid w:val="002B0E7C"/>
    <w:rsid w:val="002B0FDE"/>
    <w:rsid w:val="002B1093"/>
    <w:rsid w:val="002B133B"/>
    <w:rsid w:val="002B2BF2"/>
    <w:rsid w:val="002B2E35"/>
    <w:rsid w:val="002B36D8"/>
    <w:rsid w:val="002B39B6"/>
    <w:rsid w:val="002B3ABA"/>
    <w:rsid w:val="002B3C05"/>
    <w:rsid w:val="002B3C2C"/>
    <w:rsid w:val="002B3D8E"/>
    <w:rsid w:val="002B467E"/>
    <w:rsid w:val="002B46B5"/>
    <w:rsid w:val="002B4D90"/>
    <w:rsid w:val="002B5241"/>
    <w:rsid w:val="002B54F8"/>
    <w:rsid w:val="002B553C"/>
    <w:rsid w:val="002B5ACC"/>
    <w:rsid w:val="002B5CFE"/>
    <w:rsid w:val="002B5D94"/>
    <w:rsid w:val="002B5EB6"/>
    <w:rsid w:val="002B60CE"/>
    <w:rsid w:val="002B6326"/>
    <w:rsid w:val="002B6385"/>
    <w:rsid w:val="002B63B6"/>
    <w:rsid w:val="002B67F0"/>
    <w:rsid w:val="002B6840"/>
    <w:rsid w:val="002B737D"/>
    <w:rsid w:val="002B7A82"/>
    <w:rsid w:val="002B7BCA"/>
    <w:rsid w:val="002C0024"/>
    <w:rsid w:val="002C04D9"/>
    <w:rsid w:val="002C08C0"/>
    <w:rsid w:val="002C0B9F"/>
    <w:rsid w:val="002C0CAF"/>
    <w:rsid w:val="002C0E4E"/>
    <w:rsid w:val="002C0F13"/>
    <w:rsid w:val="002C10A4"/>
    <w:rsid w:val="002C1682"/>
    <w:rsid w:val="002C1702"/>
    <w:rsid w:val="002C1B70"/>
    <w:rsid w:val="002C1F82"/>
    <w:rsid w:val="002C2189"/>
    <w:rsid w:val="002C251E"/>
    <w:rsid w:val="002C28C1"/>
    <w:rsid w:val="002C28FE"/>
    <w:rsid w:val="002C29DC"/>
    <w:rsid w:val="002C2AA7"/>
    <w:rsid w:val="002C2BD6"/>
    <w:rsid w:val="002C2E0C"/>
    <w:rsid w:val="002C2F18"/>
    <w:rsid w:val="002C30E3"/>
    <w:rsid w:val="002C38EC"/>
    <w:rsid w:val="002C3992"/>
    <w:rsid w:val="002C3AEE"/>
    <w:rsid w:val="002C3EA2"/>
    <w:rsid w:val="002C403E"/>
    <w:rsid w:val="002C42C3"/>
    <w:rsid w:val="002C5803"/>
    <w:rsid w:val="002C5A4D"/>
    <w:rsid w:val="002C5C96"/>
    <w:rsid w:val="002C5FD3"/>
    <w:rsid w:val="002C67B4"/>
    <w:rsid w:val="002C6B0B"/>
    <w:rsid w:val="002C6B1A"/>
    <w:rsid w:val="002C6F7F"/>
    <w:rsid w:val="002C7244"/>
    <w:rsid w:val="002C7727"/>
    <w:rsid w:val="002C7AE4"/>
    <w:rsid w:val="002D01DA"/>
    <w:rsid w:val="002D03DE"/>
    <w:rsid w:val="002D0536"/>
    <w:rsid w:val="002D06C0"/>
    <w:rsid w:val="002D0856"/>
    <w:rsid w:val="002D0A16"/>
    <w:rsid w:val="002D1068"/>
    <w:rsid w:val="002D112A"/>
    <w:rsid w:val="002D11F3"/>
    <w:rsid w:val="002D120D"/>
    <w:rsid w:val="002D1608"/>
    <w:rsid w:val="002D18A7"/>
    <w:rsid w:val="002D19D5"/>
    <w:rsid w:val="002D1B78"/>
    <w:rsid w:val="002D1DFE"/>
    <w:rsid w:val="002D21A5"/>
    <w:rsid w:val="002D2696"/>
    <w:rsid w:val="002D276E"/>
    <w:rsid w:val="002D295B"/>
    <w:rsid w:val="002D2CAB"/>
    <w:rsid w:val="002D2D1E"/>
    <w:rsid w:val="002D2DA2"/>
    <w:rsid w:val="002D30B1"/>
    <w:rsid w:val="002D38C7"/>
    <w:rsid w:val="002D3BFF"/>
    <w:rsid w:val="002D404E"/>
    <w:rsid w:val="002D409E"/>
    <w:rsid w:val="002D40CD"/>
    <w:rsid w:val="002D411E"/>
    <w:rsid w:val="002D412D"/>
    <w:rsid w:val="002D41FD"/>
    <w:rsid w:val="002D4384"/>
    <w:rsid w:val="002D4451"/>
    <w:rsid w:val="002D44A9"/>
    <w:rsid w:val="002D4932"/>
    <w:rsid w:val="002D4D86"/>
    <w:rsid w:val="002D542C"/>
    <w:rsid w:val="002D5A82"/>
    <w:rsid w:val="002D5DF0"/>
    <w:rsid w:val="002D5F0D"/>
    <w:rsid w:val="002D6120"/>
    <w:rsid w:val="002D68AE"/>
    <w:rsid w:val="002D6CE6"/>
    <w:rsid w:val="002D6EFC"/>
    <w:rsid w:val="002D6FF5"/>
    <w:rsid w:val="002D75F0"/>
    <w:rsid w:val="002D788E"/>
    <w:rsid w:val="002D7D32"/>
    <w:rsid w:val="002D7EDB"/>
    <w:rsid w:val="002E02EC"/>
    <w:rsid w:val="002E05B6"/>
    <w:rsid w:val="002E06D7"/>
    <w:rsid w:val="002E0801"/>
    <w:rsid w:val="002E17E5"/>
    <w:rsid w:val="002E1B45"/>
    <w:rsid w:val="002E1D4E"/>
    <w:rsid w:val="002E1F83"/>
    <w:rsid w:val="002E2249"/>
    <w:rsid w:val="002E23B3"/>
    <w:rsid w:val="002E245C"/>
    <w:rsid w:val="002E2C48"/>
    <w:rsid w:val="002E2C91"/>
    <w:rsid w:val="002E310B"/>
    <w:rsid w:val="002E317A"/>
    <w:rsid w:val="002E37A2"/>
    <w:rsid w:val="002E37E4"/>
    <w:rsid w:val="002E39A6"/>
    <w:rsid w:val="002E3DBA"/>
    <w:rsid w:val="002E3ED0"/>
    <w:rsid w:val="002E3EFB"/>
    <w:rsid w:val="002E40B8"/>
    <w:rsid w:val="002E4126"/>
    <w:rsid w:val="002E4167"/>
    <w:rsid w:val="002E48C9"/>
    <w:rsid w:val="002E4D6F"/>
    <w:rsid w:val="002E5196"/>
    <w:rsid w:val="002E5304"/>
    <w:rsid w:val="002E5344"/>
    <w:rsid w:val="002E5400"/>
    <w:rsid w:val="002E55D2"/>
    <w:rsid w:val="002E572D"/>
    <w:rsid w:val="002E5A57"/>
    <w:rsid w:val="002E5ADC"/>
    <w:rsid w:val="002E5B34"/>
    <w:rsid w:val="002E6345"/>
    <w:rsid w:val="002E638A"/>
    <w:rsid w:val="002E64E3"/>
    <w:rsid w:val="002E663E"/>
    <w:rsid w:val="002E708A"/>
    <w:rsid w:val="002E7357"/>
    <w:rsid w:val="002E78AF"/>
    <w:rsid w:val="002F0049"/>
    <w:rsid w:val="002F02E6"/>
    <w:rsid w:val="002F034F"/>
    <w:rsid w:val="002F03B0"/>
    <w:rsid w:val="002F0422"/>
    <w:rsid w:val="002F0AAD"/>
    <w:rsid w:val="002F0BDD"/>
    <w:rsid w:val="002F0DD8"/>
    <w:rsid w:val="002F10C8"/>
    <w:rsid w:val="002F12D4"/>
    <w:rsid w:val="002F1344"/>
    <w:rsid w:val="002F1E70"/>
    <w:rsid w:val="002F25BE"/>
    <w:rsid w:val="002F260F"/>
    <w:rsid w:val="002F2A7A"/>
    <w:rsid w:val="002F2BCA"/>
    <w:rsid w:val="002F2BCF"/>
    <w:rsid w:val="002F2C03"/>
    <w:rsid w:val="002F2C4D"/>
    <w:rsid w:val="002F301D"/>
    <w:rsid w:val="002F31B4"/>
    <w:rsid w:val="002F33D3"/>
    <w:rsid w:val="002F342F"/>
    <w:rsid w:val="002F37A8"/>
    <w:rsid w:val="002F39E0"/>
    <w:rsid w:val="002F39F0"/>
    <w:rsid w:val="002F3C11"/>
    <w:rsid w:val="002F3D44"/>
    <w:rsid w:val="002F3DC7"/>
    <w:rsid w:val="002F4166"/>
    <w:rsid w:val="002F4275"/>
    <w:rsid w:val="002F4490"/>
    <w:rsid w:val="002F46A2"/>
    <w:rsid w:val="002F46E1"/>
    <w:rsid w:val="002F4838"/>
    <w:rsid w:val="002F4DB7"/>
    <w:rsid w:val="002F50F5"/>
    <w:rsid w:val="002F51E8"/>
    <w:rsid w:val="002F53FB"/>
    <w:rsid w:val="002F5A0B"/>
    <w:rsid w:val="002F5B75"/>
    <w:rsid w:val="002F5DAA"/>
    <w:rsid w:val="002F5E71"/>
    <w:rsid w:val="002F5F55"/>
    <w:rsid w:val="002F61D7"/>
    <w:rsid w:val="002F6563"/>
    <w:rsid w:val="002F65CE"/>
    <w:rsid w:val="002F6771"/>
    <w:rsid w:val="002F6774"/>
    <w:rsid w:val="002F67A5"/>
    <w:rsid w:val="002F67BE"/>
    <w:rsid w:val="002F6D0E"/>
    <w:rsid w:val="002F70A9"/>
    <w:rsid w:val="002F70E3"/>
    <w:rsid w:val="002F7134"/>
    <w:rsid w:val="002F7932"/>
    <w:rsid w:val="002F7C22"/>
    <w:rsid w:val="003003C8"/>
    <w:rsid w:val="0030088D"/>
    <w:rsid w:val="00300920"/>
    <w:rsid w:val="00300AC6"/>
    <w:rsid w:val="00300ACF"/>
    <w:rsid w:val="00300DD4"/>
    <w:rsid w:val="00301162"/>
    <w:rsid w:val="00301864"/>
    <w:rsid w:val="00301C86"/>
    <w:rsid w:val="00301CAA"/>
    <w:rsid w:val="003023D5"/>
    <w:rsid w:val="00302943"/>
    <w:rsid w:val="00302B71"/>
    <w:rsid w:val="00302DF0"/>
    <w:rsid w:val="003030CF"/>
    <w:rsid w:val="0030338B"/>
    <w:rsid w:val="0030357A"/>
    <w:rsid w:val="003035A5"/>
    <w:rsid w:val="00303FE5"/>
    <w:rsid w:val="003042A7"/>
    <w:rsid w:val="00304426"/>
    <w:rsid w:val="00304436"/>
    <w:rsid w:val="003044AB"/>
    <w:rsid w:val="0030450F"/>
    <w:rsid w:val="00304653"/>
    <w:rsid w:val="00304B83"/>
    <w:rsid w:val="00304E0A"/>
    <w:rsid w:val="00305257"/>
    <w:rsid w:val="00305693"/>
    <w:rsid w:val="003057A6"/>
    <w:rsid w:val="00305C51"/>
    <w:rsid w:val="00305E93"/>
    <w:rsid w:val="0030612C"/>
    <w:rsid w:val="00306674"/>
    <w:rsid w:val="00306900"/>
    <w:rsid w:val="003069F8"/>
    <w:rsid w:val="00306BF0"/>
    <w:rsid w:val="00306C22"/>
    <w:rsid w:val="00306F30"/>
    <w:rsid w:val="00306F7E"/>
    <w:rsid w:val="0030739A"/>
    <w:rsid w:val="003078F1"/>
    <w:rsid w:val="00307B56"/>
    <w:rsid w:val="00307B62"/>
    <w:rsid w:val="00310070"/>
    <w:rsid w:val="003103DD"/>
    <w:rsid w:val="00310752"/>
    <w:rsid w:val="003107AB"/>
    <w:rsid w:val="00310900"/>
    <w:rsid w:val="0031097B"/>
    <w:rsid w:val="00310A70"/>
    <w:rsid w:val="00311522"/>
    <w:rsid w:val="00311665"/>
    <w:rsid w:val="0031180E"/>
    <w:rsid w:val="003118D9"/>
    <w:rsid w:val="00311C90"/>
    <w:rsid w:val="00311F13"/>
    <w:rsid w:val="003121CE"/>
    <w:rsid w:val="00312355"/>
    <w:rsid w:val="003125E7"/>
    <w:rsid w:val="003126FD"/>
    <w:rsid w:val="003127D4"/>
    <w:rsid w:val="00312B1B"/>
    <w:rsid w:val="00312BED"/>
    <w:rsid w:val="00312F0E"/>
    <w:rsid w:val="00312F1D"/>
    <w:rsid w:val="003130A0"/>
    <w:rsid w:val="003131F9"/>
    <w:rsid w:val="00313764"/>
    <w:rsid w:val="003137DF"/>
    <w:rsid w:val="00313AF5"/>
    <w:rsid w:val="00313B5B"/>
    <w:rsid w:val="00313CD1"/>
    <w:rsid w:val="003140BC"/>
    <w:rsid w:val="00314DD6"/>
    <w:rsid w:val="00314E6C"/>
    <w:rsid w:val="00314FE8"/>
    <w:rsid w:val="0031504E"/>
    <w:rsid w:val="003150B2"/>
    <w:rsid w:val="0031574E"/>
    <w:rsid w:val="003158D1"/>
    <w:rsid w:val="00315CCB"/>
    <w:rsid w:val="00315F52"/>
    <w:rsid w:val="00315FA0"/>
    <w:rsid w:val="003164DC"/>
    <w:rsid w:val="003166EE"/>
    <w:rsid w:val="0031679A"/>
    <w:rsid w:val="0031682B"/>
    <w:rsid w:val="00316884"/>
    <w:rsid w:val="003168B6"/>
    <w:rsid w:val="00316903"/>
    <w:rsid w:val="0031690A"/>
    <w:rsid w:val="00316A87"/>
    <w:rsid w:val="00316A8B"/>
    <w:rsid w:val="00316B88"/>
    <w:rsid w:val="003172A5"/>
    <w:rsid w:val="003172D6"/>
    <w:rsid w:val="0031749B"/>
    <w:rsid w:val="00317875"/>
    <w:rsid w:val="00317974"/>
    <w:rsid w:val="003179EA"/>
    <w:rsid w:val="00317ADC"/>
    <w:rsid w:val="00317BD4"/>
    <w:rsid w:val="0032006F"/>
    <w:rsid w:val="0032018C"/>
    <w:rsid w:val="003204E5"/>
    <w:rsid w:val="00320911"/>
    <w:rsid w:val="00320CB7"/>
    <w:rsid w:val="00321089"/>
    <w:rsid w:val="0032121F"/>
    <w:rsid w:val="00321370"/>
    <w:rsid w:val="0032175E"/>
    <w:rsid w:val="00321988"/>
    <w:rsid w:val="003219F7"/>
    <w:rsid w:val="00321E10"/>
    <w:rsid w:val="003223CA"/>
    <w:rsid w:val="00322677"/>
    <w:rsid w:val="003226C9"/>
    <w:rsid w:val="00322716"/>
    <w:rsid w:val="003227DD"/>
    <w:rsid w:val="0032295E"/>
    <w:rsid w:val="00322C0A"/>
    <w:rsid w:val="00322DEC"/>
    <w:rsid w:val="00322F2F"/>
    <w:rsid w:val="00322FC0"/>
    <w:rsid w:val="0032307D"/>
    <w:rsid w:val="003233B2"/>
    <w:rsid w:val="003233F2"/>
    <w:rsid w:val="00323443"/>
    <w:rsid w:val="003236DE"/>
    <w:rsid w:val="003237C7"/>
    <w:rsid w:val="00323B3D"/>
    <w:rsid w:val="00323C7B"/>
    <w:rsid w:val="00323D78"/>
    <w:rsid w:val="00323D95"/>
    <w:rsid w:val="00323E77"/>
    <w:rsid w:val="00323FC7"/>
    <w:rsid w:val="00324527"/>
    <w:rsid w:val="00324B25"/>
    <w:rsid w:val="00324C66"/>
    <w:rsid w:val="00325144"/>
    <w:rsid w:val="00325165"/>
    <w:rsid w:val="00325171"/>
    <w:rsid w:val="00325A44"/>
    <w:rsid w:val="00325C86"/>
    <w:rsid w:val="00325E18"/>
    <w:rsid w:val="00326777"/>
    <w:rsid w:val="00326846"/>
    <w:rsid w:val="00326F67"/>
    <w:rsid w:val="00327649"/>
    <w:rsid w:val="0032794D"/>
    <w:rsid w:val="00327A9A"/>
    <w:rsid w:val="00327C32"/>
    <w:rsid w:val="00327E36"/>
    <w:rsid w:val="00330274"/>
    <w:rsid w:val="003303D0"/>
    <w:rsid w:val="003304C1"/>
    <w:rsid w:val="00330F65"/>
    <w:rsid w:val="0033114B"/>
    <w:rsid w:val="0033160C"/>
    <w:rsid w:val="00331724"/>
    <w:rsid w:val="003317D0"/>
    <w:rsid w:val="003317EE"/>
    <w:rsid w:val="00331994"/>
    <w:rsid w:val="00331BD2"/>
    <w:rsid w:val="00331C40"/>
    <w:rsid w:val="00331E56"/>
    <w:rsid w:val="00332437"/>
    <w:rsid w:val="00332845"/>
    <w:rsid w:val="00332856"/>
    <w:rsid w:val="00332CBB"/>
    <w:rsid w:val="00332F12"/>
    <w:rsid w:val="0033301D"/>
    <w:rsid w:val="003336D0"/>
    <w:rsid w:val="0033381A"/>
    <w:rsid w:val="00333E9A"/>
    <w:rsid w:val="0033404E"/>
    <w:rsid w:val="00334183"/>
    <w:rsid w:val="0033457D"/>
    <w:rsid w:val="003346CE"/>
    <w:rsid w:val="00334BBC"/>
    <w:rsid w:val="00334EFF"/>
    <w:rsid w:val="00335352"/>
    <w:rsid w:val="0033545A"/>
    <w:rsid w:val="00335645"/>
    <w:rsid w:val="00335681"/>
    <w:rsid w:val="00335E31"/>
    <w:rsid w:val="00335E48"/>
    <w:rsid w:val="00335FCE"/>
    <w:rsid w:val="0033639C"/>
    <w:rsid w:val="003365AD"/>
    <w:rsid w:val="0033686C"/>
    <w:rsid w:val="003369DF"/>
    <w:rsid w:val="00337058"/>
    <w:rsid w:val="00337070"/>
    <w:rsid w:val="00337136"/>
    <w:rsid w:val="0033758D"/>
    <w:rsid w:val="00337794"/>
    <w:rsid w:val="00337B57"/>
    <w:rsid w:val="00337BFC"/>
    <w:rsid w:val="00337C0D"/>
    <w:rsid w:val="003400C3"/>
    <w:rsid w:val="0034020A"/>
    <w:rsid w:val="00340338"/>
    <w:rsid w:val="003403DB"/>
    <w:rsid w:val="00340A3E"/>
    <w:rsid w:val="00341208"/>
    <w:rsid w:val="003413F6"/>
    <w:rsid w:val="00341487"/>
    <w:rsid w:val="00341578"/>
    <w:rsid w:val="00341632"/>
    <w:rsid w:val="0034177A"/>
    <w:rsid w:val="00341B1A"/>
    <w:rsid w:val="00341E92"/>
    <w:rsid w:val="003420CE"/>
    <w:rsid w:val="00342531"/>
    <w:rsid w:val="00342770"/>
    <w:rsid w:val="00342942"/>
    <w:rsid w:val="00342C0D"/>
    <w:rsid w:val="00342C6C"/>
    <w:rsid w:val="00342E5F"/>
    <w:rsid w:val="00343038"/>
    <w:rsid w:val="00343349"/>
    <w:rsid w:val="003434CD"/>
    <w:rsid w:val="003441D0"/>
    <w:rsid w:val="003445DF"/>
    <w:rsid w:val="003450E2"/>
    <w:rsid w:val="0034561F"/>
    <w:rsid w:val="00345A2C"/>
    <w:rsid w:val="00345AC7"/>
    <w:rsid w:val="00345C4E"/>
    <w:rsid w:val="00345D3A"/>
    <w:rsid w:val="003466C3"/>
    <w:rsid w:val="003467F7"/>
    <w:rsid w:val="00346898"/>
    <w:rsid w:val="003468C2"/>
    <w:rsid w:val="00346A99"/>
    <w:rsid w:val="00346C27"/>
    <w:rsid w:val="003475F8"/>
    <w:rsid w:val="00347DEC"/>
    <w:rsid w:val="00347E5B"/>
    <w:rsid w:val="00347FF0"/>
    <w:rsid w:val="003501E2"/>
    <w:rsid w:val="00350A2E"/>
    <w:rsid w:val="00351393"/>
    <w:rsid w:val="00351C38"/>
    <w:rsid w:val="00352093"/>
    <w:rsid w:val="003522E5"/>
    <w:rsid w:val="0035230A"/>
    <w:rsid w:val="00352359"/>
    <w:rsid w:val="003525E3"/>
    <w:rsid w:val="0035270C"/>
    <w:rsid w:val="00352713"/>
    <w:rsid w:val="00352CDF"/>
    <w:rsid w:val="003530B7"/>
    <w:rsid w:val="003536FE"/>
    <w:rsid w:val="00353B7D"/>
    <w:rsid w:val="00353DE4"/>
    <w:rsid w:val="00353EA7"/>
    <w:rsid w:val="00354530"/>
    <w:rsid w:val="00354684"/>
    <w:rsid w:val="003547C0"/>
    <w:rsid w:val="003549B8"/>
    <w:rsid w:val="00354C48"/>
    <w:rsid w:val="00354FC9"/>
    <w:rsid w:val="00355526"/>
    <w:rsid w:val="00355C7B"/>
    <w:rsid w:val="00355E6B"/>
    <w:rsid w:val="00355F4F"/>
    <w:rsid w:val="003562A6"/>
    <w:rsid w:val="00356508"/>
    <w:rsid w:val="00356746"/>
    <w:rsid w:val="00356A1B"/>
    <w:rsid w:val="00356D23"/>
    <w:rsid w:val="00356DD4"/>
    <w:rsid w:val="00357026"/>
    <w:rsid w:val="00357218"/>
    <w:rsid w:val="0035785A"/>
    <w:rsid w:val="00357DDA"/>
    <w:rsid w:val="00360355"/>
    <w:rsid w:val="003607B1"/>
    <w:rsid w:val="00360AC7"/>
    <w:rsid w:val="0036146E"/>
    <w:rsid w:val="00361563"/>
    <w:rsid w:val="003620F2"/>
    <w:rsid w:val="00362520"/>
    <w:rsid w:val="0036281C"/>
    <w:rsid w:val="003628E9"/>
    <w:rsid w:val="00362C28"/>
    <w:rsid w:val="00362C7A"/>
    <w:rsid w:val="00362D18"/>
    <w:rsid w:val="00362E14"/>
    <w:rsid w:val="00362ED3"/>
    <w:rsid w:val="00363016"/>
    <w:rsid w:val="0036310F"/>
    <w:rsid w:val="00363169"/>
    <w:rsid w:val="003631DF"/>
    <w:rsid w:val="003637B4"/>
    <w:rsid w:val="0036394F"/>
    <w:rsid w:val="003639B9"/>
    <w:rsid w:val="00364235"/>
    <w:rsid w:val="0036441F"/>
    <w:rsid w:val="003645CD"/>
    <w:rsid w:val="0036485A"/>
    <w:rsid w:val="003648F1"/>
    <w:rsid w:val="00364A9B"/>
    <w:rsid w:val="00364B18"/>
    <w:rsid w:val="00364C1C"/>
    <w:rsid w:val="00364CB4"/>
    <w:rsid w:val="003651B6"/>
    <w:rsid w:val="003655F6"/>
    <w:rsid w:val="0036560D"/>
    <w:rsid w:val="0036599C"/>
    <w:rsid w:val="00365A80"/>
    <w:rsid w:val="00365BFD"/>
    <w:rsid w:val="00365D61"/>
    <w:rsid w:val="00366546"/>
    <w:rsid w:val="003669F9"/>
    <w:rsid w:val="00366AB0"/>
    <w:rsid w:val="00366CD7"/>
    <w:rsid w:val="00366E36"/>
    <w:rsid w:val="003675D8"/>
    <w:rsid w:val="00367879"/>
    <w:rsid w:val="003678D5"/>
    <w:rsid w:val="003678D8"/>
    <w:rsid w:val="00367C80"/>
    <w:rsid w:val="00367CF5"/>
    <w:rsid w:val="00370446"/>
    <w:rsid w:val="003704B4"/>
    <w:rsid w:val="0037065E"/>
    <w:rsid w:val="003708E2"/>
    <w:rsid w:val="0037097E"/>
    <w:rsid w:val="00370B54"/>
    <w:rsid w:val="003714F0"/>
    <w:rsid w:val="00371B6F"/>
    <w:rsid w:val="00371CC4"/>
    <w:rsid w:val="00371FFB"/>
    <w:rsid w:val="00372197"/>
    <w:rsid w:val="00372360"/>
    <w:rsid w:val="00372511"/>
    <w:rsid w:val="003726AC"/>
    <w:rsid w:val="003729E3"/>
    <w:rsid w:val="00372BB0"/>
    <w:rsid w:val="00372DBE"/>
    <w:rsid w:val="00373498"/>
    <w:rsid w:val="00373666"/>
    <w:rsid w:val="003737E2"/>
    <w:rsid w:val="00373AA5"/>
    <w:rsid w:val="003741F6"/>
    <w:rsid w:val="003742AD"/>
    <w:rsid w:val="003744F8"/>
    <w:rsid w:val="00374888"/>
    <w:rsid w:val="00374D75"/>
    <w:rsid w:val="00374FFD"/>
    <w:rsid w:val="003756C5"/>
    <w:rsid w:val="003759F3"/>
    <w:rsid w:val="00375C48"/>
    <w:rsid w:val="00376279"/>
    <w:rsid w:val="003762C9"/>
    <w:rsid w:val="00376339"/>
    <w:rsid w:val="00376360"/>
    <w:rsid w:val="0037637F"/>
    <w:rsid w:val="003764CE"/>
    <w:rsid w:val="00376C0E"/>
    <w:rsid w:val="00376F05"/>
    <w:rsid w:val="00376F6E"/>
    <w:rsid w:val="00377218"/>
    <w:rsid w:val="00377470"/>
    <w:rsid w:val="003776C8"/>
    <w:rsid w:val="00377794"/>
    <w:rsid w:val="0037780E"/>
    <w:rsid w:val="00377A15"/>
    <w:rsid w:val="00377F52"/>
    <w:rsid w:val="0038005A"/>
    <w:rsid w:val="0038026A"/>
    <w:rsid w:val="003804D0"/>
    <w:rsid w:val="003808DB"/>
    <w:rsid w:val="00380A3A"/>
    <w:rsid w:val="00380C8A"/>
    <w:rsid w:val="003811CA"/>
    <w:rsid w:val="00381294"/>
    <w:rsid w:val="00381820"/>
    <w:rsid w:val="0038193D"/>
    <w:rsid w:val="00381A31"/>
    <w:rsid w:val="003821A2"/>
    <w:rsid w:val="0038235C"/>
    <w:rsid w:val="003824E3"/>
    <w:rsid w:val="003825E7"/>
    <w:rsid w:val="003828D7"/>
    <w:rsid w:val="0038296D"/>
    <w:rsid w:val="00382C7A"/>
    <w:rsid w:val="003833E4"/>
    <w:rsid w:val="00383EA5"/>
    <w:rsid w:val="00384360"/>
    <w:rsid w:val="0038444A"/>
    <w:rsid w:val="003847BF"/>
    <w:rsid w:val="00384A06"/>
    <w:rsid w:val="00384CF4"/>
    <w:rsid w:val="00384EFA"/>
    <w:rsid w:val="00384F54"/>
    <w:rsid w:val="003850E6"/>
    <w:rsid w:val="00385281"/>
    <w:rsid w:val="00385B93"/>
    <w:rsid w:val="00385EBF"/>
    <w:rsid w:val="00386003"/>
    <w:rsid w:val="003860A0"/>
    <w:rsid w:val="003862F8"/>
    <w:rsid w:val="00386832"/>
    <w:rsid w:val="00386BFD"/>
    <w:rsid w:val="00386ECB"/>
    <w:rsid w:val="003873DA"/>
    <w:rsid w:val="00387966"/>
    <w:rsid w:val="00387BD7"/>
    <w:rsid w:val="003902FA"/>
    <w:rsid w:val="00390529"/>
    <w:rsid w:val="00390875"/>
    <w:rsid w:val="00390B8A"/>
    <w:rsid w:val="00390E0E"/>
    <w:rsid w:val="00390E1F"/>
    <w:rsid w:val="00390E6D"/>
    <w:rsid w:val="00391176"/>
    <w:rsid w:val="00391608"/>
    <w:rsid w:val="00391934"/>
    <w:rsid w:val="00391ADC"/>
    <w:rsid w:val="00391BC1"/>
    <w:rsid w:val="00391F79"/>
    <w:rsid w:val="00392204"/>
    <w:rsid w:val="00392433"/>
    <w:rsid w:val="003928A3"/>
    <w:rsid w:val="00392EBA"/>
    <w:rsid w:val="00393342"/>
    <w:rsid w:val="00393F62"/>
    <w:rsid w:val="003941B0"/>
    <w:rsid w:val="003944CB"/>
    <w:rsid w:val="00394557"/>
    <w:rsid w:val="00394955"/>
    <w:rsid w:val="00394AB2"/>
    <w:rsid w:val="00394E0A"/>
    <w:rsid w:val="00394F85"/>
    <w:rsid w:val="00394FDC"/>
    <w:rsid w:val="003956C8"/>
    <w:rsid w:val="00395A61"/>
    <w:rsid w:val="0039601D"/>
    <w:rsid w:val="003960A3"/>
    <w:rsid w:val="00396318"/>
    <w:rsid w:val="003965D9"/>
    <w:rsid w:val="00396DC2"/>
    <w:rsid w:val="00396FB3"/>
    <w:rsid w:val="00397360"/>
    <w:rsid w:val="00397406"/>
    <w:rsid w:val="00397600"/>
    <w:rsid w:val="0039760F"/>
    <w:rsid w:val="00397BA8"/>
    <w:rsid w:val="00397F3A"/>
    <w:rsid w:val="003A0710"/>
    <w:rsid w:val="003A099A"/>
    <w:rsid w:val="003A0A34"/>
    <w:rsid w:val="003A0AD3"/>
    <w:rsid w:val="003A0CDD"/>
    <w:rsid w:val="003A0F84"/>
    <w:rsid w:val="003A1265"/>
    <w:rsid w:val="003A1349"/>
    <w:rsid w:val="003A15EF"/>
    <w:rsid w:val="003A1A8E"/>
    <w:rsid w:val="003A1B48"/>
    <w:rsid w:val="003A1D31"/>
    <w:rsid w:val="003A1E1B"/>
    <w:rsid w:val="003A22A4"/>
    <w:rsid w:val="003A22A8"/>
    <w:rsid w:val="003A25E7"/>
    <w:rsid w:val="003A263C"/>
    <w:rsid w:val="003A26B9"/>
    <w:rsid w:val="003A298B"/>
    <w:rsid w:val="003A30BC"/>
    <w:rsid w:val="003A32CB"/>
    <w:rsid w:val="003A33EF"/>
    <w:rsid w:val="003A34BE"/>
    <w:rsid w:val="003A377D"/>
    <w:rsid w:val="003A3DBE"/>
    <w:rsid w:val="003A3E35"/>
    <w:rsid w:val="003A3ED3"/>
    <w:rsid w:val="003A4051"/>
    <w:rsid w:val="003A44D0"/>
    <w:rsid w:val="003A4A10"/>
    <w:rsid w:val="003A4C1B"/>
    <w:rsid w:val="003A4C25"/>
    <w:rsid w:val="003A5103"/>
    <w:rsid w:val="003A57C1"/>
    <w:rsid w:val="003A5949"/>
    <w:rsid w:val="003A5C0B"/>
    <w:rsid w:val="003A5D51"/>
    <w:rsid w:val="003A6087"/>
    <w:rsid w:val="003A60B8"/>
    <w:rsid w:val="003A612B"/>
    <w:rsid w:val="003A65F7"/>
    <w:rsid w:val="003A6652"/>
    <w:rsid w:val="003A67ED"/>
    <w:rsid w:val="003A6A01"/>
    <w:rsid w:val="003A6CED"/>
    <w:rsid w:val="003A723D"/>
    <w:rsid w:val="003A7397"/>
    <w:rsid w:val="003A75F5"/>
    <w:rsid w:val="003A78C4"/>
    <w:rsid w:val="003A7BED"/>
    <w:rsid w:val="003B0026"/>
    <w:rsid w:val="003B0177"/>
    <w:rsid w:val="003B0214"/>
    <w:rsid w:val="003B0217"/>
    <w:rsid w:val="003B03B6"/>
    <w:rsid w:val="003B049A"/>
    <w:rsid w:val="003B0582"/>
    <w:rsid w:val="003B07CA"/>
    <w:rsid w:val="003B08EE"/>
    <w:rsid w:val="003B0C49"/>
    <w:rsid w:val="003B0D7D"/>
    <w:rsid w:val="003B0FE4"/>
    <w:rsid w:val="003B1525"/>
    <w:rsid w:val="003B1A7A"/>
    <w:rsid w:val="003B1BD6"/>
    <w:rsid w:val="003B1E1E"/>
    <w:rsid w:val="003B2270"/>
    <w:rsid w:val="003B2291"/>
    <w:rsid w:val="003B24BC"/>
    <w:rsid w:val="003B2599"/>
    <w:rsid w:val="003B291D"/>
    <w:rsid w:val="003B2C2E"/>
    <w:rsid w:val="003B30D1"/>
    <w:rsid w:val="003B3310"/>
    <w:rsid w:val="003B3676"/>
    <w:rsid w:val="003B3785"/>
    <w:rsid w:val="003B37D0"/>
    <w:rsid w:val="003B38A9"/>
    <w:rsid w:val="003B396E"/>
    <w:rsid w:val="003B3A4A"/>
    <w:rsid w:val="003B3AEA"/>
    <w:rsid w:val="003B3BB8"/>
    <w:rsid w:val="003B43F6"/>
    <w:rsid w:val="003B4595"/>
    <w:rsid w:val="003B46A0"/>
    <w:rsid w:val="003B46AA"/>
    <w:rsid w:val="003B4A86"/>
    <w:rsid w:val="003B4BD1"/>
    <w:rsid w:val="003B5016"/>
    <w:rsid w:val="003B50FE"/>
    <w:rsid w:val="003B5320"/>
    <w:rsid w:val="003B5BE7"/>
    <w:rsid w:val="003B5C6F"/>
    <w:rsid w:val="003B5DDA"/>
    <w:rsid w:val="003B5DF8"/>
    <w:rsid w:val="003B5E71"/>
    <w:rsid w:val="003B6693"/>
    <w:rsid w:val="003B69E8"/>
    <w:rsid w:val="003B6B44"/>
    <w:rsid w:val="003B6D0F"/>
    <w:rsid w:val="003B7134"/>
    <w:rsid w:val="003B7351"/>
    <w:rsid w:val="003B73A9"/>
    <w:rsid w:val="003B783B"/>
    <w:rsid w:val="003B7ADE"/>
    <w:rsid w:val="003B7C3E"/>
    <w:rsid w:val="003B7C8D"/>
    <w:rsid w:val="003C00B8"/>
    <w:rsid w:val="003C0252"/>
    <w:rsid w:val="003C0374"/>
    <w:rsid w:val="003C08A8"/>
    <w:rsid w:val="003C0BC7"/>
    <w:rsid w:val="003C12C6"/>
    <w:rsid w:val="003C15F3"/>
    <w:rsid w:val="003C189B"/>
    <w:rsid w:val="003C1A09"/>
    <w:rsid w:val="003C1C93"/>
    <w:rsid w:val="003C1CE7"/>
    <w:rsid w:val="003C1E64"/>
    <w:rsid w:val="003C1E8A"/>
    <w:rsid w:val="003C22BE"/>
    <w:rsid w:val="003C2716"/>
    <w:rsid w:val="003C2866"/>
    <w:rsid w:val="003C28FA"/>
    <w:rsid w:val="003C29CA"/>
    <w:rsid w:val="003C2A6A"/>
    <w:rsid w:val="003C2F70"/>
    <w:rsid w:val="003C3004"/>
    <w:rsid w:val="003C33B7"/>
    <w:rsid w:val="003C35C1"/>
    <w:rsid w:val="003C3956"/>
    <w:rsid w:val="003C3AF2"/>
    <w:rsid w:val="003C3C0A"/>
    <w:rsid w:val="003C3E5A"/>
    <w:rsid w:val="003C3EA3"/>
    <w:rsid w:val="003C3FCB"/>
    <w:rsid w:val="003C41AE"/>
    <w:rsid w:val="003C4868"/>
    <w:rsid w:val="003C4B59"/>
    <w:rsid w:val="003C4C2A"/>
    <w:rsid w:val="003C4E45"/>
    <w:rsid w:val="003C4E4D"/>
    <w:rsid w:val="003C524E"/>
    <w:rsid w:val="003C53C5"/>
    <w:rsid w:val="003C5554"/>
    <w:rsid w:val="003C5BD4"/>
    <w:rsid w:val="003C6043"/>
    <w:rsid w:val="003C6147"/>
    <w:rsid w:val="003C647D"/>
    <w:rsid w:val="003C659F"/>
    <w:rsid w:val="003C674D"/>
    <w:rsid w:val="003C6A00"/>
    <w:rsid w:val="003C6C9D"/>
    <w:rsid w:val="003C6D45"/>
    <w:rsid w:val="003C6F05"/>
    <w:rsid w:val="003C720C"/>
    <w:rsid w:val="003C72FA"/>
    <w:rsid w:val="003C76EC"/>
    <w:rsid w:val="003C78D2"/>
    <w:rsid w:val="003C7C79"/>
    <w:rsid w:val="003C7C8A"/>
    <w:rsid w:val="003C7F5C"/>
    <w:rsid w:val="003C7F82"/>
    <w:rsid w:val="003D024B"/>
    <w:rsid w:val="003D04E8"/>
    <w:rsid w:val="003D09D5"/>
    <w:rsid w:val="003D0ED0"/>
    <w:rsid w:val="003D0F24"/>
    <w:rsid w:val="003D10A6"/>
    <w:rsid w:val="003D170D"/>
    <w:rsid w:val="003D2154"/>
    <w:rsid w:val="003D2345"/>
    <w:rsid w:val="003D2900"/>
    <w:rsid w:val="003D29DF"/>
    <w:rsid w:val="003D35B0"/>
    <w:rsid w:val="003D3709"/>
    <w:rsid w:val="003D3A2B"/>
    <w:rsid w:val="003D4784"/>
    <w:rsid w:val="003D489F"/>
    <w:rsid w:val="003D4A54"/>
    <w:rsid w:val="003D4FEC"/>
    <w:rsid w:val="003D58A4"/>
    <w:rsid w:val="003D5F60"/>
    <w:rsid w:val="003D5F85"/>
    <w:rsid w:val="003D61A2"/>
    <w:rsid w:val="003D64F7"/>
    <w:rsid w:val="003D6548"/>
    <w:rsid w:val="003D68DE"/>
    <w:rsid w:val="003D6B91"/>
    <w:rsid w:val="003D6CA3"/>
    <w:rsid w:val="003D71E5"/>
    <w:rsid w:val="003D788B"/>
    <w:rsid w:val="003E03AE"/>
    <w:rsid w:val="003E060B"/>
    <w:rsid w:val="003E08AF"/>
    <w:rsid w:val="003E0A2E"/>
    <w:rsid w:val="003E0EE6"/>
    <w:rsid w:val="003E17EF"/>
    <w:rsid w:val="003E20DB"/>
    <w:rsid w:val="003E2120"/>
    <w:rsid w:val="003E23D4"/>
    <w:rsid w:val="003E2B17"/>
    <w:rsid w:val="003E2F93"/>
    <w:rsid w:val="003E2FB9"/>
    <w:rsid w:val="003E3100"/>
    <w:rsid w:val="003E34D8"/>
    <w:rsid w:val="003E3512"/>
    <w:rsid w:val="003E3C1F"/>
    <w:rsid w:val="003E4172"/>
    <w:rsid w:val="003E427E"/>
    <w:rsid w:val="003E48BD"/>
    <w:rsid w:val="003E4C7E"/>
    <w:rsid w:val="003E4CAC"/>
    <w:rsid w:val="003E4CF9"/>
    <w:rsid w:val="003E4D3B"/>
    <w:rsid w:val="003E4FB0"/>
    <w:rsid w:val="003E4FDA"/>
    <w:rsid w:val="003E5207"/>
    <w:rsid w:val="003E52CF"/>
    <w:rsid w:val="003E53C8"/>
    <w:rsid w:val="003E60D0"/>
    <w:rsid w:val="003E6420"/>
    <w:rsid w:val="003E7086"/>
    <w:rsid w:val="003E70E9"/>
    <w:rsid w:val="003E729B"/>
    <w:rsid w:val="003E7523"/>
    <w:rsid w:val="003E75D7"/>
    <w:rsid w:val="003E7D5E"/>
    <w:rsid w:val="003F041E"/>
    <w:rsid w:val="003F0610"/>
    <w:rsid w:val="003F066D"/>
    <w:rsid w:val="003F0A57"/>
    <w:rsid w:val="003F0B7A"/>
    <w:rsid w:val="003F101F"/>
    <w:rsid w:val="003F1C0D"/>
    <w:rsid w:val="003F2091"/>
    <w:rsid w:val="003F23F9"/>
    <w:rsid w:val="003F27F2"/>
    <w:rsid w:val="003F2A00"/>
    <w:rsid w:val="003F2D63"/>
    <w:rsid w:val="003F2D8A"/>
    <w:rsid w:val="003F301C"/>
    <w:rsid w:val="003F3022"/>
    <w:rsid w:val="003F33A7"/>
    <w:rsid w:val="003F351A"/>
    <w:rsid w:val="003F366D"/>
    <w:rsid w:val="003F41D1"/>
    <w:rsid w:val="003F4255"/>
    <w:rsid w:val="003F466E"/>
    <w:rsid w:val="003F489D"/>
    <w:rsid w:val="003F5282"/>
    <w:rsid w:val="003F533D"/>
    <w:rsid w:val="003F5614"/>
    <w:rsid w:val="003F5680"/>
    <w:rsid w:val="003F57B7"/>
    <w:rsid w:val="003F585A"/>
    <w:rsid w:val="003F5EA5"/>
    <w:rsid w:val="003F5ECA"/>
    <w:rsid w:val="003F5F18"/>
    <w:rsid w:val="003F6085"/>
    <w:rsid w:val="003F6244"/>
    <w:rsid w:val="003F6E50"/>
    <w:rsid w:val="003F6FB9"/>
    <w:rsid w:val="003F7462"/>
    <w:rsid w:val="003F761A"/>
    <w:rsid w:val="003F7624"/>
    <w:rsid w:val="003F7664"/>
    <w:rsid w:val="003F76F3"/>
    <w:rsid w:val="003F7BA5"/>
    <w:rsid w:val="004000B0"/>
    <w:rsid w:val="00400481"/>
    <w:rsid w:val="004007F3"/>
    <w:rsid w:val="0040081E"/>
    <w:rsid w:val="00400A4E"/>
    <w:rsid w:val="00400D73"/>
    <w:rsid w:val="00400F8E"/>
    <w:rsid w:val="0040184E"/>
    <w:rsid w:val="00401B2D"/>
    <w:rsid w:val="00401BC6"/>
    <w:rsid w:val="00401C0B"/>
    <w:rsid w:val="004025A1"/>
    <w:rsid w:val="00402B77"/>
    <w:rsid w:val="00402D16"/>
    <w:rsid w:val="00403225"/>
    <w:rsid w:val="0040337A"/>
    <w:rsid w:val="0040358C"/>
    <w:rsid w:val="00403D68"/>
    <w:rsid w:val="00403ED6"/>
    <w:rsid w:val="0040424C"/>
    <w:rsid w:val="00404654"/>
    <w:rsid w:val="0040470B"/>
    <w:rsid w:val="00405293"/>
    <w:rsid w:val="00405909"/>
    <w:rsid w:val="004060A3"/>
    <w:rsid w:val="004060B0"/>
    <w:rsid w:val="004060BE"/>
    <w:rsid w:val="004062C4"/>
    <w:rsid w:val="004064FE"/>
    <w:rsid w:val="004065A0"/>
    <w:rsid w:val="004067C6"/>
    <w:rsid w:val="0040694E"/>
    <w:rsid w:val="00406E13"/>
    <w:rsid w:val="0040702F"/>
    <w:rsid w:val="00407629"/>
    <w:rsid w:val="00407BE0"/>
    <w:rsid w:val="00407D47"/>
    <w:rsid w:val="00407D5D"/>
    <w:rsid w:val="004105E3"/>
    <w:rsid w:val="00410610"/>
    <w:rsid w:val="004106DA"/>
    <w:rsid w:val="004109EE"/>
    <w:rsid w:val="00410C59"/>
    <w:rsid w:val="004110CE"/>
    <w:rsid w:val="0041162B"/>
    <w:rsid w:val="00412755"/>
    <w:rsid w:val="00412B86"/>
    <w:rsid w:val="00412BED"/>
    <w:rsid w:val="00412F25"/>
    <w:rsid w:val="00412F47"/>
    <w:rsid w:val="004130D3"/>
    <w:rsid w:val="00413129"/>
    <w:rsid w:val="004132D3"/>
    <w:rsid w:val="00413601"/>
    <w:rsid w:val="004138F9"/>
    <w:rsid w:val="00413AE0"/>
    <w:rsid w:val="00413AF9"/>
    <w:rsid w:val="00413C29"/>
    <w:rsid w:val="0041413C"/>
    <w:rsid w:val="004145C5"/>
    <w:rsid w:val="004148B6"/>
    <w:rsid w:val="00414A37"/>
    <w:rsid w:val="00414BC5"/>
    <w:rsid w:val="00414D77"/>
    <w:rsid w:val="004151C8"/>
    <w:rsid w:val="004151FF"/>
    <w:rsid w:val="0041533F"/>
    <w:rsid w:val="004154E4"/>
    <w:rsid w:val="0041576D"/>
    <w:rsid w:val="00415C23"/>
    <w:rsid w:val="00415DFA"/>
    <w:rsid w:val="00416115"/>
    <w:rsid w:val="0041654C"/>
    <w:rsid w:val="00416A47"/>
    <w:rsid w:val="00416A98"/>
    <w:rsid w:val="00416B63"/>
    <w:rsid w:val="00416CC1"/>
    <w:rsid w:val="00416E41"/>
    <w:rsid w:val="00416EBB"/>
    <w:rsid w:val="00417AE2"/>
    <w:rsid w:val="00417BC4"/>
    <w:rsid w:val="00417D3B"/>
    <w:rsid w:val="00417FF2"/>
    <w:rsid w:val="0042002D"/>
    <w:rsid w:val="00420EC9"/>
    <w:rsid w:val="00420F6D"/>
    <w:rsid w:val="0042152D"/>
    <w:rsid w:val="00421A19"/>
    <w:rsid w:val="00421AF3"/>
    <w:rsid w:val="00421BCD"/>
    <w:rsid w:val="00421CBB"/>
    <w:rsid w:val="004222DB"/>
    <w:rsid w:val="0042255F"/>
    <w:rsid w:val="004229EF"/>
    <w:rsid w:val="00422CAD"/>
    <w:rsid w:val="00423A80"/>
    <w:rsid w:val="00423F23"/>
    <w:rsid w:val="004241AE"/>
    <w:rsid w:val="00424C10"/>
    <w:rsid w:val="00424CB1"/>
    <w:rsid w:val="00424CFE"/>
    <w:rsid w:val="00424F10"/>
    <w:rsid w:val="00425185"/>
    <w:rsid w:val="00425D71"/>
    <w:rsid w:val="00426373"/>
    <w:rsid w:val="0042659D"/>
    <w:rsid w:val="00426C63"/>
    <w:rsid w:val="00426DC1"/>
    <w:rsid w:val="00426DF3"/>
    <w:rsid w:val="004274CF"/>
    <w:rsid w:val="00427509"/>
    <w:rsid w:val="004275FB"/>
    <w:rsid w:val="004278B6"/>
    <w:rsid w:val="00427A3F"/>
    <w:rsid w:val="00427DA7"/>
    <w:rsid w:val="0043009C"/>
    <w:rsid w:val="004301EA"/>
    <w:rsid w:val="00430AC7"/>
    <w:rsid w:val="00430B8B"/>
    <w:rsid w:val="00430BC7"/>
    <w:rsid w:val="00430FA1"/>
    <w:rsid w:val="004319DB"/>
    <w:rsid w:val="00431CFA"/>
    <w:rsid w:val="00431F0D"/>
    <w:rsid w:val="00431FE5"/>
    <w:rsid w:val="00432440"/>
    <w:rsid w:val="004324A2"/>
    <w:rsid w:val="004328EB"/>
    <w:rsid w:val="00432AE4"/>
    <w:rsid w:val="00432DA1"/>
    <w:rsid w:val="0043386A"/>
    <w:rsid w:val="004339E8"/>
    <w:rsid w:val="00434319"/>
    <w:rsid w:val="00434353"/>
    <w:rsid w:val="00434426"/>
    <w:rsid w:val="0043453E"/>
    <w:rsid w:val="00434973"/>
    <w:rsid w:val="004349E4"/>
    <w:rsid w:val="00434BB9"/>
    <w:rsid w:val="00434CA9"/>
    <w:rsid w:val="00434DA0"/>
    <w:rsid w:val="00434DDE"/>
    <w:rsid w:val="00435102"/>
    <w:rsid w:val="004351A1"/>
    <w:rsid w:val="0043520D"/>
    <w:rsid w:val="00435253"/>
    <w:rsid w:val="0043560D"/>
    <w:rsid w:val="0043569F"/>
    <w:rsid w:val="00435783"/>
    <w:rsid w:val="0043580B"/>
    <w:rsid w:val="00435826"/>
    <w:rsid w:val="004359A5"/>
    <w:rsid w:val="00435DFE"/>
    <w:rsid w:val="00436025"/>
    <w:rsid w:val="00436055"/>
    <w:rsid w:val="004362E8"/>
    <w:rsid w:val="00436585"/>
    <w:rsid w:val="004367E7"/>
    <w:rsid w:val="004368C1"/>
    <w:rsid w:val="00436C99"/>
    <w:rsid w:val="00436D75"/>
    <w:rsid w:val="00436ED3"/>
    <w:rsid w:val="00436F50"/>
    <w:rsid w:val="004375A7"/>
    <w:rsid w:val="00437770"/>
    <w:rsid w:val="004377EB"/>
    <w:rsid w:val="004378A1"/>
    <w:rsid w:val="004379E3"/>
    <w:rsid w:val="00437B70"/>
    <w:rsid w:val="00437D0B"/>
    <w:rsid w:val="00440066"/>
    <w:rsid w:val="0044033A"/>
    <w:rsid w:val="004406E3"/>
    <w:rsid w:val="004406FA"/>
    <w:rsid w:val="00440961"/>
    <w:rsid w:val="00440CE0"/>
    <w:rsid w:val="00441187"/>
    <w:rsid w:val="00441751"/>
    <w:rsid w:val="00441879"/>
    <w:rsid w:val="00442218"/>
    <w:rsid w:val="004423DD"/>
    <w:rsid w:val="0044328C"/>
    <w:rsid w:val="0044391A"/>
    <w:rsid w:val="00443AE0"/>
    <w:rsid w:val="00443D1A"/>
    <w:rsid w:val="00443EFA"/>
    <w:rsid w:val="0044423A"/>
    <w:rsid w:val="004442FD"/>
    <w:rsid w:val="00444392"/>
    <w:rsid w:val="0044464E"/>
    <w:rsid w:val="004447D9"/>
    <w:rsid w:val="0044490A"/>
    <w:rsid w:val="00444C4A"/>
    <w:rsid w:val="00444E48"/>
    <w:rsid w:val="00445366"/>
    <w:rsid w:val="004454A3"/>
    <w:rsid w:val="0044560E"/>
    <w:rsid w:val="004458EC"/>
    <w:rsid w:val="00445AEA"/>
    <w:rsid w:val="00446024"/>
    <w:rsid w:val="00446140"/>
    <w:rsid w:val="00446852"/>
    <w:rsid w:val="00446D08"/>
    <w:rsid w:val="00446E98"/>
    <w:rsid w:val="00446FF2"/>
    <w:rsid w:val="0044700C"/>
    <w:rsid w:val="00447108"/>
    <w:rsid w:val="00447208"/>
    <w:rsid w:val="00447651"/>
    <w:rsid w:val="00447710"/>
    <w:rsid w:val="00447738"/>
    <w:rsid w:val="004477E9"/>
    <w:rsid w:val="004479EC"/>
    <w:rsid w:val="00447A94"/>
    <w:rsid w:val="00447AB4"/>
    <w:rsid w:val="00447C50"/>
    <w:rsid w:val="00447CAC"/>
    <w:rsid w:val="00447E6A"/>
    <w:rsid w:val="0044F9B2"/>
    <w:rsid w:val="0045008A"/>
    <w:rsid w:val="0045041D"/>
    <w:rsid w:val="0045054D"/>
    <w:rsid w:val="00450942"/>
    <w:rsid w:val="00450C00"/>
    <w:rsid w:val="00450C06"/>
    <w:rsid w:val="00450F4D"/>
    <w:rsid w:val="00450FB7"/>
    <w:rsid w:val="00450FFD"/>
    <w:rsid w:val="0045186C"/>
    <w:rsid w:val="004522B1"/>
    <w:rsid w:val="00452953"/>
    <w:rsid w:val="00452A07"/>
    <w:rsid w:val="00452C5C"/>
    <w:rsid w:val="00452CCF"/>
    <w:rsid w:val="00452F50"/>
    <w:rsid w:val="00453864"/>
    <w:rsid w:val="0045387B"/>
    <w:rsid w:val="00454023"/>
    <w:rsid w:val="00454497"/>
    <w:rsid w:val="0045493C"/>
    <w:rsid w:val="004551C0"/>
    <w:rsid w:val="0045543D"/>
    <w:rsid w:val="00455594"/>
    <w:rsid w:val="004559ED"/>
    <w:rsid w:val="00455FE3"/>
    <w:rsid w:val="004560D0"/>
    <w:rsid w:val="0045678D"/>
    <w:rsid w:val="004567C1"/>
    <w:rsid w:val="004568CB"/>
    <w:rsid w:val="00456F03"/>
    <w:rsid w:val="00456FCC"/>
    <w:rsid w:val="00456FFD"/>
    <w:rsid w:val="00457253"/>
    <w:rsid w:val="0045732F"/>
    <w:rsid w:val="00457419"/>
    <w:rsid w:val="00457AB2"/>
    <w:rsid w:val="00457CBC"/>
    <w:rsid w:val="004605BB"/>
    <w:rsid w:val="004607D5"/>
    <w:rsid w:val="00460949"/>
    <w:rsid w:val="00460993"/>
    <w:rsid w:val="00460A65"/>
    <w:rsid w:val="00460C29"/>
    <w:rsid w:val="00460D51"/>
    <w:rsid w:val="00460DF7"/>
    <w:rsid w:val="00461003"/>
    <w:rsid w:val="004612F0"/>
    <w:rsid w:val="004614B6"/>
    <w:rsid w:val="0046195A"/>
    <w:rsid w:val="00461FD8"/>
    <w:rsid w:val="0046234E"/>
    <w:rsid w:val="0046265F"/>
    <w:rsid w:val="00462A35"/>
    <w:rsid w:val="00462B2F"/>
    <w:rsid w:val="00462B61"/>
    <w:rsid w:val="00462D90"/>
    <w:rsid w:val="00462DE2"/>
    <w:rsid w:val="00463537"/>
    <w:rsid w:val="00463BA2"/>
    <w:rsid w:val="00463D2C"/>
    <w:rsid w:val="00463E44"/>
    <w:rsid w:val="00464025"/>
    <w:rsid w:val="004641D7"/>
    <w:rsid w:val="0046439D"/>
    <w:rsid w:val="00464465"/>
    <w:rsid w:val="00464550"/>
    <w:rsid w:val="00464584"/>
    <w:rsid w:val="004647DA"/>
    <w:rsid w:val="004649ED"/>
    <w:rsid w:val="00464AD0"/>
    <w:rsid w:val="00464D12"/>
    <w:rsid w:val="00464F41"/>
    <w:rsid w:val="00465C92"/>
    <w:rsid w:val="004663B1"/>
    <w:rsid w:val="004665AD"/>
    <w:rsid w:val="00467023"/>
    <w:rsid w:val="0046743B"/>
    <w:rsid w:val="0046749B"/>
    <w:rsid w:val="00467694"/>
    <w:rsid w:val="00467816"/>
    <w:rsid w:val="00467A23"/>
    <w:rsid w:val="00467ABD"/>
    <w:rsid w:val="00467AEC"/>
    <w:rsid w:val="00467CCA"/>
    <w:rsid w:val="00467E25"/>
    <w:rsid w:val="004709A5"/>
    <w:rsid w:val="00470A6C"/>
    <w:rsid w:val="00470B55"/>
    <w:rsid w:val="00470BBC"/>
    <w:rsid w:val="00470C24"/>
    <w:rsid w:val="00470D27"/>
    <w:rsid w:val="00471243"/>
    <w:rsid w:val="004712D3"/>
    <w:rsid w:val="00471348"/>
    <w:rsid w:val="00471484"/>
    <w:rsid w:val="00471711"/>
    <w:rsid w:val="00471900"/>
    <w:rsid w:val="004719D3"/>
    <w:rsid w:val="00471CF2"/>
    <w:rsid w:val="00472035"/>
    <w:rsid w:val="00472236"/>
    <w:rsid w:val="00472260"/>
    <w:rsid w:val="0047243B"/>
    <w:rsid w:val="004730F9"/>
    <w:rsid w:val="00473221"/>
    <w:rsid w:val="0047331D"/>
    <w:rsid w:val="004735DC"/>
    <w:rsid w:val="00473E6F"/>
    <w:rsid w:val="00473F64"/>
    <w:rsid w:val="0047473C"/>
    <w:rsid w:val="004748F8"/>
    <w:rsid w:val="00474E9B"/>
    <w:rsid w:val="00474FA1"/>
    <w:rsid w:val="00475027"/>
    <w:rsid w:val="004751D2"/>
    <w:rsid w:val="0047526B"/>
    <w:rsid w:val="00475560"/>
    <w:rsid w:val="00475B51"/>
    <w:rsid w:val="00475C75"/>
    <w:rsid w:val="00476125"/>
    <w:rsid w:val="00476553"/>
    <w:rsid w:val="0047671B"/>
    <w:rsid w:val="00476A75"/>
    <w:rsid w:val="00476E59"/>
    <w:rsid w:val="00476F97"/>
    <w:rsid w:val="00477218"/>
    <w:rsid w:val="00477371"/>
    <w:rsid w:val="004774DA"/>
    <w:rsid w:val="004774EE"/>
    <w:rsid w:val="00477616"/>
    <w:rsid w:val="00477768"/>
    <w:rsid w:val="00477997"/>
    <w:rsid w:val="004779CB"/>
    <w:rsid w:val="00477C2E"/>
    <w:rsid w:val="00480003"/>
    <w:rsid w:val="004800BE"/>
    <w:rsid w:val="00480137"/>
    <w:rsid w:val="004807C4"/>
    <w:rsid w:val="00480DA5"/>
    <w:rsid w:val="00481318"/>
    <w:rsid w:val="004815C9"/>
    <w:rsid w:val="00481ABA"/>
    <w:rsid w:val="00481D8E"/>
    <w:rsid w:val="00481DC5"/>
    <w:rsid w:val="00481E2D"/>
    <w:rsid w:val="00482368"/>
    <w:rsid w:val="00482590"/>
    <w:rsid w:val="0048281F"/>
    <w:rsid w:val="00482B3A"/>
    <w:rsid w:val="00482D1B"/>
    <w:rsid w:val="00483192"/>
    <w:rsid w:val="00483641"/>
    <w:rsid w:val="004837DA"/>
    <w:rsid w:val="004839FA"/>
    <w:rsid w:val="004840C7"/>
    <w:rsid w:val="004841D6"/>
    <w:rsid w:val="004844A9"/>
    <w:rsid w:val="00484630"/>
    <w:rsid w:val="00484ABD"/>
    <w:rsid w:val="00484BA7"/>
    <w:rsid w:val="00484DF9"/>
    <w:rsid w:val="00484FA0"/>
    <w:rsid w:val="004858A8"/>
    <w:rsid w:val="004858CD"/>
    <w:rsid w:val="00485BEF"/>
    <w:rsid w:val="00485FBC"/>
    <w:rsid w:val="00486193"/>
    <w:rsid w:val="004861DF"/>
    <w:rsid w:val="0048653C"/>
    <w:rsid w:val="00486685"/>
    <w:rsid w:val="00486A3F"/>
    <w:rsid w:val="00487121"/>
    <w:rsid w:val="0048752F"/>
    <w:rsid w:val="004876E5"/>
    <w:rsid w:val="0048783F"/>
    <w:rsid w:val="00487925"/>
    <w:rsid w:val="00487B8C"/>
    <w:rsid w:val="0049015D"/>
    <w:rsid w:val="004901B9"/>
    <w:rsid w:val="004904C2"/>
    <w:rsid w:val="00490FFB"/>
    <w:rsid w:val="00491886"/>
    <w:rsid w:val="00491AC2"/>
    <w:rsid w:val="00491C83"/>
    <w:rsid w:val="00492159"/>
    <w:rsid w:val="004921D7"/>
    <w:rsid w:val="0049233C"/>
    <w:rsid w:val="004925E1"/>
    <w:rsid w:val="00492634"/>
    <w:rsid w:val="004929BC"/>
    <w:rsid w:val="00492B89"/>
    <w:rsid w:val="00492BA3"/>
    <w:rsid w:val="00492DE7"/>
    <w:rsid w:val="00492F4E"/>
    <w:rsid w:val="004931A2"/>
    <w:rsid w:val="0049344D"/>
    <w:rsid w:val="00493683"/>
    <w:rsid w:val="0049372C"/>
    <w:rsid w:val="004937F9"/>
    <w:rsid w:val="00493A65"/>
    <w:rsid w:val="00493B47"/>
    <w:rsid w:val="00493E29"/>
    <w:rsid w:val="00493E4E"/>
    <w:rsid w:val="00494223"/>
    <w:rsid w:val="00494469"/>
    <w:rsid w:val="004947AC"/>
    <w:rsid w:val="004947DD"/>
    <w:rsid w:val="00494C3E"/>
    <w:rsid w:val="00494FA4"/>
    <w:rsid w:val="00495667"/>
    <w:rsid w:val="00495748"/>
    <w:rsid w:val="00495C10"/>
    <w:rsid w:val="00495C54"/>
    <w:rsid w:val="0049603D"/>
    <w:rsid w:val="00496216"/>
    <w:rsid w:val="0049628A"/>
    <w:rsid w:val="00496590"/>
    <w:rsid w:val="004969F6"/>
    <w:rsid w:val="00496CCB"/>
    <w:rsid w:val="00496D86"/>
    <w:rsid w:val="00496E8C"/>
    <w:rsid w:val="00496F1D"/>
    <w:rsid w:val="004972FE"/>
    <w:rsid w:val="00497799"/>
    <w:rsid w:val="00497B7A"/>
    <w:rsid w:val="00497C3B"/>
    <w:rsid w:val="00497CB9"/>
    <w:rsid w:val="00497E1C"/>
    <w:rsid w:val="00497FE3"/>
    <w:rsid w:val="004A091F"/>
    <w:rsid w:val="004A0D3E"/>
    <w:rsid w:val="004A0EE6"/>
    <w:rsid w:val="004A1809"/>
    <w:rsid w:val="004A1B5D"/>
    <w:rsid w:val="004A1B61"/>
    <w:rsid w:val="004A26BC"/>
    <w:rsid w:val="004A2A9C"/>
    <w:rsid w:val="004A2D3B"/>
    <w:rsid w:val="004A2DD4"/>
    <w:rsid w:val="004A2E75"/>
    <w:rsid w:val="004A2EE3"/>
    <w:rsid w:val="004A30BF"/>
    <w:rsid w:val="004A33C1"/>
    <w:rsid w:val="004A33C7"/>
    <w:rsid w:val="004A3565"/>
    <w:rsid w:val="004A35FC"/>
    <w:rsid w:val="004A3748"/>
    <w:rsid w:val="004A3808"/>
    <w:rsid w:val="004A3FCA"/>
    <w:rsid w:val="004A430D"/>
    <w:rsid w:val="004A4311"/>
    <w:rsid w:val="004A450C"/>
    <w:rsid w:val="004A4BCF"/>
    <w:rsid w:val="004A4D3D"/>
    <w:rsid w:val="004A53A5"/>
    <w:rsid w:val="004A592C"/>
    <w:rsid w:val="004A5A06"/>
    <w:rsid w:val="004A5A5B"/>
    <w:rsid w:val="004A5D89"/>
    <w:rsid w:val="004A628F"/>
    <w:rsid w:val="004A62DF"/>
    <w:rsid w:val="004A6599"/>
    <w:rsid w:val="004A6689"/>
    <w:rsid w:val="004A66D7"/>
    <w:rsid w:val="004A6CD6"/>
    <w:rsid w:val="004A6DD2"/>
    <w:rsid w:val="004A6EBD"/>
    <w:rsid w:val="004A706A"/>
    <w:rsid w:val="004A723E"/>
    <w:rsid w:val="004A74B0"/>
    <w:rsid w:val="004A756D"/>
    <w:rsid w:val="004A775F"/>
    <w:rsid w:val="004A78A2"/>
    <w:rsid w:val="004A78AF"/>
    <w:rsid w:val="004A7CE8"/>
    <w:rsid w:val="004A7E2E"/>
    <w:rsid w:val="004A7EB0"/>
    <w:rsid w:val="004B03D9"/>
    <w:rsid w:val="004B0539"/>
    <w:rsid w:val="004B08D9"/>
    <w:rsid w:val="004B0AB6"/>
    <w:rsid w:val="004B0F14"/>
    <w:rsid w:val="004B1256"/>
    <w:rsid w:val="004B13E8"/>
    <w:rsid w:val="004B1744"/>
    <w:rsid w:val="004B1F05"/>
    <w:rsid w:val="004B22F8"/>
    <w:rsid w:val="004B2739"/>
    <w:rsid w:val="004B278B"/>
    <w:rsid w:val="004B2792"/>
    <w:rsid w:val="004B27BC"/>
    <w:rsid w:val="004B29EE"/>
    <w:rsid w:val="004B2AFF"/>
    <w:rsid w:val="004B3104"/>
    <w:rsid w:val="004B365D"/>
    <w:rsid w:val="004B3A4F"/>
    <w:rsid w:val="004B3CBD"/>
    <w:rsid w:val="004B3CFD"/>
    <w:rsid w:val="004B3EC8"/>
    <w:rsid w:val="004B4837"/>
    <w:rsid w:val="004B4AA6"/>
    <w:rsid w:val="004B4B26"/>
    <w:rsid w:val="004B4BA2"/>
    <w:rsid w:val="004B5330"/>
    <w:rsid w:val="004B5AF5"/>
    <w:rsid w:val="004B65E7"/>
    <w:rsid w:val="004B6664"/>
    <w:rsid w:val="004B6AA9"/>
    <w:rsid w:val="004B728F"/>
    <w:rsid w:val="004B779F"/>
    <w:rsid w:val="004B79FA"/>
    <w:rsid w:val="004C001B"/>
    <w:rsid w:val="004C0B8C"/>
    <w:rsid w:val="004C0CD1"/>
    <w:rsid w:val="004C1390"/>
    <w:rsid w:val="004C14C8"/>
    <w:rsid w:val="004C1651"/>
    <w:rsid w:val="004C1932"/>
    <w:rsid w:val="004C19DD"/>
    <w:rsid w:val="004C19E9"/>
    <w:rsid w:val="004C1BAB"/>
    <w:rsid w:val="004C2EBD"/>
    <w:rsid w:val="004C332F"/>
    <w:rsid w:val="004C3B2E"/>
    <w:rsid w:val="004C3CC8"/>
    <w:rsid w:val="004C4179"/>
    <w:rsid w:val="004C42AB"/>
    <w:rsid w:val="004C4696"/>
    <w:rsid w:val="004C4965"/>
    <w:rsid w:val="004C4B1F"/>
    <w:rsid w:val="004C4C3E"/>
    <w:rsid w:val="004C4DFB"/>
    <w:rsid w:val="004C4ED2"/>
    <w:rsid w:val="004C50BE"/>
    <w:rsid w:val="004C530D"/>
    <w:rsid w:val="004C55D7"/>
    <w:rsid w:val="004C57F5"/>
    <w:rsid w:val="004C5976"/>
    <w:rsid w:val="004C5C84"/>
    <w:rsid w:val="004C5D15"/>
    <w:rsid w:val="004C5F07"/>
    <w:rsid w:val="004C6101"/>
    <w:rsid w:val="004C6687"/>
    <w:rsid w:val="004C699F"/>
    <w:rsid w:val="004C6F85"/>
    <w:rsid w:val="004C6FE2"/>
    <w:rsid w:val="004C7051"/>
    <w:rsid w:val="004C7160"/>
    <w:rsid w:val="004C7266"/>
    <w:rsid w:val="004C7338"/>
    <w:rsid w:val="004C7793"/>
    <w:rsid w:val="004C7F85"/>
    <w:rsid w:val="004C7F9F"/>
    <w:rsid w:val="004D023C"/>
    <w:rsid w:val="004D0759"/>
    <w:rsid w:val="004D0850"/>
    <w:rsid w:val="004D0CA8"/>
    <w:rsid w:val="004D1442"/>
    <w:rsid w:val="004D157E"/>
    <w:rsid w:val="004D188A"/>
    <w:rsid w:val="004D1B87"/>
    <w:rsid w:val="004D1CD9"/>
    <w:rsid w:val="004D239A"/>
    <w:rsid w:val="004D288D"/>
    <w:rsid w:val="004D2A14"/>
    <w:rsid w:val="004D2BA4"/>
    <w:rsid w:val="004D2D30"/>
    <w:rsid w:val="004D343F"/>
    <w:rsid w:val="004D3A5E"/>
    <w:rsid w:val="004D3F59"/>
    <w:rsid w:val="004D414E"/>
    <w:rsid w:val="004D4834"/>
    <w:rsid w:val="004D496F"/>
    <w:rsid w:val="004D51FA"/>
    <w:rsid w:val="004D5676"/>
    <w:rsid w:val="004D5A8B"/>
    <w:rsid w:val="004D5DC6"/>
    <w:rsid w:val="004D612C"/>
    <w:rsid w:val="004D6174"/>
    <w:rsid w:val="004D63A1"/>
    <w:rsid w:val="004D64F8"/>
    <w:rsid w:val="004D6708"/>
    <w:rsid w:val="004D6DA5"/>
    <w:rsid w:val="004D6E00"/>
    <w:rsid w:val="004D71F5"/>
    <w:rsid w:val="004D7659"/>
    <w:rsid w:val="004D774D"/>
    <w:rsid w:val="004D79F9"/>
    <w:rsid w:val="004D7A43"/>
    <w:rsid w:val="004D7DB4"/>
    <w:rsid w:val="004D7E98"/>
    <w:rsid w:val="004E007C"/>
    <w:rsid w:val="004E038F"/>
    <w:rsid w:val="004E0526"/>
    <w:rsid w:val="004E0913"/>
    <w:rsid w:val="004E099B"/>
    <w:rsid w:val="004E0E4C"/>
    <w:rsid w:val="004E1137"/>
    <w:rsid w:val="004E1261"/>
    <w:rsid w:val="004E14B0"/>
    <w:rsid w:val="004E17B4"/>
    <w:rsid w:val="004E17C9"/>
    <w:rsid w:val="004E18A7"/>
    <w:rsid w:val="004E19E5"/>
    <w:rsid w:val="004E1B65"/>
    <w:rsid w:val="004E1C70"/>
    <w:rsid w:val="004E1D81"/>
    <w:rsid w:val="004E1FEC"/>
    <w:rsid w:val="004E2208"/>
    <w:rsid w:val="004E2465"/>
    <w:rsid w:val="004E258B"/>
    <w:rsid w:val="004E2AF6"/>
    <w:rsid w:val="004E2F33"/>
    <w:rsid w:val="004E35B7"/>
    <w:rsid w:val="004E36FF"/>
    <w:rsid w:val="004E3754"/>
    <w:rsid w:val="004E37C1"/>
    <w:rsid w:val="004E40C0"/>
    <w:rsid w:val="004E41B7"/>
    <w:rsid w:val="004E429F"/>
    <w:rsid w:val="004E4371"/>
    <w:rsid w:val="004E4559"/>
    <w:rsid w:val="004E4C5A"/>
    <w:rsid w:val="004E4E43"/>
    <w:rsid w:val="004E4F84"/>
    <w:rsid w:val="004E513E"/>
    <w:rsid w:val="004E5313"/>
    <w:rsid w:val="004E55C5"/>
    <w:rsid w:val="004E59E1"/>
    <w:rsid w:val="004E5C1F"/>
    <w:rsid w:val="004E5F5A"/>
    <w:rsid w:val="004E602F"/>
    <w:rsid w:val="004E60C8"/>
    <w:rsid w:val="004E60CE"/>
    <w:rsid w:val="004E66B0"/>
    <w:rsid w:val="004E6732"/>
    <w:rsid w:val="004E69DF"/>
    <w:rsid w:val="004E6B7E"/>
    <w:rsid w:val="004E6C76"/>
    <w:rsid w:val="004E6F9F"/>
    <w:rsid w:val="004E7138"/>
    <w:rsid w:val="004E7875"/>
    <w:rsid w:val="004E7896"/>
    <w:rsid w:val="004F011E"/>
    <w:rsid w:val="004F025B"/>
    <w:rsid w:val="004F0FF9"/>
    <w:rsid w:val="004F1041"/>
    <w:rsid w:val="004F1755"/>
    <w:rsid w:val="004F17B8"/>
    <w:rsid w:val="004F1D21"/>
    <w:rsid w:val="004F2410"/>
    <w:rsid w:val="004F25C5"/>
    <w:rsid w:val="004F2656"/>
    <w:rsid w:val="004F26F7"/>
    <w:rsid w:val="004F272C"/>
    <w:rsid w:val="004F2888"/>
    <w:rsid w:val="004F2C09"/>
    <w:rsid w:val="004F2D57"/>
    <w:rsid w:val="004F2E75"/>
    <w:rsid w:val="004F2F43"/>
    <w:rsid w:val="004F30BF"/>
    <w:rsid w:val="004F315F"/>
    <w:rsid w:val="004F358C"/>
    <w:rsid w:val="004F368D"/>
    <w:rsid w:val="004F375B"/>
    <w:rsid w:val="004F3A40"/>
    <w:rsid w:val="004F3CFC"/>
    <w:rsid w:val="004F3F05"/>
    <w:rsid w:val="004F46E9"/>
    <w:rsid w:val="004F4994"/>
    <w:rsid w:val="004F527E"/>
    <w:rsid w:val="004F5646"/>
    <w:rsid w:val="004F5894"/>
    <w:rsid w:val="004F5C4D"/>
    <w:rsid w:val="004F5DC6"/>
    <w:rsid w:val="004F5E0C"/>
    <w:rsid w:val="004F5FD1"/>
    <w:rsid w:val="004F60D4"/>
    <w:rsid w:val="004F62BD"/>
    <w:rsid w:val="004F6425"/>
    <w:rsid w:val="004F64B9"/>
    <w:rsid w:val="004F6BE0"/>
    <w:rsid w:val="004F6EBB"/>
    <w:rsid w:val="004F6FF1"/>
    <w:rsid w:val="004F701E"/>
    <w:rsid w:val="004F7194"/>
    <w:rsid w:val="004F7936"/>
    <w:rsid w:val="004F7DDB"/>
    <w:rsid w:val="004F7F6C"/>
    <w:rsid w:val="00500424"/>
    <w:rsid w:val="00500537"/>
    <w:rsid w:val="00500679"/>
    <w:rsid w:val="00500879"/>
    <w:rsid w:val="005011AB"/>
    <w:rsid w:val="005013A8"/>
    <w:rsid w:val="0050155A"/>
    <w:rsid w:val="00501643"/>
    <w:rsid w:val="0050165D"/>
    <w:rsid w:val="005016CC"/>
    <w:rsid w:val="005018C1"/>
    <w:rsid w:val="00501A93"/>
    <w:rsid w:val="00501B92"/>
    <w:rsid w:val="00501E44"/>
    <w:rsid w:val="00502045"/>
    <w:rsid w:val="005022FE"/>
    <w:rsid w:val="00502529"/>
    <w:rsid w:val="00502A49"/>
    <w:rsid w:val="00502C7F"/>
    <w:rsid w:val="00502F76"/>
    <w:rsid w:val="0050328C"/>
    <w:rsid w:val="005038E9"/>
    <w:rsid w:val="00503E59"/>
    <w:rsid w:val="005044A8"/>
    <w:rsid w:val="005046B1"/>
    <w:rsid w:val="00504947"/>
    <w:rsid w:val="005049C4"/>
    <w:rsid w:val="00504FF6"/>
    <w:rsid w:val="00505494"/>
    <w:rsid w:val="005054B9"/>
    <w:rsid w:val="00505898"/>
    <w:rsid w:val="00505A37"/>
    <w:rsid w:val="00505B8E"/>
    <w:rsid w:val="00505E8B"/>
    <w:rsid w:val="005066AB"/>
    <w:rsid w:val="005067FC"/>
    <w:rsid w:val="00506845"/>
    <w:rsid w:val="00506E85"/>
    <w:rsid w:val="00507502"/>
    <w:rsid w:val="005076C0"/>
    <w:rsid w:val="005076F8"/>
    <w:rsid w:val="005078FD"/>
    <w:rsid w:val="00507B34"/>
    <w:rsid w:val="00507BE0"/>
    <w:rsid w:val="0051049D"/>
    <w:rsid w:val="005105B3"/>
    <w:rsid w:val="0051068A"/>
    <w:rsid w:val="005107FB"/>
    <w:rsid w:val="00510901"/>
    <w:rsid w:val="0051095D"/>
    <w:rsid w:val="00510FAD"/>
    <w:rsid w:val="00510FF1"/>
    <w:rsid w:val="00511324"/>
    <w:rsid w:val="005118F2"/>
    <w:rsid w:val="005119B4"/>
    <w:rsid w:val="00511F18"/>
    <w:rsid w:val="00512011"/>
    <w:rsid w:val="0051230C"/>
    <w:rsid w:val="00512836"/>
    <w:rsid w:val="005129C2"/>
    <w:rsid w:val="00512A2B"/>
    <w:rsid w:val="00512B56"/>
    <w:rsid w:val="00512BEE"/>
    <w:rsid w:val="00512C3D"/>
    <w:rsid w:val="00513770"/>
    <w:rsid w:val="005138D3"/>
    <w:rsid w:val="00513B81"/>
    <w:rsid w:val="00513BB3"/>
    <w:rsid w:val="00513F87"/>
    <w:rsid w:val="00514036"/>
    <w:rsid w:val="005141D6"/>
    <w:rsid w:val="005145C5"/>
    <w:rsid w:val="00514811"/>
    <w:rsid w:val="00514D08"/>
    <w:rsid w:val="00514D55"/>
    <w:rsid w:val="00514E0D"/>
    <w:rsid w:val="0051579E"/>
    <w:rsid w:val="00515B33"/>
    <w:rsid w:val="00516539"/>
    <w:rsid w:val="005169E2"/>
    <w:rsid w:val="00516CC8"/>
    <w:rsid w:val="00516D05"/>
    <w:rsid w:val="00516E0D"/>
    <w:rsid w:val="00517530"/>
    <w:rsid w:val="00517536"/>
    <w:rsid w:val="005177C6"/>
    <w:rsid w:val="00517802"/>
    <w:rsid w:val="00517C8D"/>
    <w:rsid w:val="00517C98"/>
    <w:rsid w:val="00517E05"/>
    <w:rsid w:val="005201C7"/>
    <w:rsid w:val="00520211"/>
    <w:rsid w:val="00520246"/>
    <w:rsid w:val="00520403"/>
    <w:rsid w:val="005207AC"/>
    <w:rsid w:val="005208EB"/>
    <w:rsid w:val="005209F2"/>
    <w:rsid w:val="00520B03"/>
    <w:rsid w:val="00520BB9"/>
    <w:rsid w:val="005217C3"/>
    <w:rsid w:val="0052198C"/>
    <w:rsid w:val="005219A4"/>
    <w:rsid w:val="00521B9A"/>
    <w:rsid w:val="00521C2C"/>
    <w:rsid w:val="00521CA3"/>
    <w:rsid w:val="00521D9F"/>
    <w:rsid w:val="0052228E"/>
    <w:rsid w:val="005222BF"/>
    <w:rsid w:val="00522399"/>
    <w:rsid w:val="0052353E"/>
    <w:rsid w:val="00523604"/>
    <w:rsid w:val="00523645"/>
    <w:rsid w:val="00523885"/>
    <w:rsid w:val="005238CB"/>
    <w:rsid w:val="005240F1"/>
    <w:rsid w:val="00524207"/>
    <w:rsid w:val="00524497"/>
    <w:rsid w:val="00524517"/>
    <w:rsid w:val="00524CD9"/>
    <w:rsid w:val="00524EF9"/>
    <w:rsid w:val="005252FF"/>
    <w:rsid w:val="00525497"/>
    <w:rsid w:val="005254A8"/>
    <w:rsid w:val="00525846"/>
    <w:rsid w:val="005258C3"/>
    <w:rsid w:val="00525CCD"/>
    <w:rsid w:val="00525D42"/>
    <w:rsid w:val="00525F34"/>
    <w:rsid w:val="00526045"/>
    <w:rsid w:val="0052621F"/>
    <w:rsid w:val="00526432"/>
    <w:rsid w:val="00526ACF"/>
    <w:rsid w:val="00526E16"/>
    <w:rsid w:val="00527112"/>
    <w:rsid w:val="0052711D"/>
    <w:rsid w:val="00527504"/>
    <w:rsid w:val="005275C6"/>
    <w:rsid w:val="00527638"/>
    <w:rsid w:val="0052764E"/>
    <w:rsid w:val="0052789C"/>
    <w:rsid w:val="0052799D"/>
    <w:rsid w:val="00527F2E"/>
    <w:rsid w:val="0053013E"/>
    <w:rsid w:val="00530247"/>
    <w:rsid w:val="00530596"/>
    <w:rsid w:val="005305F0"/>
    <w:rsid w:val="00530656"/>
    <w:rsid w:val="00530817"/>
    <w:rsid w:val="00530AD6"/>
    <w:rsid w:val="00530D90"/>
    <w:rsid w:val="00530EF5"/>
    <w:rsid w:val="00530F39"/>
    <w:rsid w:val="00531353"/>
    <w:rsid w:val="0053146B"/>
    <w:rsid w:val="00531811"/>
    <w:rsid w:val="00531A00"/>
    <w:rsid w:val="00531BE1"/>
    <w:rsid w:val="00531C9F"/>
    <w:rsid w:val="00531F2F"/>
    <w:rsid w:val="00532025"/>
    <w:rsid w:val="00532040"/>
    <w:rsid w:val="00532106"/>
    <w:rsid w:val="00532381"/>
    <w:rsid w:val="0053241E"/>
    <w:rsid w:val="00532897"/>
    <w:rsid w:val="005328DF"/>
    <w:rsid w:val="00532A12"/>
    <w:rsid w:val="00532A66"/>
    <w:rsid w:val="00532C72"/>
    <w:rsid w:val="00533507"/>
    <w:rsid w:val="005336A9"/>
    <w:rsid w:val="00533905"/>
    <w:rsid w:val="00533A7E"/>
    <w:rsid w:val="00533EA1"/>
    <w:rsid w:val="00534385"/>
    <w:rsid w:val="00534575"/>
    <w:rsid w:val="0053472A"/>
    <w:rsid w:val="00534739"/>
    <w:rsid w:val="0053473B"/>
    <w:rsid w:val="005347B1"/>
    <w:rsid w:val="00534AFE"/>
    <w:rsid w:val="00534BDA"/>
    <w:rsid w:val="00534CA5"/>
    <w:rsid w:val="00534F6C"/>
    <w:rsid w:val="005351D4"/>
    <w:rsid w:val="00535599"/>
    <w:rsid w:val="0053568C"/>
    <w:rsid w:val="005357B6"/>
    <w:rsid w:val="005358DF"/>
    <w:rsid w:val="00535B35"/>
    <w:rsid w:val="00535E04"/>
    <w:rsid w:val="005362FA"/>
    <w:rsid w:val="00536504"/>
    <w:rsid w:val="005365C0"/>
    <w:rsid w:val="0053661E"/>
    <w:rsid w:val="00536745"/>
    <w:rsid w:val="00536FE6"/>
    <w:rsid w:val="00537265"/>
    <w:rsid w:val="005374C5"/>
    <w:rsid w:val="0053778F"/>
    <w:rsid w:val="005378AA"/>
    <w:rsid w:val="00537911"/>
    <w:rsid w:val="0053794A"/>
    <w:rsid w:val="00537AFF"/>
    <w:rsid w:val="00537BF7"/>
    <w:rsid w:val="00537E57"/>
    <w:rsid w:val="005405A7"/>
    <w:rsid w:val="005407B8"/>
    <w:rsid w:val="0054084C"/>
    <w:rsid w:val="00540872"/>
    <w:rsid w:val="005409E1"/>
    <w:rsid w:val="00540A6C"/>
    <w:rsid w:val="00541428"/>
    <w:rsid w:val="00541867"/>
    <w:rsid w:val="0054191B"/>
    <w:rsid w:val="00541F69"/>
    <w:rsid w:val="00542098"/>
    <w:rsid w:val="00542874"/>
    <w:rsid w:val="00542C87"/>
    <w:rsid w:val="00542D0E"/>
    <w:rsid w:val="0054315C"/>
    <w:rsid w:val="0054321D"/>
    <w:rsid w:val="0054362A"/>
    <w:rsid w:val="00544158"/>
    <w:rsid w:val="00544AEA"/>
    <w:rsid w:val="00544C88"/>
    <w:rsid w:val="00544E00"/>
    <w:rsid w:val="00544FC6"/>
    <w:rsid w:val="00544FD2"/>
    <w:rsid w:val="00545362"/>
    <w:rsid w:val="005455EF"/>
    <w:rsid w:val="00545875"/>
    <w:rsid w:val="005458A9"/>
    <w:rsid w:val="00545FDF"/>
    <w:rsid w:val="005467F7"/>
    <w:rsid w:val="00546C3F"/>
    <w:rsid w:val="0054712F"/>
    <w:rsid w:val="005471B1"/>
    <w:rsid w:val="00547418"/>
    <w:rsid w:val="005474E4"/>
    <w:rsid w:val="00547C3C"/>
    <w:rsid w:val="0055064A"/>
    <w:rsid w:val="00550803"/>
    <w:rsid w:val="00550866"/>
    <w:rsid w:val="00550978"/>
    <w:rsid w:val="00550ADE"/>
    <w:rsid w:val="00550AF2"/>
    <w:rsid w:val="00550C6E"/>
    <w:rsid w:val="0055101C"/>
    <w:rsid w:val="00551020"/>
    <w:rsid w:val="00551477"/>
    <w:rsid w:val="005517DF"/>
    <w:rsid w:val="00551B52"/>
    <w:rsid w:val="00551C3C"/>
    <w:rsid w:val="00551D7E"/>
    <w:rsid w:val="005522A5"/>
    <w:rsid w:val="00552380"/>
    <w:rsid w:val="00552A04"/>
    <w:rsid w:val="00552BF5"/>
    <w:rsid w:val="00552E42"/>
    <w:rsid w:val="00552F26"/>
    <w:rsid w:val="00552F9D"/>
    <w:rsid w:val="005533F6"/>
    <w:rsid w:val="005534CF"/>
    <w:rsid w:val="005537EF"/>
    <w:rsid w:val="005539BD"/>
    <w:rsid w:val="00553C10"/>
    <w:rsid w:val="00553F34"/>
    <w:rsid w:val="005540B3"/>
    <w:rsid w:val="00554C02"/>
    <w:rsid w:val="005551B7"/>
    <w:rsid w:val="005554F9"/>
    <w:rsid w:val="005559E1"/>
    <w:rsid w:val="0055606F"/>
    <w:rsid w:val="005564E0"/>
    <w:rsid w:val="00556773"/>
    <w:rsid w:val="00556840"/>
    <w:rsid w:val="00556BDA"/>
    <w:rsid w:val="00556C48"/>
    <w:rsid w:val="00556E1C"/>
    <w:rsid w:val="005571E4"/>
    <w:rsid w:val="0055752C"/>
    <w:rsid w:val="00557C0C"/>
    <w:rsid w:val="00560113"/>
    <w:rsid w:val="00560139"/>
    <w:rsid w:val="005606B8"/>
    <w:rsid w:val="00560755"/>
    <w:rsid w:val="005608F0"/>
    <w:rsid w:val="00560CED"/>
    <w:rsid w:val="0056106F"/>
    <w:rsid w:val="00561A66"/>
    <w:rsid w:val="00561B4B"/>
    <w:rsid w:val="00561B4C"/>
    <w:rsid w:val="00561B64"/>
    <w:rsid w:val="00561F2B"/>
    <w:rsid w:val="00562021"/>
    <w:rsid w:val="00562909"/>
    <w:rsid w:val="00562F73"/>
    <w:rsid w:val="0056321A"/>
    <w:rsid w:val="005636A5"/>
    <w:rsid w:val="00563704"/>
    <w:rsid w:val="00563901"/>
    <w:rsid w:val="0056398C"/>
    <w:rsid w:val="00563C01"/>
    <w:rsid w:val="00563E36"/>
    <w:rsid w:val="00564053"/>
    <w:rsid w:val="00564849"/>
    <w:rsid w:val="00564C78"/>
    <w:rsid w:val="00564D45"/>
    <w:rsid w:val="00564DE3"/>
    <w:rsid w:val="0056500D"/>
    <w:rsid w:val="005651A6"/>
    <w:rsid w:val="0056522E"/>
    <w:rsid w:val="00565AB4"/>
    <w:rsid w:val="00565B0D"/>
    <w:rsid w:val="00565CD0"/>
    <w:rsid w:val="0056600A"/>
    <w:rsid w:val="00566390"/>
    <w:rsid w:val="0056641A"/>
    <w:rsid w:val="0056653A"/>
    <w:rsid w:val="00566782"/>
    <w:rsid w:val="00566816"/>
    <w:rsid w:val="00566E50"/>
    <w:rsid w:val="005671C8"/>
    <w:rsid w:val="00567687"/>
    <w:rsid w:val="00567824"/>
    <w:rsid w:val="00567A61"/>
    <w:rsid w:val="00567AA2"/>
    <w:rsid w:val="00567E2F"/>
    <w:rsid w:val="00567F9E"/>
    <w:rsid w:val="0057008E"/>
    <w:rsid w:val="0057020D"/>
    <w:rsid w:val="005703D2"/>
    <w:rsid w:val="005706FA"/>
    <w:rsid w:val="00570826"/>
    <w:rsid w:val="00570BA7"/>
    <w:rsid w:val="00570E32"/>
    <w:rsid w:val="00570FE3"/>
    <w:rsid w:val="00570FE8"/>
    <w:rsid w:val="005711CE"/>
    <w:rsid w:val="00571358"/>
    <w:rsid w:val="00571563"/>
    <w:rsid w:val="00571889"/>
    <w:rsid w:val="00572034"/>
    <w:rsid w:val="00572547"/>
    <w:rsid w:val="00572627"/>
    <w:rsid w:val="005727F3"/>
    <w:rsid w:val="00572A20"/>
    <w:rsid w:val="00572B22"/>
    <w:rsid w:val="00572BF2"/>
    <w:rsid w:val="00572C87"/>
    <w:rsid w:val="00572CE1"/>
    <w:rsid w:val="00572D6C"/>
    <w:rsid w:val="0057310C"/>
    <w:rsid w:val="00573306"/>
    <w:rsid w:val="0057339F"/>
    <w:rsid w:val="00573682"/>
    <w:rsid w:val="005736BF"/>
    <w:rsid w:val="0057392E"/>
    <w:rsid w:val="00573B87"/>
    <w:rsid w:val="00574B99"/>
    <w:rsid w:val="00574D24"/>
    <w:rsid w:val="00574FCD"/>
    <w:rsid w:val="00575057"/>
    <w:rsid w:val="005750BC"/>
    <w:rsid w:val="005750E7"/>
    <w:rsid w:val="005751CE"/>
    <w:rsid w:val="00575679"/>
    <w:rsid w:val="00575849"/>
    <w:rsid w:val="005759E2"/>
    <w:rsid w:val="005759EC"/>
    <w:rsid w:val="00576006"/>
    <w:rsid w:val="00576D94"/>
    <w:rsid w:val="00576F6B"/>
    <w:rsid w:val="00576F90"/>
    <w:rsid w:val="0057728E"/>
    <w:rsid w:val="00577478"/>
    <w:rsid w:val="00577633"/>
    <w:rsid w:val="0057763B"/>
    <w:rsid w:val="00577ADA"/>
    <w:rsid w:val="00577E1C"/>
    <w:rsid w:val="0058011F"/>
    <w:rsid w:val="00580CAC"/>
    <w:rsid w:val="00580CC3"/>
    <w:rsid w:val="00580EF1"/>
    <w:rsid w:val="005811A0"/>
    <w:rsid w:val="00581328"/>
    <w:rsid w:val="0058169A"/>
    <w:rsid w:val="005818A1"/>
    <w:rsid w:val="00581C45"/>
    <w:rsid w:val="00581E56"/>
    <w:rsid w:val="0058223A"/>
    <w:rsid w:val="00582334"/>
    <w:rsid w:val="005823FD"/>
    <w:rsid w:val="005827C4"/>
    <w:rsid w:val="00583427"/>
    <w:rsid w:val="00583562"/>
    <w:rsid w:val="0058385E"/>
    <w:rsid w:val="00583B41"/>
    <w:rsid w:val="00583D14"/>
    <w:rsid w:val="005842F5"/>
    <w:rsid w:val="0058433D"/>
    <w:rsid w:val="00584386"/>
    <w:rsid w:val="005843A0"/>
    <w:rsid w:val="00584647"/>
    <w:rsid w:val="005846A4"/>
    <w:rsid w:val="00584922"/>
    <w:rsid w:val="00584BAF"/>
    <w:rsid w:val="00584F23"/>
    <w:rsid w:val="005852FD"/>
    <w:rsid w:val="0058551C"/>
    <w:rsid w:val="005857D5"/>
    <w:rsid w:val="005858B9"/>
    <w:rsid w:val="005858D4"/>
    <w:rsid w:val="00585AC8"/>
    <w:rsid w:val="005861BD"/>
    <w:rsid w:val="00586916"/>
    <w:rsid w:val="00586A5A"/>
    <w:rsid w:val="00586AEA"/>
    <w:rsid w:val="00586CB2"/>
    <w:rsid w:val="00586DDE"/>
    <w:rsid w:val="00587340"/>
    <w:rsid w:val="00587341"/>
    <w:rsid w:val="005877C5"/>
    <w:rsid w:val="005878E0"/>
    <w:rsid w:val="00587923"/>
    <w:rsid w:val="00587C1D"/>
    <w:rsid w:val="005901C7"/>
    <w:rsid w:val="005908AD"/>
    <w:rsid w:val="005908BB"/>
    <w:rsid w:val="00590C0F"/>
    <w:rsid w:val="00590F26"/>
    <w:rsid w:val="00590FC0"/>
    <w:rsid w:val="005910D5"/>
    <w:rsid w:val="005918C2"/>
    <w:rsid w:val="005918E4"/>
    <w:rsid w:val="005922D0"/>
    <w:rsid w:val="00592B48"/>
    <w:rsid w:val="00592E40"/>
    <w:rsid w:val="0059319C"/>
    <w:rsid w:val="005932D9"/>
    <w:rsid w:val="0059331E"/>
    <w:rsid w:val="0059352F"/>
    <w:rsid w:val="005938A1"/>
    <w:rsid w:val="00594115"/>
    <w:rsid w:val="00594398"/>
    <w:rsid w:val="00594576"/>
    <w:rsid w:val="00594982"/>
    <w:rsid w:val="0059534E"/>
    <w:rsid w:val="00595FB0"/>
    <w:rsid w:val="005963A4"/>
    <w:rsid w:val="0059652B"/>
    <w:rsid w:val="0059653F"/>
    <w:rsid w:val="00596841"/>
    <w:rsid w:val="005968F3"/>
    <w:rsid w:val="00596A70"/>
    <w:rsid w:val="00596C71"/>
    <w:rsid w:val="00596F8B"/>
    <w:rsid w:val="00597187"/>
    <w:rsid w:val="00597459"/>
    <w:rsid w:val="00597539"/>
    <w:rsid w:val="0059773A"/>
    <w:rsid w:val="00597924"/>
    <w:rsid w:val="00597D45"/>
    <w:rsid w:val="005A021E"/>
    <w:rsid w:val="005A033D"/>
    <w:rsid w:val="005A0FB2"/>
    <w:rsid w:val="005A12BD"/>
    <w:rsid w:val="005A136E"/>
    <w:rsid w:val="005A13C5"/>
    <w:rsid w:val="005A13FE"/>
    <w:rsid w:val="005A1433"/>
    <w:rsid w:val="005A1BF0"/>
    <w:rsid w:val="005A20D5"/>
    <w:rsid w:val="005A258A"/>
    <w:rsid w:val="005A25A3"/>
    <w:rsid w:val="005A2897"/>
    <w:rsid w:val="005A2943"/>
    <w:rsid w:val="005A29FC"/>
    <w:rsid w:val="005A2A1D"/>
    <w:rsid w:val="005A2B01"/>
    <w:rsid w:val="005A2B46"/>
    <w:rsid w:val="005A30FB"/>
    <w:rsid w:val="005A3174"/>
    <w:rsid w:val="005A323E"/>
    <w:rsid w:val="005A3769"/>
    <w:rsid w:val="005A3E33"/>
    <w:rsid w:val="005A3F71"/>
    <w:rsid w:val="005A409B"/>
    <w:rsid w:val="005A4125"/>
    <w:rsid w:val="005A4278"/>
    <w:rsid w:val="005A43D4"/>
    <w:rsid w:val="005A43E1"/>
    <w:rsid w:val="005A495F"/>
    <w:rsid w:val="005A4CF0"/>
    <w:rsid w:val="005A5280"/>
    <w:rsid w:val="005A5379"/>
    <w:rsid w:val="005A5396"/>
    <w:rsid w:val="005A564B"/>
    <w:rsid w:val="005A5689"/>
    <w:rsid w:val="005A56C6"/>
    <w:rsid w:val="005A5882"/>
    <w:rsid w:val="005A5C8F"/>
    <w:rsid w:val="005A5E4E"/>
    <w:rsid w:val="005A5F68"/>
    <w:rsid w:val="005A6046"/>
    <w:rsid w:val="005A6982"/>
    <w:rsid w:val="005A6A8B"/>
    <w:rsid w:val="005A6D5D"/>
    <w:rsid w:val="005A6DBA"/>
    <w:rsid w:val="005A6F19"/>
    <w:rsid w:val="005A725F"/>
    <w:rsid w:val="005A72DF"/>
    <w:rsid w:val="005A759B"/>
    <w:rsid w:val="005A75EB"/>
    <w:rsid w:val="005A7881"/>
    <w:rsid w:val="005A7F44"/>
    <w:rsid w:val="005B0378"/>
    <w:rsid w:val="005B046B"/>
    <w:rsid w:val="005B0A2A"/>
    <w:rsid w:val="005B0A2F"/>
    <w:rsid w:val="005B0C39"/>
    <w:rsid w:val="005B0C4B"/>
    <w:rsid w:val="005B0D83"/>
    <w:rsid w:val="005B1043"/>
    <w:rsid w:val="005B157F"/>
    <w:rsid w:val="005B1735"/>
    <w:rsid w:val="005B195E"/>
    <w:rsid w:val="005B1E1C"/>
    <w:rsid w:val="005B21B8"/>
    <w:rsid w:val="005B2369"/>
    <w:rsid w:val="005B24E8"/>
    <w:rsid w:val="005B26C5"/>
    <w:rsid w:val="005B2FB3"/>
    <w:rsid w:val="005B3462"/>
    <w:rsid w:val="005B39BB"/>
    <w:rsid w:val="005B3A05"/>
    <w:rsid w:val="005B3FE9"/>
    <w:rsid w:val="005B4016"/>
    <w:rsid w:val="005B4289"/>
    <w:rsid w:val="005B46B6"/>
    <w:rsid w:val="005B4713"/>
    <w:rsid w:val="005B48E7"/>
    <w:rsid w:val="005B5077"/>
    <w:rsid w:val="005B5175"/>
    <w:rsid w:val="005B5490"/>
    <w:rsid w:val="005B54E0"/>
    <w:rsid w:val="005B57C1"/>
    <w:rsid w:val="005B5A05"/>
    <w:rsid w:val="005B5DEF"/>
    <w:rsid w:val="005B5EC0"/>
    <w:rsid w:val="005B60C2"/>
    <w:rsid w:val="005B629C"/>
    <w:rsid w:val="005B62EB"/>
    <w:rsid w:val="005B704B"/>
    <w:rsid w:val="005B75C9"/>
    <w:rsid w:val="005B76F5"/>
    <w:rsid w:val="005B7B59"/>
    <w:rsid w:val="005C00A5"/>
    <w:rsid w:val="005C021D"/>
    <w:rsid w:val="005C0276"/>
    <w:rsid w:val="005C0572"/>
    <w:rsid w:val="005C066B"/>
    <w:rsid w:val="005C07F7"/>
    <w:rsid w:val="005C0951"/>
    <w:rsid w:val="005C0C98"/>
    <w:rsid w:val="005C0D23"/>
    <w:rsid w:val="005C12B3"/>
    <w:rsid w:val="005C1564"/>
    <w:rsid w:val="005C15A5"/>
    <w:rsid w:val="005C1757"/>
    <w:rsid w:val="005C19D9"/>
    <w:rsid w:val="005C1DA8"/>
    <w:rsid w:val="005C2257"/>
    <w:rsid w:val="005C33AA"/>
    <w:rsid w:val="005C35F9"/>
    <w:rsid w:val="005C37B7"/>
    <w:rsid w:val="005C37EC"/>
    <w:rsid w:val="005C38D2"/>
    <w:rsid w:val="005C3D61"/>
    <w:rsid w:val="005C4146"/>
    <w:rsid w:val="005C44D5"/>
    <w:rsid w:val="005C479F"/>
    <w:rsid w:val="005C4E74"/>
    <w:rsid w:val="005C5158"/>
    <w:rsid w:val="005C55C0"/>
    <w:rsid w:val="005C5A69"/>
    <w:rsid w:val="005C63B6"/>
    <w:rsid w:val="005C661E"/>
    <w:rsid w:val="005C67AD"/>
    <w:rsid w:val="005C67C9"/>
    <w:rsid w:val="005C6A9D"/>
    <w:rsid w:val="005C6D67"/>
    <w:rsid w:val="005C7621"/>
    <w:rsid w:val="005C771C"/>
    <w:rsid w:val="005C797B"/>
    <w:rsid w:val="005C79A5"/>
    <w:rsid w:val="005C7CED"/>
    <w:rsid w:val="005D0144"/>
    <w:rsid w:val="005D01DD"/>
    <w:rsid w:val="005D0A7E"/>
    <w:rsid w:val="005D0AD3"/>
    <w:rsid w:val="005D0B5C"/>
    <w:rsid w:val="005D0DD2"/>
    <w:rsid w:val="005D0EFE"/>
    <w:rsid w:val="005D0F50"/>
    <w:rsid w:val="005D1077"/>
    <w:rsid w:val="005D116E"/>
    <w:rsid w:val="005D14CF"/>
    <w:rsid w:val="005D1566"/>
    <w:rsid w:val="005D15B8"/>
    <w:rsid w:val="005D1717"/>
    <w:rsid w:val="005D1764"/>
    <w:rsid w:val="005D184C"/>
    <w:rsid w:val="005D1929"/>
    <w:rsid w:val="005D1A4F"/>
    <w:rsid w:val="005D1CD9"/>
    <w:rsid w:val="005D22DC"/>
    <w:rsid w:val="005D2999"/>
    <w:rsid w:val="005D2F88"/>
    <w:rsid w:val="005D31B0"/>
    <w:rsid w:val="005D31F1"/>
    <w:rsid w:val="005D3268"/>
    <w:rsid w:val="005D3B93"/>
    <w:rsid w:val="005D3C05"/>
    <w:rsid w:val="005D3E73"/>
    <w:rsid w:val="005D4322"/>
    <w:rsid w:val="005D44C6"/>
    <w:rsid w:val="005D4DD7"/>
    <w:rsid w:val="005D4E2F"/>
    <w:rsid w:val="005D4EDD"/>
    <w:rsid w:val="005D5117"/>
    <w:rsid w:val="005D52D7"/>
    <w:rsid w:val="005D5452"/>
    <w:rsid w:val="005D57C0"/>
    <w:rsid w:val="005D5E3C"/>
    <w:rsid w:val="005D6655"/>
    <w:rsid w:val="005D66B7"/>
    <w:rsid w:val="005D6803"/>
    <w:rsid w:val="005D6871"/>
    <w:rsid w:val="005D691C"/>
    <w:rsid w:val="005D6939"/>
    <w:rsid w:val="005D6ED2"/>
    <w:rsid w:val="005D75A6"/>
    <w:rsid w:val="005D76AA"/>
    <w:rsid w:val="005D7C28"/>
    <w:rsid w:val="005D7D89"/>
    <w:rsid w:val="005D7EC0"/>
    <w:rsid w:val="005D7F9A"/>
    <w:rsid w:val="005E03B4"/>
    <w:rsid w:val="005E068B"/>
    <w:rsid w:val="005E07E2"/>
    <w:rsid w:val="005E0C62"/>
    <w:rsid w:val="005E0C84"/>
    <w:rsid w:val="005E0DD7"/>
    <w:rsid w:val="005E109B"/>
    <w:rsid w:val="005E175D"/>
    <w:rsid w:val="005E19FF"/>
    <w:rsid w:val="005E2288"/>
    <w:rsid w:val="005E2529"/>
    <w:rsid w:val="005E289A"/>
    <w:rsid w:val="005E28B6"/>
    <w:rsid w:val="005E2A8C"/>
    <w:rsid w:val="005E3613"/>
    <w:rsid w:val="005E379C"/>
    <w:rsid w:val="005E380D"/>
    <w:rsid w:val="005E423D"/>
    <w:rsid w:val="005E4CA9"/>
    <w:rsid w:val="005E4F16"/>
    <w:rsid w:val="005E4F7B"/>
    <w:rsid w:val="005E5462"/>
    <w:rsid w:val="005E551F"/>
    <w:rsid w:val="005E56B8"/>
    <w:rsid w:val="005E5F38"/>
    <w:rsid w:val="005E62E8"/>
    <w:rsid w:val="005E6641"/>
    <w:rsid w:val="005E67CA"/>
    <w:rsid w:val="005E71AE"/>
    <w:rsid w:val="005E72DB"/>
    <w:rsid w:val="005E74FB"/>
    <w:rsid w:val="005E7FD4"/>
    <w:rsid w:val="005F0885"/>
    <w:rsid w:val="005F08FC"/>
    <w:rsid w:val="005F0E66"/>
    <w:rsid w:val="005F13C7"/>
    <w:rsid w:val="005F1490"/>
    <w:rsid w:val="005F179C"/>
    <w:rsid w:val="005F188E"/>
    <w:rsid w:val="005F18BA"/>
    <w:rsid w:val="005F1ACF"/>
    <w:rsid w:val="005F1B4C"/>
    <w:rsid w:val="005F1BC7"/>
    <w:rsid w:val="005F1EA3"/>
    <w:rsid w:val="005F22CB"/>
    <w:rsid w:val="005F2461"/>
    <w:rsid w:val="005F2614"/>
    <w:rsid w:val="005F2A79"/>
    <w:rsid w:val="005F2CC0"/>
    <w:rsid w:val="005F31E0"/>
    <w:rsid w:val="005F340B"/>
    <w:rsid w:val="005F3498"/>
    <w:rsid w:val="005F3970"/>
    <w:rsid w:val="005F3A54"/>
    <w:rsid w:val="005F3D8A"/>
    <w:rsid w:val="005F3E5B"/>
    <w:rsid w:val="005F3FCA"/>
    <w:rsid w:val="005F4239"/>
    <w:rsid w:val="005F42BD"/>
    <w:rsid w:val="005F4601"/>
    <w:rsid w:val="005F4706"/>
    <w:rsid w:val="005F4A19"/>
    <w:rsid w:val="005F529C"/>
    <w:rsid w:val="005F537A"/>
    <w:rsid w:val="005F542B"/>
    <w:rsid w:val="005F558A"/>
    <w:rsid w:val="005F5D5E"/>
    <w:rsid w:val="005F5EED"/>
    <w:rsid w:val="005F64C7"/>
    <w:rsid w:val="005F69BD"/>
    <w:rsid w:val="005F6BF8"/>
    <w:rsid w:val="005F6D40"/>
    <w:rsid w:val="005F6E26"/>
    <w:rsid w:val="005F7187"/>
    <w:rsid w:val="005F7233"/>
    <w:rsid w:val="005F7670"/>
    <w:rsid w:val="005F7730"/>
    <w:rsid w:val="005F77FC"/>
    <w:rsid w:val="005F78BF"/>
    <w:rsid w:val="005F7A54"/>
    <w:rsid w:val="005F7A83"/>
    <w:rsid w:val="005F7DBA"/>
    <w:rsid w:val="005F7E89"/>
    <w:rsid w:val="00600646"/>
    <w:rsid w:val="00600668"/>
    <w:rsid w:val="0060086B"/>
    <w:rsid w:val="00600B3D"/>
    <w:rsid w:val="00600CBC"/>
    <w:rsid w:val="00601142"/>
    <w:rsid w:val="006011F9"/>
    <w:rsid w:val="006013C6"/>
    <w:rsid w:val="006013E6"/>
    <w:rsid w:val="0060149E"/>
    <w:rsid w:val="006019C9"/>
    <w:rsid w:val="00601F54"/>
    <w:rsid w:val="006021A6"/>
    <w:rsid w:val="006027D3"/>
    <w:rsid w:val="006029B9"/>
    <w:rsid w:val="00602B36"/>
    <w:rsid w:val="00602C98"/>
    <w:rsid w:val="00602E8A"/>
    <w:rsid w:val="00603273"/>
    <w:rsid w:val="0060337E"/>
    <w:rsid w:val="0060413A"/>
    <w:rsid w:val="006041FB"/>
    <w:rsid w:val="006043F6"/>
    <w:rsid w:val="00604A9D"/>
    <w:rsid w:val="00604B21"/>
    <w:rsid w:val="00604C7C"/>
    <w:rsid w:val="00604D28"/>
    <w:rsid w:val="00605121"/>
    <w:rsid w:val="006051DB"/>
    <w:rsid w:val="006053FC"/>
    <w:rsid w:val="006057B0"/>
    <w:rsid w:val="0060594E"/>
    <w:rsid w:val="00605AF7"/>
    <w:rsid w:val="00605C65"/>
    <w:rsid w:val="00605D8F"/>
    <w:rsid w:val="006063A7"/>
    <w:rsid w:val="00606981"/>
    <w:rsid w:val="00607944"/>
    <w:rsid w:val="00607F45"/>
    <w:rsid w:val="006100B4"/>
    <w:rsid w:val="00610132"/>
    <w:rsid w:val="0061022B"/>
    <w:rsid w:val="0061027C"/>
    <w:rsid w:val="0061065A"/>
    <w:rsid w:val="00610C26"/>
    <w:rsid w:val="00610D11"/>
    <w:rsid w:val="00611578"/>
    <w:rsid w:val="006115BD"/>
    <w:rsid w:val="006115CE"/>
    <w:rsid w:val="00611A38"/>
    <w:rsid w:val="00611B48"/>
    <w:rsid w:val="00611DC1"/>
    <w:rsid w:val="00611E46"/>
    <w:rsid w:val="00611F25"/>
    <w:rsid w:val="006120DE"/>
    <w:rsid w:val="00612392"/>
    <w:rsid w:val="006124AA"/>
    <w:rsid w:val="006125F0"/>
    <w:rsid w:val="00612A13"/>
    <w:rsid w:val="00613340"/>
    <w:rsid w:val="00613678"/>
    <w:rsid w:val="006136A2"/>
    <w:rsid w:val="00613811"/>
    <w:rsid w:val="00613B81"/>
    <w:rsid w:val="00613BED"/>
    <w:rsid w:val="00613C78"/>
    <w:rsid w:val="00613E63"/>
    <w:rsid w:val="00614148"/>
    <w:rsid w:val="006141AD"/>
    <w:rsid w:val="0061424A"/>
    <w:rsid w:val="0061466D"/>
    <w:rsid w:val="006148DB"/>
    <w:rsid w:val="00614921"/>
    <w:rsid w:val="0061493E"/>
    <w:rsid w:val="00614FC7"/>
    <w:rsid w:val="006155B7"/>
    <w:rsid w:val="00615A33"/>
    <w:rsid w:val="00615A6E"/>
    <w:rsid w:val="00615B5B"/>
    <w:rsid w:val="00616028"/>
    <w:rsid w:val="00616108"/>
    <w:rsid w:val="00616185"/>
    <w:rsid w:val="0061634B"/>
    <w:rsid w:val="00616425"/>
    <w:rsid w:val="0061689C"/>
    <w:rsid w:val="00616C8B"/>
    <w:rsid w:val="00616E95"/>
    <w:rsid w:val="006175FF"/>
    <w:rsid w:val="0061767F"/>
    <w:rsid w:val="00617744"/>
    <w:rsid w:val="00617A59"/>
    <w:rsid w:val="00617BBC"/>
    <w:rsid w:val="00617D4E"/>
    <w:rsid w:val="0062003E"/>
    <w:rsid w:val="006205AA"/>
    <w:rsid w:val="006205B2"/>
    <w:rsid w:val="006205C7"/>
    <w:rsid w:val="006205E1"/>
    <w:rsid w:val="006206C6"/>
    <w:rsid w:val="00620ED5"/>
    <w:rsid w:val="00621F0F"/>
    <w:rsid w:val="00621F9E"/>
    <w:rsid w:val="0062226C"/>
    <w:rsid w:val="006226D6"/>
    <w:rsid w:val="006228D8"/>
    <w:rsid w:val="00622B45"/>
    <w:rsid w:val="00622E2F"/>
    <w:rsid w:val="00623240"/>
    <w:rsid w:val="00623722"/>
    <w:rsid w:val="006239CB"/>
    <w:rsid w:val="00623C1D"/>
    <w:rsid w:val="00624181"/>
    <w:rsid w:val="00624385"/>
    <w:rsid w:val="00624462"/>
    <w:rsid w:val="00624691"/>
    <w:rsid w:val="0062473F"/>
    <w:rsid w:val="00624A41"/>
    <w:rsid w:val="00624D04"/>
    <w:rsid w:val="0062573A"/>
    <w:rsid w:val="00625769"/>
    <w:rsid w:val="0062577D"/>
    <w:rsid w:val="00625AF1"/>
    <w:rsid w:val="00625B2A"/>
    <w:rsid w:val="006263C4"/>
    <w:rsid w:val="0062669B"/>
    <w:rsid w:val="00626A03"/>
    <w:rsid w:val="00626B4B"/>
    <w:rsid w:val="00627235"/>
    <w:rsid w:val="00627595"/>
    <w:rsid w:val="00627641"/>
    <w:rsid w:val="006277A4"/>
    <w:rsid w:val="00627CC2"/>
    <w:rsid w:val="00627E7C"/>
    <w:rsid w:val="0063000E"/>
    <w:rsid w:val="00630087"/>
    <w:rsid w:val="0063018E"/>
    <w:rsid w:val="006305EF"/>
    <w:rsid w:val="0063084B"/>
    <w:rsid w:val="006308A7"/>
    <w:rsid w:val="006308CD"/>
    <w:rsid w:val="00630ADB"/>
    <w:rsid w:val="00630BFA"/>
    <w:rsid w:val="00630E6E"/>
    <w:rsid w:val="006311A1"/>
    <w:rsid w:val="006315F4"/>
    <w:rsid w:val="00631784"/>
    <w:rsid w:val="00631836"/>
    <w:rsid w:val="00631F94"/>
    <w:rsid w:val="00631FEE"/>
    <w:rsid w:val="00632035"/>
    <w:rsid w:val="0063275F"/>
    <w:rsid w:val="00632B94"/>
    <w:rsid w:val="00632C77"/>
    <w:rsid w:val="00632D74"/>
    <w:rsid w:val="006335EE"/>
    <w:rsid w:val="00633706"/>
    <w:rsid w:val="0063371D"/>
    <w:rsid w:val="00633A60"/>
    <w:rsid w:val="00633FB2"/>
    <w:rsid w:val="00634067"/>
    <w:rsid w:val="0063408C"/>
    <w:rsid w:val="006342A6"/>
    <w:rsid w:val="00634731"/>
    <w:rsid w:val="006349C2"/>
    <w:rsid w:val="00634B88"/>
    <w:rsid w:val="00634F54"/>
    <w:rsid w:val="00635163"/>
    <w:rsid w:val="00635281"/>
    <w:rsid w:val="006352C5"/>
    <w:rsid w:val="0063566C"/>
    <w:rsid w:val="006358D6"/>
    <w:rsid w:val="00635A50"/>
    <w:rsid w:val="00635AEC"/>
    <w:rsid w:val="00635B90"/>
    <w:rsid w:val="0063638C"/>
    <w:rsid w:val="00636690"/>
    <w:rsid w:val="006366D1"/>
    <w:rsid w:val="006368EF"/>
    <w:rsid w:val="00636ABB"/>
    <w:rsid w:val="006372EE"/>
    <w:rsid w:val="006374BA"/>
    <w:rsid w:val="00637844"/>
    <w:rsid w:val="00637927"/>
    <w:rsid w:val="00640257"/>
    <w:rsid w:val="006402F6"/>
    <w:rsid w:val="0064046E"/>
    <w:rsid w:val="006409E6"/>
    <w:rsid w:val="00640BD3"/>
    <w:rsid w:val="00640F54"/>
    <w:rsid w:val="0064106E"/>
    <w:rsid w:val="006410D6"/>
    <w:rsid w:val="00641356"/>
    <w:rsid w:val="006414FB"/>
    <w:rsid w:val="00642F2D"/>
    <w:rsid w:val="006432DA"/>
    <w:rsid w:val="00643582"/>
    <w:rsid w:val="0064387E"/>
    <w:rsid w:val="00643CCD"/>
    <w:rsid w:val="006444E1"/>
    <w:rsid w:val="00644F9F"/>
    <w:rsid w:val="0064562C"/>
    <w:rsid w:val="0064581A"/>
    <w:rsid w:val="00645B43"/>
    <w:rsid w:val="00645D42"/>
    <w:rsid w:val="00645DB3"/>
    <w:rsid w:val="0064610F"/>
    <w:rsid w:val="00646459"/>
    <w:rsid w:val="006466CE"/>
    <w:rsid w:val="00646CAB"/>
    <w:rsid w:val="00646CAC"/>
    <w:rsid w:val="00647A9E"/>
    <w:rsid w:val="00647B0C"/>
    <w:rsid w:val="00647F0E"/>
    <w:rsid w:val="006502FE"/>
    <w:rsid w:val="00650733"/>
    <w:rsid w:val="00650776"/>
    <w:rsid w:val="006508A4"/>
    <w:rsid w:val="00650916"/>
    <w:rsid w:val="00650A52"/>
    <w:rsid w:val="00650A5F"/>
    <w:rsid w:val="00651334"/>
    <w:rsid w:val="00651387"/>
    <w:rsid w:val="00651790"/>
    <w:rsid w:val="006519BD"/>
    <w:rsid w:val="00651A0C"/>
    <w:rsid w:val="00651D0C"/>
    <w:rsid w:val="00651E27"/>
    <w:rsid w:val="006520E4"/>
    <w:rsid w:val="00652872"/>
    <w:rsid w:val="00652FF5"/>
    <w:rsid w:val="0065322B"/>
    <w:rsid w:val="006537AA"/>
    <w:rsid w:val="00653ABB"/>
    <w:rsid w:val="00653C70"/>
    <w:rsid w:val="00653CBF"/>
    <w:rsid w:val="00654086"/>
    <w:rsid w:val="006540F5"/>
    <w:rsid w:val="00654397"/>
    <w:rsid w:val="00654546"/>
    <w:rsid w:val="00654A7F"/>
    <w:rsid w:val="00654B52"/>
    <w:rsid w:val="00654F6A"/>
    <w:rsid w:val="006550B9"/>
    <w:rsid w:val="0065542E"/>
    <w:rsid w:val="00655515"/>
    <w:rsid w:val="00655705"/>
    <w:rsid w:val="00655D2A"/>
    <w:rsid w:val="00655EC0"/>
    <w:rsid w:val="00655FE1"/>
    <w:rsid w:val="0065619F"/>
    <w:rsid w:val="006566D8"/>
    <w:rsid w:val="00656726"/>
    <w:rsid w:val="0065684B"/>
    <w:rsid w:val="00656B4C"/>
    <w:rsid w:val="00656FBD"/>
    <w:rsid w:val="00656FEF"/>
    <w:rsid w:val="0065700B"/>
    <w:rsid w:val="0065712F"/>
    <w:rsid w:val="0065723E"/>
    <w:rsid w:val="00657370"/>
    <w:rsid w:val="0065756A"/>
    <w:rsid w:val="00657670"/>
    <w:rsid w:val="006576CC"/>
    <w:rsid w:val="00657961"/>
    <w:rsid w:val="00657C4F"/>
    <w:rsid w:val="0066001B"/>
    <w:rsid w:val="006603C6"/>
    <w:rsid w:val="006607B7"/>
    <w:rsid w:val="0066083C"/>
    <w:rsid w:val="0066098B"/>
    <w:rsid w:val="00660BD6"/>
    <w:rsid w:val="00661073"/>
    <w:rsid w:val="0066124C"/>
    <w:rsid w:val="0066135C"/>
    <w:rsid w:val="006619C3"/>
    <w:rsid w:val="00661A17"/>
    <w:rsid w:val="00661BD8"/>
    <w:rsid w:val="00661C88"/>
    <w:rsid w:val="00661D05"/>
    <w:rsid w:val="00662105"/>
    <w:rsid w:val="0066210C"/>
    <w:rsid w:val="006623AE"/>
    <w:rsid w:val="0066264A"/>
    <w:rsid w:val="00662C63"/>
    <w:rsid w:val="00662C9C"/>
    <w:rsid w:val="00662D11"/>
    <w:rsid w:val="00662F87"/>
    <w:rsid w:val="00663250"/>
    <w:rsid w:val="006643B7"/>
    <w:rsid w:val="0066445B"/>
    <w:rsid w:val="00664460"/>
    <w:rsid w:val="006644AF"/>
    <w:rsid w:val="0066451F"/>
    <w:rsid w:val="006645F9"/>
    <w:rsid w:val="0066479E"/>
    <w:rsid w:val="0066498A"/>
    <w:rsid w:val="00664C38"/>
    <w:rsid w:val="00664E23"/>
    <w:rsid w:val="006656CD"/>
    <w:rsid w:val="00665A86"/>
    <w:rsid w:val="00665CB0"/>
    <w:rsid w:val="00666728"/>
    <w:rsid w:val="00666860"/>
    <w:rsid w:val="00667172"/>
    <w:rsid w:val="006672B7"/>
    <w:rsid w:val="006677C1"/>
    <w:rsid w:val="00667BF3"/>
    <w:rsid w:val="00667E2A"/>
    <w:rsid w:val="006700AF"/>
    <w:rsid w:val="00670137"/>
    <w:rsid w:val="00670189"/>
    <w:rsid w:val="0067038E"/>
    <w:rsid w:val="00670580"/>
    <w:rsid w:val="00670873"/>
    <w:rsid w:val="00670AB6"/>
    <w:rsid w:val="00670AF4"/>
    <w:rsid w:val="00671286"/>
    <w:rsid w:val="00671292"/>
    <w:rsid w:val="00671454"/>
    <w:rsid w:val="00671556"/>
    <w:rsid w:val="00671CED"/>
    <w:rsid w:val="00671D5C"/>
    <w:rsid w:val="00671EC0"/>
    <w:rsid w:val="00672289"/>
    <w:rsid w:val="006726B8"/>
    <w:rsid w:val="00672760"/>
    <w:rsid w:val="00672764"/>
    <w:rsid w:val="0067297C"/>
    <w:rsid w:val="0067306C"/>
    <w:rsid w:val="0067321F"/>
    <w:rsid w:val="00673D00"/>
    <w:rsid w:val="00673D28"/>
    <w:rsid w:val="00673F94"/>
    <w:rsid w:val="00674398"/>
    <w:rsid w:val="00674618"/>
    <w:rsid w:val="00674782"/>
    <w:rsid w:val="006747D7"/>
    <w:rsid w:val="0067491D"/>
    <w:rsid w:val="00674C18"/>
    <w:rsid w:val="00674D62"/>
    <w:rsid w:val="0067548A"/>
    <w:rsid w:val="00675879"/>
    <w:rsid w:val="0067587D"/>
    <w:rsid w:val="006759AD"/>
    <w:rsid w:val="00675F57"/>
    <w:rsid w:val="00676027"/>
    <w:rsid w:val="00676078"/>
    <w:rsid w:val="00676097"/>
    <w:rsid w:val="00676409"/>
    <w:rsid w:val="006764CD"/>
    <w:rsid w:val="00676589"/>
    <w:rsid w:val="0067668C"/>
    <w:rsid w:val="006766EF"/>
    <w:rsid w:val="00676971"/>
    <w:rsid w:val="00676BD8"/>
    <w:rsid w:val="00676D06"/>
    <w:rsid w:val="00676E7A"/>
    <w:rsid w:val="006770BD"/>
    <w:rsid w:val="00677554"/>
    <w:rsid w:val="006779C3"/>
    <w:rsid w:val="00677BF0"/>
    <w:rsid w:val="00677D07"/>
    <w:rsid w:val="00677E3D"/>
    <w:rsid w:val="00677FC3"/>
    <w:rsid w:val="00677FEC"/>
    <w:rsid w:val="006801D3"/>
    <w:rsid w:val="0068056D"/>
    <w:rsid w:val="0068065B"/>
    <w:rsid w:val="00680786"/>
    <w:rsid w:val="0068087D"/>
    <w:rsid w:val="00680A9F"/>
    <w:rsid w:val="00680B55"/>
    <w:rsid w:val="00680CAB"/>
    <w:rsid w:val="00680D8F"/>
    <w:rsid w:val="00680DD4"/>
    <w:rsid w:val="00680E33"/>
    <w:rsid w:val="0068104D"/>
    <w:rsid w:val="006810E9"/>
    <w:rsid w:val="0068119F"/>
    <w:rsid w:val="006811FD"/>
    <w:rsid w:val="006812B9"/>
    <w:rsid w:val="00681407"/>
    <w:rsid w:val="00681B91"/>
    <w:rsid w:val="00681C77"/>
    <w:rsid w:val="00681CA6"/>
    <w:rsid w:val="006820B8"/>
    <w:rsid w:val="006824A8"/>
    <w:rsid w:val="00682ABD"/>
    <w:rsid w:val="006830E9"/>
    <w:rsid w:val="00683253"/>
    <w:rsid w:val="00683286"/>
    <w:rsid w:val="006832FD"/>
    <w:rsid w:val="0068360D"/>
    <w:rsid w:val="006836E6"/>
    <w:rsid w:val="00683897"/>
    <w:rsid w:val="00683A91"/>
    <w:rsid w:val="00683BD1"/>
    <w:rsid w:val="00684C55"/>
    <w:rsid w:val="00684D18"/>
    <w:rsid w:val="00684FF1"/>
    <w:rsid w:val="00685024"/>
    <w:rsid w:val="006856C6"/>
    <w:rsid w:val="006857EE"/>
    <w:rsid w:val="00685BF4"/>
    <w:rsid w:val="00685D77"/>
    <w:rsid w:val="0068648E"/>
    <w:rsid w:val="006865C1"/>
    <w:rsid w:val="0068692C"/>
    <w:rsid w:val="00686F75"/>
    <w:rsid w:val="0068704C"/>
    <w:rsid w:val="006871B2"/>
    <w:rsid w:val="00687412"/>
    <w:rsid w:val="00687928"/>
    <w:rsid w:val="00687C25"/>
    <w:rsid w:val="00687C41"/>
    <w:rsid w:val="00690277"/>
    <w:rsid w:val="00690286"/>
    <w:rsid w:val="006906AB"/>
    <w:rsid w:val="00690DE3"/>
    <w:rsid w:val="00690E3F"/>
    <w:rsid w:val="0069110B"/>
    <w:rsid w:val="00691362"/>
    <w:rsid w:val="006917AB"/>
    <w:rsid w:val="0069197A"/>
    <w:rsid w:val="00691E5F"/>
    <w:rsid w:val="006925A6"/>
    <w:rsid w:val="00692750"/>
    <w:rsid w:val="00692754"/>
    <w:rsid w:val="0069279F"/>
    <w:rsid w:val="00692967"/>
    <w:rsid w:val="00692991"/>
    <w:rsid w:val="006930E0"/>
    <w:rsid w:val="00693317"/>
    <w:rsid w:val="006934CD"/>
    <w:rsid w:val="00693718"/>
    <w:rsid w:val="006939B0"/>
    <w:rsid w:val="00693B14"/>
    <w:rsid w:val="00693C28"/>
    <w:rsid w:val="00693E42"/>
    <w:rsid w:val="006940ED"/>
    <w:rsid w:val="0069429C"/>
    <w:rsid w:val="006942F2"/>
    <w:rsid w:val="00694315"/>
    <w:rsid w:val="006946F6"/>
    <w:rsid w:val="006949EB"/>
    <w:rsid w:val="00694A54"/>
    <w:rsid w:val="00694B5C"/>
    <w:rsid w:val="0069536B"/>
    <w:rsid w:val="00695498"/>
    <w:rsid w:val="006954FD"/>
    <w:rsid w:val="00695590"/>
    <w:rsid w:val="00695A4D"/>
    <w:rsid w:val="00695A82"/>
    <w:rsid w:val="00695FB4"/>
    <w:rsid w:val="006961E1"/>
    <w:rsid w:val="006963EB"/>
    <w:rsid w:val="006964A2"/>
    <w:rsid w:val="006966D9"/>
    <w:rsid w:val="00696F3A"/>
    <w:rsid w:val="00697923"/>
    <w:rsid w:val="006979E1"/>
    <w:rsid w:val="00697A0A"/>
    <w:rsid w:val="00697B76"/>
    <w:rsid w:val="006A0089"/>
    <w:rsid w:val="006A012B"/>
    <w:rsid w:val="006A01A8"/>
    <w:rsid w:val="006A02DD"/>
    <w:rsid w:val="006A03EB"/>
    <w:rsid w:val="006A09C0"/>
    <w:rsid w:val="006A0B68"/>
    <w:rsid w:val="006A0C03"/>
    <w:rsid w:val="006A0EA7"/>
    <w:rsid w:val="006A14DF"/>
    <w:rsid w:val="006A18F8"/>
    <w:rsid w:val="006A2AAE"/>
    <w:rsid w:val="006A2E46"/>
    <w:rsid w:val="006A3225"/>
    <w:rsid w:val="006A325C"/>
    <w:rsid w:val="006A37E1"/>
    <w:rsid w:val="006A3C28"/>
    <w:rsid w:val="006A3CD0"/>
    <w:rsid w:val="006A3DFD"/>
    <w:rsid w:val="006A4733"/>
    <w:rsid w:val="006A4785"/>
    <w:rsid w:val="006A4900"/>
    <w:rsid w:val="006A4B14"/>
    <w:rsid w:val="006A4C77"/>
    <w:rsid w:val="006A4E8C"/>
    <w:rsid w:val="006A501E"/>
    <w:rsid w:val="006A52FB"/>
    <w:rsid w:val="006A548C"/>
    <w:rsid w:val="006A5775"/>
    <w:rsid w:val="006A589B"/>
    <w:rsid w:val="006A5A27"/>
    <w:rsid w:val="006A5B09"/>
    <w:rsid w:val="006A5BEE"/>
    <w:rsid w:val="006A5E3A"/>
    <w:rsid w:val="006A6241"/>
    <w:rsid w:val="006A647C"/>
    <w:rsid w:val="006A6860"/>
    <w:rsid w:val="006A68E7"/>
    <w:rsid w:val="006A6A35"/>
    <w:rsid w:val="006A6A62"/>
    <w:rsid w:val="006A6E10"/>
    <w:rsid w:val="006A719B"/>
    <w:rsid w:val="006A7253"/>
    <w:rsid w:val="006A72F9"/>
    <w:rsid w:val="006A7B24"/>
    <w:rsid w:val="006B0232"/>
    <w:rsid w:val="006B033D"/>
    <w:rsid w:val="006B04E0"/>
    <w:rsid w:val="006B0685"/>
    <w:rsid w:val="006B0807"/>
    <w:rsid w:val="006B0830"/>
    <w:rsid w:val="006B0AFB"/>
    <w:rsid w:val="006B0B6D"/>
    <w:rsid w:val="006B0BA1"/>
    <w:rsid w:val="006B0BB5"/>
    <w:rsid w:val="006B0CD1"/>
    <w:rsid w:val="006B1407"/>
    <w:rsid w:val="006B1623"/>
    <w:rsid w:val="006B1698"/>
    <w:rsid w:val="006B1829"/>
    <w:rsid w:val="006B188A"/>
    <w:rsid w:val="006B1B6B"/>
    <w:rsid w:val="006B1D69"/>
    <w:rsid w:val="006B2142"/>
    <w:rsid w:val="006B244F"/>
    <w:rsid w:val="006B2A5C"/>
    <w:rsid w:val="006B2A63"/>
    <w:rsid w:val="006B2BA9"/>
    <w:rsid w:val="006B320B"/>
    <w:rsid w:val="006B344F"/>
    <w:rsid w:val="006B3BCE"/>
    <w:rsid w:val="006B3BDD"/>
    <w:rsid w:val="006B3C75"/>
    <w:rsid w:val="006B3CD4"/>
    <w:rsid w:val="006B3DD2"/>
    <w:rsid w:val="006B43D3"/>
    <w:rsid w:val="006B473A"/>
    <w:rsid w:val="006B48A6"/>
    <w:rsid w:val="006B49F0"/>
    <w:rsid w:val="006B4D8C"/>
    <w:rsid w:val="006B4F83"/>
    <w:rsid w:val="006B53E6"/>
    <w:rsid w:val="006B564D"/>
    <w:rsid w:val="006B5766"/>
    <w:rsid w:val="006B5C11"/>
    <w:rsid w:val="006B5DE1"/>
    <w:rsid w:val="006B64A5"/>
    <w:rsid w:val="006B682E"/>
    <w:rsid w:val="006B6D0B"/>
    <w:rsid w:val="006B7219"/>
    <w:rsid w:val="006B7236"/>
    <w:rsid w:val="006B741A"/>
    <w:rsid w:val="006B78FE"/>
    <w:rsid w:val="006B79CE"/>
    <w:rsid w:val="006C00B5"/>
    <w:rsid w:val="006C041D"/>
    <w:rsid w:val="006C0643"/>
    <w:rsid w:val="006C07C3"/>
    <w:rsid w:val="006C088C"/>
    <w:rsid w:val="006C08B8"/>
    <w:rsid w:val="006C0A42"/>
    <w:rsid w:val="006C0EDF"/>
    <w:rsid w:val="006C14F7"/>
    <w:rsid w:val="006C1522"/>
    <w:rsid w:val="006C1A1C"/>
    <w:rsid w:val="006C1DF9"/>
    <w:rsid w:val="006C25C5"/>
    <w:rsid w:val="006C2872"/>
    <w:rsid w:val="006C2A5A"/>
    <w:rsid w:val="006C2A77"/>
    <w:rsid w:val="006C3315"/>
    <w:rsid w:val="006C350D"/>
    <w:rsid w:val="006C3523"/>
    <w:rsid w:val="006C3656"/>
    <w:rsid w:val="006C36F5"/>
    <w:rsid w:val="006C3735"/>
    <w:rsid w:val="006C4210"/>
    <w:rsid w:val="006C4496"/>
    <w:rsid w:val="006C451F"/>
    <w:rsid w:val="006C454F"/>
    <w:rsid w:val="006C45D9"/>
    <w:rsid w:val="006C490B"/>
    <w:rsid w:val="006C4E02"/>
    <w:rsid w:val="006C4E60"/>
    <w:rsid w:val="006C4F92"/>
    <w:rsid w:val="006C50AC"/>
    <w:rsid w:val="006C56C5"/>
    <w:rsid w:val="006C5ED3"/>
    <w:rsid w:val="006C6257"/>
    <w:rsid w:val="006C6343"/>
    <w:rsid w:val="006C6A43"/>
    <w:rsid w:val="006C6B4B"/>
    <w:rsid w:val="006C725C"/>
    <w:rsid w:val="006C734D"/>
    <w:rsid w:val="006C75F5"/>
    <w:rsid w:val="006C760C"/>
    <w:rsid w:val="006C7947"/>
    <w:rsid w:val="006C7CA9"/>
    <w:rsid w:val="006D0039"/>
    <w:rsid w:val="006D0135"/>
    <w:rsid w:val="006D0157"/>
    <w:rsid w:val="006D028F"/>
    <w:rsid w:val="006D0FA5"/>
    <w:rsid w:val="006D14E5"/>
    <w:rsid w:val="006D1AD1"/>
    <w:rsid w:val="006D1BD6"/>
    <w:rsid w:val="006D1CAF"/>
    <w:rsid w:val="006D1E75"/>
    <w:rsid w:val="006D1ED2"/>
    <w:rsid w:val="006D29B3"/>
    <w:rsid w:val="006D2DC1"/>
    <w:rsid w:val="006D32B5"/>
    <w:rsid w:val="006D346E"/>
    <w:rsid w:val="006D3539"/>
    <w:rsid w:val="006D49AD"/>
    <w:rsid w:val="006D4CB8"/>
    <w:rsid w:val="006D4CFD"/>
    <w:rsid w:val="006D4DD0"/>
    <w:rsid w:val="006D515E"/>
    <w:rsid w:val="006D51B8"/>
    <w:rsid w:val="006D51EF"/>
    <w:rsid w:val="006D5B16"/>
    <w:rsid w:val="006D5C66"/>
    <w:rsid w:val="006D5DAD"/>
    <w:rsid w:val="006D6784"/>
    <w:rsid w:val="006D67AE"/>
    <w:rsid w:val="006D69F6"/>
    <w:rsid w:val="006D6A49"/>
    <w:rsid w:val="006D6E01"/>
    <w:rsid w:val="006D7316"/>
    <w:rsid w:val="006D7351"/>
    <w:rsid w:val="006D753C"/>
    <w:rsid w:val="006D75AA"/>
    <w:rsid w:val="006D7918"/>
    <w:rsid w:val="006D7967"/>
    <w:rsid w:val="006D7A75"/>
    <w:rsid w:val="006D7AD9"/>
    <w:rsid w:val="006D7B4F"/>
    <w:rsid w:val="006D7EDE"/>
    <w:rsid w:val="006E02F8"/>
    <w:rsid w:val="006E03BB"/>
    <w:rsid w:val="006E05DF"/>
    <w:rsid w:val="006E0730"/>
    <w:rsid w:val="006E0F2C"/>
    <w:rsid w:val="006E141A"/>
    <w:rsid w:val="006E1513"/>
    <w:rsid w:val="006E1731"/>
    <w:rsid w:val="006E1814"/>
    <w:rsid w:val="006E1D77"/>
    <w:rsid w:val="006E2329"/>
    <w:rsid w:val="006E2378"/>
    <w:rsid w:val="006E24E9"/>
    <w:rsid w:val="006E2BC0"/>
    <w:rsid w:val="006E2FB6"/>
    <w:rsid w:val="006E34C5"/>
    <w:rsid w:val="006E3552"/>
    <w:rsid w:val="006E3921"/>
    <w:rsid w:val="006E3D35"/>
    <w:rsid w:val="006E3DC9"/>
    <w:rsid w:val="006E3FB8"/>
    <w:rsid w:val="006E4076"/>
    <w:rsid w:val="006E4786"/>
    <w:rsid w:val="006E47B2"/>
    <w:rsid w:val="006E4F14"/>
    <w:rsid w:val="006E57AF"/>
    <w:rsid w:val="006E5A43"/>
    <w:rsid w:val="006E5D56"/>
    <w:rsid w:val="006E6180"/>
    <w:rsid w:val="006E65CE"/>
    <w:rsid w:val="006E6C98"/>
    <w:rsid w:val="006E6CD8"/>
    <w:rsid w:val="006E6FF9"/>
    <w:rsid w:val="006E7307"/>
    <w:rsid w:val="006E736B"/>
    <w:rsid w:val="006E73B4"/>
    <w:rsid w:val="006E74B5"/>
    <w:rsid w:val="006E7A2A"/>
    <w:rsid w:val="006E7CA0"/>
    <w:rsid w:val="006F079D"/>
    <w:rsid w:val="006F07D7"/>
    <w:rsid w:val="006F213F"/>
    <w:rsid w:val="006F219E"/>
    <w:rsid w:val="006F22C5"/>
    <w:rsid w:val="006F28CD"/>
    <w:rsid w:val="006F2943"/>
    <w:rsid w:val="006F2984"/>
    <w:rsid w:val="006F2A86"/>
    <w:rsid w:val="006F348A"/>
    <w:rsid w:val="006F39A0"/>
    <w:rsid w:val="006F3CFD"/>
    <w:rsid w:val="006F3D79"/>
    <w:rsid w:val="006F3E79"/>
    <w:rsid w:val="006F4024"/>
    <w:rsid w:val="006F42D6"/>
    <w:rsid w:val="006F44A2"/>
    <w:rsid w:val="006F46DE"/>
    <w:rsid w:val="006F47DB"/>
    <w:rsid w:val="006F47EB"/>
    <w:rsid w:val="006F4B94"/>
    <w:rsid w:val="006F4F0F"/>
    <w:rsid w:val="006F4FD7"/>
    <w:rsid w:val="006F52DE"/>
    <w:rsid w:val="006F58CF"/>
    <w:rsid w:val="006F5AFD"/>
    <w:rsid w:val="006F5E60"/>
    <w:rsid w:val="006F656C"/>
    <w:rsid w:val="006F6A95"/>
    <w:rsid w:val="006F6C5B"/>
    <w:rsid w:val="006F6E95"/>
    <w:rsid w:val="006F71C2"/>
    <w:rsid w:val="006F7570"/>
    <w:rsid w:val="006F77D3"/>
    <w:rsid w:val="006F7BC2"/>
    <w:rsid w:val="007000DB"/>
    <w:rsid w:val="007002D0"/>
    <w:rsid w:val="007005AA"/>
    <w:rsid w:val="0070067F"/>
    <w:rsid w:val="007008B8"/>
    <w:rsid w:val="00700918"/>
    <w:rsid w:val="00700C81"/>
    <w:rsid w:val="00700E21"/>
    <w:rsid w:val="00700F6D"/>
    <w:rsid w:val="0070107E"/>
    <w:rsid w:val="00701561"/>
    <w:rsid w:val="00701648"/>
    <w:rsid w:val="00701F93"/>
    <w:rsid w:val="007021D6"/>
    <w:rsid w:val="0070236E"/>
    <w:rsid w:val="007025BA"/>
    <w:rsid w:val="007026C2"/>
    <w:rsid w:val="00702E4B"/>
    <w:rsid w:val="00703198"/>
    <w:rsid w:val="0070365A"/>
    <w:rsid w:val="00703975"/>
    <w:rsid w:val="00703D00"/>
    <w:rsid w:val="0070402E"/>
    <w:rsid w:val="007040D0"/>
    <w:rsid w:val="00704260"/>
    <w:rsid w:val="0070444C"/>
    <w:rsid w:val="007048E8"/>
    <w:rsid w:val="00705038"/>
    <w:rsid w:val="007053F8"/>
    <w:rsid w:val="00705669"/>
    <w:rsid w:val="00705CD2"/>
    <w:rsid w:val="00705E64"/>
    <w:rsid w:val="00705E99"/>
    <w:rsid w:val="00705F77"/>
    <w:rsid w:val="00706116"/>
    <w:rsid w:val="007063F1"/>
    <w:rsid w:val="007064D2"/>
    <w:rsid w:val="007068BE"/>
    <w:rsid w:val="00706A40"/>
    <w:rsid w:val="00706D59"/>
    <w:rsid w:val="00706ECC"/>
    <w:rsid w:val="00707531"/>
    <w:rsid w:val="00707669"/>
    <w:rsid w:val="007077CC"/>
    <w:rsid w:val="00707BE7"/>
    <w:rsid w:val="0071120B"/>
    <w:rsid w:val="00711239"/>
    <w:rsid w:val="0071147E"/>
    <w:rsid w:val="007115B4"/>
    <w:rsid w:val="007115D6"/>
    <w:rsid w:val="00711602"/>
    <w:rsid w:val="00711678"/>
    <w:rsid w:val="00711B7A"/>
    <w:rsid w:val="007126FA"/>
    <w:rsid w:val="0071280D"/>
    <w:rsid w:val="00712985"/>
    <w:rsid w:val="00712B43"/>
    <w:rsid w:val="007131AD"/>
    <w:rsid w:val="007131F9"/>
    <w:rsid w:val="007133AE"/>
    <w:rsid w:val="00713551"/>
    <w:rsid w:val="00713761"/>
    <w:rsid w:val="0071389D"/>
    <w:rsid w:val="00713C4B"/>
    <w:rsid w:val="00713C6F"/>
    <w:rsid w:val="00713CDA"/>
    <w:rsid w:val="0071425F"/>
    <w:rsid w:val="00714559"/>
    <w:rsid w:val="007146B7"/>
    <w:rsid w:val="00714725"/>
    <w:rsid w:val="0071499E"/>
    <w:rsid w:val="00714FBA"/>
    <w:rsid w:val="0071509B"/>
    <w:rsid w:val="0071530E"/>
    <w:rsid w:val="00715653"/>
    <w:rsid w:val="007156FD"/>
    <w:rsid w:val="00715AEA"/>
    <w:rsid w:val="00715EB1"/>
    <w:rsid w:val="00715ECC"/>
    <w:rsid w:val="0071612D"/>
    <w:rsid w:val="00716282"/>
    <w:rsid w:val="007169F4"/>
    <w:rsid w:val="00716AEC"/>
    <w:rsid w:val="007170CF"/>
    <w:rsid w:val="0071733E"/>
    <w:rsid w:val="007178A7"/>
    <w:rsid w:val="00717AC4"/>
    <w:rsid w:val="00720094"/>
    <w:rsid w:val="0072013F"/>
    <w:rsid w:val="007202C0"/>
    <w:rsid w:val="0072038F"/>
    <w:rsid w:val="007205D6"/>
    <w:rsid w:val="007208B8"/>
    <w:rsid w:val="00720EC0"/>
    <w:rsid w:val="00721194"/>
    <w:rsid w:val="00721207"/>
    <w:rsid w:val="00721B8B"/>
    <w:rsid w:val="00721B97"/>
    <w:rsid w:val="00721CC3"/>
    <w:rsid w:val="00721DDD"/>
    <w:rsid w:val="00722499"/>
    <w:rsid w:val="00722568"/>
    <w:rsid w:val="00722E18"/>
    <w:rsid w:val="00722E79"/>
    <w:rsid w:val="00723241"/>
    <w:rsid w:val="007236D6"/>
    <w:rsid w:val="007240F6"/>
    <w:rsid w:val="00724476"/>
    <w:rsid w:val="007245A0"/>
    <w:rsid w:val="00724856"/>
    <w:rsid w:val="00724B5C"/>
    <w:rsid w:val="00724F65"/>
    <w:rsid w:val="0072501C"/>
    <w:rsid w:val="007250D4"/>
    <w:rsid w:val="007251ED"/>
    <w:rsid w:val="0072542D"/>
    <w:rsid w:val="0072547F"/>
    <w:rsid w:val="00725909"/>
    <w:rsid w:val="0072626F"/>
    <w:rsid w:val="00726441"/>
    <w:rsid w:val="00726ACC"/>
    <w:rsid w:val="00726C9E"/>
    <w:rsid w:val="00727351"/>
    <w:rsid w:val="00727537"/>
    <w:rsid w:val="00727F7E"/>
    <w:rsid w:val="0073026F"/>
    <w:rsid w:val="00730303"/>
    <w:rsid w:val="00730767"/>
    <w:rsid w:val="00730A4D"/>
    <w:rsid w:val="00730F22"/>
    <w:rsid w:val="0073124B"/>
    <w:rsid w:val="00731335"/>
    <w:rsid w:val="0073146D"/>
    <w:rsid w:val="007315F4"/>
    <w:rsid w:val="007317A1"/>
    <w:rsid w:val="0073184A"/>
    <w:rsid w:val="007318B5"/>
    <w:rsid w:val="00731A25"/>
    <w:rsid w:val="00731C30"/>
    <w:rsid w:val="00731CE5"/>
    <w:rsid w:val="007320DA"/>
    <w:rsid w:val="0073254C"/>
    <w:rsid w:val="007326E6"/>
    <w:rsid w:val="00732D37"/>
    <w:rsid w:val="00733293"/>
    <w:rsid w:val="007336CB"/>
    <w:rsid w:val="00733B2E"/>
    <w:rsid w:val="00733C91"/>
    <w:rsid w:val="00733D65"/>
    <w:rsid w:val="00733D66"/>
    <w:rsid w:val="00733E0C"/>
    <w:rsid w:val="00733E0E"/>
    <w:rsid w:val="00733E54"/>
    <w:rsid w:val="00734626"/>
    <w:rsid w:val="0073477A"/>
    <w:rsid w:val="00734A8F"/>
    <w:rsid w:val="0073512C"/>
    <w:rsid w:val="0073526E"/>
    <w:rsid w:val="00735D5B"/>
    <w:rsid w:val="00735DA0"/>
    <w:rsid w:val="00735E19"/>
    <w:rsid w:val="00735F31"/>
    <w:rsid w:val="007363BB"/>
    <w:rsid w:val="00736552"/>
    <w:rsid w:val="00736787"/>
    <w:rsid w:val="0073685C"/>
    <w:rsid w:val="00736C5F"/>
    <w:rsid w:val="00736F3B"/>
    <w:rsid w:val="00737268"/>
    <w:rsid w:val="00737288"/>
    <w:rsid w:val="007372CE"/>
    <w:rsid w:val="00737530"/>
    <w:rsid w:val="00737DE9"/>
    <w:rsid w:val="00737EAC"/>
    <w:rsid w:val="00737F4D"/>
    <w:rsid w:val="007400B0"/>
    <w:rsid w:val="007406DA"/>
    <w:rsid w:val="00740835"/>
    <w:rsid w:val="00740C6C"/>
    <w:rsid w:val="00741518"/>
    <w:rsid w:val="007415D4"/>
    <w:rsid w:val="00741793"/>
    <w:rsid w:val="007419F9"/>
    <w:rsid w:val="00741B0A"/>
    <w:rsid w:val="00741B20"/>
    <w:rsid w:val="00741B68"/>
    <w:rsid w:val="00742058"/>
    <w:rsid w:val="00742468"/>
    <w:rsid w:val="007425E6"/>
    <w:rsid w:val="0074287A"/>
    <w:rsid w:val="007428FE"/>
    <w:rsid w:val="00742AE3"/>
    <w:rsid w:val="00742ED4"/>
    <w:rsid w:val="00742F00"/>
    <w:rsid w:val="00743026"/>
    <w:rsid w:val="0074304C"/>
    <w:rsid w:val="00743247"/>
    <w:rsid w:val="007432F6"/>
    <w:rsid w:val="0074352D"/>
    <w:rsid w:val="00743B39"/>
    <w:rsid w:val="00743BDB"/>
    <w:rsid w:val="00743E58"/>
    <w:rsid w:val="00743F6A"/>
    <w:rsid w:val="007441D7"/>
    <w:rsid w:val="0074447D"/>
    <w:rsid w:val="0074482C"/>
    <w:rsid w:val="0074490B"/>
    <w:rsid w:val="00744942"/>
    <w:rsid w:val="00744C5D"/>
    <w:rsid w:val="007451D1"/>
    <w:rsid w:val="00745516"/>
    <w:rsid w:val="00745AC1"/>
    <w:rsid w:val="00745FBB"/>
    <w:rsid w:val="007464B5"/>
    <w:rsid w:val="00746566"/>
    <w:rsid w:val="007469E9"/>
    <w:rsid w:val="00746A46"/>
    <w:rsid w:val="00746E3F"/>
    <w:rsid w:val="007472D7"/>
    <w:rsid w:val="00747408"/>
    <w:rsid w:val="007476E6"/>
    <w:rsid w:val="00747976"/>
    <w:rsid w:val="00747AEE"/>
    <w:rsid w:val="00747D73"/>
    <w:rsid w:val="00747FF4"/>
    <w:rsid w:val="00750101"/>
    <w:rsid w:val="007503E4"/>
    <w:rsid w:val="0075047F"/>
    <w:rsid w:val="00750734"/>
    <w:rsid w:val="0075074D"/>
    <w:rsid w:val="00750895"/>
    <w:rsid w:val="007508BE"/>
    <w:rsid w:val="00750F91"/>
    <w:rsid w:val="0075137E"/>
    <w:rsid w:val="0075157B"/>
    <w:rsid w:val="007515C9"/>
    <w:rsid w:val="007515DF"/>
    <w:rsid w:val="00751847"/>
    <w:rsid w:val="00751893"/>
    <w:rsid w:val="007519C5"/>
    <w:rsid w:val="00751CF1"/>
    <w:rsid w:val="00752277"/>
    <w:rsid w:val="00752903"/>
    <w:rsid w:val="00752980"/>
    <w:rsid w:val="0075314F"/>
    <w:rsid w:val="007538B9"/>
    <w:rsid w:val="00753B1F"/>
    <w:rsid w:val="007540CA"/>
    <w:rsid w:val="00754510"/>
    <w:rsid w:val="00754674"/>
    <w:rsid w:val="007548BF"/>
    <w:rsid w:val="007549A4"/>
    <w:rsid w:val="00754B6F"/>
    <w:rsid w:val="00754B91"/>
    <w:rsid w:val="00754CDA"/>
    <w:rsid w:val="00754EA8"/>
    <w:rsid w:val="0075516A"/>
    <w:rsid w:val="007554E8"/>
    <w:rsid w:val="00755582"/>
    <w:rsid w:val="007555BB"/>
    <w:rsid w:val="00755777"/>
    <w:rsid w:val="007559CD"/>
    <w:rsid w:val="00755BBA"/>
    <w:rsid w:val="00755FA8"/>
    <w:rsid w:val="00756638"/>
    <w:rsid w:val="007566CE"/>
    <w:rsid w:val="007567BB"/>
    <w:rsid w:val="00756A25"/>
    <w:rsid w:val="00756B00"/>
    <w:rsid w:val="00756E58"/>
    <w:rsid w:val="00756EC2"/>
    <w:rsid w:val="00756F4F"/>
    <w:rsid w:val="00757122"/>
    <w:rsid w:val="0075737C"/>
    <w:rsid w:val="00757456"/>
    <w:rsid w:val="007574F7"/>
    <w:rsid w:val="0075764F"/>
    <w:rsid w:val="00757DF7"/>
    <w:rsid w:val="0076030D"/>
    <w:rsid w:val="0076074D"/>
    <w:rsid w:val="00760B2F"/>
    <w:rsid w:val="00761386"/>
    <w:rsid w:val="00761749"/>
    <w:rsid w:val="00761ADE"/>
    <w:rsid w:val="00761DF9"/>
    <w:rsid w:val="00761ED7"/>
    <w:rsid w:val="00762888"/>
    <w:rsid w:val="00762976"/>
    <w:rsid w:val="00762CA2"/>
    <w:rsid w:val="00762EEE"/>
    <w:rsid w:val="0076310C"/>
    <w:rsid w:val="0076312B"/>
    <w:rsid w:val="00763510"/>
    <w:rsid w:val="00763DE2"/>
    <w:rsid w:val="00763FEE"/>
    <w:rsid w:val="007640E6"/>
    <w:rsid w:val="007640E8"/>
    <w:rsid w:val="0076430F"/>
    <w:rsid w:val="00764410"/>
    <w:rsid w:val="0076447E"/>
    <w:rsid w:val="007645B6"/>
    <w:rsid w:val="0076470A"/>
    <w:rsid w:val="00764710"/>
    <w:rsid w:val="0076478C"/>
    <w:rsid w:val="00764795"/>
    <w:rsid w:val="007648E8"/>
    <w:rsid w:val="00764B26"/>
    <w:rsid w:val="00765068"/>
    <w:rsid w:val="007654A2"/>
    <w:rsid w:val="00765C4F"/>
    <w:rsid w:val="00765ED7"/>
    <w:rsid w:val="00766011"/>
    <w:rsid w:val="00766029"/>
    <w:rsid w:val="0076611E"/>
    <w:rsid w:val="00766169"/>
    <w:rsid w:val="00766189"/>
    <w:rsid w:val="00766552"/>
    <w:rsid w:val="007668E9"/>
    <w:rsid w:val="00766A03"/>
    <w:rsid w:val="00766C38"/>
    <w:rsid w:val="00766D55"/>
    <w:rsid w:val="00766D7D"/>
    <w:rsid w:val="00766D8E"/>
    <w:rsid w:val="007673D5"/>
    <w:rsid w:val="00767A69"/>
    <w:rsid w:val="00767FAE"/>
    <w:rsid w:val="00767FC7"/>
    <w:rsid w:val="007702F7"/>
    <w:rsid w:val="007705FC"/>
    <w:rsid w:val="00770A97"/>
    <w:rsid w:val="007713B9"/>
    <w:rsid w:val="00771533"/>
    <w:rsid w:val="00771970"/>
    <w:rsid w:val="007719C0"/>
    <w:rsid w:val="00771D62"/>
    <w:rsid w:val="00771ED8"/>
    <w:rsid w:val="00771FE1"/>
    <w:rsid w:val="00772784"/>
    <w:rsid w:val="00772986"/>
    <w:rsid w:val="00772C17"/>
    <w:rsid w:val="00772F21"/>
    <w:rsid w:val="00772F7E"/>
    <w:rsid w:val="00772FC4"/>
    <w:rsid w:val="00773173"/>
    <w:rsid w:val="00773385"/>
    <w:rsid w:val="00773575"/>
    <w:rsid w:val="0077391C"/>
    <w:rsid w:val="00773B23"/>
    <w:rsid w:val="00773EE2"/>
    <w:rsid w:val="00774163"/>
    <w:rsid w:val="0077416F"/>
    <w:rsid w:val="00774319"/>
    <w:rsid w:val="007743DC"/>
    <w:rsid w:val="00774409"/>
    <w:rsid w:val="00774681"/>
    <w:rsid w:val="00774789"/>
    <w:rsid w:val="00774819"/>
    <w:rsid w:val="00774A5C"/>
    <w:rsid w:val="0077502E"/>
    <w:rsid w:val="007757C6"/>
    <w:rsid w:val="00775DD5"/>
    <w:rsid w:val="00776305"/>
    <w:rsid w:val="00776640"/>
    <w:rsid w:val="00776BD5"/>
    <w:rsid w:val="00776D9C"/>
    <w:rsid w:val="00777452"/>
    <w:rsid w:val="007776D0"/>
    <w:rsid w:val="00777986"/>
    <w:rsid w:val="00777BBE"/>
    <w:rsid w:val="00777EBF"/>
    <w:rsid w:val="00777F53"/>
    <w:rsid w:val="007800ED"/>
    <w:rsid w:val="0078010C"/>
    <w:rsid w:val="007804FD"/>
    <w:rsid w:val="007808D3"/>
    <w:rsid w:val="00780FB9"/>
    <w:rsid w:val="00781047"/>
    <w:rsid w:val="00781048"/>
    <w:rsid w:val="007810BC"/>
    <w:rsid w:val="007814FF"/>
    <w:rsid w:val="00781609"/>
    <w:rsid w:val="00781722"/>
    <w:rsid w:val="00781A02"/>
    <w:rsid w:val="00782017"/>
    <w:rsid w:val="0078220E"/>
    <w:rsid w:val="0078272E"/>
    <w:rsid w:val="00782776"/>
    <w:rsid w:val="007828A9"/>
    <w:rsid w:val="007837AB"/>
    <w:rsid w:val="007837D4"/>
    <w:rsid w:val="007839CD"/>
    <w:rsid w:val="00783EF1"/>
    <w:rsid w:val="00783FF1"/>
    <w:rsid w:val="0078454C"/>
    <w:rsid w:val="0078472B"/>
    <w:rsid w:val="00784ADB"/>
    <w:rsid w:val="00784F26"/>
    <w:rsid w:val="00784F6C"/>
    <w:rsid w:val="00785165"/>
    <w:rsid w:val="00785608"/>
    <w:rsid w:val="00785943"/>
    <w:rsid w:val="00785AA4"/>
    <w:rsid w:val="00785DB9"/>
    <w:rsid w:val="00786085"/>
    <w:rsid w:val="00786470"/>
    <w:rsid w:val="00786589"/>
    <w:rsid w:val="00786799"/>
    <w:rsid w:val="00786956"/>
    <w:rsid w:val="00786AAD"/>
    <w:rsid w:val="00786FA9"/>
    <w:rsid w:val="00787047"/>
    <w:rsid w:val="007871E8"/>
    <w:rsid w:val="00787206"/>
    <w:rsid w:val="00787210"/>
    <w:rsid w:val="007872A2"/>
    <w:rsid w:val="00787387"/>
    <w:rsid w:val="007877DD"/>
    <w:rsid w:val="0078793B"/>
    <w:rsid w:val="00787D2B"/>
    <w:rsid w:val="00787D37"/>
    <w:rsid w:val="00787DC2"/>
    <w:rsid w:val="00787F20"/>
    <w:rsid w:val="0079030D"/>
    <w:rsid w:val="0079050C"/>
    <w:rsid w:val="00790734"/>
    <w:rsid w:val="007907B4"/>
    <w:rsid w:val="00790DBD"/>
    <w:rsid w:val="007918E8"/>
    <w:rsid w:val="0079220F"/>
    <w:rsid w:val="00792243"/>
    <w:rsid w:val="00792EA3"/>
    <w:rsid w:val="007931A2"/>
    <w:rsid w:val="00793230"/>
    <w:rsid w:val="00793C7D"/>
    <w:rsid w:val="00793D7A"/>
    <w:rsid w:val="007944AC"/>
    <w:rsid w:val="0079486A"/>
    <w:rsid w:val="00794C4A"/>
    <w:rsid w:val="00795145"/>
    <w:rsid w:val="007959DA"/>
    <w:rsid w:val="00795BAC"/>
    <w:rsid w:val="0079607F"/>
    <w:rsid w:val="007960CC"/>
    <w:rsid w:val="00796150"/>
    <w:rsid w:val="00796227"/>
    <w:rsid w:val="007966CF"/>
    <w:rsid w:val="00796721"/>
    <w:rsid w:val="0079698E"/>
    <w:rsid w:val="00796A53"/>
    <w:rsid w:val="00796B77"/>
    <w:rsid w:val="00796CA4"/>
    <w:rsid w:val="00796D99"/>
    <w:rsid w:val="00796FBC"/>
    <w:rsid w:val="00797965"/>
    <w:rsid w:val="00797E3E"/>
    <w:rsid w:val="00797EE5"/>
    <w:rsid w:val="007A030B"/>
    <w:rsid w:val="007A03F5"/>
    <w:rsid w:val="007A0479"/>
    <w:rsid w:val="007A0482"/>
    <w:rsid w:val="007A08C1"/>
    <w:rsid w:val="007A08D4"/>
    <w:rsid w:val="007A11EC"/>
    <w:rsid w:val="007A1315"/>
    <w:rsid w:val="007A1618"/>
    <w:rsid w:val="007A1821"/>
    <w:rsid w:val="007A1849"/>
    <w:rsid w:val="007A1A41"/>
    <w:rsid w:val="007A1C18"/>
    <w:rsid w:val="007A2036"/>
    <w:rsid w:val="007A2115"/>
    <w:rsid w:val="007A271E"/>
    <w:rsid w:val="007A27DB"/>
    <w:rsid w:val="007A2AC2"/>
    <w:rsid w:val="007A2ACE"/>
    <w:rsid w:val="007A2D54"/>
    <w:rsid w:val="007A301E"/>
    <w:rsid w:val="007A3070"/>
    <w:rsid w:val="007A3105"/>
    <w:rsid w:val="007A3B2F"/>
    <w:rsid w:val="007A3D1A"/>
    <w:rsid w:val="007A3D58"/>
    <w:rsid w:val="007A3D66"/>
    <w:rsid w:val="007A3F92"/>
    <w:rsid w:val="007A408A"/>
    <w:rsid w:val="007A40A7"/>
    <w:rsid w:val="007A41E5"/>
    <w:rsid w:val="007A4563"/>
    <w:rsid w:val="007A48A1"/>
    <w:rsid w:val="007A4A2A"/>
    <w:rsid w:val="007A4ACB"/>
    <w:rsid w:val="007A4C5B"/>
    <w:rsid w:val="007A4D26"/>
    <w:rsid w:val="007A4DD3"/>
    <w:rsid w:val="007A4F5B"/>
    <w:rsid w:val="007A50D6"/>
    <w:rsid w:val="007A5886"/>
    <w:rsid w:val="007A617C"/>
    <w:rsid w:val="007A672A"/>
    <w:rsid w:val="007A684C"/>
    <w:rsid w:val="007A6D01"/>
    <w:rsid w:val="007A707F"/>
    <w:rsid w:val="007A7539"/>
    <w:rsid w:val="007A7639"/>
    <w:rsid w:val="007A78BC"/>
    <w:rsid w:val="007A78C7"/>
    <w:rsid w:val="007A7E5D"/>
    <w:rsid w:val="007B037B"/>
    <w:rsid w:val="007B0560"/>
    <w:rsid w:val="007B0E10"/>
    <w:rsid w:val="007B1038"/>
    <w:rsid w:val="007B126E"/>
    <w:rsid w:val="007B12A2"/>
    <w:rsid w:val="007B1828"/>
    <w:rsid w:val="007B1939"/>
    <w:rsid w:val="007B19E6"/>
    <w:rsid w:val="007B1B88"/>
    <w:rsid w:val="007B22CC"/>
    <w:rsid w:val="007B235F"/>
    <w:rsid w:val="007B2680"/>
    <w:rsid w:val="007B293E"/>
    <w:rsid w:val="007B2C3B"/>
    <w:rsid w:val="007B3BD1"/>
    <w:rsid w:val="007B3C19"/>
    <w:rsid w:val="007B3D7D"/>
    <w:rsid w:val="007B3F33"/>
    <w:rsid w:val="007B4124"/>
    <w:rsid w:val="007B465C"/>
    <w:rsid w:val="007B46D5"/>
    <w:rsid w:val="007B4A27"/>
    <w:rsid w:val="007B4C54"/>
    <w:rsid w:val="007B513D"/>
    <w:rsid w:val="007B51F2"/>
    <w:rsid w:val="007B5204"/>
    <w:rsid w:val="007B54D8"/>
    <w:rsid w:val="007B5560"/>
    <w:rsid w:val="007B56D1"/>
    <w:rsid w:val="007B5843"/>
    <w:rsid w:val="007B59A1"/>
    <w:rsid w:val="007B5A01"/>
    <w:rsid w:val="007B5D7F"/>
    <w:rsid w:val="007B60A8"/>
    <w:rsid w:val="007B60F5"/>
    <w:rsid w:val="007B61F0"/>
    <w:rsid w:val="007B684E"/>
    <w:rsid w:val="007B6ABE"/>
    <w:rsid w:val="007B6D06"/>
    <w:rsid w:val="007B712C"/>
    <w:rsid w:val="007B714C"/>
    <w:rsid w:val="007B7235"/>
    <w:rsid w:val="007B7272"/>
    <w:rsid w:val="007B741E"/>
    <w:rsid w:val="007B7499"/>
    <w:rsid w:val="007B7B51"/>
    <w:rsid w:val="007C0081"/>
    <w:rsid w:val="007C0717"/>
    <w:rsid w:val="007C07EF"/>
    <w:rsid w:val="007C0D9B"/>
    <w:rsid w:val="007C0E0A"/>
    <w:rsid w:val="007C110C"/>
    <w:rsid w:val="007C1331"/>
    <w:rsid w:val="007C1AAD"/>
    <w:rsid w:val="007C20CA"/>
    <w:rsid w:val="007C2186"/>
    <w:rsid w:val="007C2266"/>
    <w:rsid w:val="007C252F"/>
    <w:rsid w:val="007C28D6"/>
    <w:rsid w:val="007C298B"/>
    <w:rsid w:val="007C30BA"/>
    <w:rsid w:val="007C30C3"/>
    <w:rsid w:val="007C355A"/>
    <w:rsid w:val="007C3692"/>
    <w:rsid w:val="007C3C4C"/>
    <w:rsid w:val="007C3C8E"/>
    <w:rsid w:val="007C4189"/>
    <w:rsid w:val="007C4BB6"/>
    <w:rsid w:val="007C4E95"/>
    <w:rsid w:val="007C4EA1"/>
    <w:rsid w:val="007C5019"/>
    <w:rsid w:val="007C5793"/>
    <w:rsid w:val="007C5D1C"/>
    <w:rsid w:val="007C5F30"/>
    <w:rsid w:val="007C605B"/>
    <w:rsid w:val="007C6503"/>
    <w:rsid w:val="007C68AA"/>
    <w:rsid w:val="007C7472"/>
    <w:rsid w:val="007C76C2"/>
    <w:rsid w:val="007C775B"/>
    <w:rsid w:val="007C796B"/>
    <w:rsid w:val="007C79B7"/>
    <w:rsid w:val="007C7FA9"/>
    <w:rsid w:val="007D01AB"/>
    <w:rsid w:val="007D01E4"/>
    <w:rsid w:val="007D01F9"/>
    <w:rsid w:val="007D0583"/>
    <w:rsid w:val="007D0B0E"/>
    <w:rsid w:val="007D0B73"/>
    <w:rsid w:val="007D0F65"/>
    <w:rsid w:val="007D10B2"/>
    <w:rsid w:val="007D11ED"/>
    <w:rsid w:val="007D14E7"/>
    <w:rsid w:val="007D1AB8"/>
    <w:rsid w:val="007D1BD0"/>
    <w:rsid w:val="007D1CDC"/>
    <w:rsid w:val="007D1DAC"/>
    <w:rsid w:val="007D1DFC"/>
    <w:rsid w:val="007D235A"/>
    <w:rsid w:val="007D28C5"/>
    <w:rsid w:val="007D297C"/>
    <w:rsid w:val="007D2A74"/>
    <w:rsid w:val="007D2BC7"/>
    <w:rsid w:val="007D2C02"/>
    <w:rsid w:val="007D2DFF"/>
    <w:rsid w:val="007D339E"/>
    <w:rsid w:val="007D34B2"/>
    <w:rsid w:val="007D3729"/>
    <w:rsid w:val="007D3E06"/>
    <w:rsid w:val="007D40AF"/>
    <w:rsid w:val="007D41E4"/>
    <w:rsid w:val="007D4360"/>
    <w:rsid w:val="007D4419"/>
    <w:rsid w:val="007D44A4"/>
    <w:rsid w:val="007D454F"/>
    <w:rsid w:val="007D457D"/>
    <w:rsid w:val="007D4768"/>
    <w:rsid w:val="007D492E"/>
    <w:rsid w:val="007D4D0B"/>
    <w:rsid w:val="007D4DAE"/>
    <w:rsid w:val="007D5476"/>
    <w:rsid w:val="007D5489"/>
    <w:rsid w:val="007D54E5"/>
    <w:rsid w:val="007D5696"/>
    <w:rsid w:val="007D56B0"/>
    <w:rsid w:val="007D56FA"/>
    <w:rsid w:val="007D5E59"/>
    <w:rsid w:val="007D606A"/>
    <w:rsid w:val="007D6656"/>
    <w:rsid w:val="007D6705"/>
    <w:rsid w:val="007D6956"/>
    <w:rsid w:val="007D6DE5"/>
    <w:rsid w:val="007D6EAC"/>
    <w:rsid w:val="007D730B"/>
    <w:rsid w:val="007D752F"/>
    <w:rsid w:val="007D7B84"/>
    <w:rsid w:val="007D7BAD"/>
    <w:rsid w:val="007DB225"/>
    <w:rsid w:val="007E008E"/>
    <w:rsid w:val="007E06F0"/>
    <w:rsid w:val="007E0AAD"/>
    <w:rsid w:val="007E0E8B"/>
    <w:rsid w:val="007E0EF8"/>
    <w:rsid w:val="007E15BE"/>
    <w:rsid w:val="007E1643"/>
    <w:rsid w:val="007E188C"/>
    <w:rsid w:val="007E1CEC"/>
    <w:rsid w:val="007E1DAB"/>
    <w:rsid w:val="007E20EE"/>
    <w:rsid w:val="007E22C9"/>
    <w:rsid w:val="007E22ED"/>
    <w:rsid w:val="007E2569"/>
    <w:rsid w:val="007E278E"/>
    <w:rsid w:val="007E27B7"/>
    <w:rsid w:val="007E288A"/>
    <w:rsid w:val="007E2C19"/>
    <w:rsid w:val="007E2C9F"/>
    <w:rsid w:val="007E3200"/>
    <w:rsid w:val="007E3A35"/>
    <w:rsid w:val="007E3BB9"/>
    <w:rsid w:val="007E405C"/>
    <w:rsid w:val="007E452B"/>
    <w:rsid w:val="007E4CD0"/>
    <w:rsid w:val="007E5068"/>
    <w:rsid w:val="007E547C"/>
    <w:rsid w:val="007E547F"/>
    <w:rsid w:val="007E54B6"/>
    <w:rsid w:val="007E5C54"/>
    <w:rsid w:val="007E6205"/>
    <w:rsid w:val="007E6422"/>
    <w:rsid w:val="007E64BD"/>
    <w:rsid w:val="007E6526"/>
    <w:rsid w:val="007E65E6"/>
    <w:rsid w:val="007E662F"/>
    <w:rsid w:val="007E665D"/>
    <w:rsid w:val="007E674F"/>
    <w:rsid w:val="007E6AB1"/>
    <w:rsid w:val="007E6AF1"/>
    <w:rsid w:val="007E6D2E"/>
    <w:rsid w:val="007E7FF8"/>
    <w:rsid w:val="007F011C"/>
    <w:rsid w:val="007F0205"/>
    <w:rsid w:val="007F0372"/>
    <w:rsid w:val="007F08AE"/>
    <w:rsid w:val="007F08D6"/>
    <w:rsid w:val="007F0B8F"/>
    <w:rsid w:val="007F0E65"/>
    <w:rsid w:val="007F0E69"/>
    <w:rsid w:val="007F0F5F"/>
    <w:rsid w:val="007F10EC"/>
    <w:rsid w:val="007F11C0"/>
    <w:rsid w:val="007F1F72"/>
    <w:rsid w:val="007F24C9"/>
    <w:rsid w:val="007F2514"/>
    <w:rsid w:val="007F26D9"/>
    <w:rsid w:val="007F278C"/>
    <w:rsid w:val="007F2CD3"/>
    <w:rsid w:val="007F2DAE"/>
    <w:rsid w:val="007F3183"/>
    <w:rsid w:val="007F31AF"/>
    <w:rsid w:val="007F31E4"/>
    <w:rsid w:val="007F379C"/>
    <w:rsid w:val="007F3862"/>
    <w:rsid w:val="007F3B47"/>
    <w:rsid w:val="007F4942"/>
    <w:rsid w:val="007F586A"/>
    <w:rsid w:val="007F586C"/>
    <w:rsid w:val="007F5C4A"/>
    <w:rsid w:val="007F5D57"/>
    <w:rsid w:val="007F5F40"/>
    <w:rsid w:val="007F670C"/>
    <w:rsid w:val="007F6764"/>
    <w:rsid w:val="007F6846"/>
    <w:rsid w:val="007F6CCD"/>
    <w:rsid w:val="007F6F66"/>
    <w:rsid w:val="007F733D"/>
    <w:rsid w:val="007F7491"/>
    <w:rsid w:val="007F7613"/>
    <w:rsid w:val="007F76A3"/>
    <w:rsid w:val="007F78DB"/>
    <w:rsid w:val="007F7902"/>
    <w:rsid w:val="007F7B2B"/>
    <w:rsid w:val="007F7F1C"/>
    <w:rsid w:val="007F7F31"/>
    <w:rsid w:val="008007AA"/>
    <w:rsid w:val="00801144"/>
    <w:rsid w:val="008011B5"/>
    <w:rsid w:val="0080126D"/>
    <w:rsid w:val="00801444"/>
    <w:rsid w:val="00801648"/>
    <w:rsid w:val="0080192B"/>
    <w:rsid w:val="00801A47"/>
    <w:rsid w:val="00801E4B"/>
    <w:rsid w:val="00802122"/>
    <w:rsid w:val="008021A4"/>
    <w:rsid w:val="008021E4"/>
    <w:rsid w:val="008023DC"/>
    <w:rsid w:val="0080244F"/>
    <w:rsid w:val="0080279B"/>
    <w:rsid w:val="008027DA"/>
    <w:rsid w:val="00802D30"/>
    <w:rsid w:val="008030AB"/>
    <w:rsid w:val="00803684"/>
    <w:rsid w:val="00803E9E"/>
    <w:rsid w:val="008040B1"/>
    <w:rsid w:val="0080417D"/>
    <w:rsid w:val="008043F7"/>
    <w:rsid w:val="008047DE"/>
    <w:rsid w:val="00804C83"/>
    <w:rsid w:val="00804D12"/>
    <w:rsid w:val="00804F2C"/>
    <w:rsid w:val="00805B57"/>
    <w:rsid w:val="00805BA6"/>
    <w:rsid w:val="00805D69"/>
    <w:rsid w:val="00806276"/>
    <w:rsid w:val="00806A22"/>
    <w:rsid w:val="00806AEB"/>
    <w:rsid w:val="00806C4C"/>
    <w:rsid w:val="00806CC9"/>
    <w:rsid w:val="008072F0"/>
    <w:rsid w:val="00807A1D"/>
    <w:rsid w:val="00807B39"/>
    <w:rsid w:val="00807EF2"/>
    <w:rsid w:val="008101E4"/>
    <w:rsid w:val="008106B8"/>
    <w:rsid w:val="00810992"/>
    <w:rsid w:val="00810C53"/>
    <w:rsid w:val="00810DEA"/>
    <w:rsid w:val="00810EAB"/>
    <w:rsid w:val="00811584"/>
    <w:rsid w:val="008117BD"/>
    <w:rsid w:val="0081191F"/>
    <w:rsid w:val="00811D87"/>
    <w:rsid w:val="00812552"/>
    <w:rsid w:val="00812668"/>
    <w:rsid w:val="008127B4"/>
    <w:rsid w:val="00812972"/>
    <w:rsid w:val="00812B47"/>
    <w:rsid w:val="00812C50"/>
    <w:rsid w:val="0081300E"/>
    <w:rsid w:val="008131CD"/>
    <w:rsid w:val="008133DA"/>
    <w:rsid w:val="00813689"/>
    <w:rsid w:val="008138A2"/>
    <w:rsid w:val="008139D6"/>
    <w:rsid w:val="00813DD9"/>
    <w:rsid w:val="00813E97"/>
    <w:rsid w:val="00813F90"/>
    <w:rsid w:val="00813FE5"/>
    <w:rsid w:val="008143E0"/>
    <w:rsid w:val="008144E9"/>
    <w:rsid w:val="00814D60"/>
    <w:rsid w:val="008152F9"/>
    <w:rsid w:val="008157A7"/>
    <w:rsid w:val="00815800"/>
    <w:rsid w:val="0081583D"/>
    <w:rsid w:val="00815A58"/>
    <w:rsid w:val="00815C68"/>
    <w:rsid w:val="00815D5D"/>
    <w:rsid w:val="00816398"/>
    <w:rsid w:val="00816568"/>
    <w:rsid w:val="00816962"/>
    <w:rsid w:val="0081722F"/>
    <w:rsid w:val="00817335"/>
    <w:rsid w:val="008175E4"/>
    <w:rsid w:val="00817E28"/>
    <w:rsid w:val="00817E3D"/>
    <w:rsid w:val="00820363"/>
    <w:rsid w:val="008209A5"/>
    <w:rsid w:val="00820B3D"/>
    <w:rsid w:val="00820CB4"/>
    <w:rsid w:val="00820D70"/>
    <w:rsid w:val="00820E16"/>
    <w:rsid w:val="008211AF"/>
    <w:rsid w:val="008211F0"/>
    <w:rsid w:val="0082144F"/>
    <w:rsid w:val="00821468"/>
    <w:rsid w:val="008216F1"/>
    <w:rsid w:val="00821C21"/>
    <w:rsid w:val="00821E1F"/>
    <w:rsid w:val="00822CAF"/>
    <w:rsid w:val="00822E3F"/>
    <w:rsid w:val="00823337"/>
    <w:rsid w:val="00823373"/>
    <w:rsid w:val="0082340A"/>
    <w:rsid w:val="0082344B"/>
    <w:rsid w:val="00823D01"/>
    <w:rsid w:val="00824234"/>
    <w:rsid w:val="008244AE"/>
    <w:rsid w:val="008249FC"/>
    <w:rsid w:val="00824A70"/>
    <w:rsid w:val="00824D4A"/>
    <w:rsid w:val="00824E8E"/>
    <w:rsid w:val="0082519D"/>
    <w:rsid w:val="00825214"/>
    <w:rsid w:val="0082567A"/>
    <w:rsid w:val="008260E0"/>
    <w:rsid w:val="0082666E"/>
    <w:rsid w:val="008267AD"/>
    <w:rsid w:val="008272C2"/>
    <w:rsid w:val="00827569"/>
    <w:rsid w:val="0082791B"/>
    <w:rsid w:val="00827974"/>
    <w:rsid w:val="00827AE8"/>
    <w:rsid w:val="00827B8F"/>
    <w:rsid w:val="00827D9A"/>
    <w:rsid w:val="00827F6C"/>
    <w:rsid w:val="0083035D"/>
    <w:rsid w:val="00830763"/>
    <w:rsid w:val="00830969"/>
    <w:rsid w:val="00830B8B"/>
    <w:rsid w:val="00830E24"/>
    <w:rsid w:val="00830E51"/>
    <w:rsid w:val="00830EDD"/>
    <w:rsid w:val="00830F1C"/>
    <w:rsid w:val="00831A25"/>
    <w:rsid w:val="00831D6B"/>
    <w:rsid w:val="00831EFC"/>
    <w:rsid w:val="008323DA"/>
    <w:rsid w:val="00832437"/>
    <w:rsid w:val="0083243B"/>
    <w:rsid w:val="008324D8"/>
    <w:rsid w:val="0083269D"/>
    <w:rsid w:val="00832ADB"/>
    <w:rsid w:val="00832D2F"/>
    <w:rsid w:val="0083333F"/>
    <w:rsid w:val="00833390"/>
    <w:rsid w:val="00833BC1"/>
    <w:rsid w:val="00833D10"/>
    <w:rsid w:val="00833DF8"/>
    <w:rsid w:val="00833E35"/>
    <w:rsid w:val="00833E81"/>
    <w:rsid w:val="00833F0B"/>
    <w:rsid w:val="00833F34"/>
    <w:rsid w:val="0083414A"/>
    <w:rsid w:val="00834240"/>
    <w:rsid w:val="008347B7"/>
    <w:rsid w:val="0083498A"/>
    <w:rsid w:val="00834ABC"/>
    <w:rsid w:val="00834B76"/>
    <w:rsid w:val="00834F5E"/>
    <w:rsid w:val="00835214"/>
    <w:rsid w:val="0083552F"/>
    <w:rsid w:val="00835678"/>
    <w:rsid w:val="00835881"/>
    <w:rsid w:val="00835DB7"/>
    <w:rsid w:val="00835FFA"/>
    <w:rsid w:val="008362C9"/>
    <w:rsid w:val="0083643B"/>
    <w:rsid w:val="00836821"/>
    <w:rsid w:val="00836951"/>
    <w:rsid w:val="00836A6C"/>
    <w:rsid w:val="00836CF3"/>
    <w:rsid w:val="00836EC2"/>
    <w:rsid w:val="008371D7"/>
    <w:rsid w:val="00837323"/>
    <w:rsid w:val="0083777A"/>
    <w:rsid w:val="0083783E"/>
    <w:rsid w:val="0083786B"/>
    <w:rsid w:val="00840116"/>
    <w:rsid w:val="0084018F"/>
    <w:rsid w:val="00840258"/>
    <w:rsid w:val="008404CA"/>
    <w:rsid w:val="008404FD"/>
    <w:rsid w:val="00840B3A"/>
    <w:rsid w:val="00841033"/>
    <w:rsid w:val="00841036"/>
    <w:rsid w:val="0084146C"/>
    <w:rsid w:val="0084150D"/>
    <w:rsid w:val="00841699"/>
    <w:rsid w:val="0084179F"/>
    <w:rsid w:val="00841B3E"/>
    <w:rsid w:val="00841B50"/>
    <w:rsid w:val="00841C0C"/>
    <w:rsid w:val="00841D9C"/>
    <w:rsid w:val="00841FE0"/>
    <w:rsid w:val="008422D3"/>
    <w:rsid w:val="008423AF"/>
    <w:rsid w:val="00842AAC"/>
    <w:rsid w:val="008438F3"/>
    <w:rsid w:val="00843911"/>
    <w:rsid w:val="00843E3F"/>
    <w:rsid w:val="00844117"/>
    <w:rsid w:val="00844251"/>
    <w:rsid w:val="0084463F"/>
    <w:rsid w:val="00844881"/>
    <w:rsid w:val="00844891"/>
    <w:rsid w:val="0084494B"/>
    <w:rsid w:val="00844F78"/>
    <w:rsid w:val="00845291"/>
    <w:rsid w:val="00845C9B"/>
    <w:rsid w:val="00845D07"/>
    <w:rsid w:val="00845E4E"/>
    <w:rsid w:val="00845F99"/>
    <w:rsid w:val="008461C1"/>
    <w:rsid w:val="00846289"/>
    <w:rsid w:val="00846623"/>
    <w:rsid w:val="008467C4"/>
    <w:rsid w:val="00846DE0"/>
    <w:rsid w:val="00846FBD"/>
    <w:rsid w:val="00847017"/>
    <w:rsid w:val="008470C1"/>
    <w:rsid w:val="00847293"/>
    <w:rsid w:val="008473A4"/>
    <w:rsid w:val="0084761B"/>
    <w:rsid w:val="008476B4"/>
    <w:rsid w:val="0084789B"/>
    <w:rsid w:val="00847E66"/>
    <w:rsid w:val="00847EBA"/>
    <w:rsid w:val="00850222"/>
    <w:rsid w:val="0085028D"/>
    <w:rsid w:val="00850348"/>
    <w:rsid w:val="00850632"/>
    <w:rsid w:val="008508AB"/>
    <w:rsid w:val="008509A1"/>
    <w:rsid w:val="00850D5F"/>
    <w:rsid w:val="0085104C"/>
    <w:rsid w:val="0085108F"/>
    <w:rsid w:val="0085109B"/>
    <w:rsid w:val="00851654"/>
    <w:rsid w:val="008516D9"/>
    <w:rsid w:val="0085181F"/>
    <w:rsid w:val="008518FB"/>
    <w:rsid w:val="00852092"/>
    <w:rsid w:val="008520DE"/>
    <w:rsid w:val="008520F2"/>
    <w:rsid w:val="0085211F"/>
    <w:rsid w:val="008521D8"/>
    <w:rsid w:val="0085262F"/>
    <w:rsid w:val="00852A68"/>
    <w:rsid w:val="00852C78"/>
    <w:rsid w:val="00852DE6"/>
    <w:rsid w:val="00852E7E"/>
    <w:rsid w:val="008531CF"/>
    <w:rsid w:val="0085342A"/>
    <w:rsid w:val="00853681"/>
    <w:rsid w:val="0085368D"/>
    <w:rsid w:val="00853D22"/>
    <w:rsid w:val="00854335"/>
    <w:rsid w:val="0085477F"/>
    <w:rsid w:val="0085486E"/>
    <w:rsid w:val="00854E7F"/>
    <w:rsid w:val="008551E1"/>
    <w:rsid w:val="008555CA"/>
    <w:rsid w:val="00855828"/>
    <w:rsid w:val="00855E76"/>
    <w:rsid w:val="00855EC2"/>
    <w:rsid w:val="00856487"/>
    <w:rsid w:val="008564B7"/>
    <w:rsid w:val="00856AA3"/>
    <w:rsid w:val="00856F7D"/>
    <w:rsid w:val="0085725C"/>
    <w:rsid w:val="0085741D"/>
    <w:rsid w:val="008578D1"/>
    <w:rsid w:val="0085793D"/>
    <w:rsid w:val="008579FE"/>
    <w:rsid w:val="00857B52"/>
    <w:rsid w:val="00857C89"/>
    <w:rsid w:val="00857E2D"/>
    <w:rsid w:val="00860077"/>
    <w:rsid w:val="00860738"/>
    <w:rsid w:val="00860770"/>
    <w:rsid w:val="008608B8"/>
    <w:rsid w:val="00860E1E"/>
    <w:rsid w:val="0086116B"/>
    <w:rsid w:val="008612AE"/>
    <w:rsid w:val="008614E3"/>
    <w:rsid w:val="0086187D"/>
    <w:rsid w:val="00861BF5"/>
    <w:rsid w:val="00861C6B"/>
    <w:rsid w:val="00862035"/>
    <w:rsid w:val="008624A2"/>
    <w:rsid w:val="00862745"/>
    <w:rsid w:val="0086288C"/>
    <w:rsid w:val="00862ED4"/>
    <w:rsid w:val="00862F4D"/>
    <w:rsid w:val="008630E6"/>
    <w:rsid w:val="008631B5"/>
    <w:rsid w:val="008632A1"/>
    <w:rsid w:val="0086351D"/>
    <w:rsid w:val="008636A1"/>
    <w:rsid w:val="0086387D"/>
    <w:rsid w:val="00863882"/>
    <w:rsid w:val="00863B80"/>
    <w:rsid w:val="00863DDF"/>
    <w:rsid w:val="0086400E"/>
    <w:rsid w:val="008641CD"/>
    <w:rsid w:val="0086445E"/>
    <w:rsid w:val="008648AE"/>
    <w:rsid w:val="00864F36"/>
    <w:rsid w:val="00864FF3"/>
    <w:rsid w:val="008653B1"/>
    <w:rsid w:val="00865475"/>
    <w:rsid w:val="0086548D"/>
    <w:rsid w:val="008656EF"/>
    <w:rsid w:val="00865C89"/>
    <w:rsid w:val="00866557"/>
    <w:rsid w:val="00866F85"/>
    <w:rsid w:val="008672E1"/>
    <w:rsid w:val="00867400"/>
    <w:rsid w:val="008674EA"/>
    <w:rsid w:val="00867626"/>
    <w:rsid w:val="008677D1"/>
    <w:rsid w:val="00867ADA"/>
    <w:rsid w:val="00867BAC"/>
    <w:rsid w:val="00867D57"/>
    <w:rsid w:val="00867E52"/>
    <w:rsid w:val="008706EA"/>
    <w:rsid w:val="00870736"/>
    <w:rsid w:val="00870920"/>
    <w:rsid w:val="00870C27"/>
    <w:rsid w:val="00870CAD"/>
    <w:rsid w:val="00870E73"/>
    <w:rsid w:val="008710F7"/>
    <w:rsid w:val="00871889"/>
    <w:rsid w:val="00871FC9"/>
    <w:rsid w:val="0087259C"/>
    <w:rsid w:val="00872B11"/>
    <w:rsid w:val="00872EA4"/>
    <w:rsid w:val="0087332D"/>
    <w:rsid w:val="00873FBD"/>
    <w:rsid w:val="008742B6"/>
    <w:rsid w:val="00874305"/>
    <w:rsid w:val="0087440F"/>
    <w:rsid w:val="00874482"/>
    <w:rsid w:val="0087459A"/>
    <w:rsid w:val="008745E1"/>
    <w:rsid w:val="008747B7"/>
    <w:rsid w:val="00874874"/>
    <w:rsid w:val="00874D95"/>
    <w:rsid w:val="00875276"/>
    <w:rsid w:val="00875278"/>
    <w:rsid w:val="008753A5"/>
    <w:rsid w:val="008757B4"/>
    <w:rsid w:val="00875979"/>
    <w:rsid w:val="008759C5"/>
    <w:rsid w:val="00875D26"/>
    <w:rsid w:val="00875DEA"/>
    <w:rsid w:val="00875E8C"/>
    <w:rsid w:val="00876099"/>
    <w:rsid w:val="008761A1"/>
    <w:rsid w:val="008762DC"/>
    <w:rsid w:val="00876458"/>
    <w:rsid w:val="008765F1"/>
    <w:rsid w:val="00876AD2"/>
    <w:rsid w:val="008778D5"/>
    <w:rsid w:val="008779FA"/>
    <w:rsid w:val="00877D17"/>
    <w:rsid w:val="00877DD2"/>
    <w:rsid w:val="00880821"/>
    <w:rsid w:val="008809CC"/>
    <w:rsid w:val="00880A80"/>
    <w:rsid w:val="00880BBD"/>
    <w:rsid w:val="00880BDB"/>
    <w:rsid w:val="00880D6A"/>
    <w:rsid w:val="00880E04"/>
    <w:rsid w:val="00880E39"/>
    <w:rsid w:val="0088135D"/>
    <w:rsid w:val="00881730"/>
    <w:rsid w:val="00881765"/>
    <w:rsid w:val="00881DFA"/>
    <w:rsid w:val="00881E3C"/>
    <w:rsid w:val="00881E4C"/>
    <w:rsid w:val="00881FA1"/>
    <w:rsid w:val="008820A5"/>
    <w:rsid w:val="00882210"/>
    <w:rsid w:val="008827C4"/>
    <w:rsid w:val="008828D9"/>
    <w:rsid w:val="00882CA1"/>
    <w:rsid w:val="00882E7D"/>
    <w:rsid w:val="00882FFC"/>
    <w:rsid w:val="00883129"/>
    <w:rsid w:val="0088326D"/>
    <w:rsid w:val="008834B3"/>
    <w:rsid w:val="0088376A"/>
    <w:rsid w:val="00883BB4"/>
    <w:rsid w:val="0088411C"/>
    <w:rsid w:val="00884130"/>
    <w:rsid w:val="00884464"/>
    <w:rsid w:val="008844B3"/>
    <w:rsid w:val="008844E1"/>
    <w:rsid w:val="0088452C"/>
    <w:rsid w:val="0088464A"/>
    <w:rsid w:val="0088480E"/>
    <w:rsid w:val="00884A43"/>
    <w:rsid w:val="00884CD3"/>
    <w:rsid w:val="00884F45"/>
    <w:rsid w:val="00885D73"/>
    <w:rsid w:val="00885E8F"/>
    <w:rsid w:val="00885FB3"/>
    <w:rsid w:val="008861C6"/>
    <w:rsid w:val="00886373"/>
    <w:rsid w:val="008865C0"/>
    <w:rsid w:val="00886890"/>
    <w:rsid w:val="00886987"/>
    <w:rsid w:val="0088753F"/>
    <w:rsid w:val="008875F6"/>
    <w:rsid w:val="0088783D"/>
    <w:rsid w:val="00887B17"/>
    <w:rsid w:val="00887E6C"/>
    <w:rsid w:val="00887F32"/>
    <w:rsid w:val="008903B3"/>
    <w:rsid w:val="00890908"/>
    <w:rsid w:val="00890DA9"/>
    <w:rsid w:val="008912AD"/>
    <w:rsid w:val="00891408"/>
    <w:rsid w:val="0089173B"/>
    <w:rsid w:val="008917E8"/>
    <w:rsid w:val="008918D8"/>
    <w:rsid w:val="00891A3E"/>
    <w:rsid w:val="00891B35"/>
    <w:rsid w:val="00891B8B"/>
    <w:rsid w:val="00891E57"/>
    <w:rsid w:val="00892140"/>
    <w:rsid w:val="008922A2"/>
    <w:rsid w:val="00892660"/>
    <w:rsid w:val="00892694"/>
    <w:rsid w:val="00892AB0"/>
    <w:rsid w:val="00892B05"/>
    <w:rsid w:val="00892E6B"/>
    <w:rsid w:val="008931F1"/>
    <w:rsid w:val="00893AF3"/>
    <w:rsid w:val="00893D15"/>
    <w:rsid w:val="008941E1"/>
    <w:rsid w:val="00894638"/>
    <w:rsid w:val="00894849"/>
    <w:rsid w:val="00894F8B"/>
    <w:rsid w:val="0089509A"/>
    <w:rsid w:val="0089568A"/>
    <w:rsid w:val="008957A6"/>
    <w:rsid w:val="0089588A"/>
    <w:rsid w:val="00895C5A"/>
    <w:rsid w:val="00895EDA"/>
    <w:rsid w:val="00895F6C"/>
    <w:rsid w:val="00896088"/>
    <w:rsid w:val="00896197"/>
    <w:rsid w:val="008963A7"/>
    <w:rsid w:val="00896612"/>
    <w:rsid w:val="00896705"/>
    <w:rsid w:val="00896948"/>
    <w:rsid w:val="00896BBD"/>
    <w:rsid w:val="00896E61"/>
    <w:rsid w:val="0089708E"/>
    <w:rsid w:val="00897515"/>
    <w:rsid w:val="00897682"/>
    <w:rsid w:val="008A015E"/>
    <w:rsid w:val="008A0208"/>
    <w:rsid w:val="008A03BD"/>
    <w:rsid w:val="008A04FB"/>
    <w:rsid w:val="008A066A"/>
    <w:rsid w:val="008A0877"/>
    <w:rsid w:val="008A0BA7"/>
    <w:rsid w:val="008A0D08"/>
    <w:rsid w:val="008A0F72"/>
    <w:rsid w:val="008A10E3"/>
    <w:rsid w:val="008A1546"/>
    <w:rsid w:val="008A1608"/>
    <w:rsid w:val="008A16BB"/>
    <w:rsid w:val="008A1875"/>
    <w:rsid w:val="008A1B75"/>
    <w:rsid w:val="008A1BE4"/>
    <w:rsid w:val="008A1C91"/>
    <w:rsid w:val="008A1D23"/>
    <w:rsid w:val="008A1D3F"/>
    <w:rsid w:val="008A1F90"/>
    <w:rsid w:val="008A220B"/>
    <w:rsid w:val="008A232F"/>
    <w:rsid w:val="008A25CD"/>
    <w:rsid w:val="008A28B7"/>
    <w:rsid w:val="008A2A8E"/>
    <w:rsid w:val="008A2EAF"/>
    <w:rsid w:val="008A32E7"/>
    <w:rsid w:val="008A385D"/>
    <w:rsid w:val="008A3A6A"/>
    <w:rsid w:val="008A3D54"/>
    <w:rsid w:val="008A40F4"/>
    <w:rsid w:val="008A47D1"/>
    <w:rsid w:val="008A4859"/>
    <w:rsid w:val="008A4984"/>
    <w:rsid w:val="008A4E67"/>
    <w:rsid w:val="008A5024"/>
    <w:rsid w:val="008A50A0"/>
    <w:rsid w:val="008A5411"/>
    <w:rsid w:val="008A552A"/>
    <w:rsid w:val="008A5602"/>
    <w:rsid w:val="008A56A9"/>
    <w:rsid w:val="008A5B15"/>
    <w:rsid w:val="008A5B72"/>
    <w:rsid w:val="008A5B9D"/>
    <w:rsid w:val="008A6011"/>
    <w:rsid w:val="008A648C"/>
    <w:rsid w:val="008A69D0"/>
    <w:rsid w:val="008A6A57"/>
    <w:rsid w:val="008A6ADB"/>
    <w:rsid w:val="008A74E3"/>
    <w:rsid w:val="008A75EB"/>
    <w:rsid w:val="008A777A"/>
    <w:rsid w:val="008A7B76"/>
    <w:rsid w:val="008A7BC0"/>
    <w:rsid w:val="008B0068"/>
    <w:rsid w:val="008B0150"/>
    <w:rsid w:val="008B072B"/>
    <w:rsid w:val="008B0A1F"/>
    <w:rsid w:val="008B0D4F"/>
    <w:rsid w:val="008B120E"/>
    <w:rsid w:val="008B1381"/>
    <w:rsid w:val="008B14BE"/>
    <w:rsid w:val="008B1B12"/>
    <w:rsid w:val="008B1C86"/>
    <w:rsid w:val="008B2820"/>
    <w:rsid w:val="008B282B"/>
    <w:rsid w:val="008B3039"/>
    <w:rsid w:val="008B3330"/>
    <w:rsid w:val="008B37B7"/>
    <w:rsid w:val="008B3812"/>
    <w:rsid w:val="008B39BD"/>
    <w:rsid w:val="008B3D7C"/>
    <w:rsid w:val="008B4111"/>
    <w:rsid w:val="008B4905"/>
    <w:rsid w:val="008B4A34"/>
    <w:rsid w:val="008B4D84"/>
    <w:rsid w:val="008B5488"/>
    <w:rsid w:val="008B553A"/>
    <w:rsid w:val="008B58C4"/>
    <w:rsid w:val="008B59BE"/>
    <w:rsid w:val="008B5A1A"/>
    <w:rsid w:val="008B5BAE"/>
    <w:rsid w:val="008B5BC2"/>
    <w:rsid w:val="008B5BD6"/>
    <w:rsid w:val="008B5C58"/>
    <w:rsid w:val="008B5C5F"/>
    <w:rsid w:val="008B5CA3"/>
    <w:rsid w:val="008B5E42"/>
    <w:rsid w:val="008B5FBB"/>
    <w:rsid w:val="008B6135"/>
    <w:rsid w:val="008B613C"/>
    <w:rsid w:val="008B62CC"/>
    <w:rsid w:val="008B63A7"/>
    <w:rsid w:val="008B66CA"/>
    <w:rsid w:val="008B67B1"/>
    <w:rsid w:val="008B6D06"/>
    <w:rsid w:val="008B6D27"/>
    <w:rsid w:val="008B6E64"/>
    <w:rsid w:val="008B70D8"/>
    <w:rsid w:val="008B70E3"/>
    <w:rsid w:val="008B750C"/>
    <w:rsid w:val="008B77C6"/>
    <w:rsid w:val="008B7ED9"/>
    <w:rsid w:val="008C000F"/>
    <w:rsid w:val="008C049A"/>
    <w:rsid w:val="008C060C"/>
    <w:rsid w:val="008C09AA"/>
    <w:rsid w:val="008C0A8B"/>
    <w:rsid w:val="008C11CA"/>
    <w:rsid w:val="008C13E1"/>
    <w:rsid w:val="008C1512"/>
    <w:rsid w:val="008C17FD"/>
    <w:rsid w:val="008C184D"/>
    <w:rsid w:val="008C1897"/>
    <w:rsid w:val="008C1916"/>
    <w:rsid w:val="008C19B1"/>
    <w:rsid w:val="008C1D5F"/>
    <w:rsid w:val="008C1DF5"/>
    <w:rsid w:val="008C1F1E"/>
    <w:rsid w:val="008C2757"/>
    <w:rsid w:val="008C29D9"/>
    <w:rsid w:val="008C2AA1"/>
    <w:rsid w:val="008C2F61"/>
    <w:rsid w:val="008C3648"/>
    <w:rsid w:val="008C370A"/>
    <w:rsid w:val="008C372A"/>
    <w:rsid w:val="008C3BEF"/>
    <w:rsid w:val="008C43D1"/>
    <w:rsid w:val="008C48FD"/>
    <w:rsid w:val="008C4DE9"/>
    <w:rsid w:val="008C51A9"/>
    <w:rsid w:val="008C52DA"/>
    <w:rsid w:val="008C57CE"/>
    <w:rsid w:val="008C5819"/>
    <w:rsid w:val="008C5AF9"/>
    <w:rsid w:val="008C5CBB"/>
    <w:rsid w:val="008C60DB"/>
    <w:rsid w:val="008C67AD"/>
    <w:rsid w:val="008C6884"/>
    <w:rsid w:val="008C6B5E"/>
    <w:rsid w:val="008C718A"/>
    <w:rsid w:val="008C7277"/>
    <w:rsid w:val="008C73D4"/>
    <w:rsid w:val="008C73D7"/>
    <w:rsid w:val="008C7716"/>
    <w:rsid w:val="008C7898"/>
    <w:rsid w:val="008C7AE8"/>
    <w:rsid w:val="008C7C43"/>
    <w:rsid w:val="008C7C86"/>
    <w:rsid w:val="008D00CC"/>
    <w:rsid w:val="008D021D"/>
    <w:rsid w:val="008D042C"/>
    <w:rsid w:val="008D04BA"/>
    <w:rsid w:val="008D0B60"/>
    <w:rsid w:val="008D11AD"/>
    <w:rsid w:val="008D19D7"/>
    <w:rsid w:val="008D1E2D"/>
    <w:rsid w:val="008D22BC"/>
    <w:rsid w:val="008D25DF"/>
    <w:rsid w:val="008D281A"/>
    <w:rsid w:val="008D3BFE"/>
    <w:rsid w:val="008D42CC"/>
    <w:rsid w:val="008D4493"/>
    <w:rsid w:val="008D462F"/>
    <w:rsid w:val="008D47EB"/>
    <w:rsid w:val="008D4A19"/>
    <w:rsid w:val="008D50BF"/>
    <w:rsid w:val="008D54E7"/>
    <w:rsid w:val="008D589E"/>
    <w:rsid w:val="008D5EE8"/>
    <w:rsid w:val="008D6171"/>
    <w:rsid w:val="008D62F6"/>
    <w:rsid w:val="008D6911"/>
    <w:rsid w:val="008D6DA0"/>
    <w:rsid w:val="008D6E48"/>
    <w:rsid w:val="008D6E82"/>
    <w:rsid w:val="008D6F4A"/>
    <w:rsid w:val="008D7016"/>
    <w:rsid w:val="008D7253"/>
    <w:rsid w:val="008D7E3B"/>
    <w:rsid w:val="008E0207"/>
    <w:rsid w:val="008E033A"/>
    <w:rsid w:val="008E0856"/>
    <w:rsid w:val="008E0BCC"/>
    <w:rsid w:val="008E109F"/>
    <w:rsid w:val="008E15B4"/>
    <w:rsid w:val="008E1B7B"/>
    <w:rsid w:val="008E1FEB"/>
    <w:rsid w:val="008E1FFB"/>
    <w:rsid w:val="008E2055"/>
    <w:rsid w:val="008E2167"/>
    <w:rsid w:val="008E2AAF"/>
    <w:rsid w:val="008E2CB8"/>
    <w:rsid w:val="008E2E24"/>
    <w:rsid w:val="008E2FE6"/>
    <w:rsid w:val="008E3131"/>
    <w:rsid w:val="008E33B2"/>
    <w:rsid w:val="008E3907"/>
    <w:rsid w:val="008E39A9"/>
    <w:rsid w:val="008E3A82"/>
    <w:rsid w:val="008E3B4B"/>
    <w:rsid w:val="008E3C62"/>
    <w:rsid w:val="008E3D4C"/>
    <w:rsid w:val="008E40B6"/>
    <w:rsid w:val="008E4850"/>
    <w:rsid w:val="008E4A48"/>
    <w:rsid w:val="008E4B69"/>
    <w:rsid w:val="008E4E38"/>
    <w:rsid w:val="008E53B7"/>
    <w:rsid w:val="008E545E"/>
    <w:rsid w:val="008E5E55"/>
    <w:rsid w:val="008E5F66"/>
    <w:rsid w:val="008E625C"/>
    <w:rsid w:val="008E62C8"/>
    <w:rsid w:val="008E64AF"/>
    <w:rsid w:val="008E679E"/>
    <w:rsid w:val="008E68E3"/>
    <w:rsid w:val="008E6EA9"/>
    <w:rsid w:val="008E6F45"/>
    <w:rsid w:val="008E7327"/>
    <w:rsid w:val="008E776E"/>
    <w:rsid w:val="008E7BF0"/>
    <w:rsid w:val="008E7D07"/>
    <w:rsid w:val="008E7D18"/>
    <w:rsid w:val="008E7DCF"/>
    <w:rsid w:val="008E7FC0"/>
    <w:rsid w:val="008F015C"/>
    <w:rsid w:val="008F055F"/>
    <w:rsid w:val="008F05B3"/>
    <w:rsid w:val="008F08BE"/>
    <w:rsid w:val="008F1333"/>
    <w:rsid w:val="008F1822"/>
    <w:rsid w:val="008F195C"/>
    <w:rsid w:val="008F1C20"/>
    <w:rsid w:val="008F1D5B"/>
    <w:rsid w:val="008F226C"/>
    <w:rsid w:val="008F288F"/>
    <w:rsid w:val="008F2B69"/>
    <w:rsid w:val="008F2C67"/>
    <w:rsid w:val="008F2CFE"/>
    <w:rsid w:val="008F2D23"/>
    <w:rsid w:val="008F2ED3"/>
    <w:rsid w:val="008F315D"/>
    <w:rsid w:val="008F3810"/>
    <w:rsid w:val="008F3826"/>
    <w:rsid w:val="008F3FD2"/>
    <w:rsid w:val="008F440D"/>
    <w:rsid w:val="008F493D"/>
    <w:rsid w:val="008F4AE0"/>
    <w:rsid w:val="008F503D"/>
    <w:rsid w:val="008F53F5"/>
    <w:rsid w:val="008F5EA7"/>
    <w:rsid w:val="008F608C"/>
    <w:rsid w:val="008F611F"/>
    <w:rsid w:val="008F61D6"/>
    <w:rsid w:val="008F63FA"/>
    <w:rsid w:val="008F65A1"/>
    <w:rsid w:val="008F662C"/>
    <w:rsid w:val="008F67EB"/>
    <w:rsid w:val="008F6DE9"/>
    <w:rsid w:val="008F6E62"/>
    <w:rsid w:val="008F6F8B"/>
    <w:rsid w:val="008F75A0"/>
    <w:rsid w:val="008F75C7"/>
    <w:rsid w:val="008F776D"/>
    <w:rsid w:val="008F7A27"/>
    <w:rsid w:val="008F7C35"/>
    <w:rsid w:val="008F7CBB"/>
    <w:rsid w:val="009003A9"/>
    <w:rsid w:val="009003FF"/>
    <w:rsid w:val="00900407"/>
    <w:rsid w:val="00900C39"/>
    <w:rsid w:val="00900D7B"/>
    <w:rsid w:val="00900FFD"/>
    <w:rsid w:val="00901096"/>
    <w:rsid w:val="0090127A"/>
    <w:rsid w:val="00901BB1"/>
    <w:rsid w:val="00901C0F"/>
    <w:rsid w:val="00901D6A"/>
    <w:rsid w:val="009023D5"/>
    <w:rsid w:val="009028B9"/>
    <w:rsid w:val="00902B3F"/>
    <w:rsid w:val="00902D3B"/>
    <w:rsid w:val="00902DE1"/>
    <w:rsid w:val="00903100"/>
    <w:rsid w:val="009032FA"/>
    <w:rsid w:val="00903590"/>
    <w:rsid w:val="009035AB"/>
    <w:rsid w:val="009037F8"/>
    <w:rsid w:val="00903892"/>
    <w:rsid w:val="00903946"/>
    <w:rsid w:val="00903B96"/>
    <w:rsid w:val="00903F45"/>
    <w:rsid w:val="00904018"/>
    <w:rsid w:val="009041FB"/>
    <w:rsid w:val="009042B7"/>
    <w:rsid w:val="00904398"/>
    <w:rsid w:val="00904695"/>
    <w:rsid w:val="00904782"/>
    <w:rsid w:val="00904A25"/>
    <w:rsid w:val="00904AF5"/>
    <w:rsid w:val="00904E5C"/>
    <w:rsid w:val="00905391"/>
    <w:rsid w:val="009056B6"/>
    <w:rsid w:val="009057DA"/>
    <w:rsid w:val="00905940"/>
    <w:rsid w:val="00905D13"/>
    <w:rsid w:val="00905E5D"/>
    <w:rsid w:val="00906054"/>
    <w:rsid w:val="009063E9"/>
    <w:rsid w:val="00906459"/>
    <w:rsid w:val="00906704"/>
    <w:rsid w:val="00906A45"/>
    <w:rsid w:val="00906BFF"/>
    <w:rsid w:val="009070C1"/>
    <w:rsid w:val="009074D4"/>
    <w:rsid w:val="00907BDD"/>
    <w:rsid w:val="009100B6"/>
    <w:rsid w:val="009100BB"/>
    <w:rsid w:val="0091021D"/>
    <w:rsid w:val="0091028D"/>
    <w:rsid w:val="009105A5"/>
    <w:rsid w:val="00910A08"/>
    <w:rsid w:val="00910B7A"/>
    <w:rsid w:val="00910C61"/>
    <w:rsid w:val="00910F20"/>
    <w:rsid w:val="00910F5E"/>
    <w:rsid w:val="00911227"/>
    <w:rsid w:val="009114E3"/>
    <w:rsid w:val="009116F0"/>
    <w:rsid w:val="00911C24"/>
    <w:rsid w:val="009120CF"/>
    <w:rsid w:val="00912A00"/>
    <w:rsid w:val="00912ADA"/>
    <w:rsid w:val="00912B77"/>
    <w:rsid w:val="00912DDD"/>
    <w:rsid w:val="009132E1"/>
    <w:rsid w:val="0091342B"/>
    <w:rsid w:val="00913470"/>
    <w:rsid w:val="00913981"/>
    <w:rsid w:val="00913D2B"/>
    <w:rsid w:val="00913E7B"/>
    <w:rsid w:val="00913FE5"/>
    <w:rsid w:val="00913FFF"/>
    <w:rsid w:val="00914013"/>
    <w:rsid w:val="00914792"/>
    <w:rsid w:val="009147C8"/>
    <w:rsid w:val="00914AB2"/>
    <w:rsid w:val="00914B41"/>
    <w:rsid w:val="00914B73"/>
    <w:rsid w:val="00914CC3"/>
    <w:rsid w:val="009152FC"/>
    <w:rsid w:val="00915690"/>
    <w:rsid w:val="009156A6"/>
    <w:rsid w:val="00915861"/>
    <w:rsid w:val="00915E6B"/>
    <w:rsid w:val="00915F88"/>
    <w:rsid w:val="00916014"/>
    <w:rsid w:val="0091617B"/>
    <w:rsid w:val="00916362"/>
    <w:rsid w:val="009165A3"/>
    <w:rsid w:val="00916D4D"/>
    <w:rsid w:val="00916D94"/>
    <w:rsid w:val="009170C5"/>
    <w:rsid w:val="0091777D"/>
    <w:rsid w:val="009179C3"/>
    <w:rsid w:val="009179C9"/>
    <w:rsid w:val="00917DB4"/>
    <w:rsid w:val="00917FBF"/>
    <w:rsid w:val="00920274"/>
    <w:rsid w:val="00920449"/>
    <w:rsid w:val="00920461"/>
    <w:rsid w:val="00920767"/>
    <w:rsid w:val="00920826"/>
    <w:rsid w:val="00920CC5"/>
    <w:rsid w:val="00920DAF"/>
    <w:rsid w:val="009210A8"/>
    <w:rsid w:val="009218E9"/>
    <w:rsid w:val="0092191A"/>
    <w:rsid w:val="009219C2"/>
    <w:rsid w:val="00921B61"/>
    <w:rsid w:val="00921B9F"/>
    <w:rsid w:val="00921D68"/>
    <w:rsid w:val="00921E50"/>
    <w:rsid w:val="00922173"/>
    <w:rsid w:val="009222E3"/>
    <w:rsid w:val="00922499"/>
    <w:rsid w:val="009224F0"/>
    <w:rsid w:val="00922501"/>
    <w:rsid w:val="009229ED"/>
    <w:rsid w:val="00922DB5"/>
    <w:rsid w:val="00922FAF"/>
    <w:rsid w:val="009231DE"/>
    <w:rsid w:val="0092365E"/>
    <w:rsid w:val="0092369E"/>
    <w:rsid w:val="00923E97"/>
    <w:rsid w:val="00923F61"/>
    <w:rsid w:val="0092407B"/>
    <w:rsid w:val="00924139"/>
    <w:rsid w:val="00924357"/>
    <w:rsid w:val="0092436F"/>
    <w:rsid w:val="009243E5"/>
    <w:rsid w:val="0092456F"/>
    <w:rsid w:val="0092496E"/>
    <w:rsid w:val="00924D64"/>
    <w:rsid w:val="009255F0"/>
    <w:rsid w:val="009256AA"/>
    <w:rsid w:val="00925AEA"/>
    <w:rsid w:val="00925C9A"/>
    <w:rsid w:val="00925FF4"/>
    <w:rsid w:val="0092612D"/>
    <w:rsid w:val="00926D34"/>
    <w:rsid w:val="00926F31"/>
    <w:rsid w:val="0092711B"/>
    <w:rsid w:val="00927334"/>
    <w:rsid w:val="009277E2"/>
    <w:rsid w:val="0092796B"/>
    <w:rsid w:val="00927BF8"/>
    <w:rsid w:val="00927E60"/>
    <w:rsid w:val="00930017"/>
    <w:rsid w:val="00930183"/>
    <w:rsid w:val="00930197"/>
    <w:rsid w:val="009301E0"/>
    <w:rsid w:val="009301FA"/>
    <w:rsid w:val="00930221"/>
    <w:rsid w:val="009307F1"/>
    <w:rsid w:val="00930950"/>
    <w:rsid w:val="00930990"/>
    <w:rsid w:val="00930D9C"/>
    <w:rsid w:val="00931242"/>
    <w:rsid w:val="009313A0"/>
    <w:rsid w:val="009313D7"/>
    <w:rsid w:val="00931446"/>
    <w:rsid w:val="00931878"/>
    <w:rsid w:val="009322F7"/>
    <w:rsid w:val="00932A21"/>
    <w:rsid w:val="00932AD8"/>
    <w:rsid w:val="00932B47"/>
    <w:rsid w:val="00932B72"/>
    <w:rsid w:val="00932CAE"/>
    <w:rsid w:val="00932F82"/>
    <w:rsid w:val="00932FB6"/>
    <w:rsid w:val="0093356B"/>
    <w:rsid w:val="0093394C"/>
    <w:rsid w:val="00933D19"/>
    <w:rsid w:val="00933DD6"/>
    <w:rsid w:val="00933E77"/>
    <w:rsid w:val="00933F02"/>
    <w:rsid w:val="00934374"/>
    <w:rsid w:val="009344F3"/>
    <w:rsid w:val="00934B45"/>
    <w:rsid w:val="00934BC9"/>
    <w:rsid w:val="00934F15"/>
    <w:rsid w:val="009351BF"/>
    <w:rsid w:val="009352FD"/>
    <w:rsid w:val="0093557A"/>
    <w:rsid w:val="00935A89"/>
    <w:rsid w:val="00935AA9"/>
    <w:rsid w:val="00935B2B"/>
    <w:rsid w:val="00935D6E"/>
    <w:rsid w:val="00936162"/>
    <w:rsid w:val="009366BB"/>
    <w:rsid w:val="00936B61"/>
    <w:rsid w:val="00936E24"/>
    <w:rsid w:val="0093701B"/>
    <w:rsid w:val="009370E2"/>
    <w:rsid w:val="00937108"/>
    <w:rsid w:val="00937546"/>
    <w:rsid w:val="009376CA"/>
    <w:rsid w:val="009378A9"/>
    <w:rsid w:val="00937E78"/>
    <w:rsid w:val="00937FB0"/>
    <w:rsid w:val="009401CE"/>
    <w:rsid w:val="00940DB4"/>
    <w:rsid w:val="009411B1"/>
    <w:rsid w:val="00941768"/>
    <w:rsid w:val="00941922"/>
    <w:rsid w:val="009419C8"/>
    <w:rsid w:val="00941BE9"/>
    <w:rsid w:val="00941D55"/>
    <w:rsid w:val="00941D93"/>
    <w:rsid w:val="00942018"/>
    <w:rsid w:val="009423AA"/>
    <w:rsid w:val="00942B3E"/>
    <w:rsid w:val="00942C27"/>
    <w:rsid w:val="00942F03"/>
    <w:rsid w:val="00942FEF"/>
    <w:rsid w:val="009435A5"/>
    <w:rsid w:val="009439B5"/>
    <w:rsid w:val="00943D27"/>
    <w:rsid w:val="00943E4C"/>
    <w:rsid w:val="00944164"/>
    <w:rsid w:val="00944309"/>
    <w:rsid w:val="00944406"/>
    <w:rsid w:val="0094441E"/>
    <w:rsid w:val="00944C59"/>
    <w:rsid w:val="00945170"/>
    <w:rsid w:val="009451D5"/>
    <w:rsid w:val="009455E1"/>
    <w:rsid w:val="00945689"/>
    <w:rsid w:val="00945694"/>
    <w:rsid w:val="00945748"/>
    <w:rsid w:val="0094574C"/>
    <w:rsid w:val="009457A7"/>
    <w:rsid w:val="00945CB9"/>
    <w:rsid w:val="00945E6A"/>
    <w:rsid w:val="00945FA4"/>
    <w:rsid w:val="00946078"/>
    <w:rsid w:val="0094670F"/>
    <w:rsid w:val="00946836"/>
    <w:rsid w:val="009468EA"/>
    <w:rsid w:val="009469F4"/>
    <w:rsid w:val="00946C24"/>
    <w:rsid w:val="00946E73"/>
    <w:rsid w:val="00946EB0"/>
    <w:rsid w:val="0094717B"/>
    <w:rsid w:val="0094736E"/>
    <w:rsid w:val="00947629"/>
    <w:rsid w:val="00947642"/>
    <w:rsid w:val="00947A26"/>
    <w:rsid w:val="00947D4F"/>
    <w:rsid w:val="00950BBE"/>
    <w:rsid w:val="00950C96"/>
    <w:rsid w:val="00950CE8"/>
    <w:rsid w:val="009518CC"/>
    <w:rsid w:val="00951BF6"/>
    <w:rsid w:val="009520BC"/>
    <w:rsid w:val="009521BB"/>
    <w:rsid w:val="009521F2"/>
    <w:rsid w:val="00952337"/>
    <w:rsid w:val="009526F8"/>
    <w:rsid w:val="009527E8"/>
    <w:rsid w:val="00952962"/>
    <w:rsid w:val="00952DA7"/>
    <w:rsid w:val="009530D2"/>
    <w:rsid w:val="009530D6"/>
    <w:rsid w:val="00953829"/>
    <w:rsid w:val="00953D09"/>
    <w:rsid w:val="00953D16"/>
    <w:rsid w:val="00953D58"/>
    <w:rsid w:val="0095420C"/>
    <w:rsid w:val="009542BF"/>
    <w:rsid w:val="00954365"/>
    <w:rsid w:val="0095450E"/>
    <w:rsid w:val="00954593"/>
    <w:rsid w:val="0095467D"/>
    <w:rsid w:val="009546D7"/>
    <w:rsid w:val="00954865"/>
    <w:rsid w:val="00954AC6"/>
    <w:rsid w:val="00954E1E"/>
    <w:rsid w:val="00954F80"/>
    <w:rsid w:val="00955289"/>
    <w:rsid w:val="009553F0"/>
    <w:rsid w:val="0095564A"/>
    <w:rsid w:val="00955683"/>
    <w:rsid w:val="009559C8"/>
    <w:rsid w:val="00955A28"/>
    <w:rsid w:val="00956071"/>
    <w:rsid w:val="0095617D"/>
    <w:rsid w:val="00956C82"/>
    <w:rsid w:val="00957096"/>
    <w:rsid w:val="009570BD"/>
    <w:rsid w:val="00957161"/>
    <w:rsid w:val="00957224"/>
    <w:rsid w:val="00957624"/>
    <w:rsid w:val="00957646"/>
    <w:rsid w:val="00957C4D"/>
    <w:rsid w:val="0096006D"/>
    <w:rsid w:val="0096088C"/>
    <w:rsid w:val="00960954"/>
    <w:rsid w:val="00960B71"/>
    <w:rsid w:val="00960BA7"/>
    <w:rsid w:val="00960CDD"/>
    <w:rsid w:val="009612F7"/>
    <w:rsid w:val="00961503"/>
    <w:rsid w:val="00961CF6"/>
    <w:rsid w:val="009620B7"/>
    <w:rsid w:val="009624A5"/>
    <w:rsid w:val="0096262F"/>
    <w:rsid w:val="00962718"/>
    <w:rsid w:val="00964170"/>
    <w:rsid w:val="00964243"/>
    <w:rsid w:val="009643CE"/>
    <w:rsid w:val="009643D6"/>
    <w:rsid w:val="0096459E"/>
    <w:rsid w:val="00964AA5"/>
    <w:rsid w:val="00964E4A"/>
    <w:rsid w:val="00964FD7"/>
    <w:rsid w:val="0096501B"/>
    <w:rsid w:val="009651ED"/>
    <w:rsid w:val="00965417"/>
    <w:rsid w:val="0096577F"/>
    <w:rsid w:val="00965C9C"/>
    <w:rsid w:val="009665CE"/>
    <w:rsid w:val="009666B5"/>
    <w:rsid w:val="0096681D"/>
    <w:rsid w:val="00967346"/>
    <w:rsid w:val="009674B4"/>
    <w:rsid w:val="00967810"/>
    <w:rsid w:val="00967C62"/>
    <w:rsid w:val="00967E2B"/>
    <w:rsid w:val="009703F3"/>
    <w:rsid w:val="009708DE"/>
    <w:rsid w:val="00970E77"/>
    <w:rsid w:val="00971065"/>
    <w:rsid w:val="009710A4"/>
    <w:rsid w:val="009710F9"/>
    <w:rsid w:val="009712C2"/>
    <w:rsid w:val="009716E9"/>
    <w:rsid w:val="00971C1C"/>
    <w:rsid w:val="00971CA2"/>
    <w:rsid w:val="00971FEB"/>
    <w:rsid w:val="00972054"/>
    <w:rsid w:val="009720AB"/>
    <w:rsid w:val="0097214B"/>
    <w:rsid w:val="009721A5"/>
    <w:rsid w:val="009721CB"/>
    <w:rsid w:val="009724A5"/>
    <w:rsid w:val="00973208"/>
    <w:rsid w:val="009732E5"/>
    <w:rsid w:val="00973343"/>
    <w:rsid w:val="00973C8A"/>
    <w:rsid w:val="00973E75"/>
    <w:rsid w:val="009743B7"/>
    <w:rsid w:val="00974D4C"/>
    <w:rsid w:val="00974FBC"/>
    <w:rsid w:val="00975114"/>
    <w:rsid w:val="00975186"/>
    <w:rsid w:val="0097578E"/>
    <w:rsid w:val="00976069"/>
    <w:rsid w:val="00976457"/>
    <w:rsid w:val="00976700"/>
    <w:rsid w:val="00976936"/>
    <w:rsid w:val="009769AB"/>
    <w:rsid w:val="00976ED9"/>
    <w:rsid w:val="00976F75"/>
    <w:rsid w:val="00976F87"/>
    <w:rsid w:val="009771BB"/>
    <w:rsid w:val="0097730D"/>
    <w:rsid w:val="0097747B"/>
    <w:rsid w:val="009775FC"/>
    <w:rsid w:val="00977923"/>
    <w:rsid w:val="00977A07"/>
    <w:rsid w:val="00977B84"/>
    <w:rsid w:val="00977DDB"/>
    <w:rsid w:val="0098026D"/>
    <w:rsid w:val="00980375"/>
    <w:rsid w:val="0098045B"/>
    <w:rsid w:val="009804A2"/>
    <w:rsid w:val="0098077C"/>
    <w:rsid w:val="009807B4"/>
    <w:rsid w:val="00980827"/>
    <w:rsid w:val="00980A23"/>
    <w:rsid w:val="00980C79"/>
    <w:rsid w:val="009810F4"/>
    <w:rsid w:val="00981417"/>
    <w:rsid w:val="0098157A"/>
    <w:rsid w:val="00982199"/>
    <w:rsid w:val="00982658"/>
    <w:rsid w:val="009828C9"/>
    <w:rsid w:val="00982B54"/>
    <w:rsid w:val="00982BFF"/>
    <w:rsid w:val="00983258"/>
    <w:rsid w:val="00983843"/>
    <w:rsid w:val="00983F96"/>
    <w:rsid w:val="0098418A"/>
    <w:rsid w:val="009845AB"/>
    <w:rsid w:val="0098465A"/>
    <w:rsid w:val="0098483A"/>
    <w:rsid w:val="00984C21"/>
    <w:rsid w:val="00984C83"/>
    <w:rsid w:val="00985278"/>
    <w:rsid w:val="009853C1"/>
    <w:rsid w:val="0098554E"/>
    <w:rsid w:val="00985720"/>
    <w:rsid w:val="00985C1D"/>
    <w:rsid w:val="00985E05"/>
    <w:rsid w:val="009866D1"/>
    <w:rsid w:val="00986715"/>
    <w:rsid w:val="00986767"/>
    <w:rsid w:val="00986B2E"/>
    <w:rsid w:val="00986F10"/>
    <w:rsid w:val="0098736B"/>
    <w:rsid w:val="0098764D"/>
    <w:rsid w:val="009877D1"/>
    <w:rsid w:val="00987826"/>
    <w:rsid w:val="00987922"/>
    <w:rsid w:val="009900D4"/>
    <w:rsid w:val="00990A80"/>
    <w:rsid w:val="00990EDB"/>
    <w:rsid w:val="009913F8"/>
    <w:rsid w:val="00991584"/>
    <w:rsid w:val="00991599"/>
    <w:rsid w:val="0099163D"/>
    <w:rsid w:val="009916C8"/>
    <w:rsid w:val="00991E72"/>
    <w:rsid w:val="009921C4"/>
    <w:rsid w:val="0099246F"/>
    <w:rsid w:val="009926B5"/>
    <w:rsid w:val="0099292F"/>
    <w:rsid w:val="009933BF"/>
    <w:rsid w:val="00993445"/>
    <w:rsid w:val="00993715"/>
    <w:rsid w:val="00993C39"/>
    <w:rsid w:val="00993FE2"/>
    <w:rsid w:val="00994010"/>
    <w:rsid w:val="009942F2"/>
    <w:rsid w:val="009945DC"/>
    <w:rsid w:val="00994B1D"/>
    <w:rsid w:val="009950F0"/>
    <w:rsid w:val="00995147"/>
    <w:rsid w:val="00995453"/>
    <w:rsid w:val="009954A1"/>
    <w:rsid w:val="00995AF7"/>
    <w:rsid w:val="00995C04"/>
    <w:rsid w:val="00995E1A"/>
    <w:rsid w:val="00995E4A"/>
    <w:rsid w:val="00995EE6"/>
    <w:rsid w:val="009960FF"/>
    <w:rsid w:val="0099622A"/>
    <w:rsid w:val="009963C0"/>
    <w:rsid w:val="0099640B"/>
    <w:rsid w:val="00996C9E"/>
    <w:rsid w:val="00996FC2"/>
    <w:rsid w:val="009972CF"/>
    <w:rsid w:val="00997498"/>
    <w:rsid w:val="009975D2"/>
    <w:rsid w:val="009976DF"/>
    <w:rsid w:val="00997E70"/>
    <w:rsid w:val="00997F08"/>
    <w:rsid w:val="00997FB8"/>
    <w:rsid w:val="009A0C10"/>
    <w:rsid w:val="009A13F5"/>
    <w:rsid w:val="009A1BFE"/>
    <w:rsid w:val="009A1C84"/>
    <w:rsid w:val="009A203B"/>
    <w:rsid w:val="009A224E"/>
    <w:rsid w:val="009A2464"/>
    <w:rsid w:val="009A2482"/>
    <w:rsid w:val="009A2617"/>
    <w:rsid w:val="009A283A"/>
    <w:rsid w:val="009A2A10"/>
    <w:rsid w:val="009A3425"/>
    <w:rsid w:val="009A366E"/>
    <w:rsid w:val="009A39CE"/>
    <w:rsid w:val="009A3A78"/>
    <w:rsid w:val="009A3AE8"/>
    <w:rsid w:val="009A3D94"/>
    <w:rsid w:val="009A3F90"/>
    <w:rsid w:val="009A4049"/>
    <w:rsid w:val="009A4459"/>
    <w:rsid w:val="009A48A4"/>
    <w:rsid w:val="009A4BB3"/>
    <w:rsid w:val="009A4BD5"/>
    <w:rsid w:val="009A4E4F"/>
    <w:rsid w:val="009A4F7E"/>
    <w:rsid w:val="009A53FF"/>
    <w:rsid w:val="009A5936"/>
    <w:rsid w:val="009A5D3C"/>
    <w:rsid w:val="009A613B"/>
    <w:rsid w:val="009A64FF"/>
    <w:rsid w:val="009A777A"/>
    <w:rsid w:val="009A79AA"/>
    <w:rsid w:val="009A7A10"/>
    <w:rsid w:val="009A7C9F"/>
    <w:rsid w:val="009A7CD8"/>
    <w:rsid w:val="009B005A"/>
    <w:rsid w:val="009B037E"/>
    <w:rsid w:val="009B0483"/>
    <w:rsid w:val="009B04C3"/>
    <w:rsid w:val="009B0669"/>
    <w:rsid w:val="009B0C33"/>
    <w:rsid w:val="009B0EFD"/>
    <w:rsid w:val="009B1AF5"/>
    <w:rsid w:val="009B1D9C"/>
    <w:rsid w:val="009B1F32"/>
    <w:rsid w:val="009B24D7"/>
    <w:rsid w:val="009B2826"/>
    <w:rsid w:val="009B2BD2"/>
    <w:rsid w:val="009B2D64"/>
    <w:rsid w:val="009B2DBB"/>
    <w:rsid w:val="009B2F6E"/>
    <w:rsid w:val="009B2FE1"/>
    <w:rsid w:val="009B3230"/>
    <w:rsid w:val="009B35AB"/>
    <w:rsid w:val="009B36E5"/>
    <w:rsid w:val="009B379E"/>
    <w:rsid w:val="009B3C02"/>
    <w:rsid w:val="009B3CF2"/>
    <w:rsid w:val="009B3E7A"/>
    <w:rsid w:val="009B489C"/>
    <w:rsid w:val="009B5036"/>
    <w:rsid w:val="009B52F3"/>
    <w:rsid w:val="009B54EC"/>
    <w:rsid w:val="009B5722"/>
    <w:rsid w:val="009B5822"/>
    <w:rsid w:val="009B5BD2"/>
    <w:rsid w:val="009B690F"/>
    <w:rsid w:val="009B6959"/>
    <w:rsid w:val="009B69B3"/>
    <w:rsid w:val="009B6A64"/>
    <w:rsid w:val="009B6DA4"/>
    <w:rsid w:val="009B7019"/>
    <w:rsid w:val="009B7370"/>
    <w:rsid w:val="009B7422"/>
    <w:rsid w:val="009B7949"/>
    <w:rsid w:val="009B7E68"/>
    <w:rsid w:val="009C06BC"/>
    <w:rsid w:val="009C09E3"/>
    <w:rsid w:val="009C0EB5"/>
    <w:rsid w:val="009C10C8"/>
    <w:rsid w:val="009C1253"/>
    <w:rsid w:val="009C1289"/>
    <w:rsid w:val="009C1363"/>
    <w:rsid w:val="009C15BD"/>
    <w:rsid w:val="009C15CE"/>
    <w:rsid w:val="009C173E"/>
    <w:rsid w:val="009C175E"/>
    <w:rsid w:val="009C19DF"/>
    <w:rsid w:val="009C1D70"/>
    <w:rsid w:val="009C22D8"/>
    <w:rsid w:val="009C290C"/>
    <w:rsid w:val="009C290E"/>
    <w:rsid w:val="009C2F28"/>
    <w:rsid w:val="009C37BB"/>
    <w:rsid w:val="009C37ED"/>
    <w:rsid w:val="009C3BD6"/>
    <w:rsid w:val="009C3CB8"/>
    <w:rsid w:val="009C3DF7"/>
    <w:rsid w:val="009C3E91"/>
    <w:rsid w:val="009C41EE"/>
    <w:rsid w:val="009C429C"/>
    <w:rsid w:val="009C4A30"/>
    <w:rsid w:val="009C4C74"/>
    <w:rsid w:val="009C4F4B"/>
    <w:rsid w:val="009C4F5A"/>
    <w:rsid w:val="009C561F"/>
    <w:rsid w:val="009C5E50"/>
    <w:rsid w:val="009C5E55"/>
    <w:rsid w:val="009C5EEE"/>
    <w:rsid w:val="009C5FE3"/>
    <w:rsid w:val="009C612F"/>
    <w:rsid w:val="009C6424"/>
    <w:rsid w:val="009C6AEE"/>
    <w:rsid w:val="009C6B9D"/>
    <w:rsid w:val="009C6C73"/>
    <w:rsid w:val="009C6D3F"/>
    <w:rsid w:val="009C7095"/>
    <w:rsid w:val="009C7409"/>
    <w:rsid w:val="009C75C9"/>
    <w:rsid w:val="009C78B8"/>
    <w:rsid w:val="009C7B2C"/>
    <w:rsid w:val="009C7B34"/>
    <w:rsid w:val="009D0218"/>
    <w:rsid w:val="009D043B"/>
    <w:rsid w:val="009D0C7B"/>
    <w:rsid w:val="009D0F7C"/>
    <w:rsid w:val="009D1005"/>
    <w:rsid w:val="009D1131"/>
    <w:rsid w:val="009D1469"/>
    <w:rsid w:val="009D1AD0"/>
    <w:rsid w:val="009D1B99"/>
    <w:rsid w:val="009D1BD4"/>
    <w:rsid w:val="009D1F07"/>
    <w:rsid w:val="009D2458"/>
    <w:rsid w:val="009D253C"/>
    <w:rsid w:val="009D25B9"/>
    <w:rsid w:val="009D3482"/>
    <w:rsid w:val="009D37E9"/>
    <w:rsid w:val="009D3C14"/>
    <w:rsid w:val="009D3CDC"/>
    <w:rsid w:val="009D404C"/>
    <w:rsid w:val="009D4B76"/>
    <w:rsid w:val="009D501D"/>
    <w:rsid w:val="009D5D4E"/>
    <w:rsid w:val="009D5E6B"/>
    <w:rsid w:val="009D6031"/>
    <w:rsid w:val="009D6227"/>
    <w:rsid w:val="009D6738"/>
    <w:rsid w:val="009D6993"/>
    <w:rsid w:val="009D6EBE"/>
    <w:rsid w:val="009D75AA"/>
    <w:rsid w:val="009D7607"/>
    <w:rsid w:val="009D765F"/>
    <w:rsid w:val="009D7A60"/>
    <w:rsid w:val="009D7C6B"/>
    <w:rsid w:val="009D7FB7"/>
    <w:rsid w:val="009D9BD0"/>
    <w:rsid w:val="009E022B"/>
    <w:rsid w:val="009E03C2"/>
    <w:rsid w:val="009E05D2"/>
    <w:rsid w:val="009E0856"/>
    <w:rsid w:val="009E0CD6"/>
    <w:rsid w:val="009E0D0C"/>
    <w:rsid w:val="009E0E97"/>
    <w:rsid w:val="009E1099"/>
    <w:rsid w:val="009E10B7"/>
    <w:rsid w:val="009E1A2B"/>
    <w:rsid w:val="009E1C46"/>
    <w:rsid w:val="009E1CE0"/>
    <w:rsid w:val="009E1E74"/>
    <w:rsid w:val="009E2174"/>
    <w:rsid w:val="009E2525"/>
    <w:rsid w:val="009E264E"/>
    <w:rsid w:val="009E2F63"/>
    <w:rsid w:val="009E3012"/>
    <w:rsid w:val="009E311B"/>
    <w:rsid w:val="009E3365"/>
    <w:rsid w:val="009E3394"/>
    <w:rsid w:val="009E39C1"/>
    <w:rsid w:val="009E3CA6"/>
    <w:rsid w:val="009E3E7C"/>
    <w:rsid w:val="009E4314"/>
    <w:rsid w:val="009E4331"/>
    <w:rsid w:val="009E472D"/>
    <w:rsid w:val="009E474C"/>
    <w:rsid w:val="009E4D9A"/>
    <w:rsid w:val="009E5716"/>
    <w:rsid w:val="009E572B"/>
    <w:rsid w:val="009E5878"/>
    <w:rsid w:val="009E5A45"/>
    <w:rsid w:val="009E5B0B"/>
    <w:rsid w:val="009E5FD9"/>
    <w:rsid w:val="009E629B"/>
    <w:rsid w:val="009E6321"/>
    <w:rsid w:val="009E65C9"/>
    <w:rsid w:val="009E66F9"/>
    <w:rsid w:val="009E705B"/>
    <w:rsid w:val="009E73F1"/>
    <w:rsid w:val="009E7A0F"/>
    <w:rsid w:val="009E7A33"/>
    <w:rsid w:val="009E7AE8"/>
    <w:rsid w:val="009E7DF3"/>
    <w:rsid w:val="009E7F8F"/>
    <w:rsid w:val="009F00DF"/>
    <w:rsid w:val="009F025B"/>
    <w:rsid w:val="009F03EF"/>
    <w:rsid w:val="009F062C"/>
    <w:rsid w:val="009F0FBE"/>
    <w:rsid w:val="009F10E9"/>
    <w:rsid w:val="009F1165"/>
    <w:rsid w:val="009F1650"/>
    <w:rsid w:val="009F19C5"/>
    <w:rsid w:val="009F1F8D"/>
    <w:rsid w:val="009F21A3"/>
    <w:rsid w:val="009F2247"/>
    <w:rsid w:val="009F25A8"/>
    <w:rsid w:val="009F2905"/>
    <w:rsid w:val="009F2BD0"/>
    <w:rsid w:val="009F2FCE"/>
    <w:rsid w:val="009F3595"/>
    <w:rsid w:val="009F3DDF"/>
    <w:rsid w:val="009F407E"/>
    <w:rsid w:val="009F4133"/>
    <w:rsid w:val="009F41DC"/>
    <w:rsid w:val="009F43B5"/>
    <w:rsid w:val="009F4714"/>
    <w:rsid w:val="009F476F"/>
    <w:rsid w:val="009F47FD"/>
    <w:rsid w:val="009F4821"/>
    <w:rsid w:val="009F4E36"/>
    <w:rsid w:val="009F5073"/>
    <w:rsid w:val="009F5513"/>
    <w:rsid w:val="009F5551"/>
    <w:rsid w:val="009F5616"/>
    <w:rsid w:val="009F5BC9"/>
    <w:rsid w:val="009F5E67"/>
    <w:rsid w:val="009F5FB0"/>
    <w:rsid w:val="009F6267"/>
    <w:rsid w:val="009F64BE"/>
    <w:rsid w:val="009F6CF7"/>
    <w:rsid w:val="009F6F9B"/>
    <w:rsid w:val="009F7269"/>
    <w:rsid w:val="009F7697"/>
    <w:rsid w:val="009F78D5"/>
    <w:rsid w:val="009F7999"/>
    <w:rsid w:val="009F7ED5"/>
    <w:rsid w:val="009F7F43"/>
    <w:rsid w:val="00A00097"/>
    <w:rsid w:val="00A007E5"/>
    <w:rsid w:val="00A00B56"/>
    <w:rsid w:val="00A00C44"/>
    <w:rsid w:val="00A010BD"/>
    <w:rsid w:val="00A0146A"/>
    <w:rsid w:val="00A01605"/>
    <w:rsid w:val="00A01686"/>
    <w:rsid w:val="00A0172E"/>
    <w:rsid w:val="00A01779"/>
    <w:rsid w:val="00A01E76"/>
    <w:rsid w:val="00A02120"/>
    <w:rsid w:val="00A02190"/>
    <w:rsid w:val="00A0235E"/>
    <w:rsid w:val="00A024AC"/>
    <w:rsid w:val="00A02714"/>
    <w:rsid w:val="00A029DF"/>
    <w:rsid w:val="00A02CDA"/>
    <w:rsid w:val="00A03240"/>
    <w:rsid w:val="00A0437B"/>
    <w:rsid w:val="00A046BA"/>
    <w:rsid w:val="00A04ECB"/>
    <w:rsid w:val="00A052BB"/>
    <w:rsid w:val="00A05399"/>
    <w:rsid w:val="00A0556D"/>
    <w:rsid w:val="00A057AA"/>
    <w:rsid w:val="00A0591D"/>
    <w:rsid w:val="00A05A41"/>
    <w:rsid w:val="00A05C0C"/>
    <w:rsid w:val="00A05D2A"/>
    <w:rsid w:val="00A05F02"/>
    <w:rsid w:val="00A0638C"/>
    <w:rsid w:val="00A063CE"/>
    <w:rsid w:val="00A06CAA"/>
    <w:rsid w:val="00A07074"/>
    <w:rsid w:val="00A070DB"/>
    <w:rsid w:val="00A07230"/>
    <w:rsid w:val="00A0761F"/>
    <w:rsid w:val="00A077E2"/>
    <w:rsid w:val="00A07E77"/>
    <w:rsid w:val="00A07EB4"/>
    <w:rsid w:val="00A106EA"/>
    <w:rsid w:val="00A10F21"/>
    <w:rsid w:val="00A1143D"/>
    <w:rsid w:val="00A11849"/>
    <w:rsid w:val="00A11A61"/>
    <w:rsid w:val="00A11F62"/>
    <w:rsid w:val="00A12011"/>
    <w:rsid w:val="00A12103"/>
    <w:rsid w:val="00A1222F"/>
    <w:rsid w:val="00A12C50"/>
    <w:rsid w:val="00A136B9"/>
    <w:rsid w:val="00A1380D"/>
    <w:rsid w:val="00A1398C"/>
    <w:rsid w:val="00A13AD5"/>
    <w:rsid w:val="00A13B1B"/>
    <w:rsid w:val="00A13F12"/>
    <w:rsid w:val="00A13F95"/>
    <w:rsid w:val="00A13FDB"/>
    <w:rsid w:val="00A140F8"/>
    <w:rsid w:val="00A142AA"/>
    <w:rsid w:val="00A1494A"/>
    <w:rsid w:val="00A1566F"/>
    <w:rsid w:val="00A15835"/>
    <w:rsid w:val="00A1599A"/>
    <w:rsid w:val="00A15C58"/>
    <w:rsid w:val="00A15E56"/>
    <w:rsid w:val="00A15F2E"/>
    <w:rsid w:val="00A16724"/>
    <w:rsid w:val="00A16879"/>
    <w:rsid w:val="00A16914"/>
    <w:rsid w:val="00A1693D"/>
    <w:rsid w:val="00A1736B"/>
    <w:rsid w:val="00A1743A"/>
    <w:rsid w:val="00A17473"/>
    <w:rsid w:val="00A1764D"/>
    <w:rsid w:val="00A179D4"/>
    <w:rsid w:val="00A17BF7"/>
    <w:rsid w:val="00A17D8B"/>
    <w:rsid w:val="00A2057B"/>
    <w:rsid w:val="00A206A6"/>
    <w:rsid w:val="00A206FA"/>
    <w:rsid w:val="00A20731"/>
    <w:rsid w:val="00A20A4E"/>
    <w:rsid w:val="00A20AE6"/>
    <w:rsid w:val="00A20F3F"/>
    <w:rsid w:val="00A2139C"/>
    <w:rsid w:val="00A21F10"/>
    <w:rsid w:val="00A2246E"/>
    <w:rsid w:val="00A225B3"/>
    <w:rsid w:val="00A2265E"/>
    <w:rsid w:val="00A22960"/>
    <w:rsid w:val="00A22A32"/>
    <w:rsid w:val="00A22C53"/>
    <w:rsid w:val="00A22E6E"/>
    <w:rsid w:val="00A22ECA"/>
    <w:rsid w:val="00A2367A"/>
    <w:rsid w:val="00A23698"/>
    <w:rsid w:val="00A239C0"/>
    <w:rsid w:val="00A23DB9"/>
    <w:rsid w:val="00A23EDC"/>
    <w:rsid w:val="00A24964"/>
    <w:rsid w:val="00A24A59"/>
    <w:rsid w:val="00A24B06"/>
    <w:rsid w:val="00A24C19"/>
    <w:rsid w:val="00A24DFF"/>
    <w:rsid w:val="00A24E5D"/>
    <w:rsid w:val="00A250AE"/>
    <w:rsid w:val="00A252EF"/>
    <w:rsid w:val="00A258EF"/>
    <w:rsid w:val="00A25988"/>
    <w:rsid w:val="00A25E6E"/>
    <w:rsid w:val="00A25E91"/>
    <w:rsid w:val="00A263A9"/>
    <w:rsid w:val="00A2643B"/>
    <w:rsid w:val="00A2660E"/>
    <w:rsid w:val="00A27480"/>
    <w:rsid w:val="00A276FE"/>
    <w:rsid w:val="00A2781C"/>
    <w:rsid w:val="00A2795D"/>
    <w:rsid w:val="00A27B68"/>
    <w:rsid w:val="00A27C29"/>
    <w:rsid w:val="00A27D5B"/>
    <w:rsid w:val="00A30474"/>
    <w:rsid w:val="00A304C4"/>
    <w:rsid w:val="00A306A1"/>
    <w:rsid w:val="00A306C4"/>
    <w:rsid w:val="00A30938"/>
    <w:rsid w:val="00A3098D"/>
    <w:rsid w:val="00A30A18"/>
    <w:rsid w:val="00A30DC1"/>
    <w:rsid w:val="00A30EFD"/>
    <w:rsid w:val="00A31148"/>
    <w:rsid w:val="00A3122C"/>
    <w:rsid w:val="00A31232"/>
    <w:rsid w:val="00A31254"/>
    <w:rsid w:val="00A3165B"/>
    <w:rsid w:val="00A31BEB"/>
    <w:rsid w:val="00A31BFA"/>
    <w:rsid w:val="00A31C7B"/>
    <w:rsid w:val="00A31D2B"/>
    <w:rsid w:val="00A321BD"/>
    <w:rsid w:val="00A322AE"/>
    <w:rsid w:val="00A32325"/>
    <w:rsid w:val="00A3289B"/>
    <w:rsid w:val="00A3297D"/>
    <w:rsid w:val="00A329FA"/>
    <w:rsid w:val="00A32C25"/>
    <w:rsid w:val="00A32CDE"/>
    <w:rsid w:val="00A331A0"/>
    <w:rsid w:val="00A333E6"/>
    <w:rsid w:val="00A33453"/>
    <w:rsid w:val="00A336AD"/>
    <w:rsid w:val="00A33797"/>
    <w:rsid w:val="00A33905"/>
    <w:rsid w:val="00A33B5A"/>
    <w:rsid w:val="00A33C05"/>
    <w:rsid w:val="00A33C07"/>
    <w:rsid w:val="00A33F10"/>
    <w:rsid w:val="00A340C3"/>
    <w:rsid w:val="00A34696"/>
    <w:rsid w:val="00A34761"/>
    <w:rsid w:val="00A34F07"/>
    <w:rsid w:val="00A34F7A"/>
    <w:rsid w:val="00A34FDD"/>
    <w:rsid w:val="00A3506D"/>
    <w:rsid w:val="00A35377"/>
    <w:rsid w:val="00A35404"/>
    <w:rsid w:val="00A354CE"/>
    <w:rsid w:val="00A35689"/>
    <w:rsid w:val="00A356F0"/>
    <w:rsid w:val="00A35730"/>
    <w:rsid w:val="00A35980"/>
    <w:rsid w:val="00A35B55"/>
    <w:rsid w:val="00A3606C"/>
    <w:rsid w:val="00A365C5"/>
    <w:rsid w:val="00A366C3"/>
    <w:rsid w:val="00A36857"/>
    <w:rsid w:val="00A36A9F"/>
    <w:rsid w:val="00A36D91"/>
    <w:rsid w:val="00A36E91"/>
    <w:rsid w:val="00A36F07"/>
    <w:rsid w:val="00A36FC3"/>
    <w:rsid w:val="00A3734C"/>
    <w:rsid w:val="00A37366"/>
    <w:rsid w:val="00A37477"/>
    <w:rsid w:val="00A3757E"/>
    <w:rsid w:val="00A37B23"/>
    <w:rsid w:val="00A40219"/>
    <w:rsid w:val="00A4021B"/>
    <w:rsid w:val="00A40755"/>
    <w:rsid w:val="00A40A44"/>
    <w:rsid w:val="00A40D54"/>
    <w:rsid w:val="00A41339"/>
    <w:rsid w:val="00A4157D"/>
    <w:rsid w:val="00A41C29"/>
    <w:rsid w:val="00A4234F"/>
    <w:rsid w:val="00A424E8"/>
    <w:rsid w:val="00A425B8"/>
    <w:rsid w:val="00A429B8"/>
    <w:rsid w:val="00A42A5B"/>
    <w:rsid w:val="00A42AA2"/>
    <w:rsid w:val="00A42DDC"/>
    <w:rsid w:val="00A4306E"/>
    <w:rsid w:val="00A430A6"/>
    <w:rsid w:val="00A430B0"/>
    <w:rsid w:val="00A431DF"/>
    <w:rsid w:val="00A438A8"/>
    <w:rsid w:val="00A43BDF"/>
    <w:rsid w:val="00A43C38"/>
    <w:rsid w:val="00A43E40"/>
    <w:rsid w:val="00A4406B"/>
    <w:rsid w:val="00A4416B"/>
    <w:rsid w:val="00A443FC"/>
    <w:rsid w:val="00A44433"/>
    <w:rsid w:val="00A444E9"/>
    <w:rsid w:val="00A45318"/>
    <w:rsid w:val="00A45A8A"/>
    <w:rsid w:val="00A45C9F"/>
    <w:rsid w:val="00A46368"/>
    <w:rsid w:val="00A4657E"/>
    <w:rsid w:val="00A468EB"/>
    <w:rsid w:val="00A46936"/>
    <w:rsid w:val="00A46EF5"/>
    <w:rsid w:val="00A46FAC"/>
    <w:rsid w:val="00A4703C"/>
    <w:rsid w:val="00A478E3"/>
    <w:rsid w:val="00A47905"/>
    <w:rsid w:val="00A47C00"/>
    <w:rsid w:val="00A502D6"/>
    <w:rsid w:val="00A503EE"/>
    <w:rsid w:val="00A504BB"/>
    <w:rsid w:val="00A505DE"/>
    <w:rsid w:val="00A50BC3"/>
    <w:rsid w:val="00A50D76"/>
    <w:rsid w:val="00A50DB8"/>
    <w:rsid w:val="00A50DC4"/>
    <w:rsid w:val="00A50DDF"/>
    <w:rsid w:val="00A51051"/>
    <w:rsid w:val="00A51250"/>
    <w:rsid w:val="00A5137C"/>
    <w:rsid w:val="00A51452"/>
    <w:rsid w:val="00A51C3E"/>
    <w:rsid w:val="00A51CDD"/>
    <w:rsid w:val="00A52032"/>
    <w:rsid w:val="00A52211"/>
    <w:rsid w:val="00A52219"/>
    <w:rsid w:val="00A5267E"/>
    <w:rsid w:val="00A5276B"/>
    <w:rsid w:val="00A52C45"/>
    <w:rsid w:val="00A52F82"/>
    <w:rsid w:val="00A534DF"/>
    <w:rsid w:val="00A53818"/>
    <w:rsid w:val="00A539AC"/>
    <w:rsid w:val="00A53C8F"/>
    <w:rsid w:val="00A541B1"/>
    <w:rsid w:val="00A543F5"/>
    <w:rsid w:val="00A54892"/>
    <w:rsid w:val="00A54912"/>
    <w:rsid w:val="00A54A78"/>
    <w:rsid w:val="00A54ACB"/>
    <w:rsid w:val="00A54C61"/>
    <w:rsid w:val="00A54EA3"/>
    <w:rsid w:val="00A551C1"/>
    <w:rsid w:val="00A553AD"/>
    <w:rsid w:val="00A554C2"/>
    <w:rsid w:val="00A5550D"/>
    <w:rsid w:val="00A5552B"/>
    <w:rsid w:val="00A555AF"/>
    <w:rsid w:val="00A558D9"/>
    <w:rsid w:val="00A55956"/>
    <w:rsid w:val="00A55A63"/>
    <w:rsid w:val="00A55BDF"/>
    <w:rsid w:val="00A55C8A"/>
    <w:rsid w:val="00A55F20"/>
    <w:rsid w:val="00A564D2"/>
    <w:rsid w:val="00A56636"/>
    <w:rsid w:val="00A56901"/>
    <w:rsid w:val="00A5690A"/>
    <w:rsid w:val="00A56B15"/>
    <w:rsid w:val="00A57055"/>
    <w:rsid w:val="00A57340"/>
    <w:rsid w:val="00A57EB8"/>
    <w:rsid w:val="00A6008A"/>
    <w:rsid w:val="00A605BB"/>
    <w:rsid w:val="00A605DB"/>
    <w:rsid w:val="00A60769"/>
    <w:rsid w:val="00A60A55"/>
    <w:rsid w:val="00A60F16"/>
    <w:rsid w:val="00A6107F"/>
    <w:rsid w:val="00A61213"/>
    <w:rsid w:val="00A61829"/>
    <w:rsid w:val="00A61B07"/>
    <w:rsid w:val="00A61BD0"/>
    <w:rsid w:val="00A62104"/>
    <w:rsid w:val="00A6236E"/>
    <w:rsid w:val="00A62913"/>
    <w:rsid w:val="00A62924"/>
    <w:rsid w:val="00A62B56"/>
    <w:rsid w:val="00A62BBE"/>
    <w:rsid w:val="00A62C41"/>
    <w:rsid w:val="00A63310"/>
    <w:rsid w:val="00A633BB"/>
    <w:rsid w:val="00A639D8"/>
    <w:rsid w:val="00A63C49"/>
    <w:rsid w:val="00A63F46"/>
    <w:rsid w:val="00A63FEA"/>
    <w:rsid w:val="00A643D0"/>
    <w:rsid w:val="00A644DF"/>
    <w:rsid w:val="00A64CD8"/>
    <w:rsid w:val="00A6575B"/>
    <w:rsid w:val="00A65788"/>
    <w:rsid w:val="00A657A7"/>
    <w:rsid w:val="00A65906"/>
    <w:rsid w:val="00A65C57"/>
    <w:rsid w:val="00A65CF0"/>
    <w:rsid w:val="00A666D6"/>
    <w:rsid w:val="00A6694F"/>
    <w:rsid w:val="00A66C04"/>
    <w:rsid w:val="00A67338"/>
    <w:rsid w:val="00A6754C"/>
    <w:rsid w:val="00A6778D"/>
    <w:rsid w:val="00A678C3"/>
    <w:rsid w:val="00A67A06"/>
    <w:rsid w:val="00A67D3C"/>
    <w:rsid w:val="00A67EDD"/>
    <w:rsid w:val="00A70656"/>
    <w:rsid w:val="00A7067B"/>
    <w:rsid w:val="00A70B85"/>
    <w:rsid w:val="00A70CDE"/>
    <w:rsid w:val="00A70D53"/>
    <w:rsid w:val="00A71549"/>
    <w:rsid w:val="00A715E3"/>
    <w:rsid w:val="00A71ACB"/>
    <w:rsid w:val="00A71B5F"/>
    <w:rsid w:val="00A71EB5"/>
    <w:rsid w:val="00A722A0"/>
    <w:rsid w:val="00A72712"/>
    <w:rsid w:val="00A7287C"/>
    <w:rsid w:val="00A72A3C"/>
    <w:rsid w:val="00A72B0A"/>
    <w:rsid w:val="00A72DFA"/>
    <w:rsid w:val="00A7317F"/>
    <w:rsid w:val="00A739BA"/>
    <w:rsid w:val="00A73B1D"/>
    <w:rsid w:val="00A74243"/>
    <w:rsid w:val="00A74795"/>
    <w:rsid w:val="00A747DD"/>
    <w:rsid w:val="00A7487C"/>
    <w:rsid w:val="00A749A5"/>
    <w:rsid w:val="00A749D6"/>
    <w:rsid w:val="00A74AD2"/>
    <w:rsid w:val="00A74DAD"/>
    <w:rsid w:val="00A74DCD"/>
    <w:rsid w:val="00A750E0"/>
    <w:rsid w:val="00A751ED"/>
    <w:rsid w:val="00A753BD"/>
    <w:rsid w:val="00A755F1"/>
    <w:rsid w:val="00A755FB"/>
    <w:rsid w:val="00A756F4"/>
    <w:rsid w:val="00A75D97"/>
    <w:rsid w:val="00A75F93"/>
    <w:rsid w:val="00A76101"/>
    <w:rsid w:val="00A765BA"/>
    <w:rsid w:val="00A76847"/>
    <w:rsid w:val="00A7697A"/>
    <w:rsid w:val="00A76AD8"/>
    <w:rsid w:val="00A76B2C"/>
    <w:rsid w:val="00A76CFC"/>
    <w:rsid w:val="00A77239"/>
    <w:rsid w:val="00A774A6"/>
    <w:rsid w:val="00A77C5E"/>
    <w:rsid w:val="00A77E95"/>
    <w:rsid w:val="00A77FA9"/>
    <w:rsid w:val="00A800A1"/>
    <w:rsid w:val="00A804C2"/>
    <w:rsid w:val="00A806CD"/>
    <w:rsid w:val="00A80936"/>
    <w:rsid w:val="00A8115B"/>
    <w:rsid w:val="00A812CF"/>
    <w:rsid w:val="00A812E9"/>
    <w:rsid w:val="00A8170E"/>
    <w:rsid w:val="00A817C0"/>
    <w:rsid w:val="00A821EA"/>
    <w:rsid w:val="00A822FD"/>
    <w:rsid w:val="00A823EA"/>
    <w:rsid w:val="00A824A0"/>
    <w:rsid w:val="00A82597"/>
    <w:rsid w:val="00A8260F"/>
    <w:rsid w:val="00A826F6"/>
    <w:rsid w:val="00A82828"/>
    <w:rsid w:val="00A82AE5"/>
    <w:rsid w:val="00A82C21"/>
    <w:rsid w:val="00A82CB2"/>
    <w:rsid w:val="00A82E4B"/>
    <w:rsid w:val="00A82E6F"/>
    <w:rsid w:val="00A83257"/>
    <w:rsid w:val="00A838B4"/>
    <w:rsid w:val="00A838F2"/>
    <w:rsid w:val="00A839EC"/>
    <w:rsid w:val="00A8406D"/>
    <w:rsid w:val="00A841EA"/>
    <w:rsid w:val="00A84755"/>
    <w:rsid w:val="00A84D73"/>
    <w:rsid w:val="00A84E00"/>
    <w:rsid w:val="00A851B8"/>
    <w:rsid w:val="00A85230"/>
    <w:rsid w:val="00A85292"/>
    <w:rsid w:val="00A85476"/>
    <w:rsid w:val="00A8558E"/>
    <w:rsid w:val="00A8566D"/>
    <w:rsid w:val="00A857AE"/>
    <w:rsid w:val="00A85829"/>
    <w:rsid w:val="00A85B09"/>
    <w:rsid w:val="00A8618D"/>
    <w:rsid w:val="00A861BB"/>
    <w:rsid w:val="00A864F2"/>
    <w:rsid w:val="00A868E9"/>
    <w:rsid w:val="00A86B8C"/>
    <w:rsid w:val="00A86C28"/>
    <w:rsid w:val="00A871FE"/>
    <w:rsid w:val="00A876D4"/>
    <w:rsid w:val="00A877BD"/>
    <w:rsid w:val="00A87930"/>
    <w:rsid w:val="00A9005D"/>
    <w:rsid w:val="00A9035B"/>
    <w:rsid w:val="00A9050A"/>
    <w:rsid w:val="00A90692"/>
    <w:rsid w:val="00A908CE"/>
    <w:rsid w:val="00A909FC"/>
    <w:rsid w:val="00A90B3D"/>
    <w:rsid w:val="00A90CA6"/>
    <w:rsid w:val="00A90F6B"/>
    <w:rsid w:val="00A9130C"/>
    <w:rsid w:val="00A91423"/>
    <w:rsid w:val="00A91425"/>
    <w:rsid w:val="00A91C96"/>
    <w:rsid w:val="00A91DC7"/>
    <w:rsid w:val="00A91DE5"/>
    <w:rsid w:val="00A91F0B"/>
    <w:rsid w:val="00A92095"/>
    <w:rsid w:val="00A9223E"/>
    <w:rsid w:val="00A92329"/>
    <w:rsid w:val="00A92748"/>
    <w:rsid w:val="00A9278E"/>
    <w:rsid w:val="00A927D3"/>
    <w:rsid w:val="00A92FFB"/>
    <w:rsid w:val="00A9308C"/>
    <w:rsid w:val="00A93144"/>
    <w:rsid w:val="00A932FC"/>
    <w:rsid w:val="00A93B0B"/>
    <w:rsid w:val="00A93E2D"/>
    <w:rsid w:val="00A93ED5"/>
    <w:rsid w:val="00A94063"/>
    <w:rsid w:val="00A94324"/>
    <w:rsid w:val="00A94368"/>
    <w:rsid w:val="00A9436A"/>
    <w:rsid w:val="00A94465"/>
    <w:rsid w:val="00A944DD"/>
    <w:rsid w:val="00A946D5"/>
    <w:rsid w:val="00A94DAF"/>
    <w:rsid w:val="00A94EB8"/>
    <w:rsid w:val="00A95100"/>
    <w:rsid w:val="00A95334"/>
    <w:rsid w:val="00A95336"/>
    <w:rsid w:val="00A9594E"/>
    <w:rsid w:val="00A95B7A"/>
    <w:rsid w:val="00A95C61"/>
    <w:rsid w:val="00A95EBF"/>
    <w:rsid w:val="00A96062"/>
    <w:rsid w:val="00A961E2"/>
    <w:rsid w:val="00A96705"/>
    <w:rsid w:val="00A9680D"/>
    <w:rsid w:val="00A968F7"/>
    <w:rsid w:val="00A96FCB"/>
    <w:rsid w:val="00A96FD3"/>
    <w:rsid w:val="00A9711F"/>
    <w:rsid w:val="00A97306"/>
    <w:rsid w:val="00A977D7"/>
    <w:rsid w:val="00AA0036"/>
    <w:rsid w:val="00AA0081"/>
    <w:rsid w:val="00AA0395"/>
    <w:rsid w:val="00AA06C6"/>
    <w:rsid w:val="00AA12CC"/>
    <w:rsid w:val="00AA1442"/>
    <w:rsid w:val="00AA14CF"/>
    <w:rsid w:val="00AA1617"/>
    <w:rsid w:val="00AA2283"/>
    <w:rsid w:val="00AA24F3"/>
    <w:rsid w:val="00AA27F4"/>
    <w:rsid w:val="00AA286E"/>
    <w:rsid w:val="00AA28BD"/>
    <w:rsid w:val="00AA28F6"/>
    <w:rsid w:val="00AA29EE"/>
    <w:rsid w:val="00AA2A3B"/>
    <w:rsid w:val="00AA3DBD"/>
    <w:rsid w:val="00AA40D0"/>
    <w:rsid w:val="00AA4211"/>
    <w:rsid w:val="00AA43AB"/>
    <w:rsid w:val="00AA4739"/>
    <w:rsid w:val="00AA47A9"/>
    <w:rsid w:val="00AA492C"/>
    <w:rsid w:val="00AA4D77"/>
    <w:rsid w:val="00AA51A9"/>
    <w:rsid w:val="00AA522C"/>
    <w:rsid w:val="00AA5388"/>
    <w:rsid w:val="00AA5540"/>
    <w:rsid w:val="00AA5C6C"/>
    <w:rsid w:val="00AA619C"/>
    <w:rsid w:val="00AA622B"/>
    <w:rsid w:val="00AA69D7"/>
    <w:rsid w:val="00AA6FCB"/>
    <w:rsid w:val="00AA709C"/>
    <w:rsid w:val="00AA7A21"/>
    <w:rsid w:val="00AA7B4B"/>
    <w:rsid w:val="00AA7CE2"/>
    <w:rsid w:val="00AB0168"/>
    <w:rsid w:val="00AB0479"/>
    <w:rsid w:val="00AB060F"/>
    <w:rsid w:val="00AB0B2D"/>
    <w:rsid w:val="00AB0C28"/>
    <w:rsid w:val="00AB1951"/>
    <w:rsid w:val="00AB19E1"/>
    <w:rsid w:val="00AB1FF4"/>
    <w:rsid w:val="00AB22BD"/>
    <w:rsid w:val="00AB2589"/>
    <w:rsid w:val="00AB27E5"/>
    <w:rsid w:val="00AB293E"/>
    <w:rsid w:val="00AB2D66"/>
    <w:rsid w:val="00AB339A"/>
    <w:rsid w:val="00AB3700"/>
    <w:rsid w:val="00AB37F2"/>
    <w:rsid w:val="00AB3BDC"/>
    <w:rsid w:val="00AB3EBF"/>
    <w:rsid w:val="00AB40C5"/>
    <w:rsid w:val="00AB415A"/>
    <w:rsid w:val="00AB4416"/>
    <w:rsid w:val="00AB4564"/>
    <w:rsid w:val="00AB45DB"/>
    <w:rsid w:val="00AB4CEC"/>
    <w:rsid w:val="00AB4EF1"/>
    <w:rsid w:val="00AB5052"/>
    <w:rsid w:val="00AB50B1"/>
    <w:rsid w:val="00AB5533"/>
    <w:rsid w:val="00AB5551"/>
    <w:rsid w:val="00AB55C9"/>
    <w:rsid w:val="00AB57B7"/>
    <w:rsid w:val="00AB5872"/>
    <w:rsid w:val="00AB5C4F"/>
    <w:rsid w:val="00AB5ED9"/>
    <w:rsid w:val="00AB5F5C"/>
    <w:rsid w:val="00AB603C"/>
    <w:rsid w:val="00AB637B"/>
    <w:rsid w:val="00AB6B4F"/>
    <w:rsid w:val="00AB6C34"/>
    <w:rsid w:val="00AB6C62"/>
    <w:rsid w:val="00AB716A"/>
    <w:rsid w:val="00AB77F3"/>
    <w:rsid w:val="00AB7A15"/>
    <w:rsid w:val="00AB7B36"/>
    <w:rsid w:val="00AC0047"/>
    <w:rsid w:val="00AC07B3"/>
    <w:rsid w:val="00AC07F5"/>
    <w:rsid w:val="00AC096D"/>
    <w:rsid w:val="00AC1261"/>
    <w:rsid w:val="00AC1579"/>
    <w:rsid w:val="00AC1DF3"/>
    <w:rsid w:val="00AC22FB"/>
    <w:rsid w:val="00AC2A0B"/>
    <w:rsid w:val="00AC2F8F"/>
    <w:rsid w:val="00AC3192"/>
    <w:rsid w:val="00AC31D3"/>
    <w:rsid w:val="00AC322A"/>
    <w:rsid w:val="00AC36BD"/>
    <w:rsid w:val="00AC3712"/>
    <w:rsid w:val="00AC3A1F"/>
    <w:rsid w:val="00AC3DC9"/>
    <w:rsid w:val="00AC3DF4"/>
    <w:rsid w:val="00AC4144"/>
    <w:rsid w:val="00AC4683"/>
    <w:rsid w:val="00AC469B"/>
    <w:rsid w:val="00AC4A7A"/>
    <w:rsid w:val="00AC4ACC"/>
    <w:rsid w:val="00AC4E5C"/>
    <w:rsid w:val="00AC529D"/>
    <w:rsid w:val="00AC56CA"/>
    <w:rsid w:val="00AC5756"/>
    <w:rsid w:val="00AC5779"/>
    <w:rsid w:val="00AC58D4"/>
    <w:rsid w:val="00AC5BD8"/>
    <w:rsid w:val="00AC5CC3"/>
    <w:rsid w:val="00AC6580"/>
    <w:rsid w:val="00AC67B8"/>
    <w:rsid w:val="00AC6B6E"/>
    <w:rsid w:val="00AC6C08"/>
    <w:rsid w:val="00AC6CE0"/>
    <w:rsid w:val="00AC6CF5"/>
    <w:rsid w:val="00AC6E0D"/>
    <w:rsid w:val="00AC6EF4"/>
    <w:rsid w:val="00AC7554"/>
    <w:rsid w:val="00AC7B3D"/>
    <w:rsid w:val="00AC7B64"/>
    <w:rsid w:val="00AD03E3"/>
    <w:rsid w:val="00AD04A7"/>
    <w:rsid w:val="00AD08EB"/>
    <w:rsid w:val="00AD09D0"/>
    <w:rsid w:val="00AD0B02"/>
    <w:rsid w:val="00AD0DDC"/>
    <w:rsid w:val="00AD1127"/>
    <w:rsid w:val="00AD148F"/>
    <w:rsid w:val="00AD1714"/>
    <w:rsid w:val="00AD1A8B"/>
    <w:rsid w:val="00AD1B35"/>
    <w:rsid w:val="00AD20C9"/>
    <w:rsid w:val="00AD228D"/>
    <w:rsid w:val="00AD22D4"/>
    <w:rsid w:val="00AD244C"/>
    <w:rsid w:val="00AD24D8"/>
    <w:rsid w:val="00AD2C8D"/>
    <w:rsid w:val="00AD37A1"/>
    <w:rsid w:val="00AD395F"/>
    <w:rsid w:val="00AD3A81"/>
    <w:rsid w:val="00AD3C86"/>
    <w:rsid w:val="00AD3CA7"/>
    <w:rsid w:val="00AD3D7C"/>
    <w:rsid w:val="00AD3F18"/>
    <w:rsid w:val="00AD44CB"/>
    <w:rsid w:val="00AD4641"/>
    <w:rsid w:val="00AD49DB"/>
    <w:rsid w:val="00AD49FA"/>
    <w:rsid w:val="00AD4AB2"/>
    <w:rsid w:val="00AD52CD"/>
    <w:rsid w:val="00AD546D"/>
    <w:rsid w:val="00AD55B2"/>
    <w:rsid w:val="00AD58A5"/>
    <w:rsid w:val="00AD5BE2"/>
    <w:rsid w:val="00AD6014"/>
    <w:rsid w:val="00AD609C"/>
    <w:rsid w:val="00AD6593"/>
    <w:rsid w:val="00AD66D3"/>
    <w:rsid w:val="00AD6D10"/>
    <w:rsid w:val="00AD7414"/>
    <w:rsid w:val="00AD78CC"/>
    <w:rsid w:val="00AE0C49"/>
    <w:rsid w:val="00AE0C67"/>
    <w:rsid w:val="00AE0C8D"/>
    <w:rsid w:val="00AE0F1B"/>
    <w:rsid w:val="00AE1056"/>
    <w:rsid w:val="00AE1093"/>
    <w:rsid w:val="00AE14E2"/>
    <w:rsid w:val="00AE169C"/>
    <w:rsid w:val="00AE16A7"/>
    <w:rsid w:val="00AE1D2F"/>
    <w:rsid w:val="00AE24D3"/>
    <w:rsid w:val="00AE2577"/>
    <w:rsid w:val="00AE26CD"/>
    <w:rsid w:val="00AE28C0"/>
    <w:rsid w:val="00AE2CAD"/>
    <w:rsid w:val="00AE2DA9"/>
    <w:rsid w:val="00AE2FC5"/>
    <w:rsid w:val="00AE37AD"/>
    <w:rsid w:val="00AE385D"/>
    <w:rsid w:val="00AE39A1"/>
    <w:rsid w:val="00AE39D4"/>
    <w:rsid w:val="00AE3B38"/>
    <w:rsid w:val="00AE3E74"/>
    <w:rsid w:val="00AE3EF0"/>
    <w:rsid w:val="00AE3FCD"/>
    <w:rsid w:val="00AE4094"/>
    <w:rsid w:val="00AE4ACE"/>
    <w:rsid w:val="00AE51E4"/>
    <w:rsid w:val="00AE53B6"/>
    <w:rsid w:val="00AE54FB"/>
    <w:rsid w:val="00AE55FB"/>
    <w:rsid w:val="00AE5665"/>
    <w:rsid w:val="00AE5711"/>
    <w:rsid w:val="00AE5D7D"/>
    <w:rsid w:val="00AE5E6A"/>
    <w:rsid w:val="00AE5EE5"/>
    <w:rsid w:val="00AE62F2"/>
    <w:rsid w:val="00AE6320"/>
    <w:rsid w:val="00AE63B6"/>
    <w:rsid w:val="00AE64BA"/>
    <w:rsid w:val="00AE69D6"/>
    <w:rsid w:val="00AE7196"/>
    <w:rsid w:val="00AE753F"/>
    <w:rsid w:val="00AE7637"/>
    <w:rsid w:val="00AE7A4A"/>
    <w:rsid w:val="00AE7A53"/>
    <w:rsid w:val="00AE7B10"/>
    <w:rsid w:val="00AE7B39"/>
    <w:rsid w:val="00AF01A0"/>
    <w:rsid w:val="00AF037A"/>
    <w:rsid w:val="00AF0475"/>
    <w:rsid w:val="00AF084A"/>
    <w:rsid w:val="00AF084F"/>
    <w:rsid w:val="00AF14AB"/>
    <w:rsid w:val="00AF1A27"/>
    <w:rsid w:val="00AF1A6E"/>
    <w:rsid w:val="00AF1B51"/>
    <w:rsid w:val="00AF1FAA"/>
    <w:rsid w:val="00AF217C"/>
    <w:rsid w:val="00AF222F"/>
    <w:rsid w:val="00AF228E"/>
    <w:rsid w:val="00AF246D"/>
    <w:rsid w:val="00AF2607"/>
    <w:rsid w:val="00AF2A3B"/>
    <w:rsid w:val="00AF2D9A"/>
    <w:rsid w:val="00AF32C8"/>
    <w:rsid w:val="00AF351F"/>
    <w:rsid w:val="00AF37B2"/>
    <w:rsid w:val="00AF3B59"/>
    <w:rsid w:val="00AF3E9D"/>
    <w:rsid w:val="00AF3F10"/>
    <w:rsid w:val="00AF3F36"/>
    <w:rsid w:val="00AF3F41"/>
    <w:rsid w:val="00AF49CE"/>
    <w:rsid w:val="00AF4C33"/>
    <w:rsid w:val="00AF5101"/>
    <w:rsid w:val="00AF51C1"/>
    <w:rsid w:val="00AF5326"/>
    <w:rsid w:val="00AF550B"/>
    <w:rsid w:val="00AF60E8"/>
    <w:rsid w:val="00AF641D"/>
    <w:rsid w:val="00AF646E"/>
    <w:rsid w:val="00AF6513"/>
    <w:rsid w:val="00AF6626"/>
    <w:rsid w:val="00AF6827"/>
    <w:rsid w:val="00AF6D5E"/>
    <w:rsid w:val="00AF7409"/>
    <w:rsid w:val="00AF7600"/>
    <w:rsid w:val="00AF76F9"/>
    <w:rsid w:val="00AF7752"/>
    <w:rsid w:val="00AF7AC2"/>
    <w:rsid w:val="00AF7D84"/>
    <w:rsid w:val="00B00126"/>
    <w:rsid w:val="00B00182"/>
    <w:rsid w:val="00B00337"/>
    <w:rsid w:val="00B00B72"/>
    <w:rsid w:val="00B00C71"/>
    <w:rsid w:val="00B00E90"/>
    <w:rsid w:val="00B0108C"/>
    <w:rsid w:val="00B01B04"/>
    <w:rsid w:val="00B01BA7"/>
    <w:rsid w:val="00B01C3F"/>
    <w:rsid w:val="00B01C97"/>
    <w:rsid w:val="00B026CE"/>
    <w:rsid w:val="00B02D00"/>
    <w:rsid w:val="00B02D59"/>
    <w:rsid w:val="00B02FA5"/>
    <w:rsid w:val="00B02FAA"/>
    <w:rsid w:val="00B03169"/>
    <w:rsid w:val="00B031AE"/>
    <w:rsid w:val="00B031F0"/>
    <w:rsid w:val="00B03246"/>
    <w:rsid w:val="00B0394D"/>
    <w:rsid w:val="00B039CB"/>
    <w:rsid w:val="00B03B26"/>
    <w:rsid w:val="00B03EB5"/>
    <w:rsid w:val="00B03FD1"/>
    <w:rsid w:val="00B04199"/>
    <w:rsid w:val="00B04587"/>
    <w:rsid w:val="00B04611"/>
    <w:rsid w:val="00B04D66"/>
    <w:rsid w:val="00B04F2F"/>
    <w:rsid w:val="00B04F9D"/>
    <w:rsid w:val="00B0516B"/>
    <w:rsid w:val="00B051E9"/>
    <w:rsid w:val="00B05FFF"/>
    <w:rsid w:val="00B0619E"/>
    <w:rsid w:val="00B064BC"/>
    <w:rsid w:val="00B066D7"/>
    <w:rsid w:val="00B06712"/>
    <w:rsid w:val="00B06907"/>
    <w:rsid w:val="00B06AE9"/>
    <w:rsid w:val="00B073DC"/>
    <w:rsid w:val="00B0746D"/>
    <w:rsid w:val="00B07923"/>
    <w:rsid w:val="00B07BD4"/>
    <w:rsid w:val="00B07F41"/>
    <w:rsid w:val="00B10042"/>
    <w:rsid w:val="00B10295"/>
    <w:rsid w:val="00B104BD"/>
    <w:rsid w:val="00B104EF"/>
    <w:rsid w:val="00B10E2A"/>
    <w:rsid w:val="00B10F98"/>
    <w:rsid w:val="00B11017"/>
    <w:rsid w:val="00B11269"/>
    <w:rsid w:val="00B112AF"/>
    <w:rsid w:val="00B11610"/>
    <w:rsid w:val="00B11654"/>
    <w:rsid w:val="00B11970"/>
    <w:rsid w:val="00B120C5"/>
    <w:rsid w:val="00B1235D"/>
    <w:rsid w:val="00B123F3"/>
    <w:rsid w:val="00B125CF"/>
    <w:rsid w:val="00B12635"/>
    <w:rsid w:val="00B12A6A"/>
    <w:rsid w:val="00B12BD0"/>
    <w:rsid w:val="00B13388"/>
    <w:rsid w:val="00B1341C"/>
    <w:rsid w:val="00B1351D"/>
    <w:rsid w:val="00B13880"/>
    <w:rsid w:val="00B13916"/>
    <w:rsid w:val="00B14A0D"/>
    <w:rsid w:val="00B14C50"/>
    <w:rsid w:val="00B14ED4"/>
    <w:rsid w:val="00B15035"/>
    <w:rsid w:val="00B152AA"/>
    <w:rsid w:val="00B158AA"/>
    <w:rsid w:val="00B15964"/>
    <w:rsid w:val="00B15AC7"/>
    <w:rsid w:val="00B15BB8"/>
    <w:rsid w:val="00B15BD5"/>
    <w:rsid w:val="00B15FB5"/>
    <w:rsid w:val="00B15FD5"/>
    <w:rsid w:val="00B16454"/>
    <w:rsid w:val="00B1651C"/>
    <w:rsid w:val="00B16AF8"/>
    <w:rsid w:val="00B16B5C"/>
    <w:rsid w:val="00B16CA7"/>
    <w:rsid w:val="00B16CBA"/>
    <w:rsid w:val="00B17050"/>
    <w:rsid w:val="00B17379"/>
    <w:rsid w:val="00B17534"/>
    <w:rsid w:val="00B17770"/>
    <w:rsid w:val="00B178D6"/>
    <w:rsid w:val="00B179BF"/>
    <w:rsid w:val="00B17A79"/>
    <w:rsid w:val="00B17CEE"/>
    <w:rsid w:val="00B17F34"/>
    <w:rsid w:val="00B17F6B"/>
    <w:rsid w:val="00B2008A"/>
    <w:rsid w:val="00B20402"/>
    <w:rsid w:val="00B20842"/>
    <w:rsid w:val="00B20FBE"/>
    <w:rsid w:val="00B21A0F"/>
    <w:rsid w:val="00B21E0E"/>
    <w:rsid w:val="00B21E22"/>
    <w:rsid w:val="00B22320"/>
    <w:rsid w:val="00B227A3"/>
    <w:rsid w:val="00B22B0D"/>
    <w:rsid w:val="00B22B7A"/>
    <w:rsid w:val="00B23302"/>
    <w:rsid w:val="00B2371D"/>
    <w:rsid w:val="00B23798"/>
    <w:rsid w:val="00B23CDB"/>
    <w:rsid w:val="00B23E11"/>
    <w:rsid w:val="00B2431D"/>
    <w:rsid w:val="00B243C8"/>
    <w:rsid w:val="00B24829"/>
    <w:rsid w:val="00B249E0"/>
    <w:rsid w:val="00B24A4E"/>
    <w:rsid w:val="00B24B56"/>
    <w:rsid w:val="00B24B75"/>
    <w:rsid w:val="00B24E2F"/>
    <w:rsid w:val="00B24F27"/>
    <w:rsid w:val="00B25154"/>
    <w:rsid w:val="00B2533C"/>
    <w:rsid w:val="00B25638"/>
    <w:rsid w:val="00B2586F"/>
    <w:rsid w:val="00B258E7"/>
    <w:rsid w:val="00B25B43"/>
    <w:rsid w:val="00B25E65"/>
    <w:rsid w:val="00B26538"/>
    <w:rsid w:val="00B266B9"/>
    <w:rsid w:val="00B2683D"/>
    <w:rsid w:val="00B26985"/>
    <w:rsid w:val="00B269C3"/>
    <w:rsid w:val="00B26ADC"/>
    <w:rsid w:val="00B26ADE"/>
    <w:rsid w:val="00B26BE1"/>
    <w:rsid w:val="00B26DE6"/>
    <w:rsid w:val="00B27233"/>
    <w:rsid w:val="00B276D1"/>
    <w:rsid w:val="00B27862"/>
    <w:rsid w:val="00B27A08"/>
    <w:rsid w:val="00B27C51"/>
    <w:rsid w:val="00B27CA1"/>
    <w:rsid w:val="00B27FE7"/>
    <w:rsid w:val="00B3004E"/>
    <w:rsid w:val="00B30359"/>
    <w:rsid w:val="00B305BF"/>
    <w:rsid w:val="00B3070A"/>
    <w:rsid w:val="00B30D3E"/>
    <w:rsid w:val="00B30DB5"/>
    <w:rsid w:val="00B312D2"/>
    <w:rsid w:val="00B314AB"/>
    <w:rsid w:val="00B31F65"/>
    <w:rsid w:val="00B3211D"/>
    <w:rsid w:val="00B32170"/>
    <w:rsid w:val="00B32845"/>
    <w:rsid w:val="00B3288B"/>
    <w:rsid w:val="00B32D5B"/>
    <w:rsid w:val="00B32D93"/>
    <w:rsid w:val="00B33165"/>
    <w:rsid w:val="00B33213"/>
    <w:rsid w:val="00B334F0"/>
    <w:rsid w:val="00B33699"/>
    <w:rsid w:val="00B337A2"/>
    <w:rsid w:val="00B33895"/>
    <w:rsid w:val="00B338EF"/>
    <w:rsid w:val="00B3392A"/>
    <w:rsid w:val="00B33E0C"/>
    <w:rsid w:val="00B33EAD"/>
    <w:rsid w:val="00B34114"/>
    <w:rsid w:val="00B3429B"/>
    <w:rsid w:val="00B34374"/>
    <w:rsid w:val="00B34AA6"/>
    <w:rsid w:val="00B34EAF"/>
    <w:rsid w:val="00B35195"/>
    <w:rsid w:val="00B351EA"/>
    <w:rsid w:val="00B352CF"/>
    <w:rsid w:val="00B35452"/>
    <w:rsid w:val="00B3563E"/>
    <w:rsid w:val="00B356EF"/>
    <w:rsid w:val="00B35A01"/>
    <w:rsid w:val="00B35F3B"/>
    <w:rsid w:val="00B36963"/>
    <w:rsid w:val="00B36F04"/>
    <w:rsid w:val="00B36F1C"/>
    <w:rsid w:val="00B370C3"/>
    <w:rsid w:val="00B37525"/>
    <w:rsid w:val="00B378CF"/>
    <w:rsid w:val="00B37CE4"/>
    <w:rsid w:val="00B37E3D"/>
    <w:rsid w:val="00B4029B"/>
    <w:rsid w:val="00B4035C"/>
    <w:rsid w:val="00B40490"/>
    <w:rsid w:val="00B4079C"/>
    <w:rsid w:val="00B40914"/>
    <w:rsid w:val="00B40942"/>
    <w:rsid w:val="00B4099E"/>
    <w:rsid w:val="00B409B8"/>
    <w:rsid w:val="00B40C14"/>
    <w:rsid w:val="00B41F3E"/>
    <w:rsid w:val="00B420A1"/>
    <w:rsid w:val="00B422EA"/>
    <w:rsid w:val="00B42570"/>
    <w:rsid w:val="00B426CC"/>
    <w:rsid w:val="00B428A8"/>
    <w:rsid w:val="00B428BD"/>
    <w:rsid w:val="00B42909"/>
    <w:rsid w:val="00B42973"/>
    <w:rsid w:val="00B429BC"/>
    <w:rsid w:val="00B42DC7"/>
    <w:rsid w:val="00B43576"/>
    <w:rsid w:val="00B435A9"/>
    <w:rsid w:val="00B439DC"/>
    <w:rsid w:val="00B439F0"/>
    <w:rsid w:val="00B43D24"/>
    <w:rsid w:val="00B43D53"/>
    <w:rsid w:val="00B4436C"/>
    <w:rsid w:val="00B44423"/>
    <w:rsid w:val="00B4498F"/>
    <w:rsid w:val="00B449C8"/>
    <w:rsid w:val="00B44DDA"/>
    <w:rsid w:val="00B44E2F"/>
    <w:rsid w:val="00B451DC"/>
    <w:rsid w:val="00B4563C"/>
    <w:rsid w:val="00B45955"/>
    <w:rsid w:val="00B45E4B"/>
    <w:rsid w:val="00B4604A"/>
    <w:rsid w:val="00B465C3"/>
    <w:rsid w:val="00B4683B"/>
    <w:rsid w:val="00B4687B"/>
    <w:rsid w:val="00B46B67"/>
    <w:rsid w:val="00B46E23"/>
    <w:rsid w:val="00B46F5F"/>
    <w:rsid w:val="00B47042"/>
    <w:rsid w:val="00B478F7"/>
    <w:rsid w:val="00B479C1"/>
    <w:rsid w:val="00B47B8F"/>
    <w:rsid w:val="00B5012D"/>
    <w:rsid w:val="00B50262"/>
    <w:rsid w:val="00B503EA"/>
    <w:rsid w:val="00B506B9"/>
    <w:rsid w:val="00B50A80"/>
    <w:rsid w:val="00B51081"/>
    <w:rsid w:val="00B5124C"/>
    <w:rsid w:val="00B51657"/>
    <w:rsid w:val="00B51C52"/>
    <w:rsid w:val="00B51C6F"/>
    <w:rsid w:val="00B5255E"/>
    <w:rsid w:val="00B52713"/>
    <w:rsid w:val="00B52763"/>
    <w:rsid w:val="00B527B9"/>
    <w:rsid w:val="00B52CD9"/>
    <w:rsid w:val="00B5322B"/>
    <w:rsid w:val="00B532E5"/>
    <w:rsid w:val="00B533AD"/>
    <w:rsid w:val="00B5375F"/>
    <w:rsid w:val="00B537DE"/>
    <w:rsid w:val="00B539D4"/>
    <w:rsid w:val="00B53E68"/>
    <w:rsid w:val="00B545D8"/>
    <w:rsid w:val="00B54922"/>
    <w:rsid w:val="00B54A6B"/>
    <w:rsid w:val="00B54E91"/>
    <w:rsid w:val="00B54FE5"/>
    <w:rsid w:val="00B55151"/>
    <w:rsid w:val="00B555FC"/>
    <w:rsid w:val="00B556F8"/>
    <w:rsid w:val="00B558B0"/>
    <w:rsid w:val="00B55A54"/>
    <w:rsid w:val="00B55A60"/>
    <w:rsid w:val="00B55F30"/>
    <w:rsid w:val="00B56308"/>
    <w:rsid w:val="00B56487"/>
    <w:rsid w:val="00B566FF"/>
    <w:rsid w:val="00B56935"/>
    <w:rsid w:val="00B56F80"/>
    <w:rsid w:val="00B571F1"/>
    <w:rsid w:val="00B5727C"/>
    <w:rsid w:val="00B576C5"/>
    <w:rsid w:val="00B57A84"/>
    <w:rsid w:val="00B57AAE"/>
    <w:rsid w:val="00B57BC9"/>
    <w:rsid w:val="00B57C44"/>
    <w:rsid w:val="00B57D7E"/>
    <w:rsid w:val="00B57DCB"/>
    <w:rsid w:val="00B60C27"/>
    <w:rsid w:val="00B60FEE"/>
    <w:rsid w:val="00B612DF"/>
    <w:rsid w:val="00B61338"/>
    <w:rsid w:val="00B614E7"/>
    <w:rsid w:val="00B617D4"/>
    <w:rsid w:val="00B619A6"/>
    <w:rsid w:val="00B61DB4"/>
    <w:rsid w:val="00B61E15"/>
    <w:rsid w:val="00B62897"/>
    <w:rsid w:val="00B62E44"/>
    <w:rsid w:val="00B62F0A"/>
    <w:rsid w:val="00B62F5A"/>
    <w:rsid w:val="00B62F6A"/>
    <w:rsid w:val="00B62FC1"/>
    <w:rsid w:val="00B6322B"/>
    <w:rsid w:val="00B63534"/>
    <w:rsid w:val="00B638BB"/>
    <w:rsid w:val="00B63A66"/>
    <w:rsid w:val="00B63CBA"/>
    <w:rsid w:val="00B64040"/>
    <w:rsid w:val="00B641EC"/>
    <w:rsid w:val="00B648E2"/>
    <w:rsid w:val="00B64951"/>
    <w:rsid w:val="00B65387"/>
    <w:rsid w:val="00B65487"/>
    <w:rsid w:val="00B6556F"/>
    <w:rsid w:val="00B65775"/>
    <w:rsid w:val="00B6584F"/>
    <w:rsid w:val="00B6593D"/>
    <w:rsid w:val="00B65A1D"/>
    <w:rsid w:val="00B66450"/>
    <w:rsid w:val="00B664DA"/>
    <w:rsid w:val="00B66F60"/>
    <w:rsid w:val="00B66F91"/>
    <w:rsid w:val="00B67034"/>
    <w:rsid w:val="00B671E9"/>
    <w:rsid w:val="00B67328"/>
    <w:rsid w:val="00B67AD9"/>
    <w:rsid w:val="00B67D10"/>
    <w:rsid w:val="00B67D72"/>
    <w:rsid w:val="00B67D8F"/>
    <w:rsid w:val="00B702E2"/>
    <w:rsid w:val="00B703A0"/>
    <w:rsid w:val="00B7054D"/>
    <w:rsid w:val="00B70684"/>
    <w:rsid w:val="00B70846"/>
    <w:rsid w:val="00B708BF"/>
    <w:rsid w:val="00B70E90"/>
    <w:rsid w:val="00B710FD"/>
    <w:rsid w:val="00B711DC"/>
    <w:rsid w:val="00B71479"/>
    <w:rsid w:val="00B71809"/>
    <w:rsid w:val="00B71AE9"/>
    <w:rsid w:val="00B71DAC"/>
    <w:rsid w:val="00B723B8"/>
    <w:rsid w:val="00B72B52"/>
    <w:rsid w:val="00B72B63"/>
    <w:rsid w:val="00B72E04"/>
    <w:rsid w:val="00B72ED0"/>
    <w:rsid w:val="00B732BD"/>
    <w:rsid w:val="00B735B5"/>
    <w:rsid w:val="00B737EB"/>
    <w:rsid w:val="00B73903"/>
    <w:rsid w:val="00B7414F"/>
    <w:rsid w:val="00B741C6"/>
    <w:rsid w:val="00B749FD"/>
    <w:rsid w:val="00B74ADB"/>
    <w:rsid w:val="00B74B39"/>
    <w:rsid w:val="00B74D7A"/>
    <w:rsid w:val="00B754E3"/>
    <w:rsid w:val="00B75D15"/>
    <w:rsid w:val="00B75FEA"/>
    <w:rsid w:val="00B764CF"/>
    <w:rsid w:val="00B76626"/>
    <w:rsid w:val="00B769F6"/>
    <w:rsid w:val="00B76D14"/>
    <w:rsid w:val="00B76D7E"/>
    <w:rsid w:val="00B772B8"/>
    <w:rsid w:val="00B774A9"/>
    <w:rsid w:val="00B77CEC"/>
    <w:rsid w:val="00B77E29"/>
    <w:rsid w:val="00B77EA6"/>
    <w:rsid w:val="00B80208"/>
    <w:rsid w:val="00B80398"/>
    <w:rsid w:val="00B8039A"/>
    <w:rsid w:val="00B808C0"/>
    <w:rsid w:val="00B80C72"/>
    <w:rsid w:val="00B80F5F"/>
    <w:rsid w:val="00B810B0"/>
    <w:rsid w:val="00B8113C"/>
    <w:rsid w:val="00B8133B"/>
    <w:rsid w:val="00B81D9E"/>
    <w:rsid w:val="00B82091"/>
    <w:rsid w:val="00B821B1"/>
    <w:rsid w:val="00B8291A"/>
    <w:rsid w:val="00B835BE"/>
    <w:rsid w:val="00B83F65"/>
    <w:rsid w:val="00B843C4"/>
    <w:rsid w:val="00B84877"/>
    <w:rsid w:val="00B848FD"/>
    <w:rsid w:val="00B84905"/>
    <w:rsid w:val="00B84CB0"/>
    <w:rsid w:val="00B8507C"/>
    <w:rsid w:val="00B850C7"/>
    <w:rsid w:val="00B8514E"/>
    <w:rsid w:val="00B858A9"/>
    <w:rsid w:val="00B858F7"/>
    <w:rsid w:val="00B85B05"/>
    <w:rsid w:val="00B85D4E"/>
    <w:rsid w:val="00B85EC7"/>
    <w:rsid w:val="00B85F2D"/>
    <w:rsid w:val="00B85F70"/>
    <w:rsid w:val="00B86060"/>
    <w:rsid w:val="00B868DF"/>
    <w:rsid w:val="00B86938"/>
    <w:rsid w:val="00B86CDC"/>
    <w:rsid w:val="00B86F52"/>
    <w:rsid w:val="00B878C3"/>
    <w:rsid w:val="00B87ADD"/>
    <w:rsid w:val="00B87C65"/>
    <w:rsid w:val="00B87F87"/>
    <w:rsid w:val="00B900D3"/>
    <w:rsid w:val="00B904D3"/>
    <w:rsid w:val="00B906F0"/>
    <w:rsid w:val="00B90775"/>
    <w:rsid w:val="00B9117B"/>
    <w:rsid w:val="00B91467"/>
    <w:rsid w:val="00B917DA"/>
    <w:rsid w:val="00B91995"/>
    <w:rsid w:val="00B91BBD"/>
    <w:rsid w:val="00B91C6C"/>
    <w:rsid w:val="00B920BC"/>
    <w:rsid w:val="00B9238A"/>
    <w:rsid w:val="00B92C98"/>
    <w:rsid w:val="00B9317E"/>
    <w:rsid w:val="00B93413"/>
    <w:rsid w:val="00B93456"/>
    <w:rsid w:val="00B9368D"/>
    <w:rsid w:val="00B93779"/>
    <w:rsid w:val="00B9393A"/>
    <w:rsid w:val="00B940D0"/>
    <w:rsid w:val="00B9466C"/>
    <w:rsid w:val="00B94911"/>
    <w:rsid w:val="00B94D03"/>
    <w:rsid w:val="00B94F38"/>
    <w:rsid w:val="00B950EC"/>
    <w:rsid w:val="00B9528E"/>
    <w:rsid w:val="00B95390"/>
    <w:rsid w:val="00B95419"/>
    <w:rsid w:val="00B955FD"/>
    <w:rsid w:val="00B958EB"/>
    <w:rsid w:val="00B95D19"/>
    <w:rsid w:val="00B95D86"/>
    <w:rsid w:val="00B95EFD"/>
    <w:rsid w:val="00B9618E"/>
    <w:rsid w:val="00B9638C"/>
    <w:rsid w:val="00B9684E"/>
    <w:rsid w:val="00B96E1D"/>
    <w:rsid w:val="00B97190"/>
    <w:rsid w:val="00B972B1"/>
    <w:rsid w:val="00B97342"/>
    <w:rsid w:val="00B975D7"/>
    <w:rsid w:val="00B97627"/>
    <w:rsid w:val="00B97972"/>
    <w:rsid w:val="00B97AA3"/>
    <w:rsid w:val="00B97C18"/>
    <w:rsid w:val="00B99937"/>
    <w:rsid w:val="00BA047E"/>
    <w:rsid w:val="00BA0545"/>
    <w:rsid w:val="00BA056A"/>
    <w:rsid w:val="00BA079B"/>
    <w:rsid w:val="00BA09B5"/>
    <w:rsid w:val="00BA0AB7"/>
    <w:rsid w:val="00BA1331"/>
    <w:rsid w:val="00BA1BD0"/>
    <w:rsid w:val="00BA1C60"/>
    <w:rsid w:val="00BA1E52"/>
    <w:rsid w:val="00BA205C"/>
    <w:rsid w:val="00BA22B2"/>
    <w:rsid w:val="00BA249E"/>
    <w:rsid w:val="00BA2AF5"/>
    <w:rsid w:val="00BA2B2D"/>
    <w:rsid w:val="00BA2D6D"/>
    <w:rsid w:val="00BA2E34"/>
    <w:rsid w:val="00BA3040"/>
    <w:rsid w:val="00BA3090"/>
    <w:rsid w:val="00BA34F5"/>
    <w:rsid w:val="00BA3607"/>
    <w:rsid w:val="00BA372F"/>
    <w:rsid w:val="00BA3A5A"/>
    <w:rsid w:val="00BA3B32"/>
    <w:rsid w:val="00BA3B3B"/>
    <w:rsid w:val="00BA3DFE"/>
    <w:rsid w:val="00BA3E93"/>
    <w:rsid w:val="00BA49AB"/>
    <w:rsid w:val="00BA4BA4"/>
    <w:rsid w:val="00BA5196"/>
    <w:rsid w:val="00BA5705"/>
    <w:rsid w:val="00BA587F"/>
    <w:rsid w:val="00BA5A6D"/>
    <w:rsid w:val="00BA6100"/>
    <w:rsid w:val="00BA643E"/>
    <w:rsid w:val="00BA6ABA"/>
    <w:rsid w:val="00BA6D07"/>
    <w:rsid w:val="00BA6E39"/>
    <w:rsid w:val="00BA6E56"/>
    <w:rsid w:val="00BA6F7C"/>
    <w:rsid w:val="00BA748F"/>
    <w:rsid w:val="00BA75DC"/>
    <w:rsid w:val="00BA77B9"/>
    <w:rsid w:val="00BA793B"/>
    <w:rsid w:val="00BA79C5"/>
    <w:rsid w:val="00BA7BDD"/>
    <w:rsid w:val="00BA7DFF"/>
    <w:rsid w:val="00BA7E1B"/>
    <w:rsid w:val="00BB01D3"/>
    <w:rsid w:val="00BB05AA"/>
    <w:rsid w:val="00BB07DD"/>
    <w:rsid w:val="00BB106D"/>
    <w:rsid w:val="00BB1306"/>
    <w:rsid w:val="00BB139A"/>
    <w:rsid w:val="00BB1944"/>
    <w:rsid w:val="00BB1A03"/>
    <w:rsid w:val="00BB1D40"/>
    <w:rsid w:val="00BB25F2"/>
    <w:rsid w:val="00BB2C8E"/>
    <w:rsid w:val="00BB2F22"/>
    <w:rsid w:val="00BB2FAA"/>
    <w:rsid w:val="00BB31F3"/>
    <w:rsid w:val="00BB3581"/>
    <w:rsid w:val="00BB37E7"/>
    <w:rsid w:val="00BB383D"/>
    <w:rsid w:val="00BB39BF"/>
    <w:rsid w:val="00BB3A2A"/>
    <w:rsid w:val="00BB3E30"/>
    <w:rsid w:val="00BB400F"/>
    <w:rsid w:val="00BB4181"/>
    <w:rsid w:val="00BB435A"/>
    <w:rsid w:val="00BB466D"/>
    <w:rsid w:val="00BB4C2B"/>
    <w:rsid w:val="00BB4C85"/>
    <w:rsid w:val="00BB4DF7"/>
    <w:rsid w:val="00BB4F1F"/>
    <w:rsid w:val="00BB52DA"/>
    <w:rsid w:val="00BB563E"/>
    <w:rsid w:val="00BB585F"/>
    <w:rsid w:val="00BB5889"/>
    <w:rsid w:val="00BB60A4"/>
    <w:rsid w:val="00BB63FB"/>
    <w:rsid w:val="00BB6755"/>
    <w:rsid w:val="00BB69E1"/>
    <w:rsid w:val="00BB6B65"/>
    <w:rsid w:val="00BB6C59"/>
    <w:rsid w:val="00BB6DE6"/>
    <w:rsid w:val="00BB6ED2"/>
    <w:rsid w:val="00BB6F88"/>
    <w:rsid w:val="00BB7036"/>
    <w:rsid w:val="00BB7127"/>
    <w:rsid w:val="00BB7154"/>
    <w:rsid w:val="00BB7370"/>
    <w:rsid w:val="00BB73EF"/>
    <w:rsid w:val="00BB742B"/>
    <w:rsid w:val="00BB745A"/>
    <w:rsid w:val="00BB7617"/>
    <w:rsid w:val="00BB7830"/>
    <w:rsid w:val="00BB7A63"/>
    <w:rsid w:val="00BB7A90"/>
    <w:rsid w:val="00BB7AD0"/>
    <w:rsid w:val="00BB7D9F"/>
    <w:rsid w:val="00BB7DCD"/>
    <w:rsid w:val="00BC00B2"/>
    <w:rsid w:val="00BC0121"/>
    <w:rsid w:val="00BC0317"/>
    <w:rsid w:val="00BC0460"/>
    <w:rsid w:val="00BC04A3"/>
    <w:rsid w:val="00BC0566"/>
    <w:rsid w:val="00BC0D04"/>
    <w:rsid w:val="00BC0F97"/>
    <w:rsid w:val="00BC1BAF"/>
    <w:rsid w:val="00BC1D89"/>
    <w:rsid w:val="00BC1FBB"/>
    <w:rsid w:val="00BC231D"/>
    <w:rsid w:val="00BC25A2"/>
    <w:rsid w:val="00BC291D"/>
    <w:rsid w:val="00BC2A2F"/>
    <w:rsid w:val="00BC2CCB"/>
    <w:rsid w:val="00BC2E88"/>
    <w:rsid w:val="00BC32A2"/>
    <w:rsid w:val="00BC3336"/>
    <w:rsid w:val="00BC36C4"/>
    <w:rsid w:val="00BC3846"/>
    <w:rsid w:val="00BC39CA"/>
    <w:rsid w:val="00BC3C78"/>
    <w:rsid w:val="00BC3E8C"/>
    <w:rsid w:val="00BC4108"/>
    <w:rsid w:val="00BC422F"/>
    <w:rsid w:val="00BC4BDC"/>
    <w:rsid w:val="00BC4C2E"/>
    <w:rsid w:val="00BC4DF8"/>
    <w:rsid w:val="00BC530F"/>
    <w:rsid w:val="00BC53E9"/>
    <w:rsid w:val="00BC5746"/>
    <w:rsid w:val="00BC5872"/>
    <w:rsid w:val="00BC5C11"/>
    <w:rsid w:val="00BC5D82"/>
    <w:rsid w:val="00BC5DA3"/>
    <w:rsid w:val="00BC5EC1"/>
    <w:rsid w:val="00BC60AE"/>
    <w:rsid w:val="00BC6318"/>
    <w:rsid w:val="00BC641F"/>
    <w:rsid w:val="00BC678E"/>
    <w:rsid w:val="00BC6BF4"/>
    <w:rsid w:val="00BC6DB0"/>
    <w:rsid w:val="00BC6DE6"/>
    <w:rsid w:val="00BC6E71"/>
    <w:rsid w:val="00BC744B"/>
    <w:rsid w:val="00BC7569"/>
    <w:rsid w:val="00BC7730"/>
    <w:rsid w:val="00BC7914"/>
    <w:rsid w:val="00BC79FF"/>
    <w:rsid w:val="00BC7CB7"/>
    <w:rsid w:val="00BC7D09"/>
    <w:rsid w:val="00BC7EF5"/>
    <w:rsid w:val="00BD003E"/>
    <w:rsid w:val="00BD0261"/>
    <w:rsid w:val="00BD0FF4"/>
    <w:rsid w:val="00BD1199"/>
    <w:rsid w:val="00BD137F"/>
    <w:rsid w:val="00BD139C"/>
    <w:rsid w:val="00BD1824"/>
    <w:rsid w:val="00BD1832"/>
    <w:rsid w:val="00BD1CBF"/>
    <w:rsid w:val="00BD1F27"/>
    <w:rsid w:val="00BD1FA3"/>
    <w:rsid w:val="00BD22C2"/>
    <w:rsid w:val="00BD235B"/>
    <w:rsid w:val="00BD2422"/>
    <w:rsid w:val="00BD2EB1"/>
    <w:rsid w:val="00BD3C8A"/>
    <w:rsid w:val="00BD3CA3"/>
    <w:rsid w:val="00BD3D1D"/>
    <w:rsid w:val="00BD4104"/>
    <w:rsid w:val="00BD4194"/>
    <w:rsid w:val="00BD44FE"/>
    <w:rsid w:val="00BD4596"/>
    <w:rsid w:val="00BD493A"/>
    <w:rsid w:val="00BD4AFD"/>
    <w:rsid w:val="00BD4B96"/>
    <w:rsid w:val="00BD500A"/>
    <w:rsid w:val="00BD51A4"/>
    <w:rsid w:val="00BD526C"/>
    <w:rsid w:val="00BD52E8"/>
    <w:rsid w:val="00BD5419"/>
    <w:rsid w:val="00BD576F"/>
    <w:rsid w:val="00BD583B"/>
    <w:rsid w:val="00BD5D2B"/>
    <w:rsid w:val="00BD5F02"/>
    <w:rsid w:val="00BD6096"/>
    <w:rsid w:val="00BD6273"/>
    <w:rsid w:val="00BD630F"/>
    <w:rsid w:val="00BD6424"/>
    <w:rsid w:val="00BD676A"/>
    <w:rsid w:val="00BD6912"/>
    <w:rsid w:val="00BD69BD"/>
    <w:rsid w:val="00BD6E08"/>
    <w:rsid w:val="00BD6E99"/>
    <w:rsid w:val="00BD6FEE"/>
    <w:rsid w:val="00BD7298"/>
    <w:rsid w:val="00BD73A6"/>
    <w:rsid w:val="00BD74AA"/>
    <w:rsid w:val="00BD778A"/>
    <w:rsid w:val="00BD79F5"/>
    <w:rsid w:val="00BD7D8C"/>
    <w:rsid w:val="00BD7F12"/>
    <w:rsid w:val="00BE021B"/>
    <w:rsid w:val="00BE06FE"/>
    <w:rsid w:val="00BE0C99"/>
    <w:rsid w:val="00BE147B"/>
    <w:rsid w:val="00BE14BC"/>
    <w:rsid w:val="00BE153C"/>
    <w:rsid w:val="00BE1CE2"/>
    <w:rsid w:val="00BE1CF7"/>
    <w:rsid w:val="00BE1E29"/>
    <w:rsid w:val="00BE1E8C"/>
    <w:rsid w:val="00BE1F08"/>
    <w:rsid w:val="00BE204F"/>
    <w:rsid w:val="00BE20CC"/>
    <w:rsid w:val="00BE2365"/>
    <w:rsid w:val="00BE245B"/>
    <w:rsid w:val="00BE24EF"/>
    <w:rsid w:val="00BE26CE"/>
    <w:rsid w:val="00BE2871"/>
    <w:rsid w:val="00BE29CA"/>
    <w:rsid w:val="00BE337A"/>
    <w:rsid w:val="00BE3CB0"/>
    <w:rsid w:val="00BE3CC5"/>
    <w:rsid w:val="00BE3D36"/>
    <w:rsid w:val="00BE3D44"/>
    <w:rsid w:val="00BE4150"/>
    <w:rsid w:val="00BE4484"/>
    <w:rsid w:val="00BE49DB"/>
    <w:rsid w:val="00BE4AC4"/>
    <w:rsid w:val="00BE4CAB"/>
    <w:rsid w:val="00BE5067"/>
    <w:rsid w:val="00BE50B7"/>
    <w:rsid w:val="00BE59F0"/>
    <w:rsid w:val="00BE5C20"/>
    <w:rsid w:val="00BE5F4E"/>
    <w:rsid w:val="00BE5FE9"/>
    <w:rsid w:val="00BE6386"/>
    <w:rsid w:val="00BE64CF"/>
    <w:rsid w:val="00BE6570"/>
    <w:rsid w:val="00BE65A1"/>
    <w:rsid w:val="00BE697B"/>
    <w:rsid w:val="00BE735D"/>
    <w:rsid w:val="00BE73E8"/>
    <w:rsid w:val="00BE7D41"/>
    <w:rsid w:val="00BE7F0D"/>
    <w:rsid w:val="00BF0024"/>
    <w:rsid w:val="00BF0079"/>
    <w:rsid w:val="00BF024C"/>
    <w:rsid w:val="00BF0A97"/>
    <w:rsid w:val="00BF0D82"/>
    <w:rsid w:val="00BF11ED"/>
    <w:rsid w:val="00BF12D1"/>
    <w:rsid w:val="00BF1445"/>
    <w:rsid w:val="00BF1551"/>
    <w:rsid w:val="00BF1558"/>
    <w:rsid w:val="00BF16CF"/>
    <w:rsid w:val="00BF1702"/>
    <w:rsid w:val="00BF172C"/>
    <w:rsid w:val="00BF1AB7"/>
    <w:rsid w:val="00BF2114"/>
    <w:rsid w:val="00BF22CF"/>
    <w:rsid w:val="00BF2454"/>
    <w:rsid w:val="00BF27C7"/>
    <w:rsid w:val="00BF2EA6"/>
    <w:rsid w:val="00BF2FE2"/>
    <w:rsid w:val="00BF369C"/>
    <w:rsid w:val="00BF3BB0"/>
    <w:rsid w:val="00BF3C6F"/>
    <w:rsid w:val="00BF3CA9"/>
    <w:rsid w:val="00BF40AF"/>
    <w:rsid w:val="00BF4984"/>
    <w:rsid w:val="00BF4BD8"/>
    <w:rsid w:val="00BF4C1A"/>
    <w:rsid w:val="00BF4CAD"/>
    <w:rsid w:val="00BF4E0B"/>
    <w:rsid w:val="00BF4F5E"/>
    <w:rsid w:val="00BF55DF"/>
    <w:rsid w:val="00BF5CAB"/>
    <w:rsid w:val="00BF6F46"/>
    <w:rsid w:val="00BF721C"/>
    <w:rsid w:val="00BF7357"/>
    <w:rsid w:val="00BF7950"/>
    <w:rsid w:val="00BF7C3F"/>
    <w:rsid w:val="00C0019A"/>
    <w:rsid w:val="00C001F6"/>
    <w:rsid w:val="00C004F2"/>
    <w:rsid w:val="00C00804"/>
    <w:rsid w:val="00C00954"/>
    <w:rsid w:val="00C00C01"/>
    <w:rsid w:val="00C01511"/>
    <w:rsid w:val="00C01558"/>
    <w:rsid w:val="00C0174F"/>
    <w:rsid w:val="00C018F3"/>
    <w:rsid w:val="00C01B8A"/>
    <w:rsid w:val="00C01DC0"/>
    <w:rsid w:val="00C01DD9"/>
    <w:rsid w:val="00C02111"/>
    <w:rsid w:val="00C02208"/>
    <w:rsid w:val="00C0229C"/>
    <w:rsid w:val="00C0239C"/>
    <w:rsid w:val="00C02498"/>
    <w:rsid w:val="00C025E2"/>
    <w:rsid w:val="00C02643"/>
    <w:rsid w:val="00C0295C"/>
    <w:rsid w:val="00C029F9"/>
    <w:rsid w:val="00C02D10"/>
    <w:rsid w:val="00C02E59"/>
    <w:rsid w:val="00C02FED"/>
    <w:rsid w:val="00C03138"/>
    <w:rsid w:val="00C033F4"/>
    <w:rsid w:val="00C03557"/>
    <w:rsid w:val="00C03783"/>
    <w:rsid w:val="00C03B8F"/>
    <w:rsid w:val="00C03D58"/>
    <w:rsid w:val="00C03DC9"/>
    <w:rsid w:val="00C0410B"/>
    <w:rsid w:val="00C04193"/>
    <w:rsid w:val="00C045CC"/>
    <w:rsid w:val="00C04868"/>
    <w:rsid w:val="00C04A13"/>
    <w:rsid w:val="00C04F59"/>
    <w:rsid w:val="00C05204"/>
    <w:rsid w:val="00C052C4"/>
    <w:rsid w:val="00C052D5"/>
    <w:rsid w:val="00C05573"/>
    <w:rsid w:val="00C05736"/>
    <w:rsid w:val="00C05E7F"/>
    <w:rsid w:val="00C0610E"/>
    <w:rsid w:val="00C06879"/>
    <w:rsid w:val="00C06A00"/>
    <w:rsid w:val="00C06A3E"/>
    <w:rsid w:val="00C06CAD"/>
    <w:rsid w:val="00C06E02"/>
    <w:rsid w:val="00C06E90"/>
    <w:rsid w:val="00C0717C"/>
    <w:rsid w:val="00C0718B"/>
    <w:rsid w:val="00C071B6"/>
    <w:rsid w:val="00C07304"/>
    <w:rsid w:val="00C0763B"/>
    <w:rsid w:val="00C07BDD"/>
    <w:rsid w:val="00C07CCD"/>
    <w:rsid w:val="00C10207"/>
    <w:rsid w:val="00C102A6"/>
    <w:rsid w:val="00C10544"/>
    <w:rsid w:val="00C106D9"/>
    <w:rsid w:val="00C106ED"/>
    <w:rsid w:val="00C10B4C"/>
    <w:rsid w:val="00C10FF5"/>
    <w:rsid w:val="00C11709"/>
    <w:rsid w:val="00C12512"/>
    <w:rsid w:val="00C1287D"/>
    <w:rsid w:val="00C12C5F"/>
    <w:rsid w:val="00C12E38"/>
    <w:rsid w:val="00C1368E"/>
    <w:rsid w:val="00C13B24"/>
    <w:rsid w:val="00C13C24"/>
    <w:rsid w:val="00C1412F"/>
    <w:rsid w:val="00C1416D"/>
    <w:rsid w:val="00C1482E"/>
    <w:rsid w:val="00C14A27"/>
    <w:rsid w:val="00C14E9C"/>
    <w:rsid w:val="00C15008"/>
    <w:rsid w:val="00C150F9"/>
    <w:rsid w:val="00C1544E"/>
    <w:rsid w:val="00C1577A"/>
    <w:rsid w:val="00C15A04"/>
    <w:rsid w:val="00C15BC0"/>
    <w:rsid w:val="00C15C3A"/>
    <w:rsid w:val="00C15DA1"/>
    <w:rsid w:val="00C15E65"/>
    <w:rsid w:val="00C160C3"/>
    <w:rsid w:val="00C160F5"/>
    <w:rsid w:val="00C1624B"/>
    <w:rsid w:val="00C162CE"/>
    <w:rsid w:val="00C16432"/>
    <w:rsid w:val="00C16749"/>
    <w:rsid w:val="00C16B8E"/>
    <w:rsid w:val="00C16BA8"/>
    <w:rsid w:val="00C16FA7"/>
    <w:rsid w:val="00C17115"/>
    <w:rsid w:val="00C1731B"/>
    <w:rsid w:val="00C1733C"/>
    <w:rsid w:val="00C174C3"/>
    <w:rsid w:val="00C1755E"/>
    <w:rsid w:val="00C175C9"/>
    <w:rsid w:val="00C1767A"/>
    <w:rsid w:val="00C17AA6"/>
    <w:rsid w:val="00C17C82"/>
    <w:rsid w:val="00C201B7"/>
    <w:rsid w:val="00C2083D"/>
    <w:rsid w:val="00C20B79"/>
    <w:rsid w:val="00C20D84"/>
    <w:rsid w:val="00C20E66"/>
    <w:rsid w:val="00C21CD2"/>
    <w:rsid w:val="00C21FB5"/>
    <w:rsid w:val="00C2252D"/>
    <w:rsid w:val="00C225DD"/>
    <w:rsid w:val="00C226FC"/>
    <w:rsid w:val="00C2279A"/>
    <w:rsid w:val="00C227C0"/>
    <w:rsid w:val="00C22E04"/>
    <w:rsid w:val="00C22E47"/>
    <w:rsid w:val="00C22F59"/>
    <w:rsid w:val="00C23205"/>
    <w:rsid w:val="00C2324B"/>
    <w:rsid w:val="00C2380A"/>
    <w:rsid w:val="00C23EA4"/>
    <w:rsid w:val="00C23FF0"/>
    <w:rsid w:val="00C245ED"/>
    <w:rsid w:val="00C24A5F"/>
    <w:rsid w:val="00C250E6"/>
    <w:rsid w:val="00C25261"/>
    <w:rsid w:val="00C253EA"/>
    <w:rsid w:val="00C25871"/>
    <w:rsid w:val="00C25ED2"/>
    <w:rsid w:val="00C26103"/>
    <w:rsid w:val="00C26114"/>
    <w:rsid w:val="00C26217"/>
    <w:rsid w:val="00C26373"/>
    <w:rsid w:val="00C2639E"/>
    <w:rsid w:val="00C2643D"/>
    <w:rsid w:val="00C26F18"/>
    <w:rsid w:val="00C2711E"/>
    <w:rsid w:val="00C274D6"/>
    <w:rsid w:val="00C275BF"/>
    <w:rsid w:val="00C2778C"/>
    <w:rsid w:val="00C302FD"/>
    <w:rsid w:val="00C30560"/>
    <w:rsid w:val="00C30A41"/>
    <w:rsid w:val="00C30CFB"/>
    <w:rsid w:val="00C30D47"/>
    <w:rsid w:val="00C30DD1"/>
    <w:rsid w:val="00C30F97"/>
    <w:rsid w:val="00C3111A"/>
    <w:rsid w:val="00C31852"/>
    <w:rsid w:val="00C31A03"/>
    <w:rsid w:val="00C31FEA"/>
    <w:rsid w:val="00C32079"/>
    <w:rsid w:val="00C32174"/>
    <w:rsid w:val="00C3281B"/>
    <w:rsid w:val="00C32E9F"/>
    <w:rsid w:val="00C33799"/>
    <w:rsid w:val="00C338E2"/>
    <w:rsid w:val="00C33BC2"/>
    <w:rsid w:val="00C34017"/>
    <w:rsid w:val="00C34537"/>
    <w:rsid w:val="00C34692"/>
    <w:rsid w:val="00C346E5"/>
    <w:rsid w:val="00C348D6"/>
    <w:rsid w:val="00C34DBF"/>
    <w:rsid w:val="00C3502D"/>
    <w:rsid w:val="00C35292"/>
    <w:rsid w:val="00C352CB"/>
    <w:rsid w:val="00C355D0"/>
    <w:rsid w:val="00C35988"/>
    <w:rsid w:val="00C35F45"/>
    <w:rsid w:val="00C35F55"/>
    <w:rsid w:val="00C360C9"/>
    <w:rsid w:val="00C36488"/>
    <w:rsid w:val="00C3648D"/>
    <w:rsid w:val="00C36827"/>
    <w:rsid w:val="00C36FD8"/>
    <w:rsid w:val="00C375F7"/>
    <w:rsid w:val="00C37678"/>
    <w:rsid w:val="00C3798E"/>
    <w:rsid w:val="00C37EE4"/>
    <w:rsid w:val="00C37EEC"/>
    <w:rsid w:val="00C401E5"/>
    <w:rsid w:val="00C40223"/>
    <w:rsid w:val="00C40289"/>
    <w:rsid w:val="00C4083E"/>
    <w:rsid w:val="00C40A8E"/>
    <w:rsid w:val="00C40BAC"/>
    <w:rsid w:val="00C40E42"/>
    <w:rsid w:val="00C410A4"/>
    <w:rsid w:val="00C411ED"/>
    <w:rsid w:val="00C41560"/>
    <w:rsid w:val="00C41624"/>
    <w:rsid w:val="00C41C7E"/>
    <w:rsid w:val="00C41F09"/>
    <w:rsid w:val="00C42323"/>
    <w:rsid w:val="00C42AFC"/>
    <w:rsid w:val="00C42DE5"/>
    <w:rsid w:val="00C42E65"/>
    <w:rsid w:val="00C4352B"/>
    <w:rsid w:val="00C439B4"/>
    <w:rsid w:val="00C43A03"/>
    <w:rsid w:val="00C440C6"/>
    <w:rsid w:val="00C44644"/>
    <w:rsid w:val="00C449C4"/>
    <w:rsid w:val="00C4553C"/>
    <w:rsid w:val="00C45990"/>
    <w:rsid w:val="00C45AD4"/>
    <w:rsid w:val="00C45B1B"/>
    <w:rsid w:val="00C45B61"/>
    <w:rsid w:val="00C45E39"/>
    <w:rsid w:val="00C46338"/>
    <w:rsid w:val="00C466A8"/>
    <w:rsid w:val="00C46861"/>
    <w:rsid w:val="00C46C41"/>
    <w:rsid w:val="00C46DE2"/>
    <w:rsid w:val="00C4728D"/>
    <w:rsid w:val="00C474CE"/>
    <w:rsid w:val="00C475D7"/>
    <w:rsid w:val="00C47EED"/>
    <w:rsid w:val="00C47F43"/>
    <w:rsid w:val="00C5037C"/>
    <w:rsid w:val="00C504A7"/>
    <w:rsid w:val="00C504DF"/>
    <w:rsid w:val="00C5055E"/>
    <w:rsid w:val="00C50725"/>
    <w:rsid w:val="00C50853"/>
    <w:rsid w:val="00C50AF4"/>
    <w:rsid w:val="00C510A3"/>
    <w:rsid w:val="00C5117C"/>
    <w:rsid w:val="00C5158A"/>
    <w:rsid w:val="00C5178F"/>
    <w:rsid w:val="00C51837"/>
    <w:rsid w:val="00C51F9E"/>
    <w:rsid w:val="00C522A7"/>
    <w:rsid w:val="00C522DF"/>
    <w:rsid w:val="00C523BC"/>
    <w:rsid w:val="00C52712"/>
    <w:rsid w:val="00C52A25"/>
    <w:rsid w:val="00C52BA2"/>
    <w:rsid w:val="00C5302E"/>
    <w:rsid w:val="00C53636"/>
    <w:rsid w:val="00C536A4"/>
    <w:rsid w:val="00C53996"/>
    <w:rsid w:val="00C539C1"/>
    <w:rsid w:val="00C53AD8"/>
    <w:rsid w:val="00C540E5"/>
    <w:rsid w:val="00C540F4"/>
    <w:rsid w:val="00C54314"/>
    <w:rsid w:val="00C54427"/>
    <w:rsid w:val="00C54634"/>
    <w:rsid w:val="00C5472F"/>
    <w:rsid w:val="00C547D7"/>
    <w:rsid w:val="00C54854"/>
    <w:rsid w:val="00C55286"/>
    <w:rsid w:val="00C5533D"/>
    <w:rsid w:val="00C554FB"/>
    <w:rsid w:val="00C5563D"/>
    <w:rsid w:val="00C559E2"/>
    <w:rsid w:val="00C55B2D"/>
    <w:rsid w:val="00C561AC"/>
    <w:rsid w:val="00C56894"/>
    <w:rsid w:val="00C56FCF"/>
    <w:rsid w:val="00C5710D"/>
    <w:rsid w:val="00C571EB"/>
    <w:rsid w:val="00C573C0"/>
    <w:rsid w:val="00C576DF"/>
    <w:rsid w:val="00C57C80"/>
    <w:rsid w:val="00C57D50"/>
    <w:rsid w:val="00C6002A"/>
    <w:rsid w:val="00C60051"/>
    <w:rsid w:val="00C60937"/>
    <w:rsid w:val="00C60AF1"/>
    <w:rsid w:val="00C60C50"/>
    <w:rsid w:val="00C6109F"/>
    <w:rsid w:val="00C61298"/>
    <w:rsid w:val="00C613B7"/>
    <w:rsid w:val="00C61B12"/>
    <w:rsid w:val="00C61B47"/>
    <w:rsid w:val="00C61BBF"/>
    <w:rsid w:val="00C61C80"/>
    <w:rsid w:val="00C621D5"/>
    <w:rsid w:val="00C62742"/>
    <w:rsid w:val="00C62ACD"/>
    <w:rsid w:val="00C6307C"/>
    <w:rsid w:val="00C63134"/>
    <w:rsid w:val="00C63831"/>
    <w:rsid w:val="00C638CD"/>
    <w:rsid w:val="00C63CB4"/>
    <w:rsid w:val="00C63E75"/>
    <w:rsid w:val="00C63F46"/>
    <w:rsid w:val="00C640BA"/>
    <w:rsid w:val="00C644B0"/>
    <w:rsid w:val="00C645B5"/>
    <w:rsid w:val="00C648B4"/>
    <w:rsid w:val="00C648C8"/>
    <w:rsid w:val="00C64A52"/>
    <w:rsid w:val="00C64F0F"/>
    <w:rsid w:val="00C64FA3"/>
    <w:rsid w:val="00C65281"/>
    <w:rsid w:val="00C65429"/>
    <w:rsid w:val="00C65614"/>
    <w:rsid w:val="00C659F4"/>
    <w:rsid w:val="00C65B62"/>
    <w:rsid w:val="00C65D29"/>
    <w:rsid w:val="00C66008"/>
    <w:rsid w:val="00C6673E"/>
    <w:rsid w:val="00C66794"/>
    <w:rsid w:val="00C66907"/>
    <w:rsid w:val="00C66B7E"/>
    <w:rsid w:val="00C66C4C"/>
    <w:rsid w:val="00C66F8D"/>
    <w:rsid w:val="00C66FC4"/>
    <w:rsid w:val="00C6707F"/>
    <w:rsid w:val="00C674A6"/>
    <w:rsid w:val="00C675FB"/>
    <w:rsid w:val="00C67CFB"/>
    <w:rsid w:val="00C701FE"/>
    <w:rsid w:val="00C704DF"/>
    <w:rsid w:val="00C7051C"/>
    <w:rsid w:val="00C7064E"/>
    <w:rsid w:val="00C707EF"/>
    <w:rsid w:val="00C70A81"/>
    <w:rsid w:val="00C70AD4"/>
    <w:rsid w:val="00C70BB9"/>
    <w:rsid w:val="00C70D63"/>
    <w:rsid w:val="00C70D97"/>
    <w:rsid w:val="00C71325"/>
    <w:rsid w:val="00C71C1D"/>
    <w:rsid w:val="00C71CFA"/>
    <w:rsid w:val="00C71ED9"/>
    <w:rsid w:val="00C72C65"/>
    <w:rsid w:val="00C72F8A"/>
    <w:rsid w:val="00C7348A"/>
    <w:rsid w:val="00C73515"/>
    <w:rsid w:val="00C73B33"/>
    <w:rsid w:val="00C74545"/>
    <w:rsid w:val="00C745C9"/>
    <w:rsid w:val="00C74E15"/>
    <w:rsid w:val="00C74E42"/>
    <w:rsid w:val="00C754B9"/>
    <w:rsid w:val="00C75625"/>
    <w:rsid w:val="00C75ABC"/>
    <w:rsid w:val="00C75C50"/>
    <w:rsid w:val="00C75CA7"/>
    <w:rsid w:val="00C761D0"/>
    <w:rsid w:val="00C76379"/>
    <w:rsid w:val="00C763B1"/>
    <w:rsid w:val="00C764B8"/>
    <w:rsid w:val="00C76564"/>
    <w:rsid w:val="00C766C8"/>
    <w:rsid w:val="00C76827"/>
    <w:rsid w:val="00C7686D"/>
    <w:rsid w:val="00C76B96"/>
    <w:rsid w:val="00C775BF"/>
    <w:rsid w:val="00C7797D"/>
    <w:rsid w:val="00C779EC"/>
    <w:rsid w:val="00C77A01"/>
    <w:rsid w:val="00C77B8E"/>
    <w:rsid w:val="00C77E15"/>
    <w:rsid w:val="00C801D3"/>
    <w:rsid w:val="00C80209"/>
    <w:rsid w:val="00C80287"/>
    <w:rsid w:val="00C80415"/>
    <w:rsid w:val="00C80631"/>
    <w:rsid w:val="00C8071B"/>
    <w:rsid w:val="00C80A46"/>
    <w:rsid w:val="00C80EEA"/>
    <w:rsid w:val="00C80F55"/>
    <w:rsid w:val="00C810AC"/>
    <w:rsid w:val="00C81437"/>
    <w:rsid w:val="00C81852"/>
    <w:rsid w:val="00C81EA4"/>
    <w:rsid w:val="00C820C0"/>
    <w:rsid w:val="00C824E1"/>
    <w:rsid w:val="00C824F2"/>
    <w:rsid w:val="00C82735"/>
    <w:rsid w:val="00C82E86"/>
    <w:rsid w:val="00C8360D"/>
    <w:rsid w:val="00C83663"/>
    <w:rsid w:val="00C8371A"/>
    <w:rsid w:val="00C83A54"/>
    <w:rsid w:val="00C83BC9"/>
    <w:rsid w:val="00C83BD1"/>
    <w:rsid w:val="00C83C28"/>
    <w:rsid w:val="00C841AE"/>
    <w:rsid w:val="00C8426A"/>
    <w:rsid w:val="00C8446B"/>
    <w:rsid w:val="00C8485D"/>
    <w:rsid w:val="00C84EE5"/>
    <w:rsid w:val="00C85127"/>
    <w:rsid w:val="00C85700"/>
    <w:rsid w:val="00C85850"/>
    <w:rsid w:val="00C858E7"/>
    <w:rsid w:val="00C85CDD"/>
    <w:rsid w:val="00C8604E"/>
    <w:rsid w:val="00C864E3"/>
    <w:rsid w:val="00C8655B"/>
    <w:rsid w:val="00C86611"/>
    <w:rsid w:val="00C86857"/>
    <w:rsid w:val="00C868CC"/>
    <w:rsid w:val="00C86AF1"/>
    <w:rsid w:val="00C86FD9"/>
    <w:rsid w:val="00C86FE8"/>
    <w:rsid w:val="00C87237"/>
    <w:rsid w:val="00C87A3F"/>
    <w:rsid w:val="00C87C61"/>
    <w:rsid w:val="00C901C0"/>
    <w:rsid w:val="00C9043C"/>
    <w:rsid w:val="00C9059A"/>
    <w:rsid w:val="00C90822"/>
    <w:rsid w:val="00C90A33"/>
    <w:rsid w:val="00C90C3F"/>
    <w:rsid w:val="00C90C44"/>
    <w:rsid w:val="00C90DD7"/>
    <w:rsid w:val="00C90FEA"/>
    <w:rsid w:val="00C91003"/>
    <w:rsid w:val="00C9129C"/>
    <w:rsid w:val="00C912DF"/>
    <w:rsid w:val="00C9135F"/>
    <w:rsid w:val="00C91487"/>
    <w:rsid w:val="00C91562"/>
    <w:rsid w:val="00C915D9"/>
    <w:rsid w:val="00C916EC"/>
    <w:rsid w:val="00C91847"/>
    <w:rsid w:val="00C91A38"/>
    <w:rsid w:val="00C91CCC"/>
    <w:rsid w:val="00C91ECE"/>
    <w:rsid w:val="00C921FE"/>
    <w:rsid w:val="00C92318"/>
    <w:rsid w:val="00C92A81"/>
    <w:rsid w:val="00C92F13"/>
    <w:rsid w:val="00C93434"/>
    <w:rsid w:val="00C93682"/>
    <w:rsid w:val="00C93A0B"/>
    <w:rsid w:val="00C93B27"/>
    <w:rsid w:val="00C93CFA"/>
    <w:rsid w:val="00C93DCD"/>
    <w:rsid w:val="00C93E2F"/>
    <w:rsid w:val="00C93F37"/>
    <w:rsid w:val="00C9428F"/>
    <w:rsid w:val="00C9483A"/>
    <w:rsid w:val="00C9495E"/>
    <w:rsid w:val="00C94A1B"/>
    <w:rsid w:val="00C94F76"/>
    <w:rsid w:val="00C95043"/>
    <w:rsid w:val="00C95128"/>
    <w:rsid w:val="00C95F5B"/>
    <w:rsid w:val="00C95F72"/>
    <w:rsid w:val="00C95F8D"/>
    <w:rsid w:val="00C96131"/>
    <w:rsid w:val="00C96168"/>
    <w:rsid w:val="00C96384"/>
    <w:rsid w:val="00C9668B"/>
    <w:rsid w:val="00C96976"/>
    <w:rsid w:val="00C9721E"/>
    <w:rsid w:val="00C97287"/>
    <w:rsid w:val="00C9740D"/>
    <w:rsid w:val="00C977E7"/>
    <w:rsid w:val="00C9782D"/>
    <w:rsid w:val="00C978CE"/>
    <w:rsid w:val="00C979FD"/>
    <w:rsid w:val="00C97A59"/>
    <w:rsid w:val="00C97B90"/>
    <w:rsid w:val="00CA0168"/>
    <w:rsid w:val="00CA01DB"/>
    <w:rsid w:val="00CA0313"/>
    <w:rsid w:val="00CA032E"/>
    <w:rsid w:val="00CA046E"/>
    <w:rsid w:val="00CA07C1"/>
    <w:rsid w:val="00CA08B5"/>
    <w:rsid w:val="00CA0C1A"/>
    <w:rsid w:val="00CA1092"/>
    <w:rsid w:val="00CA1551"/>
    <w:rsid w:val="00CA15AE"/>
    <w:rsid w:val="00CA15F6"/>
    <w:rsid w:val="00CA172E"/>
    <w:rsid w:val="00CA1C74"/>
    <w:rsid w:val="00CA1FCA"/>
    <w:rsid w:val="00CA219A"/>
    <w:rsid w:val="00CA242B"/>
    <w:rsid w:val="00CA28DE"/>
    <w:rsid w:val="00CA2AEE"/>
    <w:rsid w:val="00CA2C95"/>
    <w:rsid w:val="00CA2CB6"/>
    <w:rsid w:val="00CA2D3E"/>
    <w:rsid w:val="00CA3415"/>
    <w:rsid w:val="00CA3620"/>
    <w:rsid w:val="00CA3737"/>
    <w:rsid w:val="00CA3B36"/>
    <w:rsid w:val="00CA3B61"/>
    <w:rsid w:val="00CA3BF6"/>
    <w:rsid w:val="00CA3D0C"/>
    <w:rsid w:val="00CA4373"/>
    <w:rsid w:val="00CA4462"/>
    <w:rsid w:val="00CA488B"/>
    <w:rsid w:val="00CA4A77"/>
    <w:rsid w:val="00CA4D3A"/>
    <w:rsid w:val="00CA4EB6"/>
    <w:rsid w:val="00CA4F8F"/>
    <w:rsid w:val="00CA5012"/>
    <w:rsid w:val="00CA546C"/>
    <w:rsid w:val="00CA5D1C"/>
    <w:rsid w:val="00CA5EBB"/>
    <w:rsid w:val="00CA5F3B"/>
    <w:rsid w:val="00CA61C8"/>
    <w:rsid w:val="00CA61D7"/>
    <w:rsid w:val="00CA6344"/>
    <w:rsid w:val="00CA63A4"/>
    <w:rsid w:val="00CA6486"/>
    <w:rsid w:val="00CA6506"/>
    <w:rsid w:val="00CA6630"/>
    <w:rsid w:val="00CA679B"/>
    <w:rsid w:val="00CA6F01"/>
    <w:rsid w:val="00CA7092"/>
    <w:rsid w:val="00CA70DC"/>
    <w:rsid w:val="00CA70E3"/>
    <w:rsid w:val="00CA712B"/>
    <w:rsid w:val="00CA7162"/>
    <w:rsid w:val="00CA71AA"/>
    <w:rsid w:val="00CA73B3"/>
    <w:rsid w:val="00CA757C"/>
    <w:rsid w:val="00CA766C"/>
    <w:rsid w:val="00CA79BA"/>
    <w:rsid w:val="00CA7BDF"/>
    <w:rsid w:val="00CA7D5F"/>
    <w:rsid w:val="00CB0143"/>
    <w:rsid w:val="00CB0156"/>
    <w:rsid w:val="00CB02E7"/>
    <w:rsid w:val="00CB072D"/>
    <w:rsid w:val="00CB076C"/>
    <w:rsid w:val="00CB0D81"/>
    <w:rsid w:val="00CB1269"/>
    <w:rsid w:val="00CB15AE"/>
    <w:rsid w:val="00CB15C7"/>
    <w:rsid w:val="00CB161B"/>
    <w:rsid w:val="00CB1624"/>
    <w:rsid w:val="00CB1769"/>
    <w:rsid w:val="00CB17B3"/>
    <w:rsid w:val="00CB27E6"/>
    <w:rsid w:val="00CB28F8"/>
    <w:rsid w:val="00CB295B"/>
    <w:rsid w:val="00CB2BD6"/>
    <w:rsid w:val="00CB2DB8"/>
    <w:rsid w:val="00CB2FBD"/>
    <w:rsid w:val="00CB38D1"/>
    <w:rsid w:val="00CB3B33"/>
    <w:rsid w:val="00CB3BA5"/>
    <w:rsid w:val="00CB3BF1"/>
    <w:rsid w:val="00CB4143"/>
    <w:rsid w:val="00CB42C1"/>
    <w:rsid w:val="00CB43FB"/>
    <w:rsid w:val="00CB448C"/>
    <w:rsid w:val="00CB44DE"/>
    <w:rsid w:val="00CB4DA9"/>
    <w:rsid w:val="00CB5AED"/>
    <w:rsid w:val="00CB5B33"/>
    <w:rsid w:val="00CB5CB1"/>
    <w:rsid w:val="00CB5EAC"/>
    <w:rsid w:val="00CB5ECB"/>
    <w:rsid w:val="00CB6068"/>
    <w:rsid w:val="00CB608A"/>
    <w:rsid w:val="00CB63A0"/>
    <w:rsid w:val="00CB65CA"/>
    <w:rsid w:val="00CB6997"/>
    <w:rsid w:val="00CB6AC1"/>
    <w:rsid w:val="00CB6B7E"/>
    <w:rsid w:val="00CB6C4D"/>
    <w:rsid w:val="00CB6CD8"/>
    <w:rsid w:val="00CB6E45"/>
    <w:rsid w:val="00CB6E91"/>
    <w:rsid w:val="00CB7B63"/>
    <w:rsid w:val="00CB7CDB"/>
    <w:rsid w:val="00CB7F06"/>
    <w:rsid w:val="00CB7F33"/>
    <w:rsid w:val="00CC025E"/>
    <w:rsid w:val="00CC05C1"/>
    <w:rsid w:val="00CC0839"/>
    <w:rsid w:val="00CC08B8"/>
    <w:rsid w:val="00CC0D1B"/>
    <w:rsid w:val="00CC0FFF"/>
    <w:rsid w:val="00CC10B7"/>
    <w:rsid w:val="00CC1127"/>
    <w:rsid w:val="00CC12CF"/>
    <w:rsid w:val="00CC15DD"/>
    <w:rsid w:val="00CC1B88"/>
    <w:rsid w:val="00CC1BC5"/>
    <w:rsid w:val="00CC1CB2"/>
    <w:rsid w:val="00CC2133"/>
    <w:rsid w:val="00CC23FC"/>
    <w:rsid w:val="00CC27E1"/>
    <w:rsid w:val="00CC2852"/>
    <w:rsid w:val="00CC28BC"/>
    <w:rsid w:val="00CC2C27"/>
    <w:rsid w:val="00CC3045"/>
    <w:rsid w:val="00CC321E"/>
    <w:rsid w:val="00CC39FB"/>
    <w:rsid w:val="00CC3ADA"/>
    <w:rsid w:val="00CC3B02"/>
    <w:rsid w:val="00CC3D0B"/>
    <w:rsid w:val="00CC4228"/>
    <w:rsid w:val="00CC4369"/>
    <w:rsid w:val="00CC43E7"/>
    <w:rsid w:val="00CC46FE"/>
    <w:rsid w:val="00CC47A2"/>
    <w:rsid w:val="00CC4FBF"/>
    <w:rsid w:val="00CC5399"/>
    <w:rsid w:val="00CC57A7"/>
    <w:rsid w:val="00CC5883"/>
    <w:rsid w:val="00CC599C"/>
    <w:rsid w:val="00CC5B95"/>
    <w:rsid w:val="00CC61AD"/>
    <w:rsid w:val="00CC6474"/>
    <w:rsid w:val="00CC6493"/>
    <w:rsid w:val="00CC6AE5"/>
    <w:rsid w:val="00CC6B12"/>
    <w:rsid w:val="00CC6CA4"/>
    <w:rsid w:val="00CC6E25"/>
    <w:rsid w:val="00CC7119"/>
    <w:rsid w:val="00CC7AB6"/>
    <w:rsid w:val="00CC7BE5"/>
    <w:rsid w:val="00CC7E1A"/>
    <w:rsid w:val="00CD002D"/>
    <w:rsid w:val="00CD0057"/>
    <w:rsid w:val="00CD0363"/>
    <w:rsid w:val="00CD075D"/>
    <w:rsid w:val="00CD07C5"/>
    <w:rsid w:val="00CD083C"/>
    <w:rsid w:val="00CD0E29"/>
    <w:rsid w:val="00CD1028"/>
    <w:rsid w:val="00CD132A"/>
    <w:rsid w:val="00CD13B7"/>
    <w:rsid w:val="00CD225F"/>
    <w:rsid w:val="00CD2270"/>
    <w:rsid w:val="00CD2884"/>
    <w:rsid w:val="00CD3116"/>
    <w:rsid w:val="00CD3217"/>
    <w:rsid w:val="00CD325F"/>
    <w:rsid w:val="00CD3364"/>
    <w:rsid w:val="00CD3366"/>
    <w:rsid w:val="00CD34B3"/>
    <w:rsid w:val="00CD3BCD"/>
    <w:rsid w:val="00CD3BF9"/>
    <w:rsid w:val="00CD3CD7"/>
    <w:rsid w:val="00CD3E56"/>
    <w:rsid w:val="00CD4565"/>
    <w:rsid w:val="00CD4A12"/>
    <w:rsid w:val="00CD4AB0"/>
    <w:rsid w:val="00CD502F"/>
    <w:rsid w:val="00CD513A"/>
    <w:rsid w:val="00CD5151"/>
    <w:rsid w:val="00CD562F"/>
    <w:rsid w:val="00CD570E"/>
    <w:rsid w:val="00CD577D"/>
    <w:rsid w:val="00CD5825"/>
    <w:rsid w:val="00CD58E7"/>
    <w:rsid w:val="00CD63B3"/>
    <w:rsid w:val="00CD6417"/>
    <w:rsid w:val="00CD6513"/>
    <w:rsid w:val="00CD65FF"/>
    <w:rsid w:val="00CD674A"/>
    <w:rsid w:val="00CD6D9F"/>
    <w:rsid w:val="00CD7218"/>
    <w:rsid w:val="00CD72E1"/>
    <w:rsid w:val="00CD77AD"/>
    <w:rsid w:val="00CD7B0B"/>
    <w:rsid w:val="00CD7B3D"/>
    <w:rsid w:val="00CD7DFC"/>
    <w:rsid w:val="00CE007B"/>
    <w:rsid w:val="00CE02E2"/>
    <w:rsid w:val="00CE08A8"/>
    <w:rsid w:val="00CE139D"/>
    <w:rsid w:val="00CE153D"/>
    <w:rsid w:val="00CE1947"/>
    <w:rsid w:val="00CE1A2E"/>
    <w:rsid w:val="00CE1F17"/>
    <w:rsid w:val="00CE2061"/>
    <w:rsid w:val="00CE257B"/>
    <w:rsid w:val="00CE259E"/>
    <w:rsid w:val="00CE25FD"/>
    <w:rsid w:val="00CE2908"/>
    <w:rsid w:val="00CE2BAF"/>
    <w:rsid w:val="00CE2ED7"/>
    <w:rsid w:val="00CE302A"/>
    <w:rsid w:val="00CE35BD"/>
    <w:rsid w:val="00CE37B3"/>
    <w:rsid w:val="00CE385F"/>
    <w:rsid w:val="00CE3BF2"/>
    <w:rsid w:val="00CE4265"/>
    <w:rsid w:val="00CE481B"/>
    <w:rsid w:val="00CE4892"/>
    <w:rsid w:val="00CE535A"/>
    <w:rsid w:val="00CE5666"/>
    <w:rsid w:val="00CE566D"/>
    <w:rsid w:val="00CE5771"/>
    <w:rsid w:val="00CE5A12"/>
    <w:rsid w:val="00CE63DD"/>
    <w:rsid w:val="00CE6645"/>
    <w:rsid w:val="00CE66C5"/>
    <w:rsid w:val="00CE68A3"/>
    <w:rsid w:val="00CE697E"/>
    <w:rsid w:val="00CE738A"/>
    <w:rsid w:val="00CE77CB"/>
    <w:rsid w:val="00CE7824"/>
    <w:rsid w:val="00CE7B32"/>
    <w:rsid w:val="00CE7CC5"/>
    <w:rsid w:val="00CF02D4"/>
    <w:rsid w:val="00CF0578"/>
    <w:rsid w:val="00CF0617"/>
    <w:rsid w:val="00CF07BA"/>
    <w:rsid w:val="00CF0916"/>
    <w:rsid w:val="00CF09DA"/>
    <w:rsid w:val="00CF0A12"/>
    <w:rsid w:val="00CF0D8A"/>
    <w:rsid w:val="00CF1018"/>
    <w:rsid w:val="00CF11E1"/>
    <w:rsid w:val="00CF13BA"/>
    <w:rsid w:val="00CF14CC"/>
    <w:rsid w:val="00CF1665"/>
    <w:rsid w:val="00CF1853"/>
    <w:rsid w:val="00CF1B82"/>
    <w:rsid w:val="00CF1C93"/>
    <w:rsid w:val="00CF1D59"/>
    <w:rsid w:val="00CF2341"/>
    <w:rsid w:val="00CF2385"/>
    <w:rsid w:val="00CF2759"/>
    <w:rsid w:val="00CF2938"/>
    <w:rsid w:val="00CF3113"/>
    <w:rsid w:val="00CF365C"/>
    <w:rsid w:val="00CF3B28"/>
    <w:rsid w:val="00CF3E2A"/>
    <w:rsid w:val="00CF410F"/>
    <w:rsid w:val="00CF446B"/>
    <w:rsid w:val="00CF4879"/>
    <w:rsid w:val="00CF4A76"/>
    <w:rsid w:val="00CF507E"/>
    <w:rsid w:val="00CF50F8"/>
    <w:rsid w:val="00CF55A4"/>
    <w:rsid w:val="00CF5735"/>
    <w:rsid w:val="00CF5B45"/>
    <w:rsid w:val="00CF5BE6"/>
    <w:rsid w:val="00CF5DFB"/>
    <w:rsid w:val="00CF5E66"/>
    <w:rsid w:val="00CF5F14"/>
    <w:rsid w:val="00CF6152"/>
    <w:rsid w:val="00CF64FD"/>
    <w:rsid w:val="00CF6748"/>
    <w:rsid w:val="00CF6AD3"/>
    <w:rsid w:val="00CF6B6E"/>
    <w:rsid w:val="00CF6D36"/>
    <w:rsid w:val="00CF6DAE"/>
    <w:rsid w:val="00CF6DF3"/>
    <w:rsid w:val="00CF6EC1"/>
    <w:rsid w:val="00CF7086"/>
    <w:rsid w:val="00CF7088"/>
    <w:rsid w:val="00CF7CD8"/>
    <w:rsid w:val="00CF7EBB"/>
    <w:rsid w:val="00D00253"/>
    <w:rsid w:val="00D0042A"/>
    <w:rsid w:val="00D00EF5"/>
    <w:rsid w:val="00D00F4B"/>
    <w:rsid w:val="00D012A8"/>
    <w:rsid w:val="00D014E6"/>
    <w:rsid w:val="00D016BD"/>
    <w:rsid w:val="00D01825"/>
    <w:rsid w:val="00D018DD"/>
    <w:rsid w:val="00D01D5A"/>
    <w:rsid w:val="00D023DA"/>
    <w:rsid w:val="00D0248C"/>
    <w:rsid w:val="00D029B5"/>
    <w:rsid w:val="00D02D56"/>
    <w:rsid w:val="00D02E3B"/>
    <w:rsid w:val="00D02F8C"/>
    <w:rsid w:val="00D0300D"/>
    <w:rsid w:val="00D03068"/>
    <w:rsid w:val="00D03593"/>
    <w:rsid w:val="00D03645"/>
    <w:rsid w:val="00D0365A"/>
    <w:rsid w:val="00D038B6"/>
    <w:rsid w:val="00D03911"/>
    <w:rsid w:val="00D03BDE"/>
    <w:rsid w:val="00D03CD9"/>
    <w:rsid w:val="00D03E74"/>
    <w:rsid w:val="00D04195"/>
    <w:rsid w:val="00D04240"/>
    <w:rsid w:val="00D043ED"/>
    <w:rsid w:val="00D04430"/>
    <w:rsid w:val="00D04929"/>
    <w:rsid w:val="00D05027"/>
    <w:rsid w:val="00D051BE"/>
    <w:rsid w:val="00D054CB"/>
    <w:rsid w:val="00D05726"/>
    <w:rsid w:val="00D05B06"/>
    <w:rsid w:val="00D05BDE"/>
    <w:rsid w:val="00D0628A"/>
    <w:rsid w:val="00D064A0"/>
    <w:rsid w:val="00D06D15"/>
    <w:rsid w:val="00D06FFB"/>
    <w:rsid w:val="00D07816"/>
    <w:rsid w:val="00D07945"/>
    <w:rsid w:val="00D07A41"/>
    <w:rsid w:val="00D07B14"/>
    <w:rsid w:val="00D07DA9"/>
    <w:rsid w:val="00D10048"/>
    <w:rsid w:val="00D1043C"/>
    <w:rsid w:val="00D10812"/>
    <w:rsid w:val="00D10A94"/>
    <w:rsid w:val="00D10DE1"/>
    <w:rsid w:val="00D10F4E"/>
    <w:rsid w:val="00D111C6"/>
    <w:rsid w:val="00D116FD"/>
    <w:rsid w:val="00D1180D"/>
    <w:rsid w:val="00D118BF"/>
    <w:rsid w:val="00D11B81"/>
    <w:rsid w:val="00D11BEB"/>
    <w:rsid w:val="00D11CFC"/>
    <w:rsid w:val="00D12557"/>
    <w:rsid w:val="00D1262A"/>
    <w:rsid w:val="00D12E58"/>
    <w:rsid w:val="00D12E86"/>
    <w:rsid w:val="00D12ECE"/>
    <w:rsid w:val="00D134C4"/>
    <w:rsid w:val="00D1382E"/>
    <w:rsid w:val="00D146E6"/>
    <w:rsid w:val="00D14885"/>
    <w:rsid w:val="00D14A3D"/>
    <w:rsid w:val="00D14AD6"/>
    <w:rsid w:val="00D14CD1"/>
    <w:rsid w:val="00D15125"/>
    <w:rsid w:val="00D15245"/>
    <w:rsid w:val="00D1594B"/>
    <w:rsid w:val="00D15998"/>
    <w:rsid w:val="00D15EEB"/>
    <w:rsid w:val="00D15F94"/>
    <w:rsid w:val="00D15F96"/>
    <w:rsid w:val="00D161F9"/>
    <w:rsid w:val="00D16271"/>
    <w:rsid w:val="00D16295"/>
    <w:rsid w:val="00D16827"/>
    <w:rsid w:val="00D1686B"/>
    <w:rsid w:val="00D168A2"/>
    <w:rsid w:val="00D16C14"/>
    <w:rsid w:val="00D16FFA"/>
    <w:rsid w:val="00D171D4"/>
    <w:rsid w:val="00D1768A"/>
    <w:rsid w:val="00D17753"/>
    <w:rsid w:val="00D17BB4"/>
    <w:rsid w:val="00D2003F"/>
    <w:rsid w:val="00D20209"/>
    <w:rsid w:val="00D20229"/>
    <w:rsid w:val="00D2034B"/>
    <w:rsid w:val="00D20A37"/>
    <w:rsid w:val="00D20DBB"/>
    <w:rsid w:val="00D2156A"/>
    <w:rsid w:val="00D21851"/>
    <w:rsid w:val="00D218EA"/>
    <w:rsid w:val="00D21A80"/>
    <w:rsid w:val="00D21BDE"/>
    <w:rsid w:val="00D21E2F"/>
    <w:rsid w:val="00D22298"/>
    <w:rsid w:val="00D22669"/>
    <w:rsid w:val="00D22751"/>
    <w:rsid w:val="00D2277B"/>
    <w:rsid w:val="00D2296C"/>
    <w:rsid w:val="00D22D6E"/>
    <w:rsid w:val="00D22E27"/>
    <w:rsid w:val="00D23026"/>
    <w:rsid w:val="00D233ED"/>
    <w:rsid w:val="00D23683"/>
    <w:rsid w:val="00D23691"/>
    <w:rsid w:val="00D23788"/>
    <w:rsid w:val="00D238C8"/>
    <w:rsid w:val="00D23A73"/>
    <w:rsid w:val="00D23AD2"/>
    <w:rsid w:val="00D23D03"/>
    <w:rsid w:val="00D23D4F"/>
    <w:rsid w:val="00D23E52"/>
    <w:rsid w:val="00D23ED3"/>
    <w:rsid w:val="00D240D1"/>
    <w:rsid w:val="00D24297"/>
    <w:rsid w:val="00D24456"/>
    <w:rsid w:val="00D2485D"/>
    <w:rsid w:val="00D2490B"/>
    <w:rsid w:val="00D24986"/>
    <w:rsid w:val="00D2584C"/>
    <w:rsid w:val="00D25AE6"/>
    <w:rsid w:val="00D25C8D"/>
    <w:rsid w:val="00D25D82"/>
    <w:rsid w:val="00D25F81"/>
    <w:rsid w:val="00D26001"/>
    <w:rsid w:val="00D2635B"/>
    <w:rsid w:val="00D2637E"/>
    <w:rsid w:val="00D264BA"/>
    <w:rsid w:val="00D264C4"/>
    <w:rsid w:val="00D26580"/>
    <w:rsid w:val="00D266CC"/>
    <w:rsid w:val="00D269B6"/>
    <w:rsid w:val="00D26A33"/>
    <w:rsid w:val="00D26C62"/>
    <w:rsid w:val="00D271EE"/>
    <w:rsid w:val="00D2730F"/>
    <w:rsid w:val="00D27778"/>
    <w:rsid w:val="00D27897"/>
    <w:rsid w:val="00D27EEB"/>
    <w:rsid w:val="00D30DF8"/>
    <w:rsid w:val="00D311B4"/>
    <w:rsid w:val="00D313B4"/>
    <w:rsid w:val="00D314BE"/>
    <w:rsid w:val="00D31516"/>
    <w:rsid w:val="00D3158A"/>
    <w:rsid w:val="00D31661"/>
    <w:rsid w:val="00D316BF"/>
    <w:rsid w:val="00D317FD"/>
    <w:rsid w:val="00D31858"/>
    <w:rsid w:val="00D31B03"/>
    <w:rsid w:val="00D31C2E"/>
    <w:rsid w:val="00D31DD2"/>
    <w:rsid w:val="00D31E95"/>
    <w:rsid w:val="00D320D5"/>
    <w:rsid w:val="00D321CB"/>
    <w:rsid w:val="00D326D5"/>
    <w:rsid w:val="00D327A0"/>
    <w:rsid w:val="00D32964"/>
    <w:rsid w:val="00D330AF"/>
    <w:rsid w:val="00D33642"/>
    <w:rsid w:val="00D33952"/>
    <w:rsid w:val="00D33A61"/>
    <w:rsid w:val="00D33AB3"/>
    <w:rsid w:val="00D33D93"/>
    <w:rsid w:val="00D342EE"/>
    <w:rsid w:val="00D347A4"/>
    <w:rsid w:val="00D34E2A"/>
    <w:rsid w:val="00D35567"/>
    <w:rsid w:val="00D356D9"/>
    <w:rsid w:val="00D35899"/>
    <w:rsid w:val="00D359BD"/>
    <w:rsid w:val="00D35A16"/>
    <w:rsid w:val="00D35E9F"/>
    <w:rsid w:val="00D35F59"/>
    <w:rsid w:val="00D3608A"/>
    <w:rsid w:val="00D36133"/>
    <w:rsid w:val="00D36B2D"/>
    <w:rsid w:val="00D36E79"/>
    <w:rsid w:val="00D3709F"/>
    <w:rsid w:val="00D370BF"/>
    <w:rsid w:val="00D372DE"/>
    <w:rsid w:val="00D3771D"/>
    <w:rsid w:val="00D37B12"/>
    <w:rsid w:val="00D40460"/>
    <w:rsid w:val="00D40B95"/>
    <w:rsid w:val="00D411FD"/>
    <w:rsid w:val="00D412B4"/>
    <w:rsid w:val="00D41531"/>
    <w:rsid w:val="00D41672"/>
    <w:rsid w:val="00D418D1"/>
    <w:rsid w:val="00D4199A"/>
    <w:rsid w:val="00D41D3E"/>
    <w:rsid w:val="00D41F57"/>
    <w:rsid w:val="00D42145"/>
    <w:rsid w:val="00D423F9"/>
    <w:rsid w:val="00D42838"/>
    <w:rsid w:val="00D42D68"/>
    <w:rsid w:val="00D42E4E"/>
    <w:rsid w:val="00D430D3"/>
    <w:rsid w:val="00D431DC"/>
    <w:rsid w:val="00D4363F"/>
    <w:rsid w:val="00D437E6"/>
    <w:rsid w:val="00D43B6A"/>
    <w:rsid w:val="00D43F00"/>
    <w:rsid w:val="00D4400B"/>
    <w:rsid w:val="00D440EC"/>
    <w:rsid w:val="00D4453F"/>
    <w:rsid w:val="00D44560"/>
    <w:rsid w:val="00D448D6"/>
    <w:rsid w:val="00D4493A"/>
    <w:rsid w:val="00D450F8"/>
    <w:rsid w:val="00D46028"/>
    <w:rsid w:val="00D462FC"/>
    <w:rsid w:val="00D4666B"/>
    <w:rsid w:val="00D466D0"/>
    <w:rsid w:val="00D4692C"/>
    <w:rsid w:val="00D46AB7"/>
    <w:rsid w:val="00D46D2F"/>
    <w:rsid w:val="00D46D46"/>
    <w:rsid w:val="00D46D89"/>
    <w:rsid w:val="00D46DDD"/>
    <w:rsid w:val="00D47547"/>
    <w:rsid w:val="00D476B1"/>
    <w:rsid w:val="00D476EB"/>
    <w:rsid w:val="00D478FB"/>
    <w:rsid w:val="00D4791A"/>
    <w:rsid w:val="00D47A33"/>
    <w:rsid w:val="00D47E34"/>
    <w:rsid w:val="00D47E44"/>
    <w:rsid w:val="00D47E62"/>
    <w:rsid w:val="00D47EA1"/>
    <w:rsid w:val="00D50098"/>
    <w:rsid w:val="00D506A9"/>
    <w:rsid w:val="00D50A6A"/>
    <w:rsid w:val="00D50E61"/>
    <w:rsid w:val="00D51486"/>
    <w:rsid w:val="00D514F1"/>
    <w:rsid w:val="00D51674"/>
    <w:rsid w:val="00D51705"/>
    <w:rsid w:val="00D51881"/>
    <w:rsid w:val="00D5192C"/>
    <w:rsid w:val="00D51E70"/>
    <w:rsid w:val="00D5221D"/>
    <w:rsid w:val="00D52368"/>
    <w:rsid w:val="00D523DC"/>
    <w:rsid w:val="00D523F7"/>
    <w:rsid w:val="00D5249C"/>
    <w:rsid w:val="00D524A8"/>
    <w:rsid w:val="00D524B1"/>
    <w:rsid w:val="00D525C4"/>
    <w:rsid w:val="00D52815"/>
    <w:rsid w:val="00D52D9A"/>
    <w:rsid w:val="00D53290"/>
    <w:rsid w:val="00D5344E"/>
    <w:rsid w:val="00D5355B"/>
    <w:rsid w:val="00D53B3C"/>
    <w:rsid w:val="00D53BAF"/>
    <w:rsid w:val="00D53DFD"/>
    <w:rsid w:val="00D53E0F"/>
    <w:rsid w:val="00D541A4"/>
    <w:rsid w:val="00D54644"/>
    <w:rsid w:val="00D546F7"/>
    <w:rsid w:val="00D549CA"/>
    <w:rsid w:val="00D54A10"/>
    <w:rsid w:val="00D54DAC"/>
    <w:rsid w:val="00D54FFB"/>
    <w:rsid w:val="00D55044"/>
    <w:rsid w:val="00D550C8"/>
    <w:rsid w:val="00D550E0"/>
    <w:rsid w:val="00D556BD"/>
    <w:rsid w:val="00D55834"/>
    <w:rsid w:val="00D559D5"/>
    <w:rsid w:val="00D55D22"/>
    <w:rsid w:val="00D55D6B"/>
    <w:rsid w:val="00D560B4"/>
    <w:rsid w:val="00D5665C"/>
    <w:rsid w:val="00D56C43"/>
    <w:rsid w:val="00D57567"/>
    <w:rsid w:val="00D575F9"/>
    <w:rsid w:val="00D576C6"/>
    <w:rsid w:val="00D601B1"/>
    <w:rsid w:val="00D605D2"/>
    <w:rsid w:val="00D60784"/>
    <w:rsid w:val="00D60D25"/>
    <w:rsid w:val="00D60EB5"/>
    <w:rsid w:val="00D6148C"/>
    <w:rsid w:val="00D614BE"/>
    <w:rsid w:val="00D61640"/>
    <w:rsid w:val="00D62116"/>
    <w:rsid w:val="00D625E1"/>
    <w:rsid w:val="00D626F4"/>
    <w:rsid w:val="00D627E3"/>
    <w:rsid w:val="00D62C96"/>
    <w:rsid w:val="00D63015"/>
    <w:rsid w:val="00D6316F"/>
    <w:rsid w:val="00D635C5"/>
    <w:rsid w:val="00D63715"/>
    <w:rsid w:val="00D63CF0"/>
    <w:rsid w:val="00D63DC1"/>
    <w:rsid w:val="00D63EA1"/>
    <w:rsid w:val="00D63FB7"/>
    <w:rsid w:val="00D641D6"/>
    <w:rsid w:val="00D64263"/>
    <w:rsid w:val="00D643F4"/>
    <w:rsid w:val="00D6444F"/>
    <w:rsid w:val="00D64B1D"/>
    <w:rsid w:val="00D64BC8"/>
    <w:rsid w:val="00D64BD4"/>
    <w:rsid w:val="00D64E34"/>
    <w:rsid w:val="00D655BD"/>
    <w:rsid w:val="00D6580A"/>
    <w:rsid w:val="00D66283"/>
    <w:rsid w:val="00D666C8"/>
    <w:rsid w:val="00D668AB"/>
    <w:rsid w:val="00D671D7"/>
    <w:rsid w:val="00D675AF"/>
    <w:rsid w:val="00D67C1F"/>
    <w:rsid w:val="00D70116"/>
    <w:rsid w:val="00D70828"/>
    <w:rsid w:val="00D70C5A"/>
    <w:rsid w:val="00D70E87"/>
    <w:rsid w:val="00D713C1"/>
    <w:rsid w:val="00D723A8"/>
    <w:rsid w:val="00D727FA"/>
    <w:rsid w:val="00D72B07"/>
    <w:rsid w:val="00D72B88"/>
    <w:rsid w:val="00D72BE6"/>
    <w:rsid w:val="00D72C97"/>
    <w:rsid w:val="00D72E1F"/>
    <w:rsid w:val="00D72F44"/>
    <w:rsid w:val="00D730AA"/>
    <w:rsid w:val="00D73109"/>
    <w:rsid w:val="00D74268"/>
    <w:rsid w:val="00D74680"/>
    <w:rsid w:val="00D747D7"/>
    <w:rsid w:val="00D74B57"/>
    <w:rsid w:val="00D74E18"/>
    <w:rsid w:val="00D75788"/>
    <w:rsid w:val="00D759DD"/>
    <w:rsid w:val="00D75D12"/>
    <w:rsid w:val="00D75EAF"/>
    <w:rsid w:val="00D75F89"/>
    <w:rsid w:val="00D76075"/>
    <w:rsid w:val="00D7683C"/>
    <w:rsid w:val="00D76C79"/>
    <w:rsid w:val="00D76F1A"/>
    <w:rsid w:val="00D7720E"/>
    <w:rsid w:val="00D778F1"/>
    <w:rsid w:val="00D77CA2"/>
    <w:rsid w:val="00D77FF1"/>
    <w:rsid w:val="00D8018C"/>
    <w:rsid w:val="00D802D4"/>
    <w:rsid w:val="00D8057A"/>
    <w:rsid w:val="00D807AD"/>
    <w:rsid w:val="00D808F5"/>
    <w:rsid w:val="00D80A7C"/>
    <w:rsid w:val="00D80C85"/>
    <w:rsid w:val="00D80DB1"/>
    <w:rsid w:val="00D80ED3"/>
    <w:rsid w:val="00D81106"/>
    <w:rsid w:val="00D8171A"/>
    <w:rsid w:val="00D81759"/>
    <w:rsid w:val="00D817C1"/>
    <w:rsid w:val="00D81E2E"/>
    <w:rsid w:val="00D81E43"/>
    <w:rsid w:val="00D8219B"/>
    <w:rsid w:val="00D8246D"/>
    <w:rsid w:val="00D8292C"/>
    <w:rsid w:val="00D82B39"/>
    <w:rsid w:val="00D82E28"/>
    <w:rsid w:val="00D82FE2"/>
    <w:rsid w:val="00D83024"/>
    <w:rsid w:val="00D831A5"/>
    <w:rsid w:val="00D83D11"/>
    <w:rsid w:val="00D84267"/>
    <w:rsid w:val="00D84414"/>
    <w:rsid w:val="00D848DC"/>
    <w:rsid w:val="00D84B94"/>
    <w:rsid w:val="00D84C80"/>
    <w:rsid w:val="00D84DFA"/>
    <w:rsid w:val="00D84E1F"/>
    <w:rsid w:val="00D84E8B"/>
    <w:rsid w:val="00D84F74"/>
    <w:rsid w:val="00D852E9"/>
    <w:rsid w:val="00D853EA"/>
    <w:rsid w:val="00D85441"/>
    <w:rsid w:val="00D85673"/>
    <w:rsid w:val="00D858C2"/>
    <w:rsid w:val="00D86062"/>
    <w:rsid w:val="00D864FF"/>
    <w:rsid w:val="00D86835"/>
    <w:rsid w:val="00D86963"/>
    <w:rsid w:val="00D869DF"/>
    <w:rsid w:val="00D869E8"/>
    <w:rsid w:val="00D86E45"/>
    <w:rsid w:val="00D87227"/>
    <w:rsid w:val="00D8773D"/>
    <w:rsid w:val="00D87861"/>
    <w:rsid w:val="00D8793C"/>
    <w:rsid w:val="00D879AF"/>
    <w:rsid w:val="00D87DD1"/>
    <w:rsid w:val="00D87DD4"/>
    <w:rsid w:val="00D9013D"/>
    <w:rsid w:val="00D902F9"/>
    <w:rsid w:val="00D9037B"/>
    <w:rsid w:val="00D90720"/>
    <w:rsid w:val="00D90761"/>
    <w:rsid w:val="00D9089E"/>
    <w:rsid w:val="00D90903"/>
    <w:rsid w:val="00D90A55"/>
    <w:rsid w:val="00D90D7D"/>
    <w:rsid w:val="00D90DC1"/>
    <w:rsid w:val="00D90F99"/>
    <w:rsid w:val="00D91014"/>
    <w:rsid w:val="00D915C0"/>
    <w:rsid w:val="00D91864"/>
    <w:rsid w:val="00D9197B"/>
    <w:rsid w:val="00D91F3F"/>
    <w:rsid w:val="00D920DB"/>
    <w:rsid w:val="00D9235C"/>
    <w:rsid w:val="00D9237A"/>
    <w:rsid w:val="00D923E5"/>
    <w:rsid w:val="00D924DA"/>
    <w:rsid w:val="00D9282D"/>
    <w:rsid w:val="00D9283F"/>
    <w:rsid w:val="00D92C05"/>
    <w:rsid w:val="00D92D96"/>
    <w:rsid w:val="00D9327D"/>
    <w:rsid w:val="00D932F3"/>
    <w:rsid w:val="00D93447"/>
    <w:rsid w:val="00D93A3F"/>
    <w:rsid w:val="00D93C31"/>
    <w:rsid w:val="00D93C94"/>
    <w:rsid w:val="00D93CE9"/>
    <w:rsid w:val="00D94091"/>
    <w:rsid w:val="00D94092"/>
    <w:rsid w:val="00D9472E"/>
    <w:rsid w:val="00D9474C"/>
    <w:rsid w:val="00D947A3"/>
    <w:rsid w:val="00D94894"/>
    <w:rsid w:val="00D94A3F"/>
    <w:rsid w:val="00D94CAB"/>
    <w:rsid w:val="00D94E88"/>
    <w:rsid w:val="00D950A5"/>
    <w:rsid w:val="00D95D2E"/>
    <w:rsid w:val="00D96530"/>
    <w:rsid w:val="00D966B0"/>
    <w:rsid w:val="00D96752"/>
    <w:rsid w:val="00D968F8"/>
    <w:rsid w:val="00D96A65"/>
    <w:rsid w:val="00D96CFF"/>
    <w:rsid w:val="00D96DE1"/>
    <w:rsid w:val="00D96F88"/>
    <w:rsid w:val="00D96FDF"/>
    <w:rsid w:val="00D9708D"/>
    <w:rsid w:val="00D9741C"/>
    <w:rsid w:val="00D97B5F"/>
    <w:rsid w:val="00D97ED3"/>
    <w:rsid w:val="00DA0102"/>
    <w:rsid w:val="00DA0486"/>
    <w:rsid w:val="00DA0C67"/>
    <w:rsid w:val="00DA0D52"/>
    <w:rsid w:val="00DA0E1D"/>
    <w:rsid w:val="00DA1C45"/>
    <w:rsid w:val="00DA1C8E"/>
    <w:rsid w:val="00DA1D09"/>
    <w:rsid w:val="00DA21EE"/>
    <w:rsid w:val="00DA289C"/>
    <w:rsid w:val="00DA2D36"/>
    <w:rsid w:val="00DA2E0A"/>
    <w:rsid w:val="00DA2EBB"/>
    <w:rsid w:val="00DA3084"/>
    <w:rsid w:val="00DA344A"/>
    <w:rsid w:val="00DA3818"/>
    <w:rsid w:val="00DA39ED"/>
    <w:rsid w:val="00DA3A4A"/>
    <w:rsid w:val="00DA3A98"/>
    <w:rsid w:val="00DA3F37"/>
    <w:rsid w:val="00DA40D7"/>
    <w:rsid w:val="00DA4208"/>
    <w:rsid w:val="00DA42FA"/>
    <w:rsid w:val="00DA459D"/>
    <w:rsid w:val="00DA45B9"/>
    <w:rsid w:val="00DA45EE"/>
    <w:rsid w:val="00DA49B5"/>
    <w:rsid w:val="00DA538D"/>
    <w:rsid w:val="00DA57A4"/>
    <w:rsid w:val="00DA5A6D"/>
    <w:rsid w:val="00DA5A6F"/>
    <w:rsid w:val="00DA5AA1"/>
    <w:rsid w:val="00DA5E18"/>
    <w:rsid w:val="00DA5F46"/>
    <w:rsid w:val="00DA6156"/>
    <w:rsid w:val="00DA62D3"/>
    <w:rsid w:val="00DA6477"/>
    <w:rsid w:val="00DA6678"/>
    <w:rsid w:val="00DA6E41"/>
    <w:rsid w:val="00DA703E"/>
    <w:rsid w:val="00DA73E1"/>
    <w:rsid w:val="00DA73F2"/>
    <w:rsid w:val="00DA7500"/>
    <w:rsid w:val="00DA769F"/>
    <w:rsid w:val="00DA79D1"/>
    <w:rsid w:val="00DA7C11"/>
    <w:rsid w:val="00DB0304"/>
    <w:rsid w:val="00DB04C3"/>
    <w:rsid w:val="00DB0608"/>
    <w:rsid w:val="00DB073F"/>
    <w:rsid w:val="00DB0884"/>
    <w:rsid w:val="00DB0A0E"/>
    <w:rsid w:val="00DB0BFB"/>
    <w:rsid w:val="00DB0C1E"/>
    <w:rsid w:val="00DB150A"/>
    <w:rsid w:val="00DB1933"/>
    <w:rsid w:val="00DB1ED0"/>
    <w:rsid w:val="00DB2A8B"/>
    <w:rsid w:val="00DB2FB5"/>
    <w:rsid w:val="00DB3012"/>
    <w:rsid w:val="00DB31C5"/>
    <w:rsid w:val="00DB33A9"/>
    <w:rsid w:val="00DB354E"/>
    <w:rsid w:val="00DB36F8"/>
    <w:rsid w:val="00DB3C41"/>
    <w:rsid w:val="00DB3D80"/>
    <w:rsid w:val="00DB3F31"/>
    <w:rsid w:val="00DB3FDA"/>
    <w:rsid w:val="00DB4827"/>
    <w:rsid w:val="00DB488E"/>
    <w:rsid w:val="00DB4988"/>
    <w:rsid w:val="00DB4CCA"/>
    <w:rsid w:val="00DB4DED"/>
    <w:rsid w:val="00DB4ED4"/>
    <w:rsid w:val="00DB5583"/>
    <w:rsid w:val="00DB58AD"/>
    <w:rsid w:val="00DB5D16"/>
    <w:rsid w:val="00DB6668"/>
    <w:rsid w:val="00DB6813"/>
    <w:rsid w:val="00DB6816"/>
    <w:rsid w:val="00DB6BAF"/>
    <w:rsid w:val="00DB6C41"/>
    <w:rsid w:val="00DB6D0A"/>
    <w:rsid w:val="00DB6E4F"/>
    <w:rsid w:val="00DB6F44"/>
    <w:rsid w:val="00DB7048"/>
    <w:rsid w:val="00DB70AD"/>
    <w:rsid w:val="00DB70F7"/>
    <w:rsid w:val="00DB7653"/>
    <w:rsid w:val="00DB76C2"/>
    <w:rsid w:val="00DB7901"/>
    <w:rsid w:val="00DB7958"/>
    <w:rsid w:val="00DB7D8D"/>
    <w:rsid w:val="00DB7DA7"/>
    <w:rsid w:val="00DC04A2"/>
    <w:rsid w:val="00DC0D5C"/>
    <w:rsid w:val="00DC11A6"/>
    <w:rsid w:val="00DC12B0"/>
    <w:rsid w:val="00DC1B18"/>
    <w:rsid w:val="00DC2064"/>
    <w:rsid w:val="00DC247E"/>
    <w:rsid w:val="00DC2518"/>
    <w:rsid w:val="00DC27F5"/>
    <w:rsid w:val="00DC29D7"/>
    <w:rsid w:val="00DC2AD3"/>
    <w:rsid w:val="00DC2D53"/>
    <w:rsid w:val="00DC2DE7"/>
    <w:rsid w:val="00DC2F1E"/>
    <w:rsid w:val="00DC31EC"/>
    <w:rsid w:val="00DC3218"/>
    <w:rsid w:val="00DC332F"/>
    <w:rsid w:val="00DC3349"/>
    <w:rsid w:val="00DC351A"/>
    <w:rsid w:val="00DC37C3"/>
    <w:rsid w:val="00DC3BB4"/>
    <w:rsid w:val="00DC3ECA"/>
    <w:rsid w:val="00DC41A7"/>
    <w:rsid w:val="00DC4383"/>
    <w:rsid w:val="00DC47D4"/>
    <w:rsid w:val="00DC48B4"/>
    <w:rsid w:val="00DC4BD6"/>
    <w:rsid w:val="00DC4BEA"/>
    <w:rsid w:val="00DC4FC9"/>
    <w:rsid w:val="00DC5244"/>
    <w:rsid w:val="00DC5537"/>
    <w:rsid w:val="00DC553A"/>
    <w:rsid w:val="00DC5611"/>
    <w:rsid w:val="00DC5653"/>
    <w:rsid w:val="00DC5682"/>
    <w:rsid w:val="00DC5CFD"/>
    <w:rsid w:val="00DC5FFC"/>
    <w:rsid w:val="00DC6141"/>
    <w:rsid w:val="00DC631E"/>
    <w:rsid w:val="00DC686E"/>
    <w:rsid w:val="00DC68EB"/>
    <w:rsid w:val="00DC6B54"/>
    <w:rsid w:val="00DC6CB9"/>
    <w:rsid w:val="00DC6D0F"/>
    <w:rsid w:val="00DC6EB8"/>
    <w:rsid w:val="00DC6F99"/>
    <w:rsid w:val="00DC7219"/>
    <w:rsid w:val="00DC77A4"/>
    <w:rsid w:val="00DC789D"/>
    <w:rsid w:val="00DD0681"/>
    <w:rsid w:val="00DD06AD"/>
    <w:rsid w:val="00DD06CE"/>
    <w:rsid w:val="00DD09D9"/>
    <w:rsid w:val="00DD1096"/>
    <w:rsid w:val="00DD12BC"/>
    <w:rsid w:val="00DD13C5"/>
    <w:rsid w:val="00DD1475"/>
    <w:rsid w:val="00DD14AD"/>
    <w:rsid w:val="00DD1B7F"/>
    <w:rsid w:val="00DD1E7B"/>
    <w:rsid w:val="00DD2225"/>
    <w:rsid w:val="00DD2728"/>
    <w:rsid w:val="00DD28EB"/>
    <w:rsid w:val="00DD2A6F"/>
    <w:rsid w:val="00DD2BDC"/>
    <w:rsid w:val="00DD2C93"/>
    <w:rsid w:val="00DD2CA5"/>
    <w:rsid w:val="00DD2F01"/>
    <w:rsid w:val="00DD3260"/>
    <w:rsid w:val="00DD3673"/>
    <w:rsid w:val="00DD3B09"/>
    <w:rsid w:val="00DD3CED"/>
    <w:rsid w:val="00DD4159"/>
    <w:rsid w:val="00DD44A5"/>
    <w:rsid w:val="00DD4D8A"/>
    <w:rsid w:val="00DD4EFC"/>
    <w:rsid w:val="00DD5023"/>
    <w:rsid w:val="00DD502C"/>
    <w:rsid w:val="00DD519C"/>
    <w:rsid w:val="00DD59A6"/>
    <w:rsid w:val="00DD59BA"/>
    <w:rsid w:val="00DD5F7A"/>
    <w:rsid w:val="00DD6176"/>
    <w:rsid w:val="00DD677C"/>
    <w:rsid w:val="00DD6997"/>
    <w:rsid w:val="00DD6D6E"/>
    <w:rsid w:val="00DD75F3"/>
    <w:rsid w:val="00DD7A20"/>
    <w:rsid w:val="00DE01A4"/>
    <w:rsid w:val="00DE03F7"/>
    <w:rsid w:val="00DE05C9"/>
    <w:rsid w:val="00DE05F8"/>
    <w:rsid w:val="00DE0913"/>
    <w:rsid w:val="00DE0A2E"/>
    <w:rsid w:val="00DE0DFE"/>
    <w:rsid w:val="00DE0FAE"/>
    <w:rsid w:val="00DE12FF"/>
    <w:rsid w:val="00DE1B87"/>
    <w:rsid w:val="00DE1CB1"/>
    <w:rsid w:val="00DE1D10"/>
    <w:rsid w:val="00DE261F"/>
    <w:rsid w:val="00DE2849"/>
    <w:rsid w:val="00DE2EB2"/>
    <w:rsid w:val="00DE3598"/>
    <w:rsid w:val="00DE35DE"/>
    <w:rsid w:val="00DE3B9D"/>
    <w:rsid w:val="00DE3D38"/>
    <w:rsid w:val="00DE3F25"/>
    <w:rsid w:val="00DE3F97"/>
    <w:rsid w:val="00DE4063"/>
    <w:rsid w:val="00DE43AE"/>
    <w:rsid w:val="00DE454B"/>
    <w:rsid w:val="00DE4663"/>
    <w:rsid w:val="00DE466D"/>
    <w:rsid w:val="00DE4876"/>
    <w:rsid w:val="00DE4A76"/>
    <w:rsid w:val="00DE54B8"/>
    <w:rsid w:val="00DE54C5"/>
    <w:rsid w:val="00DE576B"/>
    <w:rsid w:val="00DE5B6D"/>
    <w:rsid w:val="00DE5DC1"/>
    <w:rsid w:val="00DE5EB6"/>
    <w:rsid w:val="00DE5F03"/>
    <w:rsid w:val="00DE61C0"/>
    <w:rsid w:val="00DE6289"/>
    <w:rsid w:val="00DE6635"/>
    <w:rsid w:val="00DE698E"/>
    <w:rsid w:val="00DE6A26"/>
    <w:rsid w:val="00DE6DA7"/>
    <w:rsid w:val="00DE7142"/>
    <w:rsid w:val="00DE71B0"/>
    <w:rsid w:val="00DE71C2"/>
    <w:rsid w:val="00DE7F9C"/>
    <w:rsid w:val="00DF0263"/>
    <w:rsid w:val="00DF0511"/>
    <w:rsid w:val="00DF05AB"/>
    <w:rsid w:val="00DF0692"/>
    <w:rsid w:val="00DF097C"/>
    <w:rsid w:val="00DF0B3E"/>
    <w:rsid w:val="00DF105D"/>
    <w:rsid w:val="00DF1185"/>
    <w:rsid w:val="00DF12AC"/>
    <w:rsid w:val="00DF1596"/>
    <w:rsid w:val="00DF1888"/>
    <w:rsid w:val="00DF1AD2"/>
    <w:rsid w:val="00DF1DC9"/>
    <w:rsid w:val="00DF2012"/>
    <w:rsid w:val="00DF205D"/>
    <w:rsid w:val="00DF210C"/>
    <w:rsid w:val="00DF23C5"/>
    <w:rsid w:val="00DF2846"/>
    <w:rsid w:val="00DF2A64"/>
    <w:rsid w:val="00DF2B15"/>
    <w:rsid w:val="00DF2C54"/>
    <w:rsid w:val="00DF31D8"/>
    <w:rsid w:val="00DF3498"/>
    <w:rsid w:val="00DF3529"/>
    <w:rsid w:val="00DF371F"/>
    <w:rsid w:val="00DF395B"/>
    <w:rsid w:val="00DF3BE5"/>
    <w:rsid w:val="00DF41D3"/>
    <w:rsid w:val="00DF42B5"/>
    <w:rsid w:val="00DF4561"/>
    <w:rsid w:val="00DF4EE4"/>
    <w:rsid w:val="00DF5079"/>
    <w:rsid w:val="00DF546D"/>
    <w:rsid w:val="00DF572A"/>
    <w:rsid w:val="00DF57BE"/>
    <w:rsid w:val="00DF5816"/>
    <w:rsid w:val="00DF5989"/>
    <w:rsid w:val="00DF5AFE"/>
    <w:rsid w:val="00DF5B7C"/>
    <w:rsid w:val="00DF5CDE"/>
    <w:rsid w:val="00DF5E83"/>
    <w:rsid w:val="00DF5ED5"/>
    <w:rsid w:val="00DF678B"/>
    <w:rsid w:val="00DF6A87"/>
    <w:rsid w:val="00DF74BE"/>
    <w:rsid w:val="00DF74FC"/>
    <w:rsid w:val="00DF7565"/>
    <w:rsid w:val="00DF76FA"/>
    <w:rsid w:val="00DF7A26"/>
    <w:rsid w:val="00DF7AD6"/>
    <w:rsid w:val="00DF7D11"/>
    <w:rsid w:val="00E0000F"/>
    <w:rsid w:val="00E000E5"/>
    <w:rsid w:val="00E00443"/>
    <w:rsid w:val="00E00776"/>
    <w:rsid w:val="00E00A94"/>
    <w:rsid w:val="00E00EBF"/>
    <w:rsid w:val="00E00EC6"/>
    <w:rsid w:val="00E017C6"/>
    <w:rsid w:val="00E01859"/>
    <w:rsid w:val="00E019C9"/>
    <w:rsid w:val="00E01E3E"/>
    <w:rsid w:val="00E01E94"/>
    <w:rsid w:val="00E021CD"/>
    <w:rsid w:val="00E022FE"/>
    <w:rsid w:val="00E02440"/>
    <w:rsid w:val="00E031B6"/>
    <w:rsid w:val="00E03543"/>
    <w:rsid w:val="00E0357F"/>
    <w:rsid w:val="00E0372F"/>
    <w:rsid w:val="00E03B46"/>
    <w:rsid w:val="00E042EB"/>
    <w:rsid w:val="00E04682"/>
    <w:rsid w:val="00E047F8"/>
    <w:rsid w:val="00E04A06"/>
    <w:rsid w:val="00E04C86"/>
    <w:rsid w:val="00E04DE4"/>
    <w:rsid w:val="00E0517D"/>
    <w:rsid w:val="00E05219"/>
    <w:rsid w:val="00E05A46"/>
    <w:rsid w:val="00E05E8E"/>
    <w:rsid w:val="00E05F8B"/>
    <w:rsid w:val="00E066BE"/>
    <w:rsid w:val="00E06715"/>
    <w:rsid w:val="00E068BB"/>
    <w:rsid w:val="00E06E4E"/>
    <w:rsid w:val="00E06EAF"/>
    <w:rsid w:val="00E07027"/>
    <w:rsid w:val="00E072FA"/>
    <w:rsid w:val="00E074E7"/>
    <w:rsid w:val="00E076F3"/>
    <w:rsid w:val="00E07AF1"/>
    <w:rsid w:val="00E0D0BA"/>
    <w:rsid w:val="00E10007"/>
    <w:rsid w:val="00E1024E"/>
    <w:rsid w:val="00E10559"/>
    <w:rsid w:val="00E105EC"/>
    <w:rsid w:val="00E10848"/>
    <w:rsid w:val="00E10EDF"/>
    <w:rsid w:val="00E112F0"/>
    <w:rsid w:val="00E113BD"/>
    <w:rsid w:val="00E1145F"/>
    <w:rsid w:val="00E11533"/>
    <w:rsid w:val="00E11758"/>
    <w:rsid w:val="00E117C9"/>
    <w:rsid w:val="00E11B04"/>
    <w:rsid w:val="00E11B2B"/>
    <w:rsid w:val="00E11F78"/>
    <w:rsid w:val="00E12488"/>
    <w:rsid w:val="00E127BC"/>
    <w:rsid w:val="00E130A6"/>
    <w:rsid w:val="00E1313D"/>
    <w:rsid w:val="00E136DD"/>
    <w:rsid w:val="00E13C02"/>
    <w:rsid w:val="00E14578"/>
    <w:rsid w:val="00E145A1"/>
    <w:rsid w:val="00E14CB7"/>
    <w:rsid w:val="00E151F5"/>
    <w:rsid w:val="00E1531A"/>
    <w:rsid w:val="00E15419"/>
    <w:rsid w:val="00E15627"/>
    <w:rsid w:val="00E15A34"/>
    <w:rsid w:val="00E15A81"/>
    <w:rsid w:val="00E15C87"/>
    <w:rsid w:val="00E15D6B"/>
    <w:rsid w:val="00E15E5F"/>
    <w:rsid w:val="00E16386"/>
    <w:rsid w:val="00E166CE"/>
    <w:rsid w:val="00E16973"/>
    <w:rsid w:val="00E16E08"/>
    <w:rsid w:val="00E16E28"/>
    <w:rsid w:val="00E171A3"/>
    <w:rsid w:val="00E176C2"/>
    <w:rsid w:val="00E1779E"/>
    <w:rsid w:val="00E177D3"/>
    <w:rsid w:val="00E1794E"/>
    <w:rsid w:val="00E17BE8"/>
    <w:rsid w:val="00E17FC8"/>
    <w:rsid w:val="00E203AA"/>
    <w:rsid w:val="00E20435"/>
    <w:rsid w:val="00E20652"/>
    <w:rsid w:val="00E20D23"/>
    <w:rsid w:val="00E20E1C"/>
    <w:rsid w:val="00E20E80"/>
    <w:rsid w:val="00E21436"/>
    <w:rsid w:val="00E2165E"/>
    <w:rsid w:val="00E2182B"/>
    <w:rsid w:val="00E21A77"/>
    <w:rsid w:val="00E21BFA"/>
    <w:rsid w:val="00E21E6C"/>
    <w:rsid w:val="00E21E7E"/>
    <w:rsid w:val="00E21F70"/>
    <w:rsid w:val="00E22159"/>
    <w:rsid w:val="00E22194"/>
    <w:rsid w:val="00E2230D"/>
    <w:rsid w:val="00E22343"/>
    <w:rsid w:val="00E22677"/>
    <w:rsid w:val="00E227CD"/>
    <w:rsid w:val="00E22A53"/>
    <w:rsid w:val="00E22D4A"/>
    <w:rsid w:val="00E2323F"/>
    <w:rsid w:val="00E232FA"/>
    <w:rsid w:val="00E233EB"/>
    <w:rsid w:val="00E235CB"/>
    <w:rsid w:val="00E236D1"/>
    <w:rsid w:val="00E238A5"/>
    <w:rsid w:val="00E23F4C"/>
    <w:rsid w:val="00E23F50"/>
    <w:rsid w:val="00E23FBD"/>
    <w:rsid w:val="00E24123"/>
    <w:rsid w:val="00E242A8"/>
    <w:rsid w:val="00E243FD"/>
    <w:rsid w:val="00E245A1"/>
    <w:rsid w:val="00E247F8"/>
    <w:rsid w:val="00E24A9D"/>
    <w:rsid w:val="00E24BAF"/>
    <w:rsid w:val="00E24F99"/>
    <w:rsid w:val="00E2511D"/>
    <w:rsid w:val="00E25483"/>
    <w:rsid w:val="00E25730"/>
    <w:rsid w:val="00E25B94"/>
    <w:rsid w:val="00E26348"/>
    <w:rsid w:val="00E26607"/>
    <w:rsid w:val="00E2676E"/>
    <w:rsid w:val="00E2684A"/>
    <w:rsid w:val="00E26EA2"/>
    <w:rsid w:val="00E273AC"/>
    <w:rsid w:val="00E27537"/>
    <w:rsid w:val="00E30432"/>
    <w:rsid w:val="00E304AA"/>
    <w:rsid w:val="00E30933"/>
    <w:rsid w:val="00E30BA3"/>
    <w:rsid w:val="00E30BB7"/>
    <w:rsid w:val="00E31238"/>
    <w:rsid w:val="00E312EE"/>
    <w:rsid w:val="00E3251F"/>
    <w:rsid w:val="00E32A63"/>
    <w:rsid w:val="00E32E58"/>
    <w:rsid w:val="00E33033"/>
    <w:rsid w:val="00E33A10"/>
    <w:rsid w:val="00E34053"/>
    <w:rsid w:val="00E3407C"/>
    <w:rsid w:val="00E34360"/>
    <w:rsid w:val="00E34FDB"/>
    <w:rsid w:val="00E35047"/>
    <w:rsid w:val="00E356F7"/>
    <w:rsid w:val="00E35831"/>
    <w:rsid w:val="00E358F1"/>
    <w:rsid w:val="00E35930"/>
    <w:rsid w:val="00E359EF"/>
    <w:rsid w:val="00E35A0E"/>
    <w:rsid w:val="00E35B96"/>
    <w:rsid w:val="00E35BA1"/>
    <w:rsid w:val="00E35BC2"/>
    <w:rsid w:val="00E35CB2"/>
    <w:rsid w:val="00E35F63"/>
    <w:rsid w:val="00E3629A"/>
    <w:rsid w:val="00E36403"/>
    <w:rsid w:val="00E36432"/>
    <w:rsid w:val="00E364FF"/>
    <w:rsid w:val="00E36A99"/>
    <w:rsid w:val="00E36E80"/>
    <w:rsid w:val="00E36F77"/>
    <w:rsid w:val="00E3713D"/>
    <w:rsid w:val="00E37698"/>
    <w:rsid w:val="00E379AD"/>
    <w:rsid w:val="00E37E1B"/>
    <w:rsid w:val="00E37E68"/>
    <w:rsid w:val="00E401CA"/>
    <w:rsid w:val="00E4037B"/>
    <w:rsid w:val="00E40BF4"/>
    <w:rsid w:val="00E40FE9"/>
    <w:rsid w:val="00E41144"/>
    <w:rsid w:val="00E41164"/>
    <w:rsid w:val="00E412C6"/>
    <w:rsid w:val="00E419A4"/>
    <w:rsid w:val="00E4219D"/>
    <w:rsid w:val="00E423B4"/>
    <w:rsid w:val="00E423FF"/>
    <w:rsid w:val="00E4245F"/>
    <w:rsid w:val="00E42492"/>
    <w:rsid w:val="00E42CBF"/>
    <w:rsid w:val="00E42D11"/>
    <w:rsid w:val="00E432B1"/>
    <w:rsid w:val="00E43340"/>
    <w:rsid w:val="00E43448"/>
    <w:rsid w:val="00E434E1"/>
    <w:rsid w:val="00E43633"/>
    <w:rsid w:val="00E43E21"/>
    <w:rsid w:val="00E441AF"/>
    <w:rsid w:val="00E443B3"/>
    <w:rsid w:val="00E45016"/>
    <w:rsid w:val="00E4514C"/>
    <w:rsid w:val="00E4547E"/>
    <w:rsid w:val="00E455F5"/>
    <w:rsid w:val="00E45631"/>
    <w:rsid w:val="00E459F5"/>
    <w:rsid w:val="00E45A3C"/>
    <w:rsid w:val="00E45CF6"/>
    <w:rsid w:val="00E45D4A"/>
    <w:rsid w:val="00E45D4E"/>
    <w:rsid w:val="00E45DC5"/>
    <w:rsid w:val="00E4608C"/>
    <w:rsid w:val="00E4649F"/>
    <w:rsid w:val="00E4661E"/>
    <w:rsid w:val="00E4666B"/>
    <w:rsid w:val="00E46957"/>
    <w:rsid w:val="00E469F6"/>
    <w:rsid w:val="00E46BD7"/>
    <w:rsid w:val="00E470B0"/>
    <w:rsid w:val="00E472AA"/>
    <w:rsid w:val="00E473D5"/>
    <w:rsid w:val="00E4741C"/>
    <w:rsid w:val="00E474CE"/>
    <w:rsid w:val="00E47735"/>
    <w:rsid w:val="00E477BE"/>
    <w:rsid w:val="00E479E3"/>
    <w:rsid w:val="00E47A61"/>
    <w:rsid w:val="00E47A91"/>
    <w:rsid w:val="00E47E33"/>
    <w:rsid w:val="00E47FFB"/>
    <w:rsid w:val="00E508F9"/>
    <w:rsid w:val="00E50F70"/>
    <w:rsid w:val="00E51027"/>
    <w:rsid w:val="00E514C7"/>
    <w:rsid w:val="00E52661"/>
    <w:rsid w:val="00E5298E"/>
    <w:rsid w:val="00E531C9"/>
    <w:rsid w:val="00E53242"/>
    <w:rsid w:val="00E53343"/>
    <w:rsid w:val="00E53584"/>
    <w:rsid w:val="00E536DF"/>
    <w:rsid w:val="00E538D4"/>
    <w:rsid w:val="00E53B98"/>
    <w:rsid w:val="00E53B9F"/>
    <w:rsid w:val="00E54326"/>
    <w:rsid w:val="00E5450B"/>
    <w:rsid w:val="00E5492D"/>
    <w:rsid w:val="00E54CB5"/>
    <w:rsid w:val="00E550E1"/>
    <w:rsid w:val="00E5558C"/>
    <w:rsid w:val="00E55606"/>
    <w:rsid w:val="00E55630"/>
    <w:rsid w:val="00E55BDF"/>
    <w:rsid w:val="00E55C96"/>
    <w:rsid w:val="00E56225"/>
    <w:rsid w:val="00E56CBB"/>
    <w:rsid w:val="00E56E7A"/>
    <w:rsid w:val="00E56F96"/>
    <w:rsid w:val="00E57171"/>
    <w:rsid w:val="00E5729D"/>
    <w:rsid w:val="00E578C9"/>
    <w:rsid w:val="00E5793B"/>
    <w:rsid w:val="00E57A80"/>
    <w:rsid w:val="00E57B6C"/>
    <w:rsid w:val="00E57D3D"/>
    <w:rsid w:val="00E602AE"/>
    <w:rsid w:val="00E604CE"/>
    <w:rsid w:val="00E6120E"/>
    <w:rsid w:val="00E61421"/>
    <w:rsid w:val="00E61513"/>
    <w:rsid w:val="00E616F3"/>
    <w:rsid w:val="00E618FF"/>
    <w:rsid w:val="00E61B2E"/>
    <w:rsid w:val="00E61ED4"/>
    <w:rsid w:val="00E61EE9"/>
    <w:rsid w:val="00E625D2"/>
    <w:rsid w:val="00E62832"/>
    <w:rsid w:val="00E628E4"/>
    <w:rsid w:val="00E629CA"/>
    <w:rsid w:val="00E62C93"/>
    <w:rsid w:val="00E62CE5"/>
    <w:rsid w:val="00E62EB5"/>
    <w:rsid w:val="00E634E5"/>
    <w:rsid w:val="00E63BC8"/>
    <w:rsid w:val="00E63CC6"/>
    <w:rsid w:val="00E63DAB"/>
    <w:rsid w:val="00E63F68"/>
    <w:rsid w:val="00E644CB"/>
    <w:rsid w:val="00E64583"/>
    <w:rsid w:val="00E64AAE"/>
    <w:rsid w:val="00E64D4B"/>
    <w:rsid w:val="00E64F8F"/>
    <w:rsid w:val="00E65038"/>
    <w:rsid w:val="00E654B4"/>
    <w:rsid w:val="00E654DB"/>
    <w:rsid w:val="00E65573"/>
    <w:rsid w:val="00E6557A"/>
    <w:rsid w:val="00E65C11"/>
    <w:rsid w:val="00E65C1B"/>
    <w:rsid w:val="00E6608A"/>
    <w:rsid w:val="00E661A5"/>
    <w:rsid w:val="00E6639C"/>
    <w:rsid w:val="00E66501"/>
    <w:rsid w:val="00E66572"/>
    <w:rsid w:val="00E6670D"/>
    <w:rsid w:val="00E66A06"/>
    <w:rsid w:val="00E66AA5"/>
    <w:rsid w:val="00E66D2F"/>
    <w:rsid w:val="00E67085"/>
    <w:rsid w:val="00E6708F"/>
    <w:rsid w:val="00E6742E"/>
    <w:rsid w:val="00E6750C"/>
    <w:rsid w:val="00E67678"/>
    <w:rsid w:val="00E67855"/>
    <w:rsid w:val="00E679A8"/>
    <w:rsid w:val="00E67B84"/>
    <w:rsid w:val="00E67C77"/>
    <w:rsid w:val="00E67ECE"/>
    <w:rsid w:val="00E7019B"/>
    <w:rsid w:val="00E701E0"/>
    <w:rsid w:val="00E70350"/>
    <w:rsid w:val="00E70934"/>
    <w:rsid w:val="00E71082"/>
    <w:rsid w:val="00E71521"/>
    <w:rsid w:val="00E7158C"/>
    <w:rsid w:val="00E71791"/>
    <w:rsid w:val="00E71827"/>
    <w:rsid w:val="00E71CDD"/>
    <w:rsid w:val="00E71CE7"/>
    <w:rsid w:val="00E7215A"/>
    <w:rsid w:val="00E72441"/>
    <w:rsid w:val="00E7259A"/>
    <w:rsid w:val="00E726AC"/>
    <w:rsid w:val="00E72BDB"/>
    <w:rsid w:val="00E72F5F"/>
    <w:rsid w:val="00E73346"/>
    <w:rsid w:val="00E73D79"/>
    <w:rsid w:val="00E73DD9"/>
    <w:rsid w:val="00E73E6B"/>
    <w:rsid w:val="00E73E74"/>
    <w:rsid w:val="00E73ED9"/>
    <w:rsid w:val="00E740CA"/>
    <w:rsid w:val="00E7428A"/>
    <w:rsid w:val="00E74310"/>
    <w:rsid w:val="00E74640"/>
    <w:rsid w:val="00E7494D"/>
    <w:rsid w:val="00E7499D"/>
    <w:rsid w:val="00E74C10"/>
    <w:rsid w:val="00E74CDA"/>
    <w:rsid w:val="00E7514E"/>
    <w:rsid w:val="00E755BC"/>
    <w:rsid w:val="00E7568F"/>
    <w:rsid w:val="00E75D48"/>
    <w:rsid w:val="00E75DE7"/>
    <w:rsid w:val="00E7666C"/>
    <w:rsid w:val="00E76AE3"/>
    <w:rsid w:val="00E76DBF"/>
    <w:rsid w:val="00E777FC"/>
    <w:rsid w:val="00E77908"/>
    <w:rsid w:val="00E804D4"/>
    <w:rsid w:val="00E804D9"/>
    <w:rsid w:val="00E80926"/>
    <w:rsid w:val="00E8120A"/>
    <w:rsid w:val="00E81293"/>
    <w:rsid w:val="00E8141C"/>
    <w:rsid w:val="00E81564"/>
    <w:rsid w:val="00E81653"/>
    <w:rsid w:val="00E816C9"/>
    <w:rsid w:val="00E81A26"/>
    <w:rsid w:val="00E81B80"/>
    <w:rsid w:val="00E81DE2"/>
    <w:rsid w:val="00E81F89"/>
    <w:rsid w:val="00E82378"/>
    <w:rsid w:val="00E8257E"/>
    <w:rsid w:val="00E8279E"/>
    <w:rsid w:val="00E82B89"/>
    <w:rsid w:val="00E82D25"/>
    <w:rsid w:val="00E830F7"/>
    <w:rsid w:val="00E83352"/>
    <w:rsid w:val="00E83C5B"/>
    <w:rsid w:val="00E8451B"/>
    <w:rsid w:val="00E845BB"/>
    <w:rsid w:val="00E8473D"/>
    <w:rsid w:val="00E8475A"/>
    <w:rsid w:val="00E848B7"/>
    <w:rsid w:val="00E84FC4"/>
    <w:rsid w:val="00E8509E"/>
    <w:rsid w:val="00E85306"/>
    <w:rsid w:val="00E854BA"/>
    <w:rsid w:val="00E85509"/>
    <w:rsid w:val="00E857E3"/>
    <w:rsid w:val="00E85A4C"/>
    <w:rsid w:val="00E85AB8"/>
    <w:rsid w:val="00E85BED"/>
    <w:rsid w:val="00E85D47"/>
    <w:rsid w:val="00E8602E"/>
    <w:rsid w:val="00E8646C"/>
    <w:rsid w:val="00E86C12"/>
    <w:rsid w:val="00E86D32"/>
    <w:rsid w:val="00E86D5D"/>
    <w:rsid w:val="00E86F79"/>
    <w:rsid w:val="00E86F7D"/>
    <w:rsid w:val="00E87333"/>
    <w:rsid w:val="00E87473"/>
    <w:rsid w:val="00E87481"/>
    <w:rsid w:val="00E87BD2"/>
    <w:rsid w:val="00E904E8"/>
    <w:rsid w:val="00E90998"/>
    <w:rsid w:val="00E90B92"/>
    <w:rsid w:val="00E913D5"/>
    <w:rsid w:val="00E9157C"/>
    <w:rsid w:val="00E91E1B"/>
    <w:rsid w:val="00E9219B"/>
    <w:rsid w:val="00E922BB"/>
    <w:rsid w:val="00E929D5"/>
    <w:rsid w:val="00E92B9A"/>
    <w:rsid w:val="00E933D5"/>
    <w:rsid w:val="00E93402"/>
    <w:rsid w:val="00E9346B"/>
    <w:rsid w:val="00E93DF2"/>
    <w:rsid w:val="00E94197"/>
    <w:rsid w:val="00E942DA"/>
    <w:rsid w:val="00E944CE"/>
    <w:rsid w:val="00E94C85"/>
    <w:rsid w:val="00E95037"/>
    <w:rsid w:val="00E95056"/>
    <w:rsid w:val="00E953A3"/>
    <w:rsid w:val="00E953E6"/>
    <w:rsid w:val="00E954C8"/>
    <w:rsid w:val="00E9591F"/>
    <w:rsid w:val="00E95B5A"/>
    <w:rsid w:val="00E95B86"/>
    <w:rsid w:val="00E95BEA"/>
    <w:rsid w:val="00E95C45"/>
    <w:rsid w:val="00E95CC5"/>
    <w:rsid w:val="00E95E19"/>
    <w:rsid w:val="00E963C2"/>
    <w:rsid w:val="00E969B8"/>
    <w:rsid w:val="00E96D57"/>
    <w:rsid w:val="00E96DD7"/>
    <w:rsid w:val="00E9701F"/>
    <w:rsid w:val="00E97229"/>
    <w:rsid w:val="00E97568"/>
    <w:rsid w:val="00E975F3"/>
    <w:rsid w:val="00E976D4"/>
    <w:rsid w:val="00E9795F"/>
    <w:rsid w:val="00E9F5F7"/>
    <w:rsid w:val="00EA0055"/>
    <w:rsid w:val="00EA0370"/>
    <w:rsid w:val="00EA0441"/>
    <w:rsid w:val="00EA0589"/>
    <w:rsid w:val="00EA0655"/>
    <w:rsid w:val="00EA0A7B"/>
    <w:rsid w:val="00EA0E75"/>
    <w:rsid w:val="00EA0FF9"/>
    <w:rsid w:val="00EA1150"/>
    <w:rsid w:val="00EA1209"/>
    <w:rsid w:val="00EA1705"/>
    <w:rsid w:val="00EA17AE"/>
    <w:rsid w:val="00EA1B7D"/>
    <w:rsid w:val="00EA1D06"/>
    <w:rsid w:val="00EA1DDC"/>
    <w:rsid w:val="00EA1EBC"/>
    <w:rsid w:val="00EA225D"/>
    <w:rsid w:val="00EA22B8"/>
    <w:rsid w:val="00EA243A"/>
    <w:rsid w:val="00EA2503"/>
    <w:rsid w:val="00EA25FE"/>
    <w:rsid w:val="00EA2620"/>
    <w:rsid w:val="00EA2972"/>
    <w:rsid w:val="00EA2FD3"/>
    <w:rsid w:val="00EA31D7"/>
    <w:rsid w:val="00EA33E9"/>
    <w:rsid w:val="00EA3401"/>
    <w:rsid w:val="00EA3511"/>
    <w:rsid w:val="00EA35EA"/>
    <w:rsid w:val="00EA3647"/>
    <w:rsid w:val="00EA3899"/>
    <w:rsid w:val="00EA3B38"/>
    <w:rsid w:val="00EA4106"/>
    <w:rsid w:val="00EA41EA"/>
    <w:rsid w:val="00EA42BC"/>
    <w:rsid w:val="00EA46B1"/>
    <w:rsid w:val="00EA478A"/>
    <w:rsid w:val="00EA4988"/>
    <w:rsid w:val="00EA4B71"/>
    <w:rsid w:val="00EA4C4E"/>
    <w:rsid w:val="00EA5026"/>
    <w:rsid w:val="00EA5239"/>
    <w:rsid w:val="00EA539B"/>
    <w:rsid w:val="00EA5A72"/>
    <w:rsid w:val="00EA5C40"/>
    <w:rsid w:val="00EA5ECB"/>
    <w:rsid w:val="00EA5ED4"/>
    <w:rsid w:val="00EA629B"/>
    <w:rsid w:val="00EA659E"/>
    <w:rsid w:val="00EA6997"/>
    <w:rsid w:val="00EA6ED6"/>
    <w:rsid w:val="00EA6F75"/>
    <w:rsid w:val="00EA7013"/>
    <w:rsid w:val="00EA72A2"/>
    <w:rsid w:val="00EA7879"/>
    <w:rsid w:val="00EA7A0F"/>
    <w:rsid w:val="00EB0083"/>
    <w:rsid w:val="00EB044B"/>
    <w:rsid w:val="00EB058C"/>
    <w:rsid w:val="00EB074A"/>
    <w:rsid w:val="00EB0A7B"/>
    <w:rsid w:val="00EB0C17"/>
    <w:rsid w:val="00EB0D36"/>
    <w:rsid w:val="00EB0D44"/>
    <w:rsid w:val="00EB1039"/>
    <w:rsid w:val="00EB1C00"/>
    <w:rsid w:val="00EB2135"/>
    <w:rsid w:val="00EB2452"/>
    <w:rsid w:val="00EB2B66"/>
    <w:rsid w:val="00EB3062"/>
    <w:rsid w:val="00EB32F6"/>
    <w:rsid w:val="00EB3550"/>
    <w:rsid w:val="00EB36FE"/>
    <w:rsid w:val="00EB3999"/>
    <w:rsid w:val="00EB3A26"/>
    <w:rsid w:val="00EB3C8F"/>
    <w:rsid w:val="00EB3D77"/>
    <w:rsid w:val="00EB3DF9"/>
    <w:rsid w:val="00EB417F"/>
    <w:rsid w:val="00EB4189"/>
    <w:rsid w:val="00EB42D5"/>
    <w:rsid w:val="00EB454F"/>
    <w:rsid w:val="00EB4808"/>
    <w:rsid w:val="00EB4B1C"/>
    <w:rsid w:val="00EB4B6E"/>
    <w:rsid w:val="00EB4D11"/>
    <w:rsid w:val="00EB4D2E"/>
    <w:rsid w:val="00EB4DA1"/>
    <w:rsid w:val="00EB4EAC"/>
    <w:rsid w:val="00EB5183"/>
    <w:rsid w:val="00EB5253"/>
    <w:rsid w:val="00EB52CB"/>
    <w:rsid w:val="00EB56A9"/>
    <w:rsid w:val="00EB57EC"/>
    <w:rsid w:val="00EB5FBE"/>
    <w:rsid w:val="00EB5FED"/>
    <w:rsid w:val="00EB61FE"/>
    <w:rsid w:val="00EB6220"/>
    <w:rsid w:val="00EB62B8"/>
    <w:rsid w:val="00EB62D0"/>
    <w:rsid w:val="00EB65E5"/>
    <w:rsid w:val="00EB689E"/>
    <w:rsid w:val="00EB696C"/>
    <w:rsid w:val="00EB6C4C"/>
    <w:rsid w:val="00EB6DA4"/>
    <w:rsid w:val="00EB76EC"/>
    <w:rsid w:val="00EB7D6E"/>
    <w:rsid w:val="00EC048B"/>
    <w:rsid w:val="00EC08D7"/>
    <w:rsid w:val="00EC0A72"/>
    <w:rsid w:val="00EC0AAC"/>
    <w:rsid w:val="00EC0D27"/>
    <w:rsid w:val="00EC0D57"/>
    <w:rsid w:val="00EC15F3"/>
    <w:rsid w:val="00EC18DF"/>
    <w:rsid w:val="00EC1902"/>
    <w:rsid w:val="00EC1AA3"/>
    <w:rsid w:val="00EC1D59"/>
    <w:rsid w:val="00EC2474"/>
    <w:rsid w:val="00EC2653"/>
    <w:rsid w:val="00EC29AA"/>
    <w:rsid w:val="00EC2A7C"/>
    <w:rsid w:val="00EC2B18"/>
    <w:rsid w:val="00EC2B41"/>
    <w:rsid w:val="00EC2C4E"/>
    <w:rsid w:val="00EC2E13"/>
    <w:rsid w:val="00EC31D0"/>
    <w:rsid w:val="00EC335C"/>
    <w:rsid w:val="00EC3442"/>
    <w:rsid w:val="00EC363B"/>
    <w:rsid w:val="00EC384D"/>
    <w:rsid w:val="00EC3B65"/>
    <w:rsid w:val="00EC3BD7"/>
    <w:rsid w:val="00EC3CAB"/>
    <w:rsid w:val="00EC3D43"/>
    <w:rsid w:val="00EC3DDB"/>
    <w:rsid w:val="00EC40F1"/>
    <w:rsid w:val="00EC42A8"/>
    <w:rsid w:val="00EC45D0"/>
    <w:rsid w:val="00EC45E2"/>
    <w:rsid w:val="00EC497E"/>
    <w:rsid w:val="00EC4A5A"/>
    <w:rsid w:val="00EC53B1"/>
    <w:rsid w:val="00EC59AA"/>
    <w:rsid w:val="00EC5C11"/>
    <w:rsid w:val="00EC62D0"/>
    <w:rsid w:val="00EC6509"/>
    <w:rsid w:val="00EC657B"/>
    <w:rsid w:val="00EC6ABF"/>
    <w:rsid w:val="00EC6C00"/>
    <w:rsid w:val="00EC6CA7"/>
    <w:rsid w:val="00EC7089"/>
    <w:rsid w:val="00EC72CD"/>
    <w:rsid w:val="00EC7624"/>
    <w:rsid w:val="00EC78F5"/>
    <w:rsid w:val="00EC7A2A"/>
    <w:rsid w:val="00ED0003"/>
    <w:rsid w:val="00ED0365"/>
    <w:rsid w:val="00ED0473"/>
    <w:rsid w:val="00ED06BB"/>
    <w:rsid w:val="00ED07C2"/>
    <w:rsid w:val="00ED0AD5"/>
    <w:rsid w:val="00ED102C"/>
    <w:rsid w:val="00ED11A9"/>
    <w:rsid w:val="00ED1312"/>
    <w:rsid w:val="00ED1F96"/>
    <w:rsid w:val="00ED1FC1"/>
    <w:rsid w:val="00ED2881"/>
    <w:rsid w:val="00ED29EF"/>
    <w:rsid w:val="00ED2B4C"/>
    <w:rsid w:val="00ED2ED7"/>
    <w:rsid w:val="00ED3193"/>
    <w:rsid w:val="00ED3211"/>
    <w:rsid w:val="00ED399D"/>
    <w:rsid w:val="00ED3E40"/>
    <w:rsid w:val="00ED3F6D"/>
    <w:rsid w:val="00ED4167"/>
    <w:rsid w:val="00ED44E6"/>
    <w:rsid w:val="00ED4578"/>
    <w:rsid w:val="00ED48CC"/>
    <w:rsid w:val="00ED4A1E"/>
    <w:rsid w:val="00ED4A88"/>
    <w:rsid w:val="00ED5BE0"/>
    <w:rsid w:val="00ED5C93"/>
    <w:rsid w:val="00ED5CE8"/>
    <w:rsid w:val="00ED5D18"/>
    <w:rsid w:val="00ED5ECD"/>
    <w:rsid w:val="00ED6506"/>
    <w:rsid w:val="00ED6F1E"/>
    <w:rsid w:val="00ED71A4"/>
    <w:rsid w:val="00ED72C7"/>
    <w:rsid w:val="00ED791F"/>
    <w:rsid w:val="00ED79E7"/>
    <w:rsid w:val="00ED7B0D"/>
    <w:rsid w:val="00ED7B84"/>
    <w:rsid w:val="00EE0C8E"/>
    <w:rsid w:val="00EE112C"/>
    <w:rsid w:val="00EE1265"/>
    <w:rsid w:val="00EE12AF"/>
    <w:rsid w:val="00EE141C"/>
    <w:rsid w:val="00EE17FA"/>
    <w:rsid w:val="00EE1A4C"/>
    <w:rsid w:val="00EE1E19"/>
    <w:rsid w:val="00EE2467"/>
    <w:rsid w:val="00EE26B2"/>
    <w:rsid w:val="00EE2C96"/>
    <w:rsid w:val="00EE2EB2"/>
    <w:rsid w:val="00EE3634"/>
    <w:rsid w:val="00EE372A"/>
    <w:rsid w:val="00EE392F"/>
    <w:rsid w:val="00EE3D60"/>
    <w:rsid w:val="00EE3E33"/>
    <w:rsid w:val="00EE3ED7"/>
    <w:rsid w:val="00EE4014"/>
    <w:rsid w:val="00EE4201"/>
    <w:rsid w:val="00EE4361"/>
    <w:rsid w:val="00EE4D67"/>
    <w:rsid w:val="00EE51CB"/>
    <w:rsid w:val="00EE5213"/>
    <w:rsid w:val="00EE543D"/>
    <w:rsid w:val="00EE547A"/>
    <w:rsid w:val="00EE54D4"/>
    <w:rsid w:val="00EE54E7"/>
    <w:rsid w:val="00EE5D2F"/>
    <w:rsid w:val="00EE65D3"/>
    <w:rsid w:val="00EE6930"/>
    <w:rsid w:val="00EE726F"/>
    <w:rsid w:val="00EE73CC"/>
    <w:rsid w:val="00EE74AA"/>
    <w:rsid w:val="00EE7A71"/>
    <w:rsid w:val="00EE7BDF"/>
    <w:rsid w:val="00EE7E43"/>
    <w:rsid w:val="00EF0130"/>
    <w:rsid w:val="00EF03DD"/>
    <w:rsid w:val="00EF098C"/>
    <w:rsid w:val="00EF0C1B"/>
    <w:rsid w:val="00EF0E49"/>
    <w:rsid w:val="00EF1081"/>
    <w:rsid w:val="00EF1091"/>
    <w:rsid w:val="00EF1352"/>
    <w:rsid w:val="00EF15A9"/>
    <w:rsid w:val="00EF187A"/>
    <w:rsid w:val="00EF1F1D"/>
    <w:rsid w:val="00EF20AE"/>
    <w:rsid w:val="00EF221B"/>
    <w:rsid w:val="00EF2317"/>
    <w:rsid w:val="00EF2487"/>
    <w:rsid w:val="00EF29FE"/>
    <w:rsid w:val="00EF2ACF"/>
    <w:rsid w:val="00EF30A5"/>
    <w:rsid w:val="00EF30FA"/>
    <w:rsid w:val="00EF332A"/>
    <w:rsid w:val="00EF354D"/>
    <w:rsid w:val="00EF3574"/>
    <w:rsid w:val="00EF3782"/>
    <w:rsid w:val="00EF3CCA"/>
    <w:rsid w:val="00EF40C6"/>
    <w:rsid w:val="00EF4634"/>
    <w:rsid w:val="00EF4C2B"/>
    <w:rsid w:val="00EF4F70"/>
    <w:rsid w:val="00EF51CE"/>
    <w:rsid w:val="00EF52DE"/>
    <w:rsid w:val="00EF540F"/>
    <w:rsid w:val="00EF5532"/>
    <w:rsid w:val="00EF570E"/>
    <w:rsid w:val="00EF580D"/>
    <w:rsid w:val="00EF5C5E"/>
    <w:rsid w:val="00EF6216"/>
    <w:rsid w:val="00EF63F1"/>
    <w:rsid w:val="00EF64DB"/>
    <w:rsid w:val="00EF6730"/>
    <w:rsid w:val="00EF6E41"/>
    <w:rsid w:val="00EF6FF6"/>
    <w:rsid w:val="00EF747D"/>
    <w:rsid w:val="00EF76E4"/>
    <w:rsid w:val="00EF783C"/>
    <w:rsid w:val="00EF7AA7"/>
    <w:rsid w:val="00EF7BE1"/>
    <w:rsid w:val="00EF7DA4"/>
    <w:rsid w:val="00EF7EF7"/>
    <w:rsid w:val="00F00156"/>
    <w:rsid w:val="00F0032D"/>
    <w:rsid w:val="00F00363"/>
    <w:rsid w:val="00F0048E"/>
    <w:rsid w:val="00F00A65"/>
    <w:rsid w:val="00F00D50"/>
    <w:rsid w:val="00F012E3"/>
    <w:rsid w:val="00F01487"/>
    <w:rsid w:val="00F0163E"/>
    <w:rsid w:val="00F01B35"/>
    <w:rsid w:val="00F01C54"/>
    <w:rsid w:val="00F01EB1"/>
    <w:rsid w:val="00F01F69"/>
    <w:rsid w:val="00F02056"/>
    <w:rsid w:val="00F02183"/>
    <w:rsid w:val="00F0223B"/>
    <w:rsid w:val="00F0241E"/>
    <w:rsid w:val="00F0255A"/>
    <w:rsid w:val="00F026FB"/>
    <w:rsid w:val="00F02A4A"/>
    <w:rsid w:val="00F02E8A"/>
    <w:rsid w:val="00F0321B"/>
    <w:rsid w:val="00F032A3"/>
    <w:rsid w:val="00F032EC"/>
    <w:rsid w:val="00F035C0"/>
    <w:rsid w:val="00F036AD"/>
    <w:rsid w:val="00F03C73"/>
    <w:rsid w:val="00F04288"/>
    <w:rsid w:val="00F04934"/>
    <w:rsid w:val="00F04B6A"/>
    <w:rsid w:val="00F04C80"/>
    <w:rsid w:val="00F050F5"/>
    <w:rsid w:val="00F052EB"/>
    <w:rsid w:val="00F054A0"/>
    <w:rsid w:val="00F05742"/>
    <w:rsid w:val="00F05C0D"/>
    <w:rsid w:val="00F05D0C"/>
    <w:rsid w:val="00F05F36"/>
    <w:rsid w:val="00F0603A"/>
    <w:rsid w:val="00F06870"/>
    <w:rsid w:val="00F06AFB"/>
    <w:rsid w:val="00F06E2A"/>
    <w:rsid w:val="00F06FAB"/>
    <w:rsid w:val="00F06FCA"/>
    <w:rsid w:val="00F070F7"/>
    <w:rsid w:val="00F071A1"/>
    <w:rsid w:val="00F07984"/>
    <w:rsid w:val="00F07AE5"/>
    <w:rsid w:val="00F07D9E"/>
    <w:rsid w:val="00F07E69"/>
    <w:rsid w:val="00F1043A"/>
    <w:rsid w:val="00F104C8"/>
    <w:rsid w:val="00F1067C"/>
    <w:rsid w:val="00F10F66"/>
    <w:rsid w:val="00F11146"/>
    <w:rsid w:val="00F11467"/>
    <w:rsid w:val="00F11E34"/>
    <w:rsid w:val="00F11E3F"/>
    <w:rsid w:val="00F11F7C"/>
    <w:rsid w:val="00F11FC0"/>
    <w:rsid w:val="00F123A2"/>
    <w:rsid w:val="00F123EE"/>
    <w:rsid w:val="00F12591"/>
    <w:rsid w:val="00F1262E"/>
    <w:rsid w:val="00F126ED"/>
    <w:rsid w:val="00F12AE8"/>
    <w:rsid w:val="00F12BBC"/>
    <w:rsid w:val="00F13201"/>
    <w:rsid w:val="00F13314"/>
    <w:rsid w:val="00F1341B"/>
    <w:rsid w:val="00F13532"/>
    <w:rsid w:val="00F1377E"/>
    <w:rsid w:val="00F13B4C"/>
    <w:rsid w:val="00F13B98"/>
    <w:rsid w:val="00F13BF6"/>
    <w:rsid w:val="00F13EB6"/>
    <w:rsid w:val="00F1456C"/>
    <w:rsid w:val="00F14576"/>
    <w:rsid w:val="00F1481C"/>
    <w:rsid w:val="00F14F10"/>
    <w:rsid w:val="00F14FB7"/>
    <w:rsid w:val="00F150B7"/>
    <w:rsid w:val="00F151C0"/>
    <w:rsid w:val="00F153D1"/>
    <w:rsid w:val="00F15630"/>
    <w:rsid w:val="00F1602F"/>
    <w:rsid w:val="00F161AF"/>
    <w:rsid w:val="00F16359"/>
    <w:rsid w:val="00F16766"/>
    <w:rsid w:val="00F1686A"/>
    <w:rsid w:val="00F16E08"/>
    <w:rsid w:val="00F16E78"/>
    <w:rsid w:val="00F17108"/>
    <w:rsid w:val="00F17CE2"/>
    <w:rsid w:val="00F20689"/>
    <w:rsid w:val="00F2075B"/>
    <w:rsid w:val="00F2077F"/>
    <w:rsid w:val="00F20989"/>
    <w:rsid w:val="00F215BB"/>
    <w:rsid w:val="00F219CB"/>
    <w:rsid w:val="00F21E87"/>
    <w:rsid w:val="00F2242A"/>
    <w:rsid w:val="00F225EC"/>
    <w:rsid w:val="00F22670"/>
    <w:rsid w:val="00F2276E"/>
    <w:rsid w:val="00F22ACF"/>
    <w:rsid w:val="00F22B53"/>
    <w:rsid w:val="00F22BDD"/>
    <w:rsid w:val="00F23078"/>
    <w:rsid w:val="00F2331A"/>
    <w:rsid w:val="00F23439"/>
    <w:rsid w:val="00F23805"/>
    <w:rsid w:val="00F238C6"/>
    <w:rsid w:val="00F241A2"/>
    <w:rsid w:val="00F24295"/>
    <w:rsid w:val="00F24370"/>
    <w:rsid w:val="00F246BD"/>
    <w:rsid w:val="00F2477A"/>
    <w:rsid w:val="00F24884"/>
    <w:rsid w:val="00F2488E"/>
    <w:rsid w:val="00F24EE1"/>
    <w:rsid w:val="00F24F3B"/>
    <w:rsid w:val="00F25218"/>
    <w:rsid w:val="00F258E5"/>
    <w:rsid w:val="00F258E8"/>
    <w:rsid w:val="00F2593D"/>
    <w:rsid w:val="00F25A2B"/>
    <w:rsid w:val="00F25ABF"/>
    <w:rsid w:val="00F25FD6"/>
    <w:rsid w:val="00F2610B"/>
    <w:rsid w:val="00F26686"/>
    <w:rsid w:val="00F266B3"/>
    <w:rsid w:val="00F26D18"/>
    <w:rsid w:val="00F26F59"/>
    <w:rsid w:val="00F26F83"/>
    <w:rsid w:val="00F27081"/>
    <w:rsid w:val="00F274F5"/>
    <w:rsid w:val="00F2764C"/>
    <w:rsid w:val="00F277C8"/>
    <w:rsid w:val="00F3005F"/>
    <w:rsid w:val="00F3038F"/>
    <w:rsid w:val="00F30B10"/>
    <w:rsid w:val="00F30C58"/>
    <w:rsid w:val="00F30FEB"/>
    <w:rsid w:val="00F310EC"/>
    <w:rsid w:val="00F312DD"/>
    <w:rsid w:val="00F314C5"/>
    <w:rsid w:val="00F31697"/>
    <w:rsid w:val="00F317F8"/>
    <w:rsid w:val="00F31CFC"/>
    <w:rsid w:val="00F32717"/>
    <w:rsid w:val="00F32A3C"/>
    <w:rsid w:val="00F32D1D"/>
    <w:rsid w:val="00F32E90"/>
    <w:rsid w:val="00F32E9E"/>
    <w:rsid w:val="00F33600"/>
    <w:rsid w:val="00F338B5"/>
    <w:rsid w:val="00F33A3A"/>
    <w:rsid w:val="00F33CDC"/>
    <w:rsid w:val="00F3415F"/>
    <w:rsid w:val="00F341C2"/>
    <w:rsid w:val="00F343C8"/>
    <w:rsid w:val="00F347A9"/>
    <w:rsid w:val="00F3496A"/>
    <w:rsid w:val="00F34B2B"/>
    <w:rsid w:val="00F34CD5"/>
    <w:rsid w:val="00F34D21"/>
    <w:rsid w:val="00F34F61"/>
    <w:rsid w:val="00F34F9F"/>
    <w:rsid w:val="00F352D7"/>
    <w:rsid w:val="00F3543C"/>
    <w:rsid w:val="00F35538"/>
    <w:rsid w:val="00F3584E"/>
    <w:rsid w:val="00F35F37"/>
    <w:rsid w:val="00F35FDA"/>
    <w:rsid w:val="00F3624D"/>
    <w:rsid w:val="00F36539"/>
    <w:rsid w:val="00F3664B"/>
    <w:rsid w:val="00F367AC"/>
    <w:rsid w:val="00F36970"/>
    <w:rsid w:val="00F36A97"/>
    <w:rsid w:val="00F36BD2"/>
    <w:rsid w:val="00F36C2F"/>
    <w:rsid w:val="00F36ECA"/>
    <w:rsid w:val="00F36F01"/>
    <w:rsid w:val="00F36F70"/>
    <w:rsid w:val="00F36FE5"/>
    <w:rsid w:val="00F371A7"/>
    <w:rsid w:val="00F37538"/>
    <w:rsid w:val="00F37817"/>
    <w:rsid w:val="00F3799C"/>
    <w:rsid w:val="00F4028C"/>
    <w:rsid w:val="00F404D9"/>
    <w:rsid w:val="00F405DE"/>
    <w:rsid w:val="00F4065E"/>
    <w:rsid w:val="00F40906"/>
    <w:rsid w:val="00F4156B"/>
    <w:rsid w:val="00F41827"/>
    <w:rsid w:val="00F41840"/>
    <w:rsid w:val="00F4185B"/>
    <w:rsid w:val="00F418C4"/>
    <w:rsid w:val="00F41949"/>
    <w:rsid w:val="00F41CF7"/>
    <w:rsid w:val="00F424C5"/>
    <w:rsid w:val="00F427C9"/>
    <w:rsid w:val="00F4299A"/>
    <w:rsid w:val="00F42A90"/>
    <w:rsid w:val="00F4300B"/>
    <w:rsid w:val="00F43037"/>
    <w:rsid w:val="00F43118"/>
    <w:rsid w:val="00F4325A"/>
    <w:rsid w:val="00F43393"/>
    <w:rsid w:val="00F43598"/>
    <w:rsid w:val="00F43ABC"/>
    <w:rsid w:val="00F43B34"/>
    <w:rsid w:val="00F43F54"/>
    <w:rsid w:val="00F44150"/>
    <w:rsid w:val="00F444FF"/>
    <w:rsid w:val="00F44676"/>
    <w:rsid w:val="00F44792"/>
    <w:rsid w:val="00F451E8"/>
    <w:rsid w:val="00F45C9D"/>
    <w:rsid w:val="00F45F70"/>
    <w:rsid w:val="00F4614E"/>
    <w:rsid w:val="00F4619C"/>
    <w:rsid w:val="00F462D3"/>
    <w:rsid w:val="00F46402"/>
    <w:rsid w:val="00F46CB7"/>
    <w:rsid w:val="00F46F1F"/>
    <w:rsid w:val="00F47139"/>
    <w:rsid w:val="00F4725D"/>
    <w:rsid w:val="00F4727D"/>
    <w:rsid w:val="00F47326"/>
    <w:rsid w:val="00F474AE"/>
    <w:rsid w:val="00F477CC"/>
    <w:rsid w:val="00F478BA"/>
    <w:rsid w:val="00F47B4D"/>
    <w:rsid w:val="00F47CC0"/>
    <w:rsid w:val="00F47D1C"/>
    <w:rsid w:val="00F500E9"/>
    <w:rsid w:val="00F506B1"/>
    <w:rsid w:val="00F506B7"/>
    <w:rsid w:val="00F509C8"/>
    <w:rsid w:val="00F50A78"/>
    <w:rsid w:val="00F50DEF"/>
    <w:rsid w:val="00F51AF1"/>
    <w:rsid w:val="00F51C5E"/>
    <w:rsid w:val="00F51C8A"/>
    <w:rsid w:val="00F524F1"/>
    <w:rsid w:val="00F529B3"/>
    <w:rsid w:val="00F52B66"/>
    <w:rsid w:val="00F52BE0"/>
    <w:rsid w:val="00F530F4"/>
    <w:rsid w:val="00F53AC7"/>
    <w:rsid w:val="00F53B9A"/>
    <w:rsid w:val="00F53F3D"/>
    <w:rsid w:val="00F54252"/>
    <w:rsid w:val="00F5451C"/>
    <w:rsid w:val="00F5497C"/>
    <w:rsid w:val="00F54BD0"/>
    <w:rsid w:val="00F54D2C"/>
    <w:rsid w:val="00F54F8B"/>
    <w:rsid w:val="00F5575D"/>
    <w:rsid w:val="00F55913"/>
    <w:rsid w:val="00F55A1B"/>
    <w:rsid w:val="00F55C90"/>
    <w:rsid w:val="00F55FC7"/>
    <w:rsid w:val="00F5645D"/>
    <w:rsid w:val="00F56534"/>
    <w:rsid w:val="00F56A5E"/>
    <w:rsid w:val="00F57580"/>
    <w:rsid w:val="00F57934"/>
    <w:rsid w:val="00F57BC3"/>
    <w:rsid w:val="00F57BFF"/>
    <w:rsid w:val="00F57DEB"/>
    <w:rsid w:val="00F57E89"/>
    <w:rsid w:val="00F57F6C"/>
    <w:rsid w:val="00F60061"/>
    <w:rsid w:val="00F60446"/>
    <w:rsid w:val="00F604E0"/>
    <w:rsid w:val="00F6061A"/>
    <w:rsid w:val="00F60FE0"/>
    <w:rsid w:val="00F61012"/>
    <w:rsid w:val="00F610CC"/>
    <w:rsid w:val="00F61178"/>
    <w:rsid w:val="00F61254"/>
    <w:rsid w:val="00F6156D"/>
    <w:rsid w:val="00F615CD"/>
    <w:rsid w:val="00F61C53"/>
    <w:rsid w:val="00F61CB4"/>
    <w:rsid w:val="00F61CE3"/>
    <w:rsid w:val="00F61DAB"/>
    <w:rsid w:val="00F61DD6"/>
    <w:rsid w:val="00F61FE9"/>
    <w:rsid w:val="00F620C8"/>
    <w:rsid w:val="00F621CB"/>
    <w:rsid w:val="00F622DA"/>
    <w:rsid w:val="00F6248B"/>
    <w:rsid w:val="00F624B1"/>
    <w:rsid w:val="00F628E3"/>
    <w:rsid w:val="00F6290F"/>
    <w:rsid w:val="00F62DFB"/>
    <w:rsid w:val="00F63026"/>
    <w:rsid w:val="00F6331A"/>
    <w:rsid w:val="00F6343E"/>
    <w:rsid w:val="00F634D0"/>
    <w:rsid w:val="00F63874"/>
    <w:rsid w:val="00F63893"/>
    <w:rsid w:val="00F63EF8"/>
    <w:rsid w:val="00F63FCE"/>
    <w:rsid w:val="00F649C7"/>
    <w:rsid w:val="00F649E0"/>
    <w:rsid w:val="00F64B77"/>
    <w:rsid w:val="00F64DAF"/>
    <w:rsid w:val="00F653F8"/>
    <w:rsid w:val="00F654A7"/>
    <w:rsid w:val="00F65C3B"/>
    <w:rsid w:val="00F65D54"/>
    <w:rsid w:val="00F65FA3"/>
    <w:rsid w:val="00F664EF"/>
    <w:rsid w:val="00F669DB"/>
    <w:rsid w:val="00F66B6B"/>
    <w:rsid w:val="00F66BF6"/>
    <w:rsid w:val="00F66D2C"/>
    <w:rsid w:val="00F66F36"/>
    <w:rsid w:val="00F66F8C"/>
    <w:rsid w:val="00F67279"/>
    <w:rsid w:val="00F673C8"/>
    <w:rsid w:val="00F673E5"/>
    <w:rsid w:val="00F67704"/>
    <w:rsid w:val="00F678F3"/>
    <w:rsid w:val="00F679AF"/>
    <w:rsid w:val="00F67AD5"/>
    <w:rsid w:val="00F67F62"/>
    <w:rsid w:val="00F7006D"/>
    <w:rsid w:val="00F701EF"/>
    <w:rsid w:val="00F702EE"/>
    <w:rsid w:val="00F7058F"/>
    <w:rsid w:val="00F708AE"/>
    <w:rsid w:val="00F70E07"/>
    <w:rsid w:val="00F71177"/>
    <w:rsid w:val="00F711E4"/>
    <w:rsid w:val="00F711F3"/>
    <w:rsid w:val="00F714CC"/>
    <w:rsid w:val="00F71820"/>
    <w:rsid w:val="00F71940"/>
    <w:rsid w:val="00F7224F"/>
    <w:rsid w:val="00F72438"/>
    <w:rsid w:val="00F72493"/>
    <w:rsid w:val="00F726BC"/>
    <w:rsid w:val="00F727D6"/>
    <w:rsid w:val="00F72BE0"/>
    <w:rsid w:val="00F73007"/>
    <w:rsid w:val="00F7387B"/>
    <w:rsid w:val="00F7402C"/>
    <w:rsid w:val="00F742DF"/>
    <w:rsid w:val="00F743C7"/>
    <w:rsid w:val="00F74E6F"/>
    <w:rsid w:val="00F74FAE"/>
    <w:rsid w:val="00F75009"/>
    <w:rsid w:val="00F75161"/>
    <w:rsid w:val="00F7527E"/>
    <w:rsid w:val="00F75308"/>
    <w:rsid w:val="00F7538B"/>
    <w:rsid w:val="00F7580D"/>
    <w:rsid w:val="00F75E47"/>
    <w:rsid w:val="00F75ED4"/>
    <w:rsid w:val="00F7614A"/>
    <w:rsid w:val="00F7625E"/>
    <w:rsid w:val="00F76358"/>
    <w:rsid w:val="00F76368"/>
    <w:rsid w:val="00F76493"/>
    <w:rsid w:val="00F764B8"/>
    <w:rsid w:val="00F7670B"/>
    <w:rsid w:val="00F767C6"/>
    <w:rsid w:val="00F767F2"/>
    <w:rsid w:val="00F769EF"/>
    <w:rsid w:val="00F77059"/>
    <w:rsid w:val="00F774BC"/>
    <w:rsid w:val="00F77618"/>
    <w:rsid w:val="00F7770A"/>
    <w:rsid w:val="00F7791B"/>
    <w:rsid w:val="00F77FE4"/>
    <w:rsid w:val="00F804AA"/>
    <w:rsid w:val="00F804B3"/>
    <w:rsid w:val="00F80AFE"/>
    <w:rsid w:val="00F80FA8"/>
    <w:rsid w:val="00F8106C"/>
    <w:rsid w:val="00F810B3"/>
    <w:rsid w:val="00F815AE"/>
    <w:rsid w:val="00F8168E"/>
    <w:rsid w:val="00F81BE7"/>
    <w:rsid w:val="00F81D9F"/>
    <w:rsid w:val="00F81DC4"/>
    <w:rsid w:val="00F81E35"/>
    <w:rsid w:val="00F81EA5"/>
    <w:rsid w:val="00F82019"/>
    <w:rsid w:val="00F82128"/>
    <w:rsid w:val="00F8225B"/>
    <w:rsid w:val="00F8291A"/>
    <w:rsid w:val="00F82DBD"/>
    <w:rsid w:val="00F83317"/>
    <w:rsid w:val="00F83380"/>
    <w:rsid w:val="00F83C42"/>
    <w:rsid w:val="00F83F17"/>
    <w:rsid w:val="00F842B6"/>
    <w:rsid w:val="00F84390"/>
    <w:rsid w:val="00F84497"/>
    <w:rsid w:val="00F8479E"/>
    <w:rsid w:val="00F848FD"/>
    <w:rsid w:val="00F84BB9"/>
    <w:rsid w:val="00F853B4"/>
    <w:rsid w:val="00F85849"/>
    <w:rsid w:val="00F859B6"/>
    <w:rsid w:val="00F85DA6"/>
    <w:rsid w:val="00F86128"/>
    <w:rsid w:val="00F861EF"/>
    <w:rsid w:val="00F86339"/>
    <w:rsid w:val="00F863B6"/>
    <w:rsid w:val="00F86587"/>
    <w:rsid w:val="00F866A3"/>
    <w:rsid w:val="00F86BEA"/>
    <w:rsid w:val="00F86C54"/>
    <w:rsid w:val="00F86DAF"/>
    <w:rsid w:val="00F87215"/>
    <w:rsid w:val="00F87231"/>
    <w:rsid w:val="00F876CE"/>
    <w:rsid w:val="00F87810"/>
    <w:rsid w:val="00F878DD"/>
    <w:rsid w:val="00F87B01"/>
    <w:rsid w:val="00F87BA5"/>
    <w:rsid w:val="00F87D38"/>
    <w:rsid w:val="00F90240"/>
    <w:rsid w:val="00F90241"/>
    <w:rsid w:val="00F904CA"/>
    <w:rsid w:val="00F9062A"/>
    <w:rsid w:val="00F906CC"/>
    <w:rsid w:val="00F907CC"/>
    <w:rsid w:val="00F909BE"/>
    <w:rsid w:val="00F90AE5"/>
    <w:rsid w:val="00F90E20"/>
    <w:rsid w:val="00F9115C"/>
    <w:rsid w:val="00F916AE"/>
    <w:rsid w:val="00F91827"/>
    <w:rsid w:val="00F91D8C"/>
    <w:rsid w:val="00F91EB1"/>
    <w:rsid w:val="00F926DA"/>
    <w:rsid w:val="00F92739"/>
    <w:rsid w:val="00F9281A"/>
    <w:rsid w:val="00F928E6"/>
    <w:rsid w:val="00F92C19"/>
    <w:rsid w:val="00F92C1F"/>
    <w:rsid w:val="00F93F9E"/>
    <w:rsid w:val="00F940A3"/>
    <w:rsid w:val="00F94949"/>
    <w:rsid w:val="00F949F2"/>
    <w:rsid w:val="00F94C5D"/>
    <w:rsid w:val="00F94D56"/>
    <w:rsid w:val="00F94DC5"/>
    <w:rsid w:val="00F9502C"/>
    <w:rsid w:val="00F9599E"/>
    <w:rsid w:val="00F95D11"/>
    <w:rsid w:val="00F95DD8"/>
    <w:rsid w:val="00F962B2"/>
    <w:rsid w:val="00F9647C"/>
    <w:rsid w:val="00F96525"/>
    <w:rsid w:val="00F96D7A"/>
    <w:rsid w:val="00F96ED6"/>
    <w:rsid w:val="00F972D0"/>
    <w:rsid w:val="00F977FF"/>
    <w:rsid w:val="00F97C6F"/>
    <w:rsid w:val="00F97E6C"/>
    <w:rsid w:val="00FA007C"/>
    <w:rsid w:val="00FA07CA"/>
    <w:rsid w:val="00FA0806"/>
    <w:rsid w:val="00FA0843"/>
    <w:rsid w:val="00FA0AEB"/>
    <w:rsid w:val="00FA0B0F"/>
    <w:rsid w:val="00FA1072"/>
    <w:rsid w:val="00FA1225"/>
    <w:rsid w:val="00FA12CE"/>
    <w:rsid w:val="00FA1409"/>
    <w:rsid w:val="00FA149B"/>
    <w:rsid w:val="00FA1567"/>
    <w:rsid w:val="00FA15CB"/>
    <w:rsid w:val="00FA198E"/>
    <w:rsid w:val="00FA1A23"/>
    <w:rsid w:val="00FA1A3D"/>
    <w:rsid w:val="00FA1EC2"/>
    <w:rsid w:val="00FA1F7F"/>
    <w:rsid w:val="00FA204B"/>
    <w:rsid w:val="00FA2787"/>
    <w:rsid w:val="00FA2ACE"/>
    <w:rsid w:val="00FA2C1A"/>
    <w:rsid w:val="00FA3056"/>
    <w:rsid w:val="00FA3127"/>
    <w:rsid w:val="00FA32B6"/>
    <w:rsid w:val="00FA32BF"/>
    <w:rsid w:val="00FA3351"/>
    <w:rsid w:val="00FA35F1"/>
    <w:rsid w:val="00FA36D8"/>
    <w:rsid w:val="00FA3841"/>
    <w:rsid w:val="00FA3C21"/>
    <w:rsid w:val="00FA3E02"/>
    <w:rsid w:val="00FA44F1"/>
    <w:rsid w:val="00FA47D3"/>
    <w:rsid w:val="00FA4889"/>
    <w:rsid w:val="00FA48BE"/>
    <w:rsid w:val="00FA4A1E"/>
    <w:rsid w:val="00FA4B37"/>
    <w:rsid w:val="00FA4CCB"/>
    <w:rsid w:val="00FA4D31"/>
    <w:rsid w:val="00FA4F1B"/>
    <w:rsid w:val="00FA5439"/>
    <w:rsid w:val="00FA54E4"/>
    <w:rsid w:val="00FA56E4"/>
    <w:rsid w:val="00FA5AF3"/>
    <w:rsid w:val="00FA614C"/>
    <w:rsid w:val="00FA61B3"/>
    <w:rsid w:val="00FA648D"/>
    <w:rsid w:val="00FA6608"/>
    <w:rsid w:val="00FA677A"/>
    <w:rsid w:val="00FA6A92"/>
    <w:rsid w:val="00FA6CBF"/>
    <w:rsid w:val="00FA6EAE"/>
    <w:rsid w:val="00FA7009"/>
    <w:rsid w:val="00FA7691"/>
    <w:rsid w:val="00FA76A0"/>
    <w:rsid w:val="00FA7827"/>
    <w:rsid w:val="00FA7850"/>
    <w:rsid w:val="00FA7BB0"/>
    <w:rsid w:val="00FA7BFA"/>
    <w:rsid w:val="00FA7E6E"/>
    <w:rsid w:val="00FB0210"/>
    <w:rsid w:val="00FB021E"/>
    <w:rsid w:val="00FB07E0"/>
    <w:rsid w:val="00FB0AE5"/>
    <w:rsid w:val="00FB0D98"/>
    <w:rsid w:val="00FB0E0E"/>
    <w:rsid w:val="00FB13E3"/>
    <w:rsid w:val="00FB14D1"/>
    <w:rsid w:val="00FB1807"/>
    <w:rsid w:val="00FB1A68"/>
    <w:rsid w:val="00FB1A92"/>
    <w:rsid w:val="00FB1F59"/>
    <w:rsid w:val="00FB1FA1"/>
    <w:rsid w:val="00FB1FF8"/>
    <w:rsid w:val="00FB24CA"/>
    <w:rsid w:val="00FB26A2"/>
    <w:rsid w:val="00FB28AA"/>
    <w:rsid w:val="00FB28C7"/>
    <w:rsid w:val="00FB2D24"/>
    <w:rsid w:val="00FB2D4B"/>
    <w:rsid w:val="00FB2EF4"/>
    <w:rsid w:val="00FB35E4"/>
    <w:rsid w:val="00FB3624"/>
    <w:rsid w:val="00FB3B74"/>
    <w:rsid w:val="00FB40EA"/>
    <w:rsid w:val="00FB4319"/>
    <w:rsid w:val="00FB44B3"/>
    <w:rsid w:val="00FB45CB"/>
    <w:rsid w:val="00FB49B8"/>
    <w:rsid w:val="00FB4A5B"/>
    <w:rsid w:val="00FB4F9F"/>
    <w:rsid w:val="00FB50B4"/>
    <w:rsid w:val="00FB5172"/>
    <w:rsid w:val="00FB53C6"/>
    <w:rsid w:val="00FB5448"/>
    <w:rsid w:val="00FB556B"/>
    <w:rsid w:val="00FB5B58"/>
    <w:rsid w:val="00FB5C45"/>
    <w:rsid w:val="00FB5C96"/>
    <w:rsid w:val="00FB5FDC"/>
    <w:rsid w:val="00FB6025"/>
    <w:rsid w:val="00FB6506"/>
    <w:rsid w:val="00FB6650"/>
    <w:rsid w:val="00FB6BE7"/>
    <w:rsid w:val="00FB6DEF"/>
    <w:rsid w:val="00FB78D2"/>
    <w:rsid w:val="00FB7D20"/>
    <w:rsid w:val="00FB7D59"/>
    <w:rsid w:val="00FC088B"/>
    <w:rsid w:val="00FC0986"/>
    <w:rsid w:val="00FC0C18"/>
    <w:rsid w:val="00FC0C3B"/>
    <w:rsid w:val="00FC1630"/>
    <w:rsid w:val="00FC18E7"/>
    <w:rsid w:val="00FC19CE"/>
    <w:rsid w:val="00FC1A70"/>
    <w:rsid w:val="00FC2240"/>
    <w:rsid w:val="00FC2C4B"/>
    <w:rsid w:val="00FC2E71"/>
    <w:rsid w:val="00FC2FC7"/>
    <w:rsid w:val="00FC38EA"/>
    <w:rsid w:val="00FC3B0E"/>
    <w:rsid w:val="00FC3F4F"/>
    <w:rsid w:val="00FC4055"/>
    <w:rsid w:val="00FC417A"/>
    <w:rsid w:val="00FC48FA"/>
    <w:rsid w:val="00FC4903"/>
    <w:rsid w:val="00FC4E8C"/>
    <w:rsid w:val="00FC5041"/>
    <w:rsid w:val="00FC58B4"/>
    <w:rsid w:val="00FC5AF9"/>
    <w:rsid w:val="00FC5D4E"/>
    <w:rsid w:val="00FC61A5"/>
    <w:rsid w:val="00FC6298"/>
    <w:rsid w:val="00FC6592"/>
    <w:rsid w:val="00FC6FE8"/>
    <w:rsid w:val="00FC6FF4"/>
    <w:rsid w:val="00FC70FA"/>
    <w:rsid w:val="00FC7431"/>
    <w:rsid w:val="00FC7BBD"/>
    <w:rsid w:val="00FC7BC0"/>
    <w:rsid w:val="00FC7D94"/>
    <w:rsid w:val="00FC7E6F"/>
    <w:rsid w:val="00FD042C"/>
    <w:rsid w:val="00FD0A60"/>
    <w:rsid w:val="00FD0B3C"/>
    <w:rsid w:val="00FD0D1B"/>
    <w:rsid w:val="00FD0D6A"/>
    <w:rsid w:val="00FD0FFA"/>
    <w:rsid w:val="00FD15A6"/>
    <w:rsid w:val="00FD1BFA"/>
    <w:rsid w:val="00FD1D64"/>
    <w:rsid w:val="00FD240F"/>
    <w:rsid w:val="00FD2A22"/>
    <w:rsid w:val="00FD2B4E"/>
    <w:rsid w:val="00FD300D"/>
    <w:rsid w:val="00FD32C9"/>
    <w:rsid w:val="00FD34EC"/>
    <w:rsid w:val="00FD3EE8"/>
    <w:rsid w:val="00FD3F4D"/>
    <w:rsid w:val="00FD4714"/>
    <w:rsid w:val="00FD4C49"/>
    <w:rsid w:val="00FD5107"/>
    <w:rsid w:val="00FD51BB"/>
    <w:rsid w:val="00FD5448"/>
    <w:rsid w:val="00FD5DAA"/>
    <w:rsid w:val="00FD6147"/>
    <w:rsid w:val="00FD615A"/>
    <w:rsid w:val="00FD61AA"/>
    <w:rsid w:val="00FD647E"/>
    <w:rsid w:val="00FD64D4"/>
    <w:rsid w:val="00FD671B"/>
    <w:rsid w:val="00FD6D7F"/>
    <w:rsid w:val="00FD71F1"/>
    <w:rsid w:val="00FD7BE8"/>
    <w:rsid w:val="00FD7CF1"/>
    <w:rsid w:val="00FD7E7D"/>
    <w:rsid w:val="00FD7F82"/>
    <w:rsid w:val="00FE0384"/>
    <w:rsid w:val="00FE07C8"/>
    <w:rsid w:val="00FE0963"/>
    <w:rsid w:val="00FE0EB1"/>
    <w:rsid w:val="00FE15EE"/>
    <w:rsid w:val="00FE1622"/>
    <w:rsid w:val="00FE1777"/>
    <w:rsid w:val="00FE1BDA"/>
    <w:rsid w:val="00FE1D3D"/>
    <w:rsid w:val="00FE2140"/>
    <w:rsid w:val="00FE3098"/>
    <w:rsid w:val="00FE339D"/>
    <w:rsid w:val="00FE344C"/>
    <w:rsid w:val="00FE352B"/>
    <w:rsid w:val="00FE3B1E"/>
    <w:rsid w:val="00FE3B5C"/>
    <w:rsid w:val="00FE3D79"/>
    <w:rsid w:val="00FE42FB"/>
    <w:rsid w:val="00FE46EF"/>
    <w:rsid w:val="00FE4AD6"/>
    <w:rsid w:val="00FE4EA3"/>
    <w:rsid w:val="00FE4EC9"/>
    <w:rsid w:val="00FE5283"/>
    <w:rsid w:val="00FE5A9B"/>
    <w:rsid w:val="00FE60B4"/>
    <w:rsid w:val="00FE64D9"/>
    <w:rsid w:val="00FE6690"/>
    <w:rsid w:val="00FE6B96"/>
    <w:rsid w:val="00FE6E4C"/>
    <w:rsid w:val="00FE704A"/>
    <w:rsid w:val="00FE70E3"/>
    <w:rsid w:val="00FE7377"/>
    <w:rsid w:val="00FE76B5"/>
    <w:rsid w:val="00FF0073"/>
    <w:rsid w:val="00FF02EC"/>
    <w:rsid w:val="00FF03E1"/>
    <w:rsid w:val="00FF0B9E"/>
    <w:rsid w:val="00FF0C82"/>
    <w:rsid w:val="00FF0FA7"/>
    <w:rsid w:val="00FF1252"/>
    <w:rsid w:val="00FF1409"/>
    <w:rsid w:val="00FF1463"/>
    <w:rsid w:val="00FF17B2"/>
    <w:rsid w:val="00FF1AE3"/>
    <w:rsid w:val="00FF2071"/>
    <w:rsid w:val="00FF2190"/>
    <w:rsid w:val="00FF2502"/>
    <w:rsid w:val="00FF2A61"/>
    <w:rsid w:val="00FF2C54"/>
    <w:rsid w:val="00FF2F21"/>
    <w:rsid w:val="00FF3191"/>
    <w:rsid w:val="00FF31FC"/>
    <w:rsid w:val="00FF33BF"/>
    <w:rsid w:val="00FF35E4"/>
    <w:rsid w:val="00FF3600"/>
    <w:rsid w:val="00FF3C96"/>
    <w:rsid w:val="00FF3DE7"/>
    <w:rsid w:val="00FF3F8D"/>
    <w:rsid w:val="00FF4448"/>
    <w:rsid w:val="00FF471E"/>
    <w:rsid w:val="00FF478E"/>
    <w:rsid w:val="00FF48C2"/>
    <w:rsid w:val="00FF48E7"/>
    <w:rsid w:val="00FF4977"/>
    <w:rsid w:val="00FF49A8"/>
    <w:rsid w:val="00FF4D56"/>
    <w:rsid w:val="00FF4DA0"/>
    <w:rsid w:val="00FF4E64"/>
    <w:rsid w:val="00FF4ED4"/>
    <w:rsid w:val="00FF4F77"/>
    <w:rsid w:val="00FF51DA"/>
    <w:rsid w:val="00FF5471"/>
    <w:rsid w:val="00FF623F"/>
    <w:rsid w:val="00FF637A"/>
    <w:rsid w:val="00FF63C7"/>
    <w:rsid w:val="00FF63F5"/>
    <w:rsid w:val="00FF6852"/>
    <w:rsid w:val="00FF6952"/>
    <w:rsid w:val="00FF6A16"/>
    <w:rsid w:val="00FF6B11"/>
    <w:rsid w:val="00FF7422"/>
    <w:rsid w:val="00FF7485"/>
    <w:rsid w:val="00FF76B5"/>
    <w:rsid w:val="00FF778A"/>
    <w:rsid w:val="00FF7991"/>
    <w:rsid w:val="00FF7B9E"/>
    <w:rsid w:val="00FF7BC2"/>
    <w:rsid w:val="00FF7BD8"/>
    <w:rsid w:val="011B0151"/>
    <w:rsid w:val="0140EC7C"/>
    <w:rsid w:val="014A4A48"/>
    <w:rsid w:val="014C527E"/>
    <w:rsid w:val="014D6DC8"/>
    <w:rsid w:val="0162FCE4"/>
    <w:rsid w:val="017430E4"/>
    <w:rsid w:val="0179410B"/>
    <w:rsid w:val="01795735"/>
    <w:rsid w:val="01C78901"/>
    <w:rsid w:val="01F61AD5"/>
    <w:rsid w:val="01FB5EF2"/>
    <w:rsid w:val="01FF2B29"/>
    <w:rsid w:val="02034B4A"/>
    <w:rsid w:val="020574E7"/>
    <w:rsid w:val="02181CCF"/>
    <w:rsid w:val="021E0B10"/>
    <w:rsid w:val="02263EBC"/>
    <w:rsid w:val="02545B43"/>
    <w:rsid w:val="026B3062"/>
    <w:rsid w:val="0272A0AB"/>
    <w:rsid w:val="0272E1CE"/>
    <w:rsid w:val="02737CCD"/>
    <w:rsid w:val="028C252B"/>
    <w:rsid w:val="02978C74"/>
    <w:rsid w:val="02CC76A6"/>
    <w:rsid w:val="02D086ED"/>
    <w:rsid w:val="02DBD6D8"/>
    <w:rsid w:val="02E8E3D0"/>
    <w:rsid w:val="0309A7DA"/>
    <w:rsid w:val="030E8B81"/>
    <w:rsid w:val="0348EA29"/>
    <w:rsid w:val="034E1952"/>
    <w:rsid w:val="0361298B"/>
    <w:rsid w:val="037847DB"/>
    <w:rsid w:val="0394013A"/>
    <w:rsid w:val="0399B40D"/>
    <w:rsid w:val="039EEFC6"/>
    <w:rsid w:val="03E02540"/>
    <w:rsid w:val="040635CB"/>
    <w:rsid w:val="04072C78"/>
    <w:rsid w:val="0424A586"/>
    <w:rsid w:val="0440E762"/>
    <w:rsid w:val="044BB4F2"/>
    <w:rsid w:val="04572846"/>
    <w:rsid w:val="04795342"/>
    <w:rsid w:val="0480EF10"/>
    <w:rsid w:val="049272E8"/>
    <w:rsid w:val="04A6F27F"/>
    <w:rsid w:val="04AA77C0"/>
    <w:rsid w:val="04B3A176"/>
    <w:rsid w:val="04B7773F"/>
    <w:rsid w:val="04B9EE1E"/>
    <w:rsid w:val="04BBE896"/>
    <w:rsid w:val="04BF8A4F"/>
    <w:rsid w:val="04C44244"/>
    <w:rsid w:val="04D0E412"/>
    <w:rsid w:val="04D1ED59"/>
    <w:rsid w:val="04EAA11F"/>
    <w:rsid w:val="04F192CA"/>
    <w:rsid w:val="04F4F7DC"/>
    <w:rsid w:val="04F7A340"/>
    <w:rsid w:val="050C1A89"/>
    <w:rsid w:val="0520616E"/>
    <w:rsid w:val="0536305E"/>
    <w:rsid w:val="05364E0C"/>
    <w:rsid w:val="0548F51E"/>
    <w:rsid w:val="05602EF1"/>
    <w:rsid w:val="05708E44"/>
    <w:rsid w:val="058EE39A"/>
    <w:rsid w:val="059B1125"/>
    <w:rsid w:val="05AB2C71"/>
    <w:rsid w:val="05C6A5A5"/>
    <w:rsid w:val="05E57DCD"/>
    <w:rsid w:val="05E67654"/>
    <w:rsid w:val="05E69C63"/>
    <w:rsid w:val="05EA364B"/>
    <w:rsid w:val="061A3ACE"/>
    <w:rsid w:val="064B9562"/>
    <w:rsid w:val="066AB50F"/>
    <w:rsid w:val="068B9FFE"/>
    <w:rsid w:val="06A6074C"/>
    <w:rsid w:val="06AB6C69"/>
    <w:rsid w:val="06C30B53"/>
    <w:rsid w:val="06D0B490"/>
    <w:rsid w:val="06EA7E4D"/>
    <w:rsid w:val="06FB86BD"/>
    <w:rsid w:val="07044631"/>
    <w:rsid w:val="070DADE7"/>
    <w:rsid w:val="07278418"/>
    <w:rsid w:val="072C33F3"/>
    <w:rsid w:val="073A6A69"/>
    <w:rsid w:val="076202B8"/>
    <w:rsid w:val="076302EE"/>
    <w:rsid w:val="076552AA"/>
    <w:rsid w:val="076707EF"/>
    <w:rsid w:val="07708743"/>
    <w:rsid w:val="077656E2"/>
    <w:rsid w:val="0777857D"/>
    <w:rsid w:val="07B5A23F"/>
    <w:rsid w:val="07B7E837"/>
    <w:rsid w:val="07BFBD8C"/>
    <w:rsid w:val="07C7CC49"/>
    <w:rsid w:val="07E42912"/>
    <w:rsid w:val="07E4FCD2"/>
    <w:rsid w:val="07E72ABF"/>
    <w:rsid w:val="07F6CF27"/>
    <w:rsid w:val="07FAAE02"/>
    <w:rsid w:val="0825893B"/>
    <w:rsid w:val="082AAFBE"/>
    <w:rsid w:val="083370F6"/>
    <w:rsid w:val="08382A15"/>
    <w:rsid w:val="086FC4DD"/>
    <w:rsid w:val="0878DD23"/>
    <w:rsid w:val="087D6B64"/>
    <w:rsid w:val="08805B14"/>
    <w:rsid w:val="088CB1BF"/>
    <w:rsid w:val="08A46B66"/>
    <w:rsid w:val="08E0197B"/>
    <w:rsid w:val="090FD93F"/>
    <w:rsid w:val="0925EFD1"/>
    <w:rsid w:val="096A45E7"/>
    <w:rsid w:val="096BD6E2"/>
    <w:rsid w:val="0970E646"/>
    <w:rsid w:val="097BA39D"/>
    <w:rsid w:val="09AAE621"/>
    <w:rsid w:val="09AC2AED"/>
    <w:rsid w:val="09B84971"/>
    <w:rsid w:val="09C506FB"/>
    <w:rsid w:val="09E17946"/>
    <w:rsid w:val="09FA3902"/>
    <w:rsid w:val="09FCEA54"/>
    <w:rsid w:val="09FF6C66"/>
    <w:rsid w:val="0A1A97C7"/>
    <w:rsid w:val="0A30F78C"/>
    <w:rsid w:val="0A38F829"/>
    <w:rsid w:val="0A45681C"/>
    <w:rsid w:val="0A577F56"/>
    <w:rsid w:val="0A60AC61"/>
    <w:rsid w:val="0A68E336"/>
    <w:rsid w:val="0A6AE566"/>
    <w:rsid w:val="0A77A4A0"/>
    <w:rsid w:val="0A8025D0"/>
    <w:rsid w:val="0A8483EA"/>
    <w:rsid w:val="0A893957"/>
    <w:rsid w:val="0AC8CB7C"/>
    <w:rsid w:val="0ACF6793"/>
    <w:rsid w:val="0ACFE259"/>
    <w:rsid w:val="0B2E8949"/>
    <w:rsid w:val="0B31A11D"/>
    <w:rsid w:val="0B502E26"/>
    <w:rsid w:val="0B9BD21B"/>
    <w:rsid w:val="0BA566FF"/>
    <w:rsid w:val="0BA86125"/>
    <w:rsid w:val="0BC9E3B0"/>
    <w:rsid w:val="0BCBAD13"/>
    <w:rsid w:val="0BE3AA6D"/>
    <w:rsid w:val="0BFC7D40"/>
    <w:rsid w:val="0C44AFA0"/>
    <w:rsid w:val="0C864C2E"/>
    <w:rsid w:val="0C917948"/>
    <w:rsid w:val="0CAB4CEF"/>
    <w:rsid w:val="0CC53C4C"/>
    <w:rsid w:val="0CEFCAC8"/>
    <w:rsid w:val="0CFA83B6"/>
    <w:rsid w:val="0CFFA6AE"/>
    <w:rsid w:val="0D1929C7"/>
    <w:rsid w:val="0D3DAF08"/>
    <w:rsid w:val="0D5CAD3E"/>
    <w:rsid w:val="0D7BCDF0"/>
    <w:rsid w:val="0D7D6DFF"/>
    <w:rsid w:val="0D97FAE2"/>
    <w:rsid w:val="0D9A2FC3"/>
    <w:rsid w:val="0DA452DB"/>
    <w:rsid w:val="0DACE58A"/>
    <w:rsid w:val="0DD32524"/>
    <w:rsid w:val="0DE3C5FE"/>
    <w:rsid w:val="0DE98D74"/>
    <w:rsid w:val="0E05B578"/>
    <w:rsid w:val="0E1DE02B"/>
    <w:rsid w:val="0E27273A"/>
    <w:rsid w:val="0E2DBD82"/>
    <w:rsid w:val="0E3E285D"/>
    <w:rsid w:val="0E6BA5A1"/>
    <w:rsid w:val="0E6CD092"/>
    <w:rsid w:val="0E74FBC2"/>
    <w:rsid w:val="0E83924D"/>
    <w:rsid w:val="0E83DD3B"/>
    <w:rsid w:val="0E897460"/>
    <w:rsid w:val="0EF203DE"/>
    <w:rsid w:val="0F0D5ABA"/>
    <w:rsid w:val="0F5C985E"/>
    <w:rsid w:val="0F69096D"/>
    <w:rsid w:val="0F81D4C0"/>
    <w:rsid w:val="0F8BF958"/>
    <w:rsid w:val="0FBF1CBD"/>
    <w:rsid w:val="0FCE9794"/>
    <w:rsid w:val="0FDA6BB8"/>
    <w:rsid w:val="0FF0DEFB"/>
    <w:rsid w:val="0FF3483E"/>
    <w:rsid w:val="0FF3A433"/>
    <w:rsid w:val="10062573"/>
    <w:rsid w:val="100EF4B5"/>
    <w:rsid w:val="101FA627"/>
    <w:rsid w:val="103A7AA8"/>
    <w:rsid w:val="103E7430"/>
    <w:rsid w:val="1046AF2F"/>
    <w:rsid w:val="106C87D1"/>
    <w:rsid w:val="10708DBD"/>
    <w:rsid w:val="1081FFA3"/>
    <w:rsid w:val="10CEF3C6"/>
    <w:rsid w:val="10D82CB9"/>
    <w:rsid w:val="10D9899E"/>
    <w:rsid w:val="10FCF42C"/>
    <w:rsid w:val="1115176B"/>
    <w:rsid w:val="111DD6BA"/>
    <w:rsid w:val="113597D6"/>
    <w:rsid w:val="115A3724"/>
    <w:rsid w:val="116AB9CC"/>
    <w:rsid w:val="1177E2B8"/>
    <w:rsid w:val="117C6E74"/>
    <w:rsid w:val="1191D7A6"/>
    <w:rsid w:val="11940C77"/>
    <w:rsid w:val="11A8B2ED"/>
    <w:rsid w:val="11B14F9E"/>
    <w:rsid w:val="11B3357D"/>
    <w:rsid w:val="11C321F1"/>
    <w:rsid w:val="11E5D084"/>
    <w:rsid w:val="11F3EA67"/>
    <w:rsid w:val="11FD9C0F"/>
    <w:rsid w:val="1206CC35"/>
    <w:rsid w:val="1220F20B"/>
    <w:rsid w:val="1230A784"/>
    <w:rsid w:val="12409BE4"/>
    <w:rsid w:val="1242680E"/>
    <w:rsid w:val="1258D144"/>
    <w:rsid w:val="1259FE6F"/>
    <w:rsid w:val="125ABC3D"/>
    <w:rsid w:val="12762B1D"/>
    <w:rsid w:val="1276745C"/>
    <w:rsid w:val="129F6DF4"/>
    <w:rsid w:val="12A1BE98"/>
    <w:rsid w:val="12A21F76"/>
    <w:rsid w:val="12AD09FE"/>
    <w:rsid w:val="12AD62A9"/>
    <w:rsid w:val="12B1B16B"/>
    <w:rsid w:val="12B587BB"/>
    <w:rsid w:val="12C9B093"/>
    <w:rsid w:val="12CDEB2B"/>
    <w:rsid w:val="12DCC57A"/>
    <w:rsid w:val="12DF7F63"/>
    <w:rsid w:val="12E3D32B"/>
    <w:rsid w:val="12E3F321"/>
    <w:rsid w:val="1320DB53"/>
    <w:rsid w:val="1328622C"/>
    <w:rsid w:val="132A3EDC"/>
    <w:rsid w:val="133144A2"/>
    <w:rsid w:val="13543D46"/>
    <w:rsid w:val="1359890E"/>
    <w:rsid w:val="135B8F3D"/>
    <w:rsid w:val="1360419F"/>
    <w:rsid w:val="137B4F52"/>
    <w:rsid w:val="138C020B"/>
    <w:rsid w:val="13905E16"/>
    <w:rsid w:val="139DF4A6"/>
    <w:rsid w:val="13BDD18B"/>
    <w:rsid w:val="13D21133"/>
    <w:rsid w:val="13D98B92"/>
    <w:rsid w:val="13EBAD07"/>
    <w:rsid w:val="13F11736"/>
    <w:rsid w:val="14016E55"/>
    <w:rsid w:val="141C3982"/>
    <w:rsid w:val="146580B6"/>
    <w:rsid w:val="146A9582"/>
    <w:rsid w:val="14792E8E"/>
    <w:rsid w:val="1479FE67"/>
    <w:rsid w:val="14812F61"/>
    <w:rsid w:val="14A85A2A"/>
    <w:rsid w:val="14BA2CFE"/>
    <w:rsid w:val="14D2C74E"/>
    <w:rsid w:val="14E56C57"/>
    <w:rsid w:val="14E7F260"/>
    <w:rsid w:val="14F3B4FA"/>
    <w:rsid w:val="151CF73C"/>
    <w:rsid w:val="152838A5"/>
    <w:rsid w:val="153C7060"/>
    <w:rsid w:val="15409753"/>
    <w:rsid w:val="154F0EB1"/>
    <w:rsid w:val="15636D45"/>
    <w:rsid w:val="15965571"/>
    <w:rsid w:val="1597651C"/>
    <w:rsid w:val="159AE4C9"/>
    <w:rsid w:val="15A1DCD6"/>
    <w:rsid w:val="15B12917"/>
    <w:rsid w:val="15C1DFD2"/>
    <w:rsid w:val="15C21E07"/>
    <w:rsid w:val="15DD3E10"/>
    <w:rsid w:val="15E3B687"/>
    <w:rsid w:val="16001D50"/>
    <w:rsid w:val="160E93EE"/>
    <w:rsid w:val="164885AE"/>
    <w:rsid w:val="166F51BC"/>
    <w:rsid w:val="168F2FE1"/>
    <w:rsid w:val="16A7B74C"/>
    <w:rsid w:val="16C3751A"/>
    <w:rsid w:val="16D40646"/>
    <w:rsid w:val="16EB6DD9"/>
    <w:rsid w:val="170542DD"/>
    <w:rsid w:val="17395210"/>
    <w:rsid w:val="1749B872"/>
    <w:rsid w:val="1753E484"/>
    <w:rsid w:val="176197F3"/>
    <w:rsid w:val="1767D024"/>
    <w:rsid w:val="176976E0"/>
    <w:rsid w:val="1790E566"/>
    <w:rsid w:val="17954064"/>
    <w:rsid w:val="179DAB9B"/>
    <w:rsid w:val="17D6A446"/>
    <w:rsid w:val="17DB06B0"/>
    <w:rsid w:val="17EA86C9"/>
    <w:rsid w:val="17EE4997"/>
    <w:rsid w:val="17F1D3C7"/>
    <w:rsid w:val="18514644"/>
    <w:rsid w:val="1860B409"/>
    <w:rsid w:val="186B19A7"/>
    <w:rsid w:val="186FEE99"/>
    <w:rsid w:val="187B6503"/>
    <w:rsid w:val="18A1A56B"/>
    <w:rsid w:val="18C1F8CE"/>
    <w:rsid w:val="18D03511"/>
    <w:rsid w:val="18F7735B"/>
    <w:rsid w:val="18F929C7"/>
    <w:rsid w:val="19340871"/>
    <w:rsid w:val="193840CB"/>
    <w:rsid w:val="193C3BE7"/>
    <w:rsid w:val="19496928"/>
    <w:rsid w:val="1961D598"/>
    <w:rsid w:val="1986B5FB"/>
    <w:rsid w:val="19B449B8"/>
    <w:rsid w:val="1A13753A"/>
    <w:rsid w:val="1A14E464"/>
    <w:rsid w:val="1A486609"/>
    <w:rsid w:val="1A569E14"/>
    <w:rsid w:val="1A5E5112"/>
    <w:rsid w:val="1A7FF603"/>
    <w:rsid w:val="1A818C14"/>
    <w:rsid w:val="1A82A87A"/>
    <w:rsid w:val="1ABE714A"/>
    <w:rsid w:val="1ACC4AD9"/>
    <w:rsid w:val="1B0B6717"/>
    <w:rsid w:val="1B6488AC"/>
    <w:rsid w:val="1B7C977D"/>
    <w:rsid w:val="1B8284D2"/>
    <w:rsid w:val="1B944860"/>
    <w:rsid w:val="1BA577BE"/>
    <w:rsid w:val="1BB828A7"/>
    <w:rsid w:val="1BC86C37"/>
    <w:rsid w:val="1BDE344D"/>
    <w:rsid w:val="1BEBFE2A"/>
    <w:rsid w:val="1BFE8609"/>
    <w:rsid w:val="1C007231"/>
    <w:rsid w:val="1C04DF46"/>
    <w:rsid w:val="1C109947"/>
    <w:rsid w:val="1C23EC4F"/>
    <w:rsid w:val="1C27BBE2"/>
    <w:rsid w:val="1C4DF8B5"/>
    <w:rsid w:val="1C6E6053"/>
    <w:rsid w:val="1C778B80"/>
    <w:rsid w:val="1C8317B2"/>
    <w:rsid w:val="1C8FC112"/>
    <w:rsid w:val="1CA367D7"/>
    <w:rsid w:val="1CA8ABAB"/>
    <w:rsid w:val="1CC5C4A4"/>
    <w:rsid w:val="1CC5DAA8"/>
    <w:rsid w:val="1CFC6905"/>
    <w:rsid w:val="1D124C6B"/>
    <w:rsid w:val="1D22D083"/>
    <w:rsid w:val="1D3A4D49"/>
    <w:rsid w:val="1D58D9F9"/>
    <w:rsid w:val="1D5D9952"/>
    <w:rsid w:val="1D649853"/>
    <w:rsid w:val="1D674171"/>
    <w:rsid w:val="1D6E3D31"/>
    <w:rsid w:val="1D8159C3"/>
    <w:rsid w:val="1DA10F60"/>
    <w:rsid w:val="1DAF74DE"/>
    <w:rsid w:val="1DC76F92"/>
    <w:rsid w:val="1DD38023"/>
    <w:rsid w:val="1DD706BA"/>
    <w:rsid w:val="1DDC393A"/>
    <w:rsid w:val="1DE7C9C5"/>
    <w:rsid w:val="1DF9E358"/>
    <w:rsid w:val="1E040F05"/>
    <w:rsid w:val="1E120D22"/>
    <w:rsid w:val="1E127D77"/>
    <w:rsid w:val="1E2BBA4A"/>
    <w:rsid w:val="1E48A777"/>
    <w:rsid w:val="1E4C48DC"/>
    <w:rsid w:val="1E552A5E"/>
    <w:rsid w:val="1E6DDB67"/>
    <w:rsid w:val="1E74D648"/>
    <w:rsid w:val="1E79DAB6"/>
    <w:rsid w:val="1EC31904"/>
    <w:rsid w:val="1EDF3315"/>
    <w:rsid w:val="1EE8E9ED"/>
    <w:rsid w:val="1EFCAE0C"/>
    <w:rsid w:val="1F1C8A78"/>
    <w:rsid w:val="1F1DBABB"/>
    <w:rsid w:val="1F204DB2"/>
    <w:rsid w:val="1F2267F9"/>
    <w:rsid w:val="1F2B9ECA"/>
    <w:rsid w:val="1F853902"/>
    <w:rsid w:val="1F8B302A"/>
    <w:rsid w:val="1FA2F661"/>
    <w:rsid w:val="1FBF2483"/>
    <w:rsid w:val="1FF4FFA6"/>
    <w:rsid w:val="1FFEC25C"/>
    <w:rsid w:val="2015358D"/>
    <w:rsid w:val="204323B2"/>
    <w:rsid w:val="204E6B97"/>
    <w:rsid w:val="205D853B"/>
    <w:rsid w:val="205E75BF"/>
    <w:rsid w:val="2065A611"/>
    <w:rsid w:val="206CCC45"/>
    <w:rsid w:val="209528C4"/>
    <w:rsid w:val="20AAD6CF"/>
    <w:rsid w:val="20AF72B8"/>
    <w:rsid w:val="20B47DB3"/>
    <w:rsid w:val="20B5B8D1"/>
    <w:rsid w:val="20BFB1A5"/>
    <w:rsid w:val="20DFFE7B"/>
    <w:rsid w:val="210A68BA"/>
    <w:rsid w:val="210FA2F7"/>
    <w:rsid w:val="2153B956"/>
    <w:rsid w:val="2160AEB3"/>
    <w:rsid w:val="2185BB95"/>
    <w:rsid w:val="2188522A"/>
    <w:rsid w:val="218DE6FC"/>
    <w:rsid w:val="219D1F9A"/>
    <w:rsid w:val="21BE6BF1"/>
    <w:rsid w:val="21EFF4E4"/>
    <w:rsid w:val="22288B53"/>
    <w:rsid w:val="2245EBA0"/>
    <w:rsid w:val="22569C4D"/>
    <w:rsid w:val="225D2E75"/>
    <w:rsid w:val="22890217"/>
    <w:rsid w:val="22B42CE7"/>
    <w:rsid w:val="22B66ED3"/>
    <w:rsid w:val="22E7138A"/>
    <w:rsid w:val="231E2649"/>
    <w:rsid w:val="2346F7B2"/>
    <w:rsid w:val="234EC53F"/>
    <w:rsid w:val="2350A1A5"/>
    <w:rsid w:val="23686DFC"/>
    <w:rsid w:val="23AE8E71"/>
    <w:rsid w:val="23B07646"/>
    <w:rsid w:val="23BED5CC"/>
    <w:rsid w:val="23D3C35D"/>
    <w:rsid w:val="23E170C6"/>
    <w:rsid w:val="23EAB9F0"/>
    <w:rsid w:val="23EC7881"/>
    <w:rsid w:val="245F8AF4"/>
    <w:rsid w:val="24767E27"/>
    <w:rsid w:val="248593BE"/>
    <w:rsid w:val="2493CF77"/>
    <w:rsid w:val="24956FDE"/>
    <w:rsid w:val="24A2049F"/>
    <w:rsid w:val="24F0B578"/>
    <w:rsid w:val="24FD2B67"/>
    <w:rsid w:val="250BC938"/>
    <w:rsid w:val="25205E64"/>
    <w:rsid w:val="25442638"/>
    <w:rsid w:val="254E6CC6"/>
    <w:rsid w:val="2551249A"/>
    <w:rsid w:val="25795C4D"/>
    <w:rsid w:val="258D769A"/>
    <w:rsid w:val="259CD46E"/>
    <w:rsid w:val="25D4C49A"/>
    <w:rsid w:val="25E9EB66"/>
    <w:rsid w:val="26079C1F"/>
    <w:rsid w:val="2617F2BC"/>
    <w:rsid w:val="262D5EE2"/>
    <w:rsid w:val="263E4934"/>
    <w:rsid w:val="2641F250"/>
    <w:rsid w:val="2644FB02"/>
    <w:rsid w:val="2658AE37"/>
    <w:rsid w:val="265B4D58"/>
    <w:rsid w:val="266AD0FB"/>
    <w:rsid w:val="267AB0D1"/>
    <w:rsid w:val="267B2450"/>
    <w:rsid w:val="267F735D"/>
    <w:rsid w:val="268CDCE9"/>
    <w:rsid w:val="26951AED"/>
    <w:rsid w:val="26D7927F"/>
    <w:rsid w:val="2742F2F3"/>
    <w:rsid w:val="274F1077"/>
    <w:rsid w:val="27773A06"/>
    <w:rsid w:val="277D7837"/>
    <w:rsid w:val="27820022"/>
    <w:rsid w:val="2783E314"/>
    <w:rsid w:val="27851C8F"/>
    <w:rsid w:val="2789D1E7"/>
    <w:rsid w:val="278CC639"/>
    <w:rsid w:val="27A5660F"/>
    <w:rsid w:val="27B0FE21"/>
    <w:rsid w:val="27C2C967"/>
    <w:rsid w:val="27DB1896"/>
    <w:rsid w:val="27F03C3D"/>
    <w:rsid w:val="27F0E4ED"/>
    <w:rsid w:val="28150084"/>
    <w:rsid w:val="281DD312"/>
    <w:rsid w:val="28373A0D"/>
    <w:rsid w:val="283DE716"/>
    <w:rsid w:val="284F48BE"/>
    <w:rsid w:val="2861BB20"/>
    <w:rsid w:val="286E9A92"/>
    <w:rsid w:val="287BD24B"/>
    <w:rsid w:val="2883EBA5"/>
    <w:rsid w:val="2893E995"/>
    <w:rsid w:val="289BFC39"/>
    <w:rsid w:val="28B724F3"/>
    <w:rsid w:val="28C944AA"/>
    <w:rsid w:val="28DAAF27"/>
    <w:rsid w:val="28DD6991"/>
    <w:rsid w:val="28F0B783"/>
    <w:rsid w:val="28F7F7D4"/>
    <w:rsid w:val="290B01FF"/>
    <w:rsid w:val="290C206A"/>
    <w:rsid w:val="293B88DD"/>
    <w:rsid w:val="29547715"/>
    <w:rsid w:val="299CEF7D"/>
    <w:rsid w:val="299F6725"/>
    <w:rsid w:val="29AA5AAA"/>
    <w:rsid w:val="29B54FE3"/>
    <w:rsid w:val="29CA4309"/>
    <w:rsid w:val="29D632F1"/>
    <w:rsid w:val="2A0D7A1B"/>
    <w:rsid w:val="2A6C18AF"/>
    <w:rsid w:val="2AA3E5A2"/>
    <w:rsid w:val="2ACDA614"/>
    <w:rsid w:val="2ACDD321"/>
    <w:rsid w:val="2AE6B87F"/>
    <w:rsid w:val="2AE6DEDD"/>
    <w:rsid w:val="2AED6956"/>
    <w:rsid w:val="2B22EF78"/>
    <w:rsid w:val="2B3E7C2C"/>
    <w:rsid w:val="2B522A51"/>
    <w:rsid w:val="2B6064B2"/>
    <w:rsid w:val="2B65FDCD"/>
    <w:rsid w:val="2B687F3D"/>
    <w:rsid w:val="2B69FC28"/>
    <w:rsid w:val="2B7917E5"/>
    <w:rsid w:val="2B83D08B"/>
    <w:rsid w:val="2B9AE847"/>
    <w:rsid w:val="2B9CF2B3"/>
    <w:rsid w:val="2BAF33C2"/>
    <w:rsid w:val="2BBC0784"/>
    <w:rsid w:val="2BC2B68E"/>
    <w:rsid w:val="2C1C6781"/>
    <w:rsid w:val="2C255DC8"/>
    <w:rsid w:val="2C3ABE60"/>
    <w:rsid w:val="2C414E24"/>
    <w:rsid w:val="2C6A72DB"/>
    <w:rsid w:val="2C6E0AE3"/>
    <w:rsid w:val="2C74CB45"/>
    <w:rsid w:val="2C8CC906"/>
    <w:rsid w:val="2C911098"/>
    <w:rsid w:val="2CA7E14D"/>
    <w:rsid w:val="2CBCD20F"/>
    <w:rsid w:val="2D00EEA1"/>
    <w:rsid w:val="2D17B9B1"/>
    <w:rsid w:val="2D1CB2C8"/>
    <w:rsid w:val="2D325982"/>
    <w:rsid w:val="2D392908"/>
    <w:rsid w:val="2D6667F1"/>
    <w:rsid w:val="2D68C220"/>
    <w:rsid w:val="2D700675"/>
    <w:rsid w:val="2D748B20"/>
    <w:rsid w:val="2D9A8DA6"/>
    <w:rsid w:val="2DA308F4"/>
    <w:rsid w:val="2DB00EAC"/>
    <w:rsid w:val="2DB4A866"/>
    <w:rsid w:val="2DB85B6D"/>
    <w:rsid w:val="2DF327DC"/>
    <w:rsid w:val="2E27DCA2"/>
    <w:rsid w:val="2E2E1682"/>
    <w:rsid w:val="2E3F3F13"/>
    <w:rsid w:val="2E41FDAE"/>
    <w:rsid w:val="2E48D073"/>
    <w:rsid w:val="2E65AD2F"/>
    <w:rsid w:val="2E7C87F3"/>
    <w:rsid w:val="2E8C0F2F"/>
    <w:rsid w:val="2E976A37"/>
    <w:rsid w:val="2EA8572C"/>
    <w:rsid w:val="2EAB6DF6"/>
    <w:rsid w:val="2EB201FA"/>
    <w:rsid w:val="2EBD07D0"/>
    <w:rsid w:val="2ECC203F"/>
    <w:rsid w:val="2EE313BD"/>
    <w:rsid w:val="2EFE1D82"/>
    <w:rsid w:val="2F25E7F0"/>
    <w:rsid w:val="2F2A59F9"/>
    <w:rsid w:val="2F442F2F"/>
    <w:rsid w:val="2F57C2C3"/>
    <w:rsid w:val="2F60A83F"/>
    <w:rsid w:val="2F64FD86"/>
    <w:rsid w:val="2F8E6921"/>
    <w:rsid w:val="2F939AC6"/>
    <w:rsid w:val="2FA0EDC3"/>
    <w:rsid w:val="2FAE29BB"/>
    <w:rsid w:val="2FCE72B0"/>
    <w:rsid w:val="2FD7F538"/>
    <w:rsid w:val="2FE04EFD"/>
    <w:rsid w:val="30026C72"/>
    <w:rsid w:val="300B28BE"/>
    <w:rsid w:val="300F72E2"/>
    <w:rsid w:val="30163636"/>
    <w:rsid w:val="3020E11C"/>
    <w:rsid w:val="304091AB"/>
    <w:rsid w:val="30541B0E"/>
    <w:rsid w:val="305A99BD"/>
    <w:rsid w:val="3068E629"/>
    <w:rsid w:val="3081F1B0"/>
    <w:rsid w:val="308D7FF4"/>
    <w:rsid w:val="30B455C9"/>
    <w:rsid w:val="30B7F6A6"/>
    <w:rsid w:val="30BACC66"/>
    <w:rsid w:val="30CB2CD1"/>
    <w:rsid w:val="30D15C6F"/>
    <w:rsid w:val="30E14216"/>
    <w:rsid w:val="30FCD354"/>
    <w:rsid w:val="311F29AE"/>
    <w:rsid w:val="317C7E3F"/>
    <w:rsid w:val="31961B73"/>
    <w:rsid w:val="31B23DC9"/>
    <w:rsid w:val="31C3CBCE"/>
    <w:rsid w:val="31E62F89"/>
    <w:rsid w:val="31E69478"/>
    <w:rsid w:val="31F3C4F3"/>
    <w:rsid w:val="31FD8B04"/>
    <w:rsid w:val="32001B60"/>
    <w:rsid w:val="32058A32"/>
    <w:rsid w:val="320AA258"/>
    <w:rsid w:val="32146AE8"/>
    <w:rsid w:val="321B6DCD"/>
    <w:rsid w:val="32350A30"/>
    <w:rsid w:val="3242EB83"/>
    <w:rsid w:val="32546D28"/>
    <w:rsid w:val="327969DD"/>
    <w:rsid w:val="32C9F89D"/>
    <w:rsid w:val="32D711E3"/>
    <w:rsid w:val="330E3BAC"/>
    <w:rsid w:val="3320BB4B"/>
    <w:rsid w:val="3320D473"/>
    <w:rsid w:val="332D95B6"/>
    <w:rsid w:val="3344222F"/>
    <w:rsid w:val="3359B8AB"/>
    <w:rsid w:val="336B8CA6"/>
    <w:rsid w:val="337EA96A"/>
    <w:rsid w:val="33910A1D"/>
    <w:rsid w:val="33AAAF12"/>
    <w:rsid w:val="33BC4762"/>
    <w:rsid w:val="33BF0D99"/>
    <w:rsid w:val="33CCC2C2"/>
    <w:rsid w:val="33E53EFF"/>
    <w:rsid w:val="33F16F6A"/>
    <w:rsid w:val="34041A6C"/>
    <w:rsid w:val="340AF226"/>
    <w:rsid w:val="3411058C"/>
    <w:rsid w:val="3426B268"/>
    <w:rsid w:val="342C8042"/>
    <w:rsid w:val="3438EFD2"/>
    <w:rsid w:val="34564E39"/>
    <w:rsid w:val="3470D442"/>
    <w:rsid w:val="34953785"/>
    <w:rsid w:val="349973E0"/>
    <w:rsid w:val="34A8FE8A"/>
    <w:rsid w:val="34AF9CA7"/>
    <w:rsid w:val="34C1EC5E"/>
    <w:rsid w:val="34D45E32"/>
    <w:rsid w:val="34D5EC07"/>
    <w:rsid w:val="34E31C70"/>
    <w:rsid w:val="34FAD5E9"/>
    <w:rsid w:val="3508355F"/>
    <w:rsid w:val="351FCE54"/>
    <w:rsid w:val="35415676"/>
    <w:rsid w:val="355AA10F"/>
    <w:rsid w:val="35739DF6"/>
    <w:rsid w:val="3579554A"/>
    <w:rsid w:val="357C63E8"/>
    <w:rsid w:val="3587E167"/>
    <w:rsid w:val="3588F098"/>
    <w:rsid w:val="359DE62E"/>
    <w:rsid w:val="35B57E1E"/>
    <w:rsid w:val="35BB6E31"/>
    <w:rsid w:val="35D55ED4"/>
    <w:rsid w:val="35E524F5"/>
    <w:rsid w:val="35E9673F"/>
    <w:rsid w:val="360BB521"/>
    <w:rsid w:val="36143875"/>
    <w:rsid w:val="36260799"/>
    <w:rsid w:val="364C4342"/>
    <w:rsid w:val="3658AA74"/>
    <w:rsid w:val="36615262"/>
    <w:rsid w:val="367B6156"/>
    <w:rsid w:val="36841B51"/>
    <w:rsid w:val="36B2E0EE"/>
    <w:rsid w:val="36D377A9"/>
    <w:rsid w:val="36E34595"/>
    <w:rsid w:val="371F09CD"/>
    <w:rsid w:val="37283C2F"/>
    <w:rsid w:val="373563C9"/>
    <w:rsid w:val="37526208"/>
    <w:rsid w:val="3755282A"/>
    <w:rsid w:val="375FC142"/>
    <w:rsid w:val="37686887"/>
    <w:rsid w:val="37A89483"/>
    <w:rsid w:val="37B8E49A"/>
    <w:rsid w:val="37CDA4D3"/>
    <w:rsid w:val="37DC7492"/>
    <w:rsid w:val="3816EA19"/>
    <w:rsid w:val="38239716"/>
    <w:rsid w:val="382DA040"/>
    <w:rsid w:val="38307FBE"/>
    <w:rsid w:val="384185D5"/>
    <w:rsid w:val="385C34D3"/>
    <w:rsid w:val="3871E4AC"/>
    <w:rsid w:val="38A94F90"/>
    <w:rsid w:val="38AA00AF"/>
    <w:rsid w:val="38BBC646"/>
    <w:rsid w:val="38F0EFAC"/>
    <w:rsid w:val="38F6A318"/>
    <w:rsid w:val="3904E02A"/>
    <w:rsid w:val="392309DB"/>
    <w:rsid w:val="3948A366"/>
    <w:rsid w:val="3951ACBC"/>
    <w:rsid w:val="396714A0"/>
    <w:rsid w:val="397C204C"/>
    <w:rsid w:val="397FD3B3"/>
    <w:rsid w:val="398D3699"/>
    <w:rsid w:val="3994F268"/>
    <w:rsid w:val="399FD533"/>
    <w:rsid w:val="39A9A3B0"/>
    <w:rsid w:val="39A9BB58"/>
    <w:rsid w:val="39DFBBF0"/>
    <w:rsid w:val="39EC379F"/>
    <w:rsid w:val="39F73CBD"/>
    <w:rsid w:val="3A0A8E36"/>
    <w:rsid w:val="3A155657"/>
    <w:rsid w:val="3A173863"/>
    <w:rsid w:val="3A229D2A"/>
    <w:rsid w:val="3A341C4E"/>
    <w:rsid w:val="3A6356C7"/>
    <w:rsid w:val="3A6F77CF"/>
    <w:rsid w:val="3A94BDCA"/>
    <w:rsid w:val="3A97AEB4"/>
    <w:rsid w:val="3AD3D59C"/>
    <w:rsid w:val="3ADAF954"/>
    <w:rsid w:val="3AE7D040"/>
    <w:rsid w:val="3B0A1D3C"/>
    <w:rsid w:val="3B15393C"/>
    <w:rsid w:val="3B1695C7"/>
    <w:rsid w:val="3B27E6F9"/>
    <w:rsid w:val="3B4D9B88"/>
    <w:rsid w:val="3B680520"/>
    <w:rsid w:val="3B6AFF1E"/>
    <w:rsid w:val="3B702710"/>
    <w:rsid w:val="3B7E4152"/>
    <w:rsid w:val="3B84E9EC"/>
    <w:rsid w:val="3B8C446E"/>
    <w:rsid w:val="3BA78581"/>
    <w:rsid w:val="3BD47705"/>
    <w:rsid w:val="3BD79603"/>
    <w:rsid w:val="3C16720D"/>
    <w:rsid w:val="3C16BAF1"/>
    <w:rsid w:val="3C1EBA00"/>
    <w:rsid w:val="3C2554DA"/>
    <w:rsid w:val="3C272B6D"/>
    <w:rsid w:val="3C3840D9"/>
    <w:rsid w:val="3C665E01"/>
    <w:rsid w:val="3C747279"/>
    <w:rsid w:val="3C78D272"/>
    <w:rsid w:val="3C861980"/>
    <w:rsid w:val="3CABB167"/>
    <w:rsid w:val="3CAFAED4"/>
    <w:rsid w:val="3CC56A41"/>
    <w:rsid w:val="3CE57A9D"/>
    <w:rsid w:val="3CFC74FE"/>
    <w:rsid w:val="3CFD5DDA"/>
    <w:rsid w:val="3D034574"/>
    <w:rsid w:val="3D2DA3DF"/>
    <w:rsid w:val="3D369DCD"/>
    <w:rsid w:val="3D47E735"/>
    <w:rsid w:val="3D99BC46"/>
    <w:rsid w:val="3DA7D459"/>
    <w:rsid w:val="3DB6FD32"/>
    <w:rsid w:val="3DC120F9"/>
    <w:rsid w:val="3DD51D33"/>
    <w:rsid w:val="3DDD94FC"/>
    <w:rsid w:val="3DEC8895"/>
    <w:rsid w:val="3E3705B2"/>
    <w:rsid w:val="3E381C73"/>
    <w:rsid w:val="3E3CC7AB"/>
    <w:rsid w:val="3E43189A"/>
    <w:rsid w:val="3E54C9C3"/>
    <w:rsid w:val="3E586B91"/>
    <w:rsid w:val="3E5D8778"/>
    <w:rsid w:val="3E66A3C7"/>
    <w:rsid w:val="3E7B0F07"/>
    <w:rsid w:val="3E7B15CD"/>
    <w:rsid w:val="3E814982"/>
    <w:rsid w:val="3E82C136"/>
    <w:rsid w:val="3EB748C2"/>
    <w:rsid w:val="3EC3E356"/>
    <w:rsid w:val="3ED7DF61"/>
    <w:rsid w:val="3EDA04DC"/>
    <w:rsid w:val="3EED900F"/>
    <w:rsid w:val="3EF34B14"/>
    <w:rsid w:val="3EF63F52"/>
    <w:rsid w:val="3F0068D1"/>
    <w:rsid w:val="3F0EEA50"/>
    <w:rsid w:val="3F43BDA9"/>
    <w:rsid w:val="3F486D20"/>
    <w:rsid w:val="3F685650"/>
    <w:rsid w:val="3F8E509A"/>
    <w:rsid w:val="3FA8D97A"/>
    <w:rsid w:val="3FAB0695"/>
    <w:rsid w:val="3FBE71AC"/>
    <w:rsid w:val="3FC8FE02"/>
    <w:rsid w:val="3FCBE20E"/>
    <w:rsid w:val="3FCD0A81"/>
    <w:rsid w:val="3FE9CB08"/>
    <w:rsid w:val="3FEA083B"/>
    <w:rsid w:val="3FF85F81"/>
    <w:rsid w:val="4012350C"/>
    <w:rsid w:val="4020A57E"/>
    <w:rsid w:val="403AC785"/>
    <w:rsid w:val="4091A714"/>
    <w:rsid w:val="409F3CCA"/>
    <w:rsid w:val="40C1B119"/>
    <w:rsid w:val="40C3552B"/>
    <w:rsid w:val="40E15759"/>
    <w:rsid w:val="40EA074A"/>
    <w:rsid w:val="4101F065"/>
    <w:rsid w:val="415E3887"/>
    <w:rsid w:val="415FD330"/>
    <w:rsid w:val="41948F23"/>
    <w:rsid w:val="41A07517"/>
    <w:rsid w:val="41A6DA0D"/>
    <w:rsid w:val="41AA8114"/>
    <w:rsid w:val="41AE2BC5"/>
    <w:rsid w:val="41FB9FB4"/>
    <w:rsid w:val="420A6D08"/>
    <w:rsid w:val="42A3281A"/>
    <w:rsid w:val="42C84D48"/>
    <w:rsid w:val="42D9C9DE"/>
    <w:rsid w:val="42F039BB"/>
    <w:rsid w:val="42F493D0"/>
    <w:rsid w:val="4328959F"/>
    <w:rsid w:val="43338C50"/>
    <w:rsid w:val="4349430F"/>
    <w:rsid w:val="434DBA6B"/>
    <w:rsid w:val="4356E4EB"/>
    <w:rsid w:val="435BD046"/>
    <w:rsid w:val="4360AD2D"/>
    <w:rsid w:val="438CE4EE"/>
    <w:rsid w:val="439ADEF2"/>
    <w:rsid w:val="43D3D7DE"/>
    <w:rsid w:val="43E73EC6"/>
    <w:rsid w:val="43EF71DC"/>
    <w:rsid w:val="4415300A"/>
    <w:rsid w:val="441B9880"/>
    <w:rsid w:val="4438EC4D"/>
    <w:rsid w:val="4441541D"/>
    <w:rsid w:val="44559351"/>
    <w:rsid w:val="445BF3CC"/>
    <w:rsid w:val="4493EC1E"/>
    <w:rsid w:val="44B7E1E1"/>
    <w:rsid w:val="44B9CF43"/>
    <w:rsid w:val="44BE4054"/>
    <w:rsid w:val="44BF5D07"/>
    <w:rsid w:val="44C7D2EE"/>
    <w:rsid w:val="44DB365F"/>
    <w:rsid w:val="44F658FE"/>
    <w:rsid w:val="45242614"/>
    <w:rsid w:val="45310F42"/>
    <w:rsid w:val="4540307E"/>
    <w:rsid w:val="454DCA47"/>
    <w:rsid w:val="4563ADBE"/>
    <w:rsid w:val="4565D101"/>
    <w:rsid w:val="4599E6C9"/>
    <w:rsid w:val="459D7674"/>
    <w:rsid w:val="45A1B92A"/>
    <w:rsid w:val="45A7E6C7"/>
    <w:rsid w:val="45DF0A14"/>
    <w:rsid w:val="45E7B244"/>
    <w:rsid w:val="45F1FA55"/>
    <w:rsid w:val="4609F57B"/>
    <w:rsid w:val="460C9502"/>
    <w:rsid w:val="46312AC6"/>
    <w:rsid w:val="46471AC3"/>
    <w:rsid w:val="464CA6EB"/>
    <w:rsid w:val="465AB1C8"/>
    <w:rsid w:val="466C17BD"/>
    <w:rsid w:val="4682EDBA"/>
    <w:rsid w:val="46982E65"/>
    <w:rsid w:val="46AF73A4"/>
    <w:rsid w:val="46C2F1A4"/>
    <w:rsid w:val="46CD8634"/>
    <w:rsid w:val="46E5967A"/>
    <w:rsid w:val="46EBE50A"/>
    <w:rsid w:val="46F618FB"/>
    <w:rsid w:val="470B16E9"/>
    <w:rsid w:val="470F1D44"/>
    <w:rsid w:val="4712256A"/>
    <w:rsid w:val="4731C24F"/>
    <w:rsid w:val="473526EB"/>
    <w:rsid w:val="473F7FC1"/>
    <w:rsid w:val="47549A2D"/>
    <w:rsid w:val="475A43C4"/>
    <w:rsid w:val="475AE743"/>
    <w:rsid w:val="4786F4E2"/>
    <w:rsid w:val="478CC264"/>
    <w:rsid w:val="4799204E"/>
    <w:rsid w:val="47C6C92B"/>
    <w:rsid w:val="47CDABA0"/>
    <w:rsid w:val="47EA3C57"/>
    <w:rsid w:val="47F073F6"/>
    <w:rsid w:val="47F68A59"/>
    <w:rsid w:val="4811A3EF"/>
    <w:rsid w:val="4817CA55"/>
    <w:rsid w:val="481BEFBC"/>
    <w:rsid w:val="482D43F5"/>
    <w:rsid w:val="4832EA64"/>
    <w:rsid w:val="4864B496"/>
    <w:rsid w:val="487F4A0E"/>
    <w:rsid w:val="4893D3AB"/>
    <w:rsid w:val="48A332A8"/>
    <w:rsid w:val="48A388A8"/>
    <w:rsid w:val="48ABF505"/>
    <w:rsid w:val="48C8C691"/>
    <w:rsid w:val="48CCF378"/>
    <w:rsid w:val="48E80616"/>
    <w:rsid w:val="48EB745D"/>
    <w:rsid w:val="4901B8F7"/>
    <w:rsid w:val="490302F2"/>
    <w:rsid w:val="49248883"/>
    <w:rsid w:val="49321312"/>
    <w:rsid w:val="493B3CEF"/>
    <w:rsid w:val="493D7F26"/>
    <w:rsid w:val="495167C5"/>
    <w:rsid w:val="49699052"/>
    <w:rsid w:val="49703DD0"/>
    <w:rsid w:val="497FBB96"/>
    <w:rsid w:val="49811C53"/>
    <w:rsid w:val="4987032B"/>
    <w:rsid w:val="498C8211"/>
    <w:rsid w:val="49973BD4"/>
    <w:rsid w:val="499A9D65"/>
    <w:rsid w:val="49AFBA24"/>
    <w:rsid w:val="49D7CD37"/>
    <w:rsid w:val="49E1352D"/>
    <w:rsid w:val="49E31FDF"/>
    <w:rsid w:val="49F07CB5"/>
    <w:rsid w:val="49F10D58"/>
    <w:rsid w:val="4A005D2A"/>
    <w:rsid w:val="4A0D72DE"/>
    <w:rsid w:val="4A54430D"/>
    <w:rsid w:val="4A99E2C5"/>
    <w:rsid w:val="4A9D6D0F"/>
    <w:rsid w:val="4A9E6032"/>
    <w:rsid w:val="4A9FAF92"/>
    <w:rsid w:val="4AB2FA2B"/>
    <w:rsid w:val="4ABFF731"/>
    <w:rsid w:val="4AFE8D5E"/>
    <w:rsid w:val="4B143A16"/>
    <w:rsid w:val="4B22D2EE"/>
    <w:rsid w:val="4B23967F"/>
    <w:rsid w:val="4B2D5EA6"/>
    <w:rsid w:val="4B32AFAB"/>
    <w:rsid w:val="4B36D10B"/>
    <w:rsid w:val="4B46A0CC"/>
    <w:rsid w:val="4B5F923A"/>
    <w:rsid w:val="4B6FE1D2"/>
    <w:rsid w:val="4B70D442"/>
    <w:rsid w:val="4B7D5651"/>
    <w:rsid w:val="4B7D9EB7"/>
    <w:rsid w:val="4B804049"/>
    <w:rsid w:val="4B9EB3F3"/>
    <w:rsid w:val="4BAA17D4"/>
    <w:rsid w:val="4BE8EAB6"/>
    <w:rsid w:val="4BECA711"/>
    <w:rsid w:val="4C0E49D9"/>
    <w:rsid w:val="4C10C7C3"/>
    <w:rsid w:val="4C17923F"/>
    <w:rsid w:val="4C195BFE"/>
    <w:rsid w:val="4C3AAD85"/>
    <w:rsid w:val="4C3DAB6E"/>
    <w:rsid w:val="4C43B676"/>
    <w:rsid w:val="4C5534C0"/>
    <w:rsid w:val="4C5C4BA9"/>
    <w:rsid w:val="4C641582"/>
    <w:rsid w:val="4C677A4F"/>
    <w:rsid w:val="4CD98F0C"/>
    <w:rsid w:val="4D17549C"/>
    <w:rsid w:val="4D4970BB"/>
    <w:rsid w:val="4D59B565"/>
    <w:rsid w:val="4D5A0962"/>
    <w:rsid w:val="4D81D6E8"/>
    <w:rsid w:val="4D88113F"/>
    <w:rsid w:val="4D95347D"/>
    <w:rsid w:val="4D9786A7"/>
    <w:rsid w:val="4DA773AF"/>
    <w:rsid w:val="4DCD984D"/>
    <w:rsid w:val="4DDB396B"/>
    <w:rsid w:val="4DE7F52E"/>
    <w:rsid w:val="4DFD34ED"/>
    <w:rsid w:val="4E006303"/>
    <w:rsid w:val="4E112C02"/>
    <w:rsid w:val="4E1A47B2"/>
    <w:rsid w:val="4E26E0DE"/>
    <w:rsid w:val="4E87F2E9"/>
    <w:rsid w:val="4EA14176"/>
    <w:rsid w:val="4EAFE139"/>
    <w:rsid w:val="4ED9E243"/>
    <w:rsid w:val="4EE5E1F1"/>
    <w:rsid w:val="4EF16970"/>
    <w:rsid w:val="4EF809DE"/>
    <w:rsid w:val="4F181D1C"/>
    <w:rsid w:val="4F4B75A1"/>
    <w:rsid w:val="4F5D4CCD"/>
    <w:rsid w:val="4F6D0EF1"/>
    <w:rsid w:val="4F7FD72F"/>
    <w:rsid w:val="4F8CF7D7"/>
    <w:rsid w:val="4F8F881C"/>
    <w:rsid w:val="4FD007E0"/>
    <w:rsid w:val="4FE635B7"/>
    <w:rsid w:val="5026F4BE"/>
    <w:rsid w:val="503A0A6E"/>
    <w:rsid w:val="5053CAF8"/>
    <w:rsid w:val="5060AA25"/>
    <w:rsid w:val="5081E43D"/>
    <w:rsid w:val="508411D7"/>
    <w:rsid w:val="50A2F50A"/>
    <w:rsid w:val="50AEC874"/>
    <w:rsid w:val="50C35011"/>
    <w:rsid w:val="50D2E712"/>
    <w:rsid w:val="50D84B63"/>
    <w:rsid w:val="50F53C94"/>
    <w:rsid w:val="50F99280"/>
    <w:rsid w:val="51206608"/>
    <w:rsid w:val="515A5ED3"/>
    <w:rsid w:val="515CC0D4"/>
    <w:rsid w:val="515FC4E7"/>
    <w:rsid w:val="5174FE0A"/>
    <w:rsid w:val="51B16298"/>
    <w:rsid w:val="51D36D56"/>
    <w:rsid w:val="51DB5EB1"/>
    <w:rsid w:val="51E14846"/>
    <w:rsid w:val="51E98900"/>
    <w:rsid w:val="51F42931"/>
    <w:rsid w:val="5202AAFD"/>
    <w:rsid w:val="5209D5BD"/>
    <w:rsid w:val="52198187"/>
    <w:rsid w:val="521BFE02"/>
    <w:rsid w:val="522D7ECC"/>
    <w:rsid w:val="523D2C4F"/>
    <w:rsid w:val="524E9DB1"/>
    <w:rsid w:val="526BE24F"/>
    <w:rsid w:val="52705117"/>
    <w:rsid w:val="527B0F63"/>
    <w:rsid w:val="527E35A3"/>
    <w:rsid w:val="528677D9"/>
    <w:rsid w:val="52A1B001"/>
    <w:rsid w:val="52A2EFAC"/>
    <w:rsid w:val="52A3A230"/>
    <w:rsid w:val="52E5CD4F"/>
    <w:rsid w:val="52EB3640"/>
    <w:rsid w:val="52FE3E57"/>
    <w:rsid w:val="53284D7C"/>
    <w:rsid w:val="53338E85"/>
    <w:rsid w:val="533D669B"/>
    <w:rsid w:val="5341FE40"/>
    <w:rsid w:val="534AF5CB"/>
    <w:rsid w:val="535C7403"/>
    <w:rsid w:val="536CFF24"/>
    <w:rsid w:val="53725E49"/>
    <w:rsid w:val="5378258A"/>
    <w:rsid w:val="5381F900"/>
    <w:rsid w:val="539FA7A0"/>
    <w:rsid w:val="53B5E943"/>
    <w:rsid w:val="53FE13F1"/>
    <w:rsid w:val="5415634E"/>
    <w:rsid w:val="543BC0AD"/>
    <w:rsid w:val="54487B77"/>
    <w:rsid w:val="54544956"/>
    <w:rsid w:val="5467D5C0"/>
    <w:rsid w:val="5472E899"/>
    <w:rsid w:val="547735A5"/>
    <w:rsid w:val="54899365"/>
    <w:rsid w:val="54B5AD1E"/>
    <w:rsid w:val="54BBE317"/>
    <w:rsid w:val="54CF9C7E"/>
    <w:rsid w:val="54D0A01B"/>
    <w:rsid w:val="54FA4810"/>
    <w:rsid w:val="54FBAB4E"/>
    <w:rsid w:val="550E101A"/>
    <w:rsid w:val="551A38BB"/>
    <w:rsid w:val="5528EA85"/>
    <w:rsid w:val="5530ADED"/>
    <w:rsid w:val="5558AB71"/>
    <w:rsid w:val="5564268E"/>
    <w:rsid w:val="556BBA32"/>
    <w:rsid w:val="5583CB14"/>
    <w:rsid w:val="559A17A9"/>
    <w:rsid w:val="55B26FBB"/>
    <w:rsid w:val="55B6CE11"/>
    <w:rsid w:val="55BAA14D"/>
    <w:rsid w:val="55BEE39E"/>
    <w:rsid w:val="55C08167"/>
    <w:rsid w:val="55CB54AC"/>
    <w:rsid w:val="55D32CD1"/>
    <w:rsid w:val="55F9365D"/>
    <w:rsid w:val="5619552A"/>
    <w:rsid w:val="56222E0E"/>
    <w:rsid w:val="5645FEC9"/>
    <w:rsid w:val="566488CB"/>
    <w:rsid w:val="5670278C"/>
    <w:rsid w:val="568D0C2E"/>
    <w:rsid w:val="5695A894"/>
    <w:rsid w:val="56C305B1"/>
    <w:rsid w:val="56D90D40"/>
    <w:rsid w:val="56DF2748"/>
    <w:rsid w:val="57174B07"/>
    <w:rsid w:val="572200C8"/>
    <w:rsid w:val="574A06ED"/>
    <w:rsid w:val="577BDFB9"/>
    <w:rsid w:val="5786578E"/>
    <w:rsid w:val="57901669"/>
    <w:rsid w:val="57A2BDFC"/>
    <w:rsid w:val="57ADD110"/>
    <w:rsid w:val="57C4DF1A"/>
    <w:rsid w:val="57E99351"/>
    <w:rsid w:val="5809C442"/>
    <w:rsid w:val="580DBD45"/>
    <w:rsid w:val="5820C820"/>
    <w:rsid w:val="58320415"/>
    <w:rsid w:val="588A9A49"/>
    <w:rsid w:val="58947D6E"/>
    <w:rsid w:val="589875CF"/>
    <w:rsid w:val="589E9BEA"/>
    <w:rsid w:val="58A48C56"/>
    <w:rsid w:val="58D1EE13"/>
    <w:rsid w:val="58DAA959"/>
    <w:rsid w:val="58EE2957"/>
    <w:rsid w:val="59321696"/>
    <w:rsid w:val="5938D16A"/>
    <w:rsid w:val="593DC428"/>
    <w:rsid w:val="595A8129"/>
    <w:rsid w:val="595C6CCC"/>
    <w:rsid w:val="595D7992"/>
    <w:rsid w:val="59812E20"/>
    <w:rsid w:val="5992B824"/>
    <w:rsid w:val="59C07E2B"/>
    <w:rsid w:val="59C6E89D"/>
    <w:rsid w:val="59CC0392"/>
    <w:rsid w:val="59DBCFD8"/>
    <w:rsid w:val="59E6B638"/>
    <w:rsid w:val="59F3E3FE"/>
    <w:rsid w:val="5A184AB8"/>
    <w:rsid w:val="5A3805D5"/>
    <w:rsid w:val="5A3C36EC"/>
    <w:rsid w:val="5A403483"/>
    <w:rsid w:val="5A614B8D"/>
    <w:rsid w:val="5A632D96"/>
    <w:rsid w:val="5A6623C8"/>
    <w:rsid w:val="5A7C10AE"/>
    <w:rsid w:val="5A843CC1"/>
    <w:rsid w:val="5A8543A1"/>
    <w:rsid w:val="5A87484E"/>
    <w:rsid w:val="5A8919B7"/>
    <w:rsid w:val="5AE4B980"/>
    <w:rsid w:val="5AF361A1"/>
    <w:rsid w:val="5B072DB7"/>
    <w:rsid w:val="5B085C50"/>
    <w:rsid w:val="5B13C3E0"/>
    <w:rsid w:val="5B1BCA18"/>
    <w:rsid w:val="5B312165"/>
    <w:rsid w:val="5B693730"/>
    <w:rsid w:val="5BA98476"/>
    <w:rsid w:val="5BB13A49"/>
    <w:rsid w:val="5BD09941"/>
    <w:rsid w:val="5BD73E15"/>
    <w:rsid w:val="5BE1B6A5"/>
    <w:rsid w:val="5BE4865F"/>
    <w:rsid w:val="5BE6A4E6"/>
    <w:rsid w:val="5BFFDEEE"/>
    <w:rsid w:val="5C1A69D9"/>
    <w:rsid w:val="5C1ED663"/>
    <w:rsid w:val="5C3C87E2"/>
    <w:rsid w:val="5C3FF55D"/>
    <w:rsid w:val="5C4A9BA3"/>
    <w:rsid w:val="5C661750"/>
    <w:rsid w:val="5C681592"/>
    <w:rsid w:val="5C9591A7"/>
    <w:rsid w:val="5CAB1D04"/>
    <w:rsid w:val="5CC5E151"/>
    <w:rsid w:val="5CDDBC08"/>
    <w:rsid w:val="5D06D83F"/>
    <w:rsid w:val="5D1D8806"/>
    <w:rsid w:val="5D2827ED"/>
    <w:rsid w:val="5D330CC8"/>
    <w:rsid w:val="5D4B5F14"/>
    <w:rsid w:val="5D580C94"/>
    <w:rsid w:val="5D782D07"/>
    <w:rsid w:val="5D939F79"/>
    <w:rsid w:val="5DAEC5BC"/>
    <w:rsid w:val="5DB1E262"/>
    <w:rsid w:val="5DB47C18"/>
    <w:rsid w:val="5DCDD1C3"/>
    <w:rsid w:val="5DD489A6"/>
    <w:rsid w:val="5DDDDBC7"/>
    <w:rsid w:val="5DE74549"/>
    <w:rsid w:val="5DEBAB95"/>
    <w:rsid w:val="5DEED295"/>
    <w:rsid w:val="5DF5309D"/>
    <w:rsid w:val="5E047F05"/>
    <w:rsid w:val="5E24603A"/>
    <w:rsid w:val="5E2D68E3"/>
    <w:rsid w:val="5E400E23"/>
    <w:rsid w:val="5E68DC5E"/>
    <w:rsid w:val="5E876E3B"/>
    <w:rsid w:val="5EA0445F"/>
    <w:rsid w:val="5EAD6074"/>
    <w:rsid w:val="5EC3963B"/>
    <w:rsid w:val="5EC6F4C0"/>
    <w:rsid w:val="5ED79019"/>
    <w:rsid w:val="5F17C6E3"/>
    <w:rsid w:val="5F3717A1"/>
    <w:rsid w:val="5F39FC71"/>
    <w:rsid w:val="5F3BAACE"/>
    <w:rsid w:val="5F3F4A27"/>
    <w:rsid w:val="5F4654B2"/>
    <w:rsid w:val="5F713CF1"/>
    <w:rsid w:val="5F7C8369"/>
    <w:rsid w:val="5F964A76"/>
    <w:rsid w:val="5F9B976D"/>
    <w:rsid w:val="5FAA06A6"/>
    <w:rsid w:val="5FC1AB5B"/>
    <w:rsid w:val="5FDD27FF"/>
    <w:rsid w:val="5FE43F2F"/>
    <w:rsid w:val="5FE79FDF"/>
    <w:rsid w:val="60072830"/>
    <w:rsid w:val="6012BF60"/>
    <w:rsid w:val="60157F69"/>
    <w:rsid w:val="60164D74"/>
    <w:rsid w:val="6018D58A"/>
    <w:rsid w:val="602F1DA4"/>
    <w:rsid w:val="603BA3E0"/>
    <w:rsid w:val="603DA752"/>
    <w:rsid w:val="60859E75"/>
    <w:rsid w:val="60972E9A"/>
    <w:rsid w:val="609DAF47"/>
    <w:rsid w:val="60AD6FD3"/>
    <w:rsid w:val="60B74006"/>
    <w:rsid w:val="60C14DCD"/>
    <w:rsid w:val="60C6E736"/>
    <w:rsid w:val="60DB0590"/>
    <w:rsid w:val="60F38173"/>
    <w:rsid w:val="610206AC"/>
    <w:rsid w:val="61045B6C"/>
    <w:rsid w:val="612AB1A5"/>
    <w:rsid w:val="6150ABE7"/>
    <w:rsid w:val="61514BAD"/>
    <w:rsid w:val="6182E146"/>
    <w:rsid w:val="6190D449"/>
    <w:rsid w:val="61A35FBA"/>
    <w:rsid w:val="61CF1068"/>
    <w:rsid w:val="61D2949F"/>
    <w:rsid w:val="61D6BBC4"/>
    <w:rsid w:val="61DC8FA8"/>
    <w:rsid w:val="61DD3733"/>
    <w:rsid w:val="62099A2C"/>
    <w:rsid w:val="620C3E4A"/>
    <w:rsid w:val="621D7A43"/>
    <w:rsid w:val="6220B8B7"/>
    <w:rsid w:val="622E1D6D"/>
    <w:rsid w:val="6256DB12"/>
    <w:rsid w:val="625A8D3B"/>
    <w:rsid w:val="628CE599"/>
    <w:rsid w:val="62AF47F0"/>
    <w:rsid w:val="62B1CAB7"/>
    <w:rsid w:val="62B58179"/>
    <w:rsid w:val="62D3F0DA"/>
    <w:rsid w:val="62DAAB4C"/>
    <w:rsid w:val="6302CE59"/>
    <w:rsid w:val="63626D9E"/>
    <w:rsid w:val="6381163F"/>
    <w:rsid w:val="6383B4A3"/>
    <w:rsid w:val="639B85E7"/>
    <w:rsid w:val="63A53A46"/>
    <w:rsid w:val="63BE4D9C"/>
    <w:rsid w:val="63ED49D4"/>
    <w:rsid w:val="63F0E22B"/>
    <w:rsid w:val="63F2CB28"/>
    <w:rsid w:val="640B81A1"/>
    <w:rsid w:val="641A5D87"/>
    <w:rsid w:val="641B5BC2"/>
    <w:rsid w:val="643D32E3"/>
    <w:rsid w:val="644C23BC"/>
    <w:rsid w:val="645051BC"/>
    <w:rsid w:val="645229AD"/>
    <w:rsid w:val="646326AD"/>
    <w:rsid w:val="6466EB86"/>
    <w:rsid w:val="647EA6E1"/>
    <w:rsid w:val="64B186B0"/>
    <w:rsid w:val="64F7829A"/>
    <w:rsid w:val="65B80BCE"/>
    <w:rsid w:val="65CB5294"/>
    <w:rsid w:val="65CDFD80"/>
    <w:rsid w:val="65D51071"/>
    <w:rsid w:val="65D69F37"/>
    <w:rsid w:val="65DD6053"/>
    <w:rsid w:val="65EBE7B4"/>
    <w:rsid w:val="65F8B291"/>
    <w:rsid w:val="663BED4C"/>
    <w:rsid w:val="6661A697"/>
    <w:rsid w:val="66A014EE"/>
    <w:rsid w:val="66ABDEA7"/>
    <w:rsid w:val="66E3D043"/>
    <w:rsid w:val="66F0AA0B"/>
    <w:rsid w:val="66F0F211"/>
    <w:rsid w:val="66F19D2D"/>
    <w:rsid w:val="672C7F19"/>
    <w:rsid w:val="674016C1"/>
    <w:rsid w:val="674F077B"/>
    <w:rsid w:val="67740085"/>
    <w:rsid w:val="678694FE"/>
    <w:rsid w:val="678DD0C3"/>
    <w:rsid w:val="6798B54F"/>
    <w:rsid w:val="67990DBA"/>
    <w:rsid w:val="67998CE7"/>
    <w:rsid w:val="6830533C"/>
    <w:rsid w:val="683F775F"/>
    <w:rsid w:val="685DF017"/>
    <w:rsid w:val="6862409A"/>
    <w:rsid w:val="686C6BD6"/>
    <w:rsid w:val="687FE739"/>
    <w:rsid w:val="6884C4DB"/>
    <w:rsid w:val="688B9AEA"/>
    <w:rsid w:val="68A9B563"/>
    <w:rsid w:val="68BEDB8E"/>
    <w:rsid w:val="68D14BF0"/>
    <w:rsid w:val="68D93AD9"/>
    <w:rsid w:val="68E9CB90"/>
    <w:rsid w:val="69053599"/>
    <w:rsid w:val="69108615"/>
    <w:rsid w:val="6942AFF2"/>
    <w:rsid w:val="6966C826"/>
    <w:rsid w:val="696B2DA3"/>
    <w:rsid w:val="69769A09"/>
    <w:rsid w:val="69AC258F"/>
    <w:rsid w:val="69F820A1"/>
    <w:rsid w:val="6A02A99E"/>
    <w:rsid w:val="6A2C0C71"/>
    <w:rsid w:val="6A4FD61C"/>
    <w:rsid w:val="6A5E675F"/>
    <w:rsid w:val="6A7A8A43"/>
    <w:rsid w:val="6A7C7417"/>
    <w:rsid w:val="6A988779"/>
    <w:rsid w:val="6AB9F76C"/>
    <w:rsid w:val="6AC903CC"/>
    <w:rsid w:val="6AF64C96"/>
    <w:rsid w:val="6AFBFACE"/>
    <w:rsid w:val="6B198B1A"/>
    <w:rsid w:val="6B600113"/>
    <w:rsid w:val="6B89DCE1"/>
    <w:rsid w:val="6BAE757A"/>
    <w:rsid w:val="6BCF2413"/>
    <w:rsid w:val="6BDC7054"/>
    <w:rsid w:val="6BDF6262"/>
    <w:rsid w:val="6BF9B6BF"/>
    <w:rsid w:val="6C03E0A9"/>
    <w:rsid w:val="6C272605"/>
    <w:rsid w:val="6C3697E1"/>
    <w:rsid w:val="6C3DF0DB"/>
    <w:rsid w:val="6C553B6F"/>
    <w:rsid w:val="6C5DF94A"/>
    <w:rsid w:val="6C5EAE4B"/>
    <w:rsid w:val="6C8AF993"/>
    <w:rsid w:val="6CDAAAD2"/>
    <w:rsid w:val="6CE9739B"/>
    <w:rsid w:val="6CEFC700"/>
    <w:rsid w:val="6CFD8169"/>
    <w:rsid w:val="6D03BC85"/>
    <w:rsid w:val="6D10014B"/>
    <w:rsid w:val="6D11D7BD"/>
    <w:rsid w:val="6D1E8114"/>
    <w:rsid w:val="6D26356C"/>
    <w:rsid w:val="6D432B12"/>
    <w:rsid w:val="6D474E1A"/>
    <w:rsid w:val="6D48CD1F"/>
    <w:rsid w:val="6D6CA827"/>
    <w:rsid w:val="6DB317DB"/>
    <w:rsid w:val="6DC40E5E"/>
    <w:rsid w:val="6DCA64C9"/>
    <w:rsid w:val="6DD44E52"/>
    <w:rsid w:val="6DD4EE52"/>
    <w:rsid w:val="6DF0DE0D"/>
    <w:rsid w:val="6E0FAF67"/>
    <w:rsid w:val="6E314CD7"/>
    <w:rsid w:val="6E392C2B"/>
    <w:rsid w:val="6E3B3864"/>
    <w:rsid w:val="6E54E3D9"/>
    <w:rsid w:val="6E57CBAA"/>
    <w:rsid w:val="6E6496D1"/>
    <w:rsid w:val="6EB190CA"/>
    <w:rsid w:val="6EC20FB7"/>
    <w:rsid w:val="6EDF5B2D"/>
    <w:rsid w:val="6EF9C39A"/>
    <w:rsid w:val="6EFDFE7E"/>
    <w:rsid w:val="6F04C81D"/>
    <w:rsid w:val="6F091F8B"/>
    <w:rsid w:val="6F112E25"/>
    <w:rsid w:val="6F1F5692"/>
    <w:rsid w:val="6F320F39"/>
    <w:rsid w:val="6F36A81A"/>
    <w:rsid w:val="6F3C99C4"/>
    <w:rsid w:val="6F3D90E9"/>
    <w:rsid w:val="6F443637"/>
    <w:rsid w:val="6F6104D1"/>
    <w:rsid w:val="6F8F2425"/>
    <w:rsid w:val="6F950FE0"/>
    <w:rsid w:val="6FBBE417"/>
    <w:rsid w:val="6FCA53A2"/>
    <w:rsid w:val="6FF5398D"/>
    <w:rsid w:val="7021ADB7"/>
    <w:rsid w:val="703D8A64"/>
    <w:rsid w:val="704CAC1A"/>
    <w:rsid w:val="70571B45"/>
    <w:rsid w:val="70593150"/>
    <w:rsid w:val="705E0B35"/>
    <w:rsid w:val="708454B6"/>
    <w:rsid w:val="708B4865"/>
    <w:rsid w:val="70B1B114"/>
    <w:rsid w:val="70B4F331"/>
    <w:rsid w:val="70C1C3C2"/>
    <w:rsid w:val="70C5479A"/>
    <w:rsid w:val="70D7E781"/>
    <w:rsid w:val="70D8D9FF"/>
    <w:rsid w:val="7109AF44"/>
    <w:rsid w:val="712B2458"/>
    <w:rsid w:val="7144D59D"/>
    <w:rsid w:val="7145A8B0"/>
    <w:rsid w:val="7169D1A2"/>
    <w:rsid w:val="7199BEFC"/>
    <w:rsid w:val="71A6990B"/>
    <w:rsid w:val="71AA3D9C"/>
    <w:rsid w:val="71B12C17"/>
    <w:rsid w:val="71BA0DB6"/>
    <w:rsid w:val="71BD5569"/>
    <w:rsid w:val="71C53BE9"/>
    <w:rsid w:val="71C7735F"/>
    <w:rsid w:val="71FA3788"/>
    <w:rsid w:val="71FB3AF9"/>
    <w:rsid w:val="7205CCA2"/>
    <w:rsid w:val="72147BBD"/>
    <w:rsid w:val="728BEC78"/>
    <w:rsid w:val="72B79A25"/>
    <w:rsid w:val="72C5D785"/>
    <w:rsid w:val="72F04A57"/>
    <w:rsid w:val="72FBB36E"/>
    <w:rsid w:val="730B8F15"/>
    <w:rsid w:val="733AB84C"/>
    <w:rsid w:val="7364E797"/>
    <w:rsid w:val="73658C23"/>
    <w:rsid w:val="736B7E10"/>
    <w:rsid w:val="7374CA2B"/>
    <w:rsid w:val="73764533"/>
    <w:rsid w:val="73913E1F"/>
    <w:rsid w:val="73BD9326"/>
    <w:rsid w:val="73CE1184"/>
    <w:rsid w:val="73EEE950"/>
    <w:rsid w:val="741D48E3"/>
    <w:rsid w:val="742A80C8"/>
    <w:rsid w:val="7444DF02"/>
    <w:rsid w:val="7471BEFA"/>
    <w:rsid w:val="7473AA4B"/>
    <w:rsid w:val="7481D097"/>
    <w:rsid w:val="7482D012"/>
    <w:rsid w:val="748C8DEE"/>
    <w:rsid w:val="748E54C9"/>
    <w:rsid w:val="74A276BE"/>
    <w:rsid w:val="74A2B345"/>
    <w:rsid w:val="74AB4B6F"/>
    <w:rsid w:val="74B4CA38"/>
    <w:rsid w:val="74B7F487"/>
    <w:rsid w:val="74DBF785"/>
    <w:rsid w:val="74F28503"/>
    <w:rsid w:val="7509F195"/>
    <w:rsid w:val="7510B4C2"/>
    <w:rsid w:val="75132558"/>
    <w:rsid w:val="751C7500"/>
    <w:rsid w:val="751E84FD"/>
    <w:rsid w:val="7556791A"/>
    <w:rsid w:val="75699330"/>
    <w:rsid w:val="757769F0"/>
    <w:rsid w:val="758D7D6F"/>
    <w:rsid w:val="758E9124"/>
    <w:rsid w:val="75A138A5"/>
    <w:rsid w:val="75A6252E"/>
    <w:rsid w:val="75F514A8"/>
    <w:rsid w:val="75FF428C"/>
    <w:rsid w:val="76036B2B"/>
    <w:rsid w:val="76397227"/>
    <w:rsid w:val="763D2554"/>
    <w:rsid w:val="7657037E"/>
    <w:rsid w:val="7676E653"/>
    <w:rsid w:val="767C8F6E"/>
    <w:rsid w:val="76A90F88"/>
    <w:rsid w:val="76CB0B94"/>
    <w:rsid w:val="76D14F60"/>
    <w:rsid w:val="76E9C96C"/>
    <w:rsid w:val="76ED9FDA"/>
    <w:rsid w:val="7707013A"/>
    <w:rsid w:val="771F2F0F"/>
    <w:rsid w:val="773533E0"/>
    <w:rsid w:val="7739075F"/>
    <w:rsid w:val="7749393A"/>
    <w:rsid w:val="775AC068"/>
    <w:rsid w:val="777F2293"/>
    <w:rsid w:val="778BF398"/>
    <w:rsid w:val="77924317"/>
    <w:rsid w:val="77A0D9D7"/>
    <w:rsid w:val="77A43E09"/>
    <w:rsid w:val="77BC1C57"/>
    <w:rsid w:val="77CCDC88"/>
    <w:rsid w:val="77E9A79D"/>
    <w:rsid w:val="77FA9C4A"/>
    <w:rsid w:val="7830C1CF"/>
    <w:rsid w:val="7855FA3A"/>
    <w:rsid w:val="7858A024"/>
    <w:rsid w:val="7858C03A"/>
    <w:rsid w:val="785FA218"/>
    <w:rsid w:val="788B3FDB"/>
    <w:rsid w:val="788EC624"/>
    <w:rsid w:val="7890D7A0"/>
    <w:rsid w:val="78A5503F"/>
    <w:rsid w:val="78C41DF4"/>
    <w:rsid w:val="78C9E734"/>
    <w:rsid w:val="78D60FD0"/>
    <w:rsid w:val="78D7EB31"/>
    <w:rsid w:val="79076DA6"/>
    <w:rsid w:val="790E3BE7"/>
    <w:rsid w:val="7913316D"/>
    <w:rsid w:val="79216769"/>
    <w:rsid w:val="792D040D"/>
    <w:rsid w:val="79321E41"/>
    <w:rsid w:val="793C63B9"/>
    <w:rsid w:val="7947AF61"/>
    <w:rsid w:val="7961DC44"/>
    <w:rsid w:val="79714E75"/>
    <w:rsid w:val="799F4FC5"/>
    <w:rsid w:val="79ADA76C"/>
    <w:rsid w:val="79B60EB7"/>
    <w:rsid w:val="79C0B482"/>
    <w:rsid w:val="79C7FB13"/>
    <w:rsid w:val="79E0CD53"/>
    <w:rsid w:val="7A1B4A77"/>
    <w:rsid w:val="7A29AE86"/>
    <w:rsid w:val="7A2A16C8"/>
    <w:rsid w:val="7A456C4C"/>
    <w:rsid w:val="7A4C3B7B"/>
    <w:rsid w:val="7A4C44E0"/>
    <w:rsid w:val="7A5DE91C"/>
    <w:rsid w:val="7A7BB95E"/>
    <w:rsid w:val="7A8DF791"/>
    <w:rsid w:val="7A95C70E"/>
    <w:rsid w:val="7A98569F"/>
    <w:rsid w:val="7AA37CBA"/>
    <w:rsid w:val="7AA5CC50"/>
    <w:rsid w:val="7AB75317"/>
    <w:rsid w:val="7AD30737"/>
    <w:rsid w:val="7ADE6FBF"/>
    <w:rsid w:val="7AE75E60"/>
    <w:rsid w:val="7AF1F1F1"/>
    <w:rsid w:val="7B070A4F"/>
    <w:rsid w:val="7B108010"/>
    <w:rsid w:val="7B1540A5"/>
    <w:rsid w:val="7B1F306B"/>
    <w:rsid w:val="7B304FBF"/>
    <w:rsid w:val="7B451E27"/>
    <w:rsid w:val="7B72C8B5"/>
    <w:rsid w:val="7BC255C8"/>
    <w:rsid w:val="7BD5C755"/>
    <w:rsid w:val="7BDD793C"/>
    <w:rsid w:val="7BE02AEB"/>
    <w:rsid w:val="7BEB50C2"/>
    <w:rsid w:val="7BF5DFBC"/>
    <w:rsid w:val="7C0EDA08"/>
    <w:rsid w:val="7C1CB632"/>
    <w:rsid w:val="7C26C961"/>
    <w:rsid w:val="7C408423"/>
    <w:rsid w:val="7C4E5F43"/>
    <w:rsid w:val="7C6D233D"/>
    <w:rsid w:val="7C7485FC"/>
    <w:rsid w:val="7C78039E"/>
    <w:rsid w:val="7C86331B"/>
    <w:rsid w:val="7C8E3BC8"/>
    <w:rsid w:val="7C8F136B"/>
    <w:rsid w:val="7C9BEC0D"/>
    <w:rsid w:val="7C9E03FF"/>
    <w:rsid w:val="7CA9B4B5"/>
    <w:rsid w:val="7CBC5927"/>
    <w:rsid w:val="7CBF8E66"/>
    <w:rsid w:val="7CC909B9"/>
    <w:rsid w:val="7CFF7D21"/>
    <w:rsid w:val="7D13AB8A"/>
    <w:rsid w:val="7D2F80F0"/>
    <w:rsid w:val="7D327505"/>
    <w:rsid w:val="7D3CD427"/>
    <w:rsid w:val="7D41DE04"/>
    <w:rsid w:val="7D609269"/>
    <w:rsid w:val="7D6A541E"/>
    <w:rsid w:val="7D92110A"/>
    <w:rsid w:val="7D9D2E47"/>
    <w:rsid w:val="7DBAD7B3"/>
    <w:rsid w:val="7DC108E6"/>
    <w:rsid w:val="7DD3F3E9"/>
    <w:rsid w:val="7DF8BF35"/>
    <w:rsid w:val="7E0EE162"/>
    <w:rsid w:val="7E329C3E"/>
    <w:rsid w:val="7E38ED77"/>
    <w:rsid w:val="7E5048C8"/>
    <w:rsid w:val="7E6D3065"/>
    <w:rsid w:val="7EA019B0"/>
    <w:rsid w:val="7EA0C137"/>
    <w:rsid w:val="7EB03BFA"/>
    <w:rsid w:val="7EEBA2DD"/>
    <w:rsid w:val="7F03CC7C"/>
    <w:rsid w:val="7F104365"/>
    <w:rsid w:val="7F1C6A01"/>
    <w:rsid w:val="7F43318F"/>
    <w:rsid w:val="7F6FBCEE"/>
    <w:rsid w:val="7F72B4AA"/>
    <w:rsid w:val="7FA127C3"/>
    <w:rsid w:val="7FD4149F"/>
    <w:rsid w:val="7FE602B1"/>
    <w:rsid w:val="7FE872C3"/>
    <w:rsid w:val="7FF3706D"/>
    <w:rsid w:val="7FF4F94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C9CC137"/>
  <w15:chartTrackingRefBased/>
  <w15:docId w15:val="{8857E947-3A7D-4A1D-BC07-2D6791F48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7B14"/>
  </w:style>
  <w:style w:type="paragraph" w:styleId="Heading1">
    <w:name w:val="heading 1"/>
    <w:basedOn w:val="ListParagraph"/>
    <w:next w:val="Normal"/>
    <w:link w:val="Heading1Char"/>
    <w:uiPriority w:val="9"/>
    <w:qFormat/>
    <w:rsid w:val="00377794"/>
    <w:pPr>
      <w:numPr>
        <w:numId w:val="3"/>
      </w:numPr>
      <w:spacing w:line="240"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unhideWhenUsed/>
    <w:qFormat/>
    <w:rsid w:val="009B2F6E"/>
    <w:pPr>
      <w:numPr>
        <w:ilvl w:val="1"/>
        <w:numId w:val="3"/>
      </w:numPr>
      <w:spacing w:line="240" w:lineRule="auto"/>
      <w:jc w:val="both"/>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semiHidden/>
    <w:unhideWhenUsed/>
    <w:qFormat/>
    <w:rsid w:val="00670873"/>
    <w:pPr>
      <w:keepNext/>
      <w:keepLines/>
      <w:numPr>
        <w:ilvl w:val="2"/>
        <w:numId w:val="3"/>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873"/>
    <w:pPr>
      <w:keepNext/>
      <w:keepLines/>
      <w:numPr>
        <w:ilvl w:val="3"/>
        <w:numId w:val="3"/>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873"/>
    <w:pPr>
      <w:keepNext/>
      <w:keepLines/>
      <w:numPr>
        <w:ilvl w:val="4"/>
        <w:numId w:val="3"/>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873"/>
    <w:pPr>
      <w:keepNext/>
      <w:keepLines/>
      <w:numPr>
        <w:ilvl w:val="5"/>
        <w:numId w:val="3"/>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873"/>
    <w:pPr>
      <w:keepNext/>
      <w:keepLines/>
      <w:numPr>
        <w:ilvl w:val="6"/>
        <w:numId w:val="3"/>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873"/>
    <w:pPr>
      <w:keepNext/>
      <w:keepLines/>
      <w:numPr>
        <w:ilvl w:val="7"/>
        <w:numId w:val="3"/>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873"/>
    <w:pPr>
      <w:keepNext/>
      <w:keepLines/>
      <w:numPr>
        <w:ilvl w:val="8"/>
        <w:numId w:val="3"/>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794"/>
    <w:rPr>
      <w:rFonts w:ascii="Times New Roman" w:eastAsia="Times New Roman" w:hAnsi="Times New Roman" w:cs="Times New Roman"/>
      <w:b/>
      <w:bCs/>
      <w:sz w:val="24"/>
      <w:szCs w:val="24"/>
      <w:lang w:val="fr-FR"/>
    </w:rPr>
  </w:style>
  <w:style w:type="character" w:customStyle="1" w:styleId="Heading2Char">
    <w:name w:val="Heading 2 Char"/>
    <w:basedOn w:val="DefaultParagraphFont"/>
    <w:link w:val="Heading2"/>
    <w:uiPriority w:val="9"/>
    <w:rsid w:val="009B2F6E"/>
    <w:rPr>
      <w:rFonts w:ascii="Times New Roman" w:eastAsia="Times New Roman" w:hAnsi="Times New Roman" w:cs="Times New Roman"/>
      <w:b/>
      <w:bCs/>
      <w:sz w:val="24"/>
      <w:szCs w:val="24"/>
      <w:lang w:val="fr-FR"/>
    </w:rPr>
  </w:style>
  <w:style w:type="character" w:customStyle="1" w:styleId="Heading3Char">
    <w:name w:val="Heading 3 Char"/>
    <w:basedOn w:val="DefaultParagraphFont"/>
    <w:link w:val="Heading3"/>
    <w:uiPriority w:val="9"/>
    <w:semiHidden/>
    <w:rsid w:val="006708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8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8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8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8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8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873"/>
    <w:rPr>
      <w:rFonts w:eastAsiaTheme="majorEastAsia" w:cstheme="majorBidi"/>
      <w:color w:val="272727" w:themeColor="text1" w:themeTint="D8"/>
    </w:rPr>
  </w:style>
  <w:style w:type="paragraph" w:styleId="Title">
    <w:name w:val="Title"/>
    <w:basedOn w:val="Normal"/>
    <w:next w:val="Normal"/>
    <w:link w:val="TitleChar"/>
    <w:uiPriority w:val="10"/>
    <w:qFormat/>
    <w:rsid w:val="006708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8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8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8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873"/>
    <w:pPr>
      <w:spacing w:before="160"/>
      <w:jc w:val="center"/>
    </w:pPr>
    <w:rPr>
      <w:i/>
      <w:iCs/>
      <w:color w:val="404040" w:themeColor="text1" w:themeTint="BF"/>
    </w:rPr>
  </w:style>
  <w:style w:type="character" w:customStyle="1" w:styleId="QuoteChar">
    <w:name w:val="Quote Char"/>
    <w:basedOn w:val="DefaultParagraphFont"/>
    <w:link w:val="Quote"/>
    <w:uiPriority w:val="29"/>
    <w:rsid w:val="00670873"/>
    <w:rPr>
      <w:i/>
      <w:iCs/>
      <w:color w:val="404040" w:themeColor="text1" w:themeTint="BF"/>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Bullet 1,L"/>
    <w:basedOn w:val="Normal"/>
    <w:link w:val="ListParagraphChar"/>
    <w:uiPriority w:val="34"/>
    <w:qFormat/>
    <w:rsid w:val="00670873"/>
    <w:pPr>
      <w:ind w:left="720"/>
      <w:contextualSpacing/>
    </w:pPr>
  </w:style>
  <w:style w:type="character" w:styleId="IntenseEmphasis">
    <w:name w:val="Intense Emphasis"/>
    <w:basedOn w:val="DefaultParagraphFont"/>
    <w:uiPriority w:val="21"/>
    <w:qFormat/>
    <w:rsid w:val="00670873"/>
    <w:rPr>
      <w:i/>
      <w:iCs/>
      <w:color w:val="0F4761" w:themeColor="accent1" w:themeShade="BF"/>
    </w:rPr>
  </w:style>
  <w:style w:type="paragraph" w:styleId="IntenseQuote">
    <w:name w:val="Intense Quote"/>
    <w:basedOn w:val="Normal"/>
    <w:next w:val="Normal"/>
    <w:link w:val="IntenseQuoteChar"/>
    <w:uiPriority w:val="30"/>
    <w:qFormat/>
    <w:rsid w:val="006708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873"/>
    <w:rPr>
      <w:i/>
      <w:iCs/>
      <w:color w:val="0F4761" w:themeColor="accent1" w:themeShade="BF"/>
    </w:rPr>
  </w:style>
  <w:style w:type="character" w:styleId="IntenseReference">
    <w:name w:val="Intense Reference"/>
    <w:basedOn w:val="DefaultParagraphFont"/>
    <w:uiPriority w:val="32"/>
    <w:qFormat/>
    <w:rsid w:val="00670873"/>
    <w:rPr>
      <w:b/>
      <w:bCs/>
      <w:smallCaps/>
      <w:color w:val="0F4761" w:themeColor="accent1" w:themeShade="BF"/>
      <w:spacing w:val="5"/>
    </w:rPr>
  </w:style>
  <w:style w:type="character" w:customStyle="1" w:styleId="Marker">
    <w:name w:val="Marker"/>
    <w:basedOn w:val="DefaultParagraphFont"/>
    <w:rsid w:val="004D63A1"/>
    <w:rPr>
      <w:color w:val="0000FF"/>
      <w:shd w:val="clear" w:color="auto" w:fill="auto"/>
    </w:rPr>
  </w:style>
  <w:style w:type="paragraph" w:styleId="Header">
    <w:name w:val="header"/>
    <w:basedOn w:val="Normal"/>
    <w:link w:val="HeaderChar"/>
    <w:uiPriority w:val="99"/>
    <w:unhideWhenUsed/>
    <w:rsid w:val="004D63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3A1"/>
  </w:style>
  <w:style w:type="paragraph" w:styleId="Footer">
    <w:name w:val="footer"/>
    <w:basedOn w:val="Normal"/>
    <w:link w:val="FooterChar"/>
    <w:uiPriority w:val="99"/>
    <w:unhideWhenUsed/>
    <w:rsid w:val="004D63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3A1"/>
  </w:style>
  <w:style w:type="paragraph" w:customStyle="1" w:styleId="Pagedecouverture">
    <w:name w:val="Page de couverture"/>
    <w:basedOn w:val="Normal"/>
    <w:next w:val="Normal"/>
    <w:rsid w:val="004D63A1"/>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4D63A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D63A1"/>
    <w:rPr>
      <w:rFonts w:ascii="Times New Roman" w:hAnsi="Times New Roman" w:cs="Times New Roman"/>
      <w:sz w:val="24"/>
    </w:rPr>
  </w:style>
  <w:style w:type="paragraph" w:customStyle="1" w:styleId="FooterSensitivity">
    <w:name w:val="Footer Sensitivity"/>
    <w:basedOn w:val="Normal"/>
    <w:link w:val="FooterSensitivityChar"/>
    <w:rsid w:val="004D63A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D63A1"/>
    <w:rPr>
      <w:rFonts w:ascii="Times New Roman" w:hAnsi="Times New Roman" w:cs="Times New Roman"/>
      <w:b/>
      <w:sz w:val="32"/>
    </w:rPr>
  </w:style>
  <w:style w:type="paragraph" w:customStyle="1" w:styleId="HeaderCoverPage">
    <w:name w:val="Header Cover Page"/>
    <w:basedOn w:val="Normal"/>
    <w:link w:val="HeaderCoverPageChar"/>
    <w:rsid w:val="004D63A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D63A1"/>
    <w:rPr>
      <w:rFonts w:ascii="Times New Roman" w:hAnsi="Times New Roman" w:cs="Times New Roman"/>
      <w:sz w:val="24"/>
    </w:rPr>
  </w:style>
  <w:style w:type="paragraph" w:customStyle="1" w:styleId="HeaderSensitivity">
    <w:name w:val="Header Sensitivity"/>
    <w:basedOn w:val="Normal"/>
    <w:link w:val="HeaderSensitivityChar"/>
    <w:rsid w:val="004D63A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D63A1"/>
    <w:rPr>
      <w:rFonts w:ascii="Times New Roman" w:hAnsi="Times New Roman" w:cs="Times New Roman"/>
      <w:b/>
      <w:sz w:val="32"/>
    </w:rPr>
  </w:style>
  <w:style w:type="paragraph" w:customStyle="1" w:styleId="HeaderSensitivityRight">
    <w:name w:val="Header Sensitivity Right"/>
    <w:basedOn w:val="Normal"/>
    <w:link w:val="HeaderSensitivityRightChar"/>
    <w:rsid w:val="00473E6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D63A1"/>
    <w:rPr>
      <w:rFonts w:ascii="Times New Roman" w:hAnsi="Times New Roman" w:cs="Times New Roman"/>
      <w:sz w:val="28"/>
    </w:rPr>
  </w:style>
  <w:style w:type="paragraph" w:styleId="FootnoteText">
    <w:name w:val="footnote text"/>
    <w:aliases w:val="Schriftart: 9 pt,Schriftart: 10 pt,Schriftart: 8 pt,Fußnotentextf,fn,Style 7,Fußnotentext Char,Fußnotentext Char1 Char1,Fußnotentext Char Char Char Char,Fußnotentext Char1 Char Char Char,Fußnotentext Char Char,Fußnote,Fuﬂnotentextf,f,ft"/>
    <w:basedOn w:val="Normal"/>
    <w:link w:val="FootnoteTextChar"/>
    <w:uiPriority w:val="99"/>
    <w:unhideWhenUsed/>
    <w:qFormat/>
    <w:rsid w:val="004C5C84"/>
    <w:pPr>
      <w:spacing w:after="0" w:line="240" w:lineRule="auto"/>
    </w:pPr>
    <w:rPr>
      <w:sz w:val="20"/>
      <w:szCs w:val="20"/>
    </w:rPr>
  </w:style>
  <w:style w:type="character" w:customStyle="1" w:styleId="FootnoteTextChar">
    <w:name w:val="Footnote Text Char"/>
    <w:aliases w:val="Schriftart: 9 pt Char,Schriftart: 10 pt Char,Schriftart: 8 pt Char,Fußnotentextf Char,fn Char,Style 7 Char,Fußnotentext Char Char1,Fußnotentext Char1 Char1 Char,Fußnotentext Char Char Char Char Char,Fußnotentext Char Char Char,f Char"/>
    <w:basedOn w:val="DefaultParagraphFont"/>
    <w:link w:val="FootnoteText"/>
    <w:uiPriority w:val="99"/>
    <w:qFormat/>
    <w:rsid w:val="004C5C84"/>
    <w:rPr>
      <w:sz w:val="20"/>
      <w:szCs w:val="20"/>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numbe,n,number"/>
    <w:basedOn w:val="DefaultParagraphFont"/>
    <w:link w:val="FootnotesymbolCarZchn"/>
    <w:qFormat/>
    <w:rsid w:val="004C5C84"/>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rsid w:val="004C5C84"/>
    <w:pPr>
      <w:spacing w:line="240" w:lineRule="exact"/>
      <w:jc w:val="both"/>
    </w:pPr>
    <w:rPr>
      <w:vertAlign w:val="superscript"/>
    </w:rPr>
  </w:style>
  <w:style w:type="paragraph" w:customStyle="1" w:styleId="Text1">
    <w:name w:val="Text 1"/>
    <w:basedOn w:val="Normal"/>
    <w:qFormat/>
    <w:rsid w:val="00342770"/>
    <w:pPr>
      <w:spacing w:after="240" w:line="240" w:lineRule="auto"/>
      <w:ind w:left="482"/>
      <w:jc w:val="both"/>
    </w:pPr>
    <w:rPr>
      <w:rFonts w:ascii="Times New Roman" w:eastAsia="Times New Roman" w:hAnsi="Times New Roman" w:cs="Times New Roman"/>
      <w:kern w:val="0"/>
      <w:sz w:val="24"/>
      <w:szCs w:val="20"/>
      <w:lang w:eastAsia="en-IE"/>
      <w14:ligatures w14:val="none"/>
    </w:rPr>
  </w:style>
  <w:style w:type="paragraph" w:styleId="ListNumber">
    <w:name w:val="List Number"/>
    <w:basedOn w:val="Normal"/>
    <w:uiPriority w:val="30"/>
    <w:rsid w:val="00FD5DAA"/>
    <w:pPr>
      <w:numPr>
        <w:numId w:val="1"/>
      </w:numPr>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ListBullet1">
    <w:name w:val="List Bullet 1"/>
    <w:basedOn w:val="Text1"/>
    <w:rsid w:val="006C0643"/>
    <w:pPr>
      <w:numPr>
        <w:numId w:val="2"/>
      </w:numPr>
    </w:pPr>
  </w:style>
  <w:style w:type="paragraph" w:customStyle="1" w:styleId="ListBullet1Level2">
    <w:name w:val="List Bullet 1 (Level 2)"/>
    <w:basedOn w:val="Text1"/>
    <w:unhideWhenUsed/>
    <w:rsid w:val="006C0643"/>
    <w:pPr>
      <w:numPr>
        <w:ilvl w:val="1"/>
        <w:numId w:val="2"/>
      </w:numPr>
    </w:pPr>
  </w:style>
  <w:style w:type="paragraph" w:customStyle="1" w:styleId="ListBullet1Level3">
    <w:name w:val="List Bullet 1 (Level 3)"/>
    <w:basedOn w:val="Text1"/>
    <w:semiHidden/>
    <w:unhideWhenUsed/>
    <w:rsid w:val="006C0643"/>
    <w:pPr>
      <w:numPr>
        <w:ilvl w:val="2"/>
        <w:numId w:val="2"/>
      </w:numPr>
    </w:pPr>
  </w:style>
  <w:style w:type="paragraph" w:customStyle="1" w:styleId="ListBullet1Level4">
    <w:name w:val="List Bullet 1 (Level 4)"/>
    <w:basedOn w:val="Text1"/>
    <w:semiHidden/>
    <w:unhideWhenUsed/>
    <w:rsid w:val="006C0643"/>
    <w:pPr>
      <w:numPr>
        <w:ilvl w:val="3"/>
        <w:numId w:val="2"/>
      </w:numPr>
    </w:p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6C0643"/>
    <w:pPr>
      <w:spacing w:line="240" w:lineRule="exact"/>
    </w:pPr>
    <w:rPr>
      <w:rFonts w:ascii="Times New Roman" w:eastAsia="Times New Roman" w:hAnsi="Times New Roman" w:cs="Times New Roman"/>
      <w:kern w:val="0"/>
      <w:sz w:val="24"/>
      <w:szCs w:val="20"/>
      <w:vertAlign w:val="superscript"/>
      <w:lang w:eastAsia="en-IE"/>
      <w14:ligatures w14:val="none"/>
    </w:rPr>
  </w:style>
  <w:style w:type="character" w:customStyle="1" w:styleId="normaltextrun">
    <w:name w:val="normaltextrun"/>
    <w:basedOn w:val="DefaultParagraphFont"/>
    <w:rsid w:val="006C0643"/>
  </w:style>
  <w:style w:type="character" w:customStyle="1" w:styleId="eop">
    <w:name w:val="eop"/>
    <w:basedOn w:val="DefaultParagraphFont"/>
    <w:rsid w:val="006C0643"/>
  </w:style>
  <w:style w:type="character" w:styleId="Hyperlink">
    <w:name w:val="Hyperlink"/>
    <w:basedOn w:val="DefaultParagraphFont"/>
    <w:uiPriority w:val="99"/>
    <w:unhideWhenUsed/>
    <w:rsid w:val="006C0643"/>
    <w:rPr>
      <w:color w:val="0000FF"/>
      <w:u w:val="single"/>
    </w:rPr>
  </w:style>
  <w:style w:type="paragraph" w:styleId="EndnoteText">
    <w:name w:val="endnote text"/>
    <w:basedOn w:val="Normal"/>
    <w:link w:val="EndnoteTextChar"/>
    <w:uiPriority w:val="99"/>
    <w:semiHidden/>
    <w:unhideWhenUsed/>
    <w:rsid w:val="00A424E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424E8"/>
    <w:rPr>
      <w:sz w:val="20"/>
      <w:szCs w:val="20"/>
    </w:rPr>
  </w:style>
  <w:style w:type="character" w:styleId="EndnoteReference">
    <w:name w:val="endnote reference"/>
    <w:basedOn w:val="DefaultParagraphFont"/>
    <w:uiPriority w:val="99"/>
    <w:semiHidden/>
    <w:unhideWhenUsed/>
    <w:rsid w:val="00A424E8"/>
    <w:rPr>
      <w:vertAlign w:val="superscript"/>
    </w:rPr>
  </w:style>
  <w:style w:type="character" w:styleId="Strong">
    <w:name w:val="Strong"/>
    <w:basedOn w:val="DefaultParagraphFont"/>
    <w:uiPriority w:val="22"/>
    <w:qFormat/>
    <w:rsid w:val="00EC6509"/>
    <w:rPr>
      <w:b/>
      <w:bCs/>
    </w:rPr>
  </w:style>
  <w:style w:type="paragraph" w:customStyle="1" w:styleId="MyCustomStyle">
    <w:name w:val="My Custom Style"/>
    <w:rsid w:val="001B626A"/>
    <w:pPr>
      <w:spacing w:before="120" w:after="0" w:line="240" w:lineRule="auto"/>
      <w:jc w:val="both"/>
    </w:pPr>
    <w:rPr>
      <w:rFonts w:ascii="Times New Roman" w:eastAsia="Times New Roman" w:hAnsi="Times New Roman" w:cs="Times New Roman"/>
      <w:kern w:val="0"/>
      <w:sz w:val="24"/>
      <w:szCs w:val="24"/>
      <w:lang w:eastAsia="en-IE"/>
      <w14:ligatures w14:val="none"/>
    </w:rPr>
  </w:style>
  <w:style w:type="character" w:customStyle="1" w:styleId="wacimagecontainer">
    <w:name w:val="wacimagecontainer"/>
    <w:basedOn w:val="DefaultParagraphFont"/>
    <w:rsid w:val="0082144F"/>
  </w:style>
  <w:style w:type="character" w:customStyle="1" w:styleId="contentcontrolboundarysink">
    <w:name w:val="contentcontrolboundarysink"/>
    <w:basedOn w:val="DefaultParagraphFont"/>
    <w:rsid w:val="00630ADB"/>
  </w:style>
  <w:style w:type="paragraph" w:customStyle="1" w:styleId="paragraph">
    <w:name w:val="paragraph"/>
    <w:basedOn w:val="Normal"/>
    <w:rsid w:val="004614B6"/>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basedOn w:val="DefaultParagraphFont"/>
    <w:link w:val="ListParagraph"/>
    <w:uiPriority w:val="34"/>
    <w:qFormat/>
    <w:locked/>
    <w:rsid w:val="00FA4D31"/>
  </w:style>
  <w:style w:type="character" w:customStyle="1" w:styleId="superscript">
    <w:name w:val="superscript"/>
    <w:basedOn w:val="DefaultParagraphFont"/>
    <w:rsid w:val="004E429F"/>
  </w:style>
  <w:style w:type="character" w:styleId="FollowedHyperlink">
    <w:name w:val="FollowedHyperlink"/>
    <w:basedOn w:val="DefaultParagraphFont"/>
    <w:uiPriority w:val="99"/>
    <w:semiHidden/>
    <w:unhideWhenUsed/>
    <w:rsid w:val="00993445"/>
    <w:rPr>
      <w:color w:val="96607D" w:themeColor="followedHyperlink"/>
      <w:u w:val="single"/>
    </w:rPr>
  </w:style>
  <w:style w:type="character" w:customStyle="1" w:styleId="scxw62457875">
    <w:name w:val="scxw62457875"/>
    <w:basedOn w:val="DefaultParagraphFont"/>
    <w:rsid w:val="00CD63B3"/>
  </w:style>
  <w:style w:type="character" w:styleId="CommentReference">
    <w:name w:val="annotation reference"/>
    <w:basedOn w:val="DefaultParagraphFont"/>
    <w:uiPriority w:val="99"/>
    <w:semiHidden/>
    <w:unhideWhenUsed/>
    <w:rsid w:val="006A3225"/>
    <w:rPr>
      <w:sz w:val="16"/>
      <w:szCs w:val="16"/>
    </w:rPr>
  </w:style>
  <w:style w:type="paragraph" w:styleId="CommentText">
    <w:name w:val="annotation text"/>
    <w:basedOn w:val="Normal"/>
    <w:link w:val="CommentTextChar"/>
    <w:uiPriority w:val="99"/>
    <w:unhideWhenUsed/>
    <w:rsid w:val="006A3225"/>
    <w:pPr>
      <w:spacing w:line="240" w:lineRule="auto"/>
    </w:pPr>
    <w:rPr>
      <w:sz w:val="20"/>
      <w:szCs w:val="20"/>
    </w:rPr>
  </w:style>
  <w:style w:type="character" w:customStyle="1" w:styleId="CommentTextChar">
    <w:name w:val="Comment Text Char"/>
    <w:basedOn w:val="DefaultParagraphFont"/>
    <w:link w:val="CommentText"/>
    <w:uiPriority w:val="99"/>
    <w:rsid w:val="006A3225"/>
    <w:rPr>
      <w:sz w:val="20"/>
      <w:szCs w:val="20"/>
    </w:rPr>
  </w:style>
  <w:style w:type="paragraph" w:styleId="CommentSubject">
    <w:name w:val="annotation subject"/>
    <w:basedOn w:val="CommentText"/>
    <w:next w:val="CommentText"/>
    <w:link w:val="CommentSubjectChar"/>
    <w:uiPriority w:val="99"/>
    <w:semiHidden/>
    <w:unhideWhenUsed/>
    <w:rsid w:val="006A3225"/>
    <w:rPr>
      <w:b/>
      <w:bCs/>
    </w:rPr>
  </w:style>
  <w:style w:type="character" w:customStyle="1" w:styleId="CommentSubjectChar">
    <w:name w:val="Comment Subject Char"/>
    <w:basedOn w:val="CommentTextChar"/>
    <w:link w:val="CommentSubject"/>
    <w:uiPriority w:val="99"/>
    <w:semiHidden/>
    <w:rsid w:val="006A3225"/>
    <w:rPr>
      <w:b/>
      <w:bCs/>
      <w:sz w:val="20"/>
      <w:szCs w:val="20"/>
    </w:rPr>
  </w:style>
  <w:style w:type="character" w:customStyle="1" w:styleId="UnresolvedMention1">
    <w:name w:val="Unresolved Mention1"/>
    <w:basedOn w:val="DefaultParagraphFont"/>
    <w:uiPriority w:val="99"/>
    <w:semiHidden/>
    <w:unhideWhenUsed/>
    <w:rsid w:val="006B1829"/>
    <w:rPr>
      <w:color w:val="605E5C"/>
      <w:shd w:val="clear" w:color="auto" w:fill="E1DFDD"/>
    </w:rPr>
  </w:style>
  <w:style w:type="paragraph" w:styleId="Revision">
    <w:name w:val="Revision"/>
    <w:hidden/>
    <w:uiPriority w:val="99"/>
    <w:semiHidden/>
    <w:rsid w:val="00D727FA"/>
    <w:pPr>
      <w:spacing w:after="0" w:line="240" w:lineRule="auto"/>
    </w:pPr>
  </w:style>
  <w:style w:type="character" w:customStyle="1" w:styleId="Mention1">
    <w:name w:val="Mention1"/>
    <w:basedOn w:val="DefaultParagraphFont"/>
    <w:uiPriority w:val="99"/>
    <w:unhideWhenUsed/>
    <w:rsid w:val="008C43D1"/>
    <w:rPr>
      <w:color w:val="2B579A"/>
      <w:shd w:val="clear" w:color="auto" w:fill="E1DFDD"/>
    </w:rPr>
  </w:style>
  <w:style w:type="paragraph" w:styleId="Caption">
    <w:name w:val="caption"/>
    <w:aliases w:val="Caption PSP,Caption - Centre Graphic,Caption1 Char Char Char Char Char Char Char Char,Caption1 Char Char Char Char Char Char Char Char Tegn Tegn Tegn Tegn Tegn,Caption1 Char Char Char Char Char Char Char Char Tegn Tegn Tegn,Char,C"/>
    <w:basedOn w:val="Normal"/>
    <w:next w:val="Normal"/>
    <w:autoRedefine/>
    <w:uiPriority w:val="35"/>
    <w:qFormat/>
    <w:rsid w:val="00391F79"/>
    <w:pPr>
      <w:keepNext/>
      <w:tabs>
        <w:tab w:val="left" w:pos="1446"/>
        <w:tab w:val="left" w:pos="1474"/>
      </w:tabs>
      <w:spacing w:before="160" w:after="240" w:line="240" w:lineRule="auto"/>
      <w:ind w:left="1446" w:hanging="964"/>
    </w:pPr>
    <w:rPr>
      <w:rFonts w:ascii="Times New Roman" w:eastAsia="Arial" w:hAnsi="Times New Roman" w:cs="Times New Roman"/>
      <w:i/>
      <w:kern w:val="0"/>
      <w:szCs w:val="24"/>
      <w14:ligatures w14:val="none"/>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rsid w:val="00E922BB"/>
    <w:pPr>
      <w:spacing w:line="240" w:lineRule="exact"/>
    </w:pPr>
    <w:rPr>
      <w:rFonts w:ascii="Times New Roman" w:eastAsia="Times New Roman" w:hAnsi="Times New Roman" w:cs="Times New Roman"/>
      <w:kern w:val="0"/>
      <w:sz w:val="24"/>
      <w:szCs w:val="24"/>
      <w:vertAlign w:val="superscript"/>
      <w:lang w:eastAsia="en-IE"/>
      <w14:ligatures w14:val="none"/>
    </w:rPr>
  </w:style>
  <w:style w:type="paragraph" w:customStyle="1" w:styleId="Disclaimer">
    <w:name w:val="Disclaimer"/>
    <w:basedOn w:val="Normal"/>
    <w:rsid w:val="00473E6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473E6F"/>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473E6F"/>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473E6F"/>
    <w:pPr>
      <w:spacing w:after="0" w:line="276" w:lineRule="auto"/>
      <w:ind w:left="5103"/>
    </w:pPr>
    <w:rPr>
      <w:rFonts w:ascii="Times New Roman" w:hAnsi="Times New Roman" w:cs="Times New Roman"/>
      <w:i/>
      <w:kern w:val="0"/>
      <w:sz w:val="28"/>
      <w14:ligatures w14:val="none"/>
    </w:rPr>
  </w:style>
  <w:style w:type="character" w:customStyle="1" w:styleId="cf01">
    <w:name w:val="cf01"/>
    <w:basedOn w:val="DefaultParagraphFont"/>
    <w:rsid w:val="006402F6"/>
    <w:rPr>
      <w:rFonts w:ascii="Segoe UI" w:hAnsi="Segoe UI" w:cs="Segoe UI" w:hint="default"/>
      <w:sz w:val="18"/>
      <w:szCs w:val="18"/>
    </w:rPr>
  </w:style>
  <w:style w:type="paragraph" w:customStyle="1" w:styleId="Languesfaisantfoi">
    <w:name w:val="Langues faisant foi"/>
    <w:basedOn w:val="Normal"/>
    <w:next w:val="Normal"/>
    <w:rsid w:val="00D24986"/>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D24986"/>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D24986"/>
    <w:pPr>
      <w:spacing w:after="0"/>
    </w:pPr>
  </w:style>
  <w:style w:type="paragraph" w:customStyle="1" w:styleId="IntrtEEEPagedecouverture">
    <w:name w:val="Intérêt EEE (Page de couverture)"/>
    <w:basedOn w:val="IntrtEEE"/>
    <w:next w:val="Normal"/>
    <w:rsid w:val="00D24986"/>
  </w:style>
  <w:style w:type="character" w:customStyle="1" w:styleId="UnresolvedMention">
    <w:name w:val="Unresolved Mention"/>
    <w:basedOn w:val="DefaultParagraphFont"/>
    <w:uiPriority w:val="99"/>
    <w:semiHidden/>
    <w:unhideWhenUsed/>
    <w:rsid w:val="00726C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19089">
      <w:bodyDiv w:val="1"/>
      <w:marLeft w:val="0"/>
      <w:marRight w:val="0"/>
      <w:marTop w:val="0"/>
      <w:marBottom w:val="0"/>
      <w:divBdr>
        <w:top w:val="none" w:sz="0" w:space="0" w:color="auto"/>
        <w:left w:val="none" w:sz="0" w:space="0" w:color="auto"/>
        <w:bottom w:val="none" w:sz="0" w:space="0" w:color="auto"/>
        <w:right w:val="none" w:sz="0" w:space="0" w:color="auto"/>
      </w:divBdr>
    </w:div>
    <w:div w:id="120271976">
      <w:bodyDiv w:val="1"/>
      <w:marLeft w:val="0"/>
      <w:marRight w:val="0"/>
      <w:marTop w:val="0"/>
      <w:marBottom w:val="0"/>
      <w:divBdr>
        <w:top w:val="none" w:sz="0" w:space="0" w:color="auto"/>
        <w:left w:val="none" w:sz="0" w:space="0" w:color="auto"/>
        <w:bottom w:val="none" w:sz="0" w:space="0" w:color="auto"/>
        <w:right w:val="none" w:sz="0" w:space="0" w:color="auto"/>
      </w:divBdr>
    </w:div>
    <w:div w:id="140929072">
      <w:bodyDiv w:val="1"/>
      <w:marLeft w:val="0"/>
      <w:marRight w:val="0"/>
      <w:marTop w:val="0"/>
      <w:marBottom w:val="0"/>
      <w:divBdr>
        <w:top w:val="none" w:sz="0" w:space="0" w:color="auto"/>
        <w:left w:val="none" w:sz="0" w:space="0" w:color="auto"/>
        <w:bottom w:val="none" w:sz="0" w:space="0" w:color="auto"/>
        <w:right w:val="none" w:sz="0" w:space="0" w:color="auto"/>
      </w:divBdr>
    </w:div>
    <w:div w:id="180780432">
      <w:bodyDiv w:val="1"/>
      <w:marLeft w:val="0"/>
      <w:marRight w:val="0"/>
      <w:marTop w:val="0"/>
      <w:marBottom w:val="0"/>
      <w:divBdr>
        <w:top w:val="none" w:sz="0" w:space="0" w:color="auto"/>
        <w:left w:val="none" w:sz="0" w:space="0" w:color="auto"/>
        <w:bottom w:val="none" w:sz="0" w:space="0" w:color="auto"/>
        <w:right w:val="none" w:sz="0" w:space="0" w:color="auto"/>
      </w:divBdr>
    </w:div>
    <w:div w:id="379289003">
      <w:bodyDiv w:val="1"/>
      <w:marLeft w:val="0"/>
      <w:marRight w:val="0"/>
      <w:marTop w:val="0"/>
      <w:marBottom w:val="0"/>
      <w:divBdr>
        <w:top w:val="none" w:sz="0" w:space="0" w:color="auto"/>
        <w:left w:val="none" w:sz="0" w:space="0" w:color="auto"/>
        <w:bottom w:val="none" w:sz="0" w:space="0" w:color="auto"/>
        <w:right w:val="none" w:sz="0" w:space="0" w:color="auto"/>
      </w:divBdr>
    </w:div>
    <w:div w:id="583952422">
      <w:bodyDiv w:val="1"/>
      <w:marLeft w:val="0"/>
      <w:marRight w:val="0"/>
      <w:marTop w:val="0"/>
      <w:marBottom w:val="0"/>
      <w:divBdr>
        <w:top w:val="none" w:sz="0" w:space="0" w:color="auto"/>
        <w:left w:val="none" w:sz="0" w:space="0" w:color="auto"/>
        <w:bottom w:val="none" w:sz="0" w:space="0" w:color="auto"/>
        <w:right w:val="none" w:sz="0" w:space="0" w:color="auto"/>
      </w:divBdr>
    </w:div>
    <w:div w:id="640814414">
      <w:bodyDiv w:val="1"/>
      <w:marLeft w:val="0"/>
      <w:marRight w:val="0"/>
      <w:marTop w:val="0"/>
      <w:marBottom w:val="0"/>
      <w:divBdr>
        <w:top w:val="none" w:sz="0" w:space="0" w:color="auto"/>
        <w:left w:val="none" w:sz="0" w:space="0" w:color="auto"/>
        <w:bottom w:val="none" w:sz="0" w:space="0" w:color="auto"/>
        <w:right w:val="none" w:sz="0" w:space="0" w:color="auto"/>
      </w:divBdr>
    </w:div>
    <w:div w:id="1297948034">
      <w:bodyDiv w:val="1"/>
      <w:marLeft w:val="0"/>
      <w:marRight w:val="0"/>
      <w:marTop w:val="0"/>
      <w:marBottom w:val="0"/>
      <w:divBdr>
        <w:top w:val="none" w:sz="0" w:space="0" w:color="auto"/>
        <w:left w:val="none" w:sz="0" w:space="0" w:color="auto"/>
        <w:bottom w:val="none" w:sz="0" w:space="0" w:color="auto"/>
        <w:right w:val="none" w:sz="0" w:space="0" w:color="auto"/>
      </w:divBdr>
    </w:div>
    <w:div w:id="1319765928">
      <w:bodyDiv w:val="1"/>
      <w:marLeft w:val="0"/>
      <w:marRight w:val="0"/>
      <w:marTop w:val="0"/>
      <w:marBottom w:val="0"/>
      <w:divBdr>
        <w:top w:val="none" w:sz="0" w:space="0" w:color="auto"/>
        <w:left w:val="none" w:sz="0" w:space="0" w:color="auto"/>
        <w:bottom w:val="none" w:sz="0" w:space="0" w:color="auto"/>
        <w:right w:val="none" w:sz="0" w:space="0" w:color="auto"/>
      </w:divBdr>
    </w:div>
    <w:div w:id="1403674619">
      <w:bodyDiv w:val="1"/>
      <w:marLeft w:val="0"/>
      <w:marRight w:val="0"/>
      <w:marTop w:val="0"/>
      <w:marBottom w:val="0"/>
      <w:divBdr>
        <w:top w:val="none" w:sz="0" w:space="0" w:color="auto"/>
        <w:left w:val="none" w:sz="0" w:space="0" w:color="auto"/>
        <w:bottom w:val="none" w:sz="0" w:space="0" w:color="auto"/>
        <w:right w:val="none" w:sz="0" w:space="0" w:color="auto"/>
      </w:divBdr>
    </w:div>
    <w:div w:id="1410271632">
      <w:bodyDiv w:val="1"/>
      <w:marLeft w:val="0"/>
      <w:marRight w:val="0"/>
      <w:marTop w:val="0"/>
      <w:marBottom w:val="0"/>
      <w:divBdr>
        <w:top w:val="none" w:sz="0" w:space="0" w:color="auto"/>
        <w:left w:val="none" w:sz="0" w:space="0" w:color="auto"/>
        <w:bottom w:val="none" w:sz="0" w:space="0" w:color="auto"/>
        <w:right w:val="none" w:sz="0" w:space="0" w:color="auto"/>
      </w:divBdr>
    </w:div>
    <w:div w:id="1579629570">
      <w:bodyDiv w:val="1"/>
      <w:marLeft w:val="0"/>
      <w:marRight w:val="0"/>
      <w:marTop w:val="0"/>
      <w:marBottom w:val="0"/>
      <w:divBdr>
        <w:top w:val="none" w:sz="0" w:space="0" w:color="auto"/>
        <w:left w:val="none" w:sz="0" w:space="0" w:color="auto"/>
        <w:bottom w:val="none" w:sz="0" w:space="0" w:color="auto"/>
        <w:right w:val="none" w:sz="0" w:space="0" w:color="auto"/>
      </w:divBdr>
    </w:div>
    <w:div w:id="2035958272">
      <w:bodyDiv w:val="1"/>
      <w:marLeft w:val="0"/>
      <w:marRight w:val="0"/>
      <w:marTop w:val="0"/>
      <w:marBottom w:val="0"/>
      <w:divBdr>
        <w:top w:val="none" w:sz="0" w:space="0" w:color="auto"/>
        <w:left w:val="none" w:sz="0" w:space="0" w:color="auto"/>
        <w:bottom w:val="none" w:sz="0" w:space="0" w:color="auto"/>
        <w:right w:val="none" w:sz="0" w:space="0" w:color="auto"/>
      </w:divBdr>
    </w:div>
    <w:div w:id="2077589168">
      <w:bodyDiv w:val="1"/>
      <w:marLeft w:val="0"/>
      <w:marRight w:val="0"/>
      <w:marTop w:val="0"/>
      <w:marBottom w:val="0"/>
      <w:divBdr>
        <w:top w:val="none" w:sz="0" w:space="0" w:color="auto"/>
        <w:left w:val="none" w:sz="0" w:space="0" w:color="auto"/>
        <w:bottom w:val="none" w:sz="0" w:space="0" w:color="auto"/>
        <w:right w:val="none" w:sz="0" w:space="0" w:color="auto"/>
      </w:divBdr>
    </w:div>
    <w:div w:id="209088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image" Target="media/image4.emf"/><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emf"/><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emf"/><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6.emf"/><Relationship Id="rId28"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image" Target="media/image2.emf"/><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footer" Target="footer4.xml"/><Relationship Id="rId30"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iea.blob.core.windows.net/assets/b6a6fc8c-c62e-411d-a15c-bf211ccc06f3/Electricity2025.pdf" TargetMode="External"/><Relationship Id="rId13" Type="http://schemas.openxmlformats.org/officeDocument/2006/relationships/hyperlink" Target="https://eur-lex.europa.eu/legal-content/FR/TXT/?uri=CELEX:52025DC0440&amp;qid=1772038236174" TargetMode="External"/><Relationship Id="rId3" Type="http://schemas.openxmlformats.org/officeDocument/2006/relationships/hyperlink" Target="https://ec.europa.eu/eurostat/web/products-eurostat-news/w/ddn-20250225-1" TargetMode="External"/><Relationship Id="rId7" Type="http://schemas.openxmlformats.org/officeDocument/2006/relationships/hyperlink" Target="https://www.nucleareurope.eu/project/european-smr-pre-partnership/" TargetMode="External"/><Relationship Id="rId12" Type="http://schemas.openxmlformats.org/officeDocument/2006/relationships/hyperlink" Target="https://www.eib.org/fr/press/all/2025-130-eib-and-orano-sign-a-loan-agreement-for-400-million-euros-relating-to-the-project-to-extend-the-georges-besse-2-uranium-enrichment-plant" TargetMode="External"/><Relationship Id="rId2" Type="http://schemas.openxmlformats.org/officeDocument/2006/relationships/hyperlink" Target="https://eur-lex.europa.eu/legal-content/FR/TXT/?uri=CELEX:52025DC0440&amp;qid=1772038236174" TargetMode="External"/><Relationship Id="rId1" Type="http://schemas.openxmlformats.org/officeDocument/2006/relationships/hyperlink" Target="https://eur-lex.europa.eu/legal-content/FR/TXT/PDF/?uri=CELEX:52024DC0063" TargetMode="External"/><Relationship Id="rId6" Type="http://schemas.openxmlformats.org/officeDocument/2006/relationships/hyperlink" Target="https://single-market-economy.ec.europa.eu/industry/industrial-alliances/european-industrial-alliance-small-modular-reactors_en?prefLang=fr&amp;etrans=fr" TargetMode="External"/><Relationship Id="rId11" Type="http://schemas.openxmlformats.org/officeDocument/2006/relationships/hyperlink" Target="https://energy.ec.europa.eu/topics/nuclear-energy/radiological-and-nuclear-technology-health/samira-action-plan_fr" TargetMode="External"/><Relationship Id="rId5" Type="http://schemas.openxmlformats.org/officeDocument/2006/relationships/hyperlink" Target="https://eur-lex.europa.eu/legal-content/FR/TXT/?uri=CELEX:52025DC0440&amp;qid=1772038236174" TargetMode="External"/><Relationship Id="rId15" Type="http://schemas.openxmlformats.org/officeDocument/2006/relationships/hyperlink" Target="https://cordis.europa.eu/project/id/101052200/fr" TargetMode="External"/><Relationship Id="rId10" Type="http://schemas.openxmlformats.org/officeDocument/2006/relationships/hyperlink" Target="https://www.iea.org/reports/the-path-to-a-new-era-for-nuclear-energy" TargetMode="External"/><Relationship Id="rId4" Type="http://schemas.openxmlformats.org/officeDocument/2006/relationships/hyperlink" Target="https://www.iea.org/reports/the-path-to-a-new-era-for-nuclear-energy" TargetMode="External"/><Relationship Id="rId9" Type="http://schemas.openxmlformats.org/officeDocument/2006/relationships/hyperlink" Target="https://www.nucleareurope.eu/project/pathways-to-2050/" TargetMode="External"/><Relationship Id="rId14" Type="http://schemas.openxmlformats.org/officeDocument/2006/relationships/hyperlink" Target="https://cordis.europa.eu/project/id/101213280/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37100A9351204890AE6EC9E8983010" ma:contentTypeVersion="10" ma:contentTypeDescription="Create a new document." ma:contentTypeScope="" ma:versionID="e97d29b1770148343b73576c29187785">
  <xsd:schema xmlns:xsd="http://www.w3.org/2001/XMLSchema" xmlns:xs="http://www.w3.org/2001/XMLSchema" xmlns:p="http://schemas.microsoft.com/office/2006/metadata/properties" xmlns:ns2="30c666ed-fe46-43d6-bf30-6de2567680e6" targetNamespace="http://schemas.microsoft.com/office/2006/metadata/properties" ma:root="true" ma:fieldsID="e76b89cd66126d706bb5f708ee2905ac" ns2:_="">
    <xsd:import namespace="30c666ed-fe46-43d6-bf30-6de2567680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666ed-fe46-43d6-bf30-6de2567680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BF37100A9351204890AE6EC9E8983010" ma:contentTypeVersion="10" ma:contentTypeDescription="Create a new document." ma:contentTypeScope="" ma:versionID="49a0fb0bee4bdddb1f711d416646ea8d">
  <xsd:schema xmlns:xsd="http://www.w3.org/2001/XMLSchema" xmlns:xs="http://www.w3.org/2001/XMLSchema" xmlns:p="http://schemas.microsoft.com/office/2006/metadata/properties" xmlns:ns2="30c666ed-fe46-43d6-bf30-6de2567680e6" targetNamespace="http://schemas.microsoft.com/office/2006/metadata/properties" ma:root="true" ma:fieldsID="76bb33b7cd296a3496a959b822b02297" ns2:_="">
    <xsd:import namespace="30c666ed-fe46-43d6-bf30-6de2567680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666ed-fe46-43d6-bf30-6de2567680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0c666ed-fe46-43d6-bf30-6de2567680e6">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9063E-5C30-476D-9297-B96F5B468143}">
  <ds:schemaRefs>
    <ds:schemaRef ds:uri="http://schemas.microsoft.com/sharepoint/v3/contenttype/forms"/>
  </ds:schemaRefs>
</ds:datastoreItem>
</file>

<file path=customXml/itemProps2.xml><?xml version="1.0" encoding="utf-8"?>
<ds:datastoreItem xmlns:ds="http://schemas.openxmlformats.org/officeDocument/2006/customXml" ds:itemID="{EF744FEE-CEF5-444D-BA30-E9A10D001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c666ed-fe46-43d6-bf30-6de256768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8B680E-3C1A-4B47-AEC5-9DD437DA8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c666ed-fe46-43d6-bf30-6de256768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C37B1F-2686-439C-8983-4B8C3E1E2F14}">
  <ds:schemaRefs>
    <ds:schemaRef ds:uri="http://schemas.microsoft.com/office/2006/metadata/properties"/>
    <ds:schemaRef ds:uri="http://schemas.microsoft.com/office/infopath/2007/PartnerControls"/>
    <ds:schemaRef ds:uri="30c666ed-fe46-43d6-bf30-6de2567680e6"/>
  </ds:schemaRefs>
</ds:datastoreItem>
</file>

<file path=customXml/itemProps5.xml><?xml version="1.0" encoding="utf-8"?>
<ds:datastoreItem xmlns:ds="http://schemas.openxmlformats.org/officeDocument/2006/customXml" ds:itemID="{46C73E90-9AA1-4527-A752-E8824603E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17</Pages>
  <Words>7904</Words>
  <Characters>45055</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52854</CharactersWithSpaces>
  <SharedDoc>false</SharedDoc>
  <HLinks>
    <vt:vector size="84" baseType="variant">
      <vt:variant>
        <vt:i4>3407984</vt:i4>
      </vt:variant>
      <vt:variant>
        <vt:i4>39</vt:i4>
      </vt:variant>
      <vt:variant>
        <vt:i4>0</vt:i4>
      </vt:variant>
      <vt:variant>
        <vt:i4>5</vt:i4>
      </vt:variant>
      <vt:variant>
        <vt:lpwstr>https://eur-lex.europa.eu/legal-content/EN/TXT/?uri=CELEX%3A52025DC0440R%2801%29&amp;qid=1747125158211</vt:lpwstr>
      </vt:variant>
      <vt:variant>
        <vt:lpwstr/>
      </vt:variant>
      <vt:variant>
        <vt:i4>3735669</vt:i4>
      </vt:variant>
      <vt:variant>
        <vt:i4>36</vt:i4>
      </vt:variant>
      <vt:variant>
        <vt:i4>0</vt:i4>
      </vt:variant>
      <vt:variant>
        <vt:i4>5</vt:i4>
      </vt:variant>
      <vt:variant>
        <vt:lpwstr>https://www.eib.org/en/press/all/2025-130-eib-and-orano-sign-a-loan-agreement-for-400-million-euros-relating-to-the-project-to-extend-the-georges-besse-2-uranium-enrichment-plant</vt:lpwstr>
      </vt:variant>
      <vt:variant>
        <vt:lpwstr/>
      </vt:variant>
      <vt:variant>
        <vt:i4>2818058</vt:i4>
      </vt:variant>
      <vt:variant>
        <vt:i4>33</vt:i4>
      </vt:variant>
      <vt:variant>
        <vt:i4>0</vt:i4>
      </vt:variant>
      <vt:variant>
        <vt:i4>5</vt:i4>
      </vt:variant>
      <vt:variant>
        <vt:lpwstr>https://energy.ec.europa.eu/topics/nuclear-energy/radiological-and-nuclear-technology-health/samira-action-plan_en</vt:lpwstr>
      </vt:variant>
      <vt:variant>
        <vt:lpwstr>:~:text=The%20SAMIRA%20action%20plan%20is%20the%20EU%E2%80%99s%20first,use%20of%20radiological%20and%20nuclear%20technology%20in%20healthcare.</vt:lpwstr>
      </vt:variant>
      <vt:variant>
        <vt:i4>6422649</vt:i4>
      </vt:variant>
      <vt:variant>
        <vt:i4>30</vt:i4>
      </vt:variant>
      <vt:variant>
        <vt:i4>0</vt:i4>
      </vt:variant>
      <vt:variant>
        <vt:i4>5</vt:i4>
      </vt:variant>
      <vt:variant>
        <vt:lpwstr>https://www.nucleareurope.eu/project/pathways-to-2050/</vt:lpwstr>
      </vt:variant>
      <vt:variant>
        <vt:lpwstr/>
      </vt:variant>
      <vt:variant>
        <vt:i4>2883688</vt:i4>
      </vt:variant>
      <vt:variant>
        <vt:i4>27</vt:i4>
      </vt:variant>
      <vt:variant>
        <vt:i4>0</vt:i4>
      </vt:variant>
      <vt:variant>
        <vt:i4>5</vt:i4>
      </vt:variant>
      <vt:variant>
        <vt:lpwstr>https://iea.blob.core.windows.net/assets/b6a6fc8c-c62e-411d-a15c-bf211ccc06f3/ThePathtoaNewEraforNuclearEnergy.pdf</vt:lpwstr>
      </vt:variant>
      <vt:variant>
        <vt:lpwstr/>
      </vt:variant>
      <vt:variant>
        <vt:i4>7536696</vt:i4>
      </vt:variant>
      <vt:variant>
        <vt:i4>24</vt:i4>
      </vt:variant>
      <vt:variant>
        <vt:i4>0</vt:i4>
      </vt:variant>
      <vt:variant>
        <vt:i4>5</vt:i4>
      </vt:variant>
      <vt:variant>
        <vt:lpwstr>https://www.nucleareurope.eu/project/european-smr-pre-partnership/</vt:lpwstr>
      </vt:variant>
      <vt:variant>
        <vt:lpwstr/>
      </vt:variant>
      <vt:variant>
        <vt:i4>2228314</vt:i4>
      </vt:variant>
      <vt:variant>
        <vt:i4>21</vt:i4>
      </vt:variant>
      <vt:variant>
        <vt:i4>0</vt:i4>
      </vt:variant>
      <vt:variant>
        <vt:i4>5</vt:i4>
      </vt:variant>
      <vt:variant>
        <vt:lpwstr>https://eur-lex.europa.eu/legal-content/EN/TXT/?uri=uriserv%3AOJ.L_.2014.219.01.0042.01.ENG</vt:lpwstr>
      </vt:variant>
      <vt:variant>
        <vt:lpwstr/>
      </vt:variant>
      <vt:variant>
        <vt:i4>7274511</vt:i4>
      </vt:variant>
      <vt:variant>
        <vt:i4>18</vt:i4>
      </vt:variant>
      <vt:variant>
        <vt:i4>0</vt:i4>
      </vt:variant>
      <vt:variant>
        <vt:i4>5</vt:i4>
      </vt:variant>
      <vt:variant>
        <vt:lpwstr>https://single-market-economy.ec.europa.eu/industry/industrial-alliances/european-industrial-alliance-small-modular-reactors_en</vt:lpwstr>
      </vt:variant>
      <vt:variant>
        <vt:lpwstr/>
      </vt:variant>
      <vt:variant>
        <vt:i4>4456491</vt:i4>
      </vt:variant>
      <vt:variant>
        <vt:i4>15</vt:i4>
      </vt:variant>
      <vt:variant>
        <vt:i4>0</vt:i4>
      </vt:variant>
      <vt:variant>
        <vt:i4>5</vt:i4>
      </vt:variant>
      <vt:variant>
        <vt:lpwstr>https://commission.europa.eu/strategy-and-policy/priorities-2019-2024/european-green-deal/repowereu-affordable-secure-and-sustainable-energy-europe_en</vt:lpwstr>
      </vt:variant>
      <vt:variant>
        <vt:lpwstr/>
      </vt:variant>
      <vt:variant>
        <vt:i4>5373953</vt:i4>
      </vt:variant>
      <vt:variant>
        <vt:i4>12</vt:i4>
      </vt:variant>
      <vt:variant>
        <vt:i4>0</vt:i4>
      </vt:variant>
      <vt:variant>
        <vt:i4>5</vt:i4>
      </vt:variant>
      <vt:variant>
        <vt:lpwstr>https://www.iea.org/reports/the-path-to-a-new-era-for-nuclear-energy</vt:lpwstr>
      </vt:variant>
      <vt:variant>
        <vt:lpwstr/>
      </vt:variant>
      <vt:variant>
        <vt:i4>4456526</vt:i4>
      </vt:variant>
      <vt:variant>
        <vt:i4>9</vt:i4>
      </vt:variant>
      <vt:variant>
        <vt:i4>0</vt:i4>
      </vt:variant>
      <vt:variant>
        <vt:i4>5</vt:i4>
      </vt:variant>
      <vt:variant>
        <vt:lpwstr>https://ec.europa.eu/eurostat/web/products-eurostat-news/w/ddn-20250225-1</vt:lpwstr>
      </vt:variant>
      <vt:variant>
        <vt:lpwstr/>
      </vt:variant>
      <vt:variant>
        <vt:i4>3407984</vt:i4>
      </vt:variant>
      <vt:variant>
        <vt:i4>6</vt:i4>
      </vt:variant>
      <vt:variant>
        <vt:i4>0</vt:i4>
      </vt:variant>
      <vt:variant>
        <vt:i4>5</vt:i4>
      </vt:variant>
      <vt:variant>
        <vt:lpwstr>https://eur-lex.europa.eu/legal-content/EN/TXT/?uri=CELEX%3A52025DC0440R%2801%29&amp;qid=1747125158211</vt:lpwstr>
      </vt:variant>
      <vt:variant>
        <vt:lpwstr/>
      </vt:variant>
      <vt:variant>
        <vt:i4>1769522</vt:i4>
      </vt:variant>
      <vt:variant>
        <vt:i4>3</vt:i4>
      </vt:variant>
      <vt:variant>
        <vt:i4>0</vt:i4>
      </vt:variant>
      <vt:variant>
        <vt:i4>5</vt:i4>
      </vt:variant>
      <vt:variant>
        <vt:lpwstr>https://commission.europa.eu/topics/eu-competitiveness_en</vt:lpwstr>
      </vt:variant>
      <vt:variant>
        <vt:lpwstr/>
      </vt:variant>
      <vt:variant>
        <vt:i4>2424849</vt:i4>
      </vt:variant>
      <vt:variant>
        <vt:i4>0</vt:i4>
      </vt:variant>
      <vt:variant>
        <vt:i4>0</vt:i4>
      </vt:variant>
      <vt:variant>
        <vt:i4>5</vt:i4>
      </vt:variant>
      <vt:variant>
        <vt:lpwstr>https://commission.europa.eu/topics/eu-competitiveness/draghi-report_en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dcterms:created xsi:type="dcterms:W3CDTF">2026-02-26T10:02:00Z</dcterms:created>
  <dcterms:modified xsi:type="dcterms:W3CDTF">2026-03-10T08:30:00Z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2025-05-21T18:08:48Z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d791e515-fbb8-4449-868a-73c44270c50e</vt:lpwstr>
  </property>
  <property fmtid="{D5CDD505-2E9C-101B-9397-08002B2CF9AE}" pid="8" name="MSIP_Label_6bd9ddd1-4d20-43f6-abfa-fc3c07406f94_ContentBits">
    <vt:lpwstr>0</vt:lpwstr>
  </property>
  <property fmtid="{D5CDD505-2E9C-101B-9397-08002B2CF9AE}" pid="9" name="ContentTypeId">
    <vt:lpwstr>0x010100BF37100A9351204890AE6EC9E8983010</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CP-009</vt:lpwstr>
  </property>
  <property fmtid="{D5CDD505-2E9C-101B-9397-08002B2CF9AE}" pid="16" name="MediaServiceImageTags">
    <vt:lpwstr/>
  </property>
  <property fmtid="{D5CDD505-2E9C-101B-9397-08002B2CF9AE}" pid="17" name="Created using">
    <vt:lpwstr>LW 9.2, Build 20250828</vt:lpwstr>
  </property>
</Properties>
</file>