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F5D0CB" w14:textId="13C309DC" w:rsidR="006C350D" w:rsidRPr="0004458C" w:rsidRDefault="0055494E" w:rsidP="0055494E">
      <w:pPr>
        <w:pStyle w:val="Pagedecouverture"/>
        <w:rPr>
          <w:noProof/>
        </w:rPr>
      </w:pPr>
      <w:bookmarkStart w:id="0" w:name="LW_BM_COVERPAGE"/>
      <w:r>
        <w:rPr>
          <w:noProof/>
        </w:rPr>
        <w:pict w14:anchorId="0700D95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C1EDEBC9-3431-4132-81B2-9183DA63A424" style="width:455.25pt;height:300pt">
            <v:imagedata r:id="rId12" o:title=""/>
          </v:shape>
        </w:pict>
      </w:r>
    </w:p>
    <w:bookmarkEnd w:id="0"/>
    <w:p w14:paraId="6A3B781B" w14:textId="77777777" w:rsidR="006C350D" w:rsidRPr="0004458C" w:rsidRDefault="006C350D" w:rsidP="006C350D">
      <w:pPr>
        <w:rPr>
          <w:noProof/>
        </w:rPr>
        <w:sectPr w:rsidR="006C350D" w:rsidRPr="0004458C" w:rsidSect="0055494E">
          <w:headerReference w:type="even" r:id="rId13"/>
          <w:headerReference w:type="default" r:id="rId14"/>
          <w:footerReference w:type="even" r:id="rId15"/>
          <w:footerReference w:type="default" r:id="rId16"/>
          <w:headerReference w:type="first" r:id="rId17"/>
          <w:footerReference w:type="first" r:id="rId18"/>
          <w:pgSz w:w="11906" w:h="16838"/>
          <w:pgMar w:top="1134" w:right="1417" w:bottom="1134" w:left="1417" w:header="709" w:footer="709" w:gutter="0"/>
          <w:pgNumType w:start="0"/>
          <w:cols w:space="720"/>
          <w:docGrid w:linePitch="360"/>
        </w:sectPr>
      </w:pPr>
    </w:p>
    <w:p w14:paraId="219CF3A8" w14:textId="46A08407" w:rsidR="004C5C84" w:rsidRPr="0004458C" w:rsidRDefault="59812E20" w:rsidP="00C102A6">
      <w:pPr>
        <w:pStyle w:val="Heading1"/>
        <w:keepNext/>
        <w:ind w:left="431" w:hanging="431"/>
        <w:rPr>
          <w:noProof/>
        </w:rPr>
      </w:pPr>
      <w:bookmarkStart w:id="1" w:name="_GoBack"/>
      <w:bookmarkEnd w:id="1"/>
      <w:r w:rsidRPr="0004458C">
        <w:rPr>
          <w:noProof/>
        </w:rPr>
        <w:lastRenderedPageBreak/>
        <w:t>Introducere</w:t>
      </w:r>
    </w:p>
    <w:p w14:paraId="1D38CB27" w14:textId="5D53ED42" w:rsidR="00FB0E0E" w:rsidRPr="0004458C" w:rsidRDefault="00EE2C96" w:rsidP="00E55C96">
      <w:pPr>
        <w:spacing w:line="240" w:lineRule="auto"/>
        <w:jc w:val="both"/>
        <w:rPr>
          <w:rFonts w:ascii="Times New Roman" w:eastAsia="Times New Roman" w:hAnsi="Times New Roman" w:cs="Times New Roman"/>
          <w:noProof/>
          <w:sz w:val="24"/>
          <w:szCs w:val="24"/>
        </w:rPr>
      </w:pPr>
      <w:r w:rsidRPr="0004458C">
        <w:rPr>
          <w:rFonts w:ascii="Times New Roman" w:hAnsi="Times New Roman"/>
          <w:b/>
          <w:bCs/>
          <w:noProof/>
          <w:sz w:val="24"/>
        </w:rPr>
        <w:t>Energia autohtonă, accesibilă ca preț și curată</w:t>
      </w:r>
      <w:r w:rsidRPr="0004458C">
        <w:rPr>
          <w:rFonts w:ascii="Times New Roman" w:hAnsi="Times New Roman"/>
          <w:noProof/>
          <w:sz w:val="24"/>
        </w:rPr>
        <w:t xml:space="preserve"> sprijină obiectivele noastre în materie de decarbonizare, competitivitate și reziliență, astfel cum se indică în Pactul pentru o industrie curată (</w:t>
      </w:r>
      <w:r w:rsidRPr="0004458C">
        <w:rPr>
          <w:rFonts w:ascii="Times New Roman" w:eastAsia="Times New Roman" w:hAnsi="Times New Roman" w:cs="Times New Roman"/>
          <w:noProof/>
          <w:sz w:val="24"/>
          <w:szCs w:val="24"/>
          <w:vertAlign w:val="superscript"/>
        </w:rPr>
        <w:footnoteReference w:id="2"/>
      </w:r>
      <w:r w:rsidRPr="0004458C">
        <w:rPr>
          <w:rFonts w:ascii="Times New Roman" w:hAnsi="Times New Roman"/>
          <w:noProof/>
          <w:sz w:val="24"/>
        </w:rPr>
        <w:t>) și în Planul de acțiune privind energia la prețuri accesibile (</w:t>
      </w:r>
      <w:r w:rsidRPr="0004458C">
        <w:rPr>
          <w:rFonts w:ascii="Times New Roman" w:eastAsia="Times New Roman" w:hAnsi="Times New Roman" w:cs="Times New Roman"/>
          <w:noProof/>
          <w:sz w:val="24"/>
          <w:szCs w:val="24"/>
          <w:vertAlign w:val="superscript"/>
        </w:rPr>
        <w:footnoteReference w:id="3"/>
      </w:r>
      <w:r w:rsidRPr="0004458C">
        <w:rPr>
          <w:rFonts w:ascii="Times New Roman" w:hAnsi="Times New Roman"/>
          <w:noProof/>
          <w:sz w:val="24"/>
        </w:rPr>
        <w:t>).</w:t>
      </w:r>
    </w:p>
    <w:p w14:paraId="77E9B194" w14:textId="3271EF86" w:rsidR="00BC3846" w:rsidRPr="0004458C" w:rsidRDefault="00FB1FA1" w:rsidP="00ED3E40">
      <w:pPr>
        <w:spacing w:line="240" w:lineRule="auto"/>
        <w:jc w:val="both"/>
        <w:rPr>
          <w:rFonts w:ascii="Times New Roman" w:eastAsia="Times New Roman" w:hAnsi="Times New Roman" w:cs="Times New Roman"/>
          <w:noProof/>
          <w:sz w:val="24"/>
          <w:szCs w:val="24"/>
        </w:rPr>
      </w:pPr>
      <w:r w:rsidRPr="0004458C">
        <w:rPr>
          <w:rFonts w:ascii="Times New Roman" w:hAnsi="Times New Roman"/>
          <w:noProof/>
          <w:sz w:val="24"/>
        </w:rPr>
        <w:t xml:space="preserve">Pentru unele state membre ale UE, </w:t>
      </w:r>
      <w:r w:rsidRPr="0004458C">
        <w:rPr>
          <w:rFonts w:ascii="Times New Roman" w:hAnsi="Times New Roman"/>
          <w:b/>
          <w:bCs/>
          <w:noProof/>
          <w:sz w:val="24"/>
        </w:rPr>
        <w:t>energia nucleară este o componentă importantă a strategiilor de decarbonizare, competitivitate industrială și securitate a aprovizionării.</w:t>
      </w:r>
      <w:r w:rsidRPr="0004458C">
        <w:rPr>
          <w:rFonts w:ascii="Times New Roman" w:hAnsi="Times New Roman"/>
          <w:noProof/>
          <w:sz w:val="24"/>
        </w:rPr>
        <w:t xml:space="preserve"> Planurile naționale actualizate privind energia și clima (PNEC) indică faptul că se preconizează o creștere a capacității nucleare instalate. Centralele nucleare furnizează energie curată, potrivită pentru energia electrică la sarcină de bază cu emisii scăzute de dioxid de carbon, consolidând, de asemenea, integrarea sistemului și oferind flexibilitate care facilitează introducerea în continuare a altor tehnologii curate. Aceste beneficii sunt valabile pentru întregul sistem energetic al UE.</w:t>
      </w:r>
    </w:p>
    <w:p w14:paraId="64EA083A" w14:textId="615790FE" w:rsidR="00944164" w:rsidRPr="0004458C" w:rsidRDefault="00BC3846" w:rsidP="00ED3E40">
      <w:pPr>
        <w:spacing w:line="240" w:lineRule="auto"/>
        <w:jc w:val="both"/>
        <w:rPr>
          <w:rFonts w:ascii="Times New Roman" w:eastAsia="Times New Roman" w:hAnsi="Times New Roman" w:cs="Times New Roman"/>
          <w:noProof/>
          <w:sz w:val="24"/>
          <w:szCs w:val="24"/>
        </w:rPr>
      </w:pPr>
      <w:r w:rsidRPr="0004458C">
        <w:rPr>
          <w:rFonts w:ascii="Times New Roman" w:hAnsi="Times New Roman"/>
          <w:noProof/>
          <w:sz w:val="24"/>
        </w:rPr>
        <w:t>Astfel cum s-a subliniat în evaluarea impactului obiectivului climatic al Comisiei pentru 2040 (</w:t>
      </w:r>
      <w:r w:rsidRPr="0004458C">
        <w:rPr>
          <w:rStyle w:val="FootnoteReference"/>
          <w:rFonts w:ascii="Times New Roman" w:eastAsia="Times New Roman" w:hAnsi="Times New Roman" w:cs="Times New Roman"/>
          <w:noProof/>
          <w:sz w:val="24"/>
          <w:szCs w:val="24"/>
        </w:rPr>
        <w:footnoteReference w:id="4"/>
      </w:r>
      <w:r w:rsidRPr="0004458C">
        <w:rPr>
          <w:rFonts w:ascii="Times New Roman" w:hAnsi="Times New Roman"/>
          <w:noProof/>
          <w:sz w:val="24"/>
        </w:rPr>
        <w:t xml:space="preserve">), sunt necesare toate soluțiile energetice cu emisii zero și cu emisii scăzute de dioxid de carbon pentru decarbonizarea sistemului energetic. Previziunile arată că sursele energie cu zero emisii și cu emisii de carbon reduse vor genera peste 90 % din energia electrică din UE în 2040, în principal din surse regenerabile, completate de energia nucleară. Realizarea planurilor statelor membre cu privire la energia nucleară va necesita </w:t>
      </w:r>
      <w:r w:rsidRPr="0004458C">
        <w:rPr>
          <w:rFonts w:ascii="Times New Roman" w:hAnsi="Times New Roman"/>
          <w:b/>
          <w:bCs/>
          <w:noProof/>
          <w:sz w:val="24"/>
        </w:rPr>
        <w:t>investiții semnificative până în 2050</w:t>
      </w:r>
      <w:r w:rsidRPr="0004458C">
        <w:rPr>
          <w:rFonts w:ascii="Times New Roman" w:hAnsi="Times New Roman"/>
          <w:noProof/>
          <w:sz w:val="24"/>
        </w:rPr>
        <w:t>, atât pentru prelungirea duratei de viață a reactoarelor existente, cât și pentru construirea de noi reactoare de mari dimensiuni. Sunt necesare investiții suplimentare, pe termen lung, în reactoarele modulare mici (SMR) și în reactoarele modulare avansate (AMR), precum și în fuziune.</w:t>
      </w:r>
    </w:p>
    <w:p w14:paraId="277EEAB0" w14:textId="19C8F2FF" w:rsidR="00944164" w:rsidRPr="0004458C" w:rsidRDefault="00BC3846" w:rsidP="49811C53">
      <w:pPr>
        <w:spacing w:line="240" w:lineRule="auto"/>
        <w:jc w:val="both"/>
        <w:rPr>
          <w:rFonts w:ascii="Times New Roman" w:eastAsia="Times New Roman" w:hAnsi="Times New Roman" w:cs="Times New Roman"/>
          <w:noProof/>
          <w:sz w:val="24"/>
          <w:szCs w:val="24"/>
        </w:rPr>
      </w:pPr>
      <w:r w:rsidRPr="0004458C">
        <w:rPr>
          <w:rFonts w:ascii="Times New Roman" w:hAnsi="Times New Roman"/>
          <w:noProof/>
          <w:sz w:val="24"/>
        </w:rPr>
        <w:t>Alegerea surselor de energie în cadrul mixului energetic, inclusiv decizia de a utiliza sau nu energia nucleară, rămâne de competența fiecărui stat membru, în conformitate cu tratatele UE (</w:t>
      </w:r>
      <w:r w:rsidRPr="0004458C">
        <w:rPr>
          <w:rFonts w:ascii="Times New Roman" w:eastAsia="Times New Roman" w:hAnsi="Times New Roman" w:cs="Times New Roman"/>
          <w:noProof/>
          <w:sz w:val="24"/>
          <w:szCs w:val="24"/>
          <w:vertAlign w:val="superscript"/>
        </w:rPr>
        <w:footnoteReference w:id="5"/>
      </w:r>
      <w:r w:rsidRPr="0004458C">
        <w:rPr>
          <w:rFonts w:ascii="Times New Roman" w:hAnsi="Times New Roman"/>
          <w:noProof/>
          <w:sz w:val="24"/>
        </w:rPr>
        <w:t xml:space="preserve">). Unele țări din UE instituie deja programe nucleare care prelungesc durata de exploatare a reactoarelor existente și anunță construcția unor noi reactoare. În cele din urmă, alte țări din UE iau în considerare includerea, pentru prima dată, a energiei nucleare în mixul lor energetic. </w:t>
      </w:r>
      <w:r w:rsidRPr="0004458C">
        <w:rPr>
          <w:rFonts w:ascii="Times New Roman" w:hAnsi="Times New Roman"/>
          <w:b/>
          <w:bCs/>
          <w:noProof/>
          <w:sz w:val="24"/>
        </w:rPr>
        <w:t>Perspectivele privind ponderea energiei nucleare în producția de energie electrică a UE depind de funcționarea pe termen lung a reactoarelor existente.</w:t>
      </w:r>
    </w:p>
    <w:p w14:paraId="791226C0" w14:textId="3A6FB1A0" w:rsidR="00107001" w:rsidRPr="0004458C" w:rsidRDefault="470B16E9" w:rsidP="00107001">
      <w:pPr>
        <w:spacing w:line="240" w:lineRule="auto"/>
        <w:jc w:val="both"/>
        <w:rPr>
          <w:rFonts w:ascii="Times New Roman" w:eastAsia="Times New Roman" w:hAnsi="Times New Roman" w:cs="Times New Roman"/>
          <w:noProof/>
          <w:sz w:val="24"/>
          <w:szCs w:val="24"/>
        </w:rPr>
      </w:pPr>
      <w:r w:rsidRPr="0004458C">
        <w:rPr>
          <w:rFonts w:ascii="Times New Roman" w:hAnsi="Times New Roman"/>
          <w:b/>
          <w:bCs/>
          <w:noProof/>
          <w:sz w:val="24"/>
        </w:rPr>
        <w:t>Poziția de lider deținută de UE în domeniul energiei nucleare are rădăcini solide în angajamentele fundamentale</w:t>
      </w:r>
      <w:r w:rsidRPr="0004458C">
        <w:rPr>
          <w:rFonts w:ascii="Times New Roman" w:hAnsi="Times New Roman"/>
          <w:noProof/>
          <w:sz w:val="24"/>
        </w:rPr>
        <w:t xml:space="preserve">: controlul asupra întregului ciclu al combustibilului nuclear, promovarea unor ecosisteme de start-upuri inovatoare și desfășurarea de activități de cercetare de vârf, asigurând în același timp cele mai înalte standarde în materie de </w:t>
      </w:r>
      <w:r w:rsidRPr="0004458C">
        <w:rPr>
          <w:rFonts w:ascii="Times New Roman" w:hAnsi="Times New Roman"/>
          <w:b/>
          <w:bCs/>
          <w:noProof/>
          <w:sz w:val="24"/>
        </w:rPr>
        <w:t>siguranță, securitate și garanții nucleare, gestionarea sigură și responsabilă a deșeurilor radioactive, educația și formarea de înalt nivel, precum și promovarea transparenței și a implicării publicului.</w:t>
      </w:r>
      <w:r w:rsidRPr="0004458C">
        <w:rPr>
          <w:rFonts w:ascii="Times New Roman" w:hAnsi="Times New Roman"/>
          <w:noProof/>
          <w:sz w:val="24"/>
        </w:rPr>
        <w:t xml:space="preserve"> Dezvoltarea în continuare a infrastructurii esențiale pentru gestionarea combustibilului uzat și a deșeurilor radioactive, cum ar fi instalațiile dedicate depozitării geologice la adâncime, și integrarea principiilor economiei circulare sunt, prin urmare, componente critice în toate programele nucleare. Planificarea industrială viitoare și investițiile în capacitatea nucleară și în infrastructura de cercetare trebuie să fie strâns aliniate cu progresele din aceste domenii.</w:t>
      </w:r>
    </w:p>
    <w:p w14:paraId="222B4FA3" w14:textId="019ECB6C" w:rsidR="00CE257B" w:rsidRPr="0004458C" w:rsidRDefault="008C2AA1" w:rsidP="00ED3E40">
      <w:pPr>
        <w:spacing w:line="240" w:lineRule="auto"/>
        <w:jc w:val="both"/>
        <w:rPr>
          <w:rFonts w:ascii="Times New Roman" w:eastAsia="Times New Roman" w:hAnsi="Times New Roman" w:cs="Times New Roman"/>
          <w:noProof/>
          <w:sz w:val="24"/>
          <w:szCs w:val="24"/>
        </w:rPr>
      </w:pPr>
      <w:r w:rsidRPr="0004458C">
        <w:rPr>
          <w:rFonts w:ascii="Times New Roman" w:hAnsi="Times New Roman"/>
          <w:b/>
          <w:bCs/>
          <w:noProof/>
          <w:sz w:val="24"/>
        </w:rPr>
        <w:t>Diversificarea este esențială la nivelul UE</w:t>
      </w:r>
      <w:r w:rsidRPr="0004458C">
        <w:rPr>
          <w:rFonts w:ascii="Times New Roman" w:hAnsi="Times New Roman"/>
          <w:noProof/>
          <w:sz w:val="24"/>
        </w:rPr>
        <w:t>; scenariile care includ niveluri diferite de introducere a energiei nucleare, bazate pe deciziile statelor membre, pot sprijini transformarea sistemului nostru energetic pentru a realiza atât decarbonizarea economiei noastre, cât și independența energetică strategică a continentului nostru. Pentru a promova securitatea economică a UE, Comisia a prezentat Foaia de parcurs pentru eliminarea importurilor de energie din Rusia, care prevede măsuri de diversificare a aprovizionării cu energie și de reducere a dependenței de surse externe </w:t>
      </w:r>
      <w:r w:rsidRPr="0004458C">
        <w:rPr>
          <w:noProof/>
        </w:rPr>
        <w:t>(</w:t>
      </w:r>
      <w:r w:rsidRPr="0004458C">
        <w:rPr>
          <w:rStyle w:val="FootnoteReference"/>
          <w:rFonts w:ascii="Times New Roman" w:hAnsi="Times New Roman" w:cs="Times New Roman"/>
          <w:noProof/>
          <w:sz w:val="24"/>
          <w:szCs w:val="24"/>
        </w:rPr>
        <w:footnoteReference w:id="6"/>
      </w:r>
      <w:r w:rsidRPr="0004458C">
        <w:rPr>
          <w:noProof/>
        </w:rPr>
        <w:t>).</w:t>
      </w:r>
    </w:p>
    <w:p w14:paraId="1B4B2451" w14:textId="06A36B74" w:rsidR="00C102A6" w:rsidRPr="0004458C" w:rsidRDefault="5DCDD1C3" w:rsidP="00C102A6">
      <w:pPr>
        <w:spacing w:line="240" w:lineRule="auto"/>
        <w:jc w:val="both"/>
        <w:rPr>
          <w:rFonts w:ascii="Times New Roman" w:eastAsia="Times New Roman" w:hAnsi="Times New Roman" w:cs="Times New Roman"/>
          <w:noProof/>
          <w:sz w:val="24"/>
          <w:szCs w:val="24"/>
        </w:rPr>
      </w:pPr>
      <w:r w:rsidRPr="0004458C">
        <w:rPr>
          <w:rFonts w:ascii="Times New Roman" w:hAnsi="Times New Roman"/>
          <w:noProof/>
          <w:sz w:val="24"/>
        </w:rPr>
        <w:t>Acest program nuclear cu caracter informativ al Comisiei (</w:t>
      </w:r>
      <w:r w:rsidRPr="0004458C">
        <w:rPr>
          <w:rFonts w:ascii="Times New Roman" w:eastAsia="Times New Roman" w:hAnsi="Times New Roman" w:cs="Times New Roman"/>
          <w:noProof/>
          <w:sz w:val="24"/>
          <w:szCs w:val="24"/>
          <w:vertAlign w:val="superscript"/>
        </w:rPr>
        <w:footnoteReference w:id="7"/>
      </w:r>
      <w:r w:rsidRPr="0004458C">
        <w:rPr>
          <w:rFonts w:ascii="Times New Roman" w:hAnsi="Times New Roman"/>
          <w:noProof/>
          <w:sz w:val="24"/>
        </w:rPr>
        <w:t xml:space="preserve">) oferă informații cantitative și calitative cu privire la amploarea nevoilor de investiții pe parcursul ciclului de viață al energiei nucleare, indicând domeniile în care ar trebui să se acorde prioritate acțiunilor întreprinse de statele membre. După cum se arată mai jos, realizarea obiectivelor stabilite de unele state membre va necesita </w:t>
      </w:r>
      <w:r w:rsidRPr="0004458C">
        <w:rPr>
          <w:rFonts w:ascii="Times New Roman" w:hAnsi="Times New Roman"/>
          <w:b/>
          <w:bCs/>
          <w:noProof/>
          <w:sz w:val="24"/>
        </w:rPr>
        <w:t>investiții semnificative, combinând finanțarea publică cu cea privată</w:t>
      </w:r>
      <w:r w:rsidRPr="0004458C">
        <w:rPr>
          <w:rFonts w:ascii="Times New Roman" w:hAnsi="Times New Roman"/>
          <w:noProof/>
          <w:sz w:val="24"/>
        </w:rPr>
        <w:t>. Existența unor cadre de politică clare pentru reducerea riscurilor aferente proiectelor va fi esențială pentru mobilizarea resurselor necesare.</w:t>
      </w:r>
    </w:p>
    <w:p w14:paraId="0A13EF2D" w14:textId="1CF80024" w:rsidR="00564053" w:rsidRPr="0004458C" w:rsidRDefault="0027527A" w:rsidP="001D4FC1">
      <w:pPr>
        <w:spacing w:line="240" w:lineRule="auto"/>
        <w:jc w:val="both"/>
        <w:rPr>
          <w:rFonts w:ascii="Times New Roman" w:eastAsia="Times New Roman" w:hAnsi="Times New Roman" w:cs="Times New Roman"/>
          <w:noProof/>
          <w:sz w:val="24"/>
          <w:szCs w:val="24"/>
        </w:rPr>
      </w:pPr>
      <w:r w:rsidRPr="0004458C">
        <w:rPr>
          <w:rFonts w:ascii="Times New Roman" w:hAnsi="Times New Roman"/>
          <w:b/>
          <w:bCs/>
          <w:noProof/>
          <w:sz w:val="24"/>
        </w:rPr>
        <w:t>Comitetul Economic și Social European (CESE)</w:t>
      </w:r>
      <w:r w:rsidRPr="0004458C">
        <w:rPr>
          <w:rFonts w:ascii="Times New Roman" w:hAnsi="Times New Roman"/>
          <w:noProof/>
          <w:sz w:val="24"/>
        </w:rPr>
        <w:t xml:space="preserve"> și-a emis avizul la 4 decembrie 2025</w:t>
      </w:r>
      <w:r w:rsidR="0061060C" w:rsidRPr="0004458C">
        <w:rPr>
          <w:rFonts w:ascii="Times New Roman" w:hAnsi="Times New Roman"/>
          <w:noProof/>
          <w:sz w:val="24"/>
        </w:rPr>
        <w:t> </w:t>
      </w:r>
      <w:r w:rsidRPr="0004458C">
        <w:rPr>
          <w:rFonts w:ascii="Times New Roman" w:hAnsi="Times New Roman"/>
          <w:noProof/>
          <w:sz w:val="24"/>
        </w:rPr>
        <w:t>(</w:t>
      </w:r>
      <w:r w:rsidRPr="0004458C">
        <w:rPr>
          <w:rStyle w:val="FootnoteReference"/>
          <w:rFonts w:ascii="Times New Roman" w:eastAsia="Times New Roman" w:hAnsi="Times New Roman" w:cs="Times New Roman"/>
          <w:noProof/>
          <w:sz w:val="24"/>
          <w:szCs w:val="24"/>
        </w:rPr>
        <w:footnoteReference w:id="8"/>
      </w:r>
      <w:r w:rsidRPr="0004458C">
        <w:rPr>
          <w:rFonts w:ascii="Times New Roman" w:hAnsi="Times New Roman"/>
          <w:noProof/>
          <w:sz w:val="24"/>
        </w:rPr>
        <w:t>) cu privire la acest program nuclear cu caracter informativ</w:t>
      </w:r>
      <w:r w:rsidR="0061060C" w:rsidRPr="0004458C">
        <w:rPr>
          <w:rFonts w:ascii="Times New Roman" w:hAnsi="Times New Roman"/>
          <w:noProof/>
          <w:sz w:val="24"/>
        </w:rPr>
        <w:t> </w:t>
      </w:r>
      <w:r w:rsidRPr="0004458C">
        <w:rPr>
          <w:rFonts w:ascii="Times New Roman" w:hAnsi="Times New Roman"/>
          <w:noProof/>
          <w:sz w:val="24"/>
        </w:rPr>
        <w:t>(</w:t>
      </w:r>
      <w:r w:rsidRPr="0004458C">
        <w:rPr>
          <w:rStyle w:val="FootnoteReference"/>
          <w:rFonts w:ascii="Times New Roman" w:eastAsia="Times New Roman" w:hAnsi="Times New Roman" w:cs="Times New Roman"/>
          <w:noProof/>
          <w:sz w:val="24"/>
          <w:szCs w:val="24"/>
        </w:rPr>
        <w:footnoteReference w:id="9"/>
      </w:r>
      <w:r w:rsidRPr="0004458C">
        <w:rPr>
          <w:rFonts w:ascii="Times New Roman" w:hAnsi="Times New Roman"/>
          <w:noProof/>
          <w:sz w:val="24"/>
        </w:rPr>
        <w:t xml:space="preserve">), în conformitate cu Tratatul Euratom. Adoptat cu o largă majoritate, avizul afirmă că energia nucleară joacă și va continua să joace un rol esențial în decarbonizarea continentului european, în special având în vedere că UE trebuie să își consolideze autonomia strategică în domeniul energiei și al tehnologiei. </w:t>
      </w:r>
    </w:p>
    <w:p w14:paraId="1E3EF4D2" w14:textId="50FA3CB5" w:rsidR="001D4FC1" w:rsidRPr="0004458C" w:rsidRDefault="0040424C" w:rsidP="00942FEF">
      <w:pPr>
        <w:spacing w:line="240" w:lineRule="auto"/>
        <w:jc w:val="both"/>
        <w:rPr>
          <w:rFonts w:ascii="Times New Roman" w:eastAsia="Times New Roman" w:hAnsi="Times New Roman" w:cs="Times New Roman"/>
          <w:noProof/>
          <w:sz w:val="24"/>
          <w:szCs w:val="24"/>
        </w:rPr>
      </w:pPr>
      <w:r w:rsidRPr="0004458C">
        <w:rPr>
          <w:rFonts w:ascii="Times New Roman" w:hAnsi="Times New Roman"/>
          <w:noProof/>
          <w:sz w:val="24"/>
        </w:rPr>
        <w:t xml:space="preserve">Avizul CESE invită Comisia să stabilească măsuri de reglementare și financiare care să sprijine investițiile planificate în statele membre. În plus, CESE a recomandat o abordare neutră din punct de vedere tehnologic în toate instrumentele care sprijină investițiile în tehnologii curate, precum și accelerarea investițiilor prin măsuri specifice, cum ar fi un proces raționalizat privind ajutoarele de stat, măsuri fiscale, procese de acordare a licențelor și decizii mai rapide la nivelul UE și la nivel național (inclusiv un angajament de a deschide accesul la fondurile de coeziune ale UE atunci când statele membre aleg să facă acest lucru și finanțare pe termen lung). În plus, CESE a formulat recomandări referitoare la hidrogen, la rolul energiei nucleare în integrarea sistemului și la SMR. </w:t>
      </w:r>
    </w:p>
    <w:p w14:paraId="0488BED0" w14:textId="381CB851" w:rsidR="00246226" w:rsidRPr="0004458C" w:rsidRDefault="001D4FC1" w:rsidP="001D4FC1">
      <w:pPr>
        <w:spacing w:line="240" w:lineRule="auto"/>
        <w:jc w:val="both"/>
        <w:rPr>
          <w:rFonts w:ascii="Times New Roman" w:eastAsia="Times New Roman" w:hAnsi="Times New Roman" w:cs="Times New Roman"/>
          <w:noProof/>
          <w:sz w:val="24"/>
          <w:szCs w:val="24"/>
        </w:rPr>
      </w:pPr>
      <w:r w:rsidRPr="0004458C">
        <w:rPr>
          <w:rFonts w:ascii="Times New Roman" w:hAnsi="Times New Roman"/>
          <w:noProof/>
          <w:sz w:val="24"/>
        </w:rPr>
        <w:t xml:space="preserve">Comisia salută avizul și recomandările, care se aliniază la inițiativele de politică recente și viitoare ale Comisiei. În 2025, Comisia a adoptat un </w:t>
      </w:r>
      <w:r w:rsidRPr="0004458C">
        <w:rPr>
          <w:rFonts w:ascii="Times New Roman" w:hAnsi="Times New Roman"/>
          <w:b/>
          <w:bCs/>
          <w:noProof/>
          <w:sz w:val="24"/>
        </w:rPr>
        <w:t>nou cadru privind ajutoarele de stat care însoțește Pactul pentru o industrie curată (CISAF)</w:t>
      </w:r>
      <w:r w:rsidRPr="0004458C">
        <w:rPr>
          <w:rFonts w:ascii="Times New Roman" w:hAnsi="Times New Roman"/>
          <w:noProof/>
          <w:sz w:val="24"/>
        </w:rPr>
        <w:t xml:space="preserve">, o parte din acesta simplificând ajutoarele de stat care sprijină capacitatea de producție în domeniul tehnologiilor curate, inclusiv al tehnologiilor nucleare. În plus, Comisia a oferit </w:t>
      </w:r>
      <w:r w:rsidRPr="0004458C">
        <w:rPr>
          <w:rFonts w:ascii="Times New Roman" w:hAnsi="Times New Roman"/>
          <w:b/>
          <w:bCs/>
          <w:noProof/>
          <w:sz w:val="24"/>
        </w:rPr>
        <w:t>orientări statelor membre cu privire la elaborarea unor contracte pentru diferență și a unor contracte de achiziție de energie electrică eficace</w:t>
      </w:r>
      <w:r w:rsidRPr="0004458C">
        <w:rPr>
          <w:rFonts w:ascii="Times New Roman" w:hAnsi="Times New Roman"/>
          <w:noProof/>
          <w:sz w:val="24"/>
        </w:rPr>
        <w:t xml:space="preserve">, în conformitate cu o abordare neutră din punct de vedere tehnologic. Comisia a adoptat, de asemenea, actul delegat de stabilire a </w:t>
      </w:r>
      <w:r w:rsidRPr="0004458C">
        <w:rPr>
          <w:rFonts w:ascii="Times New Roman" w:hAnsi="Times New Roman"/>
          <w:b/>
          <w:bCs/>
          <w:noProof/>
          <w:sz w:val="24"/>
        </w:rPr>
        <w:t>metodologiei de contabilizare a emisiilor de gaze cu efect de seră generate de combustibilii cu emisii scăzute de carbon</w:t>
      </w:r>
      <w:r w:rsidRPr="0004458C">
        <w:rPr>
          <w:rFonts w:ascii="Times New Roman" w:hAnsi="Times New Roman"/>
          <w:noProof/>
          <w:sz w:val="24"/>
        </w:rPr>
        <w:t xml:space="preserve">, deschizând astfel și mai mult calea pentru producția de hidrogen utilizând energia nucleară. </w:t>
      </w:r>
    </w:p>
    <w:p w14:paraId="5956F9CE" w14:textId="162D4E37" w:rsidR="008834B3" w:rsidRPr="0004458C" w:rsidRDefault="002B39B6" w:rsidP="001D4FC1">
      <w:pPr>
        <w:spacing w:line="240" w:lineRule="auto"/>
        <w:jc w:val="both"/>
        <w:rPr>
          <w:rFonts w:ascii="Times New Roman" w:eastAsia="Times New Roman" w:hAnsi="Times New Roman" w:cs="Times New Roman"/>
          <w:noProof/>
          <w:sz w:val="24"/>
          <w:szCs w:val="24"/>
        </w:rPr>
      </w:pPr>
      <w:r w:rsidRPr="0004458C">
        <w:rPr>
          <w:rFonts w:ascii="Times New Roman" w:hAnsi="Times New Roman" w:cs="Times New Roman"/>
          <w:noProof/>
          <w:sz w:val="24"/>
          <w:szCs w:val="24"/>
        </w:rPr>
        <w:t xml:space="preserve">În plus, Comisia va pregăti o evaluare a </w:t>
      </w:r>
      <w:r w:rsidRPr="0004458C">
        <w:rPr>
          <w:rFonts w:ascii="Times New Roman" w:hAnsi="Times New Roman" w:cs="Times New Roman"/>
          <w:b/>
          <w:bCs/>
          <w:noProof/>
          <w:sz w:val="24"/>
          <w:szCs w:val="24"/>
        </w:rPr>
        <w:t>nevoilor sistemului energetic pentru tranziția curată</w:t>
      </w:r>
      <w:r w:rsidRPr="0004458C">
        <w:rPr>
          <w:rFonts w:ascii="Times New Roman" w:hAnsi="Times New Roman" w:cs="Times New Roman"/>
          <w:noProof/>
          <w:sz w:val="24"/>
          <w:szCs w:val="24"/>
        </w:rPr>
        <w:t>, care va actualiza nevoile de investiții în sectorul energetic în perioada 2031-2040, analizând sistemul energetic în mod global și neutru din punct de vedere tehnologic. Ca parte a pachetului privind energia din martie 2026, inclusiv</w:t>
      </w:r>
      <w:r w:rsidRPr="0004458C">
        <w:rPr>
          <w:rFonts w:ascii="Times New Roman" w:hAnsi="Times New Roman"/>
          <w:noProof/>
          <w:sz w:val="24"/>
        </w:rPr>
        <w:t xml:space="preserve"> a acestui program nuclear cu caracter informativ și a strategiei privind reactoarele modulare mici, Comisia prezintă, de asemenea, o </w:t>
      </w:r>
      <w:r w:rsidRPr="0004458C">
        <w:rPr>
          <w:rFonts w:ascii="Times New Roman" w:hAnsi="Times New Roman"/>
          <w:b/>
          <w:bCs/>
          <w:noProof/>
          <w:sz w:val="24"/>
        </w:rPr>
        <w:t>strategie de investiții în energie curată</w:t>
      </w:r>
      <w:r w:rsidRPr="0004458C">
        <w:rPr>
          <w:rFonts w:ascii="Times New Roman" w:hAnsi="Times New Roman"/>
          <w:noProof/>
          <w:sz w:val="24"/>
        </w:rPr>
        <w:t xml:space="preserve"> care vizează mobilizarea investițiilor private la scară largă pentru toate tehnologiile energetice curate, inclusiv pentru energia nucleară. În plus și pe baza activității Alianței industriale europene pentru reactoarele modulare mici, </w:t>
      </w:r>
      <w:r w:rsidRPr="0004458C">
        <w:rPr>
          <w:rFonts w:ascii="Times New Roman" w:hAnsi="Times New Roman"/>
          <w:b/>
          <w:bCs/>
          <w:noProof/>
          <w:sz w:val="24"/>
        </w:rPr>
        <w:t>strategia Comisiei privind reactoarele modulare mici</w:t>
      </w:r>
      <w:r w:rsidRPr="0004458C">
        <w:rPr>
          <w:rFonts w:ascii="Times New Roman" w:hAnsi="Times New Roman"/>
          <w:noProof/>
          <w:sz w:val="24"/>
        </w:rPr>
        <w:t xml:space="preserve"> sprijină accelerarea dezvoltării și implementării unor astfel de reactoare în UE la începutul anilor 2030, în vederea consolidării competitivității industriale a UE. Viitoarea </w:t>
      </w:r>
      <w:r w:rsidRPr="0004458C">
        <w:rPr>
          <w:rFonts w:ascii="Times New Roman" w:hAnsi="Times New Roman"/>
          <w:b/>
          <w:bCs/>
          <w:noProof/>
          <w:sz w:val="24"/>
        </w:rPr>
        <w:t>strategie a UE privind fuziunea</w:t>
      </w:r>
      <w:r w:rsidRPr="0004458C">
        <w:rPr>
          <w:rFonts w:ascii="Times New Roman" w:hAnsi="Times New Roman"/>
          <w:noProof/>
          <w:sz w:val="24"/>
        </w:rPr>
        <w:t xml:space="preserve"> va stabili un set cuprinzător de acțiuni strategice pentru a orienta activitățile din sectorul public și privat european în următorii ani și va confirma că ITER este o piatră de temelie a eforturilor UE de accelerare a comercializării energiei de fuziune. </w:t>
      </w:r>
    </w:p>
    <w:p w14:paraId="18AEB503" w14:textId="3932FF79" w:rsidR="00C102A6" w:rsidRPr="0004458C" w:rsidRDefault="00C102A6" w:rsidP="00C102A6">
      <w:pPr>
        <w:pStyle w:val="Heading1"/>
        <w:keepNext/>
        <w:ind w:left="431" w:hanging="431"/>
        <w:rPr>
          <w:noProof/>
        </w:rPr>
      </w:pPr>
      <w:bookmarkStart w:id="2" w:name="_Hlk198746961"/>
      <w:r w:rsidRPr="0004458C">
        <w:rPr>
          <w:noProof/>
        </w:rPr>
        <w:t>Energia nucleară în contextul actual</w:t>
      </w:r>
    </w:p>
    <w:p w14:paraId="49FDD411" w14:textId="0A969904" w:rsidR="00010365" w:rsidRPr="0004458C" w:rsidRDefault="74B4CA38" w:rsidP="00010365">
      <w:pPr>
        <w:spacing w:line="240" w:lineRule="auto"/>
        <w:jc w:val="both"/>
        <w:rPr>
          <w:rFonts w:ascii="Times New Roman" w:hAnsi="Times New Roman" w:cs="Times New Roman"/>
          <w:noProof/>
          <w:sz w:val="24"/>
          <w:szCs w:val="24"/>
        </w:rPr>
      </w:pPr>
      <w:bookmarkStart w:id="3" w:name="_Hlk198746937"/>
      <w:bookmarkEnd w:id="2"/>
      <w:r w:rsidRPr="0004458C">
        <w:rPr>
          <w:rFonts w:ascii="Times New Roman" w:hAnsi="Times New Roman"/>
          <w:noProof/>
          <w:sz w:val="24"/>
        </w:rPr>
        <w:t>La sfârșitul anului 2024, existau 101 reactoare nucleare în funcțiune în 12 state membre (</w:t>
      </w:r>
      <w:r w:rsidRPr="0004458C">
        <w:rPr>
          <w:rFonts w:ascii="Times New Roman" w:hAnsi="Times New Roman" w:cs="Times New Roman"/>
          <w:noProof/>
          <w:sz w:val="24"/>
          <w:szCs w:val="24"/>
          <w:vertAlign w:val="superscript"/>
        </w:rPr>
        <w:footnoteReference w:id="10"/>
      </w:r>
      <w:r w:rsidRPr="0004458C">
        <w:rPr>
          <w:rFonts w:ascii="Times New Roman" w:hAnsi="Times New Roman"/>
          <w:noProof/>
          <w:sz w:val="24"/>
        </w:rPr>
        <w:t>). Capacitatea lor netă instalată a totalizat aproximativ 98 gigawatt electric (GWe). În 2023, energia nucleară a reprezentat 23 % din producția de energie electrică a UE</w:t>
      </w:r>
      <w:bookmarkEnd w:id="3"/>
      <w:r w:rsidRPr="0004458C">
        <w:rPr>
          <w:noProof/>
        </w:rPr>
        <w:t> (</w:t>
      </w:r>
      <w:r w:rsidRPr="0004458C">
        <w:rPr>
          <w:rFonts w:ascii="Times New Roman" w:hAnsi="Times New Roman" w:cs="Times New Roman"/>
          <w:noProof/>
          <w:sz w:val="24"/>
          <w:szCs w:val="24"/>
          <w:vertAlign w:val="superscript"/>
        </w:rPr>
        <w:footnoteReference w:id="11"/>
      </w:r>
      <w:r w:rsidRPr="0004458C">
        <w:rPr>
          <w:noProof/>
        </w:rPr>
        <w:t>).</w:t>
      </w:r>
      <w:r w:rsidRPr="0004458C">
        <w:rPr>
          <w:rFonts w:ascii="Times New Roman" w:hAnsi="Times New Roman"/>
          <w:noProof/>
          <w:sz w:val="24"/>
        </w:rPr>
        <w:t xml:space="preserve"> Flota de reactoare din UE cuprinde trei noi unități conectate recent la rețea și încă trei unități în construcție (</w:t>
      </w:r>
      <w:r w:rsidRPr="0004458C">
        <w:rPr>
          <w:rFonts w:ascii="Times New Roman" w:hAnsi="Times New Roman" w:cs="Times New Roman"/>
          <w:noProof/>
          <w:sz w:val="24"/>
          <w:szCs w:val="24"/>
          <w:vertAlign w:val="superscript"/>
        </w:rPr>
        <w:footnoteReference w:id="12"/>
      </w:r>
      <w:r w:rsidRPr="0004458C">
        <w:rPr>
          <w:rFonts w:ascii="Times New Roman" w:hAnsi="Times New Roman"/>
          <w:noProof/>
          <w:sz w:val="24"/>
        </w:rPr>
        <w:t xml:space="preserve">). </w:t>
      </w:r>
    </w:p>
    <w:p w14:paraId="29BD70C3" w14:textId="3E8875B9" w:rsidR="00010365" w:rsidRPr="0004458C" w:rsidRDefault="74B4CA38" w:rsidP="00010365">
      <w:pPr>
        <w:spacing w:line="240" w:lineRule="auto"/>
        <w:jc w:val="both"/>
        <w:rPr>
          <w:rFonts w:ascii="Times New Roman" w:eastAsia="Times New Roman" w:hAnsi="Times New Roman" w:cs="Times New Roman"/>
          <w:noProof/>
          <w:sz w:val="24"/>
          <w:szCs w:val="24"/>
        </w:rPr>
      </w:pPr>
      <w:r w:rsidRPr="0004458C">
        <w:rPr>
          <w:rFonts w:ascii="Times New Roman" w:hAnsi="Times New Roman"/>
          <w:noProof/>
          <w:sz w:val="24"/>
        </w:rPr>
        <w:t>Drept comparație, în 2023, la nivel mondial, erau în funcțiune 410 reactoare de putere în peste 30 de țări. Alte 63 de reactoare erau în construcție, dintre care trei sferturi în economiile emergente și jumătate numai în China (</w:t>
      </w:r>
      <w:r w:rsidRPr="0004458C">
        <w:rPr>
          <w:rStyle w:val="FootnoteReference"/>
          <w:rFonts w:ascii="Times New Roman" w:hAnsi="Times New Roman" w:cs="Times New Roman"/>
          <w:noProof/>
          <w:sz w:val="24"/>
          <w:szCs w:val="24"/>
        </w:rPr>
        <w:footnoteReference w:id="13"/>
      </w:r>
      <w:r w:rsidRPr="0004458C">
        <w:rPr>
          <w:rFonts w:ascii="Times New Roman" w:hAnsi="Times New Roman"/>
          <w:noProof/>
          <w:sz w:val="24"/>
        </w:rPr>
        <w:t xml:space="preserve">). </w:t>
      </w:r>
    </w:p>
    <w:p w14:paraId="2B826934" w14:textId="69604819" w:rsidR="00460D51" w:rsidRPr="0004458C" w:rsidRDefault="00C85700" w:rsidP="00B44E2F">
      <w:pPr>
        <w:spacing w:line="240" w:lineRule="auto"/>
        <w:jc w:val="both"/>
        <w:rPr>
          <w:rFonts w:ascii="Times New Roman" w:eastAsia="Times New Roman" w:hAnsi="Times New Roman" w:cs="Times New Roman"/>
          <w:noProof/>
          <w:sz w:val="24"/>
          <w:szCs w:val="24"/>
        </w:rPr>
      </w:pPr>
      <w:r w:rsidRPr="0004458C">
        <w:rPr>
          <w:rFonts w:ascii="Times New Roman" w:hAnsi="Times New Roman"/>
          <w:b/>
          <w:bCs/>
          <w:noProof/>
          <w:sz w:val="24"/>
          <w:szCs w:val="24"/>
        </w:rPr>
        <w:t>Un lanț de aprovizionare rezilient și o industrie nucleară europeană competitivă sunt esențiale pentru menținerea poziției de lider a UE în acest sector.</w:t>
      </w:r>
      <w:r w:rsidRPr="0004458C">
        <w:rPr>
          <w:rFonts w:ascii="Times New Roman" w:hAnsi="Times New Roman"/>
          <w:noProof/>
          <w:sz w:val="24"/>
          <w:szCs w:val="24"/>
        </w:rPr>
        <w:t xml:space="preserve"> Pe durata ciclului de viață al combustibililor nucleari și al instalațiilor nucleare, există vulnerabilități și dependențe care necesită o intervenție coordonată din partea statelor membre și a Comisiei, iar Foaia de parcurs pentru eliminarea importurilor de energie din Rusia (</w:t>
      </w:r>
      <w:r w:rsidRPr="0004458C">
        <w:rPr>
          <w:rStyle w:val="FootnoteReference"/>
          <w:rFonts w:ascii="Times New Roman" w:hAnsi="Times New Roman"/>
          <w:noProof/>
          <w:sz w:val="24"/>
          <w:szCs w:val="24"/>
        </w:rPr>
        <w:footnoteReference w:id="14"/>
      </w:r>
      <w:r w:rsidRPr="0004458C">
        <w:rPr>
          <w:rFonts w:ascii="Times New Roman" w:hAnsi="Times New Roman"/>
          <w:noProof/>
          <w:sz w:val="24"/>
          <w:szCs w:val="24"/>
        </w:rPr>
        <w:t xml:space="preserve">) va contribui la eliminarea treptată a dependenței de combustibilul nuclear produs în Rusia. În plus, </w:t>
      </w:r>
      <w:r w:rsidRPr="0004458C">
        <w:rPr>
          <w:rFonts w:ascii="Times New Roman" w:hAnsi="Times New Roman"/>
          <w:b/>
          <w:bCs/>
          <w:noProof/>
          <w:sz w:val="24"/>
          <w:szCs w:val="24"/>
        </w:rPr>
        <w:t>implicarea de noi talente și sprijinirea start-upurilor, recalificarea forței de muncă existente, dar și menținerea și consolidarea competențelor în domeniul tehnologiilor nucleare vor fi esențiale</w:t>
      </w:r>
      <w:r w:rsidRPr="0004458C">
        <w:rPr>
          <w:rFonts w:ascii="Times New Roman" w:hAnsi="Times New Roman"/>
          <w:noProof/>
          <w:sz w:val="24"/>
          <w:szCs w:val="24"/>
        </w:rPr>
        <w:t xml:space="preserve"> pentru a sprijini poziția de lider strategic a UE.</w:t>
      </w:r>
    </w:p>
    <w:p w14:paraId="1FC67F26" w14:textId="527BC0E3" w:rsidR="0015104D" w:rsidRPr="0004458C" w:rsidRDefault="11B14F9E" w:rsidP="00972054">
      <w:pPr>
        <w:spacing w:line="240" w:lineRule="auto"/>
        <w:jc w:val="both"/>
        <w:rPr>
          <w:rFonts w:ascii="Times New Roman" w:eastAsia="Times New Roman" w:hAnsi="Times New Roman" w:cs="Times New Roman"/>
          <w:noProof/>
          <w:color w:val="000000" w:themeColor="text1"/>
          <w:sz w:val="24"/>
          <w:szCs w:val="24"/>
        </w:rPr>
      </w:pPr>
      <w:r w:rsidRPr="0004458C">
        <w:rPr>
          <w:rFonts w:ascii="Times New Roman" w:hAnsi="Times New Roman"/>
          <w:b/>
          <w:bCs/>
          <w:noProof/>
          <w:sz w:val="24"/>
        </w:rPr>
        <w:t>Tehnologiile nucleare inovatoare sunt emergente și în curs de maturizare</w:t>
      </w:r>
      <w:r w:rsidRPr="0004458C">
        <w:rPr>
          <w:rFonts w:ascii="Times New Roman" w:hAnsi="Times New Roman"/>
          <w:noProof/>
          <w:sz w:val="24"/>
        </w:rPr>
        <w:t xml:space="preserve">. Disponibilitatea mai multor state membre și a industriei europene de a dezvolta </w:t>
      </w:r>
      <w:r w:rsidRPr="0004458C">
        <w:rPr>
          <w:rFonts w:ascii="Times New Roman" w:hAnsi="Times New Roman"/>
          <w:b/>
          <w:bCs/>
          <w:noProof/>
          <w:sz w:val="24"/>
        </w:rPr>
        <w:t xml:space="preserve">reactoare modulare mici </w:t>
      </w:r>
      <w:r w:rsidRPr="0004458C">
        <w:rPr>
          <w:rFonts w:ascii="Times New Roman" w:hAnsi="Times New Roman"/>
          <w:noProof/>
          <w:sz w:val="24"/>
        </w:rPr>
        <w:t xml:space="preserve">(SMR) și </w:t>
      </w:r>
      <w:r w:rsidRPr="0004458C">
        <w:rPr>
          <w:rFonts w:ascii="Times New Roman" w:hAnsi="Times New Roman"/>
          <w:b/>
          <w:bCs/>
          <w:noProof/>
          <w:sz w:val="24"/>
        </w:rPr>
        <w:t>reactoare modulare avansate</w:t>
      </w:r>
      <w:r w:rsidRPr="0004458C">
        <w:rPr>
          <w:rFonts w:ascii="Times New Roman" w:hAnsi="Times New Roman"/>
          <w:noProof/>
          <w:sz w:val="24"/>
        </w:rPr>
        <w:t xml:space="preserve"> (AMR), inclusiv modele bazate pe tehnologii din generația a IV-a, a condus la constituirea unei Alianțe industriale europene (</w:t>
      </w:r>
      <w:r w:rsidRPr="0004458C">
        <w:rPr>
          <w:rStyle w:val="FootnoteReference"/>
          <w:rFonts w:ascii="Times New Roman" w:hAnsi="Times New Roman" w:cs="Times New Roman"/>
          <w:noProof/>
          <w:sz w:val="24"/>
          <w:szCs w:val="24"/>
        </w:rPr>
        <w:footnoteReference w:id="15"/>
      </w:r>
      <w:r w:rsidRPr="0004458C">
        <w:rPr>
          <w:rFonts w:ascii="Times New Roman" w:hAnsi="Times New Roman"/>
          <w:noProof/>
          <w:sz w:val="24"/>
        </w:rPr>
        <w:t>). Privind în perspectivă, dezvoltarea și comercializarea t</w:t>
      </w:r>
      <w:r w:rsidRPr="0004458C">
        <w:rPr>
          <w:rFonts w:ascii="Times New Roman" w:hAnsi="Times New Roman"/>
          <w:b/>
          <w:bCs/>
          <w:noProof/>
          <w:sz w:val="24"/>
        </w:rPr>
        <w:t>ehnologiilor de fuziune nucleară ar necesita o abordare strategică a UE</w:t>
      </w:r>
      <w:r w:rsidRPr="0004458C">
        <w:rPr>
          <w:rFonts w:ascii="Times New Roman" w:hAnsi="Times New Roman"/>
          <w:noProof/>
          <w:sz w:val="24"/>
        </w:rPr>
        <w:t xml:space="preserve"> pentru a contribui în mod semnificativ la îndeplinirea și susținerea obiectivelor ambițioase ale UE în materie de climă, energie și industrie în a doua jumătate a acestui secol.</w:t>
      </w:r>
    </w:p>
    <w:p w14:paraId="55184112" w14:textId="543BFF5A" w:rsidR="008B63A7" w:rsidRPr="0004458C" w:rsidRDefault="3FCD0A81" w:rsidP="008B63A7">
      <w:pPr>
        <w:spacing w:line="240" w:lineRule="auto"/>
        <w:jc w:val="both"/>
        <w:rPr>
          <w:rFonts w:ascii="Times New Roman" w:eastAsia="Times New Roman" w:hAnsi="Times New Roman" w:cs="Times New Roman"/>
          <w:noProof/>
          <w:sz w:val="24"/>
          <w:szCs w:val="24"/>
        </w:rPr>
      </w:pPr>
      <w:r w:rsidRPr="0004458C">
        <w:rPr>
          <w:rFonts w:ascii="Times New Roman" w:hAnsi="Times New Roman"/>
          <w:noProof/>
          <w:sz w:val="24"/>
        </w:rPr>
        <w:t xml:space="preserve">Dincolo de sectorul energetic, </w:t>
      </w:r>
      <w:r w:rsidRPr="0004458C">
        <w:rPr>
          <w:rFonts w:ascii="Times New Roman" w:hAnsi="Times New Roman"/>
          <w:b/>
          <w:bCs/>
          <w:noProof/>
          <w:sz w:val="24"/>
        </w:rPr>
        <w:t>serviciile medicale moderne sunt interconectate cu lanțul valoric nuclear</w:t>
      </w:r>
      <w:r w:rsidRPr="0004458C">
        <w:rPr>
          <w:rFonts w:ascii="Times New Roman" w:hAnsi="Times New Roman"/>
          <w:noProof/>
          <w:sz w:val="24"/>
        </w:rPr>
        <w:t xml:space="preserve"> care furnizează radioizotopi pentru diagnostic și tratament medical. Menținerea competitivității sectoriale a UE este esențială pentru a asigura accesul pacienților la proceduri și terapii medicale vitale (</w:t>
      </w:r>
      <w:r w:rsidRPr="0004458C">
        <w:rPr>
          <w:rStyle w:val="FootnoteReference"/>
          <w:rFonts w:ascii="Times New Roman" w:eastAsia="Times New Roman" w:hAnsi="Times New Roman" w:cs="Times New Roman"/>
          <w:noProof/>
          <w:sz w:val="24"/>
          <w:szCs w:val="24"/>
        </w:rPr>
        <w:footnoteReference w:id="16"/>
      </w:r>
      <w:r w:rsidRPr="0004458C">
        <w:rPr>
          <w:rFonts w:ascii="Times New Roman" w:hAnsi="Times New Roman"/>
          <w:noProof/>
          <w:sz w:val="24"/>
        </w:rPr>
        <w:t>).</w:t>
      </w:r>
    </w:p>
    <w:p w14:paraId="358CE001" w14:textId="77777777" w:rsidR="001C2414" w:rsidRPr="0004458C" w:rsidRDefault="001C2414" w:rsidP="001C2414">
      <w:pPr>
        <w:pStyle w:val="Heading1"/>
        <w:keepNext/>
        <w:ind w:left="431" w:hanging="431"/>
        <w:rPr>
          <w:noProof/>
        </w:rPr>
      </w:pPr>
      <w:r w:rsidRPr="0004458C">
        <w:rPr>
          <w:noProof/>
        </w:rPr>
        <w:t>Angajamentul UE privind cele mai înalte standarde de siguranță</w:t>
      </w:r>
    </w:p>
    <w:p w14:paraId="787A599B" w14:textId="77777777" w:rsidR="001C2414" w:rsidRPr="0004458C" w:rsidRDefault="001C2414" w:rsidP="001C2414">
      <w:pPr>
        <w:spacing w:line="240" w:lineRule="auto"/>
        <w:jc w:val="both"/>
        <w:rPr>
          <w:rFonts w:ascii="Times New Roman" w:eastAsia="Times New Roman" w:hAnsi="Times New Roman" w:cs="Times New Roman"/>
          <w:noProof/>
          <w:sz w:val="24"/>
          <w:szCs w:val="24"/>
        </w:rPr>
      </w:pPr>
      <w:r w:rsidRPr="0004458C">
        <w:rPr>
          <w:rFonts w:ascii="Times New Roman" w:hAnsi="Times New Roman"/>
          <w:noProof/>
          <w:sz w:val="24"/>
        </w:rPr>
        <w:t>Angajamentele fundamentale privind asigurarea celor mai înalte standarde posibile în materie de securitate nucleară în cadrul a trei piloni stau la baza poziției de lider strategic a UE în acest sector.</w:t>
      </w:r>
    </w:p>
    <w:p w14:paraId="08CC87F2" w14:textId="77777777" w:rsidR="001C2414" w:rsidRPr="0004458C" w:rsidRDefault="001C2414" w:rsidP="001D5C3B">
      <w:pPr>
        <w:pStyle w:val="Heading2"/>
        <w:keepNext/>
        <w:ind w:left="578" w:hanging="578"/>
        <w:rPr>
          <w:noProof/>
        </w:rPr>
      </w:pPr>
      <w:r w:rsidRPr="0004458C">
        <w:rPr>
          <w:noProof/>
        </w:rPr>
        <w:t>Un cadru de reglementare solid și independent</w:t>
      </w:r>
    </w:p>
    <w:p w14:paraId="19BEA6BB" w14:textId="77777777" w:rsidR="00FA47D3" w:rsidRPr="0004458C" w:rsidRDefault="001C2414" w:rsidP="001C2414">
      <w:pPr>
        <w:pStyle w:val="MyCustomStyle"/>
        <w:spacing w:before="0" w:after="160"/>
        <w:rPr>
          <w:noProof/>
        </w:rPr>
      </w:pPr>
      <w:r w:rsidRPr="0004458C">
        <w:rPr>
          <w:noProof/>
        </w:rPr>
        <w:t>Autoritățile naționale de reglementare puternice și independente sunt esențiale pentru atingerea unor niveluri ridicate de securitate nucleară. Dotarea autorităților naționale de reglementare cu resurse suficiente – atât umane, cât și financiare – pentru a-și îndeplini sarcinile de reglementare, monitorizare și asigurare a respectării normelor de securitate nucleară reprezintă o componentă esențială a independenței în materie de reglementare. Legislația Euratom, în special prin Directiva privind securitatea nucleară (</w:t>
      </w:r>
      <w:r w:rsidRPr="0004458C">
        <w:rPr>
          <w:rStyle w:val="FootnoteReference"/>
          <w:noProof/>
        </w:rPr>
        <w:footnoteReference w:id="17"/>
      </w:r>
      <w:r w:rsidRPr="0004458C">
        <w:rPr>
          <w:noProof/>
        </w:rPr>
        <w:t>) și Directiva privind deșeurile radioactive (</w:t>
      </w:r>
      <w:r w:rsidRPr="0004458C">
        <w:rPr>
          <w:rStyle w:val="FootnoteReference"/>
          <w:noProof/>
        </w:rPr>
        <w:footnoteReference w:id="18"/>
      </w:r>
      <w:r w:rsidRPr="0004458C">
        <w:rPr>
          <w:noProof/>
        </w:rPr>
        <w:t xml:space="preserve">), abordează aspectele legate de adecvarea resurselor financiare și umane de care dispun autoritățile de reglementare. </w:t>
      </w:r>
    </w:p>
    <w:p w14:paraId="2988137A" w14:textId="37DC6D7A" w:rsidR="001C2414" w:rsidRPr="0004458C" w:rsidRDefault="00FA47D3" w:rsidP="001C2414">
      <w:pPr>
        <w:pStyle w:val="MyCustomStyle"/>
        <w:spacing w:before="0" w:after="160"/>
        <w:rPr>
          <w:noProof/>
        </w:rPr>
      </w:pPr>
      <w:r w:rsidRPr="0004458C">
        <w:rPr>
          <w:noProof/>
        </w:rPr>
        <w:t>În același timp, acquis-ul în domeniul mediului trebuie pus în aplicare prin evaluări precum cele care decurg din directivele relevante (</w:t>
      </w:r>
      <w:r w:rsidRPr="0004458C">
        <w:rPr>
          <w:rStyle w:val="FootnoteReference"/>
          <w:noProof/>
        </w:rPr>
        <w:footnoteReference w:id="19"/>
      </w:r>
      <w:r w:rsidRPr="0004458C">
        <w:rPr>
          <w:noProof/>
        </w:rPr>
        <w:t>).</w:t>
      </w:r>
    </w:p>
    <w:p w14:paraId="645FEA83" w14:textId="77777777" w:rsidR="001C2414" w:rsidRPr="0004458C" w:rsidRDefault="001C2414" w:rsidP="001C2414">
      <w:pPr>
        <w:spacing w:line="240" w:lineRule="auto"/>
        <w:jc w:val="both"/>
        <w:rPr>
          <w:rFonts w:ascii="Times New Roman" w:eastAsia="Times New Roman" w:hAnsi="Times New Roman" w:cs="Times New Roman"/>
          <w:noProof/>
          <w:kern w:val="0"/>
          <w:sz w:val="24"/>
          <w:szCs w:val="24"/>
          <w14:ligatures w14:val="none"/>
        </w:rPr>
      </w:pPr>
      <w:r w:rsidRPr="0004458C">
        <w:rPr>
          <w:rFonts w:ascii="Times New Roman" w:hAnsi="Times New Roman"/>
          <w:noProof/>
          <w:sz w:val="24"/>
        </w:rPr>
        <w:t>Circumstanțele naționale diferite, cum ar fi dimensiunea programului nuclear, caracteristicile cadrului juridic și de reglementare național și structura autorității pentru securitate, au fost transpuse în abordări interne și sistematice de estimare a necesarului de resurse de reglementare.</w:t>
      </w:r>
    </w:p>
    <w:p w14:paraId="4EB49076" w14:textId="06584407" w:rsidR="001C2414" w:rsidRPr="0004458C" w:rsidRDefault="001C2414" w:rsidP="001C2414">
      <w:pPr>
        <w:spacing w:line="240" w:lineRule="auto"/>
        <w:jc w:val="both"/>
        <w:rPr>
          <w:rFonts w:ascii="Times New Roman" w:eastAsia="Times New Roman" w:hAnsi="Times New Roman" w:cs="Times New Roman"/>
          <w:noProof/>
          <w:kern w:val="0"/>
          <w:sz w:val="24"/>
          <w:szCs w:val="24"/>
          <w14:ligatures w14:val="none"/>
        </w:rPr>
      </w:pPr>
      <w:r w:rsidRPr="0004458C">
        <w:rPr>
          <w:rFonts w:ascii="Times New Roman" w:hAnsi="Times New Roman"/>
          <w:noProof/>
          <w:sz w:val="24"/>
        </w:rPr>
        <w:t>Grupul european de reglementare pentru siguranța nucleară (ENSREG) a contribuit la schimbul de informații privind schemele de personal la nivel național pentru a menține și a consolida capacitățile de reglementare în vederea planurilor statelor membre. În comparație cu cifrele de referință din 2024, posturile suplimentare planificate variază de la o creștere a numărului de angajați cuprinsă între 10 % și 50 % până la dublarea numărului de angajați, în funcție de circumstanțele naționale. Asigurarea unui număr adecvat de angajați în cadrul autorităților de reglementare este indispensabilă pentru punerea în aplicare a planurilor naționale în condiții de siguranță și eficacitate.</w:t>
      </w:r>
    </w:p>
    <w:p w14:paraId="6695146C" w14:textId="424B3563" w:rsidR="00416A47" w:rsidRPr="0004458C" w:rsidRDefault="00416A47" w:rsidP="001C2414">
      <w:pPr>
        <w:spacing w:line="240" w:lineRule="auto"/>
        <w:jc w:val="both"/>
        <w:rPr>
          <w:rFonts w:ascii="Times New Roman" w:eastAsia="Times New Roman" w:hAnsi="Times New Roman" w:cs="Times New Roman"/>
          <w:noProof/>
          <w:kern w:val="0"/>
          <w:sz w:val="24"/>
          <w:szCs w:val="24"/>
          <w14:ligatures w14:val="none"/>
        </w:rPr>
      </w:pPr>
      <w:r w:rsidRPr="0004458C">
        <w:rPr>
          <w:rFonts w:ascii="Times New Roman" w:hAnsi="Times New Roman"/>
          <w:noProof/>
          <w:sz w:val="24"/>
        </w:rPr>
        <w:t>Cooperarea transfrontalieră dintre autoritățile naționale de reglementare poate facilita și accelera acordarea de licențe pentru noile instalații, reducând eventual sarcina administrativă a autorităților de reglementare individuale. Comisia recomandă statelor membre care intenționează să utilizeze energia nucleară să ia în considerare constituirea unei „coaliții de reglementare a țărilor interesate”, în cadrul căreia ar putea să realizeze convergența reglementărilor lor sau să convină asupra recunoașterii reciproce a deciziilor de acordare a licențelor.</w:t>
      </w:r>
    </w:p>
    <w:p w14:paraId="0016D5CA" w14:textId="635AAD83" w:rsidR="001C2414" w:rsidRPr="0004458C" w:rsidRDefault="001C2414" w:rsidP="003F5282">
      <w:pPr>
        <w:pStyle w:val="Heading2"/>
        <w:keepNext/>
        <w:ind w:left="578" w:hanging="578"/>
        <w:rPr>
          <w:noProof/>
        </w:rPr>
      </w:pPr>
      <w:r w:rsidRPr="0004458C">
        <w:rPr>
          <w:noProof/>
        </w:rPr>
        <w:t xml:space="preserve">Un proces transparent și deschis de implicare a publicului </w:t>
      </w:r>
    </w:p>
    <w:p w14:paraId="07144E79" w14:textId="77777777" w:rsidR="001C2414" w:rsidRPr="0004458C" w:rsidRDefault="001C2414" w:rsidP="001C2414">
      <w:pPr>
        <w:spacing w:line="240" w:lineRule="auto"/>
        <w:jc w:val="both"/>
        <w:rPr>
          <w:rFonts w:ascii="Times New Roman" w:eastAsia="Times New Roman" w:hAnsi="Times New Roman" w:cs="Times New Roman"/>
          <w:noProof/>
          <w:kern w:val="0"/>
          <w:sz w:val="24"/>
          <w:szCs w:val="24"/>
          <w14:ligatures w14:val="none"/>
        </w:rPr>
      </w:pPr>
      <w:r w:rsidRPr="0004458C">
        <w:rPr>
          <w:rFonts w:ascii="Times New Roman" w:hAnsi="Times New Roman"/>
          <w:noProof/>
          <w:sz w:val="24"/>
        </w:rPr>
        <w:t xml:space="preserve">Implicarea societății civile și a publicului larg, printr-un dialog transparent și deschis, în toate etapele de dezvoltare a proiectelor nucleare (decizii strategice și politice, amplasare, construcție, exploatare, dezafectare, gestionarea combustibilului uzat și a deșeurilor radioactive) este esențială pentru succesul acestora. </w:t>
      </w:r>
    </w:p>
    <w:p w14:paraId="487BB4E2" w14:textId="77777777" w:rsidR="001C2414" w:rsidRPr="0004458C" w:rsidRDefault="001C2414" w:rsidP="001C2414">
      <w:pPr>
        <w:spacing w:line="240" w:lineRule="auto"/>
        <w:jc w:val="both"/>
        <w:rPr>
          <w:rFonts w:ascii="Times New Roman" w:eastAsia="Times New Roman" w:hAnsi="Times New Roman" w:cs="Times New Roman"/>
          <w:noProof/>
          <w:kern w:val="0"/>
          <w:sz w:val="24"/>
          <w:szCs w:val="24"/>
          <w14:ligatures w14:val="none"/>
        </w:rPr>
      </w:pPr>
      <w:r w:rsidRPr="0004458C">
        <w:rPr>
          <w:rFonts w:ascii="Times New Roman" w:hAnsi="Times New Roman"/>
          <w:noProof/>
          <w:sz w:val="24"/>
        </w:rPr>
        <w:t>Statele membre ar trebui să ia în considerare nevoile de investiții și în acest sector, sprijinirea reprezentanților societății civile și îmbunătățirea educației sau a comunicării.</w:t>
      </w:r>
    </w:p>
    <w:p w14:paraId="4CD71E7D" w14:textId="6E42A53C" w:rsidR="001C2414" w:rsidRPr="0004458C" w:rsidRDefault="001C2414" w:rsidP="003F5282">
      <w:pPr>
        <w:pStyle w:val="Heading2"/>
        <w:keepNext/>
        <w:ind w:left="578" w:hanging="578"/>
        <w:rPr>
          <w:noProof/>
        </w:rPr>
      </w:pPr>
      <w:r w:rsidRPr="0004458C">
        <w:rPr>
          <w:noProof/>
        </w:rPr>
        <w:t>Dezafectarea eficace, gestionarea responsabilă a deșeurilor și economia circulară</w:t>
      </w:r>
    </w:p>
    <w:p w14:paraId="73B979D3" w14:textId="77777777" w:rsidR="001C2414" w:rsidRPr="0004458C" w:rsidRDefault="001C2414" w:rsidP="001C2414">
      <w:pPr>
        <w:pStyle w:val="ListNumber"/>
        <w:numPr>
          <w:ilvl w:val="0"/>
          <w:numId w:val="0"/>
        </w:numPr>
        <w:rPr>
          <w:noProof/>
          <w:szCs w:val="24"/>
        </w:rPr>
      </w:pPr>
      <w:bookmarkStart w:id="4" w:name="_Hlk198747014"/>
      <w:r w:rsidRPr="0004458C">
        <w:rPr>
          <w:noProof/>
        </w:rPr>
        <w:t>Dezafectarea eficace și gestionarea responsabilă a deșeurilor radioactive și a combustibilului uzat sunt esențiale pentru asigurarea siguranței și a sprijinului public continuu pentru utilizarea energiei nucleare</w:t>
      </w:r>
      <w:bookmarkEnd w:id="4"/>
      <w:r w:rsidRPr="0004458C">
        <w:rPr>
          <w:noProof/>
        </w:rPr>
        <w:t>.</w:t>
      </w:r>
    </w:p>
    <w:p w14:paraId="2D837A61" w14:textId="7C6A0395" w:rsidR="001C2414" w:rsidRPr="0004458C" w:rsidRDefault="001C2414" w:rsidP="001C2414">
      <w:pPr>
        <w:pStyle w:val="ListNumber"/>
        <w:numPr>
          <w:ilvl w:val="0"/>
          <w:numId w:val="0"/>
        </w:numPr>
        <w:spacing w:after="160"/>
        <w:rPr>
          <w:noProof/>
        </w:rPr>
      </w:pPr>
      <w:r w:rsidRPr="0004458C">
        <w:rPr>
          <w:noProof/>
        </w:rPr>
        <w:t>Pe lângă orice plan de extindere a capacităților nucleare, statele membre sunt încurajate să stabilească politici care să stimuleze progresele în ceea ce privește dezafectarea și să promoveze realizarea infrastructurii necesare pentru gestionarea deșeurilor radioactive, inclusiv a instalațiilor dedicate depozitării geologice la adâncime. Acest lucru necesită un angajament din partea autorităților publice și o finanțare adecvată din partea producătorilor de deșeuri, în concordanță cu legislația secundară a Euratom (</w:t>
      </w:r>
      <w:r w:rsidRPr="0004458C">
        <w:rPr>
          <w:noProof/>
          <w:vertAlign w:val="superscript"/>
        </w:rPr>
        <w:t>14</w:t>
      </w:r>
      <w:r w:rsidRPr="0004458C">
        <w:rPr>
          <w:noProof/>
        </w:rPr>
        <w:t>). Regulamentul privind taxonomia stabilește criterii tehnice de examinare pentru clasificarea anumitor activități nucleare ca fiind durabile (</w:t>
      </w:r>
      <w:r w:rsidRPr="0004458C">
        <w:rPr>
          <w:rStyle w:val="FootnoteReference"/>
          <w:noProof/>
          <w:szCs w:val="24"/>
        </w:rPr>
        <w:footnoteReference w:id="20"/>
      </w:r>
      <w:r w:rsidRPr="0004458C">
        <w:rPr>
          <w:noProof/>
        </w:rPr>
        <w:t>).</w:t>
      </w:r>
    </w:p>
    <w:p w14:paraId="4F31DE12" w14:textId="2EF63E6A" w:rsidR="006402F6" w:rsidRPr="0004458C" w:rsidRDefault="001C2414" w:rsidP="001C2414">
      <w:pPr>
        <w:pStyle w:val="ListNumber"/>
        <w:numPr>
          <w:ilvl w:val="0"/>
          <w:numId w:val="0"/>
        </w:numPr>
        <w:spacing w:after="160"/>
        <w:rPr>
          <w:noProof/>
        </w:rPr>
      </w:pPr>
      <w:r w:rsidRPr="0004458C">
        <w:rPr>
          <w:noProof/>
        </w:rPr>
        <w:t>În UE, aproximativ 40 000 m</w:t>
      </w:r>
      <w:r w:rsidRPr="0004458C">
        <w:rPr>
          <w:noProof/>
          <w:vertAlign w:val="superscript"/>
        </w:rPr>
        <w:t>3</w:t>
      </w:r>
      <w:r w:rsidRPr="0004458C">
        <w:rPr>
          <w:noProof/>
        </w:rPr>
        <w:t xml:space="preserve"> de deșeuri radioactive și aproape 1 000 de tone de metale grele (</w:t>
      </w:r>
      <w:r w:rsidRPr="0004458C">
        <w:rPr>
          <w:rStyle w:val="FootnoteReference"/>
          <w:rFonts w:eastAsiaTheme="majorEastAsia"/>
          <w:noProof/>
        </w:rPr>
        <w:footnoteReference w:id="21"/>
      </w:r>
      <w:r w:rsidRPr="0004458C">
        <w:rPr>
          <w:noProof/>
        </w:rPr>
        <w:t>) din combustibilul nuclear uzat sunt generate în fiecare an în schimbul unei aprovizionări cu energie electrică de 620 TWh, luând ca referință anul 2023 (</w:t>
      </w:r>
      <w:r w:rsidRPr="0004458C">
        <w:rPr>
          <w:noProof/>
          <w:vertAlign w:val="superscript"/>
        </w:rPr>
        <w:footnoteReference w:id="22"/>
      </w:r>
      <w:r w:rsidRPr="0004458C">
        <w:rPr>
          <w:noProof/>
        </w:rPr>
        <w:t xml:space="preserve">). </w:t>
      </w:r>
    </w:p>
    <w:p w14:paraId="582F8FDE" w14:textId="64335801" w:rsidR="001C2414" w:rsidRPr="0004458C" w:rsidRDefault="00487B8C" w:rsidP="001C2414">
      <w:pPr>
        <w:pStyle w:val="ListNumber"/>
        <w:numPr>
          <w:ilvl w:val="0"/>
          <w:numId w:val="0"/>
        </w:numPr>
        <w:spacing w:after="160"/>
        <w:rPr>
          <w:noProof/>
          <w:szCs w:val="24"/>
        </w:rPr>
      </w:pPr>
      <w:r w:rsidRPr="0004458C">
        <w:rPr>
          <w:noProof/>
        </w:rPr>
        <w:t>Industria nucleară a UE este bine echipată pentru a desfășura activități de gestionare a deșeurilor radioactive (atât pentru exploatare, cât și pentru dezafectare), precum și lucrări de dezafectare nucleară, aplicând principiile economiei circulare și maximizând reciclarea și reutilizarea materialelor/echipamentelor. De exemplu, peste 95 % din materialele rezultate din dezmembrarea reactoarelor Bohunice V1 din Slovacia au fost reciclate. Costul unitar pentru dezafectarea totală a instalației respective poate fi estimat la 8,33 EUR/MWh furnizat (</w:t>
      </w:r>
      <w:r w:rsidRPr="0004458C">
        <w:rPr>
          <w:rStyle w:val="FootnoteReference"/>
          <w:noProof/>
          <w:szCs w:val="24"/>
        </w:rPr>
        <w:footnoteReference w:id="23"/>
      </w:r>
      <w:r w:rsidRPr="0004458C">
        <w:rPr>
          <w:noProof/>
        </w:rPr>
        <w:t xml:space="preserve">), incluzând toate operațiunile de gestionare a deșeurilor, cu excepția depozitării geologice a deșeurilor cu activitate înaltă. </w:t>
      </w:r>
    </w:p>
    <w:p w14:paraId="33AF1BD4" w14:textId="0A187108" w:rsidR="001C2414" w:rsidRPr="0004458C" w:rsidRDefault="001C2414" w:rsidP="001C2414">
      <w:pPr>
        <w:pStyle w:val="ListNumber"/>
        <w:numPr>
          <w:ilvl w:val="0"/>
          <w:numId w:val="0"/>
        </w:numPr>
        <w:spacing w:after="160"/>
        <w:rPr>
          <w:noProof/>
        </w:rPr>
      </w:pPr>
      <w:r w:rsidRPr="0004458C">
        <w:rPr>
          <w:noProof/>
        </w:rPr>
        <w:t xml:space="preserve">Deși evaluările costurilor devin din ce în ce mai precise pe baza experienței, ar trebui să se realizeze îmbunătățiri suplimentare pentru a spori transparența și securitatea finanțării. Este necesară o finanțare semnificativă pentru finalizarea infrastructurii de gestionare a deșeurilor radioactive, inclusiv a instalațiilor dedicate depozitării geologice. </w:t>
      </w:r>
      <w:bookmarkStart w:id="5" w:name="_Hlk198747033"/>
      <w:r w:rsidRPr="0004458C">
        <w:rPr>
          <w:noProof/>
        </w:rPr>
        <w:t>În cel mai recent raport publicat de Comisie (</w:t>
      </w:r>
      <w:r w:rsidRPr="0004458C">
        <w:rPr>
          <w:rStyle w:val="FootnoteReference"/>
          <w:noProof/>
        </w:rPr>
        <w:footnoteReference w:id="24"/>
      </w:r>
      <w:r w:rsidRPr="0004458C">
        <w:rPr>
          <w:noProof/>
        </w:rPr>
        <w:t xml:space="preserve">), estimarea costurilor globale ale UE cu gestionarea tuturor deșeurilor radioactive, inclusiv a deșeurilor generate de activitățile anterioare, a tuturor deșeurilor preconizate în urma activităților în curs și viitoare și a dezafectării activităților de exploatare, a fost de aproximativ </w:t>
      </w:r>
      <w:r w:rsidRPr="0004458C">
        <w:rPr>
          <w:b/>
          <w:bCs/>
          <w:noProof/>
        </w:rPr>
        <w:t>300 de miliarde EUR</w:t>
      </w:r>
      <w:r w:rsidRPr="0004458C">
        <w:rPr>
          <w:noProof/>
        </w:rPr>
        <w:t> (</w:t>
      </w:r>
      <w:r w:rsidRPr="0004458C">
        <w:rPr>
          <w:rStyle w:val="FootnoteReference"/>
          <w:noProof/>
        </w:rPr>
        <w:footnoteReference w:id="25"/>
      </w:r>
      <w:r w:rsidRPr="0004458C">
        <w:rPr>
          <w:noProof/>
        </w:rPr>
        <w:t>).</w:t>
      </w:r>
      <w:bookmarkEnd w:id="5"/>
      <w:r w:rsidRPr="0004458C">
        <w:rPr>
          <w:noProof/>
        </w:rPr>
        <w:t xml:space="preserve"> </w:t>
      </w:r>
    </w:p>
    <w:p w14:paraId="32FB5C76" w14:textId="3C0E00A5" w:rsidR="0053778F" w:rsidRPr="0004458C" w:rsidRDefault="0053778F" w:rsidP="001C2414">
      <w:pPr>
        <w:pStyle w:val="ListNumber"/>
        <w:numPr>
          <w:ilvl w:val="0"/>
          <w:numId w:val="0"/>
        </w:numPr>
        <w:spacing w:after="160"/>
        <w:rPr>
          <w:noProof/>
        </w:rPr>
      </w:pPr>
      <w:r w:rsidRPr="0004458C">
        <w:rPr>
          <w:noProof/>
        </w:rPr>
        <w:t>În concordanță cu principiile economiei circulare, este necesar să se analizeze continuarea reciclării multiple a combustibilului uzat prin fabricarea unui nou combustibil (MOX) pentru reactoarele nucleare.</w:t>
      </w:r>
    </w:p>
    <w:p w14:paraId="412C5187" w14:textId="222F3E4A" w:rsidR="006D6E01" w:rsidRPr="0004458C" w:rsidRDefault="006D6E01" w:rsidP="00BA3E93">
      <w:pPr>
        <w:pStyle w:val="Heading1"/>
        <w:keepNext/>
        <w:ind w:left="431" w:hanging="431"/>
        <w:rPr>
          <w:noProof/>
        </w:rPr>
      </w:pPr>
      <w:r w:rsidRPr="0004458C">
        <w:rPr>
          <w:noProof/>
        </w:rPr>
        <w:t>Perspectivele energiei nucleare în sistemul de energie electrică al UE</w:t>
      </w:r>
    </w:p>
    <w:p w14:paraId="26C3EFC7" w14:textId="67732115" w:rsidR="0096681D" w:rsidRPr="0004458C" w:rsidRDefault="0272A0AB" w:rsidP="00497C3B">
      <w:pPr>
        <w:spacing w:line="240" w:lineRule="auto"/>
        <w:jc w:val="both"/>
        <w:rPr>
          <w:rFonts w:ascii="Times New Roman" w:eastAsia="Times New Roman" w:hAnsi="Times New Roman" w:cs="Times New Roman"/>
          <w:noProof/>
          <w:sz w:val="24"/>
          <w:szCs w:val="24"/>
        </w:rPr>
      </w:pPr>
      <w:r w:rsidRPr="0004458C">
        <w:rPr>
          <w:rFonts w:ascii="Times New Roman" w:hAnsi="Times New Roman"/>
          <w:noProof/>
          <w:sz w:val="24"/>
        </w:rPr>
        <w:t>Analizând retrospectiv PINC publicat anterior în 2017 (</w:t>
      </w:r>
      <w:r w:rsidRPr="0004458C">
        <w:rPr>
          <w:rStyle w:val="FootnoteReference"/>
          <w:rFonts w:ascii="Times New Roman" w:eastAsia="Times New Roman" w:hAnsi="Times New Roman" w:cs="Times New Roman"/>
          <w:noProof/>
          <w:sz w:val="24"/>
          <w:szCs w:val="24"/>
        </w:rPr>
        <w:footnoteReference w:id="26"/>
      </w:r>
      <w:r w:rsidRPr="0004458C">
        <w:rPr>
          <w:rFonts w:ascii="Times New Roman" w:hAnsi="Times New Roman"/>
          <w:noProof/>
          <w:sz w:val="24"/>
        </w:rPr>
        <w:t>) (</w:t>
      </w:r>
      <w:r w:rsidRPr="0004458C">
        <w:rPr>
          <w:rStyle w:val="FootnoteReference"/>
          <w:rFonts w:ascii="Times New Roman" w:eastAsia="Times New Roman" w:hAnsi="Times New Roman" w:cs="Times New Roman"/>
          <w:noProof/>
          <w:sz w:val="24"/>
          <w:szCs w:val="24"/>
        </w:rPr>
        <w:footnoteReference w:id="27"/>
      </w:r>
      <w:r w:rsidRPr="0004458C">
        <w:rPr>
          <w:rFonts w:ascii="Times New Roman" w:hAnsi="Times New Roman"/>
          <w:noProof/>
          <w:sz w:val="24"/>
        </w:rPr>
        <w:t>), scenariul preconizat pentru energia nucleară în UE-27 a fost stabilit la aproximativ 80 GWe în 2025. Capacitatea actuală este puțin sub 100 GWe, în principal datorită unui număr mai mare de instalații existente care continuă exploatarea pe termen lung decât se preconizase la momentul precedentului PINC.</w:t>
      </w:r>
    </w:p>
    <w:p w14:paraId="6B3DCED2" w14:textId="19EC5ACD" w:rsidR="00497C3B" w:rsidRPr="0004458C" w:rsidRDefault="79714E75" w:rsidP="00497C3B">
      <w:pPr>
        <w:spacing w:line="240" w:lineRule="auto"/>
        <w:jc w:val="both"/>
        <w:rPr>
          <w:rFonts w:ascii="Times New Roman" w:eastAsia="Times New Roman" w:hAnsi="Times New Roman" w:cs="Times New Roman"/>
          <w:noProof/>
          <w:sz w:val="24"/>
          <w:szCs w:val="24"/>
        </w:rPr>
      </w:pPr>
      <w:r w:rsidRPr="0004458C">
        <w:rPr>
          <w:rFonts w:ascii="Times New Roman" w:hAnsi="Times New Roman"/>
          <w:noProof/>
          <w:sz w:val="24"/>
        </w:rPr>
        <w:t xml:space="preserve">Analiza prezentată în documentul de lucru însoțitor al serviciilor Comisiei oferă un scenariu de implementare pentru reactoarele nucleare de mari dimensiuni, incluzând analize de sensibilitate, perspective privind introducerea reactoarelor modulare de mici dimensiuni, împreună cu analize ale lacunelor referitoare la piața ciclului combustibilului nuclear și instalațiile nucleare, precum și lanțul industrial de aprovizionare. </w:t>
      </w:r>
    </w:p>
    <w:p w14:paraId="02D6B7DB" w14:textId="3D7DA0D2" w:rsidR="003675D8" w:rsidRPr="0004458C" w:rsidRDefault="00087770" w:rsidP="0047473C">
      <w:pPr>
        <w:pStyle w:val="Heading2"/>
        <w:keepNext/>
        <w:ind w:left="578" w:hanging="578"/>
        <w:rPr>
          <w:noProof/>
        </w:rPr>
      </w:pPr>
      <w:r w:rsidRPr="0004458C">
        <w:rPr>
          <w:noProof/>
        </w:rPr>
        <w:t>Capacitatea nucleară până în 2050</w:t>
      </w:r>
    </w:p>
    <w:p w14:paraId="6E4E2929" w14:textId="599254AB" w:rsidR="005858D4" w:rsidRPr="0004458C" w:rsidRDefault="5FDD27FF" w:rsidP="49811C53">
      <w:pPr>
        <w:spacing w:line="240" w:lineRule="auto"/>
        <w:jc w:val="both"/>
        <w:rPr>
          <w:rFonts w:ascii="Times New Roman" w:eastAsia="Times New Roman" w:hAnsi="Times New Roman" w:cs="Times New Roman"/>
          <w:noProof/>
          <w:sz w:val="24"/>
          <w:szCs w:val="24"/>
        </w:rPr>
      </w:pPr>
      <w:bookmarkStart w:id="6" w:name="_Hlk198747111"/>
      <w:bookmarkStart w:id="7" w:name="_Hlk198497672"/>
      <w:r w:rsidRPr="0004458C">
        <w:rPr>
          <w:rFonts w:ascii="Times New Roman" w:hAnsi="Times New Roman" w:cs="Times New Roman"/>
          <w:noProof/>
          <w:sz w:val="24"/>
          <w:szCs w:val="24"/>
        </w:rPr>
        <w:t>Bazat în principal pe planurile naționale actualizate privind energia și clima (PNEC) (</w:t>
      </w:r>
      <w:r w:rsidRPr="0004458C">
        <w:rPr>
          <w:rStyle w:val="FootnoteReference"/>
          <w:rFonts w:ascii="Times New Roman" w:hAnsi="Times New Roman" w:cs="Times New Roman"/>
          <w:noProof/>
          <w:sz w:val="24"/>
          <w:szCs w:val="24"/>
        </w:rPr>
        <w:footnoteReference w:id="28"/>
      </w:r>
      <w:r w:rsidRPr="0004458C">
        <w:rPr>
          <w:noProof/>
        </w:rPr>
        <w:t xml:space="preserve">) </w:t>
      </w:r>
      <w:r w:rsidRPr="0004458C">
        <w:rPr>
          <w:rFonts w:ascii="Times New Roman" w:hAnsi="Times New Roman" w:cs="Times New Roman"/>
          <w:noProof/>
          <w:sz w:val="24"/>
          <w:szCs w:val="24"/>
        </w:rPr>
        <w:t>și pe proiectele de investiții notificate Comisiei în temeiul articolului 41 din Tratatul Euratom, un scenariu de referință cu 109 GWe, reprezentând capacitatea netă de producție a energiei electrice de la reactoarele nucleare de mari dimensiuni, în 2050,</w:t>
      </w:r>
      <w:bookmarkEnd w:id="6"/>
      <w:r w:rsidRPr="0004458C">
        <w:rPr>
          <w:rFonts w:ascii="Times New Roman" w:hAnsi="Times New Roman" w:cs="Times New Roman"/>
          <w:noProof/>
          <w:sz w:val="24"/>
          <w:szCs w:val="24"/>
        </w:rPr>
        <w:t xml:space="preserve"> rezultă din ipotezele conform cărora: (i) cel puțin unele dintre reactoarele existente își prelungesc durata de viață utilă dincolo de 60 de ani și (ii) proiectele planificate de construcție a unor noi reactoare sunt realizate la timp. Întrucât prelungirea duratei de viață face obiectul verificării respectării standardelor în materie de securitate, garanții și siguranță nucleară, există incertitudini cu privire la disponibilitatea tuturor acestor reactoare în 2050. Există, de asemenea, incertitudini în ceea ce privește realizarea proiectelor de construcție a unor noi reactoare, astfel cum a fost planificat (conform calendarului și bugetului planificat). Aceste incertitudini au fost evaluate și au condus la o serie de rezultate care se situează în jurul scenariului de referință</w:t>
      </w:r>
      <w:bookmarkEnd w:id="7"/>
      <w:r w:rsidRPr="0004458C">
        <w:rPr>
          <w:rFonts w:ascii="Times New Roman" w:hAnsi="Times New Roman" w:cs="Times New Roman"/>
          <w:noProof/>
          <w:sz w:val="24"/>
          <w:szCs w:val="24"/>
        </w:rPr>
        <w:t xml:space="preserve"> (figura 1). </w:t>
      </w:r>
    </w:p>
    <w:p w14:paraId="4C2A56FB" w14:textId="2263D91C" w:rsidR="006E7A2A" w:rsidRPr="0004458C" w:rsidRDefault="006E7A2A" w:rsidP="00391F79">
      <w:pPr>
        <w:pStyle w:val="Caption"/>
        <w:rPr>
          <w:noProof/>
        </w:rPr>
      </w:pPr>
      <w:r w:rsidRPr="0004458C">
        <w:rPr>
          <w:noProof/>
        </w:rPr>
        <w:t xml:space="preserve">Figura </w:t>
      </w:r>
      <w:r w:rsidRPr="0004458C">
        <w:rPr>
          <w:noProof/>
        </w:rPr>
        <w:fldChar w:fldCharType="begin"/>
      </w:r>
      <w:r w:rsidRPr="0004458C">
        <w:rPr>
          <w:noProof/>
        </w:rPr>
        <w:instrText xml:space="preserve"> SEQ Figure \* ARABIC </w:instrText>
      </w:r>
      <w:r w:rsidRPr="0004458C">
        <w:rPr>
          <w:noProof/>
        </w:rPr>
        <w:fldChar w:fldCharType="separate"/>
      </w:r>
      <w:r w:rsidRPr="0004458C">
        <w:rPr>
          <w:noProof/>
        </w:rPr>
        <w:t>1</w:t>
      </w:r>
      <w:r w:rsidRPr="0004458C">
        <w:rPr>
          <w:noProof/>
        </w:rPr>
        <w:fldChar w:fldCharType="end"/>
      </w:r>
      <w:r w:rsidRPr="0004458C">
        <w:rPr>
          <w:noProof/>
        </w:rPr>
        <w:t>–</w:t>
      </w:r>
      <w:r w:rsidRPr="0004458C">
        <w:rPr>
          <w:noProof/>
        </w:rPr>
        <w:tab/>
        <w:t>Evoluția capacității și intervalul de incertitudine în scenariul de referință.</w:t>
      </w:r>
    </w:p>
    <w:p w14:paraId="0C130183" w14:textId="53A6D48B" w:rsidR="0016028F" w:rsidRPr="0004458C" w:rsidRDefault="000413CE" w:rsidP="00B60FEE">
      <w:pPr>
        <w:pStyle w:val="Text1"/>
        <w:rPr>
          <w:rFonts w:eastAsiaTheme="minorEastAsia"/>
          <w:noProof/>
        </w:rPr>
      </w:pPr>
      <w:r w:rsidRPr="000413CE">
        <w:rPr>
          <w:rFonts w:eastAsiaTheme="minorEastAsia"/>
          <w:noProof/>
          <w:lang w:val="en-GB" w:eastAsia="en-GB"/>
        </w:rPr>
        <w:drawing>
          <wp:inline distT="0" distB="0" distL="0" distR="0" wp14:anchorId="4234C8AA" wp14:editId="5AD3AA4F">
            <wp:extent cx="4652010" cy="2771502"/>
            <wp:effectExtent l="0" t="0" r="0" b="0"/>
            <wp:docPr id="143523810" name="Picture 1" descr="A graph showing the number of different types of numb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523810" name="Picture 1" descr="A graph showing the number of different types of numbers&#10;&#10;AI-generated content may be incorrect."/>
                    <pic:cNvPicPr/>
                  </pic:nvPicPr>
                  <pic:blipFill>
                    <a:blip r:embed="rId19"/>
                    <a:stretch>
                      <a:fillRect/>
                    </a:stretch>
                  </pic:blipFill>
                  <pic:spPr>
                    <a:xfrm>
                      <a:off x="0" y="0"/>
                      <a:ext cx="4688882" cy="2793469"/>
                    </a:xfrm>
                    <a:prstGeom prst="rect">
                      <a:avLst/>
                    </a:prstGeom>
                  </pic:spPr>
                </pic:pic>
              </a:graphicData>
            </a:graphic>
          </wp:inline>
        </w:drawing>
      </w:r>
    </w:p>
    <w:p w14:paraId="68AAEC6E" w14:textId="5F0E0FBE" w:rsidR="00053CC7" w:rsidRPr="0004458C" w:rsidRDefault="00EB7D6E" w:rsidP="00053CC7">
      <w:pPr>
        <w:spacing w:line="240" w:lineRule="auto"/>
        <w:jc w:val="both"/>
        <w:rPr>
          <w:rFonts w:ascii="Times New Roman" w:eastAsia="Times New Roman" w:hAnsi="Times New Roman" w:cs="Times New Roman"/>
          <w:noProof/>
          <w:sz w:val="24"/>
          <w:szCs w:val="24"/>
        </w:rPr>
      </w:pPr>
      <w:bookmarkStart w:id="8" w:name="_Hlk198497683"/>
      <w:bookmarkStart w:id="9" w:name="_Toc192842750"/>
      <w:r w:rsidRPr="0004458C">
        <w:rPr>
          <w:rFonts w:ascii="Times New Roman" w:hAnsi="Times New Roman"/>
          <w:noProof/>
          <w:sz w:val="24"/>
        </w:rPr>
        <w:t>Se preconizează că centralele electrice care fac obiectul unei prelungiri a duratei de viață vor contribui cu o cotă semnificativă la capacitatea instalată în centralele nucleare în 2050 (a se vedea barele albastru deschis din figura 2). Într-un scenariu, capacitatea instalată ar putea scădea la mai puțin de 70 GWe până în 2050. În schimb, dacă reactoarele existente și-ar prelungi durata de viață până la 70 sau chiar 80 de ani și toate proiectele planificate de construcție a unor noi reactoare ar fi realizate la timp, capacitatea instalată ar putea ajunge la 144 GWe în 2050 (</w:t>
      </w:r>
      <w:r w:rsidRPr="0004458C">
        <w:rPr>
          <w:rStyle w:val="FootnoteReference"/>
          <w:rFonts w:ascii="Times New Roman" w:eastAsia="Times New Roman" w:hAnsi="Times New Roman" w:cs="Times New Roman"/>
          <w:noProof/>
          <w:sz w:val="24"/>
          <w:szCs w:val="24"/>
        </w:rPr>
        <w:footnoteReference w:id="29"/>
      </w:r>
      <w:r w:rsidRPr="0004458C">
        <w:rPr>
          <w:rFonts w:ascii="Times New Roman" w:hAnsi="Times New Roman"/>
          <w:noProof/>
          <w:sz w:val="24"/>
        </w:rPr>
        <w:t>). Rata de realizare a prelungirii duratei de viață va fi principalul factor care va sta la baza unei game largi de rezultate.</w:t>
      </w:r>
    </w:p>
    <w:bookmarkEnd w:id="8"/>
    <w:p w14:paraId="639B64DC" w14:textId="44654814" w:rsidR="00405909" w:rsidRPr="0004458C" w:rsidRDefault="00405909" w:rsidP="00391F79">
      <w:pPr>
        <w:pStyle w:val="Caption"/>
        <w:rPr>
          <w:noProof/>
        </w:rPr>
      </w:pPr>
      <w:r w:rsidRPr="0004458C">
        <w:rPr>
          <w:noProof/>
        </w:rPr>
        <w:t xml:space="preserve">Figura </w:t>
      </w:r>
      <w:r w:rsidRPr="0004458C">
        <w:rPr>
          <w:noProof/>
        </w:rPr>
        <w:fldChar w:fldCharType="begin"/>
      </w:r>
      <w:r w:rsidRPr="0004458C">
        <w:rPr>
          <w:noProof/>
        </w:rPr>
        <w:instrText xml:space="preserve"> SEQ Figure \* ARABIC </w:instrText>
      </w:r>
      <w:r w:rsidRPr="0004458C">
        <w:rPr>
          <w:noProof/>
        </w:rPr>
        <w:fldChar w:fldCharType="separate"/>
      </w:r>
      <w:r w:rsidRPr="0004458C">
        <w:rPr>
          <w:noProof/>
        </w:rPr>
        <w:t>2</w:t>
      </w:r>
      <w:r w:rsidRPr="0004458C">
        <w:rPr>
          <w:noProof/>
        </w:rPr>
        <w:fldChar w:fldCharType="end"/>
      </w:r>
      <w:r w:rsidRPr="0004458C">
        <w:rPr>
          <w:noProof/>
        </w:rPr>
        <w:t>–</w:t>
      </w:r>
      <w:r w:rsidRPr="0004458C">
        <w:rPr>
          <w:noProof/>
        </w:rPr>
        <w:tab/>
        <w:t>Scenariul de referință pentru capacitățile de producție a energiei electrice de mari dimensiuni în UE, 2024‑2050.</w:t>
      </w:r>
      <w:bookmarkEnd w:id="9"/>
      <w:r w:rsidRPr="0004458C">
        <w:rPr>
          <w:noProof/>
        </w:rPr>
        <w:t xml:space="preserve"> ETL reprezintă exploatarea pe termen lung (prelungirea duratei de viață).</w:t>
      </w:r>
    </w:p>
    <w:p w14:paraId="5B7949F3" w14:textId="61355B3A" w:rsidR="00405909" w:rsidRPr="0004458C" w:rsidRDefault="00DE6825" w:rsidP="00B60FEE">
      <w:pPr>
        <w:pStyle w:val="Text1"/>
        <w:rPr>
          <w:noProof/>
        </w:rPr>
      </w:pPr>
      <w:r w:rsidRPr="0004458C">
        <w:rPr>
          <w:noProof/>
          <w:lang w:val="en-GB" w:eastAsia="en-GB"/>
        </w:rPr>
        <w:drawing>
          <wp:inline distT="0" distB="0" distL="0" distR="0" wp14:anchorId="56F9AF90" wp14:editId="099F330B">
            <wp:extent cx="4597879" cy="3023311"/>
            <wp:effectExtent l="0" t="0" r="0" b="5715"/>
            <wp:docPr id="1480540223" name="Picture 1" descr="A graph of blue and yellow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0540223" name="Picture 1" descr="A graph of blue and yellow bars&#10;&#10;AI-generated content may be incorrect."/>
                    <pic:cNvPicPr/>
                  </pic:nvPicPr>
                  <pic:blipFill>
                    <a:blip r:embed="rId20"/>
                    <a:stretch>
                      <a:fillRect/>
                    </a:stretch>
                  </pic:blipFill>
                  <pic:spPr>
                    <a:xfrm>
                      <a:off x="0" y="0"/>
                      <a:ext cx="4621160" cy="3038620"/>
                    </a:xfrm>
                    <a:prstGeom prst="rect">
                      <a:avLst/>
                    </a:prstGeom>
                  </pic:spPr>
                </pic:pic>
              </a:graphicData>
            </a:graphic>
          </wp:inline>
        </w:drawing>
      </w:r>
    </w:p>
    <w:p w14:paraId="45F1A74F" w14:textId="43319489" w:rsidR="4A0D72DE" w:rsidRPr="0004458C" w:rsidRDefault="7C8F136B" w:rsidP="4A0D72DE">
      <w:pPr>
        <w:spacing w:line="240" w:lineRule="auto"/>
        <w:jc w:val="both"/>
        <w:rPr>
          <w:rFonts w:ascii="Times New Roman" w:eastAsia="Times New Roman" w:hAnsi="Times New Roman" w:cs="Times New Roman"/>
          <w:noProof/>
          <w:sz w:val="24"/>
          <w:szCs w:val="24"/>
        </w:rPr>
      </w:pPr>
      <w:bookmarkStart w:id="10" w:name="_Hlk198497529"/>
      <w:r w:rsidRPr="0004458C">
        <w:rPr>
          <w:rFonts w:ascii="Times New Roman" w:hAnsi="Times New Roman"/>
          <w:noProof/>
          <w:sz w:val="24"/>
        </w:rPr>
        <w:t xml:space="preserve">Pe lângă reactoarele tradiționale de mari dimensiuni, scenariul poate fi completat cu SMR. Alianța industrială europeană pentru SMR este în proces de stabilire a unui plan strategic pentru realizarea primelor SMR în exploatare </w:t>
      </w:r>
      <w:r w:rsidRPr="0004458C">
        <w:rPr>
          <w:rFonts w:ascii="Times New Roman" w:hAnsi="Times New Roman" w:cs="Times New Roman"/>
          <w:noProof/>
          <w:sz w:val="24"/>
          <w:szCs w:val="24"/>
        </w:rPr>
        <w:t xml:space="preserve">comercială în primii ani ai deceniului următor. În 2023, în etapa de pregătire a Alianței industriale europene pentru SMR, </w:t>
      </w:r>
      <w:bookmarkStart w:id="11" w:name="_Hlk198747149"/>
      <w:r w:rsidRPr="0004458C">
        <w:rPr>
          <w:rFonts w:ascii="Times New Roman" w:hAnsi="Times New Roman" w:cs="Times New Roman"/>
          <w:noProof/>
          <w:sz w:val="24"/>
          <w:szCs w:val="24"/>
        </w:rPr>
        <w:t>o evaluare preliminară efectuată de organizațiile din acest sector a condus la previziuni privind capacitatea SMR cuprinse între 17 GWe și 53 GWe până în 2050</w:t>
      </w:r>
      <w:bookmarkEnd w:id="11"/>
      <w:r w:rsidRPr="0004458C">
        <w:rPr>
          <w:noProof/>
        </w:rPr>
        <w:t> </w:t>
      </w:r>
      <w:r w:rsidRPr="0004458C">
        <w:rPr>
          <w:rFonts w:ascii="Times New Roman" w:hAnsi="Times New Roman" w:cs="Times New Roman"/>
          <w:noProof/>
          <w:sz w:val="24"/>
          <w:szCs w:val="24"/>
        </w:rPr>
        <w:t>(</w:t>
      </w:r>
      <w:r w:rsidRPr="0004458C">
        <w:rPr>
          <w:rStyle w:val="FootnoteReference"/>
          <w:rFonts w:ascii="Times New Roman" w:eastAsia="Times New Roman" w:hAnsi="Times New Roman" w:cs="Times New Roman"/>
          <w:noProof/>
          <w:sz w:val="24"/>
          <w:szCs w:val="24"/>
        </w:rPr>
        <w:footnoteReference w:id="30"/>
      </w:r>
      <w:r w:rsidRPr="0004458C">
        <w:rPr>
          <w:rFonts w:ascii="Times New Roman" w:hAnsi="Times New Roman" w:cs="Times New Roman"/>
          <w:noProof/>
          <w:sz w:val="24"/>
          <w:szCs w:val="24"/>
        </w:rPr>
        <w:t>). Aceste previziuni sunt coerente cu alte rapoarte mai recent</w:t>
      </w:r>
      <w:bookmarkEnd w:id="10"/>
      <w:r w:rsidRPr="0004458C">
        <w:rPr>
          <w:rFonts w:ascii="Times New Roman" w:hAnsi="Times New Roman" w:cs="Times New Roman"/>
          <w:noProof/>
          <w:sz w:val="24"/>
          <w:szCs w:val="24"/>
        </w:rPr>
        <w:t>e</w:t>
      </w:r>
      <w:r w:rsidRPr="0004458C">
        <w:rPr>
          <w:noProof/>
        </w:rPr>
        <w:t> (</w:t>
      </w:r>
      <w:r w:rsidRPr="0004458C">
        <w:rPr>
          <w:rStyle w:val="FootnoteReference"/>
          <w:rFonts w:ascii="Times New Roman" w:eastAsia="Times New Roman" w:hAnsi="Times New Roman" w:cs="Times New Roman"/>
          <w:noProof/>
          <w:sz w:val="24"/>
          <w:szCs w:val="24"/>
        </w:rPr>
        <w:footnoteReference w:id="31"/>
      </w:r>
      <w:r w:rsidRPr="0004458C">
        <w:rPr>
          <w:noProof/>
        </w:rPr>
        <w:t>) (</w:t>
      </w:r>
      <w:r w:rsidRPr="0004458C">
        <w:rPr>
          <w:rStyle w:val="FootnoteReference"/>
          <w:rFonts w:ascii="Times New Roman" w:eastAsia="Times New Roman" w:hAnsi="Times New Roman" w:cs="Times New Roman"/>
          <w:noProof/>
          <w:sz w:val="24"/>
          <w:szCs w:val="24"/>
        </w:rPr>
        <w:footnoteReference w:id="32"/>
      </w:r>
      <w:r w:rsidRPr="0004458C">
        <w:rPr>
          <w:noProof/>
        </w:rPr>
        <w:t>).</w:t>
      </w:r>
    </w:p>
    <w:p w14:paraId="47EE169D" w14:textId="6106C0AC" w:rsidR="00314FE8" w:rsidRPr="0004458C" w:rsidRDefault="007C1331" w:rsidP="00B60FEE">
      <w:pPr>
        <w:spacing w:line="240" w:lineRule="auto"/>
        <w:jc w:val="both"/>
        <w:rPr>
          <w:rFonts w:ascii="Times New Roman" w:eastAsia="Times New Roman" w:hAnsi="Times New Roman" w:cs="Times New Roman"/>
          <w:noProof/>
          <w:sz w:val="24"/>
          <w:szCs w:val="24"/>
        </w:rPr>
      </w:pPr>
      <w:r w:rsidRPr="0004458C">
        <w:rPr>
          <w:rFonts w:ascii="Times New Roman" w:hAnsi="Times New Roman"/>
          <w:noProof/>
          <w:sz w:val="24"/>
        </w:rPr>
        <w:t>Pe baza activității desfășurate de Alianța industrială europeană pentru SMR, Comisia va prezenta o comunicare privind SMR(</w:t>
      </w:r>
      <w:r w:rsidRPr="0004458C">
        <w:rPr>
          <w:rStyle w:val="FootnoteReference"/>
          <w:rFonts w:ascii="Times New Roman" w:eastAsia="Times New Roman" w:hAnsi="Times New Roman" w:cs="Times New Roman"/>
          <w:noProof/>
          <w:sz w:val="24"/>
          <w:szCs w:val="24"/>
        </w:rPr>
        <w:footnoteReference w:id="33"/>
      </w:r>
      <w:r w:rsidRPr="0004458C">
        <w:rPr>
          <w:rFonts w:ascii="Times New Roman" w:hAnsi="Times New Roman"/>
          <w:noProof/>
          <w:sz w:val="24"/>
        </w:rPr>
        <w:t>) pentru a sprijini accelerarea dezvoltării și implementării unor astfel de reactoare în UE la începutul anilor 2030.</w:t>
      </w:r>
    </w:p>
    <w:p w14:paraId="530E3C24" w14:textId="0341654E" w:rsidR="0022295D" w:rsidRPr="0004458C" w:rsidRDefault="683F775F" w:rsidP="006619C3">
      <w:pPr>
        <w:pStyle w:val="ListNumber"/>
        <w:numPr>
          <w:ilvl w:val="0"/>
          <w:numId w:val="0"/>
        </w:numPr>
        <w:spacing w:after="160"/>
        <w:rPr>
          <w:noProof/>
        </w:rPr>
      </w:pPr>
      <w:bookmarkStart w:id="12" w:name="_Hlk198747176"/>
      <w:r w:rsidRPr="0004458C">
        <w:rPr>
          <w:noProof/>
        </w:rPr>
        <w:t>Scenariul de referință necesită investiții de aproximativ</w:t>
      </w:r>
      <w:r w:rsidRPr="0004458C">
        <w:rPr>
          <w:b/>
          <w:bCs/>
          <w:noProof/>
        </w:rPr>
        <w:t xml:space="preserve"> 241 de miliarde EUR în termeni de valoare actualizată</w:t>
      </w:r>
      <w:r w:rsidRPr="0004458C">
        <w:rPr>
          <w:noProof/>
        </w:rPr>
        <w:t> (</w:t>
      </w:r>
      <w:r w:rsidRPr="0004458C">
        <w:rPr>
          <w:rStyle w:val="FootnoteReference"/>
          <w:noProof/>
        </w:rPr>
        <w:footnoteReference w:id="34"/>
      </w:r>
      <w:r w:rsidRPr="0004458C">
        <w:rPr>
          <w:noProof/>
        </w:rPr>
        <w:t>), din care construcția unor noi reactoare de mari dimensiuni reprezintă 205 miliarde EUR, iar prelungirea duratei de viață 36 de miliarde EUR</w:t>
      </w:r>
      <w:bookmarkEnd w:id="12"/>
      <w:r w:rsidRPr="0004458C">
        <w:rPr>
          <w:noProof/>
        </w:rPr>
        <w:t xml:space="preserve">. Așadar, deși prelungirea efectivă a duratei de viață va determina capacitatea instalată până în 2050, aceasta reprezintă doar o mică parte din nevoile de investiții. Pe de altă parte, construirea de noi reactoare de mari dimensiuni conform calendarului și în conformitate cu bugetul planificat este o componentă importantă pentru nevoile totale de investiții. Următorul exemplu cantitativ arată </w:t>
      </w:r>
      <w:bookmarkStart w:id="13" w:name="_Hlk198747213"/>
      <w:r w:rsidRPr="0004458C">
        <w:rPr>
          <w:noProof/>
        </w:rPr>
        <w:t>că, în cazul în care proiectele de construcție a unor noi reactoare înregistrează o întârziere de cinci ani, capacitatea instalată în 2050 ar scădea cu aproape 9 GWe, în timp ce investițiile necesare ar crește cu peste 45 de miliarde EUR (</w:t>
      </w:r>
      <w:r w:rsidRPr="0004458C">
        <w:rPr>
          <w:rStyle w:val="FootnoteReference"/>
          <w:noProof/>
        </w:rPr>
        <w:footnoteReference w:id="35"/>
      </w:r>
      <w:r w:rsidRPr="0004458C">
        <w:rPr>
          <w:noProof/>
        </w:rPr>
        <w:t>), adică ar exista cheltuieli mai mari pentru o capacitate mai mică</w:t>
      </w:r>
      <w:bookmarkEnd w:id="13"/>
      <w:r w:rsidRPr="0004458C">
        <w:rPr>
          <w:noProof/>
        </w:rPr>
        <w:t xml:space="preserve"> (figura 3). Având în vedere întârzierile care conduc la costuri suplimentare, nevoile de investiții până în 2050 se mențin la mult peste 200 de miliarde EUR, chiar dacă capacitatea disponibilă scade. </w:t>
      </w:r>
    </w:p>
    <w:p w14:paraId="3B3929EA" w14:textId="6A197B9E" w:rsidR="00531353" w:rsidRPr="0004458C" w:rsidRDefault="00531353" w:rsidP="00391F79">
      <w:pPr>
        <w:pStyle w:val="Caption"/>
        <w:rPr>
          <w:noProof/>
        </w:rPr>
      </w:pPr>
      <w:bookmarkStart w:id="14" w:name="_Toc192842754"/>
      <w:r w:rsidRPr="0004458C">
        <w:rPr>
          <w:noProof/>
        </w:rPr>
        <w:t xml:space="preserve">Figura </w:t>
      </w:r>
      <w:r w:rsidRPr="0004458C">
        <w:rPr>
          <w:noProof/>
        </w:rPr>
        <w:fldChar w:fldCharType="begin"/>
      </w:r>
      <w:r w:rsidRPr="0004458C">
        <w:rPr>
          <w:noProof/>
        </w:rPr>
        <w:instrText xml:space="preserve"> SEQ Figure \* ARABIC </w:instrText>
      </w:r>
      <w:r w:rsidRPr="0004458C">
        <w:rPr>
          <w:noProof/>
        </w:rPr>
        <w:fldChar w:fldCharType="separate"/>
      </w:r>
      <w:r w:rsidRPr="0004458C">
        <w:rPr>
          <w:noProof/>
        </w:rPr>
        <w:t>3</w:t>
      </w:r>
      <w:r w:rsidRPr="0004458C">
        <w:rPr>
          <w:noProof/>
        </w:rPr>
        <w:fldChar w:fldCharType="end"/>
      </w:r>
      <w:r w:rsidRPr="0004458C">
        <w:rPr>
          <w:noProof/>
        </w:rPr>
        <w:t>–</w:t>
      </w:r>
      <w:r w:rsidRPr="0004458C">
        <w:rPr>
          <w:noProof/>
        </w:rPr>
        <w:tab/>
        <w:t>Nevoile de investiții pentru construcția de noi capacități până în 2050 în cazul scenariilor de întârziere a implementării noilor capacități.</w:t>
      </w:r>
      <w:bookmarkEnd w:id="14"/>
    </w:p>
    <w:p w14:paraId="27491EF5" w14:textId="5C054495" w:rsidR="00D43F00" w:rsidRPr="0004458C" w:rsidRDefault="00DE6825" w:rsidP="00B60FEE">
      <w:pPr>
        <w:pStyle w:val="Text1"/>
        <w:rPr>
          <w:noProof/>
        </w:rPr>
      </w:pPr>
      <w:r w:rsidRPr="0004458C">
        <w:rPr>
          <w:noProof/>
          <w:lang w:val="en-GB" w:eastAsia="en-GB"/>
        </w:rPr>
        <w:drawing>
          <wp:inline distT="0" distB="0" distL="0" distR="0" wp14:anchorId="5124E1E4" wp14:editId="7F9F96C2">
            <wp:extent cx="4753154" cy="3118040"/>
            <wp:effectExtent l="0" t="0" r="0" b="6350"/>
            <wp:docPr id="518006516" name="Picture 1" descr="A graph with a line and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8006516" name="Picture 1" descr="A graph with a line and dots&#10;&#10;AI-generated content may be incorrect."/>
                    <pic:cNvPicPr/>
                  </pic:nvPicPr>
                  <pic:blipFill>
                    <a:blip r:embed="rId21"/>
                    <a:stretch>
                      <a:fillRect/>
                    </a:stretch>
                  </pic:blipFill>
                  <pic:spPr>
                    <a:xfrm>
                      <a:off x="0" y="0"/>
                      <a:ext cx="4769026" cy="3128452"/>
                    </a:xfrm>
                    <a:prstGeom prst="rect">
                      <a:avLst/>
                    </a:prstGeom>
                  </pic:spPr>
                </pic:pic>
              </a:graphicData>
            </a:graphic>
          </wp:inline>
        </w:drawing>
      </w:r>
    </w:p>
    <w:p w14:paraId="2D384D47" w14:textId="44BA9F63" w:rsidR="00C36488" w:rsidRPr="0004458C" w:rsidRDefault="008043F7" w:rsidP="003F5282">
      <w:pPr>
        <w:pStyle w:val="Heading2"/>
        <w:keepNext/>
        <w:ind w:left="578" w:hanging="578"/>
        <w:rPr>
          <w:noProof/>
        </w:rPr>
      </w:pPr>
      <w:r w:rsidRPr="0004458C">
        <w:rPr>
          <w:noProof/>
        </w:rPr>
        <w:t>Efectele sistemului energetic</w:t>
      </w:r>
    </w:p>
    <w:p w14:paraId="5D3EFB62" w14:textId="253295F8" w:rsidR="00515B33" w:rsidRPr="0004458C" w:rsidRDefault="696B2DA3" w:rsidP="00D35899">
      <w:pPr>
        <w:pStyle w:val="ListNumber"/>
        <w:numPr>
          <w:ilvl w:val="0"/>
          <w:numId w:val="0"/>
        </w:numPr>
        <w:spacing w:after="160"/>
        <w:rPr>
          <w:rFonts w:cstheme="minorBidi"/>
          <w:noProof/>
        </w:rPr>
      </w:pPr>
      <w:r w:rsidRPr="0004458C">
        <w:rPr>
          <w:noProof/>
        </w:rPr>
        <w:t xml:space="preserve">Furnizarea de </w:t>
      </w:r>
      <w:bookmarkStart w:id="15" w:name="_Hlk198748492"/>
      <w:r w:rsidRPr="0004458C">
        <w:rPr>
          <w:noProof/>
        </w:rPr>
        <w:t>energie nucleară curată și fiabilă, atât la sarcină de bază, cât și flexibilă, poate contribui la sprijinirea integrării sistemului, oferind flexibilitate și inerție pentru stabilitatea rețelei</w:t>
      </w:r>
      <w:bookmarkEnd w:id="15"/>
      <w:r w:rsidRPr="0004458C">
        <w:rPr>
          <w:noProof/>
        </w:rPr>
        <w:t xml:space="preserve">. Costurile de investiție inițiale ridicate ale energiei nucleare pot fi atenuate prin economii sistemice care reduc nevoile de investiții în infrastructura de transport, distribuție și stocare. </w:t>
      </w:r>
    </w:p>
    <w:p w14:paraId="7EEB6292" w14:textId="64AD6720" w:rsidR="00823373" w:rsidRPr="0004458C" w:rsidRDefault="002E317A" w:rsidP="00E65C1B">
      <w:pPr>
        <w:pStyle w:val="ListNumber"/>
        <w:numPr>
          <w:ilvl w:val="0"/>
          <w:numId w:val="0"/>
        </w:numPr>
        <w:spacing w:after="160"/>
        <w:rPr>
          <w:noProof/>
        </w:rPr>
      </w:pPr>
      <w:r w:rsidRPr="0004458C">
        <w:rPr>
          <w:noProof/>
        </w:rPr>
        <w:t xml:space="preserve">Cerințele legate de flexibilitate urmează să crească în toate intervalele de timp (zilnic, săptămânal și sezonier). Atunci când este utilizată, energia nucleară poate sprijini în primul rând nevoile de flexibilitate săptămânale și, pe termen mai lung, pe cele lunare (figura 4). </w:t>
      </w:r>
    </w:p>
    <w:p w14:paraId="6C5D8AC7" w14:textId="755FBE22" w:rsidR="007F0205" w:rsidRPr="0004458C" w:rsidRDefault="05364E0C" w:rsidP="00D35899">
      <w:pPr>
        <w:pStyle w:val="ListNumber"/>
        <w:numPr>
          <w:ilvl w:val="0"/>
          <w:numId w:val="0"/>
        </w:numPr>
        <w:spacing w:after="160"/>
        <w:rPr>
          <w:noProof/>
        </w:rPr>
      </w:pPr>
      <w:bookmarkStart w:id="16" w:name="_Hlk198494697"/>
      <w:r w:rsidRPr="0004458C">
        <w:rPr>
          <w:noProof/>
        </w:rPr>
        <w:t>Energia nucleară poate contribui la sprijinirea integrării totale a sistemului pe plan intern și transfrontalier. Datele privind comerțul cu energie electrică arată că statele membre care produc energie nucleară sunt exportatori neți (9 din 10 exportatori neți în 2023 dispuneau de capacități nucleare) (</w:t>
      </w:r>
      <w:r w:rsidRPr="0004458C">
        <w:rPr>
          <w:rStyle w:val="FootnoteReference"/>
          <w:noProof/>
        </w:rPr>
        <w:footnoteReference w:id="36"/>
      </w:r>
      <w:r w:rsidRPr="0004458C">
        <w:rPr>
          <w:noProof/>
        </w:rPr>
        <w:t xml:space="preserve">). </w:t>
      </w:r>
      <w:bookmarkEnd w:id="16"/>
    </w:p>
    <w:p w14:paraId="5DBC5268" w14:textId="66B5196C" w:rsidR="001837B3" w:rsidRPr="0004458C" w:rsidRDefault="002C42C3" w:rsidP="00D35899">
      <w:pPr>
        <w:pStyle w:val="ListNumber"/>
        <w:numPr>
          <w:ilvl w:val="0"/>
          <w:numId w:val="0"/>
        </w:numPr>
        <w:spacing w:after="160"/>
        <w:rPr>
          <w:noProof/>
        </w:rPr>
      </w:pPr>
      <w:bookmarkStart w:id="17" w:name="_Hlk200024722"/>
      <w:r w:rsidRPr="0004458C">
        <w:rPr>
          <w:noProof/>
        </w:rPr>
        <w:t>Având în vedere costurile sale, energia nucleară poate contribui, de asemenea, alături de alte soluții eficiente din punctul de vedere al costurilor (inclusiv flexibilitatea, stocarea, rețelele și interconexiunile), la reducerea costurilor totale ale sistemului prin completarea surselor regenerabile de energie (cum ar fi energia eoliană și solară) cu o capacitate solidă, cu emisii scăzute de dioxid de carbon, care contribuie la stabilitatea, integrarea și nevoile de stocare ale rețelei (</w:t>
      </w:r>
      <w:r w:rsidRPr="0004458C">
        <w:rPr>
          <w:noProof/>
          <w:szCs w:val="24"/>
          <w:vertAlign w:val="superscript"/>
        </w:rPr>
        <w:footnoteReference w:id="37"/>
      </w:r>
      <w:r w:rsidRPr="0004458C">
        <w:rPr>
          <w:noProof/>
        </w:rPr>
        <w:t>). Acest lucru ar trebui aliniat pentru a reduce la minimum costul decarbonizării, în concordanță cu obiectivele climatice ale UE.</w:t>
      </w:r>
    </w:p>
    <w:p w14:paraId="1DF9F372" w14:textId="77777777" w:rsidR="00B60FEE" w:rsidRPr="0004458C" w:rsidRDefault="00B60FEE" w:rsidP="00B60FEE">
      <w:pPr>
        <w:pStyle w:val="Caption"/>
        <w:rPr>
          <w:noProof/>
        </w:rPr>
      </w:pPr>
      <w:r w:rsidRPr="0004458C">
        <w:rPr>
          <w:noProof/>
        </w:rPr>
        <w:t xml:space="preserve">Figura </w:t>
      </w:r>
      <w:r w:rsidRPr="0004458C">
        <w:rPr>
          <w:noProof/>
        </w:rPr>
        <w:fldChar w:fldCharType="begin"/>
      </w:r>
      <w:r w:rsidRPr="0004458C">
        <w:rPr>
          <w:noProof/>
        </w:rPr>
        <w:instrText xml:space="preserve"> SEQ Figure \* ARABIC </w:instrText>
      </w:r>
      <w:r w:rsidRPr="0004458C">
        <w:rPr>
          <w:noProof/>
        </w:rPr>
        <w:fldChar w:fldCharType="separate"/>
      </w:r>
      <w:r w:rsidRPr="0004458C">
        <w:rPr>
          <w:noProof/>
        </w:rPr>
        <w:t>4</w:t>
      </w:r>
      <w:r w:rsidRPr="0004458C">
        <w:rPr>
          <w:noProof/>
        </w:rPr>
        <w:fldChar w:fldCharType="end"/>
      </w:r>
      <w:r w:rsidRPr="0004458C">
        <w:rPr>
          <w:noProof/>
        </w:rPr>
        <w:t>–</w:t>
      </w:r>
      <w:r w:rsidRPr="0004458C">
        <w:rPr>
          <w:noProof/>
        </w:rPr>
        <w:tab/>
        <w:t>Contribuția energiei nucleare la nevoile de flexibilitate zilnice, săptămânale și lunare, exprimată în volum de energie, în UE și în anumite state membre în 2030.</w:t>
      </w:r>
    </w:p>
    <w:p w14:paraId="18FD2E63" w14:textId="5C50149C" w:rsidR="00B60FEE" w:rsidRPr="0004458C" w:rsidRDefault="00DE6825" w:rsidP="00B60FEE">
      <w:pPr>
        <w:pStyle w:val="Text1"/>
        <w:rPr>
          <w:rFonts w:eastAsia="Arial"/>
          <w:noProof/>
        </w:rPr>
      </w:pPr>
      <w:r w:rsidRPr="0004458C">
        <w:rPr>
          <w:rFonts w:eastAsia="Arial"/>
          <w:noProof/>
          <w:lang w:val="en-GB" w:eastAsia="en-GB"/>
        </w:rPr>
        <w:drawing>
          <wp:inline distT="0" distB="0" distL="0" distR="0" wp14:anchorId="07338E2D" wp14:editId="6BCDEF5E">
            <wp:extent cx="4140679" cy="2712131"/>
            <wp:effectExtent l="0" t="0" r="0" b="0"/>
            <wp:docPr id="1238690801" name="Picture 1" descr="A graph of different colored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8690801" name="Picture 1" descr="A graph of different colored bars&#10;&#10;AI-generated content may be incorrect."/>
                    <pic:cNvPicPr/>
                  </pic:nvPicPr>
                  <pic:blipFill>
                    <a:blip r:embed="rId22"/>
                    <a:stretch>
                      <a:fillRect/>
                    </a:stretch>
                  </pic:blipFill>
                  <pic:spPr>
                    <a:xfrm>
                      <a:off x="0" y="0"/>
                      <a:ext cx="4161154" cy="2725542"/>
                    </a:xfrm>
                    <a:prstGeom prst="rect">
                      <a:avLst/>
                    </a:prstGeom>
                  </pic:spPr>
                </pic:pic>
              </a:graphicData>
            </a:graphic>
          </wp:inline>
        </w:drawing>
      </w:r>
    </w:p>
    <w:bookmarkEnd w:id="17"/>
    <w:p w14:paraId="79E978C2" w14:textId="02FFDFC5" w:rsidR="003675D8" w:rsidRPr="0004458C" w:rsidRDefault="003675D8" w:rsidP="003F5282">
      <w:pPr>
        <w:pStyle w:val="Heading2"/>
        <w:keepNext/>
        <w:ind w:left="578" w:hanging="578"/>
        <w:rPr>
          <w:noProof/>
        </w:rPr>
      </w:pPr>
      <w:r w:rsidRPr="0004458C">
        <w:rPr>
          <w:noProof/>
        </w:rPr>
        <w:t>Tehnologii inovatoare emergente</w:t>
      </w:r>
    </w:p>
    <w:p w14:paraId="0DD3BD24" w14:textId="50D73D75" w:rsidR="00482368" w:rsidRPr="0004458C" w:rsidRDefault="00DC0D5C" w:rsidP="00331BD2">
      <w:pPr>
        <w:pStyle w:val="Text1"/>
        <w:ind w:left="0"/>
        <w:rPr>
          <w:noProof/>
          <w:szCs w:val="24"/>
        </w:rPr>
      </w:pPr>
      <w:r w:rsidRPr="0004458C">
        <w:rPr>
          <w:noProof/>
        </w:rPr>
        <w:t xml:space="preserve">La nivel mondial, există un interes din ce în ce mai mare pentru dezvoltarea industriei reactoarelor modulare de mici dimensiuni și a reactoarelor modulare avansate (SMR și AMR), precum și a microreactoarelor. Deși nu concurează cu reactoarele de mari dimensiuni pe piața energiei, proiectele acestora sunt concepute pentru o implementare mai rapidă și mai eficientă decât reactoarele de mari dimensiuni, deoarece modulele construite în fabrică beneficiază de efectele concurențiale ale </w:t>
      </w:r>
      <w:bookmarkStart w:id="18" w:name="_Hlk198748574"/>
      <w:r w:rsidRPr="0004458C">
        <w:rPr>
          <w:noProof/>
        </w:rPr>
        <w:t>producției în serie</w:t>
      </w:r>
      <w:bookmarkEnd w:id="18"/>
      <w:r w:rsidRPr="0004458C">
        <w:rPr>
          <w:noProof/>
        </w:rPr>
        <w:t xml:space="preserve">. SMR și AMR nu concurează cu reactoarele de mari dimensiuni, deoarece pot răspunde unor nevoi energetice diferite. </w:t>
      </w:r>
    </w:p>
    <w:p w14:paraId="3010B6D5" w14:textId="4002E580" w:rsidR="00CD3116" w:rsidRPr="0004458C" w:rsidRDefault="003828D7" w:rsidP="00331BD2">
      <w:pPr>
        <w:pStyle w:val="Text1"/>
        <w:ind w:left="0"/>
        <w:rPr>
          <w:noProof/>
        </w:rPr>
      </w:pPr>
      <w:r w:rsidRPr="0004458C">
        <w:rPr>
          <w:noProof/>
        </w:rPr>
        <w:t>Deși în UE există numeroase proiecte aflate în faza inițială, sunt necesare demonstrații pe tot parcursul realizării unor instalații de pionierat. În UE, dimensiunea pieței din fiecare țară nu corespunde volumelor de producție necesare pentru ca economiile de serie să se materializeze. Prin urmare, este necesară o abordare coordonată între statele membre, de exemplu o cooperare sporită a autorităților naționale competente în ceea ce privește cerințele de reglementare. În acest sens, Comisia a anunțat lansarea fazei de elaborare a unui nou potențial proiect important de interes european comun (PIIEC) în domeniul tehnologiilor nucleare inovatoare. Țările UE interesate vor dezvolta domeniul de aplicare și structura acestuia cu sprijinul noului centru de asistență pentru elaborarea PIIEC.</w:t>
      </w:r>
    </w:p>
    <w:p w14:paraId="7B4F6ADC" w14:textId="172357A5" w:rsidR="00D03E74" w:rsidRPr="0004458C" w:rsidRDefault="644C23BC" w:rsidP="00333E9A">
      <w:pPr>
        <w:pStyle w:val="Text1"/>
        <w:ind w:left="0"/>
        <w:rPr>
          <w:noProof/>
        </w:rPr>
      </w:pPr>
      <w:r w:rsidRPr="0004458C">
        <w:rPr>
          <w:noProof/>
        </w:rPr>
        <w:t>Amprenta la sol relativ redusă, utilizarea redusă a apei pentru răcire, utilizarea combinată a căldurii și, cel mai important, costurile reduse de construcție preconizate fac ca aceste reactoare să fie o opțiune mai atractivă pentru investitorii privați. Un exemplu elocvent este volumul substanțial al capitalului investit de întreprinderile de înaltă tehnologie pentru a furniza energie fiabilă și cu emisii scăzute centrelor de date, precum și utilizarea sporită a inteligenței artificiale (în 2020, consumul centrelor de date la nivel mondial a fost de peste 10 % din consumul de energie electrică al UE).</w:t>
      </w:r>
    </w:p>
    <w:p w14:paraId="16DEF455" w14:textId="2FA40F22" w:rsidR="00533EA1" w:rsidRPr="0004458C" w:rsidRDefault="1B0B6717" w:rsidP="00A61213">
      <w:pPr>
        <w:pStyle w:val="Text1"/>
        <w:ind w:left="0"/>
        <w:rPr>
          <w:noProof/>
        </w:rPr>
      </w:pPr>
      <w:r w:rsidRPr="0004458C">
        <w:rPr>
          <w:noProof/>
        </w:rPr>
        <w:t xml:space="preserve">În plus, SMR și AMR pot constitui o componentă a viitoarelor sisteme energetice hibride, servind drept sursă fiabilă de căldură pentru districtele urbane și pentru anumite industrii greu de decarbonizat, inclusiv prin producerea de hidrogen cu emisii scăzute de dioxid de carbon. SMR pot contribui în mod eficace la echilibrarea sarcinii rețelei, datorită flexibilității lor operaționale în general mai mari în comparație cu cea a reactoarelor nucleare de mari dimensiuni. Datorită dimensiunii lor, astfel de reactoare pot fi amplasate în diferite zone. Pe de o parte, această caracteristică poate contribui la optimizarea utilizării infrastructurilor existente și poate facilita integrarea unor surse de energie diverse și complementare într-o anumită regiune. Pe de altă parte, aceasta prezintă însă provocări specifice în materie de siguranță, securitate și garanții care trebuie abordate. În general, atunci când selectează amplasamentele, statele membre ar trebui să efectueze o examinare a riscurilor climatice pe lângă evaluarea generală a riscurilor pentru infrastructura planificată și să ia în considerare zonele care sunt mai favorabile reducerii riscurilor identificate la niveluri acceptabile. </w:t>
      </w:r>
    </w:p>
    <w:p w14:paraId="59015C0B" w14:textId="4C0BF647" w:rsidR="00333E9A" w:rsidRPr="0004458C" w:rsidRDefault="645229AD" w:rsidP="00333E9A">
      <w:pPr>
        <w:pStyle w:val="Text1"/>
        <w:ind w:left="0"/>
        <w:rPr>
          <w:noProof/>
        </w:rPr>
      </w:pPr>
      <w:r w:rsidRPr="0004458C">
        <w:rPr>
          <w:noProof/>
        </w:rPr>
        <w:t>Microreactoarele sunt concepute pentru a fi transportabile, inclusiv pe calea aerului. Așadar, în pofida unui cost egalizat ridicat al energiei electrice (estimat la aproximativ 140 USD/MWh), acestea prezintă interes pentru utilizarea în aplicații din domeniul apărării, pe piețe unde este dificil de intrat, cum ar fi exploatațiile miniere îndepărtate unde costurile energiei sunt ridicate, în industria petrolului și gazelor, atât pe uscat, cât și în larg, precum și în transportul maritim.</w:t>
      </w:r>
    </w:p>
    <w:p w14:paraId="62BB15C6" w14:textId="01F3D8CA" w:rsidR="0025292C" w:rsidRPr="0004458C" w:rsidRDefault="005C55C0" w:rsidP="003F5282">
      <w:pPr>
        <w:pStyle w:val="Heading2"/>
        <w:keepNext/>
        <w:ind w:left="578" w:hanging="578"/>
        <w:rPr>
          <w:noProof/>
        </w:rPr>
      </w:pPr>
      <w:r w:rsidRPr="0004458C">
        <w:rPr>
          <w:noProof/>
        </w:rPr>
        <w:t>Modele de finanțare</w:t>
      </w:r>
    </w:p>
    <w:p w14:paraId="3E3F281E" w14:textId="5B179A24" w:rsidR="0025292C" w:rsidRPr="0004458C" w:rsidRDefault="5DAEC5BC" w:rsidP="0025292C">
      <w:pPr>
        <w:spacing w:before="100" w:after="100" w:line="240" w:lineRule="auto"/>
        <w:jc w:val="both"/>
        <w:rPr>
          <w:rFonts w:ascii="Times New Roman" w:eastAsia="Times New Roman" w:hAnsi="Times New Roman" w:cs="Times New Roman"/>
          <w:noProof/>
          <w:sz w:val="24"/>
          <w:szCs w:val="24"/>
        </w:rPr>
      </w:pPr>
      <w:r w:rsidRPr="0004458C">
        <w:rPr>
          <w:rFonts w:ascii="Times New Roman" w:hAnsi="Times New Roman"/>
          <w:noProof/>
          <w:sz w:val="24"/>
        </w:rPr>
        <w:t>Pentru ca planurile naționale să se materializeze, statele membre care au decis să utilizeze energia nucleară ar trebui să ia în considerare realizarea investițiilor de timpuriu și elaborarea unor politici în vederea menținerii unui ecosistem industrial durabil pentru energia nucleară.</w:t>
      </w:r>
    </w:p>
    <w:p w14:paraId="17F2E2EA" w14:textId="35A9AC98" w:rsidR="0025292C" w:rsidRPr="0004458C" w:rsidRDefault="210FA2F7" w:rsidP="0025292C">
      <w:pPr>
        <w:spacing w:before="100" w:after="100" w:line="240" w:lineRule="auto"/>
        <w:jc w:val="both"/>
        <w:rPr>
          <w:rFonts w:ascii="Times New Roman" w:eastAsia="Times New Roman" w:hAnsi="Times New Roman" w:cs="Times New Roman"/>
          <w:noProof/>
          <w:sz w:val="24"/>
          <w:szCs w:val="24"/>
        </w:rPr>
      </w:pPr>
      <w:r w:rsidRPr="0004458C">
        <w:rPr>
          <w:rFonts w:ascii="Times New Roman" w:hAnsi="Times New Roman"/>
          <w:noProof/>
          <w:sz w:val="24"/>
        </w:rPr>
        <w:t>Comisia a identificat cazuri de lipsă a instrumentelor de piață pentru ca actorii privați să pună în aplicare alocarea dorită a riscurilor, precum și provocări legate de riscul de „renunțare la anumite investiții”</w:t>
      </w:r>
      <w:r w:rsidR="00DE6825" w:rsidRPr="0004458C">
        <w:rPr>
          <w:rFonts w:ascii="Times New Roman" w:hAnsi="Times New Roman"/>
          <w:noProof/>
          <w:sz w:val="24"/>
        </w:rPr>
        <w:t> </w:t>
      </w:r>
      <w:r w:rsidRPr="0004458C">
        <w:rPr>
          <w:rFonts w:ascii="Times New Roman" w:hAnsi="Times New Roman"/>
          <w:noProof/>
          <w:sz w:val="24"/>
        </w:rPr>
        <w:t>(</w:t>
      </w:r>
      <w:r w:rsidRPr="0004458C">
        <w:rPr>
          <w:rFonts w:ascii="Times New Roman" w:hAnsi="Times New Roman" w:cs="Times New Roman"/>
          <w:noProof/>
          <w:sz w:val="24"/>
          <w:szCs w:val="24"/>
          <w:vertAlign w:val="superscript"/>
        </w:rPr>
        <w:footnoteReference w:id="38"/>
      </w:r>
      <w:r w:rsidRPr="0004458C">
        <w:rPr>
          <w:rFonts w:ascii="Times New Roman" w:hAnsi="Times New Roman"/>
          <w:noProof/>
          <w:sz w:val="24"/>
        </w:rPr>
        <w:t>), și anume riscul perceput ca actele cu putere de lege și normele administrative aplicabile să se modifice după ce părțile private au capital irecuperabil în cadrul unui proiect.</w:t>
      </w:r>
    </w:p>
    <w:p w14:paraId="4F6F8919" w14:textId="653D20FF" w:rsidR="0025292C" w:rsidRPr="0004458C" w:rsidRDefault="0025292C" w:rsidP="0025292C">
      <w:pPr>
        <w:spacing w:before="100" w:after="100" w:line="240" w:lineRule="auto"/>
        <w:jc w:val="both"/>
        <w:rPr>
          <w:rFonts w:ascii="Times New Roman" w:eastAsia="Times New Roman" w:hAnsi="Times New Roman" w:cs="Times New Roman"/>
          <w:noProof/>
          <w:sz w:val="24"/>
          <w:szCs w:val="24"/>
        </w:rPr>
      </w:pPr>
      <w:r w:rsidRPr="0004458C">
        <w:rPr>
          <w:rFonts w:ascii="Times New Roman" w:hAnsi="Times New Roman"/>
          <w:noProof/>
          <w:sz w:val="24"/>
        </w:rPr>
        <w:t xml:space="preserve">Prin urmare, răspunsul poate fi o combinație de surse diferite de finanțare, completată de instrumente de reducere a riscurilor, caz în care intervenția publică abordează provocările de mai sus, ținând seama și de beneficii, de exemplu potențialul de dezvoltare a integrării sistemului și a ofertei de flexibilitate. </w:t>
      </w:r>
    </w:p>
    <w:p w14:paraId="04EB5D2D" w14:textId="2969C229" w:rsidR="0025292C" w:rsidRPr="0004458C" w:rsidRDefault="5DAEC5BC" w:rsidP="0025292C">
      <w:pPr>
        <w:spacing w:before="100" w:after="100" w:line="240" w:lineRule="auto"/>
        <w:jc w:val="both"/>
        <w:rPr>
          <w:rFonts w:ascii="Times New Roman" w:eastAsia="Times New Roman" w:hAnsi="Times New Roman" w:cs="Times New Roman"/>
          <w:noProof/>
          <w:sz w:val="24"/>
          <w:szCs w:val="24"/>
        </w:rPr>
      </w:pPr>
      <w:r w:rsidRPr="0004458C">
        <w:rPr>
          <w:rFonts w:ascii="Times New Roman" w:hAnsi="Times New Roman"/>
          <w:noProof/>
          <w:sz w:val="24"/>
        </w:rPr>
        <w:t xml:space="preserve">Instrumentele prevăzute în organizarea revizuită a pieței energiei electrice permit statelor membre să sprijine dezvoltatorii de proiecte prin realocarea riscurilor legate de piața energiei electrice și de construcție. Finanțarea proiectelor se poate baza și pe contractele de achiziție de energie electrică (PPA); în aceste cazuri, statele membre pot concepe instrumente de sprijin care să vizeze producătorul din contractul respectiv. Alte jurisdicții, de exemplu SUA și Regatul Unit, testează alte instrumente inovatoare pentru a gestiona în continuare riscul de construcție, de exemplu prin adaptarea modelului de bază de active reglementate, o opțiune pe care și unele state membre au luat-o recent în considerare. </w:t>
      </w:r>
    </w:p>
    <w:p w14:paraId="0E43C0FF" w14:textId="4BB204AF" w:rsidR="00C915D9" w:rsidRPr="0004458C" w:rsidRDefault="00C915D9" w:rsidP="00C915D9">
      <w:pPr>
        <w:spacing w:line="240" w:lineRule="auto"/>
        <w:jc w:val="both"/>
        <w:rPr>
          <w:rFonts w:ascii="Times New Roman" w:eastAsia="Times New Roman" w:hAnsi="Times New Roman" w:cs="Times New Roman"/>
          <w:noProof/>
          <w:kern w:val="0"/>
          <w:sz w:val="24"/>
          <w:szCs w:val="24"/>
          <w14:ligatures w14:val="none"/>
        </w:rPr>
      </w:pPr>
      <w:r w:rsidRPr="0004458C">
        <w:rPr>
          <w:rFonts w:ascii="Times New Roman" w:hAnsi="Times New Roman"/>
          <w:noProof/>
          <w:sz w:val="24"/>
        </w:rPr>
        <w:t>Comisia va oferi orientări statelor membre cu privire la modul de concepere a contractelor pentru diferență (CfD) în cazul proiectelor legate de energie (</w:t>
      </w:r>
      <w:r w:rsidRPr="0004458C">
        <w:rPr>
          <w:rStyle w:val="FootnoteReference"/>
          <w:rFonts w:ascii="Times New Roman" w:eastAsia="Times New Roman" w:hAnsi="Times New Roman" w:cs="Times New Roman"/>
          <w:noProof/>
          <w:kern w:val="0"/>
          <w:sz w:val="24"/>
          <w:szCs w:val="24"/>
          <w:lang w:eastAsia="en-IE"/>
        </w:rPr>
        <w:footnoteReference w:id="39"/>
      </w:r>
      <w:r w:rsidRPr="0004458C">
        <w:rPr>
          <w:rFonts w:ascii="Times New Roman" w:hAnsi="Times New Roman"/>
          <w:noProof/>
          <w:sz w:val="24"/>
        </w:rPr>
        <w:t xml:space="preserve">), inclusiv la potențiala combinare a acestora cu contractele de achiziție de energie electrică (PPA), în concordanță cu normele privind ajutoarele de stat, astfel cum se indică în raportul Draghi și cum s-a anunțat în Pactul pentru o industrie curată. În concordanță cu abordarea din organizarea pieței energiei electrice, Comisia colaborează cu Banca Europeană de Investiții (BEI) pentru a promova PPA, inclusiv contractele de achiziție de energie electrică transfrontaliere, într-un mod neutru din punctul de vedere al tehnologiei. </w:t>
      </w:r>
    </w:p>
    <w:p w14:paraId="546239B3" w14:textId="6B13932F" w:rsidR="0025292C" w:rsidRPr="0004458C" w:rsidRDefault="5DAEC5BC" w:rsidP="0025292C">
      <w:pPr>
        <w:spacing w:line="240" w:lineRule="auto"/>
        <w:jc w:val="both"/>
        <w:rPr>
          <w:rFonts w:ascii="Times New Roman" w:eastAsia="Times New Roman" w:hAnsi="Times New Roman" w:cs="Times New Roman"/>
          <w:noProof/>
          <w:kern w:val="0"/>
          <w:sz w:val="24"/>
          <w:szCs w:val="24"/>
          <w14:ligatures w14:val="none"/>
        </w:rPr>
      </w:pPr>
      <w:bookmarkStart w:id="19" w:name="_Hlk198748857"/>
      <w:r w:rsidRPr="0004458C">
        <w:rPr>
          <w:rFonts w:ascii="Times New Roman" w:hAnsi="Times New Roman" w:cs="Times New Roman"/>
          <w:noProof/>
          <w:sz w:val="24"/>
          <w:szCs w:val="24"/>
        </w:rPr>
        <w:t>Atunci când concep caracteristicile sprijinului public, statele membre ar trebui să mențină stimulentele pentru a asigura comportamentul eficient al beneficiarilor, de exemplu realizarea construcției la timp și în limitele bugetulu</w:t>
      </w:r>
      <w:bookmarkEnd w:id="19"/>
      <w:r w:rsidRPr="0004458C">
        <w:rPr>
          <w:rFonts w:ascii="Times New Roman" w:hAnsi="Times New Roman" w:cs="Times New Roman"/>
          <w:noProof/>
          <w:sz w:val="24"/>
          <w:szCs w:val="24"/>
        </w:rPr>
        <w:t xml:space="preserve">i și capacitatea de dispecerizare pe baza semnalelor pieței. </w:t>
      </w:r>
    </w:p>
    <w:p w14:paraId="21EDE68E" w14:textId="6A89DF68" w:rsidR="2015358D" w:rsidRPr="0004458C" w:rsidRDefault="00C810AC" w:rsidP="003762C9">
      <w:pPr>
        <w:pStyle w:val="Heading1"/>
        <w:keepNext/>
        <w:ind w:left="431" w:hanging="431"/>
        <w:rPr>
          <w:noProof/>
        </w:rPr>
      </w:pPr>
      <w:r w:rsidRPr="0004458C">
        <w:rPr>
          <w:noProof/>
        </w:rPr>
        <w:t xml:space="preserve">Dincolo de producția de energie electrică </w:t>
      </w:r>
    </w:p>
    <w:p w14:paraId="18377D30" w14:textId="131B6E94" w:rsidR="004E429F" w:rsidRPr="0004458C" w:rsidRDefault="00A11A61" w:rsidP="005078FD">
      <w:pPr>
        <w:pStyle w:val="ListNumber"/>
        <w:numPr>
          <w:ilvl w:val="0"/>
          <w:numId w:val="0"/>
        </w:numPr>
        <w:spacing w:after="160"/>
        <w:rPr>
          <w:noProof/>
        </w:rPr>
      </w:pPr>
      <w:r w:rsidRPr="0004458C">
        <w:rPr>
          <w:noProof/>
        </w:rPr>
        <w:t xml:space="preserve">Atât flota existentă de reactoare nucleare, cât și noile investiții preconizate la nivelul UE și la nivel mondial se concentrează în mare măsură pe aprovizionarea cu energie electrică. Totuși, tehnologiile nucleare pot oferi, de asemenea, o sursă de căldură cu emisii scăzute de dioxid de carbon pentru gospodării și pentru diverse aplicații industriale și sunt, de asemenea, esențiale pentru producția de radioizotopi medicali. </w:t>
      </w:r>
    </w:p>
    <w:p w14:paraId="3DCB70F3" w14:textId="4889DE78" w:rsidR="00D20229" w:rsidRPr="0004458C" w:rsidRDefault="1C8FC112" w:rsidP="003F5282">
      <w:pPr>
        <w:pStyle w:val="Heading2"/>
        <w:keepNext/>
        <w:ind w:left="578" w:hanging="578"/>
        <w:rPr>
          <w:noProof/>
        </w:rPr>
      </w:pPr>
      <w:r w:rsidRPr="0004458C">
        <w:rPr>
          <w:noProof/>
        </w:rPr>
        <w:t>Furnizarea de energie termică</w:t>
      </w:r>
    </w:p>
    <w:p w14:paraId="08DBF761" w14:textId="7910FF65" w:rsidR="004E429F" w:rsidRPr="0004458C" w:rsidRDefault="00857E2D" w:rsidP="00037E22">
      <w:pPr>
        <w:pStyle w:val="ListNumber"/>
        <w:numPr>
          <w:ilvl w:val="0"/>
          <w:numId w:val="0"/>
        </w:numPr>
        <w:spacing w:after="160"/>
        <w:rPr>
          <w:noProof/>
        </w:rPr>
      </w:pPr>
      <w:r w:rsidRPr="0004458C">
        <w:rPr>
          <w:noProof/>
        </w:rPr>
        <w:t>Multe procese industriale necesită căldură la temperatură înaltă, generată în mod tradițional cu ajutorul combustibililor fosili. În prezent, cererea de căldură în scopuri industriale în UE este de aproximativ 1 900 TWh, din care aproximativ 960 TWh sunt necesari la niveluri de temperatură cuprinse între 500 °C și 1 000 °C. În concordanță cu electrificarea preconizată a sectoarelor care generează această cerere, studiile (</w:t>
      </w:r>
      <w:r w:rsidRPr="0004458C">
        <w:rPr>
          <w:noProof/>
          <w:szCs w:val="24"/>
          <w:vertAlign w:val="superscript"/>
        </w:rPr>
        <w:footnoteReference w:id="40"/>
      </w:r>
      <w:r w:rsidRPr="0004458C">
        <w:rPr>
          <w:noProof/>
        </w:rPr>
        <w:t>) indică o scădere cu 40 % a cererii de căldură la temperaturi înalte, până la aproximativ 620 TWh în 2050.</w:t>
      </w:r>
    </w:p>
    <w:p w14:paraId="5D9146C0" w14:textId="29560399" w:rsidR="004E429F" w:rsidRPr="0004458C" w:rsidRDefault="00191B21" w:rsidP="00037E22">
      <w:pPr>
        <w:pStyle w:val="ListNumber"/>
        <w:numPr>
          <w:ilvl w:val="0"/>
          <w:numId w:val="0"/>
        </w:numPr>
        <w:spacing w:after="160"/>
        <w:rPr>
          <w:noProof/>
        </w:rPr>
      </w:pPr>
      <w:r w:rsidRPr="0004458C">
        <w:rPr>
          <w:noProof/>
        </w:rPr>
        <w:t>Căldura provenită de la centrale nucleare a fost deja utilizată sau luată în considerare pentru încălzirea centralizată, industria chimică sau desalinizarea apei. În plus, dezvoltatorii de reactoare modulare de mici dimensiuni consideră că astfel de tehnologii își pot face loc pe piața căldurii la temperatură înaltă, întrucât acestea pot contribui fie la furnizarea directă de căldură pentru procesele greu de decarbonizat, fie prin producerea de hidrogen (figura 5).</w:t>
      </w:r>
    </w:p>
    <w:p w14:paraId="226AC578" w14:textId="20EFF4EB" w:rsidR="007005AA" w:rsidRPr="0004458C" w:rsidRDefault="007005AA" w:rsidP="00037E22">
      <w:pPr>
        <w:pStyle w:val="ListNumber"/>
        <w:numPr>
          <w:ilvl w:val="0"/>
          <w:numId w:val="0"/>
        </w:numPr>
        <w:spacing w:after="160"/>
        <w:rPr>
          <w:noProof/>
        </w:rPr>
      </w:pPr>
      <w:r w:rsidRPr="0004458C">
        <w:rPr>
          <w:noProof/>
        </w:rPr>
        <w:t>Furnizarea de încălzire centralizată este unul dintre cazurile posibile de utilizare a SMR. De exemplu, proiectul CityHeat, care a fost selectat de Alianța industrială europeană pentru SMR, analizează acest caz de utilizare.</w:t>
      </w:r>
    </w:p>
    <w:p w14:paraId="6984C6CC" w14:textId="47B8E070" w:rsidR="00A2246E" w:rsidRPr="0004458C" w:rsidRDefault="00A2246E" w:rsidP="00391F79">
      <w:pPr>
        <w:pStyle w:val="Caption"/>
        <w:rPr>
          <w:noProof/>
        </w:rPr>
      </w:pPr>
      <w:r w:rsidRPr="0004458C">
        <w:rPr>
          <w:noProof/>
        </w:rPr>
        <w:t xml:space="preserve">Figura </w:t>
      </w:r>
      <w:r w:rsidRPr="0004458C">
        <w:rPr>
          <w:noProof/>
        </w:rPr>
        <w:fldChar w:fldCharType="begin"/>
      </w:r>
      <w:r w:rsidRPr="0004458C">
        <w:rPr>
          <w:noProof/>
        </w:rPr>
        <w:instrText xml:space="preserve"> SEQ Figure \* ARABIC </w:instrText>
      </w:r>
      <w:r w:rsidRPr="0004458C">
        <w:rPr>
          <w:noProof/>
        </w:rPr>
        <w:fldChar w:fldCharType="separate"/>
      </w:r>
      <w:r w:rsidRPr="0004458C">
        <w:rPr>
          <w:noProof/>
        </w:rPr>
        <w:t>5</w:t>
      </w:r>
      <w:r w:rsidRPr="0004458C">
        <w:rPr>
          <w:noProof/>
        </w:rPr>
        <w:fldChar w:fldCharType="end"/>
      </w:r>
      <w:r w:rsidRPr="0004458C">
        <w:rPr>
          <w:noProof/>
        </w:rPr>
        <w:t>–</w:t>
      </w:r>
      <w:r w:rsidRPr="0004458C">
        <w:rPr>
          <w:noProof/>
        </w:rPr>
        <w:tab/>
        <w:t xml:space="preserve">Scenarii de implementare a SMR cu ponderi ale furnizării de căldură/hidrogen. </w:t>
      </w:r>
    </w:p>
    <w:p w14:paraId="13FA66EA" w14:textId="56F28F29" w:rsidR="00584F23" w:rsidRPr="0004458C" w:rsidRDefault="00366724" w:rsidP="00584F23">
      <w:pPr>
        <w:pStyle w:val="Text1"/>
        <w:tabs>
          <w:tab w:val="left" w:pos="1609"/>
        </w:tabs>
        <w:rPr>
          <w:noProof/>
        </w:rPr>
      </w:pPr>
      <w:r w:rsidRPr="0004458C">
        <w:rPr>
          <w:noProof/>
          <w:lang w:val="en-GB" w:eastAsia="en-GB"/>
        </w:rPr>
        <w:drawing>
          <wp:inline distT="0" distB="0" distL="0" distR="0" wp14:anchorId="326AF063" wp14:editId="36AD7375">
            <wp:extent cx="4908430" cy="3073071"/>
            <wp:effectExtent l="0" t="0" r="6985" b="0"/>
            <wp:docPr id="132457560" name="Picture 1" descr="A graph of a number of peop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457560" name="Picture 1" descr="A graph of a number of people&#10;&#10;AI-generated content may be incorrect."/>
                    <pic:cNvPicPr/>
                  </pic:nvPicPr>
                  <pic:blipFill>
                    <a:blip r:embed="rId23"/>
                    <a:stretch>
                      <a:fillRect/>
                    </a:stretch>
                  </pic:blipFill>
                  <pic:spPr>
                    <a:xfrm>
                      <a:off x="0" y="0"/>
                      <a:ext cx="4917985" cy="3079053"/>
                    </a:xfrm>
                    <a:prstGeom prst="rect">
                      <a:avLst/>
                    </a:prstGeom>
                  </pic:spPr>
                </pic:pic>
              </a:graphicData>
            </a:graphic>
          </wp:inline>
        </w:drawing>
      </w:r>
    </w:p>
    <w:p w14:paraId="197867DB" w14:textId="434E8BD8" w:rsidR="004E429F" w:rsidRPr="0004458C" w:rsidRDefault="00281340" w:rsidP="003F5282">
      <w:pPr>
        <w:pStyle w:val="Heading2"/>
        <w:keepNext/>
        <w:ind w:left="578" w:hanging="578"/>
        <w:rPr>
          <w:noProof/>
        </w:rPr>
      </w:pPr>
      <w:r w:rsidRPr="0004458C">
        <w:rPr>
          <w:noProof/>
        </w:rPr>
        <w:t xml:space="preserve">Radioizotopi medicali </w:t>
      </w:r>
    </w:p>
    <w:p w14:paraId="1C788B31" w14:textId="70272214" w:rsidR="00B754E3" w:rsidRPr="0004458C" w:rsidRDefault="5A7C10AE" w:rsidP="24956FDE">
      <w:pPr>
        <w:pStyle w:val="ListNumber"/>
        <w:numPr>
          <w:ilvl w:val="0"/>
          <w:numId w:val="0"/>
        </w:numPr>
        <w:spacing w:after="160"/>
        <w:rPr>
          <w:noProof/>
        </w:rPr>
      </w:pPr>
      <w:r w:rsidRPr="0004458C">
        <w:rPr>
          <w:noProof/>
        </w:rPr>
        <w:t xml:space="preserve">Reactoarele de cercetare nucleară joacă un rol esențial în producția de radioizotopi, care sunt esențiali atât pentru serviciile medicale, cât și pentru diverse aplicații industriale. </w:t>
      </w:r>
    </w:p>
    <w:p w14:paraId="2A98BBFE" w14:textId="5861FFE9" w:rsidR="004E429F" w:rsidRPr="0004458C" w:rsidRDefault="5786578E" w:rsidP="24956FDE">
      <w:pPr>
        <w:pStyle w:val="ListNumber"/>
        <w:numPr>
          <w:ilvl w:val="0"/>
          <w:numId w:val="0"/>
        </w:numPr>
        <w:spacing w:after="160"/>
        <w:rPr>
          <w:noProof/>
        </w:rPr>
      </w:pPr>
      <w:r w:rsidRPr="0004458C">
        <w:rPr>
          <w:noProof/>
        </w:rPr>
        <w:t>În sectorul medical, radioizotopii sunt indispensabili pentru diagnosticarea unor boli, cum ar fi cancerul, bolile cardiace, bolile pulmonare și bolile neurologice, și sunt tot mai importanți pentru terapia împotriva cancerului. Previziunile arată că numărul de pacienți eligibili pentru terapii cu produse radiofarmaceutice sau cu radionuclizi în UE se va tripla până în 2035 (</w:t>
      </w:r>
      <w:r w:rsidRPr="0004458C">
        <w:rPr>
          <w:noProof/>
          <w:vertAlign w:val="superscript"/>
        </w:rPr>
        <w:footnoteReference w:id="41"/>
      </w:r>
      <w:r w:rsidRPr="0004458C">
        <w:rPr>
          <w:noProof/>
        </w:rPr>
        <w:t xml:space="preserve">). Prin urmare, aprovizionarea sigură și pe termen lung cu radioizotopi medicali în UE este vitală pentru toți cetățenii. </w:t>
      </w:r>
    </w:p>
    <w:p w14:paraId="09008FDF" w14:textId="6080911A" w:rsidR="004E429F" w:rsidRPr="0004458C" w:rsidRDefault="00A715E3" w:rsidP="24956FDE">
      <w:pPr>
        <w:pStyle w:val="ListNumber"/>
        <w:numPr>
          <w:ilvl w:val="0"/>
          <w:numId w:val="0"/>
        </w:numPr>
        <w:spacing w:after="160"/>
        <w:rPr>
          <w:noProof/>
          <w:szCs w:val="24"/>
        </w:rPr>
      </w:pPr>
      <w:r w:rsidRPr="0004458C">
        <w:rPr>
          <w:noProof/>
        </w:rPr>
        <w:t>Uniunea Europeană este lider mondial pe această piață, furnizând în mod constant peste 65 % din serviciile de iradiere la nivel mondial și deținând o poziție puternică în ceea ce privește exporturile. Totuși, există și vulnerabilități care necesită acțiuni în timp util, cum ar fi dependența specifică de surse externe (de exemplu, aprovizionarea cu uraniu slab îmbogățit de înaltă puritate – HALEU) și îmbătrânirea reactoarelor de cercetare din UE. Deși sunt în construcție două reactoare de cercetare în vederea producerii de radioizotopi pentru uz medical, a căror finalizare este programată la începutul anilor 2030, ar trebui să se promoveze și inovarea pentru a diversifica mijloacele de producție și a spori reziliența sistemului.</w:t>
      </w:r>
    </w:p>
    <w:p w14:paraId="77005D98" w14:textId="1E9A2B02" w:rsidR="00957096" w:rsidRPr="0004458C" w:rsidRDefault="7C4E5F43" w:rsidP="00C92318">
      <w:pPr>
        <w:spacing w:line="240" w:lineRule="auto"/>
        <w:jc w:val="both"/>
        <w:rPr>
          <w:rFonts w:ascii="Times New Roman" w:eastAsia="Times New Roman" w:hAnsi="Times New Roman" w:cs="Times New Roman"/>
          <w:noProof/>
          <w:sz w:val="24"/>
          <w:szCs w:val="24"/>
        </w:rPr>
      </w:pPr>
      <w:r w:rsidRPr="0004458C">
        <w:rPr>
          <w:rFonts w:ascii="Times New Roman" w:hAnsi="Times New Roman"/>
          <w:noProof/>
          <w:sz w:val="24"/>
        </w:rPr>
        <w:t>Până în prezent, alte țări occidentale, și anume SUA și Regatul Unit, au investit deja sume substanțiale pentru aprovizionarea internă cu HALEU, și anume 1,2 miliarde USD și 300 de milioane GBP (</w:t>
      </w:r>
      <w:r w:rsidRPr="0004458C">
        <w:rPr>
          <w:rFonts w:ascii="Times New Roman" w:eastAsia="Times New Roman" w:hAnsi="Times New Roman" w:cs="Times New Roman"/>
          <w:noProof/>
          <w:sz w:val="24"/>
          <w:szCs w:val="24"/>
          <w:vertAlign w:val="superscript"/>
        </w:rPr>
        <w:footnoteReference w:id="42"/>
      </w:r>
      <w:r w:rsidRPr="0004458C">
        <w:rPr>
          <w:rFonts w:ascii="Times New Roman" w:hAnsi="Times New Roman"/>
          <w:noProof/>
          <w:sz w:val="24"/>
        </w:rPr>
        <w:t xml:space="preserve">). Statele membre ar trebui să recupereze decalajul în raport cu alte investiții similare în asigurarea materialelor sursă și în dezvoltarea de noi capacități industriale. </w:t>
      </w:r>
    </w:p>
    <w:p w14:paraId="6BE83806" w14:textId="14EAA5A8" w:rsidR="00FC4E8C" w:rsidRPr="0004458C" w:rsidRDefault="6302CE59" w:rsidP="00C92318">
      <w:pPr>
        <w:spacing w:line="240" w:lineRule="auto"/>
        <w:jc w:val="both"/>
        <w:rPr>
          <w:rFonts w:ascii="Times New Roman" w:eastAsia="Times New Roman" w:hAnsi="Times New Roman" w:cs="Times New Roman"/>
          <w:noProof/>
          <w:sz w:val="24"/>
          <w:szCs w:val="24"/>
        </w:rPr>
      </w:pPr>
      <w:r w:rsidRPr="0004458C">
        <w:rPr>
          <w:rFonts w:ascii="Times New Roman" w:hAnsi="Times New Roman"/>
          <w:noProof/>
          <w:sz w:val="24"/>
        </w:rPr>
        <w:t>În cadrul Planului de acțiune al Agendei strategice privind aplicațiile medicale ale radiațiilor ionizante (SAMIRA) (</w:t>
      </w:r>
      <w:r w:rsidRPr="0004458C">
        <w:rPr>
          <w:rFonts w:ascii="Times New Roman" w:eastAsia="Times New Roman" w:hAnsi="Times New Roman" w:cs="Times New Roman"/>
          <w:noProof/>
          <w:sz w:val="24"/>
          <w:szCs w:val="24"/>
          <w:vertAlign w:val="superscript"/>
        </w:rPr>
        <w:footnoteReference w:id="43"/>
      </w:r>
      <w:r w:rsidRPr="0004458C">
        <w:rPr>
          <w:rFonts w:ascii="Times New Roman" w:hAnsi="Times New Roman"/>
          <w:noProof/>
          <w:sz w:val="24"/>
        </w:rPr>
        <w:t>), Comisia a inițiat un proces în vederea instituirii „Inițiativei europene privind Platforma Europeană pentru Radioizotopi” (ERVI) pentru a asigura aprovizionarea UE cu radioizotopi medicali (</w:t>
      </w:r>
      <w:r w:rsidRPr="0004458C">
        <w:rPr>
          <w:rStyle w:val="FootnoteReference"/>
          <w:rFonts w:ascii="Times New Roman" w:eastAsia="Times New Roman" w:hAnsi="Times New Roman" w:cs="Times New Roman"/>
          <w:noProof/>
          <w:sz w:val="24"/>
          <w:szCs w:val="24"/>
        </w:rPr>
        <w:footnoteReference w:id="44"/>
      </w:r>
      <w:r w:rsidRPr="0004458C">
        <w:rPr>
          <w:rFonts w:ascii="Times New Roman" w:hAnsi="Times New Roman"/>
          <w:noProof/>
          <w:sz w:val="24"/>
        </w:rPr>
        <w:t>).</w:t>
      </w:r>
    </w:p>
    <w:p w14:paraId="442B8A2D" w14:textId="255F97C5" w:rsidR="00AC0047" w:rsidRPr="0004458C" w:rsidRDefault="07E42912" w:rsidP="00972054">
      <w:pPr>
        <w:pStyle w:val="Heading1"/>
        <w:keepNext/>
        <w:ind w:left="431" w:hanging="431"/>
        <w:rPr>
          <w:noProof/>
        </w:rPr>
      </w:pPr>
      <w:r w:rsidRPr="0004458C">
        <w:rPr>
          <w:noProof/>
        </w:rPr>
        <w:t>Independența strategică și diversificarea</w:t>
      </w:r>
    </w:p>
    <w:p w14:paraId="0A7CB81C" w14:textId="1E6280CF" w:rsidR="00130D8D" w:rsidRPr="0004458C" w:rsidRDefault="0021487C" w:rsidP="00A00B56">
      <w:pPr>
        <w:pStyle w:val="ListNumber"/>
        <w:numPr>
          <w:ilvl w:val="0"/>
          <w:numId w:val="0"/>
        </w:numPr>
        <w:spacing w:after="160"/>
        <w:rPr>
          <w:noProof/>
        </w:rPr>
      </w:pPr>
      <w:r w:rsidRPr="0004458C">
        <w:rPr>
          <w:noProof/>
        </w:rPr>
        <w:t xml:space="preserve">Independența strategică a UE este legată de punctele forte și de vulnerabilitățile lanțului de aprovizionare. Având în vedere planurile naționale care includ energia nucleară pentru decarbonizarea sistemului energetic și menținerea securității energetice, </w:t>
      </w:r>
      <w:r w:rsidRPr="0004458C">
        <w:rPr>
          <w:b/>
          <w:bCs/>
          <w:noProof/>
        </w:rPr>
        <w:t>este necesar să se stimuleze un ecosistem competitiv al industriei nucleare a UE</w:t>
      </w:r>
      <w:r w:rsidRPr="0004458C">
        <w:rPr>
          <w:noProof/>
        </w:rPr>
        <w:t>.</w:t>
      </w:r>
      <w:r w:rsidRPr="0004458C">
        <w:rPr>
          <w:b/>
          <w:noProof/>
        </w:rPr>
        <w:t xml:space="preserve"> </w:t>
      </w:r>
    </w:p>
    <w:p w14:paraId="46DC4DF9" w14:textId="6C5D942F" w:rsidR="00F0223B" w:rsidRPr="0004458C" w:rsidRDefault="00F47D1C" w:rsidP="003F5282">
      <w:pPr>
        <w:pStyle w:val="Heading2"/>
        <w:keepNext/>
        <w:ind w:left="578" w:hanging="578"/>
        <w:rPr>
          <w:noProof/>
        </w:rPr>
      </w:pPr>
      <w:r w:rsidRPr="0004458C">
        <w:rPr>
          <w:noProof/>
        </w:rPr>
        <w:t xml:space="preserve">Controlul lanțului de aprovizionare pe durata ciclului combustibilului </w:t>
      </w:r>
    </w:p>
    <w:p w14:paraId="632A080A" w14:textId="3E509706" w:rsidR="00061E78" w:rsidRPr="0004458C" w:rsidRDefault="00061E78" w:rsidP="00F0223B">
      <w:pPr>
        <w:pStyle w:val="ListNumber"/>
        <w:numPr>
          <w:ilvl w:val="0"/>
          <w:numId w:val="0"/>
        </w:numPr>
        <w:spacing w:after="160"/>
        <w:rPr>
          <w:noProof/>
        </w:rPr>
      </w:pPr>
      <w:r w:rsidRPr="0004458C">
        <w:rPr>
          <w:noProof/>
        </w:rPr>
        <w:t>Asigurarea securității aprovizionării de la minereu la combustibil nuclear ar trebui să rămână un obiectiv strategic al statelor membre cu programe în domeniul energiei nucleare, inclusiv eliminarea dependențelor actuale și evitarea dependenței în viitor. Toate statele membre ar trebui, de asemenea, să ia în considerare importanța strategică a securității aprovizionării cu radioizotopi.</w:t>
      </w:r>
    </w:p>
    <w:p w14:paraId="0CA821F3" w14:textId="4052B14A" w:rsidR="00F0223B" w:rsidRPr="0004458C" w:rsidRDefault="0BE3AA6D" w:rsidP="00F0223B">
      <w:pPr>
        <w:pStyle w:val="ListNumber"/>
        <w:numPr>
          <w:ilvl w:val="0"/>
          <w:numId w:val="0"/>
        </w:numPr>
        <w:spacing w:after="160"/>
        <w:rPr>
          <w:b/>
          <w:bCs/>
          <w:noProof/>
        </w:rPr>
      </w:pPr>
      <w:r w:rsidRPr="0004458C">
        <w:rPr>
          <w:noProof/>
        </w:rPr>
        <w:t xml:space="preserve">Agresiunea militară nejustificată a Rusiei împotriva Ucrainei a perturbat sistemul mondial de aprovizionare cu toate sursele de energie. Aceasta a afectat piața UE de-a lungul întregului lanț de aprovizionare cu combustibil nuclear: în special serviciile de conversie, îmbogățire și fabricare a combustibilului trebuie să fie gestionate în mod strategic. Într-o măsură mai mică, trebuie acordată atenție și extracției uraniului. </w:t>
      </w:r>
    </w:p>
    <w:p w14:paraId="694D3225" w14:textId="466BAA7E" w:rsidR="00657670" w:rsidRPr="0004458C" w:rsidRDefault="5E2D68E3" w:rsidP="000F1C4E">
      <w:pPr>
        <w:pStyle w:val="ListNumber"/>
        <w:numPr>
          <w:ilvl w:val="0"/>
          <w:numId w:val="0"/>
        </w:numPr>
        <w:spacing w:after="160"/>
        <w:rPr>
          <w:noProof/>
        </w:rPr>
      </w:pPr>
      <w:r w:rsidRPr="0004458C">
        <w:rPr>
          <w:noProof/>
        </w:rPr>
        <w:t>Independența strategică a UE este vulnerabilă în măsura în care serviciile de conversie și îmbogățire (atât la nivel intern, cât și la nivelul partenerilor care împărtășesc aceeași viziune) nu sunt suficiente pentru a asigura o aprovizionare adecvată, având în vedere scenariile preconizate de extindere a capacităților nucleare. În scenariul de referință, capacitatea UE de furnizare a serviciilor de conversie abia corespunde cererii prevăzute până în 2050, în timp ce capacitatea UE de furnizare a serviciilor de îmbogățire este estimată a fi cât de cât suficientă, cu o lipsă clară în ceea ce privește HALEU, care este necesar în special pentru anumite SMR.</w:t>
      </w:r>
    </w:p>
    <w:p w14:paraId="1DEC2459" w14:textId="59AA3BFA" w:rsidR="000F1C4E" w:rsidRPr="0004458C" w:rsidRDefault="00FD64D4" w:rsidP="000F1C4E">
      <w:pPr>
        <w:pStyle w:val="ListNumber"/>
        <w:numPr>
          <w:ilvl w:val="0"/>
          <w:numId w:val="0"/>
        </w:numPr>
        <w:spacing w:after="160"/>
        <w:rPr>
          <w:rStyle w:val="normaltextrun"/>
          <w:noProof/>
          <w:color w:val="000000"/>
          <w:shd w:val="clear" w:color="auto" w:fill="FFFFFF"/>
        </w:rPr>
      </w:pPr>
      <w:r w:rsidRPr="0004458C">
        <w:rPr>
          <w:noProof/>
        </w:rPr>
        <w:t>Prețurile conversiei și îmbogățirii uraniului aproape s-au triplat în perioada cuprinsă între februarie 2022 și decembrie 2023. Capacitățile de conversie și de îmbogățire din UE trebuie să crească pentru a satisface cererea și a evita dependența de un singur furnizor sau de furnizori nesiguri. Deși au fost anunțate investiții în noi capacități de îmbogățire (</w:t>
      </w:r>
      <w:r w:rsidRPr="0004458C">
        <w:rPr>
          <w:noProof/>
          <w:vertAlign w:val="superscript"/>
        </w:rPr>
        <w:footnoteReference w:id="45"/>
      </w:r>
      <w:r w:rsidRPr="0004458C">
        <w:rPr>
          <w:noProof/>
        </w:rPr>
        <w:t>), investițiile în capacități de conversie înregistrează întârzieri, a se vedea figura 6. Atât furnizorii de servicii de conversie, cât și furnizorii de servicii de îmbogățire au nevoie de angajamente pe termen lung pentru a finanța aceste investiții</w:t>
      </w:r>
      <w:r w:rsidRPr="0004458C">
        <w:rPr>
          <w:rStyle w:val="normaltextrun"/>
          <w:noProof/>
          <w:color w:val="000000"/>
          <w:shd w:val="clear" w:color="auto" w:fill="FFFFFF"/>
        </w:rPr>
        <w:t>.</w:t>
      </w:r>
    </w:p>
    <w:p w14:paraId="66879626" w14:textId="68C43E91" w:rsidR="006B1D69" w:rsidRPr="0004458C" w:rsidRDefault="006B1D69" w:rsidP="00391F79">
      <w:pPr>
        <w:pStyle w:val="Caption"/>
        <w:rPr>
          <w:noProof/>
        </w:rPr>
      </w:pPr>
      <w:r w:rsidRPr="0004458C">
        <w:rPr>
          <w:noProof/>
        </w:rPr>
        <w:t xml:space="preserve">Figura </w:t>
      </w:r>
      <w:r w:rsidRPr="0004458C">
        <w:rPr>
          <w:noProof/>
        </w:rPr>
        <w:fldChar w:fldCharType="begin"/>
      </w:r>
      <w:r w:rsidRPr="0004458C">
        <w:rPr>
          <w:noProof/>
        </w:rPr>
        <w:instrText xml:space="preserve"> SEQ Figure \* ARABIC </w:instrText>
      </w:r>
      <w:r w:rsidRPr="0004458C">
        <w:rPr>
          <w:noProof/>
        </w:rPr>
        <w:fldChar w:fldCharType="separate"/>
      </w:r>
      <w:r w:rsidRPr="0004458C">
        <w:rPr>
          <w:noProof/>
        </w:rPr>
        <w:t>6</w:t>
      </w:r>
      <w:r w:rsidRPr="0004458C">
        <w:rPr>
          <w:noProof/>
        </w:rPr>
        <w:fldChar w:fldCharType="end"/>
      </w:r>
      <w:r w:rsidRPr="0004458C">
        <w:rPr>
          <w:noProof/>
        </w:rPr>
        <w:t>–</w:t>
      </w:r>
      <w:r w:rsidRPr="0004458C">
        <w:rPr>
          <w:noProof/>
        </w:rPr>
        <w:tab/>
        <w:t>Cererea globală de servicii de conversie comparativ cu previziunile privind capacitatea de furnizare. (tU ca UF</w:t>
      </w:r>
      <w:r w:rsidRPr="0004458C">
        <w:rPr>
          <w:noProof/>
          <w:vertAlign w:val="subscript"/>
        </w:rPr>
        <w:t>6</w:t>
      </w:r>
      <w:r w:rsidRPr="0004458C">
        <w:rPr>
          <w:noProof/>
        </w:rPr>
        <w:t xml:space="preserve"> pe an).</w:t>
      </w:r>
    </w:p>
    <w:p w14:paraId="580D9D9C" w14:textId="5E00CDFE" w:rsidR="00A543F5" w:rsidRPr="0004458C" w:rsidRDefault="0004458C" w:rsidP="00A543F5">
      <w:pPr>
        <w:pStyle w:val="Text1"/>
        <w:rPr>
          <w:rFonts w:ascii="Arial" w:hAnsi="Arial" w:cs="Arial"/>
          <w:noProof/>
          <w:sz w:val="18"/>
          <w:szCs w:val="18"/>
        </w:rPr>
      </w:pPr>
      <w:r w:rsidRPr="0004458C">
        <w:rPr>
          <w:rFonts w:ascii="Arial" w:hAnsi="Arial" w:cs="Arial"/>
          <w:noProof/>
          <w:sz w:val="18"/>
          <w:szCs w:val="18"/>
          <w:lang w:val="en-GB" w:eastAsia="en-GB"/>
        </w:rPr>
        <w:drawing>
          <wp:inline distT="0" distB="0" distL="0" distR="0" wp14:anchorId="5FEB7252" wp14:editId="26A3CC00">
            <wp:extent cx="4695971" cy="3090413"/>
            <wp:effectExtent l="0" t="0" r="0" b="0"/>
            <wp:docPr id="2101233898" name="Picture 1" descr="A graph of different colo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1233898" name="Picture 1" descr="A graph of different colored lines&#10;&#10;AI-generated content may be incorrect."/>
                    <pic:cNvPicPr/>
                  </pic:nvPicPr>
                  <pic:blipFill>
                    <a:blip r:embed="rId24"/>
                    <a:stretch>
                      <a:fillRect/>
                    </a:stretch>
                  </pic:blipFill>
                  <pic:spPr>
                    <a:xfrm>
                      <a:off x="0" y="0"/>
                      <a:ext cx="4711932" cy="3100917"/>
                    </a:xfrm>
                    <a:prstGeom prst="rect">
                      <a:avLst/>
                    </a:prstGeom>
                  </pic:spPr>
                </pic:pic>
              </a:graphicData>
            </a:graphic>
          </wp:inline>
        </w:drawing>
      </w:r>
    </w:p>
    <w:p w14:paraId="6F2D80A6" w14:textId="43F448DC" w:rsidR="00B64951" w:rsidRPr="0004458C" w:rsidRDefault="04B7773F" w:rsidP="00056E8D">
      <w:pPr>
        <w:pStyle w:val="ListNumber"/>
        <w:numPr>
          <w:ilvl w:val="0"/>
          <w:numId w:val="0"/>
        </w:numPr>
        <w:spacing w:after="160"/>
        <w:rPr>
          <w:noProof/>
        </w:rPr>
      </w:pPr>
      <w:r w:rsidRPr="0004458C">
        <w:rPr>
          <w:noProof/>
        </w:rPr>
        <w:t>Majoritatea utilităților din UE pot achiziționa combustibil nuclear de la cel puțin doi furnizori alternativi. În mod excepțional, a existat o dependență de un singur model și un singur furnizor de combustibil în cazul reactoarelor nucleare de concepție rusească care funcționează în UE (VVER) și aceasta a devenit o vulnerabilitate pentru securitatea aprovizionării (</w:t>
      </w:r>
      <w:r w:rsidRPr="0004458C">
        <w:rPr>
          <w:noProof/>
          <w:vertAlign w:val="superscript"/>
        </w:rPr>
        <w:footnoteReference w:id="46"/>
      </w:r>
      <w:r w:rsidRPr="0004458C">
        <w:rPr>
          <w:noProof/>
        </w:rPr>
        <w:t>). Aproape toți operatorii vizați din UE au luat măsuri pentru a diversifica aprovizionarea cu combustibil nuclear; se preconizează că aprovizionarea cu combustibili alternativi VVER va deveni pe deplin disponibilă până în 2027, fiind în așteptarea aprobării de către autoritățile de reglementare.</w:t>
      </w:r>
    </w:p>
    <w:p w14:paraId="27F1D4BF" w14:textId="3F4B3C18" w:rsidR="00EC3CAB" w:rsidRPr="0004458C" w:rsidRDefault="00B76D14" w:rsidP="00EC3CAB">
      <w:pPr>
        <w:pStyle w:val="ListNumber"/>
        <w:numPr>
          <w:ilvl w:val="0"/>
          <w:numId w:val="0"/>
        </w:numPr>
        <w:spacing w:after="160"/>
        <w:rPr>
          <w:noProof/>
        </w:rPr>
      </w:pPr>
      <w:r w:rsidRPr="0004458C">
        <w:rPr>
          <w:noProof/>
        </w:rPr>
        <w:t>Extracția uraniului în UE a scăzut semnificativ în ultimele decenii, ceea ce a dus la o dependență puternică de importurile din cinci țări pentru a satisface nevoile de energie nucleară ale regiunii. Piața mondială a uraniului se confruntă cu provocări din cauza agresiunii militare nejustificate a Rusiei împotriva Ucrainei, a loviturii de stat din Niger, a problemelor de producție, a dificultăților de transport și a creșterii cererii, ceea ce a influențat previziunile privind cererea și oferta, stabilind o presiune ascendentă asupra prețului uraniului.</w:t>
      </w:r>
    </w:p>
    <w:p w14:paraId="29FE6D10" w14:textId="74D5E14E" w:rsidR="001654C3" w:rsidRPr="0004458C" w:rsidRDefault="00C1368E">
      <w:pPr>
        <w:pStyle w:val="ListNumber"/>
        <w:numPr>
          <w:ilvl w:val="0"/>
          <w:numId w:val="0"/>
        </w:numPr>
        <w:rPr>
          <w:noProof/>
        </w:rPr>
      </w:pPr>
      <w:r w:rsidRPr="0004458C">
        <w:rPr>
          <w:noProof/>
        </w:rPr>
        <w:t>Eliminarea treptată a livrărilor de la parteneri nesiguri este o necesitate pentru a asigura securitatea economică a UE. Condiția prealabilă ar fi să se asigure că piețele sigure și deschise ar putea compensa capacitatea Rusiei. Intensificarea cooperării dintre UE și partenerii internaționali de încredere este esențială în acest context. UE și mai multe țări ar trebui să se coordoneze pentru a asigura reziliența lanțului de aprovizionare cu energie nucleară în vederea atingerii obiectivelor pe care Comisia le-a prezentat în Foaia de parcurs pentru încetarea importurilor de energie din Rusia</w:t>
      </w:r>
      <w:r w:rsidR="0004458C" w:rsidRPr="0004458C">
        <w:rPr>
          <w:noProof/>
        </w:rPr>
        <w:t> </w:t>
      </w:r>
      <w:r w:rsidRPr="0004458C">
        <w:rPr>
          <w:noProof/>
        </w:rPr>
        <w:t>(</w:t>
      </w:r>
      <w:r w:rsidRPr="0004458C">
        <w:rPr>
          <w:rStyle w:val="FootnoteReference"/>
          <w:noProof/>
        </w:rPr>
        <w:footnoteReference w:id="47"/>
      </w:r>
      <w:r w:rsidRPr="0004458C">
        <w:rPr>
          <w:noProof/>
        </w:rPr>
        <w:t xml:space="preserve">). </w:t>
      </w:r>
    </w:p>
    <w:p w14:paraId="5B6CB58A" w14:textId="7E06C110" w:rsidR="00F0223B" w:rsidRPr="0004458C" w:rsidRDefault="008A5024" w:rsidP="003F5282">
      <w:pPr>
        <w:pStyle w:val="Heading2"/>
        <w:keepNext/>
        <w:ind w:left="578" w:hanging="578"/>
        <w:rPr>
          <w:noProof/>
        </w:rPr>
      </w:pPr>
      <w:r w:rsidRPr="0004458C">
        <w:rPr>
          <w:noProof/>
        </w:rPr>
        <w:t>Capacitatea lanțului de aprovizionare pe durata ciclului de viață industrial</w:t>
      </w:r>
    </w:p>
    <w:p w14:paraId="747D612C" w14:textId="7235230B" w:rsidR="00F0223B" w:rsidRPr="0004458C" w:rsidRDefault="009A283A" w:rsidP="00F0223B">
      <w:pPr>
        <w:pStyle w:val="ListNumber"/>
        <w:numPr>
          <w:ilvl w:val="0"/>
          <w:numId w:val="0"/>
        </w:numPr>
        <w:spacing w:after="160"/>
        <w:rPr>
          <w:noProof/>
          <w:szCs w:val="24"/>
        </w:rPr>
      </w:pPr>
      <w:r w:rsidRPr="0004458C">
        <w:rPr>
          <w:noProof/>
        </w:rPr>
        <w:t>Lanțul de aprovizionare cu energie nucleară din UE are un caracter intern pronunțat și ar trebui să fie în măsură să abordeze posibilele perturbări viitoare cauzate de geopolitică, de disponibilitatea materiilor prime sau de schimbările climatice. Menținerea unui lanț de aprovizionare solid, fiabil și interconectat este esențială pentru materializarea cererii preconizate de capacități nucleare în UE. În ultimele decenii, lanțul de aprovizionare cu energie nucleară al UE a fost marcat atât de contracție, cât și de tendințe de reorientare către activități de întreținere și modernizare, mai degrabă decât către noi activități de construcție.</w:t>
      </w:r>
    </w:p>
    <w:p w14:paraId="3109FA6D" w14:textId="72F2293D" w:rsidR="003B1E1E" w:rsidRPr="0004458C" w:rsidRDefault="38239716">
      <w:pPr>
        <w:pStyle w:val="ListNumber"/>
        <w:numPr>
          <w:ilvl w:val="0"/>
          <w:numId w:val="0"/>
        </w:numPr>
        <w:spacing w:after="160"/>
        <w:rPr>
          <w:noProof/>
          <w:szCs w:val="24"/>
        </w:rPr>
      </w:pPr>
      <w:r w:rsidRPr="0004458C">
        <w:rPr>
          <w:noProof/>
        </w:rPr>
        <w:t>Planurile actuale pentru construcția de noi reactoare în UE presupun necesitatea extinderii lanțului de aprovizionare la capacități mai mari pentru a produce toate componentele necesare pentru o centrală nucleară. Pentru a atinge o capacitate nucleară nouă la scară largă de 60 GWe până în 2050, statele membre și industria ar trebui să se implice în mai multe proiecte de construcții în același timp. Acest lucru implică faptul că, din cauza perioadei lungi de construcție a centralelor nucleare de mari dimensiuni, în următorii 25 de ani, echivalentul a aproximativ 20 GWe, reprezentând aproximativ 15 reactoare nucleare mari, ar trebui să fie construit simultan. Analiza Comisiei a identificat procese de fabricație principale, cum ar fi forjarea grea, care necesită o intervenție imediată (</w:t>
      </w:r>
      <w:r w:rsidRPr="0004458C">
        <w:rPr>
          <w:rStyle w:val="FootnoteReference"/>
          <w:noProof/>
          <w:szCs w:val="24"/>
        </w:rPr>
        <w:footnoteReference w:id="48"/>
      </w:r>
      <w:r w:rsidRPr="0004458C">
        <w:rPr>
          <w:noProof/>
        </w:rPr>
        <w:t>). Creșterea rezilienței lanțului de aprovizionare cu energie nucleară în UE ar permite, de asemenea, diversificarea în continuare a tehnologiilor nucleare și a ciclului combustibilului aferent acestora.</w:t>
      </w:r>
    </w:p>
    <w:p w14:paraId="08C907B7" w14:textId="6BAD342B" w:rsidR="004D5676" w:rsidRPr="0004458C" w:rsidRDefault="008A5024" w:rsidP="003121CE">
      <w:pPr>
        <w:pStyle w:val="ListNumber"/>
        <w:numPr>
          <w:ilvl w:val="0"/>
          <w:numId w:val="0"/>
        </w:numPr>
        <w:spacing w:after="160"/>
        <w:rPr>
          <w:i/>
          <w:iCs/>
          <w:noProof/>
        </w:rPr>
      </w:pPr>
      <w:r w:rsidRPr="0004458C">
        <w:rPr>
          <w:i/>
          <w:noProof/>
        </w:rPr>
        <w:t xml:space="preserve">Disponibilitatea forței de muncă și competențele </w:t>
      </w:r>
    </w:p>
    <w:p w14:paraId="2339B021" w14:textId="4F921ACA" w:rsidR="004D5676" w:rsidRPr="0004458C" w:rsidRDefault="007048E8" w:rsidP="004D5676">
      <w:pPr>
        <w:spacing w:line="240" w:lineRule="auto"/>
        <w:jc w:val="both"/>
        <w:rPr>
          <w:rFonts w:ascii="Times New Roman" w:eastAsia="Times New Roman" w:hAnsi="Times New Roman" w:cs="Times New Roman"/>
          <w:noProof/>
          <w:sz w:val="24"/>
          <w:szCs w:val="24"/>
        </w:rPr>
      </w:pPr>
      <w:bookmarkStart w:id="20" w:name="_Hlk198749360"/>
      <w:r w:rsidRPr="0004458C">
        <w:rPr>
          <w:rFonts w:ascii="Times New Roman" w:hAnsi="Times New Roman"/>
          <w:noProof/>
          <w:sz w:val="24"/>
        </w:rPr>
        <w:t>Cererea ridicată de lucrători calificați este valabilă pentru toate posturile din ecosistemul nuclear, inclusiv ingineri și cercetători științifici în domeniul energiei nucleare, operatori de centrale, tehnicieni și angajați ai autorităților de reglementare</w:t>
      </w:r>
      <w:bookmarkEnd w:id="20"/>
      <w:r w:rsidRPr="0004458C">
        <w:rPr>
          <w:rFonts w:ascii="Times New Roman" w:hAnsi="Times New Roman"/>
          <w:noProof/>
          <w:sz w:val="24"/>
        </w:rPr>
        <w:t>. Blocajele iminente legate de forța de muncă, exacerbate de îmbătrânirea forței de muncă și de un aflux insuficient de profesioniști mai tineri, din cauza atractivității scăzute a sectorului și a unui deficit în ceea ce privește educația în domeniul științei, tehnologiei, ingineriei și matematicii (STIM), creează diverse provocări pentru autoritățile și industria nucleară din UE.</w:t>
      </w:r>
    </w:p>
    <w:p w14:paraId="2BE95FE1" w14:textId="69DC62B6" w:rsidR="00016A68" w:rsidRPr="0004458C" w:rsidRDefault="02D086ED" w:rsidP="009E73F1">
      <w:pPr>
        <w:spacing w:line="240" w:lineRule="auto"/>
        <w:jc w:val="both"/>
        <w:rPr>
          <w:rFonts w:ascii="Times New Roman" w:eastAsia="Times New Roman" w:hAnsi="Times New Roman" w:cs="Times New Roman"/>
          <w:noProof/>
          <w:sz w:val="24"/>
          <w:szCs w:val="24"/>
        </w:rPr>
      </w:pPr>
      <w:r w:rsidRPr="0004458C">
        <w:rPr>
          <w:rFonts w:ascii="Times New Roman" w:hAnsi="Times New Roman"/>
          <w:noProof/>
          <w:sz w:val="24"/>
        </w:rPr>
        <w:t>Un studiu (</w:t>
      </w:r>
      <w:r w:rsidRPr="0004458C">
        <w:rPr>
          <w:rStyle w:val="FootnoteReference"/>
          <w:rFonts w:ascii="Times New Roman" w:eastAsia="Times New Roman" w:hAnsi="Times New Roman" w:cs="Times New Roman"/>
          <w:noProof/>
          <w:sz w:val="24"/>
          <w:szCs w:val="24"/>
        </w:rPr>
        <w:footnoteReference w:id="49"/>
      </w:r>
      <w:r w:rsidRPr="0004458C">
        <w:rPr>
          <w:rFonts w:ascii="Times New Roman" w:hAnsi="Times New Roman"/>
          <w:noProof/>
          <w:sz w:val="24"/>
        </w:rPr>
        <w:t xml:space="preserve">) a furnizat estimări cu privire la nevoile sectorului nuclear din UE în ceea ce privește locurile de muncă. </w:t>
      </w:r>
      <w:bookmarkStart w:id="21" w:name="_Hlk198749409"/>
      <w:r w:rsidRPr="0004458C">
        <w:rPr>
          <w:rFonts w:ascii="Times New Roman" w:hAnsi="Times New Roman" w:cs="Times New Roman"/>
          <w:noProof/>
          <w:sz w:val="24"/>
          <w:szCs w:val="24"/>
        </w:rPr>
        <w:t>Un număr suplimentar de 180 000-250 000 de noi profesioniști trebuie să fie angajați până în 2050, pe lângă înlocuirea angajaților care se pensionează</w:t>
      </w:r>
      <w:bookmarkEnd w:id="21"/>
      <w:r w:rsidRPr="0004458C">
        <w:rPr>
          <w:rFonts w:ascii="Times New Roman" w:hAnsi="Times New Roman" w:cs="Times New Roman"/>
          <w:noProof/>
          <w:sz w:val="24"/>
          <w:szCs w:val="24"/>
        </w:rPr>
        <w:t xml:space="preserve">. </w:t>
      </w:r>
      <w:r w:rsidRPr="0004458C">
        <w:rPr>
          <w:rFonts w:ascii="Times New Roman" w:hAnsi="Times New Roman"/>
          <w:noProof/>
          <w:sz w:val="24"/>
        </w:rPr>
        <w:t>Ar putea fi necesar un număr de aproximativ 100 000-150 000 de profesioniști pentru a se ocupa de faza de construcție a noilor centrale nucleare planificate. Alți 40 000 până la aproape 65 000 de profesioniști sunt necesari pentru exploatarea și întreținerea centralelor nucleare planificate. În cele din urmă, sectorul dezafectărilor ar putea necesita încă 40 000 de profesioniști. Chiar și într-un scenariu de statu-quo (echivalent cu scenariul de referință), aproximativ 100 000 de persoane ar trebui să mai fie recrutate pentru a înlocui lucrătorii care se pensionează. De asemenea, este necesară o atenție deosebită în sectorul fuziunii pentru a menține rolul de lider al UE.</w:t>
      </w:r>
    </w:p>
    <w:p w14:paraId="201832B2" w14:textId="7CA92369" w:rsidR="004D5676" w:rsidRPr="0004458C" w:rsidRDefault="00B57DCB" w:rsidP="004D5676">
      <w:pPr>
        <w:spacing w:line="240" w:lineRule="auto"/>
        <w:jc w:val="both"/>
        <w:rPr>
          <w:rFonts w:ascii="Times New Roman" w:eastAsia="Times New Roman" w:hAnsi="Times New Roman" w:cs="Times New Roman"/>
          <w:noProof/>
          <w:sz w:val="24"/>
          <w:szCs w:val="24"/>
        </w:rPr>
      </w:pPr>
      <w:r w:rsidRPr="0004458C">
        <w:rPr>
          <w:rFonts w:ascii="Times New Roman" w:hAnsi="Times New Roman"/>
          <w:noProof/>
          <w:sz w:val="24"/>
        </w:rPr>
        <w:t>Această provocare poate fi abordată printr-un răspuns pe mai multe niveluri, care să cuprindă cartografierea nevoilor de forță de muncă, îmbunătățirea educației și formării, îmbunătățirea comunicării, oferirea unor condiții de muncă mai bune și sprijinirea mobilității lucrătorilor (din industriile adiacente sau din țări terțe), precum și prin accesul la infrastructurile de cercetare nucleară.</w:t>
      </w:r>
    </w:p>
    <w:p w14:paraId="5F6C78F5" w14:textId="1A70813D" w:rsidR="00A90CA6" w:rsidRPr="0004458C" w:rsidRDefault="00A90CA6" w:rsidP="00A90CA6">
      <w:pPr>
        <w:spacing w:line="240" w:lineRule="auto"/>
        <w:jc w:val="both"/>
        <w:rPr>
          <w:rFonts w:ascii="Times New Roman" w:eastAsia="Times New Roman" w:hAnsi="Times New Roman" w:cs="Times New Roman"/>
          <w:noProof/>
          <w:sz w:val="24"/>
          <w:szCs w:val="24"/>
        </w:rPr>
      </w:pPr>
      <w:r w:rsidRPr="0004458C">
        <w:rPr>
          <w:rFonts w:ascii="Times New Roman" w:hAnsi="Times New Roman"/>
          <w:noProof/>
          <w:sz w:val="24"/>
        </w:rPr>
        <w:t>În cazul în care nu se întreprinde nicio acțiune, Europa va suferi un deficit de competențe și de forță de muncă în sectorul nuclear, inclusiv în cadrul anumitor organisme de reglementare. Acest deficit poate fi și mai mare în ceea ce privește tehnologiile de vârf, cum ar fi SMR. Forța de muncă are nevoie de realimentare, de reîntinerire și de un transfer de competențe și experiențe către generația următoare. Întrucât sectorul nuclear trebuie să ia inițiativa de a atrage noi talente, Comisia și statele membre pot sprijini acest proces, de exemplu prin intermediul academiilor pentru industria care contribuie la obiectivul zero emisii nete și prin consolidarea în continuare a acțiunilor finanțate prin Programul pentru cercetare și formare al Euratom în sprijinul evaluării, menținerii și dezvoltării competențelor strategice necesare la nivelul UE.</w:t>
      </w:r>
    </w:p>
    <w:p w14:paraId="0D2FFADF" w14:textId="752F1BF9" w:rsidR="001845D2" w:rsidRPr="0004458C" w:rsidRDefault="001845D2" w:rsidP="00A90CA6">
      <w:pPr>
        <w:spacing w:line="240" w:lineRule="auto"/>
        <w:jc w:val="both"/>
        <w:rPr>
          <w:rFonts w:ascii="Times New Roman" w:eastAsia="Times New Roman" w:hAnsi="Times New Roman" w:cs="Times New Roman"/>
          <w:noProof/>
          <w:sz w:val="24"/>
          <w:szCs w:val="24"/>
        </w:rPr>
      </w:pPr>
      <w:r w:rsidRPr="0004458C">
        <w:rPr>
          <w:rFonts w:ascii="Times New Roman" w:hAnsi="Times New Roman"/>
          <w:noProof/>
          <w:sz w:val="24"/>
        </w:rPr>
        <w:t>Proiectul SKILLS4NUCLEAR (</w:t>
      </w:r>
      <w:r w:rsidRPr="0004458C">
        <w:rPr>
          <w:rStyle w:val="FootnoteReference"/>
          <w:rFonts w:ascii="Times New Roman" w:eastAsia="Times New Roman" w:hAnsi="Times New Roman" w:cs="Times New Roman"/>
          <w:noProof/>
          <w:sz w:val="24"/>
          <w:szCs w:val="24"/>
        </w:rPr>
        <w:footnoteReference w:id="50"/>
      </w:r>
      <w:r w:rsidRPr="0004458C">
        <w:rPr>
          <w:rFonts w:ascii="Times New Roman" w:hAnsi="Times New Roman"/>
          <w:noProof/>
          <w:sz w:val="24"/>
        </w:rPr>
        <w:t>), lansat în 2025 cu o finanțare din partea EURATOM în valoare de 1,5 milioane EUR, vizează consolidarea capacităților în domeniul securității nucleare, al dezafectării, al gestionării deșeurilor, al radioprotecției și al aplicațiilor medicale, promovând în același timp dezvoltarea forței de muncă în industrie. În plus, proiectul va institui un forum european pentru forță de muncă și competențe în domeniul nuclear în vederea actualizării programelor de formare pe baza evoluțiilor emergente și a dezvoltării unor inițiative de recalificare și perfecționare pentru lucrători.</w:t>
      </w:r>
    </w:p>
    <w:p w14:paraId="303D91FB" w14:textId="0B421F06" w:rsidR="009D043B" w:rsidRPr="0004458C" w:rsidRDefault="009D043B" w:rsidP="00A90CA6">
      <w:pPr>
        <w:spacing w:line="240" w:lineRule="auto"/>
        <w:jc w:val="both"/>
        <w:rPr>
          <w:rFonts w:ascii="Times New Roman" w:eastAsia="Times New Roman" w:hAnsi="Times New Roman" w:cs="Times New Roman"/>
          <w:noProof/>
          <w:sz w:val="24"/>
          <w:szCs w:val="24"/>
        </w:rPr>
      </w:pPr>
      <w:r w:rsidRPr="0004458C">
        <w:rPr>
          <w:rFonts w:ascii="Times New Roman" w:hAnsi="Times New Roman"/>
          <w:noProof/>
          <w:sz w:val="24"/>
        </w:rPr>
        <w:t>Necesitatea unei infrastructuri europene solide de cercetare nucleară are o importanță vitală, deoarece sprijină cercetarea de vârf, stimulează inovarea și intensifică eforturile de colaborare între statele membre. Aceasta include dezvoltarea și întreținerea instalațiilor experimentale, a platformelor pentru schimbul de date și a rețelelor integrate de cercetare care permit cercetătorilor științifici și inginerilor să efectueze studii cuprinzătoare privind securitatea nucleară, garanțiile nucleare, gestionarea deșeurilor, energia de fuziune, precum și dezvoltarea tehnologiilor pentru reactoarele de nouă generație. Infrastructura garantează, de asemenea, că Europa rămâne în avangarda științei și tehnologiei nucleare, menținând avantajul concurențial al Europei în peisajul mondial al cercetării și răspunzând provocărilor viitoare în materie de energie și mediu.</w:t>
      </w:r>
    </w:p>
    <w:p w14:paraId="7D08F7EA" w14:textId="686CBAD4" w:rsidR="00BB106D" w:rsidRPr="0004458C" w:rsidRDefault="00327A9A" w:rsidP="003F5282">
      <w:pPr>
        <w:pStyle w:val="Heading2"/>
        <w:keepNext/>
        <w:ind w:left="578" w:hanging="578"/>
        <w:rPr>
          <w:noProof/>
        </w:rPr>
      </w:pPr>
      <w:r w:rsidRPr="0004458C">
        <w:rPr>
          <w:noProof/>
        </w:rPr>
        <w:t xml:space="preserve">Cooperarea internațională strategică </w:t>
      </w:r>
    </w:p>
    <w:p w14:paraId="4391BB76" w14:textId="121CAB5F" w:rsidR="003F7624" w:rsidRPr="0004458C" w:rsidRDefault="4C17923F" w:rsidP="00BB106D">
      <w:pPr>
        <w:spacing w:before="100" w:after="100" w:line="240" w:lineRule="auto"/>
        <w:jc w:val="both"/>
        <w:rPr>
          <w:rFonts w:ascii="Times New Roman" w:hAnsi="Times New Roman"/>
          <w:noProof/>
          <w:kern w:val="0"/>
          <w:sz w:val="24"/>
          <w14:ligatures w14:val="none"/>
        </w:rPr>
      </w:pPr>
      <w:r w:rsidRPr="0004458C">
        <w:rPr>
          <w:rFonts w:ascii="Times New Roman" w:hAnsi="Times New Roman"/>
          <w:noProof/>
          <w:sz w:val="24"/>
        </w:rPr>
        <w:t>Cadrul de relații externe al Euratom este esențial pentru promovarea celor mai înalte standarde de securitate nucleară, facilitând schimbul de cunoștințe și tehnologie, precum și pentru sprijinirea lanțului competitiv de aprovizionare cu energie nucleară al UE, prin parteneriate orientate spre viitor și prin comerț și cooperare comercială (</w:t>
      </w:r>
      <w:r w:rsidRPr="0004458C">
        <w:rPr>
          <w:rStyle w:val="FootnoteReference"/>
          <w:rFonts w:ascii="Times New Roman" w:eastAsia="Times New Roman" w:hAnsi="Times New Roman" w:cs="Times New Roman"/>
          <w:noProof/>
          <w:kern w:val="0"/>
          <w:sz w:val="24"/>
          <w:szCs w:val="24"/>
          <w:lang w:eastAsia="en-IE"/>
        </w:rPr>
        <w:footnoteReference w:id="51"/>
      </w:r>
      <w:r w:rsidRPr="0004458C">
        <w:rPr>
          <w:rFonts w:ascii="Times New Roman" w:hAnsi="Times New Roman"/>
          <w:noProof/>
          <w:sz w:val="24"/>
        </w:rPr>
        <w:t>).</w:t>
      </w:r>
    </w:p>
    <w:p w14:paraId="33788E4A" w14:textId="019F81BF" w:rsidR="00BB106D" w:rsidRPr="0004458C" w:rsidRDefault="00535E04" w:rsidP="00017223">
      <w:pPr>
        <w:spacing w:before="100" w:after="100" w:line="240" w:lineRule="auto"/>
        <w:jc w:val="both"/>
        <w:rPr>
          <w:rFonts w:ascii="Times New Roman" w:eastAsia="Times New Roman" w:hAnsi="Times New Roman" w:cs="Times New Roman"/>
          <w:noProof/>
          <w:sz w:val="24"/>
          <w:szCs w:val="24"/>
        </w:rPr>
      </w:pPr>
      <w:r w:rsidRPr="0004458C">
        <w:rPr>
          <w:rFonts w:ascii="Times New Roman" w:hAnsi="Times New Roman"/>
          <w:noProof/>
          <w:sz w:val="24"/>
        </w:rPr>
        <w:t xml:space="preserve">Pentru a consolida autonomia strategică a UE, este esențial să se revizuiască acordurile de cooperare existente sau să se încheie altele noi. Acestea pot contribui, de asemenea, la consolidarea respectării standardelor nucleare internaționale și pot facilita încorporarea tehnologiilor emergente și inovatoare, cum ar fi SMR și energia de fuziune. </w:t>
      </w:r>
    </w:p>
    <w:p w14:paraId="1CEF8922" w14:textId="2F5DF255" w:rsidR="00C34692" w:rsidRPr="0004458C" w:rsidRDefault="2D392908" w:rsidP="00C34692">
      <w:pPr>
        <w:spacing w:line="240" w:lineRule="auto"/>
        <w:jc w:val="both"/>
        <w:rPr>
          <w:rFonts w:ascii="Times New Roman" w:eastAsia="Times New Roman" w:hAnsi="Times New Roman" w:cs="Times New Roman"/>
          <w:noProof/>
          <w:sz w:val="24"/>
          <w:szCs w:val="24"/>
        </w:rPr>
      </w:pPr>
      <w:r w:rsidRPr="0004458C">
        <w:rPr>
          <w:rFonts w:ascii="Times New Roman" w:hAnsi="Times New Roman"/>
          <w:noProof/>
          <w:sz w:val="24"/>
        </w:rPr>
        <w:t>Cel mai important, îmbunătățirea cooperării dintre UE și partenerii de încredere va spori securitatea aprovizionării pentru serviciile legate de ciclul uraniului și combustibilului nuclear și va facilita accesul la piețe pentru lanțul de aprovizionare al UE în vederea dezvoltării capacităților sale industriale.</w:t>
      </w:r>
    </w:p>
    <w:p w14:paraId="2546F562" w14:textId="4A3C2996" w:rsidR="00A90CA6" w:rsidRPr="0004458C" w:rsidRDefault="00A90CA6" w:rsidP="00C34692">
      <w:pPr>
        <w:spacing w:line="240" w:lineRule="auto"/>
        <w:jc w:val="both"/>
        <w:rPr>
          <w:rFonts w:ascii="Times New Roman" w:eastAsia="Times New Roman" w:hAnsi="Times New Roman" w:cs="Times New Roman"/>
          <w:noProof/>
          <w:sz w:val="24"/>
          <w:szCs w:val="24"/>
        </w:rPr>
      </w:pPr>
      <w:r w:rsidRPr="0004458C">
        <w:rPr>
          <w:rFonts w:ascii="Times New Roman" w:hAnsi="Times New Roman"/>
          <w:noProof/>
          <w:sz w:val="24"/>
        </w:rPr>
        <w:t>Pentru a consolida cooperarea dintre UE și partenerii de încredere, Comunitatea Euratom ar trebui să inițieze fie reînnoirea acordurilor de cooperare nucleară și a memorandumurilor de înțelegere (de exemplu, cu Canada sau Kazahstan), fie negocierea unora noi.</w:t>
      </w:r>
    </w:p>
    <w:p w14:paraId="57939E19" w14:textId="28E72544" w:rsidR="00230772" w:rsidRPr="0004458C" w:rsidRDefault="00FB4A5B" w:rsidP="000348AC">
      <w:pPr>
        <w:pStyle w:val="Heading2"/>
        <w:keepNext/>
        <w:ind w:left="578" w:hanging="578"/>
        <w:rPr>
          <w:noProof/>
        </w:rPr>
      </w:pPr>
      <w:r w:rsidRPr="0004458C">
        <w:rPr>
          <w:noProof/>
        </w:rPr>
        <w:t>Poziția de lider în cercetare și formare</w:t>
      </w:r>
    </w:p>
    <w:p w14:paraId="722A4F69" w14:textId="17085B3D" w:rsidR="00BB7617" w:rsidRPr="0004458C" w:rsidRDefault="001041A5" w:rsidP="00F51C5E">
      <w:pPr>
        <w:spacing w:before="100" w:after="100" w:line="240" w:lineRule="auto"/>
        <w:jc w:val="both"/>
        <w:rPr>
          <w:rFonts w:ascii="Times New Roman" w:eastAsia="Times New Roman" w:hAnsi="Times New Roman" w:cs="Times New Roman"/>
          <w:noProof/>
          <w:sz w:val="24"/>
          <w:szCs w:val="24"/>
        </w:rPr>
      </w:pPr>
      <w:r w:rsidRPr="0004458C">
        <w:rPr>
          <w:rFonts w:ascii="Times New Roman" w:hAnsi="Times New Roman"/>
          <w:noProof/>
          <w:sz w:val="24"/>
        </w:rPr>
        <w:t>Cercetarea publică și privată la nivel național contribuie în mod semnificativ la poziția de lider a UE în domeniul tehnologiilor nucleare. Eforturile de cercetare contribuie la asigurarea celor mai înalte standarde de securitate și garanții nucleare atunci când se construiesc noi centrale nucleare sau când se prelungește durata de viață a celor existente. Sarcina Euratom este de a completa contribuțiile statelor membre prin intermediul Programului pentru cercetare și formare al Euratom. Programul pentru perioada 2021-2025 a sprijinit dezvoltarea cunoștințelor esențiale (</w:t>
      </w:r>
      <w:r w:rsidRPr="0004458C">
        <w:rPr>
          <w:rStyle w:val="FootnoteReference"/>
          <w:rFonts w:ascii="Times New Roman" w:eastAsia="Times New Roman" w:hAnsi="Times New Roman" w:cs="Times New Roman"/>
          <w:noProof/>
          <w:sz w:val="24"/>
          <w:szCs w:val="24"/>
        </w:rPr>
        <w:footnoteReference w:id="52"/>
      </w:r>
      <w:r w:rsidRPr="0004458C">
        <w:rPr>
          <w:rFonts w:ascii="Times New Roman" w:hAnsi="Times New Roman"/>
          <w:noProof/>
          <w:sz w:val="24"/>
        </w:rPr>
        <w:t>) pentru statele membre care intenționează să utilizeze energia nucleară și pentru cele care au nevoie de asigurări că centralele nucleare din țările învecinate îndeplinesc cele mai înalte standarde de securitate. Publicul urmează, de asemenea, să beneficieze de cercetarea finanțată de Euratom cu privire la alte aplicații ale radiațiilor ionizante, în special în medicină. Propunerea Comisiei privind Programul Euratom pentru perioada 2028-2032</w:t>
      </w:r>
      <w:r w:rsidR="0004458C" w:rsidRPr="0004458C">
        <w:rPr>
          <w:rFonts w:ascii="Times New Roman" w:hAnsi="Times New Roman"/>
          <w:noProof/>
          <w:sz w:val="24"/>
        </w:rPr>
        <w:t> </w:t>
      </w:r>
      <w:r w:rsidRPr="0004458C">
        <w:rPr>
          <w:rFonts w:ascii="Times New Roman" w:hAnsi="Times New Roman"/>
          <w:noProof/>
          <w:sz w:val="24"/>
        </w:rPr>
        <w:t>(</w:t>
      </w:r>
      <w:r w:rsidRPr="0004458C">
        <w:rPr>
          <w:rStyle w:val="FootnoteReference"/>
          <w:rFonts w:ascii="Times New Roman" w:eastAsia="Times New Roman" w:hAnsi="Times New Roman" w:cs="Times New Roman"/>
          <w:noProof/>
          <w:sz w:val="24"/>
          <w:szCs w:val="24"/>
        </w:rPr>
        <w:footnoteReference w:id="53"/>
      </w:r>
      <w:r w:rsidRPr="0004458C">
        <w:rPr>
          <w:rFonts w:ascii="Times New Roman" w:hAnsi="Times New Roman"/>
          <w:noProof/>
          <w:sz w:val="24"/>
        </w:rPr>
        <w:t>) vizează creșterea finanțării pentru cercetarea în domeniul tehnologiilor nucleare sigure și inovatoare pentru o UE prosperă, rezilientă și durabilă.</w:t>
      </w:r>
    </w:p>
    <w:p w14:paraId="3824403A" w14:textId="5D2A3397" w:rsidR="00DE0FAE" w:rsidRPr="0004458C" w:rsidRDefault="004A5D89" w:rsidP="003762C9">
      <w:pPr>
        <w:pStyle w:val="Heading1"/>
        <w:keepNext/>
        <w:ind w:left="431" w:hanging="431"/>
        <w:rPr>
          <w:noProof/>
        </w:rPr>
      </w:pPr>
      <w:r w:rsidRPr="0004458C">
        <w:rPr>
          <w:noProof/>
        </w:rPr>
        <w:t>Pregătirea pentru un viitor bazat pe energia de fuziune</w:t>
      </w:r>
    </w:p>
    <w:p w14:paraId="101B88AD" w14:textId="4314173E" w:rsidR="001B24BD" w:rsidRPr="0004458C" w:rsidRDefault="308D7FF4" w:rsidP="00C92318">
      <w:pPr>
        <w:pStyle w:val="MyCustomStyle"/>
        <w:spacing w:before="0" w:after="160"/>
        <w:rPr>
          <w:noProof/>
        </w:rPr>
      </w:pPr>
      <w:bookmarkStart w:id="22" w:name="_Hlk198749604"/>
      <w:r w:rsidRPr="0004458C">
        <w:rPr>
          <w:noProof/>
        </w:rPr>
        <w:t xml:space="preserve">Proiectul emblematic </w:t>
      </w:r>
      <w:r w:rsidRPr="0004458C">
        <w:rPr>
          <w:rStyle w:val="normaltextrun"/>
          <w:noProof/>
          <w:color w:val="000000"/>
          <w:shd w:val="clear" w:color="auto" w:fill="FFFFFF"/>
        </w:rPr>
        <w:t>al UE</w:t>
      </w:r>
      <w:r w:rsidRPr="0004458C">
        <w:rPr>
          <w:noProof/>
        </w:rPr>
        <w:t>, denumit ITER, care se desfășoară în Franța, este cel mai mare experiment de fuziune din lume, menit să demonstreze fezabilitatea științifică și tehnologică a fuziunii</w:t>
      </w:r>
      <w:bookmarkEnd w:id="22"/>
      <w:r w:rsidRPr="0004458C">
        <w:rPr>
          <w:noProof/>
        </w:rPr>
        <w:t>. Ca motor principal al inovării, ITER aduce cunoștințele și baza industrială, care sunt esențiale pentru dezvoltarea primei centrale energetice de fuziune demonstrative din UE.</w:t>
      </w:r>
    </w:p>
    <w:p w14:paraId="0F6AAF49" w14:textId="7761F79D" w:rsidR="00E3251F" w:rsidRPr="0004458C" w:rsidRDefault="001B24BD" w:rsidP="00E3251F">
      <w:pPr>
        <w:pStyle w:val="MyCustomStyle"/>
        <w:spacing w:before="0" w:after="160"/>
        <w:rPr>
          <w:noProof/>
        </w:rPr>
      </w:pPr>
      <w:bookmarkStart w:id="23" w:name="_Hlk198749592"/>
      <w:r w:rsidRPr="0004458C">
        <w:rPr>
          <w:noProof/>
        </w:rPr>
        <w:t>Este foarte important ca investițiile suplimentare în ITER</w:t>
      </w:r>
      <w:bookmarkEnd w:id="23"/>
      <w:r w:rsidRPr="0004458C">
        <w:rPr>
          <w:noProof/>
        </w:rPr>
        <w:t xml:space="preserve"> și în fuziune în general să fie ancorate într-o acțiune europeană mai amplă, menită să stăpânească fuziunea nu doar ca temă de cercetare, ci și ca instrument pentru independența energetică pe termen lung, pentru decarbonizare, precum și pentru competitivitatea industrială europeană pe termen scurt. Parteneriatele public-privat pot accelera comercializarea energiei de fuziune prin valorificarea punctelor forte ale ambelor sectoare. Vor fi necesare în continuare cheltuieli pentru dezvoltarea unui ciclu al combustibilului pentru tehnologiile de fuziune și pentru eliminarea lacunelor tehnologice, în paralel cu definirea și punerea în aplicare, dacă este necesar, a unui cadru de reglementare diferențiat și proporțional pentru instalațiile de fuziune.</w:t>
      </w:r>
    </w:p>
    <w:p w14:paraId="1A97C4E7" w14:textId="0DDD34C2" w:rsidR="482D43F5" w:rsidRPr="0004458C" w:rsidRDefault="482D43F5" w:rsidP="6256DB12">
      <w:pPr>
        <w:pStyle w:val="MyCustomStyle"/>
        <w:spacing w:before="0" w:after="160"/>
        <w:rPr>
          <w:noProof/>
        </w:rPr>
      </w:pPr>
      <w:r w:rsidRPr="0004458C">
        <w:rPr>
          <w:noProof/>
        </w:rPr>
        <w:t>În concordanță cu raportul Draghi și astfel cum s-a anunțat în Planul de acțiune privind energia la prețuri accesibile, Comisia pregătește o strategie cuprinzătoare a UE privind fuziunea, care va confirma că ITER reprezintă piatra de temelie, pentru a accelera dezvoltarea pe termen lung a energiei de fuziune.</w:t>
      </w:r>
    </w:p>
    <w:p w14:paraId="397F243A" w14:textId="36A0F71F" w:rsidR="002247CE" w:rsidRPr="0004458C" w:rsidRDefault="002247CE" w:rsidP="6256DB12">
      <w:pPr>
        <w:pStyle w:val="MyCustomStyle"/>
        <w:spacing w:before="0" w:after="160"/>
        <w:rPr>
          <w:noProof/>
        </w:rPr>
      </w:pPr>
      <w:r w:rsidRPr="0004458C">
        <w:rPr>
          <w:noProof/>
        </w:rPr>
        <w:t>Astfel de evoluții sunt sprijinite de activitățile de cercetare și dezvoltare tehnologică desfășurate de Parteneriatul european EUROfusion co-finanțat prin Euratom</w:t>
      </w:r>
      <w:r w:rsidR="0004458C" w:rsidRPr="0004458C">
        <w:rPr>
          <w:noProof/>
        </w:rPr>
        <w:t> </w:t>
      </w:r>
      <w:r w:rsidRPr="0004458C">
        <w:rPr>
          <w:noProof/>
        </w:rPr>
        <w:t>(</w:t>
      </w:r>
      <w:r w:rsidRPr="0004458C">
        <w:rPr>
          <w:rStyle w:val="FootnoteReference"/>
          <w:noProof/>
        </w:rPr>
        <w:footnoteReference w:id="54"/>
      </w:r>
      <w:r w:rsidRPr="0004458C">
        <w:rPr>
          <w:noProof/>
        </w:rPr>
        <w:t>) și Fusion for Energy (F4E). Utilizarea comercială a energiei de fuziune ar trebui accelerată prin consolidarea marii comunități de fuziune reunite în cadrul Grupului de experți privind fuziunea și al Platformei europene a părților interesate în domeniul fuziunii, prin lansarea unui parteneriat public-privat cu industria și prin sprijinirea start-upurilor din domeniul fuziunii.</w:t>
      </w:r>
    </w:p>
    <w:p w14:paraId="2BAC5BF4" w14:textId="048E1D67" w:rsidR="004C5C84" w:rsidRPr="0004458C" w:rsidRDefault="59812E20" w:rsidP="00703D00">
      <w:pPr>
        <w:pStyle w:val="Heading1"/>
        <w:keepNext/>
        <w:ind w:left="431" w:hanging="431"/>
        <w:rPr>
          <w:noProof/>
          <w:kern w:val="0"/>
          <w14:ligatures w14:val="none"/>
        </w:rPr>
      </w:pPr>
      <w:r w:rsidRPr="0004458C">
        <w:rPr>
          <w:noProof/>
        </w:rPr>
        <w:t>Concluzii</w:t>
      </w:r>
    </w:p>
    <w:p w14:paraId="07588248" w14:textId="66977F99" w:rsidR="00880E39" w:rsidRPr="0004458C" w:rsidRDefault="79C0B482" w:rsidP="00520403">
      <w:pPr>
        <w:spacing w:before="100" w:after="100" w:line="240" w:lineRule="auto"/>
        <w:jc w:val="both"/>
        <w:rPr>
          <w:rFonts w:ascii="Times New Roman" w:eastAsia="Times New Roman" w:hAnsi="Times New Roman" w:cs="Times New Roman"/>
          <w:noProof/>
          <w:sz w:val="24"/>
          <w:szCs w:val="24"/>
        </w:rPr>
      </w:pPr>
      <w:r w:rsidRPr="0004458C">
        <w:rPr>
          <w:rFonts w:ascii="Times New Roman" w:hAnsi="Times New Roman"/>
          <w:noProof/>
          <w:sz w:val="24"/>
        </w:rPr>
        <w:t xml:space="preserve">Întrucât mai multe țări din UE au ales să se bazeze pe energia nucleară, aceasta va continua să joace un rol important în sistemul energetic diversificat al UE. Prin urmare, este esențial să se asigure integrarea sa sigură, eficientă și durabilă și să se valorifice toate beneficiile pe care le poate aduce energia nucleară, inclusiv integrarea sistemului. </w:t>
      </w:r>
    </w:p>
    <w:p w14:paraId="48ECF224" w14:textId="0792AC40" w:rsidR="00132867" w:rsidRPr="0004458C" w:rsidRDefault="60B74006" w:rsidP="00132867">
      <w:pPr>
        <w:spacing w:before="100" w:after="100" w:line="240" w:lineRule="auto"/>
        <w:jc w:val="both"/>
        <w:rPr>
          <w:rFonts w:ascii="Times New Roman" w:eastAsia="Times New Roman" w:hAnsi="Times New Roman" w:cs="Times New Roman"/>
          <w:noProof/>
          <w:sz w:val="24"/>
          <w:szCs w:val="24"/>
        </w:rPr>
      </w:pPr>
      <w:bookmarkStart w:id="24" w:name="_Hlk198749709"/>
      <w:r w:rsidRPr="0004458C">
        <w:rPr>
          <w:rFonts w:ascii="Times New Roman" w:hAnsi="Times New Roman"/>
          <w:noProof/>
          <w:sz w:val="24"/>
        </w:rPr>
        <w:t xml:space="preserve">Toate proiectele de investiții din industria nucleară a UE trebuie să respecte cele mai înalte standarde de securitate nucleară, radioprotecție, gestionare a deșeurilor radioactive și garanții, aplicabile în UE. </w:t>
      </w:r>
      <w:bookmarkEnd w:id="24"/>
      <w:r w:rsidRPr="0004458C">
        <w:rPr>
          <w:rFonts w:ascii="Times New Roman" w:hAnsi="Times New Roman"/>
          <w:noProof/>
          <w:sz w:val="24"/>
        </w:rPr>
        <w:t>Noile proiecte nucleare trebuie să respecte cele mai înalte obiective de securitate, asigurându-se că proiectele inovatoare de reactoare îndeplinesc aceste cerințe stricte. Statele membre ar trebui să își intensifice eforturile pentru a oferi soluții pe termen lung pentru gestionarea deșeurilor radioactive cu activitate înaltă și a combustibilului uzat.</w:t>
      </w:r>
    </w:p>
    <w:p w14:paraId="3193E736" w14:textId="17A24954" w:rsidR="00520403" w:rsidRPr="0004458C" w:rsidRDefault="45310F42" w:rsidP="00520403">
      <w:pPr>
        <w:spacing w:before="100" w:after="100" w:line="240" w:lineRule="auto"/>
        <w:jc w:val="both"/>
        <w:rPr>
          <w:rFonts w:ascii="Times New Roman" w:eastAsia="Times New Roman" w:hAnsi="Times New Roman" w:cs="Times New Roman"/>
          <w:noProof/>
          <w:sz w:val="24"/>
          <w:szCs w:val="24"/>
        </w:rPr>
      </w:pPr>
      <w:r w:rsidRPr="0004458C">
        <w:rPr>
          <w:rFonts w:ascii="Times New Roman" w:hAnsi="Times New Roman"/>
          <w:noProof/>
          <w:sz w:val="24"/>
        </w:rPr>
        <w:t>În 2050, se anticipează o gamă largă de rezultate pentru capacitatea instalată efectivă. Prelungirea duratei de viață efectuată în condiții stricte de siguranță și instalațiile noi, precum și capacitatea industriei de a obține rezultate la timp și în limitele bugetului, vor fi esențiale.</w:t>
      </w:r>
    </w:p>
    <w:p w14:paraId="493D0D00" w14:textId="775CAD52" w:rsidR="00B409B8" w:rsidRPr="0004458C" w:rsidRDefault="003D2154" w:rsidP="008C43D1">
      <w:pPr>
        <w:spacing w:before="100" w:after="100" w:line="240" w:lineRule="auto"/>
        <w:jc w:val="both"/>
        <w:rPr>
          <w:rFonts w:ascii="Times New Roman" w:eastAsia="Times New Roman" w:hAnsi="Times New Roman" w:cs="Times New Roman"/>
          <w:noProof/>
          <w:sz w:val="24"/>
          <w:szCs w:val="24"/>
        </w:rPr>
      </w:pPr>
      <w:r w:rsidRPr="0004458C">
        <w:rPr>
          <w:rFonts w:ascii="Times New Roman" w:hAnsi="Times New Roman"/>
          <w:noProof/>
          <w:sz w:val="24"/>
        </w:rPr>
        <w:t>Investițiile substanțiale sunt implicite pe durata întregului ciclu de viață al energiei nucleare până în 2050.</w:t>
      </w:r>
      <w:r w:rsidR="0004458C" w:rsidRPr="0004458C">
        <w:rPr>
          <w:rFonts w:ascii="Times New Roman" w:hAnsi="Times New Roman"/>
          <w:noProof/>
          <w:sz w:val="24"/>
        </w:rPr>
        <w:t xml:space="preserve"> </w:t>
      </w:r>
      <w:r w:rsidRPr="0004458C">
        <w:rPr>
          <w:rFonts w:ascii="Times New Roman" w:hAnsi="Times New Roman"/>
          <w:noProof/>
          <w:sz w:val="24"/>
        </w:rPr>
        <w:t xml:space="preserve">În comparație cu PINC publicat anterior, Comisia nu a observat o modificare semnificativă a sumelor preconizate pentru investiții, însă planurile sunt mai articulate și mai diversificate, analizând tehnologiile inovatoare și întregul ecosistem industrial. Este necesar să se acorde o atenție deosebită dezvoltării SMR și implementării efective a acestora, consolidării rezilienței lanțului de aprovizionare, garantării unei capacități suficiente, diversificate și suverane a UE de conversie și îmbogățire, capacității de reglementare, cercetării, forței de muncă și asigurării unei aprovizionări sigure cu radioizotopi medicali. </w:t>
      </w:r>
    </w:p>
    <w:p w14:paraId="4730ED73" w14:textId="078A8971" w:rsidR="007048E8" w:rsidRPr="0004458C" w:rsidRDefault="54B5AD1E" w:rsidP="009035AB">
      <w:pPr>
        <w:pStyle w:val="ListNumber"/>
        <w:numPr>
          <w:ilvl w:val="0"/>
          <w:numId w:val="0"/>
        </w:numPr>
        <w:spacing w:after="160"/>
        <w:rPr>
          <w:noProof/>
        </w:rPr>
      </w:pPr>
      <w:r w:rsidRPr="0004458C">
        <w:rPr>
          <w:noProof/>
        </w:rPr>
        <w:t>Pentru a prospera, lanțul de aprovizionare cu energie nucleară al UE are nevoie de angajamente stabile pe termen lung, de niveluri mai ridicate de standardizare și de o cooperare consolidată. Investițiile în competitivitatea industriei nucleare a UE și în consolidarea lanțului său de aprovizionare sunt esențiale, având în vedere ambiția de a opera la nivel mondial.</w:t>
      </w:r>
    </w:p>
    <w:sectPr w:rsidR="007048E8" w:rsidRPr="0004458C" w:rsidSect="006C350D">
      <w:headerReference w:type="even" r:id="rId25"/>
      <w:headerReference w:type="default" r:id="rId26"/>
      <w:footerReference w:type="even" r:id="rId27"/>
      <w:footerReference w:type="default" r:id="rId28"/>
      <w:headerReference w:type="first" r:id="rId29"/>
      <w:footerReference w:type="first" r:id="rId30"/>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01B000" w14:textId="77777777" w:rsidR="00A263A9" w:rsidRDefault="00A263A9" w:rsidP="004D63A1">
      <w:pPr>
        <w:spacing w:after="0" w:line="240" w:lineRule="auto"/>
      </w:pPr>
      <w:r>
        <w:separator/>
      </w:r>
    </w:p>
  </w:endnote>
  <w:endnote w:type="continuationSeparator" w:id="0">
    <w:p w14:paraId="29583E75" w14:textId="77777777" w:rsidR="00A263A9" w:rsidRDefault="00A263A9" w:rsidP="004D63A1">
      <w:pPr>
        <w:spacing w:after="0" w:line="240" w:lineRule="auto"/>
      </w:pPr>
      <w:r>
        <w:continuationSeparator/>
      </w:r>
    </w:p>
  </w:endnote>
  <w:endnote w:type="continuationNotice" w:id="1">
    <w:p w14:paraId="5141ED4E" w14:textId="77777777" w:rsidR="00A263A9" w:rsidRDefault="00A263A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pto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28F41F" w14:textId="1E3F3330" w:rsidR="0055494E" w:rsidRPr="0055494E" w:rsidRDefault="0055494E" w:rsidP="0055494E">
    <w:pPr>
      <w:pStyle w:val="FooterCoverPage"/>
      <w:rPr>
        <w:rFonts w:ascii="Arial" w:hAnsi="Arial" w:cs="Arial"/>
        <w:b/>
        <w:sz w:val="48"/>
      </w:rPr>
    </w:pPr>
    <w:r w:rsidRPr="0055494E">
      <w:rPr>
        <w:rFonts w:ascii="Arial" w:hAnsi="Arial" w:cs="Arial"/>
        <w:b/>
        <w:sz w:val="48"/>
      </w:rPr>
      <w:t>RO</w:t>
    </w:r>
    <w:r w:rsidRPr="0055494E">
      <w:rPr>
        <w:rFonts w:ascii="Arial" w:hAnsi="Arial" w:cs="Arial"/>
        <w:b/>
        <w:sz w:val="48"/>
      </w:rPr>
      <w:tab/>
    </w:r>
    <w:r w:rsidRPr="0055494E">
      <w:rPr>
        <w:rFonts w:ascii="Arial" w:hAnsi="Arial" w:cs="Arial"/>
        <w:b/>
        <w:sz w:val="48"/>
      </w:rPr>
      <w:tab/>
    </w:r>
    <w:r w:rsidRPr="0055494E">
      <w:tab/>
    </w:r>
    <w:r w:rsidRPr="0055494E">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D3E22A" w14:textId="1255297E" w:rsidR="0055494E" w:rsidRPr="0055494E" w:rsidRDefault="0055494E" w:rsidP="0055494E">
    <w:pPr>
      <w:pStyle w:val="FooterCoverPage"/>
      <w:rPr>
        <w:rFonts w:ascii="Arial" w:hAnsi="Arial" w:cs="Arial"/>
        <w:b/>
        <w:sz w:val="48"/>
      </w:rPr>
    </w:pPr>
    <w:r w:rsidRPr="0055494E">
      <w:rPr>
        <w:rFonts w:ascii="Arial" w:hAnsi="Arial" w:cs="Arial"/>
        <w:b/>
        <w:sz w:val="48"/>
      </w:rPr>
      <w:t>RO</w:t>
    </w:r>
    <w:r w:rsidRPr="0055494E">
      <w:rPr>
        <w:rFonts w:ascii="Arial" w:hAnsi="Arial" w:cs="Arial"/>
        <w:b/>
        <w:sz w:val="48"/>
      </w:rPr>
      <w:tab/>
    </w:r>
    <w:r w:rsidRPr="0055494E">
      <w:rPr>
        <w:rFonts w:ascii="Arial" w:hAnsi="Arial" w:cs="Arial"/>
        <w:b/>
        <w:sz w:val="48"/>
      </w:rPr>
      <w:tab/>
    </w:r>
    <w:r w:rsidRPr="0055494E">
      <w:tab/>
    </w:r>
    <w:r w:rsidRPr="0055494E">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E9E973" w14:textId="77777777" w:rsidR="0055494E" w:rsidRPr="0055494E" w:rsidRDefault="0055494E" w:rsidP="0055494E">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7E898B" w14:textId="77777777" w:rsidR="006C350D" w:rsidRDefault="006C350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03876306"/>
      <w:docPartObj>
        <w:docPartGallery w:val="Page Numbers (Bottom of Page)"/>
        <w:docPartUnique/>
      </w:docPartObj>
    </w:sdtPr>
    <w:sdtEndPr>
      <w:rPr>
        <w:rFonts w:ascii="Times New Roman" w:hAnsi="Times New Roman" w:cs="Times New Roman"/>
        <w:noProof/>
      </w:rPr>
    </w:sdtEndPr>
    <w:sdtContent>
      <w:p w14:paraId="55C91017" w14:textId="2208B1AA" w:rsidR="006C350D" w:rsidRPr="002D295B" w:rsidRDefault="006C350D">
        <w:pPr>
          <w:pStyle w:val="Footer"/>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sidR="0055494E">
          <w:rPr>
            <w:rFonts w:ascii="Times New Roman" w:hAnsi="Times New Roman" w:cs="Times New Roman"/>
            <w:noProof/>
          </w:rPr>
          <w:t>1</w:t>
        </w:r>
        <w:r>
          <w:rPr>
            <w:rFonts w:ascii="Times New Roman" w:hAnsi="Times New Roman" w:cs="Times New Roman"/>
          </w:rPr>
          <w:fldChar w:fldCharType="end"/>
        </w:r>
      </w:p>
    </w:sdtContent>
  </w:sdt>
  <w:p w14:paraId="1D7B2D21" w14:textId="77777777" w:rsidR="006C350D" w:rsidRDefault="006C350D">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FABA14" w14:textId="77777777" w:rsidR="006C350D" w:rsidRDefault="006C35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B2B403" w14:textId="77777777" w:rsidR="00A263A9" w:rsidRDefault="00A263A9" w:rsidP="004D63A1">
      <w:pPr>
        <w:spacing w:after="0" w:line="240" w:lineRule="auto"/>
      </w:pPr>
      <w:r>
        <w:separator/>
      </w:r>
    </w:p>
  </w:footnote>
  <w:footnote w:type="continuationSeparator" w:id="0">
    <w:p w14:paraId="17F13522" w14:textId="77777777" w:rsidR="00A263A9" w:rsidRDefault="00A263A9" w:rsidP="004D63A1">
      <w:pPr>
        <w:spacing w:after="0" w:line="240" w:lineRule="auto"/>
      </w:pPr>
      <w:r>
        <w:continuationSeparator/>
      </w:r>
    </w:p>
  </w:footnote>
  <w:footnote w:type="continuationNotice" w:id="1">
    <w:p w14:paraId="00854FFA" w14:textId="77777777" w:rsidR="00A263A9" w:rsidRDefault="00A263A9">
      <w:pPr>
        <w:spacing w:after="0" w:line="240" w:lineRule="auto"/>
      </w:pPr>
    </w:p>
  </w:footnote>
  <w:footnote w:id="2">
    <w:p w14:paraId="4A1A5B8E" w14:textId="59035A43" w:rsidR="00BE2365" w:rsidRPr="00DE6825" w:rsidRDefault="00BE2365" w:rsidP="00BE2365">
      <w:pPr>
        <w:pStyle w:val="FootnoteText"/>
        <w:ind w:left="567" w:hanging="567"/>
        <w:jc w:val="both"/>
        <w:rPr>
          <w:rFonts w:ascii="Times New Roman" w:eastAsia="Times New Roman" w:hAnsi="Times New Roman" w:cs="Times New Roman"/>
        </w:rPr>
      </w:pPr>
      <w:r w:rsidRPr="00DE6825">
        <w:rPr>
          <w:rFonts w:ascii="Times New Roman" w:hAnsi="Times New Roman" w:cs="Times New Roman"/>
        </w:rPr>
        <w:t>(</w:t>
      </w:r>
      <w:r w:rsidRPr="00DE6825">
        <w:rPr>
          <w:rFonts w:ascii="Times New Roman" w:hAnsi="Times New Roman" w:cs="Times New Roman"/>
          <w:vertAlign w:val="superscript"/>
        </w:rPr>
        <w:footnoteRef/>
      </w:r>
      <w:r w:rsidRPr="00DE6825">
        <w:rPr>
          <w:rFonts w:ascii="Times New Roman" w:hAnsi="Times New Roman" w:cs="Times New Roman"/>
        </w:rPr>
        <w:t>)</w:t>
      </w:r>
      <w:r w:rsidRPr="00DE6825">
        <w:rPr>
          <w:rFonts w:ascii="Times New Roman" w:hAnsi="Times New Roman" w:cs="Times New Roman"/>
        </w:rPr>
        <w:tab/>
        <w:t>Documentul de lucru al serviciilor Comisiei COM(</w:t>
      </w:r>
      <w:r w:rsidRPr="0004458C">
        <w:rPr>
          <w:rFonts w:ascii="Times New Roman" w:hAnsi="Times New Roman" w:cs="Times New Roman"/>
        </w:rPr>
        <w:t>2025</w:t>
      </w:r>
      <w:r w:rsidRPr="00DE6825">
        <w:rPr>
          <w:rFonts w:ascii="Times New Roman" w:hAnsi="Times New Roman" w:cs="Times New Roman"/>
        </w:rPr>
        <w:t>) </w:t>
      </w:r>
      <w:r w:rsidRPr="0004458C">
        <w:rPr>
          <w:rFonts w:ascii="Times New Roman" w:hAnsi="Times New Roman" w:cs="Times New Roman"/>
        </w:rPr>
        <w:t>85</w:t>
      </w:r>
      <w:r w:rsidRPr="00DE6825">
        <w:rPr>
          <w:rFonts w:ascii="Times New Roman" w:hAnsi="Times New Roman" w:cs="Times New Roman"/>
        </w:rPr>
        <w:t xml:space="preserve"> final. </w:t>
      </w:r>
    </w:p>
  </w:footnote>
  <w:footnote w:id="3">
    <w:p w14:paraId="53678078" w14:textId="70AAB14D" w:rsidR="00BE2365" w:rsidRPr="00DE6825" w:rsidRDefault="00BE2365" w:rsidP="00BE2365">
      <w:pPr>
        <w:pStyle w:val="FootnoteText"/>
        <w:ind w:left="567" w:hanging="567"/>
        <w:jc w:val="both"/>
        <w:rPr>
          <w:rFonts w:ascii="Times New Roman" w:eastAsia="Times New Roman" w:hAnsi="Times New Roman" w:cs="Times New Roman"/>
        </w:rPr>
      </w:pPr>
      <w:r w:rsidRPr="00DE6825">
        <w:rPr>
          <w:rFonts w:ascii="Times New Roman" w:hAnsi="Times New Roman" w:cs="Times New Roman"/>
        </w:rPr>
        <w:t>(</w:t>
      </w:r>
      <w:r w:rsidRPr="00DE6825">
        <w:rPr>
          <w:rFonts w:ascii="Times New Roman" w:hAnsi="Times New Roman" w:cs="Times New Roman"/>
          <w:vertAlign w:val="superscript"/>
        </w:rPr>
        <w:footnoteRef/>
      </w:r>
      <w:r w:rsidRPr="00DE6825">
        <w:rPr>
          <w:rFonts w:ascii="Times New Roman" w:hAnsi="Times New Roman" w:cs="Times New Roman"/>
        </w:rPr>
        <w:t>)</w:t>
      </w:r>
      <w:r w:rsidRPr="00DE6825">
        <w:rPr>
          <w:rFonts w:ascii="Times New Roman" w:hAnsi="Times New Roman" w:cs="Times New Roman"/>
        </w:rPr>
        <w:tab/>
        <w:t>Documentul de lucru al serviciilor Comisiei COM(</w:t>
      </w:r>
      <w:r w:rsidRPr="0004458C">
        <w:rPr>
          <w:rFonts w:ascii="Times New Roman" w:hAnsi="Times New Roman" w:cs="Times New Roman"/>
        </w:rPr>
        <w:t>2025</w:t>
      </w:r>
      <w:r w:rsidRPr="00DE6825">
        <w:rPr>
          <w:rFonts w:ascii="Times New Roman" w:hAnsi="Times New Roman" w:cs="Times New Roman"/>
        </w:rPr>
        <w:t>) </w:t>
      </w:r>
      <w:r w:rsidRPr="0004458C">
        <w:rPr>
          <w:rFonts w:ascii="Times New Roman" w:hAnsi="Times New Roman" w:cs="Times New Roman"/>
        </w:rPr>
        <w:t>79</w:t>
      </w:r>
      <w:r w:rsidRPr="00DE6825">
        <w:rPr>
          <w:rFonts w:ascii="Times New Roman" w:hAnsi="Times New Roman" w:cs="Times New Roman"/>
        </w:rPr>
        <w:t xml:space="preserve"> final.</w:t>
      </w:r>
    </w:p>
  </w:footnote>
  <w:footnote w:id="4">
    <w:p w14:paraId="4A9C2526" w14:textId="7D2B3CFB" w:rsidR="00BC3846" w:rsidRPr="00DE6825" w:rsidRDefault="00465C92" w:rsidP="00465C92">
      <w:pPr>
        <w:pStyle w:val="FootnoteText"/>
        <w:ind w:left="567" w:hanging="567"/>
        <w:jc w:val="both"/>
        <w:rPr>
          <w:rFonts w:ascii="Times New Roman" w:eastAsia="Times New Roman" w:hAnsi="Times New Roman" w:cs="Times New Roman"/>
        </w:rPr>
      </w:pPr>
      <w:r w:rsidRPr="00DE6825">
        <w:rPr>
          <w:rFonts w:ascii="Times New Roman" w:hAnsi="Times New Roman" w:cs="Times New Roman"/>
        </w:rPr>
        <w:t>(</w:t>
      </w:r>
      <w:r w:rsidRPr="00DE6825">
        <w:rPr>
          <w:rFonts w:ascii="Times New Roman" w:hAnsi="Times New Roman" w:cs="Times New Roman"/>
          <w:vertAlign w:val="superscript"/>
        </w:rPr>
        <w:footnoteRef/>
      </w:r>
      <w:r w:rsidRPr="00DE6825">
        <w:rPr>
          <w:rFonts w:ascii="Times New Roman" w:hAnsi="Times New Roman" w:cs="Times New Roman"/>
        </w:rPr>
        <w:t>)</w:t>
      </w:r>
      <w:r w:rsidRPr="00DE6825">
        <w:rPr>
          <w:rFonts w:ascii="Times New Roman" w:hAnsi="Times New Roman" w:cs="Times New Roman"/>
        </w:rPr>
        <w:tab/>
      </w:r>
      <w:hyperlink r:id="rId1" w:history="1">
        <w:r w:rsidRPr="00DE6825">
          <w:rPr>
            <w:rFonts w:ascii="Times New Roman" w:hAnsi="Times New Roman" w:cs="Times New Roman"/>
          </w:rPr>
          <w:t>COM(</w:t>
        </w:r>
        <w:r w:rsidRPr="0004458C">
          <w:rPr>
            <w:rFonts w:ascii="Times New Roman" w:hAnsi="Times New Roman" w:cs="Times New Roman"/>
          </w:rPr>
          <w:t>2024</w:t>
        </w:r>
        <w:r w:rsidRPr="00DE6825">
          <w:rPr>
            <w:rFonts w:ascii="Times New Roman" w:hAnsi="Times New Roman" w:cs="Times New Roman"/>
          </w:rPr>
          <w:t xml:space="preserve">) </w:t>
        </w:r>
        <w:r w:rsidRPr="0004458C">
          <w:rPr>
            <w:rFonts w:ascii="Times New Roman" w:hAnsi="Times New Roman" w:cs="Times New Roman"/>
          </w:rPr>
          <w:t>63</w:t>
        </w:r>
        <w:r w:rsidRPr="00DE6825">
          <w:rPr>
            <w:rFonts w:ascii="Times New Roman" w:hAnsi="Times New Roman" w:cs="Times New Roman"/>
          </w:rPr>
          <w:t xml:space="preserve"> final</w:t>
        </w:r>
      </w:hyperlink>
      <w:r w:rsidRPr="00DE6825">
        <w:rPr>
          <w:rFonts w:ascii="Times New Roman" w:hAnsi="Times New Roman" w:cs="Times New Roman"/>
        </w:rPr>
        <w:t>.</w:t>
      </w:r>
    </w:p>
  </w:footnote>
  <w:footnote w:id="5">
    <w:p w14:paraId="2567B2F1" w14:textId="1B304828" w:rsidR="00BC3846" w:rsidRPr="00DE6825" w:rsidRDefault="00465C92" w:rsidP="00465C92">
      <w:pPr>
        <w:pStyle w:val="FootnoteText"/>
        <w:ind w:left="567" w:hanging="567"/>
        <w:jc w:val="both"/>
        <w:rPr>
          <w:rFonts w:ascii="Times New Roman" w:eastAsia="Times New Roman" w:hAnsi="Times New Roman" w:cs="Times New Roman"/>
        </w:rPr>
      </w:pPr>
      <w:r w:rsidRPr="00DE6825">
        <w:rPr>
          <w:rFonts w:ascii="Times New Roman" w:hAnsi="Times New Roman" w:cs="Times New Roman"/>
        </w:rPr>
        <w:t>(</w:t>
      </w:r>
      <w:r w:rsidRPr="00DE6825">
        <w:rPr>
          <w:rFonts w:ascii="Times New Roman" w:eastAsia="Times New Roman" w:hAnsi="Times New Roman" w:cs="Times New Roman"/>
          <w:vertAlign w:val="superscript"/>
        </w:rPr>
        <w:footnoteRef/>
      </w:r>
      <w:r w:rsidRPr="00DE6825">
        <w:rPr>
          <w:rFonts w:ascii="Times New Roman" w:hAnsi="Times New Roman" w:cs="Times New Roman"/>
        </w:rPr>
        <w:t>)</w:t>
      </w:r>
      <w:r w:rsidRPr="00DE6825">
        <w:rPr>
          <w:rFonts w:ascii="Times New Roman" w:hAnsi="Times New Roman" w:cs="Times New Roman"/>
        </w:rPr>
        <w:tab/>
        <w:t xml:space="preserve">Articolul </w:t>
      </w:r>
      <w:r w:rsidRPr="0004458C">
        <w:rPr>
          <w:rFonts w:ascii="Times New Roman" w:hAnsi="Times New Roman" w:cs="Times New Roman"/>
        </w:rPr>
        <w:t>194</w:t>
      </w:r>
      <w:r w:rsidRPr="00DE6825">
        <w:rPr>
          <w:rFonts w:ascii="Times New Roman" w:hAnsi="Times New Roman" w:cs="Times New Roman"/>
        </w:rPr>
        <w:t xml:space="preserve"> din Tratatul privind funcționarea Uniunii Europene (TFUE).</w:t>
      </w:r>
    </w:p>
  </w:footnote>
  <w:footnote w:id="6">
    <w:p w14:paraId="22AEDBD0" w14:textId="1EE748EF" w:rsidR="008C2AA1" w:rsidRPr="00DE6825" w:rsidRDefault="008C2AA1" w:rsidP="008C2AA1">
      <w:pPr>
        <w:pStyle w:val="FootnoteText"/>
        <w:ind w:left="567" w:hanging="567"/>
        <w:jc w:val="both"/>
        <w:rPr>
          <w:rFonts w:ascii="Times New Roman" w:hAnsi="Times New Roman" w:cs="Times New Roman"/>
        </w:rPr>
      </w:pPr>
      <w:r w:rsidRPr="00DE6825">
        <w:rPr>
          <w:rFonts w:ascii="Times New Roman" w:hAnsi="Times New Roman" w:cs="Times New Roman"/>
        </w:rPr>
        <w:t>(</w:t>
      </w:r>
      <w:r w:rsidRPr="00DE6825">
        <w:rPr>
          <w:rStyle w:val="FootnoteReference"/>
          <w:rFonts w:ascii="Times New Roman" w:hAnsi="Times New Roman" w:cs="Times New Roman"/>
        </w:rPr>
        <w:footnoteRef/>
      </w:r>
      <w:r w:rsidRPr="00DE6825">
        <w:rPr>
          <w:rFonts w:ascii="Times New Roman" w:hAnsi="Times New Roman" w:cs="Times New Roman"/>
        </w:rPr>
        <w:t>)</w:t>
      </w:r>
      <w:r w:rsidRPr="00DE6825">
        <w:rPr>
          <w:rFonts w:ascii="Times New Roman" w:hAnsi="Times New Roman" w:cs="Times New Roman"/>
        </w:rPr>
        <w:tab/>
        <w:t>COM(</w:t>
      </w:r>
      <w:r w:rsidRPr="0004458C">
        <w:rPr>
          <w:rFonts w:ascii="Times New Roman" w:hAnsi="Times New Roman" w:cs="Times New Roman"/>
        </w:rPr>
        <w:t>2025</w:t>
      </w:r>
      <w:r w:rsidRPr="00DE6825">
        <w:rPr>
          <w:rFonts w:ascii="Times New Roman" w:hAnsi="Times New Roman" w:cs="Times New Roman"/>
        </w:rPr>
        <w:t xml:space="preserve">) </w:t>
      </w:r>
      <w:r w:rsidRPr="0004458C">
        <w:rPr>
          <w:rFonts w:ascii="Times New Roman" w:hAnsi="Times New Roman" w:cs="Times New Roman"/>
        </w:rPr>
        <w:t>440</w:t>
      </w:r>
      <w:r w:rsidRPr="00DE6825">
        <w:rPr>
          <w:rFonts w:ascii="Times New Roman" w:hAnsi="Times New Roman" w:cs="Times New Roman"/>
        </w:rPr>
        <w:t xml:space="preserve"> final/</w:t>
      </w:r>
      <w:r w:rsidRPr="0004458C">
        <w:rPr>
          <w:rFonts w:ascii="Times New Roman" w:hAnsi="Times New Roman" w:cs="Times New Roman"/>
        </w:rPr>
        <w:t>2</w:t>
      </w:r>
      <w:r w:rsidRPr="00DE6825">
        <w:rPr>
          <w:rFonts w:ascii="Times New Roman" w:hAnsi="Times New Roman" w:cs="Times New Roman"/>
        </w:rPr>
        <w:t xml:space="preserve">, </w:t>
      </w:r>
      <w:hyperlink r:id="rId2" w:history="1">
        <w:r w:rsidRPr="00DE6825">
          <w:rPr>
            <w:rFonts w:ascii="Times New Roman" w:hAnsi="Times New Roman" w:cs="Times New Roman"/>
          </w:rPr>
          <w:t xml:space="preserve">EUR-Lex - </w:t>
        </w:r>
        <w:r w:rsidRPr="0004458C">
          <w:rPr>
            <w:rFonts w:ascii="Times New Roman" w:hAnsi="Times New Roman" w:cs="Times New Roman"/>
          </w:rPr>
          <w:t>52025</w:t>
        </w:r>
        <w:r w:rsidRPr="00DE6825">
          <w:rPr>
            <w:rFonts w:ascii="Times New Roman" w:hAnsi="Times New Roman" w:cs="Times New Roman"/>
          </w:rPr>
          <w:t>DC</w:t>
        </w:r>
        <w:r w:rsidRPr="0004458C">
          <w:rPr>
            <w:rFonts w:ascii="Times New Roman" w:hAnsi="Times New Roman" w:cs="Times New Roman"/>
          </w:rPr>
          <w:t>0440</w:t>
        </w:r>
        <w:r w:rsidRPr="00DE6825">
          <w:rPr>
            <w:rFonts w:ascii="Times New Roman" w:hAnsi="Times New Roman" w:cs="Times New Roman"/>
          </w:rPr>
          <w:t>R(</w:t>
        </w:r>
        <w:r w:rsidRPr="0004458C">
          <w:rPr>
            <w:rFonts w:ascii="Times New Roman" w:hAnsi="Times New Roman" w:cs="Times New Roman"/>
          </w:rPr>
          <w:t>01</w:t>
        </w:r>
        <w:r w:rsidRPr="00DE6825">
          <w:rPr>
            <w:rFonts w:ascii="Times New Roman" w:hAnsi="Times New Roman" w:cs="Times New Roman"/>
          </w:rPr>
          <w:t>) - EN - EUR-Lex</w:t>
        </w:r>
      </w:hyperlink>
      <w:r w:rsidRPr="00DE6825">
        <w:rPr>
          <w:rFonts w:ascii="Times New Roman" w:hAnsi="Times New Roman" w:cs="Times New Roman"/>
        </w:rPr>
        <w:t>.</w:t>
      </w:r>
    </w:p>
  </w:footnote>
  <w:footnote w:id="7">
    <w:p w14:paraId="2CBCF7CA" w14:textId="29E5C4E1" w:rsidR="00C102A6" w:rsidRPr="00DE6825" w:rsidRDefault="00C102A6" w:rsidP="00C102A6">
      <w:pPr>
        <w:pStyle w:val="FootnoteText"/>
        <w:ind w:left="567" w:hanging="567"/>
        <w:jc w:val="both"/>
        <w:rPr>
          <w:rFonts w:ascii="Times New Roman" w:eastAsia="Times New Roman" w:hAnsi="Times New Roman" w:cs="Times New Roman"/>
        </w:rPr>
      </w:pPr>
      <w:r w:rsidRPr="00DE6825">
        <w:rPr>
          <w:rFonts w:ascii="Times New Roman" w:hAnsi="Times New Roman" w:cs="Times New Roman"/>
        </w:rPr>
        <w:t>(</w:t>
      </w:r>
      <w:r w:rsidRPr="00DE6825">
        <w:rPr>
          <w:rFonts w:ascii="Times New Roman" w:hAnsi="Times New Roman" w:cs="Times New Roman"/>
          <w:vertAlign w:val="superscript"/>
        </w:rPr>
        <w:footnoteRef/>
      </w:r>
      <w:r w:rsidRPr="00DE6825">
        <w:rPr>
          <w:rFonts w:ascii="Times New Roman" w:hAnsi="Times New Roman" w:cs="Times New Roman"/>
        </w:rPr>
        <w:t>)</w:t>
      </w:r>
      <w:r w:rsidRPr="00DE6825">
        <w:rPr>
          <w:rFonts w:ascii="Times New Roman" w:hAnsi="Times New Roman" w:cs="Times New Roman"/>
        </w:rPr>
        <w:tab/>
        <w:t xml:space="preserve">Programul nuclear cu caracter informativ al Comisiei sau </w:t>
      </w:r>
      <w:r w:rsidRPr="00DE6825">
        <w:rPr>
          <w:rFonts w:ascii="Times New Roman" w:hAnsi="Times New Roman" w:cs="Times New Roman"/>
          <w:i/>
          <w:iCs/>
        </w:rPr>
        <w:t>Programme Illustrative Nucléaire Communautaire</w:t>
      </w:r>
      <w:r w:rsidRPr="00DE6825">
        <w:rPr>
          <w:rFonts w:ascii="Times New Roman" w:hAnsi="Times New Roman" w:cs="Times New Roman"/>
        </w:rPr>
        <w:t xml:space="preserve"> (PINC) reprezintă o obligație a Comisiei în temeiul articolului </w:t>
      </w:r>
      <w:r w:rsidRPr="0004458C">
        <w:rPr>
          <w:rFonts w:ascii="Times New Roman" w:hAnsi="Times New Roman" w:cs="Times New Roman"/>
        </w:rPr>
        <w:t>40</w:t>
      </w:r>
      <w:r w:rsidRPr="00DE6825">
        <w:rPr>
          <w:rFonts w:ascii="Times New Roman" w:hAnsi="Times New Roman" w:cs="Times New Roman"/>
        </w:rPr>
        <w:t xml:space="preserve"> din Tratatul Euratom.</w:t>
      </w:r>
    </w:p>
  </w:footnote>
  <w:footnote w:id="8">
    <w:p w14:paraId="1F843491" w14:textId="6EBEAD39" w:rsidR="0032794D" w:rsidRPr="00DE6825" w:rsidRDefault="0032794D" w:rsidP="00CB2FBD">
      <w:pPr>
        <w:pStyle w:val="FootnoteText"/>
        <w:ind w:left="567" w:hanging="567"/>
        <w:rPr>
          <w:rFonts w:ascii="Times New Roman" w:hAnsi="Times New Roman" w:cs="Times New Roman"/>
        </w:rPr>
      </w:pPr>
      <w:r w:rsidRPr="00DE6825">
        <w:rPr>
          <w:rFonts w:ascii="Times New Roman" w:hAnsi="Times New Roman" w:cs="Times New Roman"/>
        </w:rPr>
        <w:t>(</w:t>
      </w:r>
      <w:r w:rsidRPr="00DE6825">
        <w:rPr>
          <w:rStyle w:val="FootnoteReference"/>
          <w:rFonts w:ascii="Times New Roman" w:hAnsi="Times New Roman" w:cs="Times New Roman"/>
        </w:rPr>
        <w:footnoteRef/>
      </w:r>
      <w:r w:rsidRPr="00DE6825">
        <w:rPr>
          <w:rFonts w:ascii="Times New Roman" w:hAnsi="Times New Roman" w:cs="Times New Roman"/>
        </w:rPr>
        <w:t>)</w:t>
      </w:r>
      <w:r w:rsidRPr="00DE6825">
        <w:rPr>
          <w:rFonts w:ascii="Times New Roman" w:hAnsi="Times New Roman" w:cs="Times New Roman"/>
        </w:rPr>
        <w:tab/>
        <w:t>TEN/</w:t>
      </w:r>
      <w:r w:rsidRPr="0004458C">
        <w:rPr>
          <w:rFonts w:ascii="Times New Roman" w:hAnsi="Times New Roman" w:cs="Times New Roman"/>
        </w:rPr>
        <w:t>856</w:t>
      </w:r>
      <w:r w:rsidRPr="00DE6825">
        <w:rPr>
          <w:rFonts w:ascii="Times New Roman" w:hAnsi="Times New Roman" w:cs="Times New Roman"/>
        </w:rPr>
        <w:t>-EESC-</w:t>
      </w:r>
      <w:r w:rsidRPr="0004458C">
        <w:rPr>
          <w:rFonts w:ascii="Times New Roman" w:hAnsi="Times New Roman" w:cs="Times New Roman"/>
        </w:rPr>
        <w:t>2025</w:t>
      </w:r>
      <w:r w:rsidR="0061060C" w:rsidRPr="00DE6825">
        <w:rPr>
          <w:rFonts w:ascii="Times New Roman" w:hAnsi="Times New Roman" w:cs="Times New Roman"/>
        </w:rPr>
        <w:t>.</w:t>
      </w:r>
    </w:p>
  </w:footnote>
  <w:footnote w:id="9">
    <w:p w14:paraId="062E9E12" w14:textId="47707FBD" w:rsidR="00ED29EF" w:rsidRPr="00DE6825" w:rsidRDefault="00ED29EF" w:rsidP="00ED29EF">
      <w:pPr>
        <w:pStyle w:val="FootnoteText"/>
        <w:ind w:left="567" w:hanging="567"/>
        <w:rPr>
          <w:rFonts w:ascii="Times New Roman" w:hAnsi="Times New Roman" w:cs="Times New Roman"/>
        </w:rPr>
      </w:pPr>
      <w:r w:rsidRPr="00DE6825">
        <w:rPr>
          <w:rFonts w:ascii="Times New Roman" w:hAnsi="Times New Roman" w:cs="Times New Roman"/>
        </w:rPr>
        <w:t>(</w:t>
      </w:r>
      <w:r w:rsidRPr="00DE6825">
        <w:rPr>
          <w:rStyle w:val="FootnoteReference"/>
          <w:rFonts w:ascii="Times New Roman" w:hAnsi="Times New Roman" w:cs="Times New Roman"/>
        </w:rPr>
        <w:footnoteRef/>
      </w:r>
      <w:r w:rsidRPr="00DE6825">
        <w:rPr>
          <w:rFonts w:ascii="Times New Roman" w:hAnsi="Times New Roman" w:cs="Times New Roman"/>
        </w:rPr>
        <w:t>)</w:t>
      </w:r>
      <w:r w:rsidRPr="00DE6825">
        <w:rPr>
          <w:rFonts w:ascii="Times New Roman" w:hAnsi="Times New Roman" w:cs="Times New Roman"/>
        </w:rPr>
        <w:tab/>
        <w:t>COM(</w:t>
      </w:r>
      <w:r w:rsidRPr="0004458C">
        <w:rPr>
          <w:rFonts w:ascii="Times New Roman" w:hAnsi="Times New Roman" w:cs="Times New Roman"/>
        </w:rPr>
        <w:t>2025</w:t>
      </w:r>
      <w:r w:rsidRPr="00DE6825">
        <w:rPr>
          <w:rFonts w:ascii="Times New Roman" w:hAnsi="Times New Roman" w:cs="Times New Roman"/>
        </w:rPr>
        <w:t>) </w:t>
      </w:r>
      <w:r w:rsidRPr="0004458C">
        <w:rPr>
          <w:rFonts w:ascii="Times New Roman" w:hAnsi="Times New Roman" w:cs="Times New Roman"/>
        </w:rPr>
        <w:t>315</w:t>
      </w:r>
      <w:r w:rsidRPr="00DE6825">
        <w:rPr>
          <w:rFonts w:ascii="Times New Roman" w:hAnsi="Times New Roman" w:cs="Times New Roman"/>
        </w:rPr>
        <w:t xml:space="preserve"> final. </w:t>
      </w:r>
    </w:p>
  </w:footnote>
  <w:footnote w:id="10">
    <w:p w14:paraId="639BA17C" w14:textId="4BB5B6A5" w:rsidR="00010365" w:rsidRPr="00DE6825" w:rsidRDefault="00010365" w:rsidP="003B3BB8">
      <w:pPr>
        <w:pStyle w:val="FootnoteText"/>
        <w:ind w:left="567" w:hanging="567"/>
        <w:jc w:val="both"/>
        <w:rPr>
          <w:rFonts w:ascii="Times New Roman" w:eastAsia="Aptos" w:hAnsi="Times New Roman" w:cs="Times New Roman"/>
        </w:rPr>
      </w:pPr>
      <w:r w:rsidRPr="00DE6825">
        <w:rPr>
          <w:rFonts w:ascii="Times New Roman" w:hAnsi="Times New Roman" w:cs="Times New Roman"/>
        </w:rPr>
        <w:t>(</w:t>
      </w:r>
      <w:r w:rsidRPr="00DE6825">
        <w:rPr>
          <w:rFonts w:ascii="Times New Roman" w:hAnsi="Times New Roman" w:cs="Times New Roman"/>
          <w:vertAlign w:val="superscript"/>
        </w:rPr>
        <w:footnoteRef/>
      </w:r>
      <w:r w:rsidRPr="00DE6825">
        <w:rPr>
          <w:rFonts w:ascii="Times New Roman" w:hAnsi="Times New Roman" w:cs="Times New Roman"/>
        </w:rPr>
        <w:t>)</w:t>
      </w:r>
      <w:r w:rsidRPr="00DE6825">
        <w:rPr>
          <w:rFonts w:ascii="Times New Roman" w:hAnsi="Times New Roman" w:cs="Times New Roman"/>
        </w:rPr>
        <w:tab/>
        <w:t>Belgia, Bulgaria, Republica Cehă, Spania, Franța, Ungaria, Țările de Jos, România, Slovenia (Croația), Slovacia, Finlanda și Suedia.</w:t>
      </w:r>
    </w:p>
  </w:footnote>
  <w:footnote w:id="11">
    <w:p w14:paraId="648EF82C" w14:textId="152CBCA6" w:rsidR="00010365" w:rsidRPr="00DE6825" w:rsidRDefault="00010365" w:rsidP="003B3BB8">
      <w:pPr>
        <w:pStyle w:val="FootnoteText"/>
        <w:ind w:left="567" w:hanging="567"/>
        <w:jc w:val="both"/>
        <w:rPr>
          <w:rFonts w:ascii="Times New Roman" w:eastAsia="Aptos" w:hAnsi="Times New Roman" w:cs="Times New Roman"/>
        </w:rPr>
      </w:pPr>
      <w:r w:rsidRPr="00DE6825">
        <w:rPr>
          <w:rFonts w:ascii="Times New Roman" w:hAnsi="Times New Roman" w:cs="Times New Roman"/>
        </w:rPr>
        <w:t>(</w:t>
      </w:r>
      <w:r w:rsidRPr="00DE6825">
        <w:rPr>
          <w:rFonts w:ascii="Times New Roman" w:hAnsi="Times New Roman" w:cs="Times New Roman"/>
          <w:vertAlign w:val="superscript"/>
        </w:rPr>
        <w:footnoteRef/>
      </w:r>
      <w:r w:rsidRPr="00DE6825">
        <w:rPr>
          <w:rFonts w:ascii="Times New Roman" w:hAnsi="Times New Roman" w:cs="Times New Roman"/>
        </w:rPr>
        <w:t>)</w:t>
      </w:r>
      <w:r w:rsidRPr="00DE6825">
        <w:rPr>
          <w:rFonts w:ascii="Times New Roman" w:hAnsi="Times New Roman" w:cs="Times New Roman"/>
        </w:rPr>
        <w:tab/>
      </w:r>
      <w:hyperlink r:id="rId3" w:history="1">
        <w:r w:rsidRPr="00DE6825">
          <w:rPr>
            <w:rStyle w:val="Hyperlink"/>
            <w:rFonts w:ascii="Times New Roman" w:hAnsi="Times New Roman" w:cs="Times New Roman"/>
          </w:rPr>
          <w:t xml:space="preserve">Slight increase in nuclear power production in </w:t>
        </w:r>
        <w:r w:rsidRPr="0004458C">
          <w:rPr>
            <w:rStyle w:val="Hyperlink"/>
            <w:rFonts w:ascii="Times New Roman" w:hAnsi="Times New Roman" w:cs="Times New Roman"/>
          </w:rPr>
          <w:t>2023</w:t>
        </w:r>
        <w:r w:rsidRPr="00DE6825">
          <w:rPr>
            <w:rStyle w:val="Hyperlink"/>
            <w:rFonts w:ascii="Times New Roman" w:hAnsi="Times New Roman" w:cs="Times New Roman"/>
          </w:rPr>
          <w:t xml:space="preserve"> - News articles - Eurostat</w:t>
        </w:r>
      </w:hyperlink>
      <w:r w:rsidRPr="00DE6825">
        <w:rPr>
          <w:rFonts w:ascii="Times New Roman" w:hAnsi="Times New Roman" w:cs="Times New Roman"/>
        </w:rPr>
        <w:t>.</w:t>
      </w:r>
    </w:p>
  </w:footnote>
  <w:footnote w:id="12">
    <w:p w14:paraId="5BD39FED" w14:textId="704DE493" w:rsidR="00010365" w:rsidRPr="00DE6825" w:rsidRDefault="00010365" w:rsidP="003B3BB8">
      <w:pPr>
        <w:pStyle w:val="FootnoteText"/>
        <w:ind w:left="567" w:hanging="567"/>
        <w:jc w:val="both"/>
        <w:rPr>
          <w:rFonts w:ascii="Times New Roman" w:eastAsia="Aptos" w:hAnsi="Times New Roman" w:cs="Times New Roman"/>
        </w:rPr>
      </w:pPr>
      <w:r w:rsidRPr="00DE6825">
        <w:rPr>
          <w:rFonts w:ascii="Times New Roman" w:hAnsi="Times New Roman" w:cs="Times New Roman"/>
        </w:rPr>
        <w:t>(</w:t>
      </w:r>
      <w:r w:rsidRPr="00DE6825">
        <w:rPr>
          <w:rFonts w:ascii="Times New Roman" w:hAnsi="Times New Roman" w:cs="Times New Roman"/>
          <w:vertAlign w:val="superscript"/>
        </w:rPr>
        <w:footnoteRef/>
      </w:r>
      <w:r w:rsidRPr="00DE6825">
        <w:rPr>
          <w:rFonts w:ascii="Times New Roman" w:hAnsi="Times New Roman" w:cs="Times New Roman"/>
        </w:rPr>
        <w:t>)</w:t>
      </w:r>
      <w:r w:rsidRPr="00DE6825">
        <w:rPr>
          <w:rFonts w:ascii="Times New Roman" w:hAnsi="Times New Roman" w:cs="Times New Roman"/>
        </w:rPr>
        <w:tab/>
        <w:t xml:space="preserve">Mochovce </w:t>
      </w:r>
      <w:r w:rsidRPr="0004458C">
        <w:rPr>
          <w:rFonts w:ascii="Times New Roman" w:hAnsi="Times New Roman" w:cs="Times New Roman"/>
        </w:rPr>
        <w:t>3</w:t>
      </w:r>
      <w:r w:rsidRPr="00DE6825">
        <w:rPr>
          <w:rFonts w:ascii="Times New Roman" w:hAnsi="Times New Roman" w:cs="Times New Roman"/>
        </w:rPr>
        <w:t xml:space="preserve"> din Slovacia a fost conectat la rețea în ianuarie </w:t>
      </w:r>
      <w:r w:rsidRPr="0004458C">
        <w:rPr>
          <w:rFonts w:ascii="Times New Roman" w:hAnsi="Times New Roman" w:cs="Times New Roman"/>
        </w:rPr>
        <w:t>2023</w:t>
      </w:r>
      <w:r w:rsidRPr="00DE6825">
        <w:rPr>
          <w:rFonts w:ascii="Times New Roman" w:hAnsi="Times New Roman" w:cs="Times New Roman"/>
        </w:rPr>
        <w:t xml:space="preserve">, Olkiluoto </w:t>
      </w:r>
      <w:r w:rsidRPr="0004458C">
        <w:rPr>
          <w:rFonts w:ascii="Times New Roman" w:hAnsi="Times New Roman" w:cs="Times New Roman"/>
        </w:rPr>
        <w:t>3</w:t>
      </w:r>
      <w:r w:rsidRPr="00DE6825">
        <w:rPr>
          <w:rFonts w:ascii="Times New Roman" w:hAnsi="Times New Roman" w:cs="Times New Roman"/>
        </w:rPr>
        <w:t xml:space="preserve"> din Finlanda și-a început exploatarea comercială în mai </w:t>
      </w:r>
      <w:r w:rsidRPr="0004458C">
        <w:rPr>
          <w:rFonts w:ascii="Times New Roman" w:hAnsi="Times New Roman" w:cs="Times New Roman"/>
        </w:rPr>
        <w:t>2023</w:t>
      </w:r>
      <w:r w:rsidRPr="00DE6825">
        <w:rPr>
          <w:rFonts w:ascii="Times New Roman" w:hAnsi="Times New Roman" w:cs="Times New Roman"/>
        </w:rPr>
        <w:t xml:space="preserve">, iar Flamanville </w:t>
      </w:r>
      <w:r w:rsidRPr="0004458C">
        <w:rPr>
          <w:rFonts w:ascii="Times New Roman" w:hAnsi="Times New Roman" w:cs="Times New Roman"/>
        </w:rPr>
        <w:t>3</w:t>
      </w:r>
      <w:r w:rsidRPr="00DE6825">
        <w:rPr>
          <w:rFonts w:ascii="Times New Roman" w:hAnsi="Times New Roman" w:cs="Times New Roman"/>
        </w:rPr>
        <w:t xml:space="preserve"> din Franța a fost conectat la rețea în decembrie </w:t>
      </w:r>
      <w:r w:rsidRPr="0004458C">
        <w:rPr>
          <w:rFonts w:ascii="Times New Roman" w:hAnsi="Times New Roman" w:cs="Times New Roman"/>
        </w:rPr>
        <w:t>2024</w:t>
      </w:r>
      <w:r w:rsidRPr="00DE6825">
        <w:rPr>
          <w:rFonts w:ascii="Times New Roman" w:hAnsi="Times New Roman" w:cs="Times New Roman"/>
        </w:rPr>
        <w:t xml:space="preserve">. Un reactor din Slovacia (Mochovce </w:t>
      </w:r>
      <w:r w:rsidRPr="0004458C">
        <w:rPr>
          <w:rFonts w:ascii="Times New Roman" w:hAnsi="Times New Roman" w:cs="Times New Roman"/>
        </w:rPr>
        <w:t>4</w:t>
      </w:r>
      <w:r w:rsidRPr="00DE6825">
        <w:rPr>
          <w:rFonts w:ascii="Times New Roman" w:hAnsi="Times New Roman" w:cs="Times New Roman"/>
        </w:rPr>
        <w:t>) și alte două din Ungaria (Paks II) sunt în construcție.</w:t>
      </w:r>
    </w:p>
  </w:footnote>
  <w:footnote w:id="13">
    <w:p w14:paraId="60AB2F2C" w14:textId="7746C50C" w:rsidR="00010365" w:rsidRPr="00DE6825" w:rsidRDefault="00010365" w:rsidP="003B3BB8">
      <w:pPr>
        <w:pStyle w:val="FootnoteText"/>
        <w:ind w:left="567" w:hanging="567"/>
        <w:jc w:val="both"/>
        <w:rPr>
          <w:rFonts w:ascii="Times New Roman" w:hAnsi="Times New Roman" w:cs="Times New Roman"/>
        </w:rPr>
      </w:pPr>
      <w:r w:rsidRPr="00DE6825">
        <w:rPr>
          <w:rFonts w:ascii="Times New Roman" w:hAnsi="Times New Roman" w:cs="Times New Roman"/>
        </w:rPr>
        <w:t>(</w:t>
      </w:r>
      <w:r w:rsidRPr="00DE6825">
        <w:rPr>
          <w:rStyle w:val="FootnoteReference"/>
          <w:rFonts w:ascii="Times New Roman" w:hAnsi="Times New Roman" w:cs="Times New Roman"/>
        </w:rPr>
        <w:footnoteRef/>
      </w:r>
      <w:r w:rsidRPr="00DE6825">
        <w:rPr>
          <w:rFonts w:ascii="Times New Roman" w:hAnsi="Times New Roman" w:cs="Times New Roman"/>
        </w:rPr>
        <w:t>)</w:t>
      </w:r>
      <w:r w:rsidRPr="00DE6825">
        <w:rPr>
          <w:rFonts w:ascii="Times New Roman" w:hAnsi="Times New Roman" w:cs="Times New Roman"/>
        </w:rPr>
        <w:tab/>
        <w:t>AIE (</w:t>
      </w:r>
      <w:r w:rsidRPr="0004458C">
        <w:rPr>
          <w:rFonts w:ascii="Times New Roman" w:hAnsi="Times New Roman" w:cs="Times New Roman"/>
        </w:rPr>
        <w:t>2025</w:t>
      </w:r>
      <w:r w:rsidRPr="00DE6825">
        <w:rPr>
          <w:rFonts w:ascii="Times New Roman" w:hAnsi="Times New Roman" w:cs="Times New Roman"/>
        </w:rPr>
        <w:t xml:space="preserve">), The Path to a New Era for Nuclear Energy („Calea către o nouă eră pentru energia nucleară”), Agenția Internațională a Energiei, Paris </w:t>
      </w:r>
      <w:hyperlink r:id="rId4" w:history="1">
        <w:r w:rsidRPr="00DE6825">
          <w:rPr>
            <w:rStyle w:val="Hyperlink"/>
            <w:rFonts w:ascii="Times New Roman" w:hAnsi="Times New Roman" w:cs="Times New Roman"/>
          </w:rPr>
          <w:t>https://www.iea.org/reports/the-path-to-a-new-era-for-nuclear-energy</w:t>
        </w:r>
      </w:hyperlink>
      <w:r w:rsidRPr="00DE6825">
        <w:rPr>
          <w:rFonts w:ascii="Times New Roman" w:hAnsi="Times New Roman" w:cs="Times New Roman"/>
        </w:rPr>
        <w:t xml:space="preserve">, Licență: CC BY </w:t>
      </w:r>
      <w:r w:rsidRPr="0004458C">
        <w:rPr>
          <w:rFonts w:ascii="Times New Roman" w:hAnsi="Times New Roman" w:cs="Times New Roman"/>
        </w:rPr>
        <w:t>4</w:t>
      </w:r>
      <w:r w:rsidRPr="00DE6825">
        <w:rPr>
          <w:rFonts w:ascii="Times New Roman" w:hAnsi="Times New Roman" w:cs="Times New Roman"/>
        </w:rPr>
        <w:t>.</w:t>
      </w:r>
      <w:r w:rsidRPr="0004458C">
        <w:rPr>
          <w:rFonts w:ascii="Times New Roman" w:hAnsi="Times New Roman" w:cs="Times New Roman"/>
        </w:rPr>
        <w:t>0</w:t>
      </w:r>
      <w:r w:rsidRPr="00DE6825">
        <w:rPr>
          <w:rFonts w:ascii="Times New Roman" w:hAnsi="Times New Roman" w:cs="Times New Roman"/>
        </w:rPr>
        <w:t>.</w:t>
      </w:r>
    </w:p>
  </w:footnote>
  <w:footnote w:id="14">
    <w:p w14:paraId="0C6954FB" w14:textId="7102620E" w:rsidR="007F379C" w:rsidRPr="00DE6825" w:rsidRDefault="007F379C" w:rsidP="007F379C">
      <w:pPr>
        <w:pStyle w:val="FootnoteText"/>
        <w:ind w:left="567" w:hanging="567"/>
        <w:jc w:val="both"/>
        <w:rPr>
          <w:rFonts w:ascii="Times New Roman" w:hAnsi="Times New Roman" w:cs="Times New Roman"/>
        </w:rPr>
      </w:pPr>
      <w:r w:rsidRPr="00DE6825">
        <w:rPr>
          <w:rFonts w:ascii="Times New Roman" w:hAnsi="Times New Roman" w:cs="Times New Roman"/>
        </w:rPr>
        <w:t>(</w:t>
      </w:r>
      <w:r w:rsidRPr="00DE6825">
        <w:rPr>
          <w:rStyle w:val="FootnoteReference"/>
          <w:rFonts w:ascii="Times New Roman" w:hAnsi="Times New Roman" w:cs="Times New Roman"/>
        </w:rPr>
        <w:footnoteRef/>
      </w:r>
      <w:r w:rsidRPr="00DE6825">
        <w:rPr>
          <w:rFonts w:ascii="Times New Roman" w:hAnsi="Times New Roman" w:cs="Times New Roman"/>
        </w:rPr>
        <w:t>)</w:t>
      </w:r>
      <w:r w:rsidRPr="00DE6825">
        <w:rPr>
          <w:rFonts w:ascii="Times New Roman" w:hAnsi="Times New Roman" w:cs="Times New Roman"/>
        </w:rPr>
        <w:tab/>
        <w:t>COM(</w:t>
      </w:r>
      <w:r w:rsidRPr="0004458C">
        <w:rPr>
          <w:rFonts w:ascii="Times New Roman" w:hAnsi="Times New Roman" w:cs="Times New Roman"/>
        </w:rPr>
        <w:t>2025</w:t>
      </w:r>
      <w:r w:rsidRPr="00DE6825">
        <w:rPr>
          <w:rFonts w:ascii="Times New Roman" w:hAnsi="Times New Roman" w:cs="Times New Roman"/>
        </w:rPr>
        <w:t xml:space="preserve">) </w:t>
      </w:r>
      <w:r w:rsidRPr="0004458C">
        <w:rPr>
          <w:rFonts w:ascii="Times New Roman" w:hAnsi="Times New Roman" w:cs="Times New Roman"/>
        </w:rPr>
        <w:t>440</w:t>
      </w:r>
      <w:r w:rsidRPr="00DE6825">
        <w:rPr>
          <w:rFonts w:ascii="Times New Roman" w:hAnsi="Times New Roman" w:cs="Times New Roman"/>
        </w:rPr>
        <w:t xml:space="preserve"> final/</w:t>
      </w:r>
      <w:r w:rsidRPr="0004458C">
        <w:rPr>
          <w:rFonts w:ascii="Times New Roman" w:hAnsi="Times New Roman" w:cs="Times New Roman"/>
        </w:rPr>
        <w:t>2</w:t>
      </w:r>
      <w:r w:rsidRPr="00DE6825">
        <w:rPr>
          <w:rFonts w:ascii="Times New Roman" w:hAnsi="Times New Roman" w:cs="Times New Roman"/>
        </w:rPr>
        <w:t xml:space="preserve">, </w:t>
      </w:r>
      <w:hyperlink r:id="rId5" w:history="1">
        <w:r w:rsidRPr="00DE6825">
          <w:rPr>
            <w:rFonts w:ascii="Times New Roman" w:hAnsi="Times New Roman" w:cs="Times New Roman"/>
          </w:rPr>
          <w:t xml:space="preserve">EUR-Lex - </w:t>
        </w:r>
        <w:r w:rsidRPr="0004458C">
          <w:rPr>
            <w:rFonts w:ascii="Times New Roman" w:hAnsi="Times New Roman" w:cs="Times New Roman"/>
          </w:rPr>
          <w:t>52025</w:t>
        </w:r>
        <w:r w:rsidRPr="00DE6825">
          <w:rPr>
            <w:rFonts w:ascii="Times New Roman" w:hAnsi="Times New Roman" w:cs="Times New Roman"/>
          </w:rPr>
          <w:t>DC</w:t>
        </w:r>
        <w:r w:rsidRPr="0004458C">
          <w:rPr>
            <w:rFonts w:ascii="Times New Roman" w:hAnsi="Times New Roman" w:cs="Times New Roman"/>
          </w:rPr>
          <w:t>0440</w:t>
        </w:r>
        <w:r w:rsidRPr="00DE6825">
          <w:rPr>
            <w:rFonts w:ascii="Times New Roman" w:hAnsi="Times New Roman" w:cs="Times New Roman"/>
          </w:rPr>
          <w:t>R(</w:t>
        </w:r>
        <w:r w:rsidRPr="0004458C">
          <w:rPr>
            <w:rFonts w:ascii="Times New Roman" w:hAnsi="Times New Roman" w:cs="Times New Roman"/>
          </w:rPr>
          <w:t>01</w:t>
        </w:r>
        <w:r w:rsidRPr="00DE6825">
          <w:rPr>
            <w:rFonts w:ascii="Times New Roman" w:hAnsi="Times New Roman" w:cs="Times New Roman"/>
          </w:rPr>
          <w:t>) - EN - EUR-Lex</w:t>
        </w:r>
      </w:hyperlink>
      <w:r w:rsidRPr="00DE6825">
        <w:rPr>
          <w:rFonts w:ascii="Times New Roman" w:hAnsi="Times New Roman" w:cs="Times New Roman"/>
        </w:rPr>
        <w:t>.</w:t>
      </w:r>
    </w:p>
  </w:footnote>
  <w:footnote w:id="15">
    <w:p w14:paraId="5B0458CF" w14:textId="0378A74E" w:rsidR="00975114" w:rsidRPr="00DE6825" w:rsidRDefault="00975114" w:rsidP="00351C38">
      <w:pPr>
        <w:pStyle w:val="FootnoteText"/>
        <w:ind w:left="567" w:hanging="567"/>
        <w:jc w:val="both"/>
        <w:rPr>
          <w:rFonts w:ascii="Times New Roman" w:hAnsi="Times New Roman" w:cs="Times New Roman"/>
        </w:rPr>
      </w:pPr>
      <w:r w:rsidRPr="00DE6825">
        <w:rPr>
          <w:rFonts w:ascii="Times New Roman" w:hAnsi="Times New Roman" w:cs="Times New Roman"/>
        </w:rPr>
        <w:t>(</w:t>
      </w:r>
      <w:r w:rsidRPr="00DE6825">
        <w:rPr>
          <w:rStyle w:val="FootnoteReference"/>
          <w:rFonts w:ascii="Times New Roman" w:hAnsi="Times New Roman" w:cs="Times New Roman"/>
        </w:rPr>
        <w:footnoteRef/>
      </w:r>
      <w:r w:rsidRPr="00DE6825">
        <w:rPr>
          <w:rFonts w:ascii="Times New Roman" w:hAnsi="Times New Roman" w:cs="Times New Roman"/>
        </w:rPr>
        <w:t>)</w:t>
      </w:r>
      <w:r w:rsidRPr="00DE6825">
        <w:rPr>
          <w:rFonts w:ascii="Times New Roman" w:hAnsi="Times New Roman" w:cs="Times New Roman"/>
        </w:rPr>
        <w:tab/>
      </w:r>
      <w:hyperlink r:id="rId6">
        <w:r w:rsidRPr="00DE6825">
          <w:rPr>
            <w:rFonts w:ascii="Times New Roman" w:hAnsi="Times New Roman" w:cs="Times New Roman"/>
            <w:color w:val="0000FF"/>
            <w:u w:val="single"/>
          </w:rPr>
          <w:t>Alianța industrială europeană pentru reactoarele modulare mici – Comisia Europeană (europa.eu).</w:t>
        </w:r>
      </w:hyperlink>
    </w:p>
  </w:footnote>
  <w:footnote w:id="16">
    <w:p w14:paraId="778EA129" w14:textId="36F5C2ED" w:rsidR="005F22CB" w:rsidRPr="00DE6825" w:rsidRDefault="00D924DA" w:rsidP="00D924DA">
      <w:pPr>
        <w:pStyle w:val="FootnoteText"/>
        <w:ind w:left="567" w:hanging="567"/>
        <w:jc w:val="both"/>
        <w:rPr>
          <w:rFonts w:ascii="Times New Roman" w:hAnsi="Times New Roman" w:cs="Times New Roman"/>
        </w:rPr>
      </w:pPr>
      <w:r w:rsidRPr="00DE6825">
        <w:rPr>
          <w:rFonts w:ascii="Times New Roman" w:hAnsi="Times New Roman" w:cs="Times New Roman"/>
        </w:rPr>
        <w:t>(</w:t>
      </w:r>
      <w:r w:rsidRPr="00DE6825">
        <w:rPr>
          <w:rFonts w:ascii="Times New Roman" w:hAnsi="Times New Roman" w:cs="Times New Roman"/>
          <w:vertAlign w:val="superscript"/>
        </w:rPr>
        <w:footnoteRef/>
      </w:r>
      <w:r w:rsidRPr="00DE6825">
        <w:rPr>
          <w:rFonts w:ascii="Times New Roman" w:hAnsi="Times New Roman" w:cs="Times New Roman"/>
        </w:rPr>
        <w:t>)</w:t>
      </w:r>
      <w:r w:rsidRPr="00DE6825">
        <w:rPr>
          <w:rFonts w:ascii="Times New Roman" w:hAnsi="Times New Roman" w:cs="Times New Roman"/>
        </w:rPr>
        <w:tab/>
        <w:t>COM(</w:t>
      </w:r>
      <w:r w:rsidRPr="0004458C">
        <w:rPr>
          <w:rFonts w:ascii="Times New Roman" w:hAnsi="Times New Roman" w:cs="Times New Roman"/>
        </w:rPr>
        <w:t>2025</w:t>
      </w:r>
      <w:r w:rsidRPr="00DE6825">
        <w:rPr>
          <w:rFonts w:ascii="Times New Roman" w:hAnsi="Times New Roman" w:cs="Times New Roman"/>
        </w:rPr>
        <w:t xml:space="preserve">) </w:t>
      </w:r>
      <w:r w:rsidRPr="0004458C">
        <w:rPr>
          <w:rFonts w:ascii="Times New Roman" w:hAnsi="Times New Roman" w:cs="Times New Roman"/>
        </w:rPr>
        <w:t>440</w:t>
      </w:r>
      <w:r w:rsidRPr="00DE6825">
        <w:rPr>
          <w:rFonts w:ascii="Times New Roman" w:hAnsi="Times New Roman" w:cs="Times New Roman"/>
        </w:rPr>
        <w:t xml:space="preserve"> final/</w:t>
      </w:r>
      <w:r w:rsidRPr="0004458C">
        <w:rPr>
          <w:rFonts w:ascii="Times New Roman" w:hAnsi="Times New Roman" w:cs="Times New Roman"/>
        </w:rPr>
        <w:t>2</w:t>
      </w:r>
      <w:r w:rsidRPr="00DE6825">
        <w:rPr>
          <w:rFonts w:ascii="Times New Roman" w:hAnsi="Times New Roman" w:cs="Times New Roman"/>
        </w:rPr>
        <w:t xml:space="preserve">, EUR-Lex – </w:t>
      </w:r>
      <w:r w:rsidRPr="0004458C">
        <w:rPr>
          <w:rFonts w:ascii="Times New Roman" w:hAnsi="Times New Roman" w:cs="Times New Roman"/>
        </w:rPr>
        <w:t>52025</w:t>
      </w:r>
      <w:r w:rsidRPr="00DE6825">
        <w:rPr>
          <w:rFonts w:ascii="Times New Roman" w:hAnsi="Times New Roman" w:cs="Times New Roman"/>
        </w:rPr>
        <w:t>DC</w:t>
      </w:r>
      <w:r w:rsidRPr="0004458C">
        <w:rPr>
          <w:rFonts w:ascii="Times New Roman" w:hAnsi="Times New Roman" w:cs="Times New Roman"/>
        </w:rPr>
        <w:t>0440</w:t>
      </w:r>
      <w:r w:rsidRPr="00DE6825">
        <w:rPr>
          <w:rFonts w:ascii="Times New Roman" w:hAnsi="Times New Roman" w:cs="Times New Roman"/>
        </w:rPr>
        <w:t>R (</w:t>
      </w:r>
      <w:r w:rsidRPr="0004458C">
        <w:rPr>
          <w:rFonts w:ascii="Times New Roman" w:hAnsi="Times New Roman" w:cs="Times New Roman"/>
        </w:rPr>
        <w:t>01</w:t>
      </w:r>
      <w:r w:rsidRPr="00DE6825">
        <w:rPr>
          <w:rFonts w:ascii="Times New Roman" w:hAnsi="Times New Roman" w:cs="Times New Roman"/>
        </w:rPr>
        <w:t xml:space="preserve">) – EN – EUR-Lex – Acțiunea </w:t>
      </w:r>
      <w:r w:rsidRPr="0004458C">
        <w:rPr>
          <w:rFonts w:ascii="Times New Roman" w:hAnsi="Times New Roman" w:cs="Times New Roman"/>
        </w:rPr>
        <w:t>7</w:t>
      </w:r>
      <w:r w:rsidRPr="00DE6825">
        <w:rPr>
          <w:rFonts w:ascii="Times New Roman" w:hAnsi="Times New Roman" w:cs="Times New Roman"/>
        </w:rPr>
        <w:t>.</w:t>
      </w:r>
    </w:p>
  </w:footnote>
  <w:footnote w:id="17">
    <w:p w14:paraId="2B6C7706" w14:textId="46B70452" w:rsidR="001C2414" w:rsidRPr="00DE6825" w:rsidRDefault="001C2414" w:rsidP="001C2414">
      <w:pPr>
        <w:pStyle w:val="FootnoteText"/>
        <w:ind w:left="567" w:hanging="567"/>
        <w:jc w:val="both"/>
        <w:rPr>
          <w:rFonts w:ascii="Times New Roman" w:hAnsi="Times New Roman" w:cs="Times New Roman"/>
        </w:rPr>
      </w:pPr>
      <w:r w:rsidRPr="00DE6825">
        <w:rPr>
          <w:rFonts w:ascii="Times New Roman" w:hAnsi="Times New Roman" w:cs="Times New Roman"/>
        </w:rPr>
        <w:t>(</w:t>
      </w:r>
      <w:r w:rsidRPr="00DE6825">
        <w:rPr>
          <w:rStyle w:val="FootnoteReference"/>
          <w:rFonts w:ascii="Times New Roman" w:hAnsi="Times New Roman" w:cs="Times New Roman"/>
        </w:rPr>
        <w:footnoteRef/>
      </w:r>
      <w:r w:rsidRPr="00DE6825">
        <w:rPr>
          <w:rFonts w:ascii="Times New Roman" w:hAnsi="Times New Roman" w:cs="Times New Roman"/>
        </w:rPr>
        <w:t>)</w:t>
      </w:r>
      <w:r w:rsidRPr="00DE6825">
        <w:rPr>
          <w:rFonts w:ascii="Times New Roman" w:hAnsi="Times New Roman" w:cs="Times New Roman"/>
        </w:rPr>
        <w:tab/>
        <w:t xml:space="preserve">Directiva </w:t>
      </w:r>
      <w:r w:rsidRPr="0004458C">
        <w:rPr>
          <w:rFonts w:ascii="Times New Roman" w:hAnsi="Times New Roman" w:cs="Times New Roman"/>
        </w:rPr>
        <w:t>2009</w:t>
      </w:r>
      <w:r w:rsidRPr="00DE6825">
        <w:rPr>
          <w:rFonts w:ascii="Times New Roman" w:hAnsi="Times New Roman" w:cs="Times New Roman"/>
        </w:rPr>
        <w:t>/</w:t>
      </w:r>
      <w:r w:rsidRPr="0004458C">
        <w:rPr>
          <w:rFonts w:ascii="Times New Roman" w:hAnsi="Times New Roman" w:cs="Times New Roman"/>
        </w:rPr>
        <w:t>71</w:t>
      </w:r>
      <w:r w:rsidRPr="00DE6825">
        <w:rPr>
          <w:rFonts w:ascii="Times New Roman" w:hAnsi="Times New Roman" w:cs="Times New Roman"/>
        </w:rPr>
        <w:t xml:space="preserve">/Euratom a Consiliului, astfel cum a fost modificată prin Directiva </w:t>
      </w:r>
      <w:r w:rsidRPr="0004458C">
        <w:rPr>
          <w:rFonts w:ascii="Times New Roman" w:hAnsi="Times New Roman" w:cs="Times New Roman"/>
        </w:rPr>
        <w:t>2014</w:t>
      </w:r>
      <w:r w:rsidRPr="00DE6825">
        <w:rPr>
          <w:rFonts w:ascii="Times New Roman" w:hAnsi="Times New Roman" w:cs="Times New Roman"/>
        </w:rPr>
        <w:t>/</w:t>
      </w:r>
      <w:r w:rsidRPr="0004458C">
        <w:rPr>
          <w:rFonts w:ascii="Times New Roman" w:hAnsi="Times New Roman" w:cs="Times New Roman"/>
        </w:rPr>
        <w:t>87</w:t>
      </w:r>
      <w:r w:rsidRPr="00DE6825">
        <w:rPr>
          <w:rFonts w:ascii="Times New Roman" w:hAnsi="Times New Roman" w:cs="Times New Roman"/>
        </w:rPr>
        <w:t>/Euratom a Consiliului.</w:t>
      </w:r>
    </w:p>
  </w:footnote>
  <w:footnote w:id="18">
    <w:p w14:paraId="7B1EF9AB" w14:textId="762DA556" w:rsidR="001C2414" w:rsidRPr="00DE6825" w:rsidRDefault="001C2414" w:rsidP="001C2414">
      <w:pPr>
        <w:pStyle w:val="FootnoteText"/>
        <w:ind w:left="567" w:hanging="567"/>
        <w:jc w:val="both"/>
        <w:rPr>
          <w:rFonts w:ascii="Times New Roman" w:hAnsi="Times New Roman" w:cs="Times New Roman"/>
        </w:rPr>
      </w:pPr>
      <w:r w:rsidRPr="00DE6825">
        <w:rPr>
          <w:rFonts w:ascii="Times New Roman" w:hAnsi="Times New Roman" w:cs="Times New Roman"/>
        </w:rPr>
        <w:t>(</w:t>
      </w:r>
      <w:r w:rsidRPr="00DE6825">
        <w:rPr>
          <w:rFonts w:ascii="Times New Roman" w:hAnsi="Times New Roman" w:cs="Times New Roman"/>
          <w:vertAlign w:val="superscript"/>
        </w:rPr>
        <w:footnoteRef/>
      </w:r>
      <w:r w:rsidRPr="00DE6825">
        <w:rPr>
          <w:rFonts w:ascii="Times New Roman" w:hAnsi="Times New Roman" w:cs="Times New Roman"/>
        </w:rPr>
        <w:t>)</w:t>
      </w:r>
      <w:r w:rsidRPr="00DE6825">
        <w:rPr>
          <w:rFonts w:ascii="Times New Roman" w:hAnsi="Times New Roman" w:cs="Times New Roman"/>
        </w:rPr>
        <w:tab/>
        <w:t xml:space="preserve">Directiva </w:t>
      </w:r>
      <w:r w:rsidRPr="0004458C">
        <w:rPr>
          <w:rFonts w:ascii="Times New Roman" w:hAnsi="Times New Roman" w:cs="Times New Roman"/>
        </w:rPr>
        <w:t>2011</w:t>
      </w:r>
      <w:r w:rsidRPr="00DE6825">
        <w:rPr>
          <w:rFonts w:ascii="Times New Roman" w:hAnsi="Times New Roman" w:cs="Times New Roman"/>
        </w:rPr>
        <w:t>/</w:t>
      </w:r>
      <w:r w:rsidRPr="0004458C">
        <w:rPr>
          <w:rFonts w:ascii="Times New Roman" w:hAnsi="Times New Roman" w:cs="Times New Roman"/>
        </w:rPr>
        <w:t>70</w:t>
      </w:r>
      <w:r w:rsidRPr="00DE6825">
        <w:rPr>
          <w:rFonts w:ascii="Times New Roman" w:hAnsi="Times New Roman" w:cs="Times New Roman"/>
        </w:rPr>
        <w:t>/Euratom a Consiliului.</w:t>
      </w:r>
    </w:p>
  </w:footnote>
  <w:footnote w:id="19">
    <w:p w14:paraId="399B68D2" w14:textId="502CD57E" w:rsidR="0052789C" w:rsidRPr="00DE6825" w:rsidRDefault="0052789C" w:rsidP="00F55C90">
      <w:pPr>
        <w:pStyle w:val="FootnoteText"/>
        <w:ind w:left="567" w:hanging="567"/>
        <w:jc w:val="both"/>
        <w:rPr>
          <w:rFonts w:ascii="Times New Roman" w:hAnsi="Times New Roman" w:cs="Times New Roman"/>
        </w:rPr>
      </w:pPr>
      <w:r w:rsidRPr="00DE6825">
        <w:rPr>
          <w:rFonts w:ascii="Times New Roman" w:hAnsi="Times New Roman" w:cs="Times New Roman"/>
        </w:rPr>
        <w:t>(</w:t>
      </w:r>
      <w:r w:rsidRPr="00DE6825">
        <w:rPr>
          <w:rFonts w:ascii="Times New Roman" w:hAnsi="Times New Roman" w:cs="Times New Roman"/>
          <w:vertAlign w:val="superscript"/>
        </w:rPr>
        <w:footnoteRef/>
      </w:r>
      <w:r w:rsidRPr="00DE6825">
        <w:rPr>
          <w:rFonts w:ascii="Times New Roman" w:hAnsi="Times New Roman" w:cs="Times New Roman"/>
        </w:rPr>
        <w:t>)</w:t>
      </w:r>
      <w:r w:rsidRPr="00DE6825">
        <w:rPr>
          <w:rFonts w:ascii="Times New Roman" w:hAnsi="Times New Roman" w:cs="Times New Roman"/>
        </w:rPr>
        <w:tab/>
        <w:t xml:space="preserve">În special Directiva </w:t>
      </w:r>
      <w:r w:rsidRPr="0004458C">
        <w:rPr>
          <w:rFonts w:ascii="Times New Roman" w:hAnsi="Times New Roman" w:cs="Times New Roman"/>
        </w:rPr>
        <w:t>2011</w:t>
      </w:r>
      <w:r w:rsidRPr="00DE6825">
        <w:rPr>
          <w:rFonts w:ascii="Times New Roman" w:hAnsi="Times New Roman" w:cs="Times New Roman"/>
        </w:rPr>
        <w:t>/</w:t>
      </w:r>
      <w:r w:rsidRPr="0004458C">
        <w:rPr>
          <w:rFonts w:ascii="Times New Roman" w:hAnsi="Times New Roman" w:cs="Times New Roman"/>
        </w:rPr>
        <w:t>92</w:t>
      </w:r>
      <w:r w:rsidRPr="00DE6825">
        <w:rPr>
          <w:rFonts w:ascii="Times New Roman" w:hAnsi="Times New Roman" w:cs="Times New Roman"/>
        </w:rPr>
        <w:t xml:space="preserve">/UE privind evaluarea efectelor anumitor proiecte publice și private asupra mediului, Directiva </w:t>
      </w:r>
      <w:r w:rsidRPr="0004458C">
        <w:rPr>
          <w:rFonts w:ascii="Times New Roman" w:hAnsi="Times New Roman" w:cs="Times New Roman"/>
        </w:rPr>
        <w:t>2001</w:t>
      </w:r>
      <w:r w:rsidRPr="00DE6825">
        <w:rPr>
          <w:rFonts w:ascii="Times New Roman" w:hAnsi="Times New Roman" w:cs="Times New Roman"/>
        </w:rPr>
        <w:t>/</w:t>
      </w:r>
      <w:r w:rsidRPr="0004458C">
        <w:rPr>
          <w:rFonts w:ascii="Times New Roman" w:hAnsi="Times New Roman" w:cs="Times New Roman"/>
        </w:rPr>
        <w:t>42</w:t>
      </w:r>
      <w:r w:rsidRPr="00DE6825">
        <w:rPr>
          <w:rFonts w:ascii="Times New Roman" w:hAnsi="Times New Roman" w:cs="Times New Roman"/>
        </w:rPr>
        <w:t xml:space="preserve">/CE privind evaluarea efectelor anumitor planuri și programe asupra mediului, Directiva </w:t>
      </w:r>
      <w:r w:rsidRPr="0004458C">
        <w:rPr>
          <w:rFonts w:ascii="Times New Roman" w:hAnsi="Times New Roman" w:cs="Times New Roman"/>
        </w:rPr>
        <w:t>92</w:t>
      </w:r>
      <w:r w:rsidRPr="00DE6825">
        <w:rPr>
          <w:rFonts w:ascii="Times New Roman" w:hAnsi="Times New Roman" w:cs="Times New Roman"/>
        </w:rPr>
        <w:t>/</w:t>
      </w:r>
      <w:r w:rsidRPr="0004458C">
        <w:rPr>
          <w:rFonts w:ascii="Times New Roman" w:hAnsi="Times New Roman" w:cs="Times New Roman"/>
        </w:rPr>
        <w:t>43</w:t>
      </w:r>
      <w:r w:rsidRPr="00DE6825">
        <w:rPr>
          <w:rFonts w:ascii="Times New Roman" w:hAnsi="Times New Roman" w:cs="Times New Roman"/>
        </w:rPr>
        <w:t xml:space="preserve">/CEE privind conservarea habitatelor naturale și a speciilor de faună și floră sălbatică și Directiva </w:t>
      </w:r>
      <w:r w:rsidRPr="0004458C">
        <w:rPr>
          <w:rFonts w:ascii="Times New Roman" w:hAnsi="Times New Roman" w:cs="Times New Roman"/>
        </w:rPr>
        <w:t>2000</w:t>
      </w:r>
      <w:r w:rsidRPr="00DE6825">
        <w:rPr>
          <w:rFonts w:ascii="Times New Roman" w:hAnsi="Times New Roman" w:cs="Times New Roman"/>
        </w:rPr>
        <w:t>/</w:t>
      </w:r>
      <w:r w:rsidRPr="0004458C">
        <w:rPr>
          <w:rFonts w:ascii="Times New Roman" w:hAnsi="Times New Roman" w:cs="Times New Roman"/>
        </w:rPr>
        <w:t>60</w:t>
      </w:r>
      <w:r w:rsidRPr="00DE6825">
        <w:rPr>
          <w:rFonts w:ascii="Times New Roman" w:hAnsi="Times New Roman" w:cs="Times New Roman"/>
        </w:rPr>
        <w:t>/CE de stabilire a unui cadru de politică comunitară în domeniul apei.</w:t>
      </w:r>
    </w:p>
  </w:footnote>
  <w:footnote w:id="20">
    <w:p w14:paraId="329CAA53" w14:textId="256DFA91" w:rsidR="006402F6" w:rsidRPr="00DE6825" w:rsidRDefault="006402F6" w:rsidP="006402F6">
      <w:pPr>
        <w:pStyle w:val="FootnoteText"/>
        <w:ind w:left="567" w:hanging="567"/>
        <w:jc w:val="both"/>
        <w:rPr>
          <w:rFonts w:ascii="Times New Roman" w:hAnsi="Times New Roman" w:cs="Times New Roman"/>
        </w:rPr>
      </w:pPr>
      <w:r w:rsidRPr="00DE6825">
        <w:rPr>
          <w:rFonts w:ascii="Times New Roman" w:hAnsi="Times New Roman" w:cs="Times New Roman"/>
        </w:rPr>
        <w:t>(</w:t>
      </w:r>
      <w:r w:rsidRPr="00DE6825">
        <w:rPr>
          <w:rStyle w:val="FootnoteReference"/>
          <w:rFonts w:ascii="Times New Roman" w:hAnsi="Times New Roman" w:cs="Times New Roman"/>
        </w:rPr>
        <w:footnoteRef/>
      </w:r>
      <w:r w:rsidRPr="00DE6825">
        <w:rPr>
          <w:rFonts w:ascii="Times New Roman" w:hAnsi="Times New Roman" w:cs="Times New Roman"/>
        </w:rPr>
        <w:t>)</w:t>
      </w:r>
      <w:r w:rsidRPr="00DE6825">
        <w:rPr>
          <w:rFonts w:ascii="Times New Roman" w:hAnsi="Times New Roman" w:cs="Times New Roman"/>
        </w:rPr>
        <w:tab/>
        <w:t xml:space="preserve">Regulamentul (UE) </w:t>
      </w:r>
      <w:r w:rsidRPr="0004458C">
        <w:rPr>
          <w:rFonts w:ascii="Times New Roman" w:hAnsi="Times New Roman" w:cs="Times New Roman"/>
        </w:rPr>
        <w:t>2020</w:t>
      </w:r>
      <w:r w:rsidRPr="00DE6825">
        <w:rPr>
          <w:rFonts w:ascii="Times New Roman" w:hAnsi="Times New Roman" w:cs="Times New Roman"/>
        </w:rPr>
        <w:t>/</w:t>
      </w:r>
      <w:r w:rsidRPr="0004458C">
        <w:rPr>
          <w:rFonts w:ascii="Times New Roman" w:hAnsi="Times New Roman" w:cs="Times New Roman"/>
        </w:rPr>
        <w:t>852</w:t>
      </w:r>
      <w:r w:rsidRPr="00DE6825">
        <w:rPr>
          <w:rFonts w:ascii="Times New Roman" w:hAnsi="Times New Roman" w:cs="Times New Roman"/>
        </w:rPr>
        <w:t>, JO L </w:t>
      </w:r>
      <w:r w:rsidRPr="0004458C">
        <w:rPr>
          <w:rFonts w:ascii="Times New Roman" w:hAnsi="Times New Roman" w:cs="Times New Roman"/>
        </w:rPr>
        <w:t>198</w:t>
      </w:r>
      <w:r w:rsidRPr="00DE6825">
        <w:rPr>
          <w:rFonts w:ascii="Times New Roman" w:hAnsi="Times New Roman" w:cs="Times New Roman"/>
        </w:rPr>
        <w:t xml:space="preserve">, </w:t>
      </w:r>
      <w:r w:rsidRPr="0004458C">
        <w:rPr>
          <w:rFonts w:ascii="Times New Roman" w:hAnsi="Times New Roman" w:cs="Times New Roman"/>
        </w:rPr>
        <w:t>22</w:t>
      </w:r>
      <w:r w:rsidRPr="00DE6825">
        <w:rPr>
          <w:rFonts w:ascii="Times New Roman" w:hAnsi="Times New Roman" w:cs="Times New Roman"/>
        </w:rPr>
        <w:t>.</w:t>
      </w:r>
      <w:r w:rsidRPr="0004458C">
        <w:rPr>
          <w:rFonts w:ascii="Times New Roman" w:hAnsi="Times New Roman" w:cs="Times New Roman"/>
        </w:rPr>
        <w:t>6</w:t>
      </w:r>
      <w:r w:rsidRPr="00DE6825">
        <w:rPr>
          <w:rFonts w:ascii="Times New Roman" w:hAnsi="Times New Roman" w:cs="Times New Roman"/>
        </w:rPr>
        <w:t>.</w:t>
      </w:r>
      <w:r w:rsidRPr="0004458C">
        <w:rPr>
          <w:rFonts w:ascii="Times New Roman" w:hAnsi="Times New Roman" w:cs="Times New Roman"/>
        </w:rPr>
        <w:t>2020</w:t>
      </w:r>
      <w:r w:rsidRPr="00DE6825">
        <w:rPr>
          <w:rFonts w:ascii="Times New Roman" w:hAnsi="Times New Roman" w:cs="Times New Roman"/>
        </w:rPr>
        <w:t>, p. </w:t>
      </w:r>
      <w:r w:rsidRPr="0004458C">
        <w:rPr>
          <w:rFonts w:ascii="Times New Roman" w:hAnsi="Times New Roman" w:cs="Times New Roman"/>
        </w:rPr>
        <w:t>13</w:t>
      </w:r>
      <w:r w:rsidRPr="00DE6825">
        <w:rPr>
          <w:rFonts w:ascii="Times New Roman" w:hAnsi="Times New Roman" w:cs="Times New Roman"/>
        </w:rPr>
        <w:t xml:space="preserve">; Regulamentul delegat (UE) </w:t>
      </w:r>
      <w:r w:rsidRPr="0004458C">
        <w:rPr>
          <w:rFonts w:ascii="Times New Roman" w:hAnsi="Times New Roman" w:cs="Times New Roman"/>
        </w:rPr>
        <w:t>2022</w:t>
      </w:r>
      <w:r w:rsidRPr="00DE6825">
        <w:rPr>
          <w:rFonts w:ascii="Times New Roman" w:hAnsi="Times New Roman" w:cs="Times New Roman"/>
        </w:rPr>
        <w:t>/</w:t>
      </w:r>
      <w:r w:rsidRPr="0004458C">
        <w:rPr>
          <w:rFonts w:ascii="Times New Roman" w:hAnsi="Times New Roman" w:cs="Times New Roman"/>
        </w:rPr>
        <w:t>1214</w:t>
      </w:r>
      <w:r w:rsidRPr="00DE6825">
        <w:rPr>
          <w:rFonts w:ascii="Times New Roman" w:hAnsi="Times New Roman" w:cs="Times New Roman"/>
        </w:rPr>
        <w:t xml:space="preserve"> al Comisiei, JO L </w:t>
      </w:r>
      <w:r w:rsidRPr="0004458C">
        <w:rPr>
          <w:rFonts w:ascii="Times New Roman" w:hAnsi="Times New Roman" w:cs="Times New Roman"/>
        </w:rPr>
        <w:t>188</w:t>
      </w:r>
      <w:r w:rsidRPr="00DE6825">
        <w:rPr>
          <w:rFonts w:ascii="Times New Roman" w:hAnsi="Times New Roman" w:cs="Times New Roman"/>
        </w:rPr>
        <w:t xml:space="preserve">, </w:t>
      </w:r>
      <w:r w:rsidRPr="0004458C">
        <w:rPr>
          <w:rFonts w:ascii="Times New Roman" w:hAnsi="Times New Roman" w:cs="Times New Roman"/>
        </w:rPr>
        <w:t>15</w:t>
      </w:r>
      <w:r w:rsidRPr="00DE6825">
        <w:rPr>
          <w:rFonts w:ascii="Times New Roman" w:hAnsi="Times New Roman" w:cs="Times New Roman"/>
        </w:rPr>
        <w:t>.</w:t>
      </w:r>
      <w:r w:rsidRPr="0004458C">
        <w:rPr>
          <w:rFonts w:ascii="Times New Roman" w:hAnsi="Times New Roman" w:cs="Times New Roman"/>
        </w:rPr>
        <w:t>7</w:t>
      </w:r>
      <w:r w:rsidRPr="00DE6825">
        <w:rPr>
          <w:rFonts w:ascii="Times New Roman" w:hAnsi="Times New Roman" w:cs="Times New Roman"/>
        </w:rPr>
        <w:t>.</w:t>
      </w:r>
      <w:r w:rsidRPr="0004458C">
        <w:rPr>
          <w:rFonts w:ascii="Times New Roman" w:hAnsi="Times New Roman" w:cs="Times New Roman"/>
        </w:rPr>
        <w:t>2022</w:t>
      </w:r>
      <w:r w:rsidRPr="00DE6825">
        <w:rPr>
          <w:rFonts w:ascii="Times New Roman" w:hAnsi="Times New Roman" w:cs="Times New Roman"/>
        </w:rPr>
        <w:t>, p. </w:t>
      </w:r>
      <w:r w:rsidRPr="0004458C">
        <w:rPr>
          <w:rFonts w:ascii="Times New Roman" w:hAnsi="Times New Roman" w:cs="Times New Roman"/>
        </w:rPr>
        <w:t>1</w:t>
      </w:r>
      <w:r w:rsidRPr="00DE6825">
        <w:rPr>
          <w:rFonts w:ascii="Times New Roman" w:hAnsi="Times New Roman" w:cs="Times New Roman"/>
        </w:rPr>
        <w:t>.</w:t>
      </w:r>
    </w:p>
  </w:footnote>
  <w:footnote w:id="21">
    <w:p w14:paraId="6E5D02D0" w14:textId="77777777" w:rsidR="001C2414" w:rsidRPr="00DE6825" w:rsidRDefault="001C2414" w:rsidP="001C2414">
      <w:pPr>
        <w:pStyle w:val="FootnoteText"/>
        <w:ind w:left="567" w:hanging="567"/>
        <w:jc w:val="both"/>
        <w:rPr>
          <w:rFonts w:ascii="Times New Roman" w:hAnsi="Times New Roman" w:cs="Times New Roman"/>
        </w:rPr>
      </w:pPr>
      <w:r w:rsidRPr="00DE6825">
        <w:rPr>
          <w:rFonts w:ascii="Times New Roman" w:hAnsi="Times New Roman" w:cs="Times New Roman"/>
        </w:rPr>
        <w:t>(</w:t>
      </w:r>
      <w:r w:rsidRPr="00DE6825">
        <w:rPr>
          <w:rStyle w:val="FootnoteReference"/>
          <w:rFonts w:ascii="Times New Roman" w:hAnsi="Times New Roman" w:cs="Times New Roman"/>
        </w:rPr>
        <w:footnoteRef/>
      </w:r>
      <w:r w:rsidRPr="00DE6825">
        <w:rPr>
          <w:rFonts w:ascii="Times New Roman" w:hAnsi="Times New Roman" w:cs="Times New Roman"/>
        </w:rPr>
        <w:t>)</w:t>
      </w:r>
      <w:r w:rsidRPr="00DE6825">
        <w:rPr>
          <w:rFonts w:ascii="Times New Roman" w:hAnsi="Times New Roman" w:cs="Times New Roman"/>
        </w:rPr>
        <w:tab/>
        <w:t>Tone de metale grele, abreviate ca tHM, reprezintă o unitate pentru masă utilizată pentru cuantificarea uraniului, plutoniului, toriului și amestecurilor acestor elemente.</w:t>
      </w:r>
    </w:p>
  </w:footnote>
  <w:footnote w:id="22">
    <w:p w14:paraId="0141E2C6" w14:textId="77777777" w:rsidR="001C2414" w:rsidRPr="00DE6825" w:rsidRDefault="001C2414" w:rsidP="001C2414">
      <w:pPr>
        <w:pStyle w:val="FootnoteText"/>
        <w:ind w:left="567" w:hanging="567"/>
        <w:jc w:val="both"/>
        <w:rPr>
          <w:rFonts w:ascii="Times New Roman" w:hAnsi="Times New Roman" w:cs="Times New Roman"/>
        </w:rPr>
      </w:pPr>
      <w:r w:rsidRPr="00DE6825">
        <w:rPr>
          <w:rFonts w:ascii="Times New Roman" w:hAnsi="Times New Roman" w:cs="Times New Roman"/>
        </w:rPr>
        <w:t>(</w:t>
      </w:r>
      <w:r w:rsidRPr="00DE6825">
        <w:rPr>
          <w:rFonts w:ascii="Times New Roman" w:hAnsi="Times New Roman" w:cs="Times New Roman"/>
          <w:vertAlign w:val="superscript"/>
        </w:rPr>
        <w:footnoteRef/>
      </w:r>
      <w:r w:rsidRPr="00DE6825">
        <w:rPr>
          <w:rFonts w:ascii="Times New Roman" w:hAnsi="Times New Roman" w:cs="Times New Roman"/>
        </w:rPr>
        <w:t>)</w:t>
      </w:r>
      <w:r w:rsidRPr="00DE6825">
        <w:rPr>
          <w:rFonts w:ascii="Times New Roman" w:hAnsi="Times New Roman" w:cs="Times New Roman"/>
        </w:rPr>
        <w:tab/>
        <w:t xml:space="preserve">Shedding light on energy in Europe („Se face lumină în domeniul energiei în Europa”) – ediția </w:t>
      </w:r>
      <w:r w:rsidRPr="0004458C">
        <w:rPr>
          <w:rFonts w:ascii="Times New Roman" w:hAnsi="Times New Roman" w:cs="Times New Roman"/>
        </w:rPr>
        <w:t>2025</w:t>
      </w:r>
      <w:r w:rsidRPr="00DE6825">
        <w:rPr>
          <w:rFonts w:ascii="Times New Roman" w:hAnsi="Times New Roman" w:cs="Times New Roman"/>
        </w:rPr>
        <w:t xml:space="preserve">, ESTAT, ISBN </w:t>
      </w:r>
      <w:r w:rsidRPr="0004458C">
        <w:rPr>
          <w:rFonts w:ascii="Times New Roman" w:hAnsi="Times New Roman" w:cs="Times New Roman"/>
        </w:rPr>
        <w:t>978</w:t>
      </w:r>
      <w:r w:rsidRPr="00DE6825">
        <w:rPr>
          <w:rFonts w:ascii="Times New Roman" w:hAnsi="Times New Roman" w:cs="Times New Roman"/>
        </w:rPr>
        <w:t>-</w:t>
      </w:r>
      <w:r w:rsidRPr="0004458C">
        <w:rPr>
          <w:rFonts w:ascii="Times New Roman" w:hAnsi="Times New Roman" w:cs="Times New Roman"/>
        </w:rPr>
        <w:t>92</w:t>
      </w:r>
      <w:r w:rsidRPr="00DE6825">
        <w:rPr>
          <w:rFonts w:ascii="Times New Roman" w:hAnsi="Times New Roman" w:cs="Times New Roman"/>
        </w:rPr>
        <w:t>-</w:t>
      </w:r>
      <w:r w:rsidRPr="0004458C">
        <w:rPr>
          <w:rFonts w:ascii="Times New Roman" w:hAnsi="Times New Roman" w:cs="Times New Roman"/>
        </w:rPr>
        <w:t>68</w:t>
      </w:r>
      <w:r w:rsidRPr="00DE6825">
        <w:rPr>
          <w:rFonts w:ascii="Times New Roman" w:hAnsi="Times New Roman" w:cs="Times New Roman"/>
        </w:rPr>
        <w:t>-</w:t>
      </w:r>
      <w:r w:rsidRPr="0004458C">
        <w:rPr>
          <w:rFonts w:ascii="Times New Roman" w:hAnsi="Times New Roman" w:cs="Times New Roman"/>
        </w:rPr>
        <w:t>22424</w:t>
      </w:r>
      <w:r w:rsidRPr="00DE6825">
        <w:rPr>
          <w:rFonts w:ascii="Times New Roman" w:hAnsi="Times New Roman" w:cs="Times New Roman"/>
        </w:rPr>
        <w:t>-</w:t>
      </w:r>
      <w:r w:rsidRPr="0004458C">
        <w:rPr>
          <w:rFonts w:ascii="Times New Roman" w:hAnsi="Times New Roman" w:cs="Times New Roman"/>
        </w:rPr>
        <w:t>3</w:t>
      </w:r>
      <w:r w:rsidRPr="00DE6825">
        <w:rPr>
          <w:rFonts w:ascii="Times New Roman" w:hAnsi="Times New Roman" w:cs="Times New Roman"/>
        </w:rPr>
        <w:t>.</w:t>
      </w:r>
    </w:p>
  </w:footnote>
  <w:footnote w:id="23">
    <w:p w14:paraId="7ED7E552" w14:textId="28D1170B" w:rsidR="00A53818" w:rsidRPr="00DE6825" w:rsidRDefault="00A53818" w:rsidP="00A53818">
      <w:pPr>
        <w:pStyle w:val="FootnoteText"/>
        <w:ind w:left="567" w:hanging="567"/>
        <w:jc w:val="both"/>
        <w:rPr>
          <w:rFonts w:ascii="Times New Roman" w:hAnsi="Times New Roman" w:cs="Times New Roman"/>
        </w:rPr>
      </w:pPr>
      <w:r w:rsidRPr="00DE6825">
        <w:rPr>
          <w:rFonts w:ascii="Times New Roman" w:hAnsi="Times New Roman" w:cs="Times New Roman"/>
        </w:rPr>
        <w:t>(</w:t>
      </w:r>
      <w:r w:rsidRPr="00DE6825">
        <w:rPr>
          <w:rFonts w:ascii="Times New Roman" w:hAnsi="Times New Roman" w:cs="Times New Roman"/>
          <w:vertAlign w:val="superscript"/>
        </w:rPr>
        <w:footnoteRef/>
      </w:r>
      <w:r w:rsidRPr="00DE6825">
        <w:rPr>
          <w:rFonts w:ascii="Times New Roman" w:hAnsi="Times New Roman" w:cs="Times New Roman"/>
        </w:rPr>
        <w:t xml:space="preserve">) </w:t>
      </w:r>
      <w:r w:rsidRPr="00DE6825">
        <w:rPr>
          <w:rFonts w:ascii="Times New Roman" w:hAnsi="Times New Roman" w:cs="Times New Roman"/>
        </w:rPr>
        <w:tab/>
        <w:t xml:space="preserve">Cifra de </w:t>
      </w:r>
      <w:r w:rsidRPr="0004458C">
        <w:rPr>
          <w:rFonts w:ascii="Times New Roman" w:hAnsi="Times New Roman" w:cs="Times New Roman"/>
        </w:rPr>
        <w:t>8</w:t>
      </w:r>
      <w:r w:rsidRPr="00DE6825">
        <w:rPr>
          <w:rFonts w:ascii="Times New Roman" w:hAnsi="Times New Roman" w:cs="Times New Roman"/>
        </w:rPr>
        <w:t>,</w:t>
      </w:r>
      <w:r w:rsidRPr="0004458C">
        <w:rPr>
          <w:rFonts w:ascii="Times New Roman" w:hAnsi="Times New Roman" w:cs="Times New Roman"/>
        </w:rPr>
        <w:t>33</w:t>
      </w:r>
      <w:r w:rsidRPr="00DE6825">
        <w:rPr>
          <w:rFonts w:ascii="Times New Roman" w:hAnsi="Times New Roman" w:cs="Times New Roman"/>
        </w:rPr>
        <w:t xml:space="preserve"> EUR/MWh reprezintă un raport, unde: (i) numărătorul este suma cheltuielilor suportate pentru dezafectare și pentru toate operațiunile de gestionare a deșeurilor, cu excepția depozitării geologice și (ii) numitorul este energia electrică generată pe întreaga durată de exploatare a centralei. </w:t>
      </w:r>
    </w:p>
  </w:footnote>
  <w:footnote w:id="24">
    <w:p w14:paraId="57A5671F" w14:textId="48925C2C" w:rsidR="001C2414" w:rsidRPr="00DE6825" w:rsidRDefault="001C2414" w:rsidP="001C2414">
      <w:pPr>
        <w:pStyle w:val="FootnoteText"/>
        <w:ind w:left="567" w:hanging="567"/>
        <w:jc w:val="both"/>
        <w:rPr>
          <w:rFonts w:ascii="Times New Roman" w:hAnsi="Times New Roman" w:cs="Times New Roman"/>
        </w:rPr>
      </w:pPr>
      <w:r w:rsidRPr="00DE6825">
        <w:rPr>
          <w:rFonts w:ascii="Times New Roman" w:hAnsi="Times New Roman" w:cs="Times New Roman"/>
        </w:rPr>
        <w:t>(</w:t>
      </w:r>
      <w:r w:rsidRPr="00DE6825">
        <w:rPr>
          <w:rStyle w:val="FootnoteReference"/>
          <w:rFonts w:ascii="Times New Roman" w:hAnsi="Times New Roman" w:cs="Times New Roman"/>
        </w:rPr>
        <w:footnoteRef/>
      </w:r>
      <w:r w:rsidRPr="00DE6825">
        <w:rPr>
          <w:rFonts w:ascii="Times New Roman" w:hAnsi="Times New Roman" w:cs="Times New Roman"/>
        </w:rPr>
        <w:t>)</w:t>
      </w:r>
      <w:r w:rsidRPr="00DE6825">
        <w:rPr>
          <w:rFonts w:ascii="Times New Roman" w:hAnsi="Times New Roman" w:cs="Times New Roman"/>
        </w:rPr>
        <w:tab/>
        <w:t>COM(</w:t>
      </w:r>
      <w:r w:rsidRPr="0004458C">
        <w:rPr>
          <w:rFonts w:ascii="Times New Roman" w:hAnsi="Times New Roman" w:cs="Times New Roman"/>
        </w:rPr>
        <w:t>2024</w:t>
      </w:r>
      <w:r w:rsidRPr="00DE6825">
        <w:rPr>
          <w:rFonts w:ascii="Times New Roman" w:hAnsi="Times New Roman" w:cs="Times New Roman"/>
        </w:rPr>
        <w:t xml:space="preserve">) </w:t>
      </w:r>
      <w:r w:rsidRPr="0004458C">
        <w:rPr>
          <w:rFonts w:ascii="Times New Roman" w:hAnsi="Times New Roman" w:cs="Times New Roman"/>
        </w:rPr>
        <w:t>197</w:t>
      </w:r>
      <w:r w:rsidRPr="00DE6825">
        <w:rPr>
          <w:rFonts w:ascii="Times New Roman" w:hAnsi="Times New Roman" w:cs="Times New Roman"/>
        </w:rPr>
        <w:t xml:space="preserve"> final, Raport al Comisiei către Consiliu și Parlamentul European privind progresul înregistrat în punerea în aplicare a Directivei </w:t>
      </w:r>
      <w:r w:rsidRPr="0004458C">
        <w:rPr>
          <w:rFonts w:ascii="Times New Roman" w:hAnsi="Times New Roman" w:cs="Times New Roman"/>
        </w:rPr>
        <w:t>2011</w:t>
      </w:r>
      <w:r w:rsidRPr="00DE6825">
        <w:rPr>
          <w:rFonts w:ascii="Times New Roman" w:hAnsi="Times New Roman" w:cs="Times New Roman"/>
        </w:rPr>
        <w:t>/</w:t>
      </w:r>
      <w:r w:rsidRPr="0004458C">
        <w:rPr>
          <w:rFonts w:ascii="Times New Roman" w:hAnsi="Times New Roman" w:cs="Times New Roman"/>
        </w:rPr>
        <w:t>70</w:t>
      </w:r>
      <w:r w:rsidRPr="00DE6825">
        <w:rPr>
          <w:rFonts w:ascii="Times New Roman" w:hAnsi="Times New Roman" w:cs="Times New Roman"/>
        </w:rPr>
        <w:t>/EURATOM a Consiliului și un inventar al deșeurilor radioactive și al combustibilului uzat de pe teritoriul Comunității și perspectivele viitoare – AL TREILEA RAPORT.</w:t>
      </w:r>
    </w:p>
  </w:footnote>
  <w:footnote w:id="25">
    <w:p w14:paraId="36E25009" w14:textId="10F85865" w:rsidR="00DE2849" w:rsidRPr="00DE6825" w:rsidRDefault="00DE2849" w:rsidP="00DE2849">
      <w:pPr>
        <w:pStyle w:val="FootnoteText"/>
        <w:ind w:left="567" w:hanging="567"/>
        <w:jc w:val="both"/>
        <w:rPr>
          <w:rFonts w:ascii="Times New Roman" w:hAnsi="Times New Roman" w:cs="Times New Roman"/>
        </w:rPr>
      </w:pPr>
      <w:r w:rsidRPr="00DE6825">
        <w:rPr>
          <w:rFonts w:ascii="Times New Roman" w:hAnsi="Times New Roman" w:cs="Times New Roman"/>
        </w:rPr>
        <w:t>(</w:t>
      </w:r>
      <w:r w:rsidRPr="00DE6825">
        <w:rPr>
          <w:rFonts w:ascii="Times New Roman" w:hAnsi="Times New Roman" w:cs="Times New Roman"/>
          <w:vertAlign w:val="superscript"/>
        </w:rPr>
        <w:footnoteRef/>
      </w:r>
      <w:r w:rsidRPr="00DE6825">
        <w:rPr>
          <w:rFonts w:ascii="Times New Roman" w:hAnsi="Times New Roman" w:cs="Times New Roman"/>
        </w:rPr>
        <w:t>)</w:t>
      </w:r>
      <w:r w:rsidRPr="00DE6825">
        <w:rPr>
          <w:rFonts w:ascii="Times New Roman" w:hAnsi="Times New Roman" w:cs="Times New Roman"/>
        </w:rPr>
        <w:tab/>
        <w:t>Această cifră reprezintă suma estimărilor individuale ale statelor membre. Totuși, estimările statelor membre variază foarte mult în ceea ce privește metodologia, ipotezele, exhaustivitatea datelor, domeniul de aplicare și termenele. Cifrele pentru fiecare stat membru pot reprezenta sau nu o valoare actualizată.</w:t>
      </w:r>
    </w:p>
  </w:footnote>
  <w:footnote w:id="26">
    <w:p w14:paraId="09DDD1FC" w14:textId="31E6D1B0" w:rsidR="00A30A18" w:rsidRPr="00DE6825" w:rsidRDefault="00A30A18" w:rsidP="00A30A18">
      <w:pPr>
        <w:pStyle w:val="FootnoteText"/>
        <w:ind w:left="567" w:hanging="567"/>
        <w:jc w:val="both"/>
        <w:rPr>
          <w:rFonts w:ascii="Times New Roman" w:hAnsi="Times New Roman" w:cs="Times New Roman"/>
        </w:rPr>
      </w:pPr>
      <w:r w:rsidRPr="00DE6825">
        <w:rPr>
          <w:rFonts w:ascii="Times New Roman" w:hAnsi="Times New Roman" w:cs="Times New Roman"/>
        </w:rPr>
        <w:t>(</w:t>
      </w:r>
      <w:r w:rsidRPr="00DE6825">
        <w:rPr>
          <w:rStyle w:val="FootnoteReference"/>
          <w:rFonts w:ascii="Times New Roman" w:hAnsi="Times New Roman" w:cs="Times New Roman"/>
        </w:rPr>
        <w:footnoteRef/>
      </w:r>
      <w:r w:rsidRPr="00DE6825">
        <w:rPr>
          <w:rFonts w:ascii="Times New Roman" w:hAnsi="Times New Roman" w:cs="Times New Roman"/>
        </w:rPr>
        <w:t>)</w:t>
      </w:r>
      <w:r w:rsidRPr="00DE6825">
        <w:rPr>
          <w:rFonts w:ascii="Times New Roman" w:hAnsi="Times New Roman" w:cs="Times New Roman"/>
        </w:rPr>
        <w:tab/>
        <w:t>Documentul de lucru al serviciilor Comisiei COM(</w:t>
      </w:r>
      <w:r w:rsidRPr="0004458C">
        <w:rPr>
          <w:rFonts w:ascii="Times New Roman" w:hAnsi="Times New Roman" w:cs="Times New Roman"/>
        </w:rPr>
        <w:t>2017</w:t>
      </w:r>
      <w:r w:rsidRPr="00DE6825">
        <w:rPr>
          <w:rFonts w:ascii="Times New Roman" w:hAnsi="Times New Roman" w:cs="Times New Roman"/>
        </w:rPr>
        <w:t>) </w:t>
      </w:r>
      <w:r w:rsidRPr="0004458C">
        <w:rPr>
          <w:rFonts w:ascii="Times New Roman" w:hAnsi="Times New Roman" w:cs="Times New Roman"/>
        </w:rPr>
        <w:t>237</w:t>
      </w:r>
      <w:r w:rsidRPr="00DE6825">
        <w:rPr>
          <w:rFonts w:ascii="Times New Roman" w:hAnsi="Times New Roman" w:cs="Times New Roman"/>
        </w:rPr>
        <w:t xml:space="preserve"> final.</w:t>
      </w:r>
    </w:p>
  </w:footnote>
  <w:footnote w:id="27">
    <w:p w14:paraId="4596A622" w14:textId="7F070E45" w:rsidR="00097953" w:rsidRPr="00DE6825" w:rsidRDefault="00097953" w:rsidP="00F55C90">
      <w:pPr>
        <w:pStyle w:val="FootnoteText"/>
        <w:ind w:left="567" w:hanging="567"/>
        <w:jc w:val="both"/>
        <w:rPr>
          <w:rFonts w:ascii="Times New Roman" w:hAnsi="Times New Roman" w:cs="Times New Roman"/>
        </w:rPr>
      </w:pPr>
      <w:r w:rsidRPr="00DE6825">
        <w:rPr>
          <w:rFonts w:ascii="Times New Roman" w:hAnsi="Times New Roman" w:cs="Times New Roman"/>
        </w:rPr>
        <w:t>(</w:t>
      </w:r>
      <w:r w:rsidRPr="00DE6825">
        <w:rPr>
          <w:rStyle w:val="FootnoteReference"/>
          <w:rFonts w:ascii="Times New Roman" w:hAnsi="Times New Roman" w:cs="Times New Roman"/>
        </w:rPr>
        <w:footnoteRef/>
      </w:r>
      <w:r w:rsidRPr="00DE6825">
        <w:rPr>
          <w:rFonts w:ascii="Times New Roman" w:hAnsi="Times New Roman" w:cs="Times New Roman"/>
        </w:rPr>
        <w:t>)</w:t>
      </w:r>
      <w:r w:rsidRPr="00DE6825">
        <w:rPr>
          <w:rFonts w:ascii="Times New Roman" w:hAnsi="Times New Roman" w:cs="Times New Roman"/>
        </w:rPr>
        <w:tab/>
        <w:t>Și pentru a ține seama de Brexit.</w:t>
      </w:r>
    </w:p>
  </w:footnote>
  <w:footnote w:id="28">
    <w:p w14:paraId="34FDAFA6" w14:textId="4CBB7C41" w:rsidR="008D1E2D" w:rsidRPr="00DE6825" w:rsidRDefault="008D1E2D" w:rsidP="003B3BB8">
      <w:pPr>
        <w:pStyle w:val="FootnoteText"/>
        <w:ind w:left="567" w:hanging="567"/>
        <w:jc w:val="both"/>
        <w:rPr>
          <w:rFonts w:ascii="Times New Roman" w:hAnsi="Times New Roman" w:cs="Times New Roman"/>
        </w:rPr>
      </w:pPr>
      <w:r w:rsidRPr="00DE6825">
        <w:rPr>
          <w:rFonts w:ascii="Times New Roman" w:hAnsi="Times New Roman" w:cs="Times New Roman"/>
        </w:rPr>
        <w:t>(</w:t>
      </w:r>
      <w:r w:rsidRPr="00DE6825">
        <w:rPr>
          <w:rFonts w:ascii="Times New Roman" w:hAnsi="Times New Roman" w:cs="Times New Roman"/>
          <w:vertAlign w:val="superscript"/>
        </w:rPr>
        <w:footnoteRef/>
      </w:r>
      <w:r w:rsidRPr="00DE6825">
        <w:rPr>
          <w:rFonts w:ascii="Times New Roman" w:hAnsi="Times New Roman" w:cs="Times New Roman"/>
        </w:rPr>
        <w:t>)</w:t>
      </w:r>
      <w:r w:rsidRPr="00DE6825">
        <w:rPr>
          <w:rFonts w:ascii="Times New Roman" w:hAnsi="Times New Roman" w:cs="Times New Roman"/>
        </w:rPr>
        <w:tab/>
        <w:t>Documentul de lucru al serviciilor Comisiei COM(</w:t>
      </w:r>
      <w:r w:rsidRPr="0004458C">
        <w:rPr>
          <w:rFonts w:ascii="Times New Roman" w:hAnsi="Times New Roman" w:cs="Times New Roman"/>
        </w:rPr>
        <w:t>2025</w:t>
      </w:r>
      <w:r w:rsidRPr="00DE6825">
        <w:rPr>
          <w:rFonts w:ascii="Times New Roman" w:hAnsi="Times New Roman" w:cs="Times New Roman"/>
        </w:rPr>
        <w:t>) </w:t>
      </w:r>
      <w:r w:rsidRPr="0004458C">
        <w:rPr>
          <w:rFonts w:ascii="Times New Roman" w:hAnsi="Times New Roman" w:cs="Times New Roman"/>
        </w:rPr>
        <w:t>274</w:t>
      </w:r>
      <w:r w:rsidRPr="00DE6825">
        <w:rPr>
          <w:rFonts w:ascii="Times New Roman" w:hAnsi="Times New Roman" w:cs="Times New Roman"/>
        </w:rPr>
        <w:t xml:space="preserve"> final. </w:t>
      </w:r>
    </w:p>
  </w:footnote>
  <w:footnote w:id="29">
    <w:p w14:paraId="698C16B9" w14:textId="05397C48" w:rsidR="00DE2849" w:rsidRPr="00DE6825" w:rsidRDefault="00DE2849" w:rsidP="00DE2849">
      <w:pPr>
        <w:pStyle w:val="FootnoteText"/>
        <w:ind w:left="567" w:hanging="567"/>
        <w:jc w:val="both"/>
        <w:rPr>
          <w:rFonts w:ascii="Times New Roman" w:hAnsi="Times New Roman" w:cs="Times New Roman"/>
        </w:rPr>
      </w:pPr>
      <w:r w:rsidRPr="00DE6825">
        <w:rPr>
          <w:rFonts w:ascii="Times New Roman" w:hAnsi="Times New Roman" w:cs="Times New Roman"/>
        </w:rPr>
        <w:t>(</w:t>
      </w:r>
      <w:r w:rsidRPr="00DE6825">
        <w:rPr>
          <w:rFonts w:ascii="Times New Roman" w:hAnsi="Times New Roman" w:cs="Times New Roman"/>
          <w:vertAlign w:val="superscript"/>
        </w:rPr>
        <w:footnoteRef/>
      </w:r>
      <w:r w:rsidRPr="00DE6825">
        <w:rPr>
          <w:rFonts w:ascii="Times New Roman" w:hAnsi="Times New Roman" w:cs="Times New Roman"/>
        </w:rPr>
        <w:t>)</w:t>
      </w:r>
      <w:r w:rsidRPr="00DE6825">
        <w:rPr>
          <w:rFonts w:ascii="Times New Roman" w:hAnsi="Times New Roman" w:cs="Times New Roman"/>
        </w:rPr>
        <w:tab/>
        <w:t xml:space="preserve">În </w:t>
      </w:r>
      <w:r w:rsidRPr="0004458C">
        <w:rPr>
          <w:rFonts w:ascii="Times New Roman" w:hAnsi="Times New Roman" w:cs="Times New Roman"/>
        </w:rPr>
        <w:t>2023</w:t>
      </w:r>
      <w:r w:rsidRPr="00DE6825">
        <w:rPr>
          <w:rFonts w:ascii="Times New Roman" w:hAnsi="Times New Roman" w:cs="Times New Roman"/>
        </w:rPr>
        <w:t xml:space="preserve">, guvernul finlandez a acordat centralei nucleare de la Loviisa o nouă licență de funcționare până la sfârșitul anului </w:t>
      </w:r>
      <w:r w:rsidRPr="0004458C">
        <w:rPr>
          <w:rFonts w:ascii="Times New Roman" w:hAnsi="Times New Roman" w:cs="Times New Roman"/>
        </w:rPr>
        <w:t>2050</w:t>
      </w:r>
      <w:r w:rsidRPr="00DE6825">
        <w:rPr>
          <w:rFonts w:ascii="Times New Roman" w:hAnsi="Times New Roman" w:cs="Times New Roman"/>
        </w:rPr>
        <w:t xml:space="preserve">, moment în care aceasta va avea peste </w:t>
      </w:r>
      <w:r w:rsidRPr="0004458C">
        <w:rPr>
          <w:rFonts w:ascii="Times New Roman" w:hAnsi="Times New Roman" w:cs="Times New Roman"/>
        </w:rPr>
        <w:t>70</w:t>
      </w:r>
      <w:r w:rsidRPr="00DE6825">
        <w:rPr>
          <w:rFonts w:ascii="Times New Roman" w:hAnsi="Times New Roman" w:cs="Times New Roman"/>
        </w:rPr>
        <w:t xml:space="preserve"> de ani de funcționare. Scenariile prezentate reflectă numai posibilele exploatări pe termen lung (ETL) ale centralelor nucleare aflate în funcțiune în prezent. Acestea nu iau în considerare posibila repornire a centralelor deja închise, care ar putea adăuga capacități suplimentare în cazul repornirii. </w:t>
      </w:r>
    </w:p>
  </w:footnote>
  <w:footnote w:id="30">
    <w:p w14:paraId="75DCD10F" w14:textId="3B75EDF6" w:rsidR="00994010" w:rsidRPr="00DE6825" w:rsidRDefault="00994010" w:rsidP="003B3BB8">
      <w:pPr>
        <w:pStyle w:val="FootnoteText"/>
        <w:ind w:left="567" w:hanging="567"/>
        <w:jc w:val="both"/>
        <w:rPr>
          <w:rFonts w:ascii="Times New Roman" w:hAnsi="Times New Roman" w:cs="Times New Roman"/>
        </w:rPr>
      </w:pPr>
      <w:r w:rsidRPr="00DE6825">
        <w:rPr>
          <w:rFonts w:ascii="Times New Roman" w:hAnsi="Times New Roman" w:cs="Times New Roman"/>
        </w:rPr>
        <w:t>(</w:t>
      </w:r>
      <w:r w:rsidRPr="00DE6825">
        <w:rPr>
          <w:rStyle w:val="FootnoteReference"/>
          <w:rFonts w:ascii="Times New Roman" w:hAnsi="Times New Roman" w:cs="Times New Roman"/>
        </w:rPr>
        <w:footnoteRef/>
      </w:r>
      <w:r w:rsidRPr="00DE6825">
        <w:rPr>
          <w:rFonts w:ascii="Times New Roman" w:hAnsi="Times New Roman" w:cs="Times New Roman"/>
        </w:rPr>
        <w:t>)</w:t>
      </w:r>
      <w:r w:rsidRPr="00DE6825">
        <w:rPr>
          <w:rFonts w:ascii="Times New Roman" w:hAnsi="Times New Roman" w:cs="Times New Roman"/>
        </w:rPr>
        <w:tab/>
      </w:r>
      <w:hyperlink r:id="rId7" w:history="1">
        <w:r w:rsidRPr="00DE6825">
          <w:rPr>
            <w:rStyle w:val="Hyperlink"/>
            <w:rFonts w:ascii="Times New Roman" w:hAnsi="Times New Roman" w:cs="Times New Roman"/>
          </w:rPr>
          <w:t>Preparteneriatul european pentru SMR – nucleareurope</w:t>
        </w:r>
      </w:hyperlink>
      <w:r w:rsidRPr="00DE6825">
        <w:rPr>
          <w:rFonts w:ascii="Times New Roman" w:hAnsi="Times New Roman" w:cs="Times New Roman"/>
        </w:rPr>
        <w:t>, a se ține seama de faptul că acest scenariu include energia pentru producția de energie electrică și pentru furnizarea de energie termică.</w:t>
      </w:r>
    </w:p>
  </w:footnote>
  <w:footnote w:id="31">
    <w:p w14:paraId="67435088" w14:textId="3636BC5A" w:rsidR="000F30D5" w:rsidRPr="00DE6825" w:rsidRDefault="00424F10" w:rsidP="003B3BB8">
      <w:pPr>
        <w:pStyle w:val="FootnoteText"/>
        <w:ind w:left="567" w:hanging="567"/>
        <w:jc w:val="both"/>
        <w:rPr>
          <w:rFonts w:ascii="Times New Roman" w:hAnsi="Times New Roman" w:cs="Times New Roman"/>
        </w:rPr>
      </w:pPr>
      <w:r w:rsidRPr="00DE6825">
        <w:rPr>
          <w:rFonts w:ascii="Times New Roman" w:hAnsi="Times New Roman" w:cs="Times New Roman"/>
        </w:rPr>
        <w:t>(</w:t>
      </w:r>
      <w:r w:rsidRPr="00DE6825">
        <w:rPr>
          <w:rStyle w:val="FootnoteReference"/>
          <w:rFonts w:ascii="Times New Roman" w:hAnsi="Times New Roman" w:cs="Times New Roman"/>
        </w:rPr>
        <w:footnoteRef/>
      </w:r>
      <w:r w:rsidRPr="00DE6825">
        <w:rPr>
          <w:rFonts w:ascii="Times New Roman" w:hAnsi="Times New Roman" w:cs="Times New Roman"/>
        </w:rPr>
        <w:t>)</w:t>
      </w:r>
      <w:r w:rsidRPr="00DE6825">
        <w:rPr>
          <w:rFonts w:ascii="Times New Roman" w:hAnsi="Times New Roman" w:cs="Times New Roman"/>
        </w:rPr>
        <w:tab/>
        <w:t xml:space="preserve">The Path to a New Era for Nuclear Energy („Calea către o nouă eră pentru energia nucleară”), AIE, </w:t>
      </w:r>
      <w:r w:rsidRPr="0004458C">
        <w:rPr>
          <w:rFonts w:ascii="Times New Roman" w:hAnsi="Times New Roman" w:cs="Times New Roman"/>
        </w:rPr>
        <w:t>2025</w:t>
      </w:r>
      <w:r w:rsidRPr="00DE6825">
        <w:rPr>
          <w:rFonts w:ascii="Times New Roman" w:hAnsi="Times New Roman" w:cs="Times New Roman"/>
        </w:rPr>
        <w:t xml:space="preserve">, </w:t>
      </w:r>
      <w:hyperlink r:id="rId8" w:history="1">
        <w:r w:rsidRPr="00DE6825">
          <w:rPr>
            <w:rStyle w:val="Hyperlink"/>
            <w:rFonts w:ascii="Times New Roman" w:hAnsi="Times New Roman" w:cs="Times New Roman"/>
          </w:rPr>
          <w:t>The Path to a New Era for Nuclear Energy</w:t>
        </w:r>
      </w:hyperlink>
      <w:r w:rsidRPr="00DE6825">
        <w:rPr>
          <w:rFonts w:ascii="Times New Roman" w:hAnsi="Times New Roman" w:cs="Times New Roman"/>
        </w:rPr>
        <w:t xml:space="preserve">. Luând în considerare reactoarele de mari dimensiuni și SMR în ansamblu, AIE a estimat că capacitatea instalată în centralele nucleare la nivel mondial va crește de la </w:t>
      </w:r>
      <w:r w:rsidRPr="0004458C">
        <w:rPr>
          <w:rFonts w:ascii="Times New Roman" w:hAnsi="Times New Roman" w:cs="Times New Roman"/>
        </w:rPr>
        <w:t>416</w:t>
      </w:r>
      <w:r w:rsidRPr="00DE6825">
        <w:rPr>
          <w:rFonts w:ascii="Times New Roman" w:hAnsi="Times New Roman" w:cs="Times New Roman"/>
        </w:rPr>
        <w:t xml:space="preserve"> GWe în </w:t>
      </w:r>
      <w:r w:rsidRPr="0004458C">
        <w:rPr>
          <w:rFonts w:ascii="Times New Roman" w:hAnsi="Times New Roman" w:cs="Times New Roman"/>
        </w:rPr>
        <w:t>2023</w:t>
      </w:r>
      <w:r w:rsidRPr="00DE6825">
        <w:rPr>
          <w:rFonts w:ascii="Times New Roman" w:hAnsi="Times New Roman" w:cs="Times New Roman"/>
        </w:rPr>
        <w:t xml:space="preserve"> la valori cuprinse între </w:t>
      </w:r>
      <w:r w:rsidRPr="0004458C">
        <w:rPr>
          <w:rFonts w:ascii="Times New Roman" w:hAnsi="Times New Roman" w:cs="Times New Roman"/>
        </w:rPr>
        <w:t>650</w:t>
      </w:r>
      <w:r w:rsidRPr="00DE6825">
        <w:rPr>
          <w:rFonts w:ascii="Times New Roman" w:hAnsi="Times New Roman" w:cs="Times New Roman"/>
        </w:rPr>
        <w:t xml:space="preserve"> GWe, </w:t>
      </w:r>
      <w:r w:rsidRPr="0004458C">
        <w:rPr>
          <w:rFonts w:ascii="Times New Roman" w:hAnsi="Times New Roman" w:cs="Times New Roman"/>
        </w:rPr>
        <w:t>870</w:t>
      </w:r>
      <w:r w:rsidRPr="00DE6825">
        <w:rPr>
          <w:rFonts w:ascii="Times New Roman" w:hAnsi="Times New Roman" w:cs="Times New Roman"/>
        </w:rPr>
        <w:t xml:space="preserve"> GWe și peste </w:t>
      </w:r>
      <w:r w:rsidRPr="0004458C">
        <w:rPr>
          <w:rFonts w:ascii="Times New Roman" w:hAnsi="Times New Roman" w:cs="Times New Roman"/>
        </w:rPr>
        <w:t>1</w:t>
      </w:r>
      <w:r w:rsidRPr="00DE6825">
        <w:rPr>
          <w:rFonts w:ascii="Times New Roman" w:hAnsi="Times New Roman" w:cs="Times New Roman"/>
        </w:rPr>
        <w:t> </w:t>
      </w:r>
      <w:r w:rsidRPr="0004458C">
        <w:rPr>
          <w:rFonts w:ascii="Times New Roman" w:hAnsi="Times New Roman" w:cs="Times New Roman"/>
        </w:rPr>
        <w:t>000</w:t>
      </w:r>
      <w:r w:rsidRPr="00DE6825">
        <w:rPr>
          <w:rFonts w:ascii="Times New Roman" w:hAnsi="Times New Roman" w:cs="Times New Roman"/>
        </w:rPr>
        <w:t xml:space="preserve"> GWe până în </w:t>
      </w:r>
      <w:r w:rsidRPr="0004458C">
        <w:rPr>
          <w:rFonts w:ascii="Times New Roman" w:hAnsi="Times New Roman" w:cs="Times New Roman"/>
        </w:rPr>
        <w:t>2050</w:t>
      </w:r>
      <w:r w:rsidRPr="00DE6825">
        <w:rPr>
          <w:rFonts w:ascii="Times New Roman" w:hAnsi="Times New Roman" w:cs="Times New Roman"/>
        </w:rPr>
        <w:t xml:space="preserve">, în trei scenarii. </w:t>
      </w:r>
    </w:p>
  </w:footnote>
  <w:footnote w:id="32">
    <w:p w14:paraId="225A23C7" w14:textId="6CE49532" w:rsidR="00E63F68" w:rsidRPr="00DE6825" w:rsidRDefault="00E63F68" w:rsidP="003B3BB8">
      <w:pPr>
        <w:pStyle w:val="FootnoteText"/>
        <w:ind w:left="567" w:hanging="567"/>
        <w:jc w:val="both"/>
        <w:rPr>
          <w:rFonts w:ascii="Times New Roman" w:hAnsi="Times New Roman" w:cs="Times New Roman"/>
        </w:rPr>
      </w:pPr>
      <w:r w:rsidRPr="00DE6825">
        <w:rPr>
          <w:rFonts w:ascii="Times New Roman" w:hAnsi="Times New Roman" w:cs="Times New Roman"/>
        </w:rPr>
        <w:t>(</w:t>
      </w:r>
      <w:r w:rsidRPr="00DE6825">
        <w:rPr>
          <w:rStyle w:val="FootnoteReference"/>
          <w:rFonts w:ascii="Times New Roman" w:hAnsi="Times New Roman" w:cs="Times New Roman"/>
        </w:rPr>
        <w:footnoteRef/>
      </w:r>
      <w:r w:rsidRPr="00DE6825">
        <w:rPr>
          <w:rFonts w:ascii="Times New Roman" w:hAnsi="Times New Roman" w:cs="Times New Roman"/>
        </w:rPr>
        <w:t>)</w:t>
      </w:r>
      <w:r w:rsidRPr="00DE6825">
        <w:rPr>
          <w:rFonts w:ascii="Times New Roman" w:hAnsi="Times New Roman" w:cs="Times New Roman"/>
        </w:rPr>
        <w:tab/>
        <w:t xml:space="preserve">Căi către </w:t>
      </w:r>
      <w:r w:rsidRPr="0004458C">
        <w:rPr>
          <w:rFonts w:ascii="Times New Roman" w:hAnsi="Times New Roman" w:cs="Times New Roman"/>
        </w:rPr>
        <w:t>2050</w:t>
      </w:r>
      <w:r w:rsidRPr="00DE6825">
        <w:rPr>
          <w:rFonts w:ascii="Times New Roman" w:hAnsi="Times New Roman" w:cs="Times New Roman"/>
        </w:rPr>
        <w:t xml:space="preserve">: The role of nuclear in a low-carbon Europe („Căi către </w:t>
      </w:r>
      <w:r w:rsidRPr="0004458C">
        <w:rPr>
          <w:rFonts w:ascii="Times New Roman" w:hAnsi="Times New Roman" w:cs="Times New Roman"/>
        </w:rPr>
        <w:t>2050</w:t>
      </w:r>
      <w:r w:rsidRPr="00DE6825">
        <w:rPr>
          <w:rFonts w:ascii="Times New Roman" w:hAnsi="Times New Roman" w:cs="Times New Roman"/>
        </w:rPr>
        <w:t xml:space="preserve">: rolul energiei nucleare într-o Europă cu emisii scăzute de dioxid de carbon”), </w:t>
      </w:r>
      <w:hyperlink r:id="rId9" w:history="1">
        <w:r w:rsidRPr="00DE6825">
          <w:rPr>
            <w:rStyle w:val="Hyperlink"/>
            <w:rFonts w:ascii="Times New Roman" w:hAnsi="Times New Roman" w:cs="Times New Roman"/>
          </w:rPr>
          <w:t xml:space="preserve">Compass Lexecon, </w:t>
        </w:r>
        <w:r w:rsidRPr="0004458C">
          <w:rPr>
            <w:rStyle w:val="Hyperlink"/>
            <w:rFonts w:ascii="Times New Roman" w:hAnsi="Times New Roman" w:cs="Times New Roman"/>
          </w:rPr>
          <w:t>2024</w:t>
        </w:r>
        <w:r w:rsidRPr="00DE6825">
          <w:rPr>
            <w:rStyle w:val="Hyperlink"/>
            <w:rFonts w:ascii="Times New Roman" w:hAnsi="Times New Roman" w:cs="Times New Roman"/>
          </w:rPr>
          <w:t xml:space="preserve">, Pathways to </w:t>
        </w:r>
        <w:r w:rsidRPr="0004458C">
          <w:rPr>
            <w:rStyle w:val="Hyperlink"/>
            <w:rFonts w:ascii="Times New Roman" w:hAnsi="Times New Roman" w:cs="Times New Roman"/>
          </w:rPr>
          <w:t>2050</w:t>
        </w:r>
        <w:r w:rsidRPr="00DE6825">
          <w:rPr>
            <w:rStyle w:val="Hyperlink"/>
            <w:rFonts w:ascii="Times New Roman" w:hAnsi="Times New Roman" w:cs="Times New Roman"/>
          </w:rPr>
          <w:t xml:space="preserve"> – nucleareurope</w:t>
        </w:r>
      </w:hyperlink>
      <w:r w:rsidRPr="00DE6825">
        <w:rPr>
          <w:rFonts w:ascii="Times New Roman" w:hAnsi="Times New Roman" w:cs="Times New Roman"/>
        </w:rPr>
        <w:t>.</w:t>
      </w:r>
    </w:p>
  </w:footnote>
  <w:footnote w:id="33">
    <w:p w14:paraId="6CABD4CE" w14:textId="723E0D2A" w:rsidR="00365A80" w:rsidRPr="00DE6825" w:rsidRDefault="00081503" w:rsidP="00081503">
      <w:pPr>
        <w:pStyle w:val="FootnoteText"/>
        <w:ind w:left="567" w:hanging="567"/>
        <w:jc w:val="both"/>
        <w:rPr>
          <w:rFonts w:ascii="Times New Roman" w:hAnsi="Times New Roman" w:cs="Times New Roman"/>
        </w:rPr>
      </w:pPr>
      <w:r w:rsidRPr="00DE6825">
        <w:rPr>
          <w:rFonts w:ascii="Times New Roman" w:hAnsi="Times New Roman" w:cs="Times New Roman"/>
        </w:rPr>
        <w:t>(</w:t>
      </w:r>
      <w:r w:rsidRPr="00DE6825">
        <w:rPr>
          <w:rFonts w:ascii="Times New Roman" w:hAnsi="Times New Roman" w:cs="Times New Roman"/>
          <w:vertAlign w:val="superscript"/>
        </w:rPr>
        <w:footnoteRef/>
      </w:r>
      <w:r w:rsidRPr="00DE6825">
        <w:rPr>
          <w:rFonts w:ascii="Times New Roman" w:hAnsi="Times New Roman" w:cs="Times New Roman"/>
        </w:rPr>
        <w:t>)</w:t>
      </w:r>
      <w:r w:rsidRPr="00DE6825">
        <w:rPr>
          <w:rFonts w:ascii="Times New Roman" w:hAnsi="Times New Roman" w:cs="Times New Roman"/>
        </w:rPr>
        <w:tab/>
        <w:t>COM(</w:t>
      </w:r>
      <w:r w:rsidRPr="0004458C">
        <w:rPr>
          <w:rFonts w:ascii="Times New Roman" w:hAnsi="Times New Roman" w:cs="Times New Roman"/>
        </w:rPr>
        <w:t>2026</w:t>
      </w:r>
      <w:r w:rsidRPr="00DE6825">
        <w:rPr>
          <w:rFonts w:ascii="Times New Roman" w:hAnsi="Times New Roman" w:cs="Times New Roman"/>
        </w:rPr>
        <w:t>) </w:t>
      </w:r>
      <w:r w:rsidRPr="0004458C">
        <w:rPr>
          <w:rFonts w:ascii="Times New Roman" w:hAnsi="Times New Roman" w:cs="Times New Roman"/>
        </w:rPr>
        <w:t>117</w:t>
      </w:r>
      <w:r w:rsidRPr="00DE6825">
        <w:rPr>
          <w:rFonts w:ascii="Times New Roman" w:hAnsi="Times New Roman" w:cs="Times New Roman"/>
        </w:rPr>
        <w:t>.</w:t>
      </w:r>
    </w:p>
  </w:footnote>
  <w:footnote w:id="34">
    <w:p w14:paraId="19A8F9DF" w14:textId="183C8A77" w:rsidR="003C78D2" w:rsidRPr="00DE6825" w:rsidRDefault="003C78D2" w:rsidP="003C78D2">
      <w:pPr>
        <w:pStyle w:val="FootnoteText"/>
        <w:ind w:left="567" w:hanging="567"/>
        <w:jc w:val="both"/>
        <w:rPr>
          <w:rFonts w:ascii="Times New Roman" w:hAnsi="Times New Roman" w:cs="Times New Roman"/>
        </w:rPr>
      </w:pPr>
      <w:r w:rsidRPr="00DE6825">
        <w:rPr>
          <w:rFonts w:ascii="Times New Roman" w:hAnsi="Times New Roman" w:cs="Times New Roman"/>
        </w:rPr>
        <w:t>(</w:t>
      </w:r>
      <w:r w:rsidRPr="00DE6825">
        <w:rPr>
          <w:rFonts w:ascii="Times New Roman" w:hAnsi="Times New Roman" w:cs="Times New Roman"/>
          <w:vertAlign w:val="superscript"/>
        </w:rPr>
        <w:footnoteRef/>
      </w:r>
      <w:r w:rsidRPr="00DE6825">
        <w:rPr>
          <w:rFonts w:ascii="Times New Roman" w:hAnsi="Times New Roman" w:cs="Times New Roman"/>
        </w:rPr>
        <w:t>)</w:t>
      </w:r>
      <w:r w:rsidRPr="00DE6825">
        <w:rPr>
          <w:rFonts w:ascii="Times New Roman" w:hAnsi="Times New Roman" w:cs="Times New Roman"/>
        </w:rPr>
        <w:tab/>
        <w:t xml:space="preserve">Comisia a calculat valoarea actualizată utilizând o rată de actualizare de </w:t>
      </w:r>
      <w:r w:rsidRPr="0004458C">
        <w:rPr>
          <w:rFonts w:ascii="Times New Roman" w:hAnsi="Times New Roman" w:cs="Times New Roman"/>
        </w:rPr>
        <w:t>7</w:t>
      </w:r>
      <w:r w:rsidRPr="00DE6825">
        <w:rPr>
          <w:rFonts w:ascii="Times New Roman" w:hAnsi="Times New Roman" w:cs="Times New Roman"/>
        </w:rPr>
        <w:t>,</w:t>
      </w:r>
      <w:r w:rsidRPr="0004458C">
        <w:rPr>
          <w:rFonts w:ascii="Times New Roman" w:hAnsi="Times New Roman" w:cs="Times New Roman"/>
        </w:rPr>
        <w:t>5</w:t>
      </w:r>
      <w:r w:rsidRPr="00DE6825">
        <w:rPr>
          <w:rFonts w:ascii="Times New Roman" w:hAnsi="Times New Roman" w:cs="Times New Roman"/>
        </w:rPr>
        <w:t xml:space="preserve"> %. Nevoile de investiții indicate includ construcția unor noi reactoare și prelungirea duratei de viață a celor existente. Secțiunea </w:t>
      </w:r>
      <w:r w:rsidRPr="0004458C">
        <w:rPr>
          <w:rFonts w:ascii="Times New Roman" w:hAnsi="Times New Roman" w:cs="Times New Roman"/>
        </w:rPr>
        <w:t>3</w:t>
      </w:r>
      <w:r w:rsidRPr="00DE6825">
        <w:rPr>
          <w:rFonts w:ascii="Times New Roman" w:hAnsi="Times New Roman" w:cs="Times New Roman"/>
        </w:rPr>
        <w:t>.</w:t>
      </w:r>
      <w:r w:rsidRPr="0004458C">
        <w:rPr>
          <w:rFonts w:ascii="Times New Roman" w:hAnsi="Times New Roman" w:cs="Times New Roman"/>
        </w:rPr>
        <w:t>3</w:t>
      </w:r>
      <w:r w:rsidRPr="00DE6825">
        <w:rPr>
          <w:rFonts w:ascii="Times New Roman" w:hAnsi="Times New Roman" w:cs="Times New Roman"/>
        </w:rPr>
        <w:t xml:space="preserve"> se referă separat la nevoile de investiții pentru dezafectare și cele pentru gestionarea deșeurilor radioactive și a combustibilului uzat.</w:t>
      </w:r>
    </w:p>
  </w:footnote>
  <w:footnote w:id="35">
    <w:p w14:paraId="0C4F9783" w14:textId="0277BA94" w:rsidR="00820E16" w:rsidRPr="00DE6825" w:rsidRDefault="005A5396" w:rsidP="00B066D7">
      <w:pPr>
        <w:pStyle w:val="FootnoteText"/>
        <w:ind w:left="567" w:hanging="567"/>
        <w:jc w:val="both"/>
        <w:rPr>
          <w:rFonts w:ascii="Times New Roman" w:hAnsi="Times New Roman" w:cs="Times New Roman"/>
        </w:rPr>
      </w:pPr>
      <w:r w:rsidRPr="00DE6825">
        <w:rPr>
          <w:rFonts w:ascii="Times New Roman" w:hAnsi="Times New Roman" w:cs="Times New Roman"/>
        </w:rPr>
        <w:t>(</w:t>
      </w:r>
      <w:r w:rsidRPr="00DE6825">
        <w:rPr>
          <w:rStyle w:val="FootnoteReference"/>
          <w:rFonts w:ascii="Times New Roman" w:hAnsi="Times New Roman" w:cs="Times New Roman"/>
        </w:rPr>
        <w:footnoteRef/>
      </w:r>
      <w:r w:rsidRPr="00DE6825">
        <w:rPr>
          <w:rFonts w:ascii="Times New Roman" w:hAnsi="Times New Roman" w:cs="Times New Roman"/>
        </w:rPr>
        <w:t>)</w:t>
      </w:r>
      <w:r w:rsidRPr="00DE6825">
        <w:rPr>
          <w:rFonts w:ascii="Times New Roman" w:hAnsi="Times New Roman" w:cs="Times New Roman"/>
        </w:rPr>
        <w:tab/>
        <w:t>În exemplul cantitativ, se presupune că costurile de construcție cresc proporțional cu timpul de construcție.</w:t>
      </w:r>
    </w:p>
  </w:footnote>
  <w:footnote w:id="36">
    <w:p w14:paraId="1426A20F" w14:textId="28677F26" w:rsidR="00CE63DD" w:rsidRPr="00DE6825" w:rsidRDefault="00CE63DD" w:rsidP="00CE63DD">
      <w:pPr>
        <w:pStyle w:val="FootnoteText"/>
        <w:ind w:left="567" w:hanging="567"/>
        <w:jc w:val="both"/>
        <w:rPr>
          <w:rFonts w:ascii="Times New Roman" w:hAnsi="Times New Roman" w:cs="Times New Roman"/>
        </w:rPr>
      </w:pPr>
      <w:r w:rsidRPr="00DE6825">
        <w:rPr>
          <w:rFonts w:ascii="Times New Roman" w:hAnsi="Times New Roman" w:cs="Times New Roman"/>
        </w:rPr>
        <w:t>(</w:t>
      </w:r>
      <w:r w:rsidRPr="00DE6825">
        <w:rPr>
          <w:rStyle w:val="FootnoteReference"/>
          <w:rFonts w:ascii="Times New Roman" w:hAnsi="Times New Roman" w:cs="Times New Roman"/>
        </w:rPr>
        <w:footnoteRef/>
      </w:r>
      <w:r w:rsidRPr="00DE6825">
        <w:rPr>
          <w:rFonts w:ascii="Times New Roman" w:hAnsi="Times New Roman" w:cs="Times New Roman"/>
        </w:rPr>
        <w:t>)</w:t>
      </w:r>
      <w:r w:rsidRPr="00DE6825">
        <w:rPr>
          <w:rFonts w:ascii="Times New Roman" w:hAnsi="Times New Roman" w:cs="Times New Roman"/>
        </w:rPr>
        <w:tab/>
        <w:t xml:space="preserve">Documentul de lucru însoțitor al serviciilor Comisiei, secțiunile </w:t>
      </w:r>
      <w:r w:rsidRPr="0004458C">
        <w:rPr>
          <w:rFonts w:ascii="Times New Roman" w:hAnsi="Times New Roman" w:cs="Times New Roman"/>
        </w:rPr>
        <w:t>2</w:t>
      </w:r>
      <w:r w:rsidRPr="00DE6825">
        <w:rPr>
          <w:rFonts w:ascii="Times New Roman" w:hAnsi="Times New Roman" w:cs="Times New Roman"/>
        </w:rPr>
        <w:t>.</w:t>
      </w:r>
      <w:r w:rsidRPr="0004458C">
        <w:rPr>
          <w:rFonts w:ascii="Times New Roman" w:hAnsi="Times New Roman" w:cs="Times New Roman"/>
        </w:rPr>
        <w:t>2</w:t>
      </w:r>
      <w:r w:rsidRPr="00DE6825">
        <w:rPr>
          <w:rFonts w:ascii="Times New Roman" w:hAnsi="Times New Roman" w:cs="Times New Roman"/>
        </w:rPr>
        <w:t>.</w:t>
      </w:r>
      <w:r w:rsidRPr="0004458C">
        <w:rPr>
          <w:rFonts w:ascii="Times New Roman" w:hAnsi="Times New Roman" w:cs="Times New Roman"/>
        </w:rPr>
        <w:t>2</w:t>
      </w:r>
      <w:r w:rsidRPr="00DE6825">
        <w:rPr>
          <w:rFonts w:ascii="Times New Roman" w:hAnsi="Times New Roman" w:cs="Times New Roman"/>
        </w:rPr>
        <w:t xml:space="preserve"> și </w:t>
      </w:r>
      <w:r w:rsidRPr="0004458C">
        <w:rPr>
          <w:rFonts w:ascii="Times New Roman" w:hAnsi="Times New Roman" w:cs="Times New Roman"/>
        </w:rPr>
        <w:t>2</w:t>
      </w:r>
      <w:r w:rsidRPr="00DE6825">
        <w:rPr>
          <w:rFonts w:ascii="Times New Roman" w:hAnsi="Times New Roman" w:cs="Times New Roman"/>
        </w:rPr>
        <w:t>.</w:t>
      </w:r>
      <w:r w:rsidRPr="0004458C">
        <w:rPr>
          <w:rFonts w:ascii="Times New Roman" w:hAnsi="Times New Roman" w:cs="Times New Roman"/>
        </w:rPr>
        <w:t>2</w:t>
      </w:r>
      <w:r w:rsidRPr="00DE6825">
        <w:rPr>
          <w:rFonts w:ascii="Times New Roman" w:hAnsi="Times New Roman" w:cs="Times New Roman"/>
        </w:rPr>
        <w:t>.</w:t>
      </w:r>
      <w:r w:rsidRPr="0004458C">
        <w:rPr>
          <w:rFonts w:ascii="Times New Roman" w:hAnsi="Times New Roman" w:cs="Times New Roman"/>
        </w:rPr>
        <w:t>3</w:t>
      </w:r>
      <w:r w:rsidRPr="00DE6825">
        <w:rPr>
          <w:rFonts w:ascii="Times New Roman" w:hAnsi="Times New Roman" w:cs="Times New Roman"/>
        </w:rPr>
        <w:t>.</w:t>
      </w:r>
    </w:p>
  </w:footnote>
  <w:footnote w:id="37">
    <w:p w14:paraId="23E26F97" w14:textId="1729E93F" w:rsidR="00BF1558" w:rsidRPr="00DE6825" w:rsidRDefault="00BF1558" w:rsidP="003C53C5">
      <w:pPr>
        <w:pStyle w:val="FootnoteText"/>
        <w:ind w:left="567" w:hanging="567"/>
        <w:jc w:val="both"/>
        <w:rPr>
          <w:rFonts w:ascii="Times New Roman" w:hAnsi="Times New Roman" w:cs="Times New Roman"/>
        </w:rPr>
      </w:pPr>
      <w:r w:rsidRPr="00DE6825">
        <w:rPr>
          <w:rFonts w:ascii="Times New Roman" w:hAnsi="Times New Roman" w:cs="Times New Roman"/>
        </w:rPr>
        <w:t>(</w:t>
      </w:r>
      <w:r w:rsidRPr="00DE6825">
        <w:rPr>
          <w:rStyle w:val="FootnoteReference"/>
          <w:rFonts w:ascii="Times New Roman" w:hAnsi="Times New Roman" w:cs="Times New Roman"/>
        </w:rPr>
        <w:footnoteRef/>
      </w:r>
      <w:r w:rsidRPr="00DE6825">
        <w:rPr>
          <w:rFonts w:ascii="Times New Roman" w:hAnsi="Times New Roman" w:cs="Times New Roman"/>
        </w:rPr>
        <w:t>)</w:t>
      </w:r>
      <w:r w:rsidRPr="00DE6825">
        <w:rPr>
          <w:rFonts w:ascii="Times New Roman" w:hAnsi="Times New Roman" w:cs="Times New Roman"/>
        </w:rPr>
        <w:tab/>
        <w:t>AIE (</w:t>
      </w:r>
      <w:r w:rsidRPr="0004458C">
        <w:rPr>
          <w:rFonts w:ascii="Times New Roman" w:hAnsi="Times New Roman" w:cs="Times New Roman"/>
        </w:rPr>
        <w:t>2025</w:t>
      </w:r>
      <w:r w:rsidRPr="00DE6825">
        <w:rPr>
          <w:rFonts w:ascii="Times New Roman" w:hAnsi="Times New Roman" w:cs="Times New Roman"/>
        </w:rPr>
        <w:t xml:space="preserve">), The Path to a New Era for Nuclear Energy („Calea către o nouă eră pentru energia nucleară”), Agenția Internațională a Energiei, Paris </w:t>
      </w:r>
      <w:hyperlink r:id="rId10" w:history="1">
        <w:r w:rsidRPr="00DE6825">
          <w:rPr>
            <w:rFonts w:ascii="Times New Roman" w:hAnsi="Times New Roman" w:cs="Times New Roman"/>
          </w:rPr>
          <w:t>https://www.iea.org/reports/the-path-to-a-new-era-for-nuclear-energy</w:t>
        </w:r>
      </w:hyperlink>
      <w:r w:rsidRPr="00DE6825">
        <w:rPr>
          <w:rFonts w:ascii="Times New Roman" w:hAnsi="Times New Roman" w:cs="Times New Roman"/>
        </w:rPr>
        <w:t xml:space="preserve">, Licență: CC BY </w:t>
      </w:r>
      <w:r w:rsidRPr="0004458C">
        <w:rPr>
          <w:rFonts w:ascii="Times New Roman" w:hAnsi="Times New Roman" w:cs="Times New Roman"/>
        </w:rPr>
        <w:t>4</w:t>
      </w:r>
      <w:r w:rsidRPr="00DE6825">
        <w:rPr>
          <w:rFonts w:ascii="Times New Roman" w:hAnsi="Times New Roman" w:cs="Times New Roman"/>
        </w:rPr>
        <w:t>.</w:t>
      </w:r>
      <w:r w:rsidRPr="0004458C">
        <w:rPr>
          <w:rFonts w:ascii="Times New Roman" w:hAnsi="Times New Roman" w:cs="Times New Roman"/>
        </w:rPr>
        <w:t>0</w:t>
      </w:r>
      <w:r w:rsidR="00DE6825">
        <w:rPr>
          <w:rFonts w:ascii="Times New Roman" w:hAnsi="Times New Roman" w:cs="Times New Roman"/>
        </w:rPr>
        <w:t>.</w:t>
      </w:r>
    </w:p>
  </w:footnote>
  <w:footnote w:id="38">
    <w:p w14:paraId="28AF4F2F" w14:textId="494F0A07" w:rsidR="0025292C" w:rsidRPr="00DE6825" w:rsidRDefault="0025292C" w:rsidP="003B3BB8">
      <w:pPr>
        <w:pStyle w:val="FootnoteText"/>
        <w:ind w:left="567" w:hanging="567"/>
        <w:jc w:val="both"/>
        <w:rPr>
          <w:rFonts w:ascii="Times New Roman" w:eastAsia="Aptos" w:hAnsi="Times New Roman" w:cs="Times New Roman"/>
        </w:rPr>
      </w:pPr>
      <w:r w:rsidRPr="00DE6825">
        <w:rPr>
          <w:rFonts w:ascii="Times New Roman" w:hAnsi="Times New Roman" w:cs="Times New Roman"/>
        </w:rPr>
        <w:t>(</w:t>
      </w:r>
      <w:r w:rsidRPr="00DE6825">
        <w:rPr>
          <w:rFonts w:ascii="Times New Roman" w:hAnsi="Times New Roman" w:cs="Times New Roman"/>
          <w:vertAlign w:val="superscript"/>
        </w:rPr>
        <w:footnoteRef/>
      </w:r>
      <w:r w:rsidRPr="00DE6825">
        <w:rPr>
          <w:rFonts w:ascii="Times New Roman" w:hAnsi="Times New Roman" w:cs="Times New Roman"/>
        </w:rPr>
        <w:t>)</w:t>
      </w:r>
      <w:r w:rsidRPr="00DE6825">
        <w:rPr>
          <w:rFonts w:ascii="Times New Roman" w:hAnsi="Times New Roman" w:cs="Times New Roman"/>
        </w:rPr>
        <w:tab/>
        <w:t>Decizia (UE) </w:t>
      </w:r>
      <w:r w:rsidRPr="0004458C">
        <w:rPr>
          <w:rFonts w:ascii="Times New Roman" w:hAnsi="Times New Roman" w:cs="Times New Roman"/>
        </w:rPr>
        <w:t>2015</w:t>
      </w:r>
      <w:r w:rsidRPr="00DE6825">
        <w:rPr>
          <w:rFonts w:ascii="Times New Roman" w:hAnsi="Times New Roman" w:cs="Times New Roman"/>
        </w:rPr>
        <w:t>/</w:t>
      </w:r>
      <w:r w:rsidRPr="0004458C">
        <w:rPr>
          <w:rFonts w:ascii="Times New Roman" w:hAnsi="Times New Roman" w:cs="Times New Roman"/>
        </w:rPr>
        <w:t>658</w:t>
      </w:r>
      <w:r w:rsidRPr="00DE6825">
        <w:rPr>
          <w:rFonts w:ascii="Times New Roman" w:hAnsi="Times New Roman" w:cs="Times New Roman"/>
        </w:rPr>
        <w:t xml:space="preserve"> a Comisiei din </w:t>
      </w:r>
      <w:r w:rsidRPr="0004458C">
        <w:rPr>
          <w:rFonts w:ascii="Times New Roman" w:hAnsi="Times New Roman" w:cs="Times New Roman"/>
        </w:rPr>
        <w:t>8</w:t>
      </w:r>
      <w:r w:rsidRPr="00DE6825">
        <w:rPr>
          <w:rFonts w:ascii="Times New Roman" w:hAnsi="Times New Roman" w:cs="Times New Roman"/>
        </w:rPr>
        <w:t xml:space="preserve"> octombrie </w:t>
      </w:r>
      <w:r w:rsidRPr="0004458C">
        <w:rPr>
          <w:rFonts w:ascii="Times New Roman" w:hAnsi="Times New Roman" w:cs="Times New Roman"/>
        </w:rPr>
        <w:t>2014</w:t>
      </w:r>
      <w:r w:rsidRPr="00DE6825">
        <w:rPr>
          <w:rFonts w:ascii="Times New Roman" w:hAnsi="Times New Roman" w:cs="Times New Roman"/>
        </w:rPr>
        <w:t xml:space="preserve"> privind ajutorul de stat SA.</w:t>
      </w:r>
      <w:r w:rsidRPr="0004458C">
        <w:rPr>
          <w:rFonts w:ascii="Times New Roman" w:hAnsi="Times New Roman" w:cs="Times New Roman"/>
        </w:rPr>
        <w:t>34947</w:t>
      </w:r>
      <w:r w:rsidRPr="00DE6825">
        <w:rPr>
          <w:rFonts w:ascii="Times New Roman" w:hAnsi="Times New Roman" w:cs="Times New Roman"/>
        </w:rPr>
        <w:t> (</w:t>
      </w:r>
      <w:r w:rsidRPr="0004458C">
        <w:rPr>
          <w:rFonts w:ascii="Times New Roman" w:hAnsi="Times New Roman" w:cs="Times New Roman"/>
        </w:rPr>
        <w:t>2013</w:t>
      </w:r>
      <w:r w:rsidRPr="00DE6825">
        <w:rPr>
          <w:rFonts w:ascii="Times New Roman" w:hAnsi="Times New Roman" w:cs="Times New Roman"/>
        </w:rPr>
        <w:t>/C) (ex </w:t>
      </w:r>
      <w:r w:rsidRPr="0004458C">
        <w:rPr>
          <w:rFonts w:ascii="Times New Roman" w:hAnsi="Times New Roman" w:cs="Times New Roman"/>
        </w:rPr>
        <w:t>2013</w:t>
      </w:r>
      <w:r w:rsidRPr="00DE6825">
        <w:rPr>
          <w:rFonts w:ascii="Times New Roman" w:hAnsi="Times New Roman" w:cs="Times New Roman"/>
        </w:rPr>
        <w:t>/N) pe care Regatul Unit intenționează să îl pună în aplicare pentru sprijin în favoarea centralei nucleare Hinkley Point C.</w:t>
      </w:r>
    </w:p>
  </w:footnote>
  <w:footnote w:id="39">
    <w:p w14:paraId="383E207B" w14:textId="53EEC445" w:rsidR="001803D1" w:rsidRPr="00DE6825" w:rsidRDefault="001803D1" w:rsidP="00CB2FBD">
      <w:pPr>
        <w:pStyle w:val="FootnoteText"/>
        <w:ind w:left="567" w:hanging="567"/>
        <w:rPr>
          <w:rFonts w:ascii="Times New Roman" w:hAnsi="Times New Roman" w:cs="Times New Roman"/>
        </w:rPr>
      </w:pPr>
      <w:r w:rsidRPr="00DE6825">
        <w:rPr>
          <w:rFonts w:ascii="Times New Roman" w:hAnsi="Times New Roman" w:cs="Times New Roman"/>
        </w:rPr>
        <w:t>(</w:t>
      </w:r>
      <w:r w:rsidRPr="00DE6825">
        <w:rPr>
          <w:rStyle w:val="FootnoteReference"/>
          <w:rFonts w:ascii="Times New Roman" w:hAnsi="Times New Roman" w:cs="Times New Roman"/>
        </w:rPr>
        <w:footnoteRef/>
      </w:r>
      <w:r w:rsidRPr="00DE6825">
        <w:rPr>
          <w:rFonts w:ascii="Times New Roman" w:hAnsi="Times New Roman" w:cs="Times New Roman"/>
        </w:rPr>
        <w:t>)</w:t>
      </w:r>
      <w:r w:rsidRPr="00DE6825">
        <w:rPr>
          <w:rFonts w:ascii="Times New Roman" w:hAnsi="Times New Roman" w:cs="Times New Roman"/>
        </w:rPr>
        <w:tab/>
        <w:t>C(</w:t>
      </w:r>
      <w:r w:rsidRPr="0004458C">
        <w:rPr>
          <w:rFonts w:ascii="Times New Roman" w:hAnsi="Times New Roman" w:cs="Times New Roman"/>
        </w:rPr>
        <w:t>2025</w:t>
      </w:r>
      <w:r w:rsidRPr="00DE6825">
        <w:rPr>
          <w:rFonts w:ascii="Times New Roman" w:hAnsi="Times New Roman" w:cs="Times New Roman"/>
        </w:rPr>
        <w:t>) </w:t>
      </w:r>
      <w:r w:rsidRPr="0004458C">
        <w:rPr>
          <w:rFonts w:ascii="Times New Roman" w:hAnsi="Times New Roman" w:cs="Times New Roman"/>
        </w:rPr>
        <w:t>8479</w:t>
      </w:r>
      <w:r w:rsidRPr="00DE6825">
        <w:rPr>
          <w:rFonts w:ascii="Times New Roman" w:hAnsi="Times New Roman" w:cs="Times New Roman"/>
        </w:rPr>
        <w:t xml:space="preserve"> final.</w:t>
      </w:r>
    </w:p>
  </w:footnote>
  <w:footnote w:id="40">
    <w:p w14:paraId="2E039C6A" w14:textId="421272B8" w:rsidR="00765C4F" w:rsidRPr="00DE6825" w:rsidRDefault="00765C4F" w:rsidP="00765C4F">
      <w:pPr>
        <w:pStyle w:val="FootnoteText"/>
        <w:ind w:left="567" w:hanging="567"/>
        <w:jc w:val="both"/>
        <w:rPr>
          <w:rFonts w:ascii="Times New Roman" w:eastAsia="Aptos" w:hAnsi="Times New Roman" w:cs="Times New Roman"/>
        </w:rPr>
      </w:pPr>
      <w:r w:rsidRPr="00DE6825">
        <w:rPr>
          <w:rFonts w:ascii="Times New Roman" w:hAnsi="Times New Roman" w:cs="Times New Roman"/>
        </w:rPr>
        <w:t>(</w:t>
      </w:r>
      <w:r w:rsidRPr="00DE6825">
        <w:rPr>
          <w:rFonts w:ascii="Times New Roman" w:hAnsi="Times New Roman" w:cs="Times New Roman"/>
          <w:vertAlign w:val="superscript"/>
        </w:rPr>
        <w:footnoteRef/>
      </w:r>
      <w:r w:rsidRPr="00DE6825">
        <w:rPr>
          <w:rFonts w:ascii="Times New Roman" w:hAnsi="Times New Roman" w:cs="Times New Roman"/>
        </w:rPr>
        <w:t>)</w:t>
      </w:r>
      <w:r w:rsidRPr="00DE6825">
        <w:rPr>
          <w:rFonts w:ascii="Times New Roman" w:hAnsi="Times New Roman" w:cs="Times New Roman"/>
        </w:rPr>
        <w:tab/>
        <w:t xml:space="preserve">Documentul de lucru însoțitor al serviciilor Comisiei, secțiunea </w:t>
      </w:r>
      <w:r w:rsidRPr="0004458C">
        <w:rPr>
          <w:rFonts w:ascii="Times New Roman" w:hAnsi="Times New Roman" w:cs="Times New Roman"/>
        </w:rPr>
        <w:t>3</w:t>
      </w:r>
      <w:r w:rsidRPr="00DE6825">
        <w:rPr>
          <w:rFonts w:ascii="Times New Roman" w:hAnsi="Times New Roman" w:cs="Times New Roman"/>
        </w:rPr>
        <w:t>.</w:t>
      </w:r>
      <w:r w:rsidRPr="0004458C">
        <w:rPr>
          <w:rFonts w:ascii="Times New Roman" w:hAnsi="Times New Roman" w:cs="Times New Roman"/>
        </w:rPr>
        <w:t>1</w:t>
      </w:r>
      <w:r w:rsidRPr="00DE6825">
        <w:rPr>
          <w:rFonts w:ascii="Times New Roman" w:hAnsi="Times New Roman" w:cs="Times New Roman"/>
        </w:rPr>
        <w:t>.</w:t>
      </w:r>
      <w:r w:rsidRPr="0004458C">
        <w:rPr>
          <w:rFonts w:ascii="Times New Roman" w:hAnsi="Times New Roman" w:cs="Times New Roman"/>
        </w:rPr>
        <w:t>2</w:t>
      </w:r>
      <w:r w:rsidRPr="00DE6825">
        <w:rPr>
          <w:rFonts w:ascii="Times New Roman" w:hAnsi="Times New Roman" w:cs="Times New Roman"/>
        </w:rPr>
        <w:t>.</w:t>
      </w:r>
    </w:p>
  </w:footnote>
  <w:footnote w:id="41">
    <w:p w14:paraId="4C327E79" w14:textId="37331410" w:rsidR="004A30BF" w:rsidRPr="00DE6825" w:rsidRDefault="004A30BF" w:rsidP="003B3BB8">
      <w:pPr>
        <w:pStyle w:val="FootnoteText"/>
        <w:ind w:left="567" w:hanging="567"/>
        <w:jc w:val="both"/>
        <w:rPr>
          <w:rFonts w:ascii="Times New Roman" w:eastAsia="Aptos" w:hAnsi="Times New Roman" w:cs="Times New Roman"/>
        </w:rPr>
      </w:pPr>
      <w:r w:rsidRPr="00DE6825">
        <w:rPr>
          <w:rFonts w:ascii="Times New Roman" w:hAnsi="Times New Roman" w:cs="Times New Roman"/>
        </w:rPr>
        <w:t>(</w:t>
      </w:r>
      <w:r w:rsidRPr="00DE6825">
        <w:rPr>
          <w:rFonts w:ascii="Times New Roman" w:hAnsi="Times New Roman" w:cs="Times New Roman"/>
          <w:vertAlign w:val="superscript"/>
        </w:rPr>
        <w:footnoteRef/>
      </w:r>
      <w:r w:rsidRPr="00DE6825">
        <w:rPr>
          <w:rFonts w:ascii="Times New Roman" w:hAnsi="Times New Roman" w:cs="Times New Roman"/>
        </w:rPr>
        <w:t>)</w:t>
      </w:r>
      <w:r w:rsidRPr="00DE6825">
        <w:rPr>
          <w:rFonts w:ascii="Times New Roman" w:hAnsi="Times New Roman" w:cs="Times New Roman"/>
        </w:rPr>
        <w:tab/>
        <w:t xml:space="preserve">Documentul de lucru însoțitor al serviciilor Comisiei, secțiunea </w:t>
      </w:r>
      <w:r w:rsidRPr="0004458C">
        <w:rPr>
          <w:rFonts w:ascii="Times New Roman" w:hAnsi="Times New Roman" w:cs="Times New Roman"/>
        </w:rPr>
        <w:t>3</w:t>
      </w:r>
      <w:r w:rsidRPr="00DE6825">
        <w:rPr>
          <w:rFonts w:ascii="Times New Roman" w:hAnsi="Times New Roman" w:cs="Times New Roman"/>
        </w:rPr>
        <w:t>.</w:t>
      </w:r>
      <w:r w:rsidRPr="0004458C">
        <w:rPr>
          <w:rFonts w:ascii="Times New Roman" w:hAnsi="Times New Roman" w:cs="Times New Roman"/>
        </w:rPr>
        <w:t>2</w:t>
      </w:r>
      <w:r w:rsidRPr="00DE6825">
        <w:rPr>
          <w:rFonts w:ascii="Times New Roman" w:hAnsi="Times New Roman" w:cs="Times New Roman"/>
        </w:rPr>
        <w:t>.</w:t>
      </w:r>
      <w:r w:rsidRPr="0004458C">
        <w:rPr>
          <w:rFonts w:ascii="Times New Roman" w:hAnsi="Times New Roman" w:cs="Times New Roman"/>
        </w:rPr>
        <w:t>1</w:t>
      </w:r>
      <w:r w:rsidRPr="00DE6825">
        <w:rPr>
          <w:rFonts w:ascii="Times New Roman" w:hAnsi="Times New Roman" w:cs="Times New Roman"/>
        </w:rPr>
        <w:t>.</w:t>
      </w:r>
    </w:p>
  </w:footnote>
  <w:footnote w:id="42">
    <w:p w14:paraId="20A795F9" w14:textId="3D958B5F" w:rsidR="00C42DE5" w:rsidRPr="00DE6825" w:rsidRDefault="00C42DE5" w:rsidP="003B3BB8">
      <w:pPr>
        <w:pStyle w:val="FootnoteText"/>
        <w:ind w:left="567" w:hanging="567"/>
        <w:jc w:val="both"/>
        <w:rPr>
          <w:rFonts w:ascii="Times New Roman" w:eastAsia="Aptos" w:hAnsi="Times New Roman" w:cs="Times New Roman"/>
        </w:rPr>
      </w:pPr>
      <w:r w:rsidRPr="00DE6825">
        <w:rPr>
          <w:rFonts w:ascii="Times New Roman" w:hAnsi="Times New Roman" w:cs="Times New Roman"/>
        </w:rPr>
        <w:t>(</w:t>
      </w:r>
      <w:r w:rsidRPr="00DE6825">
        <w:rPr>
          <w:rFonts w:ascii="Times New Roman" w:hAnsi="Times New Roman" w:cs="Times New Roman"/>
          <w:vertAlign w:val="superscript"/>
        </w:rPr>
        <w:footnoteRef/>
      </w:r>
      <w:r w:rsidRPr="00DE6825">
        <w:rPr>
          <w:rFonts w:ascii="Times New Roman" w:hAnsi="Times New Roman" w:cs="Times New Roman"/>
        </w:rPr>
        <w:t>)</w:t>
      </w:r>
      <w:r w:rsidRPr="00DE6825">
        <w:rPr>
          <w:rFonts w:ascii="Times New Roman" w:hAnsi="Times New Roman" w:cs="Times New Roman"/>
        </w:rPr>
        <w:tab/>
        <w:t>Documentul de lucru însoțitor al serviciilor Comisiei, Box Supply of high assay low enriched uranium (HALEU) („Aprovizionarea cu uraniu slab îmbogățit de înaltă puritate”).</w:t>
      </w:r>
    </w:p>
  </w:footnote>
  <w:footnote w:id="43">
    <w:p w14:paraId="388FC5D1" w14:textId="2D108205" w:rsidR="00FC4E8C" w:rsidRPr="00DE6825" w:rsidRDefault="00FC4E8C" w:rsidP="003B3BB8">
      <w:pPr>
        <w:pStyle w:val="FootnoteText"/>
        <w:ind w:left="567" w:hanging="567"/>
        <w:jc w:val="both"/>
        <w:rPr>
          <w:rFonts w:ascii="Times New Roman" w:eastAsia="Aptos" w:hAnsi="Times New Roman" w:cs="Times New Roman"/>
        </w:rPr>
      </w:pPr>
      <w:r w:rsidRPr="00DE6825">
        <w:rPr>
          <w:rFonts w:ascii="Times New Roman" w:hAnsi="Times New Roman" w:cs="Times New Roman"/>
        </w:rPr>
        <w:t>(</w:t>
      </w:r>
      <w:r w:rsidRPr="00DE6825">
        <w:rPr>
          <w:rFonts w:ascii="Times New Roman" w:hAnsi="Times New Roman" w:cs="Times New Roman"/>
          <w:vertAlign w:val="superscript"/>
        </w:rPr>
        <w:footnoteRef/>
      </w:r>
      <w:r w:rsidRPr="00DE6825">
        <w:rPr>
          <w:rFonts w:ascii="Times New Roman" w:hAnsi="Times New Roman" w:cs="Times New Roman"/>
        </w:rPr>
        <w:t>)</w:t>
      </w:r>
      <w:r w:rsidRPr="00DE6825">
        <w:rPr>
          <w:rFonts w:ascii="Times New Roman" w:hAnsi="Times New Roman" w:cs="Times New Roman"/>
        </w:rPr>
        <w:tab/>
      </w:r>
      <w:hyperlink r:id="rId11" w:anchor=":~:text=The%20SAMIRA%20action%20plan%20is%20the%20EU%E2%80%99s%20first,use%20of%20radiological%20and%20nuclear%20technology%20in%20healthcare." w:history="1">
        <w:r w:rsidRPr="00DE6825">
          <w:rPr>
            <w:rStyle w:val="Hyperlink"/>
            <w:rFonts w:ascii="Times New Roman" w:hAnsi="Times New Roman" w:cs="Times New Roman"/>
          </w:rPr>
          <w:t>Planul de acțiune SAMIRA – Comisia Europeană</w:t>
        </w:r>
      </w:hyperlink>
      <w:r w:rsidRPr="00DE6825">
        <w:rPr>
          <w:rFonts w:ascii="Times New Roman" w:hAnsi="Times New Roman" w:cs="Times New Roman"/>
        </w:rPr>
        <w:t>.</w:t>
      </w:r>
    </w:p>
  </w:footnote>
  <w:footnote w:id="44">
    <w:p w14:paraId="78824A30" w14:textId="77777777" w:rsidR="00D924DA" w:rsidRPr="00DE6825" w:rsidRDefault="00D924DA" w:rsidP="00D924DA">
      <w:pPr>
        <w:pStyle w:val="FootnoteText"/>
        <w:ind w:left="567" w:hanging="567"/>
        <w:jc w:val="both"/>
        <w:rPr>
          <w:rFonts w:ascii="Times New Roman" w:hAnsi="Times New Roman" w:cs="Times New Roman"/>
        </w:rPr>
      </w:pPr>
      <w:r w:rsidRPr="00DE6825">
        <w:rPr>
          <w:rFonts w:ascii="Times New Roman" w:hAnsi="Times New Roman" w:cs="Times New Roman"/>
        </w:rPr>
        <w:t>(</w:t>
      </w:r>
      <w:r w:rsidRPr="00DE6825">
        <w:rPr>
          <w:rFonts w:ascii="Times New Roman" w:hAnsi="Times New Roman" w:cs="Times New Roman"/>
          <w:vertAlign w:val="superscript"/>
        </w:rPr>
        <w:footnoteRef/>
      </w:r>
      <w:r w:rsidRPr="00DE6825">
        <w:rPr>
          <w:rFonts w:ascii="Times New Roman" w:hAnsi="Times New Roman" w:cs="Times New Roman"/>
        </w:rPr>
        <w:t>)</w:t>
      </w:r>
      <w:r w:rsidRPr="00DE6825">
        <w:rPr>
          <w:rFonts w:ascii="Times New Roman" w:hAnsi="Times New Roman" w:cs="Times New Roman"/>
        </w:rPr>
        <w:tab/>
        <w:t>COM(</w:t>
      </w:r>
      <w:r w:rsidRPr="0004458C">
        <w:rPr>
          <w:rFonts w:ascii="Times New Roman" w:hAnsi="Times New Roman" w:cs="Times New Roman"/>
        </w:rPr>
        <w:t>2025</w:t>
      </w:r>
      <w:r w:rsidRPr="00DE6825">
        <w:rPr>
          <w:rFonts w:ascii="Times New Roman" w:hAnsi="Times New Roman" w:cs="Times New Roman"/>
        </w:rPr>
        <w:t xml:space="preserve">) </w:t>
      </w:r>
      <w:r w:rsidRPr="0004458C">
        <w:rPr>
          <w:rFonts w:ascii="Times New Roman" w:hAnsi="Times New Roman" w:cs="Times New Roman"/>
        </w:rPr>
        <w:t>440</w:t>
      </w:r>
      <w:r w:rsidRPr="00DE6825">
        <w:rPr>
          <w:rFonts w:ascii="Times New Roman" w:hAnsi="Times New Roman" w:cs="Times New Roman"/>
        </w:rPr>
        <w:t xml:space="preserve"> final/</w:t>
      </w:r>
      <w:r w:rsidRPr="0004458C">
        <w:rPr>
          <w:rFonts w:ascii="Times New Roman" w:hAnsi="Times New Roman" w:cs="Times New Roman"/>
        </w:rPr>
        <w:t>2</w:t>
      </w:r>
      <w:r w:rsidRPr="00DE6825">
        <w:rPr>
          <w:rFonts w:ascii="Times New Roman" w:hAnsi="Times New Roman" w:cs="Times New Roman"/>
        </w:rPr>
        <w:t xml:space="preserve">, EUR-Lex – </w:t>
      </w:r>
      <w:r w:rsidRPr="0004458C">
        <w:rPr>
          <w:rFonts w:ascii="Times New Roman" w:hAnsi="Times New Roman" w:cs="Times New Roman"/>
        </w:rPr>
        <w:t>52025</w:t>
      </w:r>
      <w:r w:rsidRPr="00DE6825">
        <w:rPr>
          <w:rFonts w:ascii="Times New Roman" w:hAnsi="Times New Roman" w:cs="Times New Roman"/>
        </w:rPr>
        <w:t>DC</w:t>
      </w:r>
      <w:r w:rsidRPr="0004458C">
        <w:rPr>
          <w:rFonts w:ascii="Times New Roman" w:hAnsi="Times New Roman" w:cs="Times New Roman"/>
        </w:rPr>
        <w:t>0440</w:t>
      </w:r>
      <w:r w:rsidRPr="00DE6825">
        <w:rPr>
          <w:rFonts w:ascii="Times New Roman" w:hAnsi="Times New Roman" w:cs="Times New Roman"/>
        </w:rPr>
        <w:t>R (</w:t>
      </w:r>
      <w:r w:rsidRPr="0004458C">
        <w:rPr>
          <w:rFonts w:ascii="Times New Roman" w:hAnsi="Times New Roman" w:cs="Times New Roman"/>
        </w:rPr>
        <w:t>01</w:t>
      </w:r>
      <w:r w:rsidRPr="00DE6825">
        <w:rPr>
          <w:rFonts w:ascii="Times New Roman" w:hAnsi="Times New Roman" w:cs="Times New Roman"/>
        </w:rPr>
        <w:t xml:space="preserve">) – EN – EUR-Lex – Acțiunea </w:t>
      </w:r>
      <w:r w:rsidRPr="0004458C">
        <w:rPr>
          <w:rFonts w:ascii="Times New Roman" w:hAnsi="Times New Roman" w:cs="Times New Roman"/>
        </w:rPr>
        <w:t>7</w:t>
      </w:r>
      <w:r w:rsidRPr="00DE6825">
        <w:rPr>
          <w:rFonts w:ascii="Times New Roman" w:hAnsi="Times New Roman" w:cs="Times New Roman"/>
        </w:rPr>
        <w:t>.</w:t>
      </w:r>
    </w:p>
  </w:footnote>
  <w:footnote w:id="45">
    <w:p w14:paraId="490C7B31" w14:textId="0527E833" w:rsidR="003A22A8" w:rsidRPr="00DE6825" w:rsidRDefault="003A22A8" w:rsidP="003B3BB8">
      <w:pPr>
        <w:pStyle w:val="FootnoteText"/>
        <w:ind w:left="567" w:hanging="567"/>
        <w:jc w:val="both"/>
        <w:rPr>
          <w:rFonts w:ascii="Times New Roman" w:eastAsia="Aptos" w:hAnsi="Times New Roman" w:cs="Times New Roman"/>
        </w:rPr>
      </w:pPr>
      <w:r w:rsidRPr="00DE6825">
        <w:rPr>
          <w:rFonts w:ascii="Times New Roman" w:hAnsi="Times New Roman" w:cs="Times New Roman"/>
        </w:rPr>
        <w:t>(</w:t>
      </w:r>
      <w:r w:rsidRPr="00DE6825">
        <w:rPr>
          <w:rFonts w:ascii="Times New Roman" w:hAnsi="Times New Roman" w:cs="Times New Roman"/>
          <w:vertAlign w:val="superscript"/>
        </w:rPr>
        <w:footnoteRef/>
      </w:r>
      <w:r w:rsidRPr="00DE6825">
        <w:rPr>
          <w:rFonts w:ascii="Times New Roman" w:hAnsi="Times New Roman" w:cs="Times New Roman"/>
        </w:rPr>
        <w:t>)</w:t>
      </w:r>
      <w:r w:rsidRPr="00DE6825">
        <w:rPr>
          <w:rFonts w:ascii="Times New Roman" w:hAnsi="Times New Roman" w:cs="Times New Roman"/>
        </w:rPr>
        <w:tab/>
      </w:r>
      <w:hyperlink r:id="rId12" w:history="1">
        <w:r w:rsidRPr="00DE6825">
          <w:rPr>
            <w:rStyle w:val="Hyperlink"/>
            <w:rFonts w:ascii="Times New Roman" w:hAnsi="Times New Roman" w:cs="Times New Roman"/>
          </w:rPr>
          <w:t>Fran</w:t>
        </w:r>
        <w:r w:rsidR="000413CE">
          <w:rPr>
            <w:rStyle w:val="Hyperlink"/>
            <w:rFonts w:ascii="Times New Roman" w:hAnsi="Times New Roman" w:cs="Times New Roman"/>
          </w:rPr>
          <w:t>ce</w:t>
        </w:r>
        <w:r w:rsidRPr="00DE6825">
          <w:rPr>
            <w:rStyle w:val="Hyperlink"/>
            <w:rFonts w:ascii="Times New Roman" w:hAnsi="Times New Roman" w:cs="Times New Roman"/>
          </w:rPr>
          <w:t>:</w:t>
        </w:r>
      </w:hyperlink>
      <w:hyperlink r:id="rId13" w:history="1">
        <w:r w:rsidR="000413CE">
          <w:rPr>
            <w:rStyle w:val="Hyperlink"/>
            <w:rFonts w:ascii="Times New Roman" w:hAnsi="Times New Roman" w:cs="Times New Roman"/>
          </w:rPr>
          <w:t xml:space="preserve"> E</w:t>
        </w:r>
        <w:r w:rsidRPr="00DE6825">
          <w:rPr>
            <w:rStyle w:val="Hyperlink"/>
            <w:rFonts w:ascii="Times New Roman" w:hAnsi="Times New Roman" w:cs="Times New Roman"/>
          </w:rPr>
          <w:t>IB and Orano sign a loan agreement for €</w:t>
        </w:r>
        <w:r w:rsidRPr="0004458C">
          <w:rPr>
            <w:rStyle w:val="Hyperlink"/>
            <w:rFonts w:ascii="Times New Roman" w:hAnsi="Times New Roman" w:cs="Times New Roman"/>
          </w:rPr>
          <w:t>400</w:t>
        </w:r>
        <w:r w:rsidRPr="00DE6825">
          <w:rPr>
            <w:rStyle w:val="Hyperlink"/>
            <w:rFonts w:ascii="Times New Roman" w:hAnsi="Times New Roman" w:cs="Times New Roman"/>
          </w:rPr>
          <w:t xml:space="preserve"> million relating to the project to extend the Georges Besse </w:t>
        </w:r>
        <w:r w:rsidRPr="0004458C">
          <w:rPr>
            <w:rStyle w:val="Hyperlink"/>
            <w:rFonts w:ascii="Times New Roman" w:hAnsi="Times New Roman" w:cs="Times New Roman"/>
          </w:rPr>
          <w:t>2</w:t>
        </w:r>
        <w:r w:rsidRPr="00DE6825">
          <w:rPr>
            <w:rStyle w:val="Hyperlink"/>
            <w:rFonts w:ascii="Times New Roman" w:hAnsi="Times New Roman" w:cs="Times New Roman"/>
          </w:rPr>
          <w:t xml:space="preserve"> uranium enrichment plant</w:t>
        </w:r>
      </w:hyperlink>
      <w:r w:rsidRPr="00DE6825">
        <w:rPr>
          <w:rFonts w:ascii="Times New Roman" w:hAnsi="Times New Roman" w:cs="Times New Roman"/>
        </w:rPr>
        <w:t xml:space="preserve"> („Franța: BEI și Orano semnează un acord de împrumut în valoare de </w:t>
      </w:r>
      <w:r w:rsidRPr="0004458C">
        <w:rPr>
          <w:rFonts w:ascii="Times New Roman" w:hAnsi="Times New Roman" w:cs="Times New Roman"/>
        </w:rPr>
        <w:t>400</w:t>
      </w:r>
      <w:r w:rsidRPr="00DE6825">
        <w:rPr>
          <w:rFonts w:ascii="Times New Roman" w:hAnsi="Times New Roman" w:cs="Times New Roman"/>
        </w:rPr>
        <w:t xml:space="preserve"> de milioane EUR referitor la proiectul de extindere a uzinei de îmbogățire a uraniului Georges Besse</w:t>
      </w:r>
      <w:r w:rsidR="000413CE">
        <w:rPr>
          <w:rFonts w:ascii="Times New Roman" w:hAnsi="Times New Roman" w:cs="Times New Roman"/>
        </w:rPr>
        <w:t> </w:t>
      </w:r>
      <w:r w:rsidRPr="0004458C">
        <w:rPr>
          <w:rFonts w:ascii="Times New Roman" w:hAnsi="Times New Roman" w:cs="Times New Roman"/>
        </w:rPr>
        <w:t>2</w:t>
      </w:r>
      <w:r w:rsidRPr="00DE6825">
        <w:rPr>
          <w:rFonts w:ascii="Times New Roman" w:hAnsi="Times New Roman" w:cs="Times New Roman"/>
        </w:rPr>
        <w:t xml:space="preserve">”), Banca Europeană de Investiții, </w:t>
      </w:r>
      <w:r w:rsidRPr="0004458C">
        <w:rPr>
          <w:rFonts w:ascii="Times New Roman" w:hAnsi="Times New Roman" w:cs="Times New Roman"/>
        </w:rPr>
        <w:t>10</w:t>
      </w:r>
      <w:r w:rsidRPr="00DE6825">
        <w:rPr>
          <w:rFonts w:ascii="Times New Roman" w:hAnsi="Times New Roman" w:cs="Times New Roman"/>
        </w:rPr>
        <w:t xml:space="preserve"> martie </w:t>
      </w:r>
      <w:r w:rsidRPr="0004458C">
        <w:rPr>
          <w:rFonts w:ascii="Times New Roman" w:hAnsi="Times New Roman" w:cs="Times New Roman"/>
        </w:rPr>
        <w:t>2025</w:t>
      </w:r>
      <w:r w:rsidRPr="00DE6825">
        <w:rPr>
          <w:rFonts w:ascii="Times New Roman" w:hAnsi="Times New Roman" w:cs="Times New Roman"/>
        </w:rPr>
        <w:t>.</w:t>
      </w:r>
    </w:p>
  </w:footnote>
  <w:footnote w:id="46">
    <w:p w14:paraId="4647ED1E" w14:textId="4C316E36" w:rsidR="0054712F" w:rsidRPr="00DE6825" w:rsidRDefault="0054712F" w:rsidP="003B3BB8">
      <w:pPr>
        <w:pStyle w:val="FootnoteText"/>
        <w:ind w:left="567" w:hanging="567"/>
        <w:jc w:val="both"/>
        <w:rPr>
          <w:rFonts w:ascii="Times New Roman" w:eastAsia="Aptos" w:hAnsi="Times New Roman" w:cs="Times New Roman"/>
        </w:rPr>
      </w:pPr>
      <w:r w:rsidRPr="00DE6825">
        <w:rPr>
          <w:rFonts w:ascii="Times New Roman" w:hAnsi="Times New Roman" w:cs="Times New Roman"/>
        </w:rPr>
        <w:t>(</w:t>
      </w:r>
      <w:r w:rsidRPr="00DE6825">
        <w:rPr>
          <w:rFonts w:ascii="Times New Roman" w:hAnsi="Times New Roman" w:cs="Times New Roman"/>
          <w:vertAlign w:val="superscript"/>
        </w:rPr>
        <w:footnoteRef/>
      </w:r>
      <w:r w:rsidRPr="00DE6825">
        <w:rPr>
          <w:rFonts w:ascii="Times New Roman" w:hAnsi="Times New Roman" w:cs="Times New Roman"/>
        </w:rPr>
        <w:t>)</w:t>
      </w:r>
      <w:r w:rsidRPr="00DE6825">
        <w:rPr>
          <w:rFonts w:ascii="Times New Roman" w:hAnsi="Times New Roman" w:cs="Times New Roman"/>
        </w:rPr>
        <w:tab/>
        <w:t>Combustibilul pentru reactoarele respective a fost livrat inițial de TVEL (RU), o filială a Rosatom, în cadrul unor contracte grupate care ofereau uraniu și toate serviciile conexe, inclusiv producția de ansambluri de combustibil.</w:t>
      </w:r>
    </w:p>
  </w:footnote>
  <w:footnote w:id="47">
    <w:p w14:paraId="31AC2B0F" w14:textId="1F5DF7A5" w:rsidR="00C1368E" w:rsidRPr="00DE6825" w:rsidRDefault="00C1368E" w:rsidP="00C1368E">
      <w:pPr>
        <w:pStyle w:val="FootnoteText"/>
        <w:ind w:left="567" w:hanging="567"/>
        <w:jc w:val="both"/>
        <w:rPr>
          <w:rFonts w:ascii="Times New Roman" w:hAnsi="Times New Roman" w:cs="Times New Roman"/>
        </w:rPr>
      </w:pPr>
      <w:r w:rsidRPr="00DE6825">
        <w:rPr>
          <w:rFonts w:ascii="Times New Roman" w:hAnsi="Times New Roman" w:cs="Times New Roman"/>
        </w:rPr>
        <w:t>(</w:t>
      </w:r>
      <w:r w:rsidRPr="00DE6825">
        <w:rPr>
          <w:rStyle w:val="FootnoteReference"/>
          <w:rFonts w:ascii="Times New Roman" w:hAnsi="Times New Roman" w:cs="Times New Roman"/>
        </w:rPr>
        <w:footnoteRef/>
      </w:r>
      <w:r w:rsidRPr="00DE6825">
        <w:rPr>
          <w:rFonts w:ascii="Times New Roman" w:hAnsi="Times New Roman" w:cs="Times New Roman"/>
        </w:rPr>
        <w:t>)</w:t>
      </w:r>
      <w:r w:rsidRPr="00DE6825">
        <w:rPr>
          <w:rFonts w:ascii="Times New Roman" w:hAnsi="Times New Roman" w:cs="Times New Roman"/>
        </w:rPr>
        <w:tab/>
        <w:t>COM(</w:t>
      </w:r>
      <w:r w:rsidRPr="0004458C">
        <w:rPr>
          <w:rFonts w:ascii="Times New Roman" w:hAnsi="Times New Roman" w:cs="Times New Roman"/>
        </w:rPr>
        <w:t>2025</w:t>
      </w:r>
      <w:r w:rsidRPr="00DE6825">
        <w:rPr>
          <w:rFonts w:ascii="Times New Roman" w:hAnsi="Times New Roman" w:cs="Times New Roman"/>
        </w:rPr>
        <w:t xml:space="preserve">) </w:t>
      </w:r>
      <w:r w:rsidRPr="0004458C">
        <w:rPr>
          <w:rFonts w:ascii="Times New Roman" w:hAnsi="Times New Roman" w:cs="Times New Roman"/>
        </w:rPr>
        <w:t>440</w:t>
      </w:r>
      <w:r w:rsidRPr="00DE6825">
        <w:rPr>
          <w:rFonts w:ascii="Times New Roman" w:hAnsi="Times New Roman" w:cs="Times New Roman"/>
        </w:rPr>
        <w:t xml:space="preserve"> final/</w:t>
      </w:r>
      <w:r w:rsidRPr="0004458C">
        <w:rPr>
          <w:rFonts w:ascii="Times New Roman" w:hAnsi="Times New Roman" w:cs="Times New Roman"/>
        </w:rPr>
        <w:t>2</w:t>
      </w:r>
      <w:r w:rsidRPr="00DE6825">
        <w:rPr>
          <w:rFonts w:ascii="Times New Roman" w:hAnsi="Times New Roman" w:cs="Times New Roman"/>
        </w:rPr>
        <w:t xml:space="preserve">, </w:t>
      </w:r>
      <w:hyperlink r:id="rId14" w:history="1">
        <w:r w:rsidRPr="00DE6825">
          <w:rPr>
            <w:rFonts w:ascii="Times New Roman" w:hAnsi="Times New Roman" w:cs="Times New Roman"/>
          </w:rPr>
          <w:t xml:space="preserve">EUR-Lex - </w:t>
        </w:r>
        <w:r w:rsidRPr="0004458C">
          <w:rPr>
            <w:rFonts w:ascii="Times New Roman" w:hAnsi="Times New Roman" w:cs="Times New Roman"/>
          </w:rPr>
          <w:t>52025</w:t>
        </w:r>
        <w:r w:rsidRPr="00DE6825">
          <w:rPr>
            <w:rFonts w:ascii="Times New Roman" w:hAnsi="Times New Roman" w:cs="Times New Roman"/>
          </w:rPr>
          <w:t>DC</w:t>
        </w:r>
        <w:r w:rsidRPr="0004458C">
          <w:rPr>
            <w:rFonts w:ascii="Times New Roman" w:hAnsi="Times New Roman" w:cs="Times New Roman"/>
          </w:rPr>
          <w:t>0440</w:t>
        </w:r>
        <w:r w:rsidRPr="00DE6825">
          <w:rPr>
            <w:rFonts w:ascii="Times New Roman" w:hAnsi="Times New Roman" w:cs="Times New Roman"/>
          </w:rPr>
          <w:t>R(</w:t>
        </w:r>
        <w:r w:rsidRPr="0004458C">
          <w:rPr>
            <w:rFonts w:ascii="Times New Roman" w:hAnsi="Times New Roman" w:cs="Times New Roman"/>
          </w:rPr>
          <w:t>01</w:t>
        </w:r>
        <w:r w:rsidRPr="00DE6825">
          <w:rPr>
            <w:rFonts w:ascii="Times New Roman" w:hAnsi="Times New Roman" w:cs="Times New Roman"/>
          </w:rPr>
          <w:t>) - EN - EUR-Lex</w:t>
        </w:r>
      </w:hyperlink>
      <w:r w:rsidRPr="00DE6825">
        <w:rPr>
          <w:rFonts w:ascii="Times New Roman" w:hAnsi="Times New Roman" w:cs="Times New Roman"/>
        </w:rPr>
        <w:t>.</w:t>
      </w:r>
    </w:p>
  </w:footnote>
  <w:footnote w:id="48">
    <w:p w14:paraId="1C829B2B" w14:textId="14492731" w:rsidR="00B86938" w:rsidRPr="00DE6825" w:rsidRDefault="00B86938" w:rsidP="00B86938">
      <w:pPr>
        <w:pStyle w:val="FootnoteText"/>
        <w:ind w:left="567" w:hanging="567"/>
        <w:jc w:val="both"/>
        <w:rPr>
          <w:rFonts w:ascii="Times New Roman" w:hAnsi="Times New Roman" w:cs="Times New Roman"/>
        </w:rPr>
      </w:pPr>
      <w:r w:rsidRPr="00DE6825">
        <w:rPr>
          <w:rFonts w:ascii="Times New Roman" w:hAnsi="Times New Roman" w:cs="Times New Roman"/>
        </w:rPr>
        <w:t>(</w:t>
      </w:r>
      <w:r w:rsidRPr="00DE6825">
        <w:rPr>
          <w:rStyle w:val="FootnoteReference"/>
          <w:rFonts w:ascii="Times New Roman" w:hAnsi="Times New Roman" w:cs="Times New Roman"/>
        </w:rPr>
        <w:footnoteRef/>
      </w:r>
      <w:r w:rsidRPr="00DE6825">
        <w:rPr>
          <w:rFonts w:ascii="Times New Roman" w:hAnsi="Times New Roman" w:cs="Times New Roman"/>
        </w:rPr>
        <w:t>)</w:t>
      </w:r>
      <w:r w:rsidRPr="00DE6825">
        <w:rPr>
          <w:rFonts w:ascii="Times New Roman" w:hAnsi="Times New Roman" w:cs="Times New Roman"/>
        </w:rPr>
        <w:tab/>
        <w:t xml:space="preserve">Documentul de lucru însoțitor al serviciilor Comisiei, secțiunea </w:t>
      </w:r>
      <w:r w:rsidRPr="0004458C">
        <w:rPr>
          <w:rFonts w:ascii="Times New Roman" w:hAnsi="Times New Roman" w:cs="Times New Roman"/>
        </w:rPr>
        <w:t>4</w:t>
      </w:r>
      <w:r w:rsidRPr="00DE6825">
        <w:rPr>
          <w:rFonts w:ascii="Times New Roman" w:hAnsi="Times New Roman" w:cs="Times New Roman"/>
        </w:rPr>
        <w:t>.</w:t>
      </w:r>
      <w:r w:rsidRPr="0004458C">
        <w:rPr>
          <w:rFonts w:ascii="Times New Roman" w:hAnsi="Times New Roman" w:cs="Times New Roman"/>
        </w:rPr>
        <w:t>3</w:t>
      </w:r>
      <w:r w:rsidRPr="00DE6825">
        <w:rPr>
          <w:rFonts w:ascii="Times New Roman" w:hAnsi="Times New Roman" w:cs="Times New Roman"/>
        </w:rPr>
        <w:t>.</w:t>
      </w:r>
      <w:r w:rsidRPr="0004458C">
        <w:rPr>
          <w:rFonts w:ascii="Times New Roman" w:hAnsi="Times New Roman" w:cs="Times New Roman"/>
        </w:rPr>
        <w:t>2</w:t>
      </w:r>
      <w:r w:rsidRPr="00DE6825">
        <w:rPr>
          <w:rFonts w:ascii="Times New Roman" w:hAnsi="Times New Roman" w:cs="Times New Roman"/>
        </w:rPr>
        <w:t>.</w:t>
      </w:r>
    </w:p>
  </w:footnote>
  <w:footnote w:id="49">
    <w:p w14:paraId="28AEA52D" w14:textId="55713141" w:rsidR="0004341E" w:rsidRPr="00DE6825" w:rsidRDefault="00096EA8" w:rsidP="003B3BB8">
      <w:pPr>
        <w:pStyle w:val="FootnoteText"/>
        <w:ind w:left="567" w:hanging="567"/>
        <w:jc w:val="both"/>
        <w:rPr>
          <w:rFonts w:ascii="Times New Roman" w:hAnsi="Times New Roman" w:cs="Times New Roman"/>
        </w:rPr>
      </w:pPr>
      <w:r w:rsidRPr="00DE6825">
        <w:rPr>
          <w:rFonts w:ascii="Times New Roman" w:hAnsi="Times New Roman" w:cs="Times New Roman"/>
        </w:rPr>
        <w:t>(</w:t>
      </w:r>
      <w:r w:rsidRPr="00DE6825">
        <w:rPr>
          <w:rStyle w:val="FootnoteReference"/>
          <w:rFonts w:ascii="Times New Roman" w:hAnsi="Times New Roman" w:cs="Times New Roman"/>
        </w:rPr>
        <w:footnoteRef/>
      </w:r>
      <w:r w:rsidRPr="00DE6825">
        <w:rPr>
          <w:rFonts w:ascii="Times New Roman" w:hAnsi="Times New Roman" w:cs="Times New Roman"/>
        </w:rPr>
        <w:t>)</w:t>
      </w:r>
      <w:r w:rsidRPr="00DE6825">
        <w:rPr>
          <w:rFonts w:ascii="Times New Roman" w:hAnsi="Times New Roman" w:cs="Times New Roman"/>
        </w:rPr>
        <w:tab/>
        <w:t>Raport privind ecosistemul nuclear european, elaborat de Deloitte pentru DG ENER, în curs de publicare.</w:t>
      </w:r>
    </w:p>
  </w:footnote>
  <w:footnote w:id="50">
    <w:p w14:paraId="41FA65C3" w14:textId="727B7C20" w:rsidR="001845D2" w:rsidRPr="00DE6825" w:rsidRDefault="001845D2" w:rsidP="001845D2">
      <w:pPr>
        <w:pStyle w:val="FootnoteText"/>
        <w:ind w:left="567" w:hanging="567"/>
        <w:jc w:val="both"/>
        <w:rPr>
          <w:rFonts w:ascii="Times New Roman" w:hAnsi="Times New Roman" w:cs="Times New Roman"/>
        </w:rPr>
      </w:pPr>
      <w:r w:rsidRPr="00DE6825">
        <w:rPr>
          <w:rFonts w:ascii="Times New Roman" w:hAnsi="Times New Roman" w:cs="Times New Roman"/>
        </w:rPr>
        <w:t>(</w:t>
      </w:r>
      <w:r w:rsidRPr="00DE6825">
        <w:rPr>
          <w:rStyle w:val="FootnoteReference"/>
          <w:rFonts w:ascii="Times New Roman" w:hAnsi="Times New Roman" w:cs="Times New Roman"/>
        </w:rPr>
        <w:footnoteRef/>
      </w:r>
      <w:r w:rsidRPr="00DE6825">
        <w:rPr>
          <w:rFonts w:ascii="Times New Roman" w:hAnsi="Times New Roman" w:cs="Times New Roman"/>
        </w:rPr>
        <w:t>)</w:t>
      </w:r>
      <w:r w:rsidRPr="00DE6825">
        <w:rPr>
          <w:rFonts w:ascii="Times New Roman" w:hAnsi="Times New Roman" w:cs="Times New Roman"/>
        </w:rPr>
        <w:tab/>
      </w:r>
      <w:hyperlink r:id="rId15" w:history="1">
        <w:r w:rsidRPr="00DE6825">
          <w:rPr>
            <w:rStyle w:val="Hyperlink"/>
            <w:rFonts w:ascii="Times New Roman" w:hAnsi="Times New Roman" w:cs="Times New Roman"/>
          </w:rPr>
          <w:t>https://cordis.europa.eu/project/id/</w:t>
        </w:r>
        <w:r w:rsidRPr="0004458C">
          <w:rPr>
            <w:rStyle w:val="Hyperlink"/>
            <w:rFonts w:ascii="Times New Roman" w:hAnsi="Times New Roman" w:cs="Times New Roman"/>
          </w:rPr>
          <w:t>101213280</w:t>
        </w:r>
      </w:hyperlink>
    </w:p>
  </w:footnote>
  <w:footnote w:id="51">
    <w:p w14:paraId="269B6985" w14:textId="0655DEF3" w:rsidR="002225A3" w:rsidRPr="00DE6825" w:rsidRDefault="002225A3" w:rsidP="002225A3">
      <w:pPr>
        <w:pStyle w:val="FootnoteText"/>
        <w:ind w:left="567" w:hanging="567"/>
        <w:jc w:val="both"/>
        <w:rPr>
          <w:rFonts w:ascii="Times New Roman" w:hAnsi="Times New Roman" w:cs="Times New Roman"/>
        </w:rPr>
      </w:pPr>
      <w:r w:rsidRPr="00DE6825">
        <w:rPr>
          <w:rFonts w:ascii="Times New Roman" w:hAnsi="Times New Roman" w:cs="Times New Roman"/>
        </w:rPr>
        <w:t>(</w:t>
      </w:r>
      <w:r w:rsidRPr="00DE6825">
        <w:rPr>
          <w:rFonts w:ascii="Times New Roman" w:hAnsi="Times New Roman" w:cs="Times New Roman"/>
          <w:vertAlign w:val="superscript"/>
        </w:rPr>
        <w:footnoteRef/>
      </w:r>
      <w:r w:rsidRPr="00DE6825">
        <w:rPr>
          <w:rFonts w:ascii="Times New Roman" w:hAnsi="Times New Roman" w:cs="Times New Roman"/>
        </w:rPr>
        <w:t>)</w:t>
      </w:r>
      <w:r w:rsidRPr="00DE6825">
        <w:rPr>
          <w:rFonts w:ascii="Times New Roman" w:hAnsi="Times New Roman" w:cs="Times New Roman"/>
        </w:rPr>
        <w:tab/>
        <w:t>În plus, Instrumentul european pentru cooperare internațională în materie de securitate nucleară (ICSN) este un instrument esențial pentru consolidarea adoptării celor mai înalte standarde internaționale în materie de securitate nucleară la nivel mondial.</w:t>
      </w:r>
    </w:p>
  </w:footnote>
  <w:footnote w:id="52">
    <w:p w14:paraId="7F228E58" w14:textId="5835306F" w:rsidR="002854AB" w:rsidRPr="00DE6825" w:rsidRDefault="002854AB" w:rsidP="00F51C5E">
      <w:pPr>
        <w:pStyle w:val="FootnoteText"/>
        <w:ind w:left="567" w:hanging="567"/>
        <w:rPr>
          <w:rFonts w:ascii="Times New Roman" w:hAnsi="Times New Roman" w:cs="Times New Roman"/>
        </w:rPr>
      </w:pPr>
      <w:r w:rsidRPr="00DE6825">
        <w:rPr>
          <w:rFonts w:ascii="Times New Roman" w:hAnsi="Times New Roman" w:cs="Times New Roman"/>
        </w:rPr>
        <w:t>(</w:t>
      </w:r>
      <w:r w:rsidRPr="00DE6825">
        <w:rPr>
          <w:rStyle w:val="FootnoteReference"/>
          <w:rFonts w:ascii="Times New Roman" w:hAnsi="Times New Roman" w:cs="Times New Roman"/>
        </w:rPr>
        <w:footnoteRef/>
      </w:r>
      <w:r w:rsidRPr="00DE6825">
        <w:rPr>
          <w:rFonts w:ascii="Times New Roman" w:hAnsi="Times New Roman" w:cs="Times New Roman"/>
        </w:rPr>
        <w:t>)</w:t>
      </w:r>
      <w:r w:rsidRPr="00DE6825">
        <w:rPr>
          <w:rFonts w:ascii="Times New Roman" w:hAnsi="Times New Roman" w:cs="Times New Roman"/>
        </w:rPr>
        <w:tab/>
        <w:t>A se vedea evaluarea intermediară, COM (</w:t>
      </w:r>
      <w:r w:rsidRPr="0004458C">
        <w:rPr>
          <w:rFonts w:ascii="Times New Roman" w:hAnsi="Times New Roman" w:cs="Times New Roman"/>
        </w:rPr>
        <w:t>2025</w:t>
      </w:r>
      <w:r w:rsidRPr="00DE6825">
        <w:rPr>
          <w:rFonts w:ascii="Times New Roman" w:hAnsi="Times New Roman" w:cs="Times New Roman"/>
        </w:rPr>
        <w:t xml:space="preserve">) </w:t>
      </w:r>
      <w:r w:rsidRPr="0004458C">
        <w:rPr>
          <w:rFonts w:ascii="Times New Roman" w:hAnsi="Times New Roman" w:cs="Times New Roman"/>
        </w:rPr>
        <w:t>61</w:t>
      </w:r>
      <w:r w:rsidRPr="00DE6825">
        <w:rPr>
          <w:rFonts w:ascii="Times New Roman" w:hAnsi="Times New Roman" w:cs="Times New Roman"/>
        </w:rPr>
        <w:t>.</w:t>
      </w:r>
    </w:p>
  </w:footnote>
  <w:footnote w:id="53">
    <w:p w14:paraId="316B0303" w14:textId="0B8FF9CE" w:rsidR="00335E48" w:rsidRPr="00DE6825" w:rsidRDefault="00212507" w:rsidP="00F51C5E">
      <w:pPr>
        <w:pStyle w:val="FootnoteText"/>
        <w:ind w:left="567" w:hanging="567"/>
        <w:rPr>
          <w:rFonts w:ascii="Times New Roman" w:hAnsi="Times New Roman" w:cs="Times New Roman"/>
        </w:rPr>
      </w:pPr>
      <w:r w:rsidRPr="00DE6825">
        <w:rPr>
          <w:rFonts w:ascii="Times New Roman" w:hAnsi="Times New Roman" w:cs="Times New Roman"/>
        </w:rPr>
        <w:t>(</w:t>
      </w:r>
      <w:r w:rsidRPr="00DE6825">
        <w:rPr>
          <w:rStyle w:val="FootnoteReference"/>
          <w:rFonts w:ascii="Times New Roman" w:hAnsi="Times New Roman" w:cs="Times New Roman"/>
        </w:rPr>
        <w:footnoteRef/>
      </w:r>
      <w:r w:rsidRPr="00DE6825">
        <w:rPr>
          <w:rFonts w:ascii="Times New Roman" w:hAnsi="Times New Roman" w:cs="Times New Roman"/>
        </w:rPr>
        <w:t>)</w:t>
      </w:r>
      <w:r w:rsidRPr="00DE6825">
        <w:rPr>
          <w:rFonts w:ascii="Times New Roman" w:hAnsi="Times New Roman" w:cs="Times New Roman"/>
        </w:rPr>
        <w:tab/>
        <w:t>COM(</w:t>
      </w:r>
      <w:r w:rsidRPr="0004458C">
        <w:rPr>
          <w:rFonts w:ascii="Times New Roman" w:hAnsi="Times New Roman" w:cs="Times New Roman"/>
        </w:rPr>
        <w:t>2025</w:t>
      </w:r>
      <w:r w:rsidRPr="00DE6825">
        <w:rPr>
          <w:rFonts w:ascii="Times New Roman" w:hAnsi="Times New Roman" w:cs="Times New Roman"/>
        </w:rPr>
        <w:t xml:space="preserve">) </w:t>
      </w:r>
      <w:r w:rsidRPr="0004458C">
        <w:rPr>
          <w:rFonts w:ascii="Times New Roman" w:hAnsi="Times New Roman" w:cs="Times New Roman"/>
        </w:rPr>
        <w:t>594</w:t>
      </w:r>
      <w:r w:rsidRPr="00DE6825">
        <w:rPr>
          <w:rFonts w:ascii="Times New Roman" w:hAnsi="Times New Roman" w:cs="Times New Roman"/>
        </w:rPr>
        <w:t xml:space="preserve"> final. </w:t>
      </w:r>
    </w:p>
  </w:footnote>
  <w:footnote w:id="54">
    <w:p w14:paraId="5857DA7D" w14:textId="2D6F0165" w:rsidR="00726C9E" w:rsidRPr="00DE6825" w:rsidRDefault="00726C9E" w:rsidP="00726C9E">
      <w:pPr>
        <w:pStyle w:val="FootnoteText"/>
        <w:ind w:left="567" w:hanging="567"/>
        <w:rPr>
          <w:rFonts w:ascii="Times New Roman" w:hAnsi="Times New Roman" w:cs="Times New Roman"/>
        </w:rPr>
      </w:pPr>
      <w:r w:rsidRPr="00DE6825">
        <w:rPr>
          <w:rFonts w:ascii="Times New Roman" w:hAnsi="Times New Roman" w:cs="Times New Roman"/>
        </w:rPr>
        <w:t>(</w:t>
      </w:r>
      <w:r w:rsidRPr="00DE6825">
        <w:rPr>
          <w:rStyle w:val="FootnoteReference"/>
          <w:rFonts w:ascii="Times New Roman" w:hAnsi="Times New Roman" w:cs="Times New Roman"/>
        </w:rPr>
        <w:footnoteRef/>
      </w:r>
      <w:r w:rsidRPr="00DE6825">
        <w:rPr>
          <w:rFonts w:ascii="Times New Roman" w:hAnsi="Times New Roman" w:cs="Times New Roman"/>
        </w:rPr>
        <w:t>)</w:t>
      </w:r>
      <w:r w:rsidRPr="00DE6825">
        <w:rPr>
          <w:rFonts w:ascii="Times New Roman" w:hAnsi="Times New Roman" w:cs="Times New Roman"/>
        </w:rPr>
        <w:tab/>
      </w:r>
      <w:hyperlink r:id="rId16" w:history="1">
        <w:r w:rsidRPr="00DE6825">
          <w:rPr>
            <w:rStyle w:val="Hyperlink"/>
            <w:rFonts w:ascii="Times New Roman" w:hAnsi="Times New Roman" w:cs="Times New Roman"/>
          </w:rPr>
          <w:t>https://cordis.europa.eu/project/id/</w:t>
        </w:r>
        <w:r w:rsidRPr="0004458C">
          <w:rPr>
            <w:rStyle w:val="Hyperlink"/>
            <w:rFonts w:ascii="Times New Roman" w:hAnsi="Times New Roman" w:cs="Times New Roman"/>
          </w:rPr>
          <w:t>101052200</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5E076D" w14:textId="77777777" w:rsidR="0055494E" w:rsidRPr="0055494E" w:rsidRDefault="0055494E" w:rsidP="0055494E">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78E0C7" w14:textId="77777777" w:rsidR="0055494E" w:rsidRPr="0055494E" w:rsidRDefault="0055494E" w:rsidP="0055494E">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A5ABAE" w14:textId="77777777" w:rsidR="0055494E" w:rsidRPr="0055494E" w:rsidRDefault="0055494E" w:rsidP="0055494E">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03C7B" w14:textId="77777777" w:rsidR="006C350D" w:rsidRDefault="006C350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2734E5" w14:textId="77777777" w:rsidR="006C350D" w:rsidRDefault="006C350D">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B4D575" w14:textId="77777777" w:rsidR="006C350D" w:rsidRDefault="006C350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83585374"/>
    <w:lvl w:ilvl="0">
      <w:start w:val="1"/>
      <w:numFmt w:val="decimal"/>
      <w:pStyle w:val="ListNumber"/>
      <w:lvlText w:val="%1."/>
      <w:lvlJc w:val="left"/>
      <w:pPr>
        <w:tabs>
          <w:tab w:val="num" w:pos="360"/>
        </w:tabs>
        <w:ind w:left="360" w:hanging="360"/>
      </w:pPr>
    </w:lvl>
  </w:abstractNum>
  <w:abstractNum w:abstractNumId="1" w15:restartNumberingAfterBreak="0">
    <w:nsid w:val="29B83428"/>
    <w:multiLevelType w:val="hybridMultilevel"/>
    <w:tmpl w:val="493CF2EC"/>
    <w:lvl w:ilvl="0" w:tplc="08CAB1B6">
      <w:start w:val="1"/>
      <w:numFmt w:val="decimal"/>
      <w:lvlText w:val="%1)"/>
      <w:lvlJc w:val="left"/>
      <w:pPr>
        <w:ind w:left="1020" w:hanging="360"/>
      </w:pPr>
    </w:lvl>
    <w:lvl w:ilvl="1" w:tplc="369C6F26">
      <w:start w:val="1"/>
      <w:numFmt w:val="decimal"/>
      <w:lvlText w:val="%2)"/>
      <w:lvlJc w:val="left"/>
      <w:pPr>
        <w:ind w:left="1020" w:hanging="360"/>
      </w:pPr>
    </w:lvl>
    <w:lvl w:ilvl="2" w:tplc="64324568">
      <w:start w:val="1"/>
      <w:numFmt w:val="decimal"/>
      <w:lvlText w:val="%3)"/>
      <w:lvlJc w:val="left"/>
      <w:pPr>
        <w:ind w:left="1020" w:hanging="360"/>
      </w:pPr>
    </w:lvl>
    <w:lvl w:ilvl="3" w:tplc="14AC5158">
      <w:start w:val="1"/>
      <w:numFmt w:val="decimal"/>
      <w:lvlText w:val="%4)"/>
      <w:lvlJc w:val="left"/>
      <w:pPr>
        <w:ind w:left="1020" w:hanging="360"/>
      </w:pPr>
    </w:lvl>
    <w:lvl w:ilvl="4" w:tplc="21F4034A">
      <w:start w:val="1"/>
      <w:numFmt w:val="decimal"/>
      <w:lvlText w:val="%5)"/>
      <w:lvlJc w:val="left"/>
      <w:pPr>
        <w:ind w:left="1020" w:hanging="360"/>
      </w:pPr>
    </w:lvl>
    <w:lvl w:ilvl="5" w:tplc="986CF86A">
      <w:start w:val="1"/>
      <w:numFmt w:val="decimal"/>
      <w:lvlText w:val="%6)"/>
      <w:lvlJc w:val="left"/>
      <w:pPr>
        <w:ind w:left="1020" w:hanging="360"/>
      </w:pPr>
    </w:lvl>
    <w:lvl w:ilvl="6" w:tplc="94FAE3B6">
      <w:start w:val="1"/>
      <w:numFmt w:val="decimal"/>
      <w:lvlText w:val="%7)"/>
      <w:lvlJc w:val="left"/>
      <w:pPr>
        <w:ind w:left="1020" w:hanging="360"/>
      </w:pPr>
    </w:lvl>
    <w:lvl w:ilvl="7" w:tplc="601457B6">
      <w:start w:val="1"/>
      <w:numFmt w:val="decimal"/>
      <w:lvlText w:val="%8)"/>
      <w:lvlJc w:val="left"/>
      <w:pPr>
        <w:ind w:left="1020" w:hanging="360"/>
      </w:pPr>
    </w:lvl>
    <w:lvl w:ilvl="8" w:tplc="3BC8F510">
      <w:start w:val="1"/>
      <w:numFmt w:val="decimal"/>
      <w:lvlText w:val="%9)"/>
      <w:lvlJc w:val="left"/>
      <w:pPr>
        <w:ind w:left="1020" w:hanging="360"/>
      </w:pPr>
    </w:lvl>
  </w:abstractNum>
  <w:abstractNum w:abstractNumId="2" w15:restartNumberingAfterBreak="0">
    <w:nsid w:val="3A7730C4"/>
    <w:multiLevelType w:val="multilevel"/>
    <w:tmpl w:val="8E76E4AA"/>
    <w:name w:val="ListBullet1Numbering"/>
    <w:lvl w:ilvl="0">
      <w:start w:val="1"/>
      <w:numFmt w:val="bullet"/>
      <w:pStyle w:val="ListBullet1"/>
      <w:lvlText w:val=""/>
      <w:lvlJc w:val="left"/>
      <w:pPr>
        <w:tabs>
          <w:tab w:val="num" w:pos="992"/>
        </w:tabs>
        <w:ind w:left="992" w:hanging="283"/>
      </w:pPr>
      <w:rPr>
        <w:rFonts w:ascii="Symbol" w:hAnsi="Symbol" w:hint="default"/>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15:restartNumberingAfterBreak="0">
    <w:nsid w:val="5F70265C"/>
    <w:multiLevelType w:val="multilevel"/>
    <w:tmpl w:val="18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 w15:restartNumberingAfterBreak="0">
    <w:nsid w:val="6FFF47AD"/>
    <w:multiLevelType w:val="hybridMultilevel"/>
    <w:tmpl w:val="06925430"/>
    <w:lvl w:ilvl="0" w:tplc="07F46B30">
      <w:start w:val="1"/>
      <w:numFmt w:val="decimal"/>
      <w:lvlText w:val="%1)"/>
      <w:lvlJc w:val="left"/>
      <w:pPr>
        <w:ind w:left="1020" w:hanging="360"/>
      </w:pPr>
    </w:lvl>
    <w:lvl w:ilvl="1" w:tplc="67EEAEE6">
      <w:start w:val="1"/>
      <w:numFmt w:val="decimal"/>
      <w:lvlText w:val="%2)"/>
      <w:lvlJc w:val="left"/>
      <w:pPr>
        <w:ind w:left="1020" w:hanging="360"/>
      </w:pPr>
    </w:lvl>
    <w:lvl w:ilvl="2" w:tplc="37FC160C">
      <w:start w:val="1"/>
      <w:numFmt w:val="decimal"/>
      <w:lvlText w:val="%3)"/>
      <w:lvlJc w:val="left"/>
      <w:pPr>
        <w:ind w:left="1020" w:hanging="360"/>
      </w:pPr>
    </w:lvl>
    <w:lvl w:ilvl="3" w:tplc="41223A50">
      <w:start w:val="1"/>
      <w:numFmt w:val="decimal"/>
      <w:lvlText w:val="%4)"/>
      <w:lvlJc w:val="left"/>
      <w:pPr>
        <w:ind w:left="1020" w:hanging="360"/>
      </w:pPr>
    </w:lvl>
    <w:lvl w:ilvl="4" w:tplc="9F46A78E">
      <w:start w:val="1"/>
      <w:numFmt w:val="decimal"/>
      <w:lvlText w:val="%5)"/>
      <w:lvlJc w:val="left"/>
      <w:pPr>
        <w:ind w:left="1020" w:hanging="360"/>
      </w:pPr>
    </w:lvl>
    <w:lvl w:ilvl="5" w:tplc="629C65A6">
      <w:start w:val="1"/>
      <w:numFmt w:val="decimal"/>
      <w:lvlText w:val="%6)"/>
      <w:lvlJc w:val="left"/>
      <w:pPr>
        <w:ind w:left="1020" w:hanging="360"/>
      </w:pPr>
    </w:lvl>
    <w:lvl w:ilvl="6" w:tplc="EF380192">
      <w:start w:val="1"/>
      <w:numFmt w:val="decimal"/>
      <w:lvlText w:val="%7)"/>
      <w:lvlJc w:val="left"/>
      <w:pPr>
        <w:ind w:left="1020" w:hanging="360"/>
      </w:pPr>
    </w:lvl>
    <w:lvl w:ilvl="7" w:tplc="BF968A18">
      <w:start w:val="1"/>
      <w:numFmt w:val="decimal"/>
      <w:lvlText w:val="%8)"/>
      <w:lvlJc w:val="left"/>
      <w:pPr>
        <w:ind w:left="1020" w:hanging="360"/>
      </w:pPr>
    </w:lvl>
    <w:lvl w:ilvl="8" w:tplc="3E5483E0">
      <w:start w:val="1"/>
      <w:numFmt w:val="decimal"/>
      <w:lvlText w:val="%9)"/>
      <w:lvlJc w:val="left"/>
      <w:pPr>
        <w:ind w:left="1020" w:hanging="360"/>
      </w:pPr>
    </w:lvl>
  </w:abstractNum>
  <w:num w:numId="1">
    <w:abstractNumId w:val="0"/>
  </w:num>
  <w:num w:numId="2">
    <w:abstractNumId w:val="2"/>
  </w:num>
  <w:num w:numId="3">
    <w:abstractNumId w:val="3"/>
  </w:num>
  <w:num w:numId="4">
    <w:abstractNumId w:val="4"/>
  </w:num>
  <w:num w:numId="5">
    <w:abstractNumId w:val="1"/>
  </w:num>
  <w:num w:numId="6">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C1EDEBC9-3431-4132-81B2-9183DA63A424"/>
    <w:docVar w:name="LW_COVERPAGE_TYPE" w:val="1"/>
    <w:docVar w:name="LW_CROSSREFERENCE" w:val="{SWD(2026) 84 final}"/>
    <w:docVar w:name="LW_DocType" w:val="NORMAL"/>
    <w:docVar w:name="LW_EMISSION" w:val="10.3.2026"/>
    <w:docVar w:name="LW_EMISSION_ISODATE" w:val="2026-03-10"/>
    <w:docVar w:name="LW_EMISSION_LOCATION" w:val="BRX"/>
    <w:docVar w:name="LW_EMISSION_PREFIX" w:val="Bruxelles, "/>
    <w:docVar w:name="LW_EMISSION_SUFFIX" w:val=" "/>
    <w:docVar w:name="LW_ID_DOCTYPE_NONLW" w:val="CP-009"/>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6) 120"/>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Program nuclear cu caracter informativ prezentat în temeiul articolului 40 din Tratatul Euratom - final (dup\u259? avizul CESE)"/>
    <w:docVar w:name="LW_TYPE.DOC.CP" w:val="COMUNICARE A COMISIEI"/>
    <w:docVar w:name="LW_TYPE.DOC.CP.USERTEXT" w:val="&lt;EMPTY&gt;"/>
    <w:docVar w:name="LwApiVersions" w:val="LW4CoDe 1.24.5.0; LW 9.2, Build 20251112"/>
  </w:docVars>
  <w:rsids>
    <w:rsidRoot w:val="00670873"/>
    <w:rsid w:val="000008A1"/>
    <w:rsid w:val="00000B55"/>
    <w:rsid w:val="00000C55"/>
    <w:rsid w:val="00000C65"/>
    <w:rsid w:val="00000D2C"/>
    <w:rsid w:val="00000F8E"/>
    <w:rsid w:val="000010F9"/>
    <w:rsid w:val="000014D9"/>
    <w:rsid w:val="000014E8"/>
    <w:rsid w:val="000018AF"/>
    <w:rsid w:val="00001A40"/>
    <w:rsid w:val="00001CEC"/>
    <w:rsid w:val="00001CF5"/>
    <w:rsid w:val="000020C3"/>
    <w:rsid w:val="0000217A"/>
    <w:rsid w:val="0000238F"/>
    <w:rsid w:val="000023C4"/>
    <w:rsid w:val="000024B3"/>
    <w:rsid w:val="000028E2"/>
    <w:rsid w:val="00002C8B"/>
    <w:rsid w:val="00002F78"/>
    <w:rsid w:val="000030BA"/>
    <w:rsid w:val="00003219"/>
    <w:rsid w:val="000036C7"/>
    <w:rsid w:val="00003C18"/>
    <w:rsid w:val="00003F8E"/>
    <w:rsid w:val="000047AA"/>
    <w:rsid w:val="00004D1C"/>
    <w:rsid w:val="000055A8"/>
    <w:rsid w:val="000057AF"/>
    <w:rsid w:val="00005B98"/>
    <w:rsid w:val="00005CE0"/>
    <w:rsid w:val="00005F20"/>
    <w:rsid w:val="0000609F"/>
    <w:rsid w:val="00006215"/>
    <w:rsid w:val="0000642C"/>
    <w:rsid w:val="0000680E"/>
    <w:rsid w:val="000068AF"/>
    <w:rsid w:val="00006960"/>
    <w:rsid w:val="000069C0"/>
    <w:rsid w:val="00006AEA"/>
    <w:rsid w:val="00006EB7"/>
    <w:rsid w:val="00006F78"/>
    <w:rsid w:val="000072C2"/>
    <w:rsid w:val="0000773E"/>
    <w:rsid w:val="00007BCE"/>
    <w:rsid w:val="00007E4C"/>
    <w:rsid w:val="00007E62"/>
    <w:rsid w:val="00010093"/>
    <w:rsid w:val="000101C1"/>
    <w:rsid w:val="00010365"/>
    <w:rsid w:val="00010425"/>
    <w:rsid w:val="000107EC"/>
    <w:rsid w:val="0001080C"/>
    <w:rsid w:val="00010AAC"/>
    <w:rsid w:val="00011201"/>
    <w:rsid w:val="00011282"/>
    <w:rsid w:val="000114A3"/>
    <w:rsid w:val="000114A4"/>
    <w:rsid w:val="00011897"/>
    <w:rsid w:val="00011BCA"/>
    <w:rsid w:val="00011D69"/>
    <w:rsid w:val="00011DD6"/>
    <w:rsid w:val="00013271"/>
    <w:rsid w:val="000134A4"/>
    <w:rsid w:val="00013A63"/>
    <w:rsid w:val="00013C98"/>
    <w:rsid w:val="00013CF0"/>
    <w:rsid w:val="0001416B"/>
    <w:rsid w:val="00014E49"/>
    <w:rsid w:val="00014F52"/>
    <w:rsid w:val="0001516B"/>
    <w:rsid w:val="00015739"/>
    <w:rsid w:val="00015857"/>
    <w:rsid w:val="0001591F"/>
    <w:rsid w:val="00015B06"/>
    <w:rsid w:val="00015C06"/>
    <w:rsid w:val="00015FEB"/>
    <w:rsid w:val="00015FEC"/>
    <w:rsid w:val="00016323"/>
    <w:rsid w:val="00016896"/>
    <w:rsid w:val="0001698F"/>
    <w:rsid w:val="00016A68"/>
    <w:rsid w:val="00016EF0"/>
    <w:rsid w:val="00016F30"/>
    <w:rsid w:val="00017223"/>
    <w:rsid w:val="000173A1"/>
    <w:rsid w:val="0001778C"/>
    <w:rsid w:val="00017A5A"/>
    <w:rsid w:val="00017BD6"/>
    <w:rsid w:val="00017C2A"/>
    <w:rsid w:val="00017F56"/>
    <w:rsid w:val="000202D4"/>
    <w:rsid w:val="00020AC0"/>
    <w:rsid w:val="00020D01"/>
    <w:rsid w:val="00021114"/>
    <w:rsid w:val="000213D1"/>
    <w:rsid w:val="000213DE"/>
    <w:rsid w:val="00021496"/>
    <w:rsid w:val="0002157F"/>
    <w:rsid w:val="00021702"/>
    <w:rsid w:val="00021D56"/>
    <w:rsid w:val="00021EF3"/>
    <w:rsid w:val="00021F42"/>
    <w:rsid w:val="000220A3"/>
    <w:rsid w:val="00022297"/>
    <w:rsid w:val="000225F5"/>
    <w:rsid w:val="000229C4"/>
    <w:rsid w:val="00022BE9"/>
    <w:rsid w:val="000230EC"/>
    <w:rsid w:val="000231F4"/>
    <w:rsid w:val="0002334A"/>
    <w:rsid w:val="000234C1"/>
    <w:rsid w:val="0002354F"/>
    <w:rsid w:val="000235B7"/>
    <w:rsid w:val="000238AE"/>
    <w:rsid w:val="000239F9"/>
    <w:rsid w:val="00023DA5"/>
    <w:rsid w:val="00023F5A"/>
    <w:rsid w:val="000240BD"/>
    <w:rsid w:val="000244E4"/>
    <w:rsid w:val="0002478E"/>
    <w:rsid w:val="0002482F"/>
    <w:rsid w:val="00024ABC"/>
    <w:rsid w:val="0002559C"/>
    <w:rsid w:val="000256E5"/>
    <w:rsid w:val="00025732"/>
    <w:rsid w:val="000257F9"/>
    <w:rsid w:val="00025896"/>
    <w:rsid w:val="0002589B"/>
    <w:rsid w:val="00025A3E"/>
    <w:rsid w:val="00025B9E"/>
    <w:rsid w:val="00025FA1"/>
    <w:rsid w:val="00025FB1"/>
    <w:rsid w:val="000260E0"/>
    <w:rsid w:val="000262C8"/>
    <w:rsid w:val="0002632A"/>
    <w:rsid w:val="000268C8"/>
    <w:rsid w:val="000268E0"/>
    <w:rsid w:val="0002692D"/>
    <w:rsid w:val="00027927"/>
    <w:rsid w:val="00027D46"/>
    <w:rsid w:val="00027D51"/>
    <w:rsid w:val="00027F26"/>
    <w:rsid w:val="0003022F"/>
    <w:rsid w:val="0003038E"/>
    <w:rsid w:val="00030ACE"/>
    <w:rsid w:val="00030C71"/>
    <w:rsid w:val="00030E70"/>
    <w:rsid w:val="00030F00"/>
    <w:rsid w:val="000311D2"/>
    <w:rsid w:val="000316AC"/>
    <w:rsid w:val="0003175A"/>
    <w:rsid w:val="0003176E"/>
    <w:rsid w:val="00031A58"/>
    <w:rsid w:val="00031ACC"/>
    <w:rsid w:val="00032128"/>
    <w:rsid w:val="00032173"/>
    <w:rsid w:val="00032377"/>
    <w:rsid w:val="000324BE"/>
    <w:rsid w:val="000324DD"/>
    <w:rsid w:val="000325D8"/>
    <w:rsid w:val="0003279C"/>
    <w:rsid w:val="00032922"/>
    <w:rsid w:val="00032C85"/>
    <w:rsid w:val="00032D75"/>
    <w:rsid w:val="0003313D"/>
    <w:rsid w:val="000333D6"/>
    <w:rsid w:val="000333F0"/>
    <w:rsid w:val="000337B5"/>
    <w:rsid w:val="00033D25"/>
    <w:rsid w:val="000341AD"/>
    <w:rsid w:val="00034359"/>
    <w:rsid w:val="00034711"/>
    <w:rsid w:val="000347EA"/>
    <w:rsid w:val="000348AC"/>
    <w:rsid w:val="00034CAD"/>
    <w:rsid w:val="00035955"/>
    <w:rsid w:val="00035B2C"/>
    <w:rsid w:val="000365C4"/>
    <w:rsid w:val="00036605"/>
    <w:rsid w:val="00036DA8"/>
    <w:rsid w:val="00036E42"/>
    <w:rsid w:val="00036F32"/>
    <w:rsid w:val="00036FD4"/>
    <w:rsid w:val="00037006"/>
    <w:rsid w:val="00037450"/>
    <w:rsid w:val="000374C2"/>
    <w:rsid w:val="00037721"/>
    <w:rsid w:val="000378B5"/>
    <w:rsid w:val="00037BF9"/>
    <w:rsid w:val="00037DDF"/>
    <w:rsid w:val="00037E22"/>
    <w:rsid w:val="00037F3B"/>
    <w:rsid w:val="00040016"/>
    <w:rsid w:val="00040220"/>
    <w:rsid w:val="000402DB"/>
    <w:rsid w:val="00040474"/>
    <w:rsid w:val="000404E4"/>
    <w:rsid w:val="00040D23"/>
    <w:rsid w:val="00040F49"/>
    <w:rsid w:val="00040FDC"/>
    <w:rsid w:val="0004102E"/>
    <w:rsid w:val="000412EA"/>
    <w:rsid w:val="000413CE"/>
    <w:rsid w:val="00041745"/>
    <w:rsid w:val="00041919"/>
    <w:rsid w:val="000419F7"/>
    <w:rsid w:val="00041AAC"/>
    <w:rsid w:val="00041AE3"/>
    <w:rsid w:val="00041D63"/>
    <w:rsid w:val="00041EFD"/>
    <w:rsid w:val="00041F13"/>
    <w:rsid w:val="00042520"/>
    <w:rsid w:val="0004257E"/>
    <w:rsid w:val="000428D3"/>
    <w:rsid w:val="00042957"/>
    <w:rsid w:val="00042D72"/>
    <w:rsid w:val="00043239"/>
    <w:rsid w:val="0004341E"/>
    <w:rsid w:val="0004361A"/>
    <w:rsid w:val="00043D31"/>
    <w:rsid w:val="00043EC4"/>
    <w:rsid w:val="0004408F"/>
    <w:rsid w:val="000442E4"/>
    <w:rsid w:val="0004458C"/>
    <w:rsid w:val="00044654"/>
    <w:rsid w:val="000446F1"/>
    <w:rsid w:val="0004476A"/>
    <w:rsid w:val="00044894"/>
    <w:rsid w:val="000448C5"/>
    <w:rsid w:val="00044A2F"/>
    <w:rsid w:val="00044D61"/>
    <w:rsid w:val="00044DB7"/>
    <w:rsid w:val="00044E4A"/>
    <w:rsid w:val="000452C7"/>
    <w:rsid w:val="00045955"/>
    <w:rsid w:val="00046167"/>
    <w:rsid w:val="0004643C"/>
    <w:rsid w:val="000465E1"/>
    <w:rsid w:val="00046640"/>
    <w:rsid w:val="00046695"/>
    <w:rsid w:val="00046779"/>
    <w:rsid w:val="00046BFD"/>
    <w:rsid w:val="00046C66"/>
    <w:rsid w:val="0004770E"/>
    <w:rsid w:val="00047902"/>
    <w:rsid w:val="000500D2"/>
    <w:rsid w:val="0005031B"/>
    <w:rsid w:val="000507B8"/>
    <w:rsid w:val="000508A4"/>
    <w:rsid w:val="000508BA"/>
    <w:rsid w:val="00050A31"/>
    <w:rsid w:val="00050E55"/>
    <w:rsid w:val="00051055"/>
    <w:rsid w:val="000512A2"/>
    <w:rsid w:val="000512A6"/>
    <w:rsid w:val="00051690"/>
    <w:rsid w:val="00051E6A"/>
    <w:rsid w:val="00051E8C"/>
    <w:rsid w:val="00051EB8"/>
    <w:rsid w:val="00051EDE"/>
    <w:rsid w:val="000520F6"/>
    <w:rsid w:val="00052322"/>
    <w:rsid w:val="000523D2"/>
    <w:rsid w:val="000525D0"/>
    <w:rsid w:val="0005273E"/>
    <w:rsid w:val="00052D62"/>
    <w:rsid w:val="00052EA4"/>
    <w:rsid w:val="00053188"/>
    <w:rsid w:val="000533A3"/>
    <w:rsid w:val="000533D1"/>
    <w:rsid w:val="00053639"/>
    <w:rsid w:val="00053771"/>
    <w:rsid w:val="00053CC7"/>
    <w:rsid w:val="00053ED4"/>
    <w:rsid w:val="00053F34"/>
    <w:rsid w:val="00053FA9"/>
    <w:rsid w:val="00054633"/>
    <w:rsid w:val="00054985"/>
    <w:rsid w:val="000549F8"/>
    <w:rsid w:val="00054A20"/>
    <w:rsid w:val="00054A7D"/>
    <w:rsid w:val="00054BE4"/>
    <w:rsid w:val="00054EE2"/>
    <w:rsid w:val="00055374"/>
    <w:rsid w:val="00055CE1"/>
    <w:rsid w:val="00055FA1"/>
    <w:rsid w:val="000564ED"/>
    <w:rsid w:val="00056568"/>
    <w:rsid w:val="000568B0"/>
    <w:rsid w:val="000568F2"/>
    <w:rsid w:val="00056ACE"/>
    <w:rsid w:val="00056B0E"/>
    <w:rsid w:val="00056D1F"/>
    <w:rsid w:val="00056E8D"/>
    <w:rsid w:val="00057AE2"/>
    <w:rsid w:val="00057EF0"/>
    <w:rsid w:val="0006074D"/>
    <w:rsid w:val="00060812"/>
    <w:rsid w:val="00060B04"/>
    <w:rsid w:val="00061042"/>
    <w:rsid w:val="00061923"/>
    <w:rsid w:val="00061B8E"/>
    <w:rsid w:val="00061C32"/>
    <w:rsid w:val="00061E78"/>
    <w:rsid w:val="0006263F"/>
    <w:rsid w:val="00062718"/>
    <w:rsid w:val="0006299D"/>
    <w:rsid w:val="00062C4F"/>
    <w:rsid w:val="00062CB7"/>
    <w:rsid w:val="00062FCA"/>
    <w:rsid w:val="00063260"/>
    <w:rsid w:val="00063346"/>
    <w:rsid w:val="00063810"/>
    <w:rsid w:val="00063881"/>
    <w:rsid w:val="00063BE3"/>
    <w:rsid w:val="00063BEF"/>
    <w:rsid w:val="00063C2C"/>
    <w:rsid w:val="00063CC9"/>
    <w:rsid w:val="00064145"/>
    <w:rsid w:val="0006425E"/>
    <w:rsid w:val="000642B8"/>
    <w:rsid w:val="00064C73"/>
    <w:rsid w:val="00064C9C"/>
    <w:rsid w:val="00064CF9"/>
    <w:rsid w:val="00064D94"/>
    <w:rsid w:val="000651A0"/>
    <w:rsid w:val="00065275"/>
    <w:rsid w:val="00065754"/>
    <w:rsid w:val="00065946"/>
    <w:rsid w:val="00065AF5"/>
    <w:rsid w:val="00065C32"/>
    <w:rsid w:val="00065CBA"/>
    <w:rsid w:val="00065E09"/>
    <w:rsid w:val="00065F1B"/>
    <w:rsid w:val="0006680E"/>
    <w:rsid w:val="0006690A"/>
    <w:rsid w:val="000669E4"/>
    <w:rsid w:val="00066E94"/>
    <w:rsid w:val="00066FBD"/>
    <w:rsid w:val="000672EA"/>
    <w:rsid w:val="00067895"/>
    <w:rsid w:val="00067A38"/>
    <w:rsid w:val="00067BC2"/>
    <w:rsid w:val="00067F92"/>
    <w:rsid w:val="00067FAD"/>
    <w:rsid w:val="000701BE"/>
    <w:rsid w:val="00070469"/>
    <w:rsid w:val="00070C7C"/>
    <w:rsid w:val="000712A5"/>
    <w:rsid w:val="00071506"/>
    <w:rsid w:val="00071C2E"/>
    <w:rsid w:val="00071F02"/>
    <w:rsid w:val="00072265"/>
    <w:rsid w:val="00072A5C"/>
    <w:rsid w:val="00072E9B"/>
    <w:rsid w:val="00072F5C"/>
    <w:rsid w:val="000730E8"/>
    <w:rsid w:val="000734E1"/>
    <w:rsid w:val="0007386D"/>
    <w:rsid w:val="00073A41"/>
    <w:rsid w:val="00073A98"/>
    <w:rsid w:val="00073B7B"/>
    <w:rsid w:val="00073C9E"/>
    <w:rsid w:val="00073CF2"/>
    <w:rsid w:val="00073E36"/>
    <w:rsid w:val="00073E5A"/>
    <w:rsid w:val="0007410F"/>
    <w:rsid w:val="0007436E"/>
    <w:rsid w:val="000746F1"/>
    <w:rsid w:val="0007477F"/>
    <w:rsid w:val="00074C07"/>
    <w:rsid w:val="00074CE6"/>
    <w:rsid w:val="000753F0"/>
    <w:rsid w:val="0007545A"/>
    <w:rsid w:val="00075759"/>
    <w:rsid w:val="000757FF"/>
    <w:rsid w:val="00075ED3"/>
    <w:rsid w:val="000760BF"/>
    <w:rsid w:val="0007625B"/>
    <w:rsid w:val="0007625F"/>
    <w:rsid w:val="00076667"/>
    <w:rsid w:val="00076C59"/>
    <w:rsid w:val="000771F9"/>
    <w:rsid w:val="000774FD"/>
    <w:rsid w:val="0007764E"/>
    <w:rsid w:val="00077676"/>
    <w:rsid w:val="000778B5"/>
    <w:rsid w:val="00077B7F"/>
    <w:rsid w:val="00077BE4"/>
    <w:rsid w:val="00077C26"/>
    <w:rsid w:val="000802E7"/>
    <w:rsid w:val="0008070C"/>
    <w:rsid w:val="00081206"/>
    <w:rsid w:val="0008125D"/>
    <w:rsid w:val="000814E7"/>
    <w:rsid w:val="00081503"/>
    <w:rsid w:val="000817FA"/>
    <w:rsid w:val="000819E3"/>
    <w:rsid w:val="00081B6B"/>
    <w:rsid w:val="00081C9B"/>
    <w:rsid w:val="000823A1"/>
    <w:rsid w:val="000824DF"/>
    <w:rsid w:val="00082533"/>
    <w:rsid w:val="000825E5"/>
    <w:rsid w:val="0008275B"/>
    <w:rsid w:val="00083128"/>
    <w:rsid w:val="0008314A"/>
    <w:rsid w:val="0008330E"/>
    <w:rsid w:val="0008371D"/>
    <w:rsid w:val="000839E4"/>
    <w:rsid w:val="000840E0"/>
    <w:rsid w:val="00084501"/>
    <w:rsid w:val="00084508"/>
    <w:rsid w:val="00084652"/>
    <w:rsid w:val="0008475A"/>
    <w:rsid w:val="0008493E"/>
    <w:rsid w:val="000853D4"/>
    <w:rsid w:val="000856F3"/>
    <w:rsid w:val="0008576E"/>
    <w:rsid w:val="00085C44"/>
    <w:rsid w:val="00086195"/>
    <w:rsid w:val="000861C4"/>
    <w:rsid w:val="000861F0"/>
    <w:rsid w:val="00086E88"/>
    <w:rsid w:val="00087198"/>
    <w:rsid w:val="00087770"/>
    <w:rsid w:val="000877C5"/>
    <w:rsid w:val="00087D64"/>
    <w:rsid w:val="00087EB0"/>
    <w:rsid w:val="00087EB9"/>
    <w:rsid w:val="00087EC0"/>
    <w:rsid w:val="0009022A"/>
    <w:rsid w:val="00090A57"/>
    <w:rsid w:val="00090AE2"/>
    <w:rsid w:val="00090DE7"/>
    <w:rsid w:val="00090F5C"/>
    <w:rsid w:val="000910BE"/>
    <w:rsid w:val="00091544"/>
    <w:rsid w:val="000919CE"/>
    <w:rsid w:val="00091A63"/>
    <w:rsid w:val="00092341"/>
    <w:rsid w:val="0009237B"/>
    <w:rsid w:val="00092584"/>
    <w:rsid w:val="0009258A"/>
    <w:rsid w:val="0009290E"/>
    <w:rsid w:val="00092FF8"/>
    <w:rsid w:val="0009319D"/>
    <w:rsid w:val="000933D7"/>
    <w:rsid w:val="0009352A"/>
    <w:rsid w:val="0009356C"/>
    <w:rsid w:val="000935CB"/>
    <w:rsid w:val="000937BB"/>
    <w:rsid w:val="0009386A"/>
    <w:rsid w:val="00093912"/>
    <w:rsid w:val="00093CBF"/>
    <w:rsid w:val="00093E01"/>
    <w:rsid w:val="0009416E"/>
    <w:rsid w:val="000941B1"/>
    <w:rsid w:val="00094746"/>
    <w:rsid w:val="000947E0"/>
    <w:rsid w:val="00094887"/>
    <w:rsid w:val="00094CA6"/>
    <w:rsid w:val="00094EA6"/>
    <w:rsid w:val="00094F3D"/>
    <w:rsid w:val="0009514B"/>
    <w:rsid w:val="00095292"/>
    <w:rsid w:val="00095AAE"/>
    <w:rsid w:val="00095B77"/>
    <w:rsid w:val="00095C29"/>
    <w:rsid w:val="00095E84"/>
    <w:rsid w:val="000961A3"/>
    <w:rsid w:val="00096293"/>
    <w:rsid w:val="00096902"/>
    <w:rsid w:val="0009698D"/>
    <w:rsid w:val="00096E55"/>
    <w:rsid w:val="00096EA8"/>
    <w:rsid w:val="0009708B"/>
    <w:rsid w:val="00097331"/>
    <w:rsid w:val="00097886"/>
    <w:rsid w:val="00097953"/>
    <w:rsid w:val="00097BD2"/>
    <w:rsid w:val="00097DC7"/>
    <w:rsid w:val="000A0306"/>
    <w:rsid w:val="000A0547"/>
    <w:rsid w:val="000A0566"/>
    <w:rsid w:val="000A0627"/>
    <w:rsid w:val="000A0649"/>
    <w:rsid w:val="000A0700"/>
    <w:rsid w:val="000A0B96"/>
    <w:rsid w:val="000A0D83"/>
    <w:rsid w:val="000A1091"/>
    <w:rsid w:val="000A128E"/>
    <w:rsid w:val="000A15DA"/>
    <w:rsid w:val="000A195E"/>
    <w:rsid w:val="000A19B2"/>
    <w:rsid w:val="000A1C22"/>
    <w:rsid w:val="000A201D"/>
    <w:rsid w:val="000A2303"/>
    <w:rsid w:val="000A2319"/>
    <w:rsid w:val="000A2424"/>
    <w:rsid w:val="000A2A53"/>
    <w:rsid w:val="000A2A6F"/>
    <w:rsid w:val="000A2A8A"/>
    <w:rsid w:val="000A2F60"/>
    <w:rsid w:val="000A308F"/>
    <w:rsid w:val="000A3151"/>
    <w:rsid w:val="000A3181"/>
    <w:rsid w:val="000A3850"/>
    <w:rsid w:val="000A38AD"/>
    <w:rsid w:val="000A3B36"/>
    <w:rsid w:val="000A412A"/>
    <w:rsid w:val="000A41A8"/>
    <w:rsid w:val="000A45D8"/>
    <w:rsid w:val="000A483E"/>
    <w:rsid w:val="000A49CB"/>
    <w:rsid w:val="000A4CA0"/>
    <w:rsid w:val="000A527E"/>
    <w:rsid w:val="000A5611"/>
    <w:rsid w:val="000A5667"/>
    <w:rsid w:val="000A5832"/>
    <w:rsid w:val="000A583A"/>
    <w:rsid w:val="000A5850"/>
    <w:rsid w:val="000A5934"/>
    <w:rsid w:val="000A5F2D"/>
    <w:rsid w:val="000A61FA"/>
    <w:rsid w:val="000A6474"/>
    <w:rsid w:val="000A6485"/>
    <w:rsid w:val="000A65AA"/>
    <w:rsid w:val="000A6D14"/>
    <w:rsid w:val="000A7365"/>
    <w:rsid w:val="000A7568"/>
    <w:rsid w:val="000A785B"/>
    <w:rsid w:val="000A7901"/>
    <w:rsid w:val="000A7C1E"/>
    <w:rsid w:val="000A7D22"/>
    <w:rsid w:val="000B00C0"/>
    <w:rsid w:val="000B0406"/>
    <w:rsid w:val="000B04AA"/>
    <w:rsid w:val="000B04F7"/>
    <w:rsid w:val="000B054B"/>
    <w:rsid w:val="000B064C"/>
    <w:rsid w:val="000B0662"/>
    <w:rsid w:val="000B06BC"/>
    <w:rsid w:val="000B0B47"/>
    <w:rsid w:val="000B10F6"/>
    <w:rsid w:val="000B1310"/>
    <w:rsid w:val="000B1965"/>
    <w:rsid w:val="000B1D0E"/>
    <w:rsid w:val="000B1FCA"/>
    <w:rsid w:val="000B280F"/>
    <w:rsid w:val="000B28DC"/>
    <w:rsid w:val="000B3316"/>
    <w:rsid w:val="000B34D1"/>
    <w:rsid w:val="000B3509"/>
    <w:rsid w:val="000B40A5"/>
    <w:rsid w:val="000B4619"/>
    <w:rsid w:val="000B4802"/>
    <w:rsid w:val="000B4C5A"/>
    <w:rsid w:val="000B55CA"/>
    <w:rsid w:val="000B59E0"/>
    <w:rsid w:val="000B5BA2"/>
    <w:rsid w:val="000B61F7"/>
    <w:rsid w:val="000B6363"/>
    <w:rsid w:val="000B638F"/>
    <w:rsid w:val="000B6448"/>
    <w:rsid w:val="000B64E3"/>
    <w:rsid w:val="000B6550"/>
    <w:rsid w:val="000B666F"/>
    <w:rsid w:val="000B700E"/>
    <w:rsid w:val="000B7132"/>
    <w:rsid w:val="000B72AC"/>
    <w:rsid w:val="000B76D8"/>
    <w:rsid w:val="000B7B84"/>
    <w:rsid w:val="000B7EA1"/>
    <w:rsid w:val="000B7F41"/>
    <w:rsid w:val="000C0062"/>
    <w:rsid w:val="000C0363"/>
    <w:rsid w:val="000C063D"/>
    <w:rsid w:val="000C08B9"/>
    <w:rsid w:val="000C0BE3"/>
    <w:rsid w:val="000C0BF2"/>
    <w:rsid w:val="000C0C96"/>
    <w:rsid w:val="000C0D9C"/>
    <w:rsid w:val="000C0E15"/>
    <w:rsid w:val="000C11C4"/>
    <w:rsid w:val="000C1613"/>
    <w:rsid w:val="000C180B"/>
    <w:rsid w:val="000C1AD3"/>
    <w:rsid w:val="000C232E"/>
    <w:rsid w:val="000C2388"/>
    <w:rsid w:val="000C260F"/>
    <w:rsid w:val="000C279A"/>
    <w:rsid w:val="000C2B69"/>
    <w:rsid w:val="000C2BA8"/>
    <w:rsid w:val="000C2C0A"/>
    <w:rsid w:val="000C2E17"/>
    <w:rsid w:val="000C2FA0"/>
    <w:rsid w:val="000C3077"/>
    <w:rsid w:val="000C32A4"/>
    <w:rsid w:val="000C342E"/>
    <w:rsid w:val="000C372C"/>
    <w:rsid w:val="000C374B"/>
    <w:rsid w:val="000C3A73"/>
    <w:rsid w:val="000C3B1A"/>
    <w:rsid w:val="000C3D33"/>
    <w:rsid w:val="000C3D71"/>
    <w:rsid w:val="000C3E64"/>
    <w:rsid w:val="000C3FA6"/>
    <w:rsid w:val="000C4092"/>
    <w:rsid w:val="000C421E"/>
    <w:rsid w:val="000C4750"/>
    <w:rsid w:val="000C4859"/>
    <w:rsid w:val="000C4B0E"/>
    <w:rsid w:val="000C4E40"/>
    <w:rsid w:val="000C51B5"/>
    <w:rsid w:val="000C52D1"/>
    <w:rsid w:val="000C5576"/>
    <w:rsid w:val="000C572A"/>
    <w:rsid w:val="000C5B03"/>
    <w:rsid w:val="000C5B81"/>
    <w:rsid w:val="000C5BC8"/>
    <w:rsid w:val="000C5C10"/>
    <w:rsid w:val="000C5CEB"/>
    <w:rsid w:val="000C5F51"/>
    <w:rsid w:val="000C5FC1"/>
    <w:rsid w:val="000C6329"/>
    <w:rsid w:val="000C6841"/>
    <w:rsid w:val="000C6D27"/>
    <w:rsid w:val="000C7206"/>
    <w:rsid w:val="000C72F4"/>
    <w:rsid w:val="000C7344"/>
    <w:rsid w:val="000C7607"/>
    <w:rsid w:val="000C798F"/>
    <w:rsid w:val="000C7C87"/>
    <w:rsid w:val="000D00AB"/>
    <w:rsid w:val="000D0398"/>
    <w:rsid w:val="000D046C"/>
    <w:rsid w:val="000D0564"/>
    <w:rsid w:val="000D0CF4"/>
    <w:rsid w:val="000D176C"/>
    <w:rsid w:val="000D18D4"/>
    <w:rsid w:val="000D19A8"/>
    <w:rsid w:val="000D1CCC"/>
    <w:rsid w:val="000D1F7A"/>
    <w:rsid w:val="000D26ED"/>
    <w:rsid w:val="000D28CA"/>
    <w:rsid w:val="000D2BD4"/>
    <w:rsid w:val="000D33A7"/>
    <w:rsid w:val="000D34F3"/>
    <w:rsid w:val="000D3A1C"/>
    <w:rsid w:val="000D427D"/>
    <w:rsid w:val="000D4912"/>
    <w:rsid w:val="000D4ACD"/>
    <w:rsid w:val="000D4F8D"/>
    <w:rsid w:val="000D513E"/>
    <w:rsid w:val="000D52B5"/>
    <w:rsid w:val="000D58EC"/>
    <w:rsid w:val="000D5A85"/>
    <w:rsid w:val="000D5B76"/>
    <w:rsid w:val="000D5C63"/>
    <w:rsid w:val="000D5D7B"/>
    <w:rsid w:val="000D5E2A"/>
    <w:rsid w:val="000D5ED0"/>
    <w:rsid w:val="000D5FA2"/>
    <w:rsid w:val="000D630D"/>
    <w:rsid w:val="000D6379"/>
    <w:rsid w:val="000D66BA"/>
    <w:rsid w:val="000D6B41"/>
    <w:rsid w:val="000D6BC1"/>
    <w:rsid w:val="000D7223"/>
    <w:rsid w:val="000D73CB"/>
    <w:rsid w:val="000D767B"/>
    <w:rsid w:val="000D7A9F"/>
    <w:rsid w:val="000D7AAA"/>
    <w:rsid w:val="000D7AB3"/>
    <w:rsid w:val="000D7D7F"/>
    <w:rsid w:val="000E000F"/>
    <w:rsid w:val="000E0402"/>
    <w:rsid w:val="000E0457"/>
    <w:rsid w:val="000E04CF"/>
    <w:rsid w:val="000E0516"/>
    <w:rsid w:val="000E0A08"/>
    <w:rsid w:val="000E0DC2"/>
    <w:rsid w:val="000E125F"/>
    <w:rsid w:val="000E1322"/>
    <w:rsid w:val="000E1796"/>
    <w:rsid w:val="000E1B53"/>
    <w:rsid w:val="000E1CCD"/>
    <w:rsid w:val="000E1FBC"/>
    <w:rsid w:val="000E215A"/>
    <w:rsid w:val="000E22C4"/>
    <w:rsid w:val="000E25CB"/>
    <w:rsid w:val="000E2696"/>
    <w:rsid w:val="000E28D8"/>
    <w:rsid w:val="000E2B92"/>
    <w:rsid w:val="000E2DBF"/>
    <w:rsid w:val="000E306A"/>
    <w:rsid w:val="000E3248"/>
    <w:rsid w:val="000E3303"/>
    <w:rsid w:val="000E3678"/>
    <w:rsid w:val="000E3E41"/>
    <w:rsid w:val="000E42C5"/>
    <w:rsid w:val="000E4A7D"/>
    <w:rsid w:val="000E4AB1"/>
    <w:rsid w:val="000E4B5A"/>
    <w:rsid w:val="000E50B6"/>
    <w:rsid w:val="000E51B1"/>
    <w:rsid w:val="000E5422"/>
    <w:rsid w:val="000E5476"/>
    <w:rsid w:val="000E58DC"/>
    <w:rsid w:val="000E58F9"/>
    <w:rsid w:val="000E5A0E"/>
    <w:rsid w:val="000E5A37"/>
    <w:rsid w:val="000E5BE6"/>
    <w:rsid w:val="000E626B"/>
    <w:rsid w:val="000E6DE7"/>
    <w:rsid w:val="000E735B"/>
    <w:rsid w:val="000E7ED4"/>
    <w:rsid w:val="000F008F"/>
    <w:rsid w:val="000F0951"/>
    <w:rsid w:val="000F0ADA"/>
    <w:rsid w:val="000F0DEA"/>
    <w:rsid w:val="000F0EDA"/>
    <w:rsid w:val="000F123B"/>
    <w:rsid w:val="000F12D4"/>
    <w:rsid w:val="000F12EB"/>
    <w:rsid w:val="000F1771"/>
    <w:rsid w:val="000F17F5"/>
    <w:rsid w:val="000F18C1"/>
    <w:rsid w:val="000F1B05"/>
    <w:rsid w:val="000F1BCE"/>
    <w:rsid w:val="000F1C4E"/>
    <w:rsid w:val="000F1F2C"/>
    <w:rsid w:val="000F24BA"/>
    <w:rsid w:val="000F280E"/>
    <w:rsid w:val="000F2A14"/>
    <w:rsid w:val="000F2A99"/>
    <w:rsid w:val="000F2C52"/>
    <w:rsid w:val="000F2EE3"/>
    <w:rsid w:val="000F30D5"/>
    <w:rsid w:val="000F388A"/>
    <w:rsid w:val="000F4213"/>
    <w:rsid w:val="000F4315"/>
    <w:rsid w:val="000F44AE"/>
    <w:rsid w:val="000F4613"/>
    <w:rsid w:val="000F47EB"/>
    <w:rsid w:val="000F4B01"/>
    <w:rsid w:val="000F4B08"/>
    <w:rsid w:val="000F4BB9"/>
    <w:rsid w:val="000F4BCB"/>
    <w:rsid w:val="000F4D5C"/>
    <w:rsid w:val="000F4F81"/>
    <w:rsid w:val="000F50FF"/>
    <w:rsid w:val="000F5249"/>
    <w:rsid w:val="000F5317"/>
    <w:rsid w:val="000F5407"/>
    <w:rsid w:val="000F59F4"/>
    <w:rsid w:val="000F5C6A"/>
    <w:rsid w:val="000F5DFC"/>
    <w:rsid w:val="000F6140"/>
    <w:rsid w:val="000F6178"/>
    <w:rsid w:val="000F62D3"/>
    <w:rsid w:val="000F63DA"/>
    <w:rsid w:val="000F650B"/>
    <w:rsid w:val="000F6657"/>
    <w:rsid w:val="000F6720"/>
    <w:rsid w:val="000F6FD0"/>
    <w:rsid w:val="000F7054"/>
    <w:rsid w:val="000F73C2"/>
    <w:rsid w:val="000F787A"/>
    <w:rsid w:val="000F7A97"/>
    <w:rsid w:val="000F7AD1"/>
    <w:rsid w:val="000F7C04"/>
    <w:rsid w:val="000F7D67"/>
    <w:rsid w:val="00100379"/>
    <w:rsid w:val="0010051A"/>
    <w:rsid w:val="0010089A"/>
    <w:rsid w:val="0010089F"/>
    <w:rsid w:val="00101304"/>
    <w:rsid w:val="0010139B"/>
    <w:rsid w:val="00101665"/>
    <w:rsid w:val="001018DC"/>
    <w:rsid w:val="0010198A"/>
    <w:rsid w:val="00101AA1"/>
    <w:rsid w:val="00101B24"/>
    <w:rsid w:val="00101B6D"/>
    <w:rsid w:val="00101C19"/>
    <w:rsid w:val="00101FCB"/>
    <w:rsid w:val="001020B9"/>
    <w:rsid w:val="0010216B"/>
    <w:rsid w:val="001026A6"/>
    <w:rsid w:val="0010270E"/>
    <w:rsid w:val="00102B2A"/>
    <w:rsid w:val="00102B90"/>
    <w:rsid w:val="00102D67"/>
    <w:rsid w:val="001035CE"/>
    <w:rsid w:val="001038F6"/>
    <w:rsid w:val="00103A4A"/>
    <w:rsid w:val="00103A50"/>
    <w:rsid w:val="00103AFE"/>
    <w:rsid w:val="00103D4C"/>
    <w:rsid w:val="00103D9E"/>
    <w:rsid w:val="00103DD1"/>
    <w:rsid w:val="0010417E"/>
    <w:rsid w:val="001041A5"/>
    <w:rsid w:val="001041B0"/>
    <w:rsid w:val="00104643"/>
    <w:rsid w:val="001047A1"/>
    <w:rsid w:val="00104DE6"/>
    <w:rsid w:val="00104E16"/>
    <w:rsid w:val="001055E3"/>
    <w:rsid w:val="0010561F"/>
    <w:rsid w:val="001056B5"/>
    <w:rsid w:val="001057C3"/>
    <w:rsid w:val="00105D3A"/>
    <w:rsid w:val="00105D52"/>
    <w:rsid w:val="00106048"/>
    <w:rsid w:val="0010610C"/>
    <w:rsid w:val="00106861"/>
    <w:rsid w:val="00106F29"/>
    <w:rsid w:val="00106F5F"/>
    <w:rsid w:val="00107001"/>
    <w:rsid w:val="00107023"/>
    <w:rsid w:val="00107468"/>
    <w:rsid w:val="001074F9"/>
    <w:rsid w:val="001078FA"/>
    <w:rsid w:val="00107CE3"/>
    <w:rsid w:val="00107D98"/>
    <w:rsid w:val="001100BE"/>
    <w:rsid w:val="001103B2"/>
    <w:rsid w:val="00110589"/>
    <w:rsid w:val="00110602"/>
    <w:rsid w:val="00110E8D"/>
    <w:rsid w:val="00110F22"/>
    <w:rsid w:val="00110F52"/>
    <w:rsid w:val="00110F9F"/>
    <w:rsid w:val="001112C6"/>
    <w:rsid w:val="00111424"/>
    <w:rsid w:val="00111531"/>
    <w:rsid w:val="00111D78"/>
    <w:rsid w:val="00111DAD"/>
    <w:rsid w:val="00111FBE"/>
    <w:rsid w:val="001123BB"/>
    <w:rsid w:val="001123F0"/>
    <w:rsid w:val="00112844"/>
    <w:rsid w:val="00112859"/>
    <w:rsid w:val="00112C58"/>
    <w:rsid w:val="00113548"/>
    <w:rsid w:val="0011384A"/>
    <w:rsid w:val="00113955"/>
    <w:rsid w:val="00113D5A"/>
    <w:rsid w:val="001140A4"/>
    <w:rsid w:val="00114199"/>
    <w:rsid w:val="001141E5"/>
    <w:rsid w:val="00114244"/>
    <w:rsid w:val="001146F1"/>
    <w:rsid w:val="0011494F"/>
    <w:rsid w:val="00114A22"/>
    <w:rsid w:val="00114DD1"/>
    <w:rsid w:val="00114EB9"/>
    <w:rsid w:val="001152D7"/>
    <w:rsid w:val="001155D9"/>
    <w:rsid w:val="001155F7"/>
    <w:rsid w:val="00115A27"/>
    <w:rsid w:val="00115D59"/>
    <w:rsid w:val="00115F03"/>
    <w:rsid w:val="00116176"/>
    <w:rsid w:val="00116341"/>
    <w:rsid w:val="00116421"/>
    <w:rsid w:val="00116495"/>
    <w:rsid w:val="00116C61"/>
    <w:rsid w:val="00116EE9"/>
    <w:rsid w:val="00117144"/>
    <w:rsid w:val="00117174"/>
    <w:rsid w:val="001175C6"/>
    <w:rsid w:val="001175EC"/>
    <w:rsid w:val="0011774A"/>
    <w:rsid w:val="00117871"/>
    <w:rsid w:val="00117899"/>
    <w:rsid w:val="00117AA3"/>
    <w:rsid w:val="00120237"/>
    <w:rsid w:val="00120247"/>
    <w:rsid w:val="0012025D"/>
    <w:rsid w:val="001203F5"/>
    <w:rsid w:val="00120498"/>
    <w:rsid w:val="001204EE"/>
    <w:rsid w:val="00120510"/>
    <w:rsid w:val="0012096D"/>
    <w:rsid w:val="00120D5D"/>
    <w:rsid w:val="00121350"/>
    <w:rsid w:val="00121455"/>
    <w:rsid w:val="00121BC5"/>
    <w:rsid w:val="00121E60"/>
    <w:rsid w:val="0012221C"/>
    <w:rsid w:val="001222A1"/>
    <w:rsid w:val="00122340"/>
    <w:rsid w:val="00122CE3"/>
    <w:rsid w:val="0012335E"/>
    <w:rsid w:val="001234B4"/>
    <w:rsid w:val="001235D8"/>
    <w:rsid w:val="00123C62"/>
    <w:rsid w:val="001240C9"/>
    <w:rsid w:val="0012415F"/>
    <w:rsid w:val="001249DD"/>
    <w:rsid w:val="00124CB0"/>
    <w:rsid w:val="0012531E"/>
    <w:rsid w:val="00125576"/>
    <w:rsid w:val="0012566B"/>
    <w:rsid w:val="001256C5"/>
    <w:rsid w:val="0012572B"/>
    <w:rsid w:val="00125857"/>
    <w:rsid w:val="00125FCE"/>
    <w:rsid w:val="00126032"/>
    <w:rsid w:val="001262D3"/>
    <w:rsid w:val="0012675E"/>
    <w:rsid w:val="00126D71"/>
    <w:rsid w:val="00126E2D"/>
    <w:rsid w:val="001270F7"/>
    <w:rsid w:val="00127147"/>
    <w:rsid w:val="00127268"/>
    <w:rsid w:val="00127923"/>
    <w:rsid w:val="00127957"/>
    <w:rsid w:val="00127B8E"/>
    <w:rsid w:val="00127BBA"/>
    <w:rsid w:val="00127D12"/>
    <w:rsid w:val="00127E0C"/>
    <w:rsid w:val="0013030A"/>
    <w:rsid w:val="001306CF"/>
    <w:rsid w:val="001308B5"/>
    <w:rsid w:val="001308F6"/>
    <w:rsid w:val="00130B67"/>
    <w:rsid w:val="00130B8A"/>
    <w:rsid w:val="00130D8D"/>
    <w:rsid w:val="00130DCA"/>
    <w:rsid w:val="00130E9C"/>
    <w:rsid w:val="00130F2A"/>
    <w:rsid w:val="001316EE"/>
    <w:rsid w:val="00132170"/>
    <w:rsid w:val="001321C4"/>
    <w:rsid w:val="0013228F"/>
    <w:rsid w:val="00132298"/>
    <w:rsid w:val="0013273C"/>
    <w:rsid w:val="001327F2"/>
    <w:rsid w:val="00132867"/>
    <w:rsid w:val="00132A54"/>
    <w:rsid w:val="0013359D"/>
    <w:rsid w:val="001335F1"/>
    <w:rsid w:val="0013370A"/>
    <w:rsid w:val="00133B68"/>
    <w:rsid w:val="00133D09"/>
    <w:rsid w:val="00134139"/>
    <w:rsid w:val="00134258"/>
    <w:rsid w:val="001342CB"/>
    <w:rsid w:val="00134605"/>
    <w:rsid w:val="00134A35"/>
    <w:rsid w:val="00134C81"/>
    <w:rsid w:val="0013506E"/>
    <w:rsid w:val="0013517E"/>
    <w:rsid w:val="0013523A"/>
    <w:rsid w:val="001353AC"/>
    <w:rsid w:val="00135582"/>
    <w:rsid w:val="001359FE"/>
    <w:rsid w:val="00135A7C"/>
    <w:rsid w:val="00135B74"/>
    <w:rsid w:val="00135BE3"/>
    <w:rsid w:val="00136135"/>
    <w:rsid w:val="0013621F"/>
    <w:rsid w:val="00136A3B"/>
    <w:rsid w:val="00136A9E"/>
    <w:rsid w:val="00136BB9"/>
    <w:rsid w:val="00136F17"/>
    <w:rsid w:val="00136F91"/>
    <w:rsid w:val="00137324"/>
    <w:rsid w:val="00137332"/>
    <w:rsid w:val="001373EE"/>
    <w:rsid w:val="00137554"/>
    <w:rsid w:val="00137C29"/>
    <w:rsid w:val="00137ECB"/>
    <w:rsid w:val="00140035"/>
    <w:rsid w:val="00140285"/>
    <w:rsid w:val="0014033E"/>
    <w:rsid w:val="00140617"/>
    <w:rsid w:val="00140CF4"/>
    <w:rsid w:val="00140F20"/>
    <w:rsid w:val="00141089"/>
    <w:rsid w:val="00141392"/>
    <w:rsid w:val="00141409"/>
    <w:rsid w:val="00141D22"/>
    <w:rsid w:val="001423B8"/>
    <w:rsid w:val="001423CC"/>
    <w:rsid w:val="001423F2"/>
    <w:rsid w:val="00142450"/>
    <w:rsid w:val="00142503"/>
    <w:rsid w:val="00142526"/>
    <w:rsid w:val="001426D9"/>
    <w:rsid w:val="00142A45"/>
    <w:rsid w:val="00142ABA"/>
    <w:rsid w:val="00142B07"/>
    <w:rsid w:val="00142B37"/>
    <w:rsid w:val="001433A8"/>
    <w:rsid w:val="00143418"/>
    <w:rsid w:val="00143607"/>
    <w:rsid w:val="001439DF"/>
    <w:rsid w:val="00143ADA"/>
    <w:rsid w:val="00143B05"/>
    <w:rsid w:val="0014406D"/>
    <w:rsid w:val="0014427B"/>
    <w:rsid w:val="001444CA"/>
    <w:rsid w:val="001444CD"/>
    <w:rsid w:val="001446C3"/>
    <w:rsid w:val="001449E5"/>
    <w:rsid w:val="001450B1"/>
    <w:rsid w:val="00145223"/>
    <w:rsid w:val="001453A6"/>
    <w:rsid w:val="0014557A"/>
    <w:rsid w:val="001457B0"/>
    <w:rsid w:val="00145805"/>
    <w:rsid w:val="00145BA3"/>
    <w:rsid w:val="00145C14"/>
    <w:rsid w:val="0014611C"/>
    <w:rsid w:val="00146286"/>
    <w:rsid w:val="001464E0"/>
    <w:rsid w:val="001467D6"/>
    <w:rsid w:val="00146D75"/>
    <w:rsid w:val="00147536"/>
    <w:rsid w:val="00147676"/>
    <w:rsid w:val="0014768A"/>
    <w:rsid w:val="0014785F"/>
    <w:rsid w:val="001478F6"/>
    <w:rsid w:val="00147987"/>
    <w:rsid w:val="001500ED"/>
    <w:rsid w:val="001501A2"/>
    <w:rsid w:val="00150412"/>
    <w:rsid w:val="00150679"/>
    <w:rsid w:val="00150743"/>
    <w:rsid w:val="00150AB0"/>
    <w:rsid w:val="00150C87"/>
    <w:rsid w:val="00150F11"/>
    <w:rsid w:val="0015104D"/>
    <w:rsid w:val="001511BB"/>
    <w:rsid w:val="00151318"/>
    <w:rsid w:val="0015169C"/>
    <w:rsid w:val="00151C3C"/>
    <w:rsid w:val="00151CDE"/>
    <w:rsid w:val="00151EAF"/>
    <w:rsid w:val="00151F45"/>
    <w:rsid w:val="0015215E"/>
    <w:rsid w:val="00152CA1"/>
    <w:rsid w:val="00152F14"/>
    <w:rsid w:val="0015321F"/>
    <w:rsid w:val="001532E7"/>
    <w:rsid w:val="0015337E"/>
    <w:rsid w:val="0015344C"/>
    <w:rsid w:val="00153AA7"/>
    <w:rsid w:val="001540C3"/>
    <w:rsid w:val="0015414B"/>
    <w:rsid w:val="001541B7"/>
    <w:rsid w:val="0015453A"/>
    <w:rsid w:val="0015460D"/>
    <w:rsid w:val="001548F1"/>
    <w:rsid w:val="0015495F"/>
    <w:rsid w:val="0015539C"/>
    <w:rsid w:val="001554FC"/>
    <w:rsid w:val="00155AA8"/>
    <w:rsid w:val="00155F24"/>
    <w:rsid w:val="00155FBF"/>
    <w:rsid w:val="001560F7"/>
    <w:rsid w:val="00156435"/>
    <w:rsid w:val="00156775"/>
    <w:rsid w:val="00156999"/>
    <w:rsid w:val="00156B83"/>
    <w:rsid w:val="00156C44"/>
    <w:rsid w:val="00156E11"/>
    <w:rsid w:val="00156EF4"/>
    <w:rsid w:val="0015755C"/>
    <w:rsid w:val="0016028F"/>
    <w:rsid w:val="0016035E"/>
    <w:rsid w:val="001604E5"/>
    <w:rsid w:val="00160634"/>
    <w:rsid w:val="00160E9C"/>
    <w:rsid w:val="001610FB"/>
    <w:rsid w:val="0016129E"/>
    <w:rsid w:val="00161390"/>
    <w:rsid w:val="001613B2"/>
    <w:rsid w:val="0016143D"/>
    <w:rsid w:val="001619D5"/>
    <w:rsid w:val="00161A38"/>
    <w:rsid w:val="00161BA5"/>
    <w:rsid w:val="00161BC5"/>
    <w:rsid w:val="00161EE0"/>
    <w:rsid w:val="001620B7"/>
    <w:rsid w:val="001620DD"/>
    <w:rsid w:val="00162135"/>
    <w:rsid w:val="00162409"/>
    <w:rsid w:val="0016240B"/>
    <w:rsid w:val="00162433"/>
    <w:rsid w:val="001627F0"/>
    <w:rsid w:val="0016288B"/>
    <w:rsid w:val="00162D7A"/>
    <w:rsid w:val="00162E85"/>
    <w:rsid w:val="001636D8"/>
    <w:rsid w:val="001636E8"/>
    <w:rsid w:val="00163778"/>
    <w:rsid w:val="0016400C"/>
    <w:rsid w:val="00164156"/>
    <w:rsid w:val="00164175"/>
    <w:rsid w:val="001645B7"/>
    <w:rsid w:val="00164AC6"/>
    <w:rsid w:val="00164AD1"/>
    <w:rsid w:val="001650B6"/>
    <w:rsid w:val="0016548B"/>
    <w:rsid w:val="001654C3"/>
    <w:rsid w:val="00165799"/>
    <w:rsid w:val="00165E5C"/>
    <w:rsid w:val="00166447"/>
    <w:rsid w:val="001667E3"/>
    <w:rsid w:val="00166AD4"/>
    <w:rsid w:val="00166D52"/>
    <w:rsid w:val="00167091"/>
    <w:rsid w:val="00167185"/>
    <w:rsid w:val="0016740E"/>
    <w:rsid w:val="0016782F"/>
    <w:rsid w:val="001678A6"/>
    <w:rsid w:val="00167AD8"/>
    <w:rsid w:val="00167B99"/>
    <w:rsid w:val="00170906"/>
    <w:rsid w:val="00170F94"/>
    <w:rsid w:val="00170FF0"/>
    <w:rsid w:val="00171479"/>
    <w:rsid w:val="001715E8"/>
    <w:rsid w:val="001717D0"/>
    <w:rsid w:val="00171951"/>
    <w:rsid w:val="00171B91"/>
    <w:rsid w:val="00171C2B"/>
    <w:rsid w:val="00171CAE"/>
    <w:rsid w:val="00171D8B"/>
    <w:rsid w:val="001722B1"/>
    <w:rsid w:val="0017248B"/>
    <w:rsid w:val="001724F0"/>
    <w:rsid w:val="00172905"/>
    <w:rsid w:val="001735AE"/>
    <w:rsid w:val="001745C7"/>
    <w:rsid w:val="00174682"/>
    <w:rsid w:val="00174868"/>
    <w:rsid w:val="00174BB4"/>
    <w:rsid w:val="00174BFA"/>
    <w:rsid w:val="00174EF6"/>
    <w:rsid w:val="001752B8"/>
    <w:rsid w:val="00175747"/>
    <w:rsid w:val="001757BE"/>
    <w:rsid w:val="00175981"/>
    <w:rsid w:val="00175B2A"/>
    <w:rsid w:val="00175C01"/>
    <w:rsid w:val="00175C05"/>
    <w:rsid w:val="00175E57"/>
    <w:rsid w:val="00176101"/>
    <w:rsid w:val="00176561"/>
    <w:rsid w:val="001765A1"/>
    <w:rsid w:val="001765D4"/>
    <w:rsid w:val="00176A29"/>
    <w:rsid w:val="00177B4B"/>
    <w:rsid w:val="00177FDF"/>
    <w:rsid w:val="0018000D"/>
    <w:rsid w:val="001803D1"/>
    <w:rsid w:val="001805E2"/>
    <w:rsid w:val="00180F30"/>
    <w:rsid w:val="00180FC6"/>
    <w:rsid w:val="00181026"/>
    <w:rsid w:val="001815CF"/>
    <w:rsid w:val="00181AE7"/>
    <w:rsid w:val="00182079"/>
    <w:rsid w:val="00182368"/>
    <w:rsid w:val="00182990"/>
    <w:rsid w:val="00182998"/>
    <w:rsid w:val="00182A9B"/>
    <w:rsid w:val="00182C13"/>
    <w:rsid w:val="001833D0"/>
    <w:rsid w:val="00183501"/>
    <w:rsid w:val="0018366C"/>
    <w:rsid w:val="001837B3"/>
    <w:rsid w:val="00183833"/>
    <w:rsid w:val="00183A29"/>
    <w:rsid w:val="001842E2"/>
    <w:rsid w:val="001843D6"/>
    <w:rsid w:val="001845D2"/>
    <w:rsid w:val="00184AB3"/>
    <w:rsid w:val="00184E9F"/>
    <w:rsid w:val="00184EFD"/>
    <w:rsid w:val="00184F3A"/>
    <w:rsid w:val="00185987"/>
    <w:rsid w:val="00186088"/>
    <w:rsid w:val="00186F1B"/>
    <w:rsid w:val="001870AA"/>
    <w:rsid w:val="0018716F"/>
    <w:rsid w:val="00187333"/>
    <w:rsid w:val="00187487"/>
    <w:rsid w:val="001877EA"/>
    <w:rsid w:val="001900C7"/>
    <w:rsid w:val="001901E3"/>
    <w:rsid w:val="0019088E"/>
    <w:rsid w:val="00190A41"/>
    <w:rsid w:val="00190D9C"/>
    <w:rsid w:val="00190E7B"/>
    <w:rsid w:val="00191434"/>
    <w:rsid w:val="0019153A"/>
    <w:rsid w:val="001915FB"/>
    <w:rsid w:val="00191AB5"/>
    <w:rsid w:val="00191B21"/>
    <w:rsid w:val="00191B2E"/>
    <w:rsid w:val="00192062"/>
    <w:rsid w:val="00192081"/>
    <w:rsid w:val="00192128"/>
    <w:rsid w:val="00192150"/>
    <w:rsid w:val="00192428"/>
    <w:rsid w:val="0019250C"/>
    <w:rsid w:val="00192633"/>
    <w:rsid w:val="00192A24"/>
    <w:rsid w:val="0019345B"/>
    <w:rsid w:val="00193509"/>
    <w:rsid w:val="00193658"/>
    <w:rsid w:val="0019375F"/>
    <w:rsid w:val="00193A1E"/>
    <w:rsid w:val="00193D95"/>
    <w:rsid w:val="00193F5C"/>
    <w:rsid w:val="001942E0"/>
    <w:rsid w:val="0019432B"/>
    <w:rsid w:val="001946B6"/>
    <w:rsid w:val="00194B96"/>
    <w:rsid w:val="0019503D"/>
    <w:rsid w:val="00195363"/>
    <w:rsid w:val="001953B3"/>
    <w:rsid w:val="00195565"/>
    <w:rsid w:val="001959FF"/>
    <w:rsid w:val="001965B5"/>
    <w:rsid w:val="00196AC1"/>
    <w:rsid w:val="00196FFC"/>
    <w:rsid w:val="0019707A"/>
    <w:rsid w:val="001973F1"/>
    <w:rsid w:val="0019774B"/>
    <w:rsid w:val="00197F3F"/>
    <w:rsid w:val="00197FBB"/>
    <w:rsid w:val="001A0E20"/>
    <w:rsid w:val="001A10A3"/>
    <w:rsid w:val="001A1933"/>
    <w:rsid w:val="001A1951"/>
    <w:rsid w:val="001A1A30"/>
    <w:rsid w:val="001A1CD6"/>
    <w:rsid w:val="001A1D7C"/>
    <w:rsid w:val="001A2060"/>
    <w:rsid w:val="001A20EA"/>
    <w:rsid w:val="001A2437"/>
    <w:rsid w:val="001A2623"/>
    <w:rsid w:val="001A296F"/>
    <w:rsid w:val="001A3256"/>
    <w:rsid w:val="001A330B"/>
    <w:rsid w:val="001A3697"/>
    <w:rsid w:val="001A36C4"/>
    <w:rsid w:val="001A37BB"/>
    <w:rsid w:val="001A3B6F"/>
    <w:rsid w:val="001A3DA9"/>
    <w:rsid w:val="001A3F18"/>
    <w:rsid w:val="001A3FE1"/>
    <w:rsid w:val="001A41EF"/>
    <w:rsid w:val="001A485A"/>
    <w:rsid w:val="001A4AB2"/>
    <w:rsid w:val="001A4D17"/>
    <w:rsid w:val="001A4DCC"/>
    <w:rsid w:val="001A4F4E"/>
    <w:rsid w:val="001A5051"/>
    <w:rsid w:val="001A5100"/>
    <w:rsid w:val="001A55B8"/>
    <w:rsid w:val="001A5A5E"/>
    <w:rsid w:val="001A5BFA"/>
    <w:rsid w:val="001A6103"/>
    <w:rsid w:val="001A6110"/>
    <w:rsid w:val="001A665A"/>
    <w:rsid w:val="001A6ABB"/>
    <w:rsid w:val="001A6B36"/>
    <w:rsid w:val="001A6BB7"/>
    <w:rsid w:val="001A7D79"/>
    <w:rsid w:val="001A7DCF"/>
    <w:rsid w:val="001A7F26"/>
    <w:rsid w:val="001B0101"/>
    <w:rsid w:val="001B045A"/>
    <w:rsid w:val="001B0549"/>
    <w:rsid w:val="001B072F"/>
    <w:rsid w:val="001B094D"/>
    <w:rsid w:val="001B0EA1"/>
    <w:rsid w:val="001B10D1"/>
    <w:rsid w:val="001B1181"/>
    <w:rsid w:val="001B11B4"/>
    <w:rsid w:val="001B11B7"/>
    <w:rsid w:val="001B12A1"/>
    <w:rsid w:val="001B1664"/>
    <w:rsid w:val="001B16BC"/>
    <w:rsid w:val="001B1A32"/>
    <w:rsid w:val="001B1B93"/>
    <w:rsid w:val="001B244D"/>
    <w:rsid w:val="001B24BD"/>
    <w:rsid w:val="001B2EAA"/>
    <w:rsid w:val="001B3038"/>
    <w:rsid w:val="001B32EB"/>
    <w:rsid w:val="001B3B25"/>
    <w:rsid w:val="001B3F05"/>
    <w:rsid w:val="001B41C3"/>
    <w:rsid w:val="001B423F"/>
    <w:rsid w:val="001B4375"/>
    <w:rsid w:val="001B4B28"/>
    <w:rsid w:val="001B4C2B"/>
    <w:rsid w:val="001B4E09"/>
    <w:rsid w:val="001B515A"/>
    <w:rsid w:val="001B5191"/>
    <w:rsid w:val="001B5236"/>
    <w:rsid w:val="001B52B9"/>
    <w:rsid w:val="001B57A3"/>
    <w:rsid w:val="001B57DE"/>
    <w:rsid w:val="001B5895"/>
    <w:rsid w:val="001B5A39"/>
    <w:rsid w:val="001B5A5D"/>
    <w:rsid w:val="001B5A8D"/>
    <w:rsid w:val="001B5E85"/>
    <w:rsid w:val="001B5E95"/>
    <w:rsid w:val="001B626A"/>
    <w:rsid w:val="001B6291"/>
    <w:rsid w:val="001B62E6"/>
    <w:rsid w:val="001B6385"/>
    <w:rsid w:val="001B64A6"/>
    <w:rsid w:val="001B72BF"/>
    <w:rsid w:val="001B759B"/>
    <w:rsid w:val="001B765E"/>
    <w:rsid w:val="001B76B9"/>
    <w:rsid w:val="001B76D0"/>
    <w:rsid w:val="001B7954"/>
    <w:rsid w:val="001B7C16"/>
    <w:rsid w:val="001B7EB4"/>
    <w:rsid w:val="001B7FF9"/>
    <w:rsid w:val="001C0035"/>
    <w:rsid w:val="001C066E"/>
    <w:rsid w:val="001C09AD"/>
    <w:rsid w:val="001C09FF"/>
    <w:rsid w:val="001C0F5E"/>
    <w:rsid w:val="001C11C7"/>
    <w:rsid w:val="001C1662"/>
    <w:rsid w:val="001C1780"/>
    <w:rsid w:val="001C17D4"/>
    <w:rsid w:val="001C1B5E"/>
    <w:rsid w:val="001C1E93"/>
    <w:rsid w:val="001C1ED7"/>
    <w:rsid w:val="001C1FFB"/>
    <w:rsid w:val="001C2414"/>
    <w:rsid w:val="001C26EA"/>
    <w:rsid w:val="001C27E3"/>
    <w:rsid w:val="001C295D"/>
    <w:rsid w:val="001C29E5"/>
    <w:rsid w:val="001C2BE3"/>
    <w:rsid w:val="001C2DC2"/>
    <w:rsid w:val="001C2FAF"/>
    <w:rsid w:val="001C3069"/>
    <w:rsid w:val="001C33DD"/>
    <w:rsid w:val="001C3629"/>
    <w:rsid w:val="001C36EF"/>
    <w:rsid w:val="001C3895"/>
    <w:rsid w:val="001C3A8D"/>
    <w:rsid w:val="001C3AF7"/>
    <w:rsid w:val="001C3D41"/>
    <w:rsid w:val="001C3EE5"/>
    <w:rsid w:val="001C3FA2"/>
    <w:rsid w:val="001C437F"/>
    <w:rsid w:val="001C48B3"/>
    <w:rsid w:val="001C4922"/>
    <w:rsid w:val="001C4BF2"/>
    <w:rsid w:val="001C4C68"/>
    <w:rsid w:val="001C4CCB"/>
    <w:rsid w:val="001C4CD2"/>
    <w:rsid w:val="001C4D64"/>
    <w:rsid w:val="001C4F6F"/>
    <w:rsid w:val="001C4F75"/>
    <w:rsid w:val="001C51AB"/>
    <w:rsid w:val="001C525D"/>
    <w:rsid w:val="001C52DC"/>
    <w:rsid w:val="001C5810"/>
    <w:rsid w:val="001C5B68"/>
    <w:rsid w:val="001C5CC1"/>
    <w:rsid w:val="001C5CE8"/>
    <w:rsid w:val="001C5F44"/>
    <w:rsid w:val="001C62E6"/>
    <w:rsid w:val="001C67AA"/>
    <w:rsid w:val="001C6A11"/>
    <w:rsid w:val="001C7056"/>
    <w:rsid w:val="001C72A4"/>
    <w:rsid w:val="001C74D9"/>
    <w:rsid w:val="001C7536"/>
    <w:rsid w:val="001C75A0"/>
    <w:rsid w:val="001C7830"/>
    <w:rsid w:val="001C7B28"/>
    <w:rsid w:val="001C7C71"/>
    <w:rsid w:val="001D03D0"/>
    <w:rsid w:val="001D0479"/>
    <w:rsid w:val="001D07D2"/>
    <w:rsid w:val="001D0AE2"/>
    <w:rsid w:val="001D0EEE"/>
    <w:rsid w:val="001D11FE"/>
    <w:rsid w:val="001D128E"/>
    <w:rsid w:val="001D1409"/>
    <w:rsid w:val="001D1C84"/>
    <w:rsid w:val="001D1EA6"/>
    <w:rsid w:val="001D1EA8"/>
    <w:rsid w:val="001D2041"/>
    <w:rsid w:val="001D2377"/>
    <w:rsid w:val="001D2555"/>
    <w:rsid w:val="001D27BF"/>
    <w:rsid w:val="001D2D0D"/>
    <w:rsid w:val="001D2E5A"/>
    <w:rsid w:val="001D353D"/>
    <w:rsid w:val="001D363E"/>
    <w:rsid w:val="001D386A"/>
    <w:rsid w:val="001D38FA"/>
    <w:rsid w:val="001D3FFB"/>
    <w:rsid w:val="001D462E"/>
    <w:rsid w:val="001D4942"/>
    <w:rsid w:val="001D4B6B"/>
    <w:rsid w:val="001D4E75"/>
    <w:rsid w:val="001D4FC1"/>
    <w:rsid w:val="001D5C3B"/>
    <w:rsid w:val="001D6003"/>
    <w:rsid w:val="001D64DA"/>
    <w:rsid w:val="001D6621"/>
    <w:rsid w:val="001D67C6"/>
    <w:rsid w:val="001D688A"/>
    <w:rsid w:val="001D6996"/>
    <w:rsid w:val="001D6A18"/>
    <w:rsid w:val="001D6A4A"/>
    <w:rsid w:val="001D6AEA"/>
    <w:rsid w:val="001D6AF0"/>
    <w:rsid w:val="001D6E8A"/>
    <w:rsid w:val="001D70D3"/>
    <w:rsid w:val="001D77BA"/>
    <w:rsid w:val="001D7B4C"/>
    <w:rsid w:val="001E0074"/>
    <w:rsid w:val="001E024F"/>
    <w:rsid w:val="001E03B9"/>
    <w:rsid w:val="001E03FB"/>
    <w:rsid w:val="001E04CA"/>
    <w:rsid w:val="001E055C"/>
    <w:rsid w:val="001E05A3"/>
    <w:rsid w:val="001E0739"/>
    <w:rsid w:val="001E0C08"/>
    <w:rsid w:val="001E0DCA"/>
    <w:rsid w:val="001E0E95"/>
    <w:rsid w:val="001E0EB4"/>
    <w:rsid w:val="001E11C9"/>
    <w:rsid w:val="001E1478"/>
    <w:rsid w:val="001E18BF"/>
    <w:rsid w:val="001E1A01"/>
    <w:rsid w:val="001E1C43"/>
    <w:rsid w:val="001E1D39"/>
    <w:rsid w:val="001E1EB9"/>
    <w:rsid w:val="001E1FDB"/>
    <w:rsid w:val="001E22E8"/>
    <w:rsid w:val="001E2459"/>
    <w:rsid w:val="001E245C"/>
    <w:rsid w:val="001E2ACA"/>
    <w:rsid w:val="001E2CC8"/>
    <w:rsid w:val="001E3157"/>
    <w:rsid w:val="001E31EC"/>
    <w:rsid w:val="001E3458"/>
    <w:rsid w:val="001E372F"/>
    <w:rsid w:val="001E3935"/>
    <w:rsid w:val="001E3C9C"/>
    <w:rsid w:val="001E3D9B"/>
    <w:rsid w:val="001E3E44"/>
    <w:rsid w:val="001E410B"/>
    <w:rsid w:val="001E4479"/>
    <w:rsid w:val="001E4583"/>
    <w:rsid w:val="001E4687"/>
    <w:rsid w:val="001E4697"/>
    <w:rsid w:val="001E4A5D"/>
    <w:rsid w:val="001E51C4"/>
    <w:rsid w:val="001E543C"/>
    <w:rsid w:val="001E588A"/>
    <w:rsid w:val="001E5AE1"/>
    <w:rsid w:val="001E5E86"/>
    <w:rsid w:val="001E6191"/>
    <w:rsid w:val="001E6222"/>
    <w:rsid w:val="001E663F"/>
    <w:rsid w:val="001E6715"/>
    <w:rsid w:val="001E6A76"/>
    <w:rsid w:val="001E6AF1"/>
    <w:rsid w:val="001E6C0D"/>
    <w:rsid w:val="001E71AD"/>
    <w:rsid w:val="001E74F4"/>
    <w:rsid w:val="001E756A"/>
    <w:rsid w:val="001E765A"/>
    <w:rsid w:val="001E775C"/>
    <w:rsid w:val="001E783F"/>
    <w:rsid w:val="001E7D72"/>
    <w:rsid w:val="001F023B"/>
    <w:rsid w:val="001F05BC"/>
    <w:rsid w:val="001F0705"/>
    <w:rsid w:val="001F07C6"/>
    <w:rsid w:val="001F0E19"/>
    <w:rsid w:val="001F0EE7"/>
    <w:rsid w:val="001F0F38"/>
    <w:rsid w:val="001F1198"/>
    <w:rsid w:val="001F11E6"/>
    <w:rsid w:val="001F1256"/>
    <w:rsid w:val="001F13BA"/>
    <w:rsid w:val="001F152D"/>
    <w:rsid w:val="001F1AB5"/>
    <w:rsid w:val="001F1CB0"/>
    <w:rsid w:val="001F210C"/>
    <w:rsid w:val="001F250A"/>
    <w:rsid w:val="001F29BC"/>
    <w:rsid w:val="001F2AED"/>
    <w:rsid w:val="001F2E01"/>
    <w:rsid w:val="001F2E88"/>
    <w:rsid w:val="001F30CB"/>
    <w:rsid w:val="001F39F5"/>
    <w:rsid w:val="001F3CE1"/>
    <w:rsid w:val="001F4061"/>
    <w:rsid w:val="001F4412"/>
    <w:rsid w:val="001F462F"/>
    <w:rsid w:val="001F4AF1"/>
    <w:rsid w:val="001F4BF2"/>
    <w:rsid w:val="001F4D41"/>
    <w:rsid w:val="001F4E16"/>
    <w:rsid w:val="001F5004"/>
    <w:rsid w:val="001F5646"/>
    <w:rsid w:val="001F59E3"/>
    <w:rsid w:val="001F5A16"/>
    <w:rsid w:val="001F5A4C"/>
    <w:rsid w:val="001F5E58"/>
    <w:rsid w:val="001F644E"/>
    <w:rsid w:val="001F6453"/>
    <w:rsid w:val="001F6545"/>
    <w:rsid w:val="001F683B"/>
    <w:rsid w:val="001F7088"/>
    <w:rsid w:val="001F70F1"/>
    <w:rsid w:val="001F721E"/>
    <w:rsid w:val="001F7353"/>
    <w:rsid w:val="001F77FD"/>
    <w:rsid w:val="001F7CF7"/>
    <w:rsid w:val="001F7F7C"/>
    <w:rsid w:val="0020007D"/>
    <w:rsid w:val="002000E9"/>
    <w:rsid w:val="00200207"/>
    <w:rsid w:val="00200242"/>
    <w:rsid w:val="00200671"/>
    <w:rsid w:val="00200774"/>
    <w:rsid w:val="00200BF9"/>
    <w:rsid w:val="00200FC4"/>
    <w:rsid w:val="002012BE"/>
    <w:rsid w:val="002016B8"/>
    <w:rsid w:val="002019AB"/>
    <w:rsid w:val="00201C62"/>
    <w:rsid w:val="00201CD3"/>
    <w:rsid w:val="00201EAE"/>
    <w:rsid w:val="00201F6B"/>
    <w:rsid w:val="00202681"/>
    <w:rsid w:val="00202AAD"/>
    <w:rsid w:val="00202B86"/>
    <w:rsid w:val="00202BB9"/>
    <w:rsid w:val="00203318"/>
    <w:rsid w:val="00203519"/>
    <w:rsid w:val="002035D6"/>
    <w:rsid w:val="0020363E"/>
    <w:rsid w:val="002037FD"/>
    <w:rsid w:val="002038F8"/>
    <w:rsid w:val="00203D4C"/>
    <w:rsid w:val="00204548"/>
    <w:rsid w:val="00204659"/>
    <w:rsid w:val="00204811"/>
    <w:rsid w:val="0020495B"/>
    <w:rsid w:val="00204BA0"/>
    <w:rsid w:val="00204F04"/>
    <w:rsid w:val="002052EC"/>
    <w:rsid w:val="00205312"/>
    <w:rsid w:val="00205A96"/>
    <w:rsid w:val="00205DD4"/>
    <w:rsid w:val="00205FC9"/>
    <w:rsid w:val="0020609D"/>
    <w:rsid w:val="00206F11"/>
    <w:rsid w:val="00206FEB"/>
    <w:rsid w:val="002074A2"/>
    <w:rsid w:val="00207B52"/>
    <w:rsid w:val="002104D8"/>
    <w:rsid w:val="0021054B"/>
    <w:rsid w:val="00210832"/>
    <w:rsid w:val="00210E5C"/>
    <w:rsid w:val="00210FCE"/>
    <w:rsid w:val="00210FDA"/>
    <w:rsid w:val="00211010"/>
    <w:rsid w:val="0021108C"/>
    <w:rsid w:val="0021108F"/>
    <w:rsid w:val="002110F0"/>
    <w:rsid w:val="0021122E"/>
    <w:rsid w:val="002112AF"/>
    <w:rsid w:val="002114EA"/>
    <w:rsid w:val="00211545"/>
    <w:rsid w:val="00211806"/>
    <w:rsid w:val="00211830"/>
    <w:rsid w:val="00211DB5"/>
    <w:rsid w:val="00212507"/>
    <w:rsid w:val="0021255E"/>
    <w:rsid w:val="00212627"/>
    <w:rsid w:val="0021298A"/>
    <w:rsid w:val="00212C32"/>
    <w:rsid w:val="002131DD"/>
    <w:rsid w:val="00213222"/>
    <w:rsid w:val="00213296"/>
    <w:rsid w:val="00213BC7"/>
    <w:rsid w:val="00213DD8"/>
    <w:rsid w:val="002141C8"/>
    <w:rsid w:val="002141E6"/>
    <w:rsid w:val="002144A7"/>
    <w:rsid w:val="002146C0"/>
    <w:rsid w:val="002147C2"/>
    <w:rsid w:val="0021487C"/>
    <w:rsid w:val="0021493F"/>
    <w:rsid w:val="00215063"/>
    <w:rsid w:val="002150AB"/>
    <w:rsid w:val="00215145"/>
    <w:rsid w:val="0021543A"/>
    <w:rsid w:val="002155ED"/>
    <w:rsid w:val="002156D7"/>
    <w:rsid w:val="00215AB3"/>
    <w:rsid w:val="00215FAB"/>
    <w:rsid w:val="0021605D"/>
    <w:rsid w:val="002161F8"/>
    <w:rsid w:val="00216213"/>
    <w:rsid w:val="0021636B"/>
    <w:rsid w:val="00216405"/>
    <w:rsid w:val="00216484"/>
    <w:rsid w:val="00216706"/>
    <w:rsid w:val="002169C3"/>
    <w:rsid w:val="00216A1C"/>
    <w:rsid w:val="00216DB0"/>
    <w:rsid w:val="0021701B"/>
    <w:rsid w:val="00217063"/>
    <w:rsid w:val="00217155"/>
    <w:rsid w:val="002172BD"/>
    <w:rsid w:val="002177CC"/>
    <w:rsid w:val="00217948"/>
    <w:rsid w:val="00220325"/>
    <w:rsid w:val="0022049D"/>
    <w:rsid w:val="0022065D"/>
    <w:rsid w:val="00220757"/>
    <w:rsid w:val="002208E4"/>
    <w:rsid w:val="00220B38"/>
    <w:rsid w:val="00220B4E"/>
    <w:rsid w:val="00220DC3"/>
    <w:rsid w:val="002211D7"/>
    <w:rsid w:val="0022137F"/>
    <w:rsid w:val="002214D6"/>
    <w:rsid w:val="0022153C"/>
    <w:rsid w:val="002216EC"/>
    <w:rsid w:val="0022176F"/>
    <w:rsid w:val="00221976"/>
    <w:rsid w:val="002219D1"/>
    <w:rsid w:val="002224CB"/>
    <w:rsid w:val="002225A3"/>
    <w:rsid w:val="0022260E"/>
    <w:rsid w:val="00222685"/>
    <w:rsid w:val="002227A5"/>
    <w:rsid w:val="00222846"/>
    <w:rsid w:val="0022295D"/>
    <w:rsid w:val="00222B11"/>
    <w:rsid w:val="00222BE0"/>
    <w:rsid w:val="00222F87"/>
    <w:rsid w:val="002232DB"/>
    <w:rsid w:val="002234E8"/>
    <w:rsid w:val="002234FC"/>
    <w:rsid w:val="00223948"/>
    <w:rsid w:val="00223C20"/>
    <w:rsid w:val="00223D68"/>
    <w:rsid w:val="00224274"/>
    <w:rsid w:val="002247CE"/>
    <w:rsid w:val="00224C8C"/>
    <w:rsid w:val="0022506C"/>
    <w:rsid w:val="002258BD"/>
    <w:rsid w:val="002261E5"/>
    <w:rsid w:val="002263A9"/>
    <w:rsid w:val="00226627"/>
    <w:rsid w:val="00226CEC"/>
    <w:rsid w:val="00227076"/>
    <w:rsid w:val="00227174"/>
    <w:rsid w:val="00227279"/>
    <w:rsid w:val="002272E5"/>
    <w:rsid w:val="002279B3"/>
    <w:rsid w:val="002300F3"/>
    <w:rsid w:val="002302A6"/>
    <w:rsid w:val="0023033F"/>
    <w:rsid w:val="00230772"/>
    <w:rsid w:val="00230792"/>
    <w:rsid w:val="0023082F"/>
    <w:rsid w:val="00230A37"/>
    <w:rsid w:val="00230FE1"/>
    <w:rsid w:val="002312D0"/>
    <w:rsid w:val="00231407"/>
    <w:rsid w:val="00231420"/>
    <w:rsid w:val="00231CA4"/>
    <w:rsid w:val="00231F25"/>
    <w:rsid w:val="00231F38"/>
    <w:rsid w:val="002323C1"/>
    <w:rsid w:val="00232F26"/>
    <w:rsid w:val="002330C0"/>
    <w:rsid w:val="0023345D"/>
    <w:rsid w:val="00233526"/>
    <w:rsid w:val="00233BAA"/>
    <w:rsid w:val="00233BCE"/>
    <w:rsid w:val="00233BE5"/>
    <w:rsid w:val="00233CB7"/>
    <w:rsid w:val="00233CF9"/>
    <w:rsid w:val="0023408D"/>
    <w:rsid w:val="002340BF"/>
    <w:rsid w:val="002341D6"/>
    <w:rsid w:val="0023462C"/>
    <w:rsid w:val="00234A4E"/>
    <w:rsid w:val="00234DA4"/>
    <w:rsid w:val="0023510F"/>
    <w:rsid w:val="002353F6"/>
    <w:rsid w:val="002355A4"/>
    <w:rsid w:val="002355F4"/>
    <w:rsid w:val="002359D8"/>
    <w:rsid w:val="00235A4F"/>
    <w:rsid w:val="00235A90"/>
    <w:rsid w:val="00235B6A"/>
    <w:rsid w:val="00235D1F"/>
    <w:rsid w:val="00235E97"/>
    <w:rsid w:val="0023613E"/>
    <w:rsid w:val="0023636C"/>
    <w:rsid w:val="0023638F"/>
    <w:rsid w:val="002364C7"/>
    <w:rsid w:val="002366B2"/>
    <w:rsid w:val="002369BF"/>
    <w:rsid w:val="00236AE5"/>
    <w:rsid w:val="00237029"/>
    <w:rsid w:val="0023731A"/>
    <w:rsid w:val="002377C5"/>
    <w:rsid w:val="002377E9"/>
    <w:rsid w:val="00237D13"/>
    <w:rsid w:val="00240532"/>
    <w:rsid w:val="00240C37"/>
    <w:rsid w:val="00240D7B"/>
    <w:rsid w:val="00240F8B"/>
    <w:rsid w:val="00241040"/>
    <w:rsid w:val="00241384"/>
    <w:rsid w:val="00241820"/>
    <w:rsid w:val="00241A47"/>
    <w:rsid w:val="00241B73"/>
    <w:rsid w:val="00241B85"/>
    <w:rsid w:val="00241C08"/>
    <w:rsid w:val="00241D1E"/>
    <w:rsid w:val="002420D2"/>
    <w:rsid w:val="00242588"/>
    <w:rsid w:val="00242A7C"/>
    <w:rsid w:val="00242D87"/>
    <w:rsid w:val="00243271"/>
    <w:rsid w:val="00243865"/>
    <w:rsid w:val="0024389A"/>
    <w:rsid w:val="00243C6C"/>
    <w:rsid w:val="00243C82"/>
    <w:rsid w:val="00243CFA"/>
    <w:rsid w:val="00243D4E"/>
    <w:rsid w:val="00243DF7"/>
    <w:rsid w:val="00244504"/>
    <w:rsid w:val="002445AB"/>
    <w:rsid w:val="002446A5"/>
    <w:rsid w:val="00244915"/>
    <w:rsid w:val="00244AC4"/>
    <w:rsid w:val="00244BD2"/>
    <w:rsid w:val="00245001"/>
    <w:rsid w:val="002452CE"/>
    <w:rsid w:val="00245656"/>
    <w:rsid w:val="00246226"/>
    <w:rsid w:val="002463A4"/>
    <w:rsid w:val="00246549"/>
    <w:rsid w:val="00246A5C"/>
    <w:rsid w:val="00246EBE"/>
    <w:rsid w:val="002474A0"/>
    <w:rsid w:val="002475C7"/>
    <w:rsid w:val="0024763D"/>
    <w:rsid w:val="0024769B"/>
    <w:rsid w:val="002477A6"/>
    <w:rsid w:val="002477D4"/>
    <w:rsid w:val="00247AF1"/>
    <w:rsid w:val="00247F35"/>
    <w:rsid w:val="00247F3F"/>
    <w:rsid w:val="0025014D"/>
    <w:rsid w:val="002502B3"/>
    <w:rsid w:val="00250542"/>
    <w:rsid w:val="00250E94"/>
    <w:rsid w:val="0025107E"/>
    <w:rsid w:val="002510E2"/>
    <w:rsid w:val="002513E8"/>
    <w:rsid w:val="00251415"/>
    <w:rsid w:val="00251CAD"/>
    <w:rsid w:val="00252116"/>
    <w:rsid w:val="0025211D"/>
    <w:rsid w:val="002528E4"/>
    <w:rsid w:val="0025292C"/>
    <w:rsid w:val="00252BDF"/>
    <w:rsid w:val="00253165"/>
    <w:rsid w:val="00253676"/>
    <w:rsid w:val="002537D6"/>
    <w:rsid w:val="002540E9"/>
    <w:rsid w:val="0025425E"/>
    <w:rsid w:val="00254661"/>
    <w:rsid w:val="0025486A"/>
    <w:rsid w:val="002549C1"/>
    <w:rsid w:val="00254D62"/>
    <w:rsid w:val="0025537E"/>
    <w:rsid w:val="0025567A"/>
    <w:rsid w:val="00255776"/>
    <w:rsid w:val="00255833"/>
    <w:rsid w:val="0025591C"/>
    <w:rsid w:val="002559A6"/>
    <w:rsid w:val="0025612C"/>
    <w:rsid w:val="0025637D"/>
    <w:rsid w:val="00256B5A"/>
    <w:rsid w:val="00257466"/>
    <w:rsid w:val="002575B6"/>
    <w:rsid w:val="00257A5B"/>
    <w:rsid w:val="00257EAA"/>
    <w:rsid w:val="00260144"/>
    <w:rsid w:val="0026023F"/>
    <w:rsid w:val="0026055F"/>
    <w:rsid w:val="00260595"/>
    <w:rsid w:val="0026062C"/>
    <w:rsid w:val="0026086D"/>
    <w:rsid w:val="00260BFE"/>
    <w:rsid w:val="00260FDA"/>
    <w:rsid w:val="0026119F"/>
    <w:rsid w:val="002612C3"/>
    <w:rsid w:val="0026177C"/>
    <w:rsid w:val="00261970"/>
    <w:rsid w:val="00261A8F"/>
    <w:rsid w:val="00261B8A"/>
    <w:rsid w:val="00261C39"/>
    <w:rsid w:val="00261F4F"/>
    <w:rsid w:val="00262040"/>
    <w:rsid w:val="00262262"/>
    <w:rsid w:val="00262435"/>
    <w:rsid w:val="002625C0"/>
    <w:rsid w:val="00262C00"/>
    <w:rsid w:val="00263422"/>
    <w:rsid w:val="002635DF"/>
    <w:rsid w:val="002636AA"/>
    <w:rsid w:val="0026389A"/>
    <w:rsid w:val="002639A1"/>
    <w:rsid w:val="00263D1A"/>
    <w:rsid w:val="002643AE"/>
    <w:rsid w:val="00264AA8"/>
    <w:rsid w:val="00264D48"/>
    <w:rsid w:val="00264E50"/>
    <w:rsid w:val="00265396"/>
    <w:rsid w:val="002653D4"/>
    <w:rsid w:val="0026576B"/>
    <w:rsid w:val="0026590B"/>
    <w:rsid w:val="00266021"/>
    <w:rsid w:val="0026608F"/>
    <w:rsid w:val="002663D0"/>
    <w:rsid w:val="002663D6"/>
    <w:rsid w:val="0026669D"/>
    <w:rsid w:val="00266A57"/>
    <w:rsid w:val="00266AA7"/>
    <w:rsid w:val="00266AE8"/>
    <w:rsid w:val="00266D23"/>
    <w:rsid w:val="00266E1A"/>
    <w:rsid w:val="00267242"/>
    <w:rsid w:val="0026727F"/>
    <w:rsid w:val="002675D4"/>
    <w:rsid w:val="00267A46"/>
    <w:rsid w:val="00267E29"/>
    <w:rsid w:val="00267F5F"/>
    <w:rsid w:val="0027063F"/>
    <w:rsid w:val="00270830"/>
    <w:rsid w:val="00270AAD"/>
    <w:rsid w:val="00270DC6"/>
    <w:rsid w:val="00270E34"/>
    <w:rsid w:val="00270E71"/>
    <w:rsid w:val="00270FB5"/>
    <w:rsid w:val="002710C2"/>
    <w:rsid w:val="002713F2"/>
    <w:rsid w:val="00272240"/>
    <w:rsid w:val="002723CF"/>
    <w:rsid w:val="00272507"/>
    <w:rsid w:val="002727F2"/>
    <w:rsid w:val="00272D55"/>
    <w:rsid w:val="002730E8"/>
    <w:rsid w:val="00273168"/>
    <w:rsid w:val="0027338A"/>
    <w:rsid w:val="002736AB"/>
    <w:rsid w:val="00273B0C"/>
    <w:rsid w:val="00273E67"/>
    <w:rsid w:val="002742B5"/>
    <w:rsid w:val="00274316"/>
    <w:rsid w:val="00275272"/>
    <w:rsid w:val="0027527A"/>
    <w:rsid w:val="00275349"/>
    <w:rsid w:val="00275691"/>
    <w:rsid w:val="002756C7"/>
    <w:rsid w:val="002759BA"/>
    <w:rsid w:val="00275D7A"/>
    <w:rsid w:val="00275EA6"/>
    <w:rsid w:val="00276230"/>
    <w:rsid w:val="002764D2"/>
    <w:rsid w:val="0027651D"/>
    <w:rsid w:val="00276B15"/>
    <w:rsid w:val="00276BC4"/>
    <w:rsid w:val="00276C6B"/>
    <w:rsid w:val="00276D8E"/>
    <w:rsid w:val="0027701B"/>
    <w:rsid w:val="00277096"/>
    <w:rsid w:val="00277B73"/>
    <w:rsid w:val="002806AA"/>
    <w:rsid w:val="00280821"/>
    <w:rsid w:val="002808F2"/>
    <w:rsid w:val="00280C27"/>
    <w:rsid w:val="00280DB3"/>
    <w:rsid w:val="00280EAC"/>
    <w:rsid w:val="00281181"/>
    <w:rsid w:val="00281340"/>
    <w:rsid w:val="0028158F"/>
    <w:rsid w:val="0028167D"/>
    <w:rsid w:val="002817C4"/>
    <w:rsid w:val="002818FB"/>
    <w:rsid w:val="00281B85"/>
    <w:rsid w:val="00281D4F"/>
    <w:rsid w:val="00281E4C"/>
    <w:rsid w:val="002822AB"/>
    <w:rsid w:val="00282467"/>
    <w:rsid w:val="0028251E"/>
    <w:rsid w:val="0028253E"/>
    <w:rsid w:val="002825DF"/>
    <w:rsid w:val="002827C2"/>
    <w:rsid w:val="00282B5F"/>
    <w:rsid w:val="00282F16"/>
    <w:rsid w:val="00283011"/>
    <w:rsid w:val="002832F1"/>
    <w:rsid w:val="002833EE"/>
    <w:rsid w:val="00283DC0"/>
    <w:rsid w:val="0028452E"/>
    <w:rsid w:val="00284926"/>
    <w:rsid w:val="00284BC5"/>
    <w:rsid w:val="002854AB"/>
    <w:rsid w:val="002854D6"/>
    <w:rsid w:val="002854FC"/>
    <w:rsid w:val="00285CEE"/>
    <w:rsid w:val="00285D33"/>
    <w:rsid w:val="00285E31"/>
    <w:rsid w:val="00285E3E"/>
    <w:rsid w:val="0028661D"/>
    <w:rsid w:val="00286D88"/>
    <w:rsid w:val="00287060"/>
    <w:rsid w:val="00287154"/>
    <w:rsid w:val="0028723C"/>
    <w:rsid w:val="00287468"/>
    <w:rsid w:val="00287694"/>
    <w:rsid w:val="0028771F"/>
    <w:rsid w:val="0028791E"/>
    <w:rsid w:val="00287948"/>
    <w:rsid w:val="00287DFA"/>
    <w:rsid w:val="00287E1A"/>
    <w:rsid w:val="00287E58"/>
    <w:rsid w:val="00290210"/>
    <w:rsid w:val="002902BE"/>
    <w:rsid w:val="002904D0"/>
    <w:rsid w:val="002908A8"/>
    <w:rsid w:val="0029092A"/>
    <w:rsid w:val="00290B1F"/>
    <w:rsid w:val="00290C9F"/>
    <w:rsid w:val="00291178"/>
    <w:rsid w:val="002914CA"/>
    <w:rsid w:val="002918D6"/>
    <w:rsid w:val="00291CD0"/>
    <w:rsid w:val="00291D62"/>
    <w:rsid w:val="00292051"/>
    <w:rsid w:val="00292427"/>
    <w:rsid w:val="00292428"/>
    <w:rsid w:val="002926ED"/>
    <w:rsid w:val="002928A0"/>
    <w:rsid w:val="00292F06"/>
    <w:rsid w:val="0029308F"/>
    <w:rsid w:val="002935EB"/>
    <w:rsid w:val="0029363F"/>
    <w:rsid w:val="002939C7"/>
    <w:rsid w:val="00293EAA"/>
    <w:rsid w:val="00294300"/>
    <w:rsid w:val="002943A3"/>
    <w:rsid w:val="00294493"/>
    <w:rsid w:val="002946B6"/>
    <w:rsid w:val="002948B9"/>
    <w:rsid w:val="00294F85"/>
    <w:rsid w:val="002950A1"/>
    <w:rsid w:val="00295272"/>
    <w:rsid w:val="002958D0"/>
    <w:rsid w:val="00295AB5"/>
    <w:rsid w:val="00295ABA"/>
    <w:rsid w:val="00295BBB"/>
    <w:rsid w:val="0029605C"/>
    <w:rsid w:val="0029615A"/>
    <w:rsid w:val="00296309"/>
    <w:rsid w:val="00296741"/>
    <w:rsid w:val="002967B2"/>
    <w:rsid w:val="00296E17"/>
    <w:rsid w:val="00297148"/>
    <w:rsid w:val="0029743B"/>
    <w:rsid w:val="00297921"/>
    <w:rsid w:val="00297A6C"/>
    <w:rsid w:val="00297EB9"/>
    <w:rsid w:val="002A0271"/>
    <w:rsid w:val="002A0624"/>
    <w:rsid w:val="002A07C3"/>
    <w:rsid w:val="002A0CD9"/>
    <w:rsid w:val="002A0D45"/>
    <w:rsid w:val="002A0E3F"/>
    <w:rsid w:val="002A19FC"/>
    <w:rsid w:val="002A1AB7"/>
    <w:rsid w:val="002A1E38"/>
    <w:rsid w:val="002A27D0"/>
    <w:rsid w:val="002A2A63"/>
    <w:rsid w:val="002A2DDA"/>
    <w:rsid w:val="002A3104"/>
    <w:rsid w:val="002A32FC"/>
    <w:rsid w:val="002A33F6"/>
    <w:rsid w:val="002A34A3"/>
    <w:rsid w:val="002A37DA"/>
    <w:rsid w:val="002A3EF8"/>
    <w:rsid w:val="002A42F0"/>
    <w:rsid w:val="002A4325"/>
    <w:rsid w:val="002A491D"/>
    <w:rsid w:val="002A494B"/>
    <w:rsid w:val="002A4E43"/>
    <w:rsid w:val="002A4F0B"/>
    <w:rsid w:val="002A5051"/>
    <w:rsid w:val="002A54CE"/>
    <w:rsid w:val="002A56F8"/>
    <w:rsid w:val="002A5702"/>
    <w:rsid w:val="002A57B2"/>
    <w:rsid w:val="002A5834"/>
    <w:rsid w:val="002A585C"/>
    <w:rsid w:val="002A5943"/>
    <w:rsid w:val="002A5B27"/>
    <w:rsid w:val="002A5BEC"/>
    <w:rsid w:val="002A5E59"/>
    <w:rsid w:val="002A620D"/>
    <w:rsid w:val="002A638F"/>
    <w:rsid w:val="002A6444"/>
    <w:rsid w:val="002A655C"/>
    <w:rsid w:val="002A6964"/>
    <w:rsid w:val="002A6CD6"/>
    <w:rsid w:val="002A6D23"/>
    <w:rsid w:val="002A6EE4"/>
    <w:rsid w:val="002A6F1A"/>
    <w:rsid w:val="002A6FF7"/>
    <w:rsid w:val="002A732D"/>
    <w:rsid w:val="002A7602"/>
    <w:rsid w:val="002A762A"/>
    <w:rsid w:val="002A7D0E"/>
    <w:rsid w:val="002A7D29"/>
    <w:rsid w:val="002A7EFB"/>
    <w:rsid w:val="002A7FC6"/>
    <w:rsid w:val="002B033D"/>
    <w:rsid w:val="002B0483"/>
    <w:rsid w:val="002B04A0"/>
    <w:rsid w:val="002B04A2"/>
    <w:rsid w:val="002B0E7C"/>
    <w:rsid w:val="002B0FDE"/>
    <w:rsid w:val="002B1093"/>
    <w:rsid w:val="002B133B"/>
    <w:rsid w:val="002B2BF2"/>
    <w:rsid w:val="002B2E35"/>
    <w:rsid w:val="002B36D8"/>
    <w:rsid w:val="002B39B6"/>
    <w:rsid w:val="002B3ABA"/>
    <w:rsid w:val="002B3C05"/>
    <w:rsid w:val="002B3C2C"/>
    <w:rsid w:val="002B3D8E"/>
    <w:rsid w:val="002B467E"/>
    <w:rsid w:val="002B46B5"/>
    <w:rsid w:val="002B4D90"/>
    <w:rsid w:val="002B5241"/>
    <w:rsid w:val="002B54F8"/>
    <w:rsid w:val="002B553C"/>
    <w:rsid w:val="002B5ACC"/>
    <w:rsid w:val="002B5CFE"/>
    <w:rsid w:val="002B5D94"/>
    <w:rsid w:val="002B5EB6"/>
    <w:rsid w:val="002B60CE"/>
    <w:rsid w:val="002B6326"/>
    <w:rsid w:val="002B6385"/>
    <w:rsid w:val="002B63B6"/>
    <w:rsid w:val="002B67F0"/>
    <w:rsid w:val="002B6840"/>
    <w:rsid w:val="002B737D"/>
    <w:rsid w:val="002B7A82"/>
    <w:rsid w:val="002B7BCA"/>
    <w:rsid w:val="002C0024"/>
    <w:rsid w:val="002C04D9"/>
    <w:rsid w:val="002C08C0"/>
    <w:rsid w:val="002C0B9F"/>
    <w:rsid w:val="002C0CAF"/>
    <w:rsid w:val="002C0E4E"/>
    <w:rsid w:val="002C0F13"/>
    <w:rsid w:val="002C10A4"/>
    <w:rsid w:val="002C1682"/>
    <w:rsid w:val="002C1702"/>
    <w:rsid w:val="002C1B70"/>
    <w:rsid w:val="002C1F82"/>
    <w:rsid w:val="002C2189"/>
    <w:rsid w:val="002C251E"/>
    <w:rsid w:val="002C28C1"/>
    <w:rsid w:val="002C28FE"/>
    <w:rsid w:val="002C29DC"/>
    <w:rsid w:val="002C2AA7"/>
    <w:rsid w:val="002C2BD6"/>
    <w:rsid w:val="002C2E0C"/>
    <w:rsid w:val="002C2F18"/>
    <w:rsid w:val="002C30E3"/>
    <w:rsid w:val="002C38EC"/>
    <w:rsid w:val="002C3992"/>
    <w:rsid w:val="002C3AEE"/>
    <w:rsid w:val="002C3EA2"/>
    <w:rsid w:val="002C403E"/>
    <w:rsid w:val="002C42C3"/>
    <w:rsid w:val="002C5803"/>
    <w:rsid w:val="002C5A4D"/>
    <w:rsid w:val="002C5C96"/>
    <w:rsid w:val="002C5FD3"/>
    <w:rsid w:val="002C67B4"/>
    <w:rsid w:val="002C6B0B"/>
    <w:rsid w:val="002C6B1A"/>
    <w:rsid w:val="002C6F7F"/>
    <w:rsid w:val="002C7244"/>
    <w:rsid w:val="002C7727"/>
    <w:rsid w:val="002C7AE4"/>
    <w:rsid w:val="002D01DA"/>
    <w:rsid w:val="002D03DE"/>
    <w:rsid w:val="002D0536"/>
    <w:rsid w:val="002D06C0"/>
    <w:rsid w:val="002D0856"/>
    <w:rsid w:val="002D0A16"/>
    <w:rsid w:val="002D1068"/>
    <w:rsid w:val="002D112A"/>
    <w:rsid w:val="002D11F3"/>
    <w:rsid w:val="002D120D"/>
    <w:rsid w:val="002D1608"/>
    <w:rsid w:val="002D18A7"/>
    <w:rsid w:val="002D19D5"/>
    <w:rsid w:val="002D1B78"/>
    <w:rsid w:val="002D1DFE"/>
    <w:rsid w:val="002D21A5"/>
    <w:rsid w:val="002D2696"/>
    <w:rsid w:val="002D276E"/>
    <w:rsid w:val="002D295B"/>
    <w:rsid w:val="002D2CAB"/>
    <w:rsid w:val="002D2D1E"/>
    <w:rsid w:val="002D2DA2"/>
    <w:rsid w:val="002D30B1"/>
    <w:rsid w:val="002D38C7"/>
    <w:rsid w:val="002D3BFF"/>
    <w:rsid w:val="002D404E"/>
    <w:rsid w:val="002D409E"/>
    <w:rsid w:val="002D40CD"/>
    <w:rsid w:val="002D411E"/>
    <w:rsid w:val="002D412D"/>
    <w:rsid w:val="002D41FD"/>
    <w:rsid w:val="002D4384"/>
    <w:rsid w:val="002D4451"/>
    <w:rsid w:val="002D44A9"/>
    <w:rsid w:val="002D4932"/>
    <w:rsid w:val="002D4D86"/>
    <w:rsid w:val="002D542C"/>
    <w:rsid w:val="002D5A82"/>
    <w:rsid w:val="002D5DF0"/>
    <w:rsid w:val="002D5F0D"/>
    <w:rsid w:val="002D6120"/>
    <w:rsid w:val="002D68AE"/>
    <w:rsid w:val="002D6CE6"/>
    <w:rsid w:val="002D6EFC"/>
    <w:rsid w:val="002D6FF5"/>
    <w:rsid w:val="002D75F0"/>
    <w:rsid w:val="002D788E"/>
    <w:rsid w:val="002D7D32"/>
    <w:rsid w:val="002D7EDB"/>
    <w:rsid w:val="002E02EC"/>
    <w:rsid w:val="002E05B6"/>
    <w:rsid w:val="002E06D7"/>
    <w:rsid w:val="002E0801"/>
    <w:rsid w:val="002E17E5"/>
    <w:rsid w:val="002E1B45"/>
    <w:rsid w:val="002E1D4E"/>
    <w:rsid w:val="002E1F83"/>
    <w:rsid w:val="002E2249"/>
    <w:rsid w:val="002E23B3"/>
    <w:rsid w:val="002E245C"/>
    <w:rsid w:val="002E2C48"/>
    <w:rsid w:val="002E2C91"/>
    <w:rsid w:val="002E310B"/>
    <w:rsid w:val="002E317A"/>
    <w:rsid w:val="002E37A2"/>
    <w:rsid w:val="002E37E4"/>
    <w:rsid w:val="002E39A6"/>
    <w:rsid w:val="002E3DBA"/>
    <w:rsid w:val="002E3ED0"/>
    <w:rsid w:val="002E3EFB"/>
    <w:rsid w:val="002E40B8"/>
    <w:rsid w:val="002E4126"/>
    <w:rsid w:val="002E4167"/>
    <w:rsid w:val="002E48C9"/>
    <w:rsid w:val="002E4D6F"/>
    <w:rsid w:val="002E5196"/>
    <w:rsid w:val="002E5304"/>
    <w:rsid w:val="002E5344"/>
    <w:rsid w:val="002E5400"/>
    <w:rsid w:val="002E55D2"/>
    <w:rsid w:val="002E572D"/>
    <w:rsid w:val="002E5A57"/>
    <w:rsid w:val="002E5ADC"/>
    <w:rsid w:val="002E5B34"/>
    <w:rsid w:val="002E6345"/>
    <w:rsid w:val="002E638A"/>
    <w:rsid w:val="002E64E3"/>
    <w:rsid w:val="002E663E"/>
    <w:rsid w:val="002E708A"/>
    <w:rsid w:val="002E7357"/>
    <w:rsid w:val="002E78AF"/>
    <w:rsid w:val="002F0049"/>
    <w:rsid w:val="002F02E6"/>
    <w:rsid w:val="002F034F"/>
    <w:rsid w:val="002F03B0"/>
    <w:rsid w:val="002F0422"/>
    <w:rsid w:val="002F0AAD"/>
    <w:rsid w:val="002F0BDD"/>
    <w:rsid w:val="002F0DD8"/>
    <w:rsid w:val="002F10C8"/>
    <w:rsid w:val="002F12D4"/>
    <w:rsid w:val="002F1344"/>
    <w:rsid w:val="002F1E70"/>
    <w:rsid w:val="002F25BE"/>
    <w:rsid w:val="002F260F"/>
    <w:rsid w:val="002F2A7A"/>
    <w:rsid w:val="002F2BCA"/>
    <w:rsid w:val="002F2BCF"/>
    <w:rsid w:val="002F2C03"/>
    <w:rsid w:val="002F2C4D"/>
    <w:rsid w:val="002F301D"/>
    <w:rsid w:val="002F31B4"/>
    <w:rsid w:val="002F33D3"/>
    <w:rsid w:val="002F342F"/>
    <w:rsid w:val="002F37A8"/>
    <w:rsid w:val="002F39E0"/>
    <w:rsid w:val="002F39F0"/>
    <w:rsid w:val="002F3C11"/>
    <w:rsid w:val="002F3D44"/>
    <w:rsid w:val="002F3DC7"/>
    <w:rsid w:val="002F4166"/>
    <w:rsid w:val="002F4275"/>
    <w:rsid w:val="002F4490"/>
    <w:rsid w:val="002F46A2"/>
    <w:rsid w:val="002F46E1"/>
    <w:rsid w:val="002F4838"/>
    <w:rsid w:val="002F4DB7"/>
    <w:rsid w:val="002F50F5"/>
    <w:rsid w:val="002F51E8"/>
    <w:rsid w:val="002F53FB"/>
    <w:rsid w:val="002F5A0B"/>
    <w:rsid w:val="002F5B75"/>
    <w:rsid w:val="002F5DAA"/>
    <w:rsid w:val="002F5E71"/>
    <w:rsid w:val="002F5F55"/>
    <w:rsid w:val="002F61D7"/>
    <w:rsid w:val="002F6563"/>
    <w:rsid w:val="002F65CE"/>
    <w:rsid w:val="002F6771"/>
    <w:rsid w:val="002F6774"/>
    <w:rsid w:val="002F67A5"/>
    <w:rsid w:val="002F67BE"/>
    <w:rsid w:val="002F6D0E"/>
    <w:rsid w:val="002F70A9"/>
    <w:rsid w:val="002F70E3"/>
    <w:rsid w:val="002F7134"/>
    <w:rsid w:val="002F7932"/>
    <w:rsid w:val="002F7C22"/>
    <w:rsid w:val="003003C8"/>
    <w:rsid w:val="0030088D"/>
    <w:rsid w:val="00300920"/>
    <w:rsid w:val="00300AC6"/>
    <w:rsid w:val="00300ACF"/>
    <w:rsid w:val="00300DD4"/>
    <w:rsid w:val="00301162"/>
    <w:rsid w:val="00301864"/>
    <w:rsid w:val="00301C86"/>
    <w:rsid w:val="00301CAA"/>
    <w:rsid w:val="003023D5"/>
    <w:rsid w:val="00302943"/>
    <w:rsid w:val="00302B71"/>
    <w:rsid w:val="00302DF0"/>
    <w:rsid w:val="003030CF"/>
    <w:rsid w:val="0030338B"/>
    <w:rsid w:val="0030357A"/>
    <w:rsid w:val="003035A5"/>
    <w:rsid w:val="00303FE5"/>
    <w:rsid w:val="003042A7"/>
    <w:rsid w:val="00304426"/>
    <w:rsid w:val="00304436"/>
    <w:rsid w:val="003044AB"/>
    <w:rsid w:val="0030450F"/>
    <w:rsid w:val="00304653"/>
    <w:rsid w:val="00304B83"/>
    <w:rsid w:val="00304E0A"/>
    <w:rsid w:val="00305257"/>
    <w:rsid w:val="00305693"/>
    <w:rsid w:val="003057A6"/>
    <w:rsid w:val="00305C51"/>
    <w:rsid w:val="00305E93"/>
    <w:rsid w:val="0030612C"/>
    <w:rsid w:val="00306674"/>
    <w:rsid w:val="00306900"/>
    <w:rsid w:val="003069F8"/>
    <w:rsid w:val="00306BF0"/>
    <w:rsid w:val="00306C22"/>
    <w:rsid w:val="00306F30"/>
    <w:rsid w:val="00306F7E"/>
    <w:rsid w:val="0030739A"/>
    <w:rsid w:val="003078F1"/>
    <w:rsid w:val="00307B56"/>
    <w:rsid w:val="00307B62"/>
    <w:rsid w:val="00310070"/>
    <w:rsid w:val="003103DD"/>
    <w:rsid w:val="00310752"/>
    <w:rsid w:val="003107AB"/>
    <w:rsid w:val="00310900"/>
    <w:rsid w:val="0031097B"/>
    <w:rsid w:val="00310A70"/>
    <w:rsid w:val="00311522"/>
    <w:rsid w:val="00311665"/>
    <w:rsid w:val="0031180E"/>
    <w:rsid w:val="003118D9"/>
    <w:rsid w:val="00311C90"/>
    <w:rsid w:val="00311F13"/>
    <w:rsid w:val="003121CE"/>
    <w:rsid w:val="00312355"/>
    <w:rsid w:val="003125E7"/>
    <w:rsid w:val="003126FD"/>
    <w:rsid w:val="003127D4"/>
    <w:rsid w:val="00312B1B"/>
    <w:rsid w:val="00312BED"/>
    <w:rsid w:val="00312F0E"/>
    <w:rsid w:val="00312F1D"/>
    <w:rsid w:val="003130A0"/>
    <w:rsid w:val="003131F9"/>
    <w:rsid w:val="00313764"/>
    <w:rsid w:val="003137DF"/>
    <w:rsid w:val="00313AF5"/>
    <w:rsid w:val="00313B5B"/>
    <w:rsid w:val="00313CD1"/>
    <w:rsid w:val="003140BC"/>
    <w:rsid w:val="00314DD6"/>
    <w:rsid w:val="00314E6C"/>
    <w:rsid w:val="00314FE8"/>
    <w:rsid w:val="0031504E"/>
    <w:rsid w:val="003150B2"/>
    <w:rsid w:val="0031574E"/>
    <w:rsid w:val="003158D1"/>
    <w:rsid w:val="00315CCB"/>
    <w:rsid w:val="00315F52"/>
    <w:rsid w:val="00315FA0"/>
    <w:rsid w:val="003164DC"/>
    <w:rsid w:val="003166EE"/>
    <w:rsid w:val="0031679A"/>
    <w:rsid w:val="0031682B"/>
    <w:rsid w:val="00316884"/>
    <w:rsid w:val="003168B6"/>
    <w:rsid w:val="00316903"/>
    <w:rsid w:val="0031690A"/>
    <w:rsid w:val="00316A87"/>
    <w:rsid w:val="00316A8B"/>
    <w:rsid w:val="00316B88"/>
    <w:rsid w:val="003172A5"/>
    <w:rsid w:val="003172D6"/>
    <w:rsid w:val="0031749B"/>
    <w:rsid w:val="00317875"/>
    <w:rsid w:val="00317974"/>
    <w:rsid w:val="003179EA"/>
    <w:rsid w:val="00317ADC"/>
    <w:rsid w:val="00317BD4"/>
    <w:rsid w:val="0032006F"/>
    <w:rsid w:val="0032018C"/>
    <w:rsid w:val="003204E5"/>
    <w:rsid w:val="00320911"/>
    <w:rsid w:val="00320CB7"/>
    <w:rsid w:val="00321089"/>
    <w:rsid w:val="0032121F"/>
    <w:rsid w:val="00321370"/>
    <w:rsid w:val="0032175E"/>
    <w:rsid w:val="00321988"/>
    <w:rsid w:val="003219F7"/>
    <w:rsid w:val="00321E10"/>
    <w:rsid w:val="003223CA"/>
    <w:rsid w:val="00322677"/>
    <w:rsid w:val="003226C9"/>
    <w:rsid w:val="00322716"/>
    <w:rsid w:val="003227DD"/>
    <w:rsid w:val="0032295E"/>
    <w:rsid w:val="00322C0A"/>
    <w:rsid w:val="00322DEC"/>
    <w:rsid w:val="00322F2F"/>
    <w:rsid w:val="00322FC0"/>
    <w:rsid w:val="0032307D"/>
    <w:rsid w:val="003233B2"/>
    <w:rsid w:val="003233F2"/>
    <w:rsid w:val="00323443"/>
    <w:rsid w:val="003236DE"/>
    <w:rsid w:val="003237C7"/>
    <w:rsid w:val="00323C7B"/>
    <w:rsid w:val="00323D78"/>
    <w:rsid w:val="00323D95"/>
    <w:rsid w:val="00323E77"/>
    <w:rsid w:val="00323FC7"/>
    <w:rsid w:val="00324527"/>
    <w:rsid w:val="00324B25"/>
    <w:rsid w:val="00324C66"/>
    <w:rsid w:val="00325144"/>
    <w:rsid w:val="00325165"/>
    <w:rsid w:val="00325171"/>
    <w:rsid w:val="00325A44"/>
    <w:rsid w:val="00325C86"/>
    <w:rsid w:val="00325E18"/>
    <w:rsid w:val="00326777"/>
    <w:rsid w:val="00326846"/>
    <w:rsid w:val="00326F67"/>
    <w:rsid w:val="00327649"/>
    <w:rsid w:val="0032794D"/>
    <w:rsid w:val="00327A9A"/>
    <w:rsid w:val="00327C32"/>
    <w:rsid w:val="00327E36"/>
    <w:rsid w:val="00330274"/>
    <w:rsid w:val="003303D0"/>
    <w:rsid w:val="003304C1"/>
    <w:rsid w:val="00330F65"/>
    <w:rsid w:val="0033114B"/>
    <w:rsid w:val="0033160C"/>
    <w:rsid w:val="00331724"/>
    <w:rsid w:val="003317D0"/>
    <w:rsid w:val="003317EE"/>
    <w:rsid w:val="00331994"/>
    <w:rsid w:val="00331BD2"/>
    <w:rsid w:val="00331C40"/>
    <w:rsid w:val="00331E56"/>
    <w:rsid w:val="00332437"/>
    <w:rsid w:val="00332845"/>
    <w:rsid w:val="00332856"/>
    <w:rsid w:val="00332CBB"/>
    <w:rsid w:val="00332F12"/>
    <w:rsid w:val="0033301D"/>
    <w:rsid w:val="003336D0"/>
    <w:rsid w:val="0033381A"/>
    <w:rsid w:val="00333E9A"/>
    <w:rsid w:val="0033404E"/>
    <w:rsid w:val="00334183"/>
    <w:rsid w:val="0033457D"/>
    <w:rsid w:val="003346CE"/>
    <w:rsid w:val="00334BBC"/>
    <w:rsid w:val="00334EFF"/>
    <w:rsid w:val="00335352"/>
    <w:rsid w:val="0033545A"/>
    <w:rsid w:val="00335681"/>
    <w:rsid w:val="00335E31"/>
    <w:rsid w:val="00335E48"/>
    <w:rsid w:val="00335FCE"/>
    <w:rsid w:val="0033639C"/>
    <w:rsid w:val="003365AD"/>
    <w:rsid w:val="0033686C"/>
    <w:rsid w:val="003369DF"/>
    <w:rsid w:val="00337058"/>
    <w:rsid w:val="00337070"/>
    <w:rsid w:val="00337136"/>
    <w:rsid w:val="0033758D"/>
    <w:rsid w:val="00337794"/>
    <w:rsid w:val="00337B57"/>
    <w:rsid w:val="00337BFC"/>
    <w:rsid w:val="00337C0D"/>
    <w:rsid w:val="003400C3"/>
    <w:rsid w:val="0034020A"/>
    <w:rsid w:val="00340338"/>
    <w:rsid w:val="003403DB"/>
    <w:rsid w:val="00340A3E"/>
    <w:rsid w:val="00341208"/>
    <w:rsid w:val="003413F6"/>
    <w:rsid w:val="00341487"/>
    <w:rsid w:val="00341578"/>
    <w:rsid w:val="00341632"/>
    <w:rsid w:val="0034177A"/>
    <w:rsid w:val="00341B1A"/>
    <w:rsid w:val="00341E92"/>
    <w:rsid w:val="003420CE"/>
    <w:rsid w:val="00342531"/>
    <w:rsid w:val="00342770"/>
    <w:rsid w:val="00342942"/>
    <w:rsid w:val="00342C0D"/>
    <w:rsid w:val="00342C6C"/>
    <w:rsid w:val="00342E5F"/>
    <w:rsid w:val="00343038"/>
    <w:rsid w:val="00343349"/>
    <w:rsid w:val="003434CD"/>
    <w:rsid w:val="003441D0"/>
    <w:rsid w:val="003445DF"/>
    <w:rsid w:val="003450E2"/>
    <w:rsid w:val="0034561F"/>
    <w:rsid w:val="00345A2C"/>
    <w:rsid w:val="00345AC7"/>
    <w:rsid w:val="00345C4E"/>
    <w:rsid w:val="00345D3A"/>
    <w:rsid w:val="003466C3"/>
    <w:rsid w:val="003467F7"/>
    <w:rsid w:val="00346898"/>
    <w:rsid w:val="003468C2"/>
    <w:rsid w:val="00346A99"/>
    <w:rsid w:val="00346C27"/>
    <w:rsid w:val="003475F8"/>
    <w:rsid w:val="00347DEC"/>
    <w:rsid w:val="00347E5B"/>
    <w:rsid w:val="00347FF0"/>
    <w:rsid w:val="003501E2"/>
    <w:rsid w:val="00350A2E"/>
    <w:rsid w:val="00351393"/>
    <w:rsid w:val="00351C38"/>
    <w:rsid w:val="00352093"/>
    <w:rsid w:val="003522E5"/>
    <w:rsid w:val="0035230A"/>
    <w:rsid w:val="00352359"/>
    <w:rsid w:val="003525E3"/>
    <w:rsid w:val="0035270C"/>
    <w:rsid w:val="00352713"/>
    <w:rsid w:val="00352CDF"/>
    <w:rsid w:val="003530B7"/>
    <w:rsid w:val="003536FE"/>
    <w:rsid w:val="00353B7D"/>
    <w:rsid w:val="00353DE4"/>
    <w:rsid w:val="00353EA7"/>
    <w:rsid w:val="00354530"/>
    <w:rsid w:val="00354684"/>
    <w:rsid w:val="003547C0"/>
    <w:rsid w:val="003549B8"/>
    <w:rsid w:val="00354C48"/>
    <w:rsid w:val="00354FC9"/>
    <w:rsid w:val="00355526"/>
    <w:rsid w:val="00355C7B"/>
    <w:rsid w:val="00355E6B"/>
    <w:rsid w:val="00355F4F"/>
    <w:rsid w:val="003562A6"/>
    <w:rsid w:val="00356508"/>
    <w:rsid w:val="00356746"/>
    <w:rsid w:val="00356A1B"/>
    <w:rsid w:val="00356D23"/>
    <w:rsid w:val="00356DD4"/>
    <w:rsid w:val="00357026"/>
    <w:rsid w:val="00357218"/>
    <w:rsid w:val="0035785A"/>
    <w:rsid w:val="00357DDA"/>
    <w:rsid w:val="00360355"/>
    <w:rsid w:val="003607B1"/>
    <w:rsid w:val="00360AC7"/>
    <w:rsid w:val="0036146E"/>
    <w:rsid w:val="00361563"/>
    <w:rsid w:val="003620F2"/>
    <w:rsid w:val="00362520"/>
    <w:rsid w:val="0036281C"/>
    <w:rsid w:val="003628E9"/>
    <w:rsid w:val="00362C28"/>
    <w:rsid w:val="00362C7A"/>
    <w:rsid w:val="00362D18"/>
    <w:rsid w:val="00362E14"/>
    <w:rsid w:val="00362ED3"/>
    <w:rsid w:val="00363016"/>
    <w:rsid w:val="0036310F"/>
    <w:rsid w:val="00363169"/>
    <w:rsid w:val="003631DF"/>
    <w:rsid w:val="003637B4"/>
    <w:rsid w:val="0036394F"/>
    <w:rsid w:val="003639B9"/>
    <w:rsid w:val="00364235"/>
    <w:rsid w:val="0036441F"/>
    <w:rsid w:val="003645CD"/>
    <w:rsid w:val="0036485A"/>
    <w:rsid w:val="003648F1"/>
    <w:rsid w:val="00364A9B"/>
    <w:rsid w:val="00364B18"/>
    <w:rsid w:val="00364C1C"/>
    <w:rsid w:val="00364CB4"/>
    <w:rsid w:val="003651B6"/>
    <w:rsid w:val="003655F6"/>
    <w:rsid w:val="0036560D"/>
    <w:rsid w:val="0036599C"/>
    <w:rsid w:val="00365A80"/>
    <w:rsid w:val="00365BFD"/>
    <w:rsid w:val="00365D61"/>
    <w:rsid w:val="00366546"/>
    <w:rsid w:val="00366724"/>
    <w:rsid w:val="003669F9"/>
    <w:rsid w:val="00366AB0"/>
    <w:rsid w:val="00366CD7"/>
    <w:rsid w:val="00366E36"/>
    <w:rsid w:val="003675D8"/>
    <w:rsid w:val="00367879"/>
    <w:rsid w:val="003678D5"/>
    <w:rsid w:val="003678D8"/>
    <w:rsid w:val="00367C80"/>
    <w:rsid w:val="00367CF5"/>
    <w:rsid w:val="00370446"/>
    <w:rsid w:val="003704B4"/>
    <w:rsid w:val="0037065E"/>
    <w:rsid w:val="003708E2"/>
    <w:rsid w:val="0037097E"/>
    <w:rsid w:val="00370B54"/>
    <w:rsid w:val="003714F0"/>
    <w:rsid w:val="00371B6F"/>
    <w:rsid w:val="00371CC4"/>
    <w:rsid w:val="00371FFB"/>
    <w:rsid w:val="00372197"/>
    <w:rsid w:val="00372360"/>
    <w:rsid w:val="00372511"/>
    <w:rsid w:val="003726AC"/>
    <w:rsid w:val="003729E3"/>
    <w:rsid w:val="00372BB0"/>
    <w:rsid w:val="00372DBE"/>
    <w:rsid w:val="00373498"/>
    <w:rsid w:val="00373666"/>
    <w:rsid w:val="003737E2"/>
    <w:rsid w:val="00373AA5"/>
    <w:rsid w:val="003741F6"/>
    <w:rsid w:val="003742AD"/>
    <w:rsid w:val="003744F8"/>
    <w:rsid w:val="00374888"/>
    <w:rsid w:val="00374D75"/>
    <w:rsid w:val="00374FFD"/>
    <w:rsid w:val="003756C5"/>
    <w:rsid w:val="003759F3"/>
    <w:rsid w:val="00375C48"/>
    <w:rsid w:val="00376279"/>
    <w:rsid w:val="003762C9"/>
    <w:rsid w:val="00376339"/>
    <w:rsid w:val="00376360"/>
    <w:rsid w:val="0037637F"/>
    <w:rsid w:val="003764CE"/>
    <w:rsid w:val="00376C0E"/>
    <w:rsid w:val="00376F05"/>
    <w:rsid w:val="00376F6E"/>
    <w:rsid w:val="00377218"/>
    <w:rsid w:val="00377470"/>
    <w:rsid w:val="003776C8"/>
    <w:rsid w:val="00377794"/>
    <w:rsid w:val="0037780E"/>
    <w:rsid w:val="00377A15"/>
    <w:rsid w:val="00377F52"/>
    <w:rsid w:val="0038005A"/>
    <w:rsid w:val="0038026A"/>
    <w:rsid w:val="003804D0"/>
    <w:rsid w:val="003808DB"/>
    <w:rsid w:val="00380A3A"/>
    <w:rsid w:val="00380C8A"/>
    <w:rsid w:val="003811CA"/>
    <w:rsid w:val="00381294"/>
    <w:rsid w:val="00381820"/>
    <w:rsid w:val="0038193D"/>
    <w:rsid w:val="00381A31"/>
    <w:rsid w:val="003821A2"/>
    <w:rsid w:val="0038235C"/>
    <w:rsid w:val="003824E3"/>
    <w:rsid w:val="003825E7"/>
    <w:rsid w:val="003828D7"/>
    <w:rsid w:val="0038296D"/>
    <w:rsid w:val="00382C7A"/>
    <w:rsid w:val="003833E4"/>
    <w:rsid w:val="00383EA5"/>
    <w:rsid w:val="00384360"/>
    <w:rsid w:val="0038444A"/>
    <w:rsid w:val="003847BF"/>
    <w:rsid w:val="00384A06"/>
    <w:rsid w:val="00384CF4"/>
    <w:rsid w:val="00384EFA"/>
    <w:rsid w:val="00384F54"/>
    <w:rsid w:val="003850E6"/>
    <w:rsid w:val="00385281"/>
    <w:rsid w:val="00385B93"/>
    <w:rsid w:val="00385EBF"/>
    <w:rsid w:val="00386003"/>
    <w:rsid w:val="003860A0"/>
    <w:rsid w:val="003862F8"/>
    <w:rsid w:val="00386BFD"/>
    <w:rsid w:val="00386ECB"/>
    <w:rsid w:val="003873DA"/>
    <w:rsid w:val="00387966"/>
    <w:rsid w:val="00387BD7"/>
    <w:rsid w:val="003902FA"/>
    <w:rsid w:val="00390529"/>
    <w:rsid w:val="00390875"/>
    <w:rsid w:val="00390B8A"/>
    <w:rsid w:val="00390E0E"/>
    <w:rsid w:val="00390E1F"/>
    <w:rsid w:val="00390E6D"/>
    <w:rsid w:val="00391176"/>
    <w:rsid w:val="00391608"/>
    <w:rsid w:val="00391934"/>
    <w:rsid w:val="00391ADC"/>
    <w:rsid w:val="00391BC1"/>
    <w:rsid w:val="00391F79"/>
    <w:rsid w:val="00392204"/>
    <w:rsid w:val="00392433"/>
    <w:rsid w:val="003928A3"/>
    <w:rsid w:val="00392EBA"/>
    <w:rsid w:val="00393342"/>
    <w:rsid w:val="00393F62"/>
    <w:rsid w:val="003941B0"/>
    <w:rsid w:val="003944CB"/>
    <w:rsid w:val="00394557"/>
    <w:rsid w:val="00394955"/>
    <w:rsid w:val="00394AB2"/>
    <w:rsid w:val="00394E0A"/>
    <w:rsid w:val="00394F85"/>
    <w:rsid w:val="00394FDC"/>
    <w:rsid w:val="003956C8"/>
    <w:rsid w:val="00395A61"/>
    <w:rsid w:val="0039601D"/>
    <w:rsid w:val="003960A3"/>
    <w:rsid w:val="00396318"/>
    <w:rsid w:val="003965D9"/>
    <w:rsid w:val="00396DC2"/>
    <w:rsid w:val="00396FB3"/>
    <w:rsid w:val="00397360"/>
    <w:rsid w:val="00397406"/>
    <w:rsid w:val="00397600"/>
    <w:rsid w:val="00397BA8"/>
    <w:rsid w:val="00397F3A"/>
    <w:rsid w:val="003A0710"/>
    <w:rsid w:val="003A099A"/>
    <w:rsid w:val="003A0A34"/>
    <w:rsid w:val="003A0AD3"/>
    <w:rsid w:val="003A0CDD"/>
    <w:rsid w:val="003A0F84"/>
    <w:rsid w:val="003A1265"/>
    <w:rsid w:val="003A1349"/>
    <w:rsid w:val="003A15EF"/>
    <w:rsid w:val="003A1A8E"/>
    <w:rsid w:val="003A1B48"/>
    <w:rsid w:val="003A1D31"/>
    <w:rsid w:val="003A1E1B"/>
    <w:rsid w:val="003A22A4"/>
    <w:rsid w:val="003A22A8"/>
    <w:rsid w:val="003A25E7"/>
    <w:rsid w:val="003A263C"/>
    <w:rsid w:val="003A26B9"/>
    <w:rsid w:val="003A298B"/>
    <w:rsid w:val="003A30BC"/>
    <w:rsid w:val="003A32CB"/>
    <w:rsid w:val="003A33EF"/>
    <w:rsid w:val="003A34BE"/>
    <w:rsid w:val="003A377D"/>
    <w:rsid w:val="003A3DBE"/>
    <w:rsid w:val="003A3E35"/>
    <w:rsid w:val="003A3ED3"/>
    <w:rsid w:val="003A4051"/>
    <w:rsid w:val="003A44D0"/>
    <w:rsid w:val="003A4A10"/>
    <w:rsid w:val="003A4C1B"/>
    <w:rsid w:val="003A4C25"/>
    <w:rsid w:val="003A5103"/>
    <w:rsid w:val="003A57C1"/>
    <w:rsid w:val="003A5949"/>
    <w:rsid w:val="003A5C0B"/>
    <w:rsid w:val="003A5D51"/>
    <w:rsid w:val="003A6087"/>
    <w:rsid w:val="003A60B8"/>
    <w:rsid w:val="003A612B"/>
    <w:rsid w:val="003A65F7"/>
    <w:rsid w:val="003A6652"/>
    <w:rsid w:val="003A67ED"/>
    <w:rsid w:val="003A6A01"/>
    <w:rsid w:val="003A6CED"/>
    <w:rsid w:val="003A723D"/>
    <w:rsid w:val="003A7397"/>
    <w:rsid w:val="003A75F5"/>
    <w:rsid w:val="003A78C4"/>
    <w:rsid w:val="003A7BED"/>
    <w:rsid w:val="003B0026"/>
    <w:rsid w:val="003B0177"/>
    <w:rsid w:val="003B0214"/>
    <w:rsid w:val="003B0217"/>
    <w:rsid w:val="003B03B6"/>
    <w:rsid w:val="003B049A"/>
    <w:rsid w:val="003B0582"/>
    <w:rsid w:val="003B07CA"/>
    <w:rsid w:val="003B08EE"/>
    <w:rsid w:val="003B0C49"/>
    <w:rsid w:val="003B0D7D"/>
    <w:rsid w:val="003B0FE4"/>
    <w:rsid w:val="003B1525"/>
    <w:rsid w:val="003B1A7A"/>
    <w:rsid w:val="003B1BD6"/>
    <w:rsid w:val="003B1E1E"/>
    <w:rsid w:val="003B2270"/>
    <w:rsid w:val="003B2291"/>
    <w:rsid w:val="003B24BC"/>
    <w:rsid w:val="003B2599"/>
    <w:rsid w:val="003B291D"/>
    <w:rsid w:val="003B2C2E"/>
    <w:rsid w:val="003B30D1"/>
    <w:rsid w:val="003B3310"/>
    <w:rsid w:val="003B3676"/>
    <w:rsid w:val="003B3785"/>
    <w:rsid w:val="003B37D0"/>
    <w:rsid w:val="003B38A9"/>
    <w:rsid w:val="003B396E"/>
    <w:rsid w:val="003B3A4A"/>
    <w:rsid w:val="003B3AEA"/>
    <w:rsid w:val="003B3BB8"/>
    <w:rsid w:val="003B43F6"/>
    <w:rsid w:val="003B4595"/>
    <w:rsid w:val="003B46A0"/>
    <w:rsid w:val="003B46AA"/>
    <w:rsid w:val="003B4A86"/>
    <w:rsid w:val="003B4BD1"/>
    <w:rsid w:val="003B5016"/>
    <w:rsid w:val="003B50FE"/>
    <w:rsid w:val="003B5320"/>
    <w:rsid w:val="003B5BE7"/>
    <w:rsid w:val="003B5C6F"/>
    <w:rsid w:val="003B5DDA"/>
    <w:rsid w:val="003B5DF8"/>
    <w:rsid w:val="003B5E71"/>
    <w:rsid w:val="003B6693"/>
    <w:rsid w:val="003B69E8"/>
    <w:rsid w:val="003B6B44"/>
    <w:rsid w:val="003B6D0F"/>
    <w:rsid w:val="003B7134"/>
    <w:rsid w:val="003B7351"/>
    <w:rsid w:val="003B73A9"/>
    <w:rsid w:val="003B783B"/>
    <w:rsid w:val="003B7ADE"/>
    <w:rsid w:val="003B7C3E"/>
    <w:rsid w:val="003B7C8D"/>
    <w:rsid w:val="003C00B8"/>
    <w:rsid w:val="003C0252"/>
    <w:rsid w:val="003C0374"/>
    <w:rsid w:val="003C08A8"/>
    <w:rsid w:val="003C0BC7"/>
    <w:rsid w:val="003C12C6"/>
    <w:rsid w:val="003C15F3"/>
    <w:rsid w:val="003C189B"/>
    <w:rsid w:val="003C1A09"/>
    <w:rsid w:val="003C1C93"/>
    <w:rsid w:val="003C1CE7"/>
    <w:rsid w:val="003C1E64"/>
    <w:rsid w:val="003C1E8A"/>
    <w:rsid w:val="003C22BE"/>
    <w:rsid w:val="003C2716"/>
    <w:rsid w:val="003C2866"/>
    <w:rsid w:val="003C28FA"/>
    <w:rsid w:val="003C29CA"/>
    <w:rsid w:val="003C2A6A"/>
    <w:rsid w:val="003C2F70"/>
    <w:rsid w:val="003C3004"/>
    <w:rsid w:val="003C33B7"/>
    <w:rsid w:val="003C35C1"/>
    <w:rsid w:val="003C3956"/>
    <w:rsid w:val="003C3AF2"/>
    <w:rsid w:val="003C3C0A"/>
    <w:rsid w:val="003C3E5A"/>
    <w:rsid w:val="003C3EA3"/>
    <w:rsid w:val="003C3FCB"/>
    <w:rsid w:val="003C41AE"/>
    <w:rsid w:val="003C4868"/>
    <w:rsid w:val="003C4B59"/>
    <w:rsid w:val="003C4C2A"/>
    <w:rsid w:val="003C4E45"/>
    <w:rsid w:val="003C4E4D"/>
    <w:rsid w:val="003C524E"/>
    <w:rsid w:val="003C53C5"/>
    <w:rsid w:val="003C5554"/>
    <w:rsid w:val="003C5BD4"/>
    <w:rsid w:val="003C6043"/>
    <w:rsid w:val="003C6147"/>
    <w:rsid w:val="003C647D"/>
    <w:rsid w:val="003C659F"/>
    <w:rsid w:val="003C674D"/>
    <w:rsid w:val="003C6A00"/>
    <w:rsid w:val="003C6C9D"/>
    <w:rsid w:val="003C6D45"/>
    <w:rsid w:val="003C6F05"/>
    <w:rsid w:val="003C720C"/>
    <w:rsid w:val="003C72FA"/>
    <w:rsid w:val="003C76EC"/>
    <w:rsid w:val="003C78D2"/>
    <w:rsid w:val="003C7C79"/>
    <w:rsid w:val="003C7C8A"/>
    <w:rsid w:val="003C7F5C"/>
    <w:rsid w:val="003C7F82"/>
    <w:rsid w:val="003D024B"/>
    <w:rsid w:val="003D04E8"/>
    <w:rsid w:val="003D09D5"/>
    <w:rsid w:val="003D0ED0"/>
    <w:rsid w:val="003D0F24"/>
    <w:rsid w:val="003D10A6"/>
    <w:rsid w:val="003D170D"/>
    <w:rsid w:val="003D2154"/>
    <w:rsid w:val="003D2345"/>
    <w:rsid w:val="003D2900"/>
    <w:rsid w:val="003D29DF"/>
    <w:rsid w:val="003D35B0"/>
    <w:rsid w:val="003D3709"/>
    <w:rsid w:val="003D3A2B"/>
    <w:rsid w:val="003D4784"/>
    <w:rsid w:val="003D489F"/>
    <w:rsid w:val="003D4A54"/>
    <w:rsid w:val="003D4FEC"/>
    <w:rsid w:val="003D58A4"/>
    <w:rsid w:val="003D5F60"/>
    <w:rsid w:val="003D5F85"/>
    <w:rsid w:val="003D61A2"/>
    <w:rsid w:val="003D64F7"/>
    <w:rsid w:val="003D6548"/>
    <w:rsid w:val="003D68DE"/>
    <w:rsid w:val="003D6B91"/>
    <w:rsid w:val="003D6CA3"/>
    <w:rsid w:val="003D71E5"/>
    <w:rsid w:val="003D788B"/>
    <w:rsid w:val="003E03AE"/>
    <w:rsid w:val="003E060B"/>
    <w:rsid w:val="003E08AF"/>
    <w:rsid w:val="003E0A2E"/>
    <w:rsid w:val="003E0EE6"/>
    <w:rsid w:val="003E17EF"/>
    <w:rsid w:val="003E20DB"/>
    <w:rsid w:val="003E2120"/>
    <w:rsid w:val="003E23D4"/>
    <w:rsid w:val="003E2B17"/>
    <w:rsid w:val="003E2F93"/>
    <w:rsid w:val="003E2FB9"/>
    <w:rsid w:val="003E3100"/>
    <w:rsid w:val="003E34D8"/>
    <w:rsid w:val="003E3512"/>
    <w:rsid w:val="003E3C1F"/>
    <w:rsid w:val="003E4172"/>
    <w:rsid w:val="003E427E"/>
    <w:rsid w:val="003E48BD"/>
    <w:rsid w:val="003E4C7E"/>
    <w:rsid w:val="003E4CAC"/>
    <w:rsid w:val="003E4CF9"/>
    <w:rsid w:val="003E4D3B"/>
    <w:rsid w:val="003E4FB0"/>
    <w:rsid w:val="003E4FDA"/>
    <w:rsid w:val="003E5207"/>
    <w:rsid w:val="003E52CF"/>
    <w:rsid w:val="003E53C8"/>
    <w:rsid w:val="003E60D0"/>
    <w:rsid w:val="003E6420"/>
    <w:rsid w:val="003E7086"/>
    <w:rsid w:val="003E70E9"/>
    <w:rsid w:val="003E729B"/>
    <w:rsid w:val="003E7523"/>
    <w:rsid w:val="003E75D7"/>
    <w:rsid w:val="003E7D5E"/>
    <w:rsid w:val="003F041E"/>
    <w:rsid w:val="003F0610"/>
    <w:rsid w:val="003F066D"/>
    <w:rsid w:val="003F0A57"/>
    <w:rsid w:val="003F0B7A"/>
    <w:rsid w:val="003F101F"/>
    <w:rsid w:val="003F1C0D"/>
    <w:rsid w:val="003F2091"/>
    <w:rsid w:val="003F23F9"/>
    <w:rsid w:val="003F27F2"/>
    <w:rsid w:val="003F2A00"/>
    <w:rsid w:val="003F2D63"/>
    <w:rsid w:val="003F2D8A"/>
    <w:rsid w:val="003F301C"/>
    <w:rsid w:val="003F3022"/>
    <w:rsid w:val="003F33A7"/>
    <w:rsid w:val="003F351A"/>
    <w:rsid w:val="003F366D"/>
    <w:rsid w:val="003F41D1"/>
    <w:rsid w:val="003F4255"/>
    <w:rsid w:val="003F466E"/>
    <w:rsid w:val="003F489D"/>
    <w:rsid w:val="003F5282"/>
    <w:rsid w:val="003F533D"/>
    <w:rsid w:val="003F5614"/>
    <w:rsid w:val="003F5680"/>
    <w:rsid w:val="003F57B7"/>
    <w:rsid w:val="003F585A"/>
    <w:rsid w:val="003F5EA5"/>
    <w:rsid w:val="003F5ECA"/>
    <w:rsid w:val="003F5F18"/>
    <w:rsid w:val="003F6085"/>
    <w:rsid w:val="003F6244"/>
    <w:rsid w:val="003F6E50"/>
    <w:rsid w:val="003F6FB9"/>
    <w:rsid w:val="003F7462"/>
    <w:rsid w:val="003F761A"/>
    <w:rsid w:val="003F7624"/>
    <w:rsid w:val="003F7664"/>
    <w:rsid w:val="003F76F3"/>
    <w:rsid w:val="003F7BA5"/>
    <w:rsid w:val="004000B0"/>
    <w:rsid w:val="00400481"/>
    <w:rsid w:val="004007F3"/>
    <w:rsid w:val="0040081E"/>
    <w:rsid w:val="00400A4E"/>
    <w:rsid w:val="00400D73"/>
    <w:rsid w:val="00400F8E"/>
    <w:rsid w:val="0040184E"/>
    <w:rsid w:val="00401B2D"/>
    <w:rsid w:val="00401BC6"/>
    <w:rsid w:val="00401C0B"/>
    <w:rsid w:val="004025A1"/>
    <w:rsid w:val="00402B77"/>
    <w:rsid w:val="00402D16"/>
    <w:rsid w:val="00403225"/>
    <w:rsid w:val="0040337A"/>
    <w:rsid w:val="0040358C"/>
    <w:rsid w:val="00403D68"/>
    <w:rsid w:val="00403ED6"/>
    <w:rsid w:val="0040424C"/>
    <w:rsid w:val="00404654"/>
    <w:rsid w:val="0040470B"/>
    <w:rsid w:val="00405293"/>
    <w:rsid w:val="00405909"/>
    <w:rsid w:val="004060A3"/>
    <w:rsid w:val="004060B0"/>
    <w:rsid w:val="004060BE"/>
    <w:rsid w:val="004062C4"/>
    <w:rsid w:val="004064FE"/>
    <w:rsid w:val="004065A0"/>
    <w:rsid w:val="004067C6"/>
    <w:rsid w:val="0040694E"/>
    <w:rsid w:val="00406E13"/>
    <w:rsid w:val="0040702F"/>
    <w:rsid w:val="00407629"/>
    <w:rsid w:val="00407BE0"/>
    <w:rsid w:val="00407D47"/>
    <w:rsid w:val="00407D5D"/>
    <w:rsid w:val="004105E3"/>
    <w:rsid w:val="00410610"/>
    <w:rsid w:val="004106DA"/>
    <w:rsid w:val="004109EE"/>
    <w:rsid w:val="00410C59"/>
    <w:rsid w:val="004110CE"/>
    <w:rsid w:val="0041162B"/>
    <w:rsid w:val="00412755"/>
    <w:rsid w:val="00412B86"/>
    <w:rsid w:val="00412BED"/>
    <w:rsid w:val="00412F25"/>
    <w:rsid w:val="00412F47"/>
    <w:rsid w:val="004130D3"/>
    <w:rsid w:val="00413129"/>
    <w:rsid w:val="004132D3"/>
    <w:rsid w:val="00413601"/>
    <w:rsid w:val="004138F9"/>
    <w:rsid w:val="00413AE0"/>
    <w:rsid w:val="00413AF9"/>
    <w:rsid w:val="00413C29"/>
    <w:rsid w:val="0041413C"/>
    <w:rsid w:val="004145C5"/>
    <w:rsid w:val="004148B6"/>
    <w:rsid w:val="00414A37"/>
    <w:rsid w:val="00414BC5"/>
    <w:rsid w:val="00414D77"/>
    <w:rsid w:val="004151C8"/>
    <w:rsid w:val="004151FF"/>
    <w:rsid w:val="0041533F"/>
    <w:rsid w:val="004154E4"/>
    <w:rsid w:val="0041576D"/>
    <w:rsid w:val="00415DFA"/>
    <w:rsid w:val="00416115"/>
    <w:rsid w:val="0041654C"/>
    <w:rsid w:val="00416A47"/>
    <w:rsid w:val="00416A98"/>
    <w:rsid w:val="00416B63"/>
    <w:rsid w:val="00416CC1"/>
    <w:rsid w:val="00416E41"/>
    <w:rsid w:val="00416EBB"/>
    <w:rsid w:val="00417AE2"/>
    <w:rsid w:val="00417BC4"/>
    <w:rsid w:val="00417D3B"/>
    <w:rsid w:val="00417FF2"/>
    <w:rsid w:val="0042002D"/>
    <w:rsid w:val="00420EC9"/>
    <w:rsid w:val="00420F6D"/>
    <w:rsid w:val="0042152D"/>
    <w:rsid w:val="00421A19"/>
    <w:rsid w:val="00421AF3"/>
    <w:rsid w:val="00421BCD"/>
    <w:rsid w:val="00421CBB"/>
    <w:rsid w:val="004222DB"/>
    <w:rsid w:val="0042255F"/>
    <w:rsid w:val="004229EF"/>
    <w:rsid w:val="00422CAD"/>
    <w:rsid w:val="00423A80"/>
    <w:rsid w:val="00423F23"/>
    <w:rsid w:val="004241AE"/>
    <w:rsid w:val="00424C10"/>
    <w:rsid w:val="00424CB1"/>
    <w:rsid w:val="00424CFE"/>
    <w:rsid w:val="00424F10"/>
    <w:rsid w:val="00425185"/>
    <w:rsid w:val="00425D71"/>
    <w:rsid w:val="00426373"/>
    <w:rsid w:val="0042659D"/>
    <w:rsid w:val="00426C63"/>
    <w:rsid w:val="00426DC1"/>
    <w:rsid w:val="00426DF3"/>
    <w:rsid w:val="004274CF"/>
    <w:rsid w:val="00427509"/>
    <w:rsid w:val="004275FB"/>
    <w:rsid w:val="004278B6"/>
    <w:rsid w:val="00427A3F"/>
    <w:rsid w:val="00427DA7"/>
    <w:rsid w:val="0043009C"/>
    <w:rsid w:val="004301EA"/>
    <w:rsid w:val="00430AC7"/>
    <w:rsid w:val="00430B8B"/>
    <w:rsid w:val="00430BC7"/>
    <w:rsid w:val="00430FA1"/>
    <w:rsid w:val="004319DB"/>
    <w:rsid w:val="00431CFA"/>
    <w:rsid w:val="00431F0D"/>
    <w:rsid w:val="00431FE5"/>
    <w:rsid w:val="00432440"/>
    <w:rsid w:val="004324A2"/>
    <w:rsid w:val="004328EB"/>
    <w:rsid w:val="00432AE4"/>
    <w:rsid w:val="00432DA1"/>
    <w:rsid w:val="0043386A"/>
    <w:rsid w:val="004339E8"/>
    <w:rsid w:val="00434319"/>
    <w:rsid w:val="00434353"/>
    <w:rsid w:val="00434426"/>
    <w:rsid w:val="0043453E"/>
    <w:rsid w:val="00434973"/>
    <w:rsid w:val="004349E4"/>
    <w:rsid w:val="00434BB9"/>
    <w:rsid w:val="00434CA9"/>
    <w:rsid w:val="00434DA0"/>
    <w:rsid w:val="00434DDE"/>
    <w:rsid w:val="00435102"/>
    <w:rsid w:val="004351A1"/>
    <w:rsid w:val="0043520D"/>
    <w:rsid w:val="00435253"/>
    <w:rsid w:val="0043560D"/>
    <w:rsid w:val="0043569F"/>
    <w:rsid w:val="00435783"/>
    <w:rsid w:val="0043580B"/>
    <w:rsid w:val="00435826"/>
    <w:rsid w:val="004359A5"/>
    <w:rsid w:val="00435DFE"/>
    <w:rsid w:val="00436025"/>
    <w:rsid w:val="00436055"/>
    <w:rsid w:val="004362E8"/>
    <w:rsid w:val="00436585"/>
    <w:rsid w:val="004367E7"/>
    <w:rsid w:val="004368C1"/>
    <w:rsid w:val="00436C99"/>
    <w:rsid w:val="00436D75"/>
    <w:rsid w:val="00436ED3"/>
    <w:rsid w:val="00436F50"/>
    <w:rsid w:val="004375A7"/>
    <w:rsid w:val="00437770"/>
    <w:rsid w:val="004377EB"/>
    <w:rsid w:val="004378A1"/>
    <w:rsid w:val="004379E3"/>
    <w:rsid w:val="00437B70"/>
    <w:rsid w:val="00437D0B"/>
    <w:rsid w:val="00440066"/>
    <w:rsid w:val="0044033A"/>
    <w:rsid w:val="004406E3"/>
    <w:rsid w:val="004406FA"/>
    <w:rsid w:val="00440961"/>
    <w:rsid w:val="00440CE0"/>
    <w:rsid w:val="00441187"/>
    <w:rsid w:val="00441751"/>
    <w:rsid w:val="00441879"/>
    <w:rsid w:val="00442218"/>
    <w:rsid w:val="004423DD"/>
    <w:rsid w:val="0044328C"/>
    <w:rsid w:val="0044391A"/>
    <w:rsid w:val="00443AE0"/>
    <w:rsid w:val="00443D1A"/>
    <w:rsid w:val="00443EFA"/>
    <w:rsid w:val="0044423A"/>
    <w:rsid w:val="004442FD"/>
    <w:rsid w:val="00444392"/>
    <w:rsid w:val="0044464E"/>
    <w:rsid w:val="004447D9"/>
    <w:rsid w:val="0044490A"/>
    <w:rsid w:val="00444C4A"/>
    <w:rsid w:val="00444E48"/>
    <w:rsid w:val="00445366"/>
    <w:rsid w:val="004454A3"/>
    <w:rsid w:val="0044560E"/>
    <w:rsid w:val="004458EC"/>
    <w:rsid w:val="00445AEA"/>
    <w:rsid w:val="00446024"/>
    <w:rsid w:val="00446140"/>
    <w:rsid w:val="00446852"/>
    <w:rsid w:val="00446D08"/>
    <w:rsid w:val="00446E98"/>
    <w:rsid w:val="00446FF2"/>
    <w:rsid w:val="0044700C"/>
    <w:rsid w:val="00447108"/>
    <w:rsid w:val="00447208"/>
    <w:rsid w:val="00447651"/>
    <w:rsid w:val="00447710"/>
    <w:rsid w:val="00447738"/>
    <w:rsid w:val="004477E9"/>
    <w:rsid w:val="004479EC"/>
    <w:rsid w:val="00447A94"/>
    <w:rsid w:val="00447AB4"/>
    <w:rsid w:val="00447C50"/>
    <w:rsid w:val="00447CAC"/>
    <w:rsid w:val="00447E6A"/>
    <w:rsid w:val="0044F9B2"/>
    <w:rsid w:val="0045008A"/>
    <w:rsid w:val="0045041D"/>
    <w:rsid w:val="0045054D"/>
    <w:rsid w:val="00450942"/>
    <w:rsid w:val="00450C00"/>
    <w:rsid w:val="00450C06"/>
    <w:rsid w:val="00450F4D"/>
    <w:rsid w:val="00450FB7"/>
    <w:rsid w:val="00450FFD"/>
    <w:rsid w:val="0045186C"/>
    <w:rsid w:val="004522B1"/>
    <w:rsid w:val="00452953"/>
    <w:rsid w:val="00452A07"/>
    <w:rsid w:val="00452C5C"/>
    <w:rsid w:val="00452CCF"/>
    <w:rsid w:val="00452F50"/>
    <w:rsid w:val="00453864"/>
    <w:rsid w:val="0045387B"/>
    <w:rsid w:val="00454023"/>
    <w:rsid w:val="00454497"/>
    <w:rsid w:val="0045493C"/>
    <w:rsid w:val="004551C0"/>
    <w:rsid w:val="0045543D"/>
    <w:rsid w:val="00455594"/>
    <w:rsid w:val="004559ED"/>
    <w:rsid w:val="00455FE3"/>
    <w:rsid w:val="004560D0"/>
    <w:rsid w:val="0045678D"/>
    <w:rsid w:val="004567C1"/>
    <w:rsid w:val="004568CB"/>
    <w:rsid w:val="00456F03"/>
    <w:rsid w:val="00456FCC"/>
    <w:rsid w:val="00456FFD"/>
    <w:rsid w:val="00457253"/>
    <w:rsid w:val="0045732F"/>
    <w:rsid w:val="00457419"/>
    <w:rsid w:val="00457AB2"/>
    <w:rsid w:val="00457CBC"/>
    <w:rsid w:val="004605BB"/>
    <w:rsid w:val="004607D5"/>
    <w:rsid w:val="00460949"/>
    <w:rsid w:val="00460993"/>
    <w:rsid w:val="00460A65"/>
    <w:rsid w:val="00460C29"/>
    <w:rsid w:val="00460D51"/>
    <w:rsid w:val="00460DF7"/>
    <w:rsid w:val="00461003"/>
    <w:rsid w:val="004612F0"/>
    <w:rsid w:val="004614B6"/>
    <w:rsid w:val="0046195A"/>
    <w:rsid w:val="00461FD8"/>
    <w:rsid w:val="0046234E"/>
    <w:rsid w:val="0046265F"/>
    <w:rsid w:val="00462A35"/>
    <w:rsid w:val="00462B2F"/>
    <w:rsid w:val="00462B61"/>
    <w:rsid w:val="00462D90"/>
    <w:rsid w:val="00462DE2"/>
    <w:rsid w:val="00463537"/>
    <w:rsid w:val="00463BA2"/>
    <w:rsid w:val="00463D2C"/>
    <w:rsid w:val="00463E44"/>
    <w:rsid w:val="00464025"/>
    <w:rsid w:val="004641D7"/>
    <w:rsid w:val="0046439D"/>
    <w:rsid w:val="00464465"/>
    <w:rsid w:val="00464550"/>
    <w:rsid w:val="00464584"/>
    <w:rsid w:val="004647DA"/>
    <w:rsid w:val="004649ED"/>
    <w:rsid w:val="00464AD0"/>
    <w:rsid w:val="00464D12"/>
    <w:rsid w:val="00464F41"/>
    <w:rsid w:val="00465C92"/>
    <w:rsid w:val="004663B1"/>
    <w:rsid w:val="004665AD"/>
    <w:rsid w:val="00467023"/>
    <w:rsid w:val="0046743B"/>
    <w:rsid w:val="0046749B"/>
    <w:rsid w:val="00467694"/>
    <w:rsid w:val="00467816"/>
    <w:rsid w:val="00467A23"/>
    <w:rsid w:val="00467ABD"/>
    <w:rsid w:val="00467AEC"/>
    <w:rsid w:val="00467CCA"/>
    <w:rsid w:val="00467E25"/>
    <w:rsid w:val="004709A5"/>
    <w:rsid w:val="00470A6C"/>
    <w:rsid w:val="00470B55"/>
    <w:rsid w:val="00470BBC"/>
    <w:rsid w:val="00470C24"/>
    <w:rsid w:val="00470D27"/>
    <w:rsid w:val="00471243"/>
    <w:rsid w:val="004712D3"/>
    <w:rsid w:val="00471348"/>
    <w:rsid w:val="00471484"/>
    <w:rsid w:val="00471711"/>
    <w:rsid w:val="00471900"/>
    <w:rsid w:val="004719D3"/>
    <w:rsid w:val="00471CF2"/>
    <w:rsid w:val="00472035"/>
    <w:rsid w:val="00472236"/>
    <w:rsid w:val="00472260"/>
    <w:rsid w:val="0047243B"/>
    <w:rsid w:val="004730F9"/>
    <w:rsid w:val="00473221"/>
    <w:rsid w:val="0047331D"/>
    <w:rsid w:val="004735DC"/>
    <w:rsid w:val="00473E6F"/>
    <w:rsid w:val="00473F64"/>
    <w:rsid w:val="0047473C"/>
    <w:rsid w:val="004748F8"/>
    <w:rsid w:val="00474E9B"/>
    <w:rsid w:val="00474FA1"/>
    <w:rsid w:val="00475027"/>
    <w:rsid w:val="004751D2"/>
    <w:rsid w:val="0047526B"/>
    <w:rsid w:val="00475560"/>
    <w:rsid w:val="00475B51"/>
    <w:rsid w:val="00475C75"/>
    <w:rsid w:val="00476125"/>
    <w:rsid w:val="00476553"/>
    <w:rsid w:val="0047671B"/>
    <w:rsid w:val="00476A75"/>
    <w:rsid w:val="00476E59"/>
    <w:rsid w:val="00476F97"/>
    <w:rsid w:val="00477218"/>
    <w:rsid w:val="00477371"/>
    <w:rsid w:val="004774DA"/>
    <w:rsid w:val="004774EE"/>
    <w:rsid w:val="00477616"/>
    <w:rsid w:val="00477768"/>
    <w:rsid w:val="00477997"/>
    <w:rsid w:val="004779CB"/>
    <w:rsid w:val="00477C2E"/>
    <w:rsid w:val="00480003"/>
    <w:rsid w:val="004800BE"/>
    <w:rsid w:val="00480137"/>
    <w:rsid w:val="004807C4"/>
    <w:rsid w:val="00480DA5"/>
    <w:rsid w:val="00481318"/>
    <w:rsid w:val="004815C9"/>
    <w:rsid w:val="00481ABA"/>
    <w:rsid w:val="00481D8E"/>
    <w:rsid w:val="00481DC5"/>
    <w:rsid w:val="00481E2D"/>
    <w:rsid w:val="00482368"/>
    <w:rsid w:val="00482590"/>
    <w:rsid w:val="0048281F"/>
    <w:rsid w:val="00482B3A"/>
    <w:rsid w:val="00482D1B"/>
    <w:rsid w:val="00483192"/>
    <w:rsid w:val="00483641"/>
    <w:rsid w:val="004837DA"/>
    <w:rsid w:val="004839FA"/>
    <w:rsid w:val="004840C7"/>
    <w:rsid w:val="004841D6"/>
    <w:rsid w:val="004844A9"/>
    <w:rsid w:val="00484630"/>
    <w:rsid w:val="00484ABD"/>
    <w:rsid w:val="00484BA7"/>
    <w:rsid w:val="00484DF9"/>
    <w:rsid w:val="00484FA0"/>
    <w:rsid w:val="004858A8"/>
    <w:rsid w:val="004858CD"/>
    <w:rsid w:val="00485BEF"/>
    <w:rsid w:val="00485FBC"/>
    <w:rsid w:val="00486193"/>
    <w:rsid w:val="004861DF"/>
    <w:rsid w:val="0048653C"/>
    <w:rsid w:val="00486685"/>
    <w:rsid w:val="00486A3F"/>
    <w:rsid w:val="00487121"/>
    <w:rsid w:val="0048752F"/>
    <w:rsid w:val="004876E5"/>
    <w:rsid w:val="0048783F"/>
    <w:rsid w:val="00487925"/>
    <w:rsid w:val="00487B8C"/>
    <w:rsid w:val="0049015D"/>
    <w:rsid w:val="004901B9"/>
    <w:rsid w:val="004904C2"/>
    <w:rsid w:val="00490FFB"/>
    <w:rsid w:val="00491886"/>
    <w:rsid w:val="00491AC2"/>
    <w:rsid w:val="00491C83"/>
    <w:rsid w:val="00492159"/>
    <w:rsid w:val="004921D7"/>
    <w:rsid w:val="0049233C"/>
    <w:rsid w:val="004925E1"/>
    <w:rsid w:val="00492634"/>
    <w:rsid w:val="004929BC"/>
    <w:rsid w:val="00492B89"/>
    <w:rsid w:val="00492BA3"/>
    <w:rsid w:val="00492DE7"/>
    <w:rsid w:val="00492F4E"/>
    <w:rsid w:val="004931A2"/>
    <w:rsid w:val="0049344D"/>
    <w:rsid w:val="00493683"/>
    <w:rsid w:val="0049372C"/>
    <w:rsid w:val="004937F9"/>
    <w:rsid w:val="00493A65"/>
    <w:rsid w:val="00493B47"/>
    <w:rsid w:val="00493E29"/>
    <w:rsid w:val="00493E4E"/>
    <w:rsid w:val="00494223"/>
    <w:rsid w:val="00494469"/>
    <w:rsid w:val="004947AC"/>
    <w:rsid w:val="004947DD"/>
    <w:rsid w:val="00494C3E"/>
    <w:rsid w:val="00494FA4"/>
    <w:rsid w:val="00495667"/>
    <w:rsid w:val="00495748"/>
    <w:rsid w:val="00495C10"/>
    <w:rsid w:val="00495C54"/>
    <w:rsid w:val="0049603D"/>
    <w:rsid w:val="00496216"/>
    <w:rsid w:val="0049628A"/>
    <w:rsid w:val="00496590"/>
    <w:rsid w:val="004969F6"/>
    <w:rsid w:val="00496CCB"/>
    <w:rsid w:val="00496D86"/>
    <w:rsid w:val="00496E8C"/>
    <w:rsid w:val="00496F1D"/>
    <w:rsid w:val="004972FE"/>
    <w:rsid w:val="00497799"/>
    <w:rsid w:val="00497B7A"/>
    <w:rsid w:val="00497C3B"/>
    <w:rsid w:val="00497CB9"/>
    <w:rsid w:val="00497E1C"/>
    <w:rsid w:val="00497FE3"/>
    <w:rsid w:val="004A091F"/>
    <w:rsid w:val="004A0D3E"/>
    <w:rsid w:val="004A0EE6"/>
    <w:rsid w:val="004A1809"/>
    <w:rsid w:val="004A1B5D"/>
    <w:rsid w:val="004A1B61"/>
    <w:rsid w:val="004A26BC"/>
    <w:rsid w:val="004A2A9C"/>
    <w:rsid w:val="004A2D3B"/>
    <w:rsid w:val="004A2DD4"/>
    <w:rsid w:val="004A2E75"/>
    <w:rsid w:val="004A2EE3"/>
    <w:rsid w:val="004A30BF"/>
    <w:rsid w:val="004A33C1"/>
    <w:rsid w:val="004A33C7"/>
    <w:rsid w:val="004A3565"/>
    <w:rsid w:val="004A35FC"/>
    <w:rsid w:val="004A3748"/>
    <w:rsid w:val="004A3808"/>
    <w:rsid w:val="004A3FCA"/>
    <w:rsid w:val="004A430D"/>
    <w:rsid w:val="004A4311"/>
    <w:rsid w:val="004A450C"/>
    <w:rsid w:val="004A4BCF"/>
    <w:rsid w:val="004A4D3D"/>
    <w:rsid w:val="004A53A5"/>
    <w:rsid w:val="004A592C"/>
    <w:rsid w:val="004A5A06"/>
    <w:rsid w:val="004A5A5B"/>
    <w:rsid w:val="004A5D89"/>
    <w:rsid w:val="004A628F"/>
    <w:rsid w:val="004A62DF"/>
    <w:rsid w:val="004A6599"/>
    <w:rsid w:val="004A6689"/>
    <w:rsid w:val="004A66D7"/>
    <w:rsid w:val="004A6CD6"/>
    <w:rsid w:val="004A6DD2"/>
    <w:rsid w:val="004A6EBD"/>
    <w:rsid w:val="004A706A"/>
    <w:rsid w:val="004A723E"/>
    <w:rsid w:val="004A74B0"/>
    <w:rsid w:val="004A756D"/>
    <w:rsid w:val="004A775F"/>
    <w:rsid w:val="004A78A2"/>
    <w:rsid w:val="004A78AF"/>
    <w:rsid w:val="004A7CE8"/>
    <w:rsid w:val="004A7E2E"/>
    <w:rsid w:val="004A7EB0"/>
    <w:rsid w:val="004B03D9"/>
    <w:rsid w:val="004B0539"/>
    <w:rsid w:val="004B08D9"/>
    <w:rsid w:val="004B0AB6"/>
    <w:rsid w:val="004B0F14"/>
    <w:rsid w:val="004B1256"/>
    <w:rsid w:val="004B13E8"/>
    <w:rsid w:val="004B1744"/>
    <w:rsid w:val="004B1F05"/>
    <w:rsid w:val="004B22F8"/>
    <w:rsid w:val="004B2739"/>
    <w:rsid w:val="004B278B"/>
    <w:rsid w:val="004B2792"/>
    <w:rsid w:val="004B27BC"/>
    <w:rsid w:val="004B29EE"/>
    <w:rsid w:val="004B2AFF"/>
    <w:rsid w:val="004B3104"/>
    <w:rsid w:val="004B365D"/>
    <w:rsid w:val="004B3A4F"/>
    <w:rsid w:val="004B3CBD"/>
    <w:rsid w:val="004B3CFD"/>
    <w:rsid w:val="004B3EC8"/>
    <w:rsid w:val="004B4AA6"/>
    <w:rsid w:val="004B4B26"/>
    <w:rsid w:val="004B4BA2"/>
    <w:rsid w:val="004B5330"/>
    <w:rsid w:val="004B5AF5"/>
    <w:rsid w:val="004B65E7"/>
    <w:rsid w:val="004B6664"/>
    <w:rsid w:val="004B6AA9"/>
    <w:rsid w:val="004B728F"/>
    <w:rsid w:val="004B779F"/>
    <w:rsid w:val="004B79FA"/>
    <w:rsid w:val="004C001B"/>
    <w:rsid w:val="004C0B8C"/>
    <w:rsid w:val="004C0CD1"/>
    <w:rsid w:val="004C1390"/>
    <w:rsid w:val="004C14C8"/>
    <w:rsid w:val="004C1651"/>
    <w:rsid w:val="004C1932"/>
    <w:rsid w:val="004C19DD"/>
    <w:rsid w:val="004C19E9"/>
    <w:rsid w:val="004C1BAB"/>
    <w:rsid w:val="004C2EBD"/>
    <w:rsid w:val="004C332F"/>
    <w:rsid w:val="004C3B2E"/>
    <w:rsid w:val="004C4179"/>
    <w:rsid w:val="004C42AB"/>
    <w:rsid w:val="004C4696"/>
    <w:rsid w:val="004C4965"/>
    <w:rsid w:val="004C4B1F"/>
    <w:rsid w:val="004C4C3E"/>
    <w:rsid w:val="004C4DFB"/>
    <w:rsid w:val="004C4ED2"/>
    <w:rsid w:val="004C50BE"/>
    <w:rsid w:val="004C530D"/>
    <w:rsid w:val="004C55D7"/>
    <w:rsid w:val="004C57F5"/>
    <w:rsid w:val="004C5976"/>
    <w:rsid w:val="004C5C84"/>
    <w:rsid w:val="004C5D15"/>
    <w:rsid w:val="004C5F07"/>
    <w:rsid w:val="004C6101"/>
    <w:rsid w:val="004C6687"/>
    <w:rsid w:val="004C699F"/>
    <w:rsid w:val="004C6F85"/>
    <w:rsid w:val="004C6FE2"/>
    <w:rsid w:val="004C7051"/>
    <w:rsid w:val="004C7160"/>
    <w:rsid w:val="004C7266"/>
    <w:rsid w:val="004C7338"/>
    <w:rsid w:val="004C7793"/>
    <w:rsid w:val="004C7F85"/>
    <w:rsid w:val="004C7F9F"/>
    <w:rsid w:val="004D023C"/>
    <w:rsid w:val="004D0759"/>
    <w:rsid w:val="004D0850"/>
    <w:rsid w:val="004D0CA8"/>
    <w:rsid w:val="004D1442"/>
    <w:rsid w:val="004D157E"/>
    <w:rsid w:val="004D188A"/>
    <w:rsid w:val="004D1B87"/>
    <w:rsid w:val="004D1CD9"/>
    <w:rsid w:val="004D239A"/>
    <w:rsid w:val="004D288D"/>
    <w:rsid w:val="004D2A14"/>
    <w:rsid w:val="004D2BA4"/>
    <w:rsid w:val="004D2D30"/>
    <w:rsid w:val="004D343F"/>
    <w:rsid w:val="004D3A5E"/>
    <w:rsid w:val="004D3F59"/>
    <w:rsid w:val="004D414E"/>
    <w:rsid w:val="004D4834"/>
    <w:rsid w:val="004D496F"/>
    <w:rsid w:val="004D51FA"/>
    <w:rsid w:val="004D5676"/>
    <w:rsid w:val="004D5A8B"/>
    <w:rsid w:val="004D5DC6"/>
    <w:rsid w:val="004D612C"/>
    <w:rsid w:val="004D6174"/>
    <w:rsid w:val="004D63A1"/>
    <w:rsid w:val="004D64F8"/>
    <w:rsid w:val="004D6708"/>
    <w:rsid w:val="004D6DA5"/>
    <w:rsid w:val="004D6E00"/>
    <w:rsid w:val="004D71F5"/>
    <w:rsid w:val="004D7659"/>
    <w:rsid w:val="004D774D"/>
    <w:rsid w:val="004D79F9"/>
    <w:rsid w:val="004D7A43"/>
    <w:rsid w:val="004D7DB4"/>
    <w:rsid w:val="004D7E98"/>
    <w:rsid w:val="004E007C"/>
    <w:rsid w:val="004E038F"/>
    <w:rsid w:val="004E0526"/>
    <w:rsid w:val="004E0913"/>
    <w:rsid w:val="004E099B"/>
    <w:rsid w:val="004E0E4C"/>
    <w:rsid w:val="004E1137"/>
    <w:rsid w:val="004E1261"/>
    <w:rsid w:val="004E14B0"/>
    <w:rsid w:val="004E17B4"/>
    <w:rsid w:val="004E17C9"/>
    <w:rsid w:val="004E18A7"/>
    <w:rsid w:val="004E19E5"/>
    <w:rsid w:val="004E1B65"/>
    <w:rsid w:val="004E1C70"/>
    <w:rsid w:val="004E1D81"/>
    <w:rsid w:val="004E1FEC"/>
    <w:rsid w:val="004E2208"/>
    <w:rsid w:val="004E2465"/>
    <w:rsid w:val="004E258B"/>
    <w:rsid w:val="004E2AF6"/>
    <w:rsid w:val="004E2F33"/>
    <w:rsid w:val="004E35B7"/>
    <w:rsid w:val="004E36FF"/>
    <w:rsid w:val="004E3754"/>
    <w:rsid w:val="004E37C1"/>
    <w:rsid w:val="004E40C0"/>
    <w:rsid w:val="004E41B7"/>
    <w:rsid w:val="004E429F"/>
    <w:rsid w:val="004E4371"/>
    <w:rsid w:val="004E4559"/>
    <w:rsid w:val="004E4C5A"/>
    <w:rsid w:val="004E4E43"/>
    <w:rsid w:val="004E4F84"/>
    <w:rsid w:val="004E513E"/>
    <w:rsid w:val="004E5313"/>
    <w:rsid w:val="004E55C5"/>
    <w:rsid w:val="004E59E1"/>
    <w:rsid w:val="004E5C1F"/>
    <w:rsid w:val="004E5F5A"/>
    <w:rsid w:val="004E602F"/>
    <w:rsid w:val="004E60C8"/>
    <w:rsid w:val="004E60CE"/>
    <w:rsid w:val="004E66B0"/>
    <w:rsid w:val="004E6732"/>
    <w:rsid w:val="004E69DF"/>
    <w:rsid w:val="004E6B7E"/>
    <w:rsid w:val="004E6C76"/>
    <w:rsid w:val="004E6F9F"/>
    <w:rsid w:val="004E7138"/>
    <w:rsid w:val="004E746A"/>
    <w:rsid w:val="004E7875"/>
    <w:rsid w:val="004E7896"/>
    <w:rsid w:val="004F011E"/>
    <w:rsid w:val="004F025B"/>
    <w:rsid w:val="004F0FF9"/>
    <w:rsid w:val="004F1041"/>
    <w:rsid w:val="004F1755"/>
    <w:rsid w:val="004F17B8"/>
    <w:rsid w:val="004F1D21"/>
    <w:rsid w:val="004F2410"/>
    <w:rsid w:val="004F25C5"/>
    <w:rsid w:val="004F2656"/>
    <w:rsid w:val="004F26F7"/>
    <w:rsid w:val="004F272C"/>
    <w:rsid w:val="004F2888"/>
    <w:rsid w:val="004F2C09"/>
    <w:rsid w:val="004F2D57"/>
    <w:rsid w:val="004F2E75"/>
    <w:rsid w:val="004F2F43"/>
    <w:rsid w:val="004F30BF"/>
    <w:rsid w:val="004F315F"/>
    <w:rsid w:val="004F358C"/>
    <w:rsid w:val="004F368D"/>
    <w:rsid w:val="004F375B"/>
    <w:rsid w:val="004F3A40"/>
    <w:rsid w:val="004F3CFC"/>
    <w:rsid w:val="004F3F05"/>
    <w:rsid w:val="004F46E9"/>
    <w:rsid w:val="004F4994"/>
    <w:rsid w:val="004F527E"/>
    <w:rsid w:val="004F5646"/>
    <w:rsid w:val="004F5894"/>
    <w:rsid w:val="004F5C4D"/>
    <w:rsid w:val="004F5DC6"/>
    <w:rsid w:val="004F5E0C"/>
    <w:rsid w:val="004F5FD1"/>
    <w:rsid w:val="004F60D4"/>
    <w:rsid w:val="004F62BD"/>
    <w:rsid w:val="004F6425"/>
    <w:rsid w:val="004F64B9"/>
    <w:rsid w:val="004F6BE0"/>
    <w:rsid w:val="004F6EBB"/>
    <w:rsid w:val="004F6FF1"/>
    <w:rsid w:val="004F701E"/>
    <w:rsid w:val="004F7194"/>
    <w:rsid w:val="004F7936"/>
    <w:rsid w:val="004F7DDB"/>
    <w:rsid w:val="004F7F6C"/>
    <w:rsid w:val="00500424"/>
    <w:rsid w:val="00500537"/>
    <w:rsid w:val="00500679"/>
    <w:rsid w:val="00500879"/>
    <w:rsid w:val="005011AB"/>
    <w:rsid w:val="005013A8"/>
    <w:rsid w:val="0050155A"/>
    <w:rsid w:val="00501643"/>
    <w:rsid w:val="0050165D"/>
    <w:rsid w:val="005016CC"/>
    <w:rsid w:val="005018C1"/>
    <w:rsid w:val="00501A93"/>
    <w:rsid w:val="00501B92"/>
    <w:rsid w:val="00501E44"/>
    <w:rsid w:val="00502045"/>
    <w:rsid w:val="005022FE"/>
    <w:rsid w:val="00502529"/>
    <w:rsid w:val="00502A49"/>
    <w:rsid w:val="00502C7F"/>
    <w:rsid w:val="00502F76"/>
    <w:rsid w:val="0050328C"/>
    <w:rsid w:val="005038E9"/>
    <w:rsid w:val="00503E59"/>
    <w:rsid w:val="005044A8"/>
    <w:rsid w:val="005046B1"/>
    <w:rsid w:val="00504947"/>
    <w:rsid w:val="005049C4"/>
    <w:rsid w:val="00504FF6"/>
    <w:rsid w:val="00505494"/>
    <w:rsid w:val="005054B9"/>
    <w:rsid w:val="00505898"/>
    <w:rsid w:val="00505A37"/>
    <w:rsid w:val="00505B8E"/>
    <w:rsid w:val="00505E8B"/>
    <w:rsid w:val="005066AB"/>
    <w:rsid w:val="005067FC"/>
    <w:rsid w:val="00506845"/>
    <w:rsid w:val="00506E85"/>
    <w:rsid w:val="00507502"/>
    <w:rsid w:val="005076C0"/>
    <w:rsid w:val="005076F8"/>
    <w:rsid w:val="005078FD"/>
    <w:rsid w:val="00507B34"/>
    <w:rsid w:val="00507BE0"/>
    <w:rsid w:val="0051049D"/>
    <w:rsid w:val="005105B3"/>
    <w:rsid w:val="0051068A"/>
    <w:rsid w:val="005107FB"/>
    <w:rsid w:val="00510901"/>
    <w:rsid w:val="0051095D"/>
    <w:rsid w:val="00510FAD"/>
    <w:rsid w:val="00510FF1"/>
    <w:rsid w:val="00511324"/>
    <w:rsid w:val="005118F2"/>
    <w:rsid w:val="005119B4"/>
    <w:rsid w:val="00511F18"/>
    <w:rsid w:val="00512011"/>
    <w:rsid w:val="0051230C"/>
    <w:rsid w:val="00512836"/>
    <w:rsid w:val="005129C2"/>
    <w:rsid w:val="00512A2B"/>
    <w:rsid w:val="00512B56"/>
    <w:rsid w:val="00512BEE"/>
    <w:rsid w:val="00512C3D"/>
    <w:rsid w:val="00513770"/>
    <w:rsid w:val="005138D3"/>
    <w:rsid w:val="00513B81"/>
    <w:rsid w:val="00513BB3"/>
    <w:rsid w:val="00513F87"/>
    <w:rsid w:val="00514036"/>
    <w:rsid w:val="005141D6"/>
    <w:rsid w:val="005145C5"/>
    <w:rsid w:val="00514811"/>
    <w:rsid w:val="00514D08"/>
    <w:rsid w:val="00514D55"/>
    <w:rsid w:val="00514E0D"/>
    <w:rsid w:val="0051579E"/>
    <w:rsid w:val="00515B33"/>
    <w:rsid w:val="00516539"/>
    <w:rsid w:val="005169E2"/>
    <w:rsid w:val="00516CC8"/>
    <w:rsid w:val="00516D05"/>
    <w:rsid w:val="00516E0D"/>
    <w:rsid w:val="00517530"/>
    <w:rsid w:val="00517536"/>
    <w:rsid w:val="005177C6"/>
    <w:rsid w:val="00517802"/>
    <w:rsid w:val="00517C8D"/>
    <w:rsid w:val="00517C98"/>
    <w:rsid w:val="00517E05"/>
    <w:rsid w:val="005201C7"/>
    <w:rsid w:val="00520211"/>
    <w:rsid w:val="00520246"/>
    <w:rsid w:val="00520403"/>
    <w:rsid w:val="005207AC"/>
    <w:rsid w:val="005208EB"/>
    <w:rsid w:val="005209F2"/>
    <w:rsid w:val="00520B03"/>
    <w:rsid w:val="00520BB9"/>
    <w:rsid w:val="005217C3"/>
    <w:rsid w:val="0052198C"/>
    <w:rsid w:val="005219A4"/>
    <w:rsid w:val="00521B9A"/>
    <w:rsid w:val="00521C2C"/>
    <w:rsid w:val="00521CA3"/>
    <w:rsid w:val="00521D9F"/>
    <w:rsid w:val="0052228E"/>
    <w:rsid w:val="005222BF"/>
    <w:rsid w:val="00522399"/>
    <w:rsid w:val="0052353E"/>
    <w:rsid w:val="00523604"/>
    <w:rsid w:val="00523645"/>
    <w:rsid w:val="00523885"/>
    <w:rsid w:val="005238CB"/>
    <w:rsid w:val="005240F1"/>
    <w:rsid w:val="00524207"/>
    <w:rsid w:val="00524497"/>
    <w:rsid w:val="00524517"/>
    <w:rsid w:val="00524CD9"/>
    <w:rsid w:val="00524EF9"/>
    <w:rsid w:val="005252FF"/>
    <w:rsid w:val="00525497"/>
    <w:rsid w:val="005254A8"/>
    <w:rsid w:val="00525846"/>
    <w:rsid w:val="005258C3"/>
    <w:rsid w:val="00525CCD"/>
    <w:rsid w:val="00525D42"/>
    <w:rsid w:val="00525F34"/>
    <w:rsid w:val="00526045"/>
    <w:rsid w:val="0052621F"/>
    <w:rsid w:val="00526432"/>
    <w:rsid w:val="00526ACF"/>
    <w:rsid w:val="00526E16"/>
    <w:rsid w:val="00527112"/>
    <w:rsid w:val="0052711D"/>
    <w:rsid w:val="00527504"/>
    <w:rsid w:val="005275C6"/>
    <w:rsid w:val="00527638"/>
    <w:rsid w:val="0052764E"/>
    <w:rsid w:val="0052789C"/>
    <w:rsid w:val="0052799D"/>
    <w:rsid w:val="00527F2E"/>
    <w:rsid w:val="0053013E"/>
    <w:rsid w:val="00530247"/>
    <w:rsid w:val="00530596"/>
    <w:rsid w:val="005305F0"/>
    <w:rsid w:val="00530656"/>
    <w:rsid w:val="00530817"/>
    <w:rsid w:val="00530AD6"/>
    <w:rsid w:val="00530D90"/>
    <w:rsid w:val="00530EF5"/>
    <w:rsid w:val="00530F39"/>
    <w:rsid w:val="00531353"/>
    <w:rsid w:val="0053146B"/>
    <w:rsid w:val="00531811"/>
    <w:rsid w:val="00531A00"/>
    <w:rsid w:val="00531BE1"/>
    <w:rsid w:val="00531C9F"/>
    <w:rsid w:val="00531F2F"/>
    <w:rsid w:val="00532025"/>
    <w:rsid w:val="00532040"/>
    <w:rsid w:val="00532106"/>
    <w:rsid w:val="00532381"/>
    <w:rsid w:val="0053241E"/>
    <w:rsid w:val="00532897"/>
    <w:rsid w:val="005328DF"/>
    <w:rsid w:val="00532A12"/>
    <w:rsid w:val="00532A66"/>
    <w:rsid w:val="00532C72"/>
    <w:rsid w:val="00533507"/>
    <w:rsid w:val="005336A9"/>
    <w:rsid w:val="00533905"/>
    <w:rsid w:val="00533A7E"/>
    <w:rsid w:val="00533EA1"/>
    <w:rsid w:val="00534385"/>
    <w:rsid w:val="00534575"/>
    <w:rsid w:val="0053472A"/>
    <w:rsid w:val="00534739"/>
    <w:rsid w:val="0053473B"/>
    <w:rsid w:val="005347B1"/>
    <w:rsid w:val="00534AFE"/>
    <w:rsid w:val="00534BDA"/>
    <w:rsid w:val="00534CA5"/>
    <w:rsid w:val="00534F6C"/>
    <w:rsid w:val="005351D4"/>
    <w:rsid w:val="00535599"/>
    <w:rsid w:val="0053568C"/>
    <w:rsid w:val="005357B6"/>
    <w:rsid w:val="005358DF"/>
    <w:rsid w:val="00535B35"/>
    <w:rsid w:val="00535E04"/>
    <w:rsid w:val="005362FA"/>
    <w:rsid w:val="00536504"/>
    <w:rsid w:val="005365C0"/>
    <w:rsid w:val="0053661E"/>
    <w:rsid w:val="00536745"/>
    <w:rsid w:val="00536FE6"/>
    <w:rsid w:val="00537265"/>
    <w:rsid w:val="005374C5"/>
    <w:rsid w:val="0053778F"/>
    <w:rsid w:val="005378AA"/>
    <w:rsid w:val="00537911"/>
    <w:rsid w:val="0053794A"/>
    <w:rsid w:val="00537AFF"/>
    <w:rsid w:val="00537BF7"/>
    <w:rsid w:val="00537E57"/>
    <w:rsid w:val="005405A7"/>
    <w:rsid w:val="005407B8"/>
    <w:rsid w:val="0054084C"/>
    <w:rsid w:val="00540872"/>
    <w:rsid w:val="005409E1"/>
    <w:rsid w:val="00540A6C"/>
    <w:rsid w:val="00541428"/>
    <w:rsid w:val="00541867"/>
    <w:rsid w:val="0054191B"/>
    <w:rsid w:val="00541F69"/>
    <w:rsid w:val="00542098"/>
    <w:rsid w:val="00542874"/>
    <w:rsid w:val="00542C87"/>
    <w:rsid w:val="00542D0E"/>
    <w:rsid w:val="0054315C"/>
    <w:rsid w:val="0054321D"/>
    <w:rsid w:val="0054362A"/>
    <w:rsid w:val="00544158"/>
    <w:rsid w:val="00544AEA"/>
    <w:rsid w:val="00544C88"/>
    <w:rsid w:val="00544E00"/>
    <w:rsid w:val="00544FC6"/>
    <w:rsid w:val="00544FD2"/>
    <w:rsid w:val="00545362"/>
    <w:rsid w:val="005455EF"/>
    <w:rsid w:val="00545875"/>
    <w:rsid w:val="005458A9"/>
    <w:rsid w:val="005467F7"/>
    <w:rsid w:val="00546C3F"/>
    <w:rsid w:val="0054712F"/>
    <w:rsid w:val="005471B1"/>
    <w:rsid w:val="00547418"/>
    <w:rsid w:val="005474E4"/>
    <w:rsid w:val="00547C3C"/>
    <w:rsid w:val="0055064A"/>
    <w:rsid w:val="00550803"/>
    <w:rsid w:val="00550866"/>
    <w:rsid w:val="00550978"/>
    <w:rsid w:val="00550ADE"/>
    <w:rsid w:val="00550AF2"/>
    <w:rsid w:val="00550C6E"/>
    <w:rsid w:val="0055101C"/>
    <w:rsid w:val="00551020"/>
    <w:rsid w:val="00551477"/>
    <w:rsid w:val="005517DF"/>
    <w:rsid w:val="00551B52"/>
    <w:rsid w:val="00551C3C"/>
    <w:rsid w:val="00551D7E"/>
    <w:rsid w:val="005522A5"/>
    <w:rsid w:val="00552380"/>
    <w:rsid w:val="00552A04"/>
    <w:rsid w:val="00552BF5"/>
    <w:rsid w:val="00552E42"/>
    <w:rsid w:val="00552F26"/>
    <w:rsid w:val="00552F9D"/>
    <w:rsid w:val="005533F6"/>
    <w:rsid w:val="005534CF"/>
    <w:rsid w:val="005537EF"/>
    <w:rsid w:val="005539BD"/>
    <w:rsid w:val="00553C10"/>
    <w:rsid w:val="00553F34"/>
    <w:rsid w:val="005540B3"/>
    <w:rsid w:val="0055494E"/>
    <w:rsid w:val="00554C02"/>
    <w:rsid w:val="005551B7"/>
    <w:rsid w:val="005554F9"/>
    <w:rsid w:val="005559E1"/>
    <w:rsid w:val="0055606F"/>
    <w:rsid w:val="005564E0"/>
    <w:rsid w:val="00556773"/>
    <w:rsid w:val="00556840"/>
    <w:rsid w:val="00556BDA"/>
    <w:rsid w:val="00556C48"/>
    <w:rsid w:val="005571E4"/>
    <w:rsid w:val="0055752C"/>
    <w:rsid w:val="00557C0C"/>
    <w:rsid w:val="00560113"/>
    <w:rsid w:val="00560139"/>
    <w:rsid w:val="005606B8"/>
    <w:rsid w:val="00560755"/>
    <w:rsid w:val="005608F0"/>
    <w:rsid w:val="00560CED"/>
    <w:rsid w:val="0056106F"/>
    <w:rsid w:val="00561A66"/>
    <w:rsid w:val="00561B4B"/>
    <w:rsid w:val="00561B4C"/>
    <w:rsid w:val="00561B64"/>
    <w:rsid w:val="00561F2B"/>
    <w:rsid w:val="00562021"/>
    <w:rsid w:val="00562909"/>
    <w:rsid w:val="00562F73"/>
    <w:rsid w:val="0056321A"/>
    <w:rsid w:val="005636A5"/>
    <w:rsid w:val="00563704"/>
    <w:rsid w:val="00563901"/>
    <w:rsid w:val="0056398C"/>
    <w:rsid w:val="00563C01"/>
    <w:rsid w:val="00563E36"/>
    <w:rsid w:val="00564053"/>
    <w:rsid w:val="00564849"/>
    <w:rsid w:val="00564C78"/>
    <w:rsid w:val="00564D45"/>
    <w:rsid w:val="00564DE3"/>
    <w:rsid w:val="0056500D"/>
    <w:rsid w:val="005651A6"/>
    <w:rsid w:val="0056522E"/>
    <w:rsid w:val="00565AB4"/>
    <w:rsid w:val="00565B0D"/>
    <w:rsid w:val="00565CD0"/>
    <w:rsid w:val="0056600A"/>
    <w:rsid w:val="00566390"/>
    <w:rsid w:val="0056641A"/>
    <w:rsid w:val="0056653A"/>
    <w:rsid w:val="00566782"/>
    <w:rsid w:val="00566816"/>
    <w:rsid w:val="00566E50"/>
    <w:rsid w:val="005671C8"/>
    <w:rsid w:val="00567687"/>
    <w:rsid w:val="00567824"/>
    <w:rsid w:val="00567A61"/>
    <w:rsid w:val="00567AA2"/>
    <w:rsid w:val="00567E2F"/>
    <w:rsid w:val="00567F9E"/>
    <w:rsid w:val="0057008E"/>
    <w:rsid w:val="0057020D"/>
    <w:rsid w:val="005703D2"/>
    <w:rsid w:val="005706FA"/>
    <w:rsid w:val="00570826"/>
    <w:rsid w:val="00570BA7"/>
    <w:rsid w:val="00570E32"/>
    <w:rsid w:val="00570FE3"/>
    <w:rsid w:val="00570FE8"/>
    <w:rsid w:val="005711CE"/>
    <w:rsid w:val="00571358"/>
    <w:rsid w:val="00571563"/>
    <w:rsid w:val="00571889"/>
    <w:rsid w:val="00572034"/>
    <w:rsid w:val="00572547"/>
    <w:rsid w:val="00572627"/>
    <w:rsid w:val="005727F3"/>
    <w:rsid w:val="00572A20"/>
    <w:rsid w:val="00572B22"/>
    <w:rsid w:val="00572BF2"/>
    <w:rsid w:val="00572C87"/>
    <w:rsid w:val="00572CE1"/>
    <w:rsid w:val="00572D6C"/>
    <w:rsid w:val="0057310C"/>
    <w:rsid w:val="00573306"/>
    <w:rsid w:val="0057339F"/>
    <w:rsid w:val="00573682"/>
    <w:rsid w:val="005736BF"/>
    <w:rsid w:val="0057392E"/>
    <w:rsid w:val="00573B87"/>
    <w:rsid w:val="00574B99"/>
    <w:rsid w:val="00574D24"/>
    <w:rsid w:val="00574FCD"/>
    <w:rsid w:val="00575057"/>
    <w:rsid w:val="005750BC"/>
    <w:rsid w:val="005750E7"/>
    <w:rsid w:val="005751CE"/>
    <w:rsid w:val="00575679"/>
    <w:rsid w:val="00575849"/>
    <w:rsid w:val="005759E2"/>
    <w:rsid w:val="005759EC"/>
    <w:rsid w:val="00576006"/>
    <w:rsid w:val="00576D94"/>
    <w:rsid w:val="00576F6B"/>
    <w:rsid w:val="00576F90"/>
    <w:rsid w:val="0057728E"/>
    <w:rsid w:val="00577478"/>
    <w:rsid w:val="00577633"/>
    <w:rsid w:val="0057763B"/>
    <w:rsid w:val="00577ADA"/>
    <w:rsid w:val="00577E1C"/>
    <w:rsid w:val="0058011F"/>
    <w:rsid w:val="00580CAC"/>
    <w:rsid w:val="00580CC3"/>
    <w:rsid w:val="00580EF1"/>
    <w:rsid w:val="005811A0"/>
    <w:rsid w:val="00581328"/>
    <w:rsid w:val="0058169A"/>
    <w:rsid w:val="005818A1"/>
    <w:rsid w:val="00581C45"/>
    <w:rsid w:val="00581E56"/>
    <w:rsid w:val="0058223A"/>
    <w:rsid w:val="00582334"/>
    <w:rsid w:val="005823FD"/>
    <w:rsid w:val="005827C4"/>
    <w:rsid w:val="00583427"/>
    <w:rsid w:val="00583562"/>
    <w:rsid w:val="0058385E"/>
    <w:rsid w:val="00583B41"/>
    <w:rsid w:val="00583D14"/>
    <w:rsid w:val="005842F5"/>
    <w:rsid w:val="0058433D"/>
    <w:rsid w:val="00584386"/>
    <w:rsid w:val="005843A0"/>
    <w:rsid w:val="00584647"/>
    <w:rsid w:val="005846A4"/>
    <w:rsid w:val="00584922"/>
    <w:rsid w:val="00584BAF"/>
    <w:rsid w:val="00584F23"/>
    <w:rsid w:val="005852FD"/>
    <w:rsid w:val="0058551C"/>
    <w:rsid w:val="005857D5"/>
    <w:rsid w:val="005858B9"/>
    <w:rsid w:val="005858D4"/>
    <w:rsid w:val="00585AC8"/>
    <w:rsid w:val="005861BD"/>
    <w:rsid w:val="00586916"/>
    <w:rsid w:val="00586A5A"/>
    <w:rsid w:val="00586AEA"/>
    <w:rsid w:val="00586CB2"/>
    <w:rsid w:val="00586DDE"/>
    <w:rsid w:val="00587340"/>
    <w:rsid w:val="00587341"/>
    <w:rsid w:val="005877C5"/>
    <w:rsid w:val="005878E0"/>
    <w:rsid w:val="00587923"/>
    <w:rsid w:val="00587C1D"/>
    <w:rsid w:val="005901C7"/>
    <w:rsid w:val="005908AD"/>
    <w:rsid w:val="005908BB"/>
    <w:rsid w:val="00590C0F"/>
    <w:rsid w:val="00590F26"/>
    <w:rsid w:val="00590FC0"/>
    <w:rsid w:val="005910D5"/>
    <w:rsid w:val="005918C2"/>
    <w:rsid w:val="005918E4"/>
    <w:rsid w:val="005922D0"/>
    <w:rsid w:val="00592B48"/>
    <w:rsid w:val="00592E40"/>
    <w:rsid w:val="0059319C"/>
    <w:rsid w:val="005932D9"/>
    <w:rsid w:val="0059331E"/>
    <w:rsid w:val="0059352F"/>
    <w:rsid w:val="005938A1"/>
    <w:rsid w:val="00594115"/>
    <w:rsid w:val="00594398"/>
    <w:rsid w:val="00594576"/>
    <w:rsid w:val="00594982"/>
    <w:rsid w:val="0059534E"/>
    <w:rsid w:val="00595FB0"/>
    <w:rsid w:val="005963A4"/>
    <w:rsid w:val="0059652B"/>
    <w:rsid w:val="0059653F"/>
    <w:rsid w:val="00596841"/>
    <w:rsid w:val="005968F3"/>
    <w:rsid w:val="00596A70"/>
    <w:rsid w:val="00596C71"/>
    <w:rsid w:val="00596F8B"/>
    <w:rsid w:val="00597187"/>
    <w:rsid w:val="00597459"/>
    <w:rsid w:val="00597539"/>
    <w:rsid w:val="0059773A"/>
    <w:rsid w:val="00597924"/>
    <w:rsid w:val="00597D45"/>
    <w:rsid w:val="005A021E"/>
    <w:rsid w:val="005A033D"/>
    <w:rsid w:val="005A0FB2"/>
    <w:rsid w:val="005A12BD"/>
    <w:rsid w:val="005A136E"/>
    <w:rsid w:val="005A13C5"/>
    <w:rsid w:val="005A13FE"/>
    <w:rsid w:val="005A1433"/>
    <w:rsid w:val="005A1BF0"/>
    <w:rsid w:val="005A20D5"/>
    <w:rsid w:val="005A258A"/>
    <w:rsid w:val="005A25A3"/>
    <w:rsid w:val="005A2897"/>
    <w:rsid w:val="005A2943"/>
    <w:rsid w:val="005A29FC"/>
    <w:rsid w:val="005A2A1D"/>
    <w:rsid w:val="005A2B01"/>
    <w:rsid w:val="005A2B46"/>
    <w:rsid w:val="005A30FB"/>
    <w:rsid w:val="005A3174"/>
    <w:rsid w:val="005A323E"/>
    <w:rsid w:val="005A3769"/>
    <w:rsid w:val="005A3E33"/>
    <w:rsid w:val="005A3F71"/>
    <w:rsid w:val="005A409B"/>
    <w:rsid w:val="005A4125"/>
    <w:rsid w:val="005A4278"/>
    <w:rsid w:val="005A43D4"/>
    <w:rsid w:val="005A43E1"/>
    <w:rsid w:val="005A495F"/>
    <w:rsid w:val="005A4CF0"/>
    <w:rsid w:val="005A5280"/>
    <w:rsid w:val="005A5379"/>
    <w:rsid w:val="005A5396"/>
    <w:rsid w:val="005A564B"/>
    <w:rsid w:val="005A5689"/>
    <w:rsid w:val="005A56C6"/>
    <w:rsid w:val="005A5882"/>
    <w:rsid w:val="005A5C8F"/>
    <w:rsid w:val="005A5E4E"/>
    <w:rsid w:val="005A5F68"/>
    <w:rsid w:val="005A6046"/>
    <w:rsid w:val="005A6982"/>
    <w:rsid w:val="005A6A8B"/>
    <w:rsid w:val="005A6D5D"/>
    <w:rsid w:val="005A6DBA"/>
    <w:rsid w:val="005A6F19"/>
    <w:rsid w:val="005A725F"/>
    <w:rsid w:val="005A72DF"/>
    <w:rsid w:val="005A759B"/>
    <w:rsid w:val="005A75EB"/>
    <w:rsid w:val="005A7881"/>
    <w:rsid w:val="005A7F44"/>
    <w:rsid w:val="005B0378"/>
    <w:rsid w:val="005B046B"/>
    <w:rsid w:val="005B0A2A"/>
    <w:rsid w:val="005B0A2F"/>
    <w:rsid w:val="005B0C39"/>
    <w:rsid w:val="005B0C4B"/>
    <w:rsid w:val="005B0D83"/>
    <w:rsid w:val="005B1043"/>
    <w:rsid w:val="005B157F"/>
    <w:rsid w:val="005B1735"/>
    <w:rsid w:val="005B195E"/>
    <w:rsid w:val="005B1E1C"/>
    <w:rsid w:val="005B21B8"/>
    <w:rsid w:val="005B2369"/>
    <w:rsid w:val="005B24E8"/>
    <w:rsid w:val="005B26C5"/>
    <w:rsid w:val="005B2FB3"/>
    <w:rsid w:val="005B3462"/>
    <w:rsid w:val="005B39BB"/>
    <w:rsid w:val="005B3A05"/>
    <w:rsid w:val="005B3FE9"/>
    <w:rsid w:val="005B4016"/>
    <w:rsid w:val="005B4289"/>
    <w:rsid w:val="005B46B6"/>
    <w:rsid w:val="005B4713"/>
    <w:rsid w:val="005B48E7"/>
    <w:rsid w:val="005B5077"/>
    <w:rsid w:val="005B5175"/>
    <w:rsid w:val="005B5490"/>
    <w:rsid w:val="005B54E0"/>
    <w:rsid w:val="005B57C1"/>
    <w:rsid w:val="005B5A05"/>
    <w:rsid w:val="005B5DEF"/>
    <w:rsid w:val="005B5EC0"/>
    <w:rsid w:val="005B60C2"/>
    <w:rsid w:val="005B629C"/>
    <w:rsid w:val="005B62EB"/>
    <w:rsid w:val="005B704B"/>
    <w:rsid w:val="005B75C9"/>
    <w:rsid w:val="005B76F5"/>
    <w:rsid w:val="005B7B59"/>
    <w:rsid w:val="005C00A5"/>
    <w:rsid w:val="005C021D"/>
    <w:rsid w:val="005C0276"/>
    <w:rsid w:val="005C0572"/>
    <w:rsid w:val="005C066B"/>
    <w:rsid w:val="005C07F7"/>
    <w:rsid w:val="005C0951"/>
    <w:rsid w:val="005C0C98"/>
    <w:rsid w:val="005C0D23"/>
    <w:rsid w:val="005C12B3"/>
    <w:rsid w:val="005C1564"/>
    <w:rsid w:val="005C15A5"/>
    <w:rsid w:val="005C1757"/>
    <w:rsid w:val="005C19D9"/>
    <w:rsid w:val="005C1DA8"/>
    <w:rsid w:val="005C2257"/>
    <w:rsid w:val="005C33AA"/>
    <w:rsid w:val="005C35F9"/>
    <w:rsid w:val="005C37B7"/>
    <w:rsid w:val="005C37EC"/>
    <w:rsid w:val="005C38D2"/>
    <w:rsid w:val="005C3D61"/>
    <w:rsid w:val="005C4146"/>
    <w:rsid w:val="005C44D5"/>
    <w:rsid w:val="005C479F"/>
    <w:rsid w:val="005C4E74"/>
    <w:rsid w:val="005C5158"/>
    <w:rsid w:val="005C55C0"/>
    <w:rsid w:val="005C5A69"/>
    <w:rsid w:val="005C63B6"/>
    <w:rsid w:val="005C661E"/>
    <w:rsid w:val="005C67AD"/>
    <w:rsid w:val="005C67C9"/>
    <w:rsid w:val="005C6A9D"/>
    <w:rsid w:val="005C6D67"/>
    <w:rsid w:val="005C7621"/>
    <w:rsid w:val="005C771C"/>
    <w:rsid w:val="005C797B"/>
    <w:rsid w:val="005C79A5"/>
    <w:rsid w:val="005C7CED"/>
    <w:rsid w:val="005D0144"/>
    <w:rsid w:val="005D01DD"/>
    <w:rsid w:val="005D0A7E"/>
    <w:rsid w:val="005D0AD3"/>
    <w:rsid w:val="005D0B5C"/>
    <w:rsid w:val="005D0DD2"/>
    <w:rsid w:val="005D0EFE"/>
    <w:rsid w:val="005D0F50"/>
    <w:rsid w:val="005D1077"/>
    <w:rsid w:val="005D116E"/>
    <w:rsid w:val="005D14CF"/>
    <w:rsid w:val="005D1566"/>
    <w:rsid w:val="005D15B8"/>
    <w:rsid w:val="005D1717"/>
    <w:rsid w:val="005D1764"/>
    <w:rsid w:val="005D184C"/>
    <w:rsid w:val="005D1929"/>
    <w:rsid w:val="005D1A4F"/>
    <w:rsid w:val="005D1CD9"/>
    <w:rsid w:val="005D22DC"/>
    <w:rsid w:val="005D2999"/>
    <w:rsid w:val="005D2F88"/>
    <w:rsid w:val="005D31B0"/>
    <w:rsid w:val="005D31F1"/>
    <w:rsid w:val="005D3268"/>
    <w:rsid w:val="005D3B93"/>
    <w:rsid w:val="005D3C05"/>
    <w:rsid w:val="005D3E73"/>
    <w:rsid w:val="005D4322"/>
    <w:rsid w:val="005D44C6"/>
    <w:rsid w:val="005D4DD7"/>
    <w:rsid w:val="005D4E2F"/>
    <w:rsid w:val="005D4EDD"/>
    <w:rsid w:val="005D5117"/>
    <w:rsid w:val="005D52D7"/>
    <w:rsid w:val="005D5452"/>
    <w:rsid w:val="005D57C0"/>
    <w:rsid w:val="005D5E3C"/>
    <w:rsid w:val="005D6655"/>
    <w:rsid w:val="005D66B7"/>
    <w:rsid w:val="005D6803"/>
    <w:rsid w:val="005D6871"/>
    <w:rsid w:val="005D691C"/>
    <w:rsid w:val="005D6939"/>
    <w:rsid w:val="005D6ED2"/>
    <w:rsid w:val="005D75A6"/>
    <w:rsid w:val="005D76AA"/>
    <w:rsid w:val="005D7C28"/>
    <w:rsid w:val="005D7D89"/>
    <w:rsid w:val="005D7EC0"/>
    <w:rsid w:val="005D7F9A"/>
    <w:rsid w:val="005E03B4"/>
    <w:rsid w:val="005E068B"/>
    <w:rsid w:val="005E07E2"/>
    <w:rsid w:val="005E0C62"/>
    <w:rsid w:val="005E0C84"/>
    <w:rsid w:val="005E0DD7"/>
    <w:rsid w:val="005E109B"/>
    <w:rsid w:val="005E175D"/>
    <w:rsid w:val="005E19FF"/>
    <w:rsid w:val="005E2288"/>
    <w:rsid w:val="005E2529"/>
    <w:rsid w:val="005E289A"/>
    <w:rsid w:val="005E28B6"/>
    <w:rsid w:val="005E2A8C"/>
    <w:rsid w:val="005E3613"/>
    <w:rsid w:val="005E379C"/>
    <w:rsid w:val="005E380D"/>
    <w:rsid w:val="005E423D"/>
    <w:rsid w:val="005E4CA9"/>
    <w:rsid w:val="005E4F16"/>
    <w:rsid w:val="005E4F7B"/>
    <w:rsid w:val="005E5462"/>
    <w:rsid w:val="005E551F"/>
    <w:rsid w:val="005E56B8"/>
    <w:rsid w:val="005E5F38"/>
    <w:rsid w:val="005E62E8"/>
    <w:rsid w:val="005E6641"/>
    <w:rsid w:val="005E67CA"/>
    <w:rsid w:val="005E71AE"/>
    <w:rsid w:val="005E72DB"/>
    <w:rsid w:val="005E74FB"/>
    <w:rsid w:val="005E7FD4"/>
    <w:rsid w:val="005F0885"/>
    <w:rsid w:val="005F08FC"/>
    <w:rsid w:val="005F0E66"/>
    <w:rsid w:val="005F13C7"/>
    <w:rsid w:val="005F1490"/>
    <w:rsid w:val="005F179C"/>
    <w:rsid w:val="005F188E"/>
    <w:rsid w:val="005F18BA"/>
    <w:rsid w:val="005F1ACF"/>
    <w:rsid w:val="005F1B4C"/>
    <w:rsid w:val="005F1BC7"/>
    <w:rsid w:val="005F1EA3"/>
    <w:rsid w:val="005F22CB"/>
    <w:rsid w:val="005F2461"/>
    <w:rsid w:val="005F2614"/>
    <w:rsid w:val="005F2A79"/>
    <w:rsid w:val="005F2CC0"/>
    <w:rsid w:val="005F31E0"/>
    <w:rsid w:val="005F340B"/>
    <w:rsid w:val="005F3498"/>
    <w:rsid w:val="005F3970"/>
    <w:rsid w:val="005F3A54"/>
    <w:rsid w:val="005F3D8A"/>
    <w:rsid w:val="005F3E5B"/>
    <w:rsid w:val="005F3FCA"/>
    <w:rsid w:val="005F4239"/>
    <w:rsid w:val="005F42BD"/>
    <w:rsid w:val="005F4601"/>
    <w:rsid w:val="005F4706"/>
    <w:rsid w:val="005F4A19"/>
    <w:rsid w:val="005F529C"/>
    <w:rsid w:val="005F537A"/>
    <w:rsid w:val="005F542B"/>
    <w:rsid w:val="005F558A"/>
    <w:rsid w:val="005F5D5E"/>
    <w:rsid w:val="005F5EED"/>
    <w:rsid w:val="005F64C7"/>
    <w:rsid w:val="005F69BD"/>
    <w:rsid w:val="005F6D40"/>
    <w:rsid w:val="005F6E26"/>
    <w:rsid w:val="005F7187"/>
    <w:rsid w:val="005F7233"/>
    <w:rsid w:val="005F7670"/>
    <w:rsid w:val="005F7730"/>
    <w:rsid w:val="005F77FC"/>
    <w:rsid w:val="005F78BF"/>
    <w:rsid w:val="005F7A54"/>
    <w:rsid w:val="005F7A83"/>
    <w:rsid w:val="005F7DBA"/>
    <w:rsid w:val="005F7E89"/>
    <w:rsid w:val="00600646"/>
    <w:rsid w:val="00600668"/>
    <w:rsid w:val="0060086B"/>
    <w:rsid w:val="00600B3D"/>
    <w:rsid w:val="00600CBC"/>
    <w:rsid w:val="00601142"/>
    <w:rsid w:val="006011F9"/>
    <w:rsid w:val="006013C6"/>
    <w:rsid w:val="006013E6"/>
    <w:rsid w:val="0060149E"/>
    <w:rsid w:val="006019C9"/>
    <w:rsid w:val="00601F54"/>
    <w:rsid w:val="006021A6"/>
    <w:rsid w:val="006027D3"/>
    <w:rsid w:val="006029B9"/>
    <w:rsid w:val="00602B36"/>
    <w:rsid w:val="00602C98"/>
    <w:rsid w:val="00602E8A"/>
    <w:rsid w:val="00603273"/>
    <w:rsid w:val="0060337E"/>
    <w:rsid w:val="0060413A"/>
    <w:rsid w:val="006041FB"/>
    <w:rsid w:val="006043F6"/>
    <w:rsid w:val="00604A9D"/>
    <w:rsid w:val="00604B21"/>
    <w:rsid w:val="00604C7C"/>
    <w:rsid w:val="00604D28"/>
    <w:rsid w:val="00605121"/>
    <w:rsid w:val="006051DB"/>
    <w:rsid w:val="006053FC"/>
    <w:rsid w:val="006057B0"/>
    <w:rsid w:val="0060594E"/>
    <w:rsid w:val="00605AF7"/>
    <w:rsid w:val="00605C65"/>
    <w:rsid w:val="00605D8F"/>
    <w:rsid w:val="006063A7"/>
    <w:rsid w:val="00606981"/>
    <w:rsid w:val="00607944"/>
    <w:rsid w:val="00607F45"/>
    <w:rsid w:val="006100B4"/>
    <w:rsid w:val="00610132"/>
    <w:rsid w:val="0061022B"/>
    <w:rsid w:val="0061027C"/>
    <w:rsid w:val="0061060C"/>
    <w:rsid w:val="0061065A"/>
    <w:rsid w:val="00610C26"/>
    <w:rsid w:val="00610D11"/>
    <w:rsid w:val="00611578"/>
    <w:rsid w:val="006115BD"/>
    <w:rsid w:val="006115CE"/>
    <w:rsid w:val="00611A38"/>
    <w:rsid w:val="00611B48"/>
    <w:rsid w:val="00611DC1"/>
    <w:rsid w:val="00611E46"/>
    <w:rsid w:val="00611F25"/>
    <w:rsid w:val="006120DE"/>
    <w:rsid w:val="00612392"/>
    <w:rsid w:val="006124AA"/>
    <w:rsid w:val="006125F0"/>
    <w:rsid w:val="00612A13"/>
    <w:rsid w:val="00613340"/>
    <w:rsid w:val="00613678"/>
    <w:rsid w:val="006136A2"/>
    <w:rsid w:val="00613811"/>
    <w:rsid w:val="00613B81"/>
    <w:rsid w:val="00613BED"/>
    <w:rsid w:val="00613C78"/>
    <w:rsid w:val="00613E63"/>
    <w:rsid w:val="00614148"/>
    <w:rsid w:val="006141AD"/>
    <w:rsid w:val="0061424A"/>
    <w:rsid w:val="0061466D"/>
    <w:rsid w:val="006148DB"/>
    <w:rsid w:val="00614921"/>
    <w:rsid w:val="0061493E"/>
    <w:rsid w:val="00614FC7"/>
    <w:rsid w:val="006155B7"/>
    <w:rsid w:val="00615A33"/>
    <w:rsid w:val="00615A6E"/>
    <w:rsid w:val="00615B5B"/>
    <w:rsid w:val="00616028"/>
    <w:rsid w:val="00616108"/>
    <w:rsid w:val="00616185"/>
    <w:rsid w:val="0061634B"/>
    <w:rsid w:val="00616425"/>
    <w:rsid w:val="0061689C"/>
    <w:rsid w:val="00616C8B"/>
    <w:rsid w:val="00616E95"/>
    <w:rsid w:val="006175FF"/>
    <w:rsid w:val="0061767F"/>
    <w:rsid w:val="00617744"/>
    <w:rsid w:val="00617A59"/>
    <w:rsid w:val="00617BBC"/>
    <w:rsid w:val="00617D4E"/>
    <w:rsid w:val="0062003E"/>
    <w:rsid w:val="006205AA"/>
    <w:rsid w:val="006205B2"/>
    <w:rsid w:val="006205C7"/>
    <w:rsid w:val="006205E1"/>
    <w:rsid w:val="006206C6"/>
    <w:rsid w:val="00620ED5"/>
    <w:rsid w:val="00621F0F"/>
    <w:rsid w:val="00621F9E"/>
    <w:rsid w:val="0062226C"/>
    <w:rsid w:val="006226D6"/>
    <w:rsid w:val="006228D8"/>
    <w:rsid w:val="00622B45"/>
    <w:rsid w:val="00622E2F"/>
    <w:rsid w:val="00623240"/>
    <w:rsid w:val="00623722"/>
    <w:rsid w:val="006239CB"/>
    <w:rsid w:val="00623C1D"/>
    <w:rsid w:val="00624181"/>
    <w:rsid w:val="00624385"/>
    <w:rsid w:val="00624462"/>
    <w:rsid w:val="00624691"/>
    <w:rsid w:val="0062473F"/>
    <w:rsid w:val="00624A41"/>
    <w:rsid w:val="00624D04"/>
    <w:rsid w:val="0062573A"/>
    <w:rsid w:val="00625769"/>
    <w:rsid w:val="0062577D"/>
    <w:rsid w:val="00625AF1"/>
    <w:rsid w:val="00625B2A"/>
    <w:rsid w:val="006263C4"/>
    <w:rsid w:val="0062669B"/>
    <w:rsid w:val="00626A03"/>
    <w:rsid w:val="00626B4B"/>
    <w:rsid w:val="00627235"/>
    <w:rsid w:val="00627595"/>
    <w:rsid w:val="00627641"/>
    <w:rsid w:val="006277A4"/>
    <w:rsid w:val="00627CC2"/>
    <w:rsid w:val="00627E7C"/>
    <w:rsid w:val="0063000E"/>
    <w:rsid w:val="00630087"/>
    <w:rsid w:val="0063018E"/>
    <w:rsid w:val="006305EF"/>
    <w:rsid w:val="0063084B"/>
    <w:rsid w:val="006308A7"/>
    <w:rsid w:val="006308CD"/>
    <w:rsid w:val="00630ADB"/>
    <w:rsid w:val="00630BFA"/>
    <w:rsid w:val="00630E6E"/>
    <w:rsid w:val="006311A1"/>
    <w:rsid w:val="006315F4"/>
    <w:rsid w:val="00631784"/>
    <w:rsid w:val="00631836"/>
    <w:rsid w:val="00631F94"/>
    <w:rsid w:val="00631FEE"/>
    <w:rsid w:val="00632035"/>
    <w:rsid w:val="0063275F"/>
    <w:rsid w:val="00632B94"/>
    <w:rsid w:val="00632C77"/>
    <w:rsid w:val="00632D74"/>
    <w:rsid w:val="006335EE"/>
    <w:rsid w:val="00633706"/>
    <w:rsid w:val="0063371D"/>
    <w:rsid w:val="00633A60"/>
    <w:rsid w:val="00633FB2"/>
    <w:rsid w:val="00634067"/>
    <w:rsid w:val="0063408C"/>
    <w:rsid w:val="006342A6"/>
    <w:rsid w:val="00634731"/>
    <w:rsid w:val="006349C2"/>
    <w:rsid w:val="00634B88"/>
    <w:rsid w:val="00634F54"/>
    <w:rsid w:val="00635163"/>
    <w:rsid w:val="00635281"/>
    <w:rsid w:val="006352C5"/>
    <w:rsid w:val="0063566C"/>
    <w:rsid w:val="006358D6"/>
    <w:rsid w:val="00635A50"/>
    <w:rsid w:val="00635AEC"/>
    <w:rsid w:val="00635B90"/>
    <w:rsid w:val="0063638C"/>
    <w:rsid w:val="00636690"/>
    <w:rsid w:val="006366D1"/>
    <w:rsid w:val="006368EF"/>
    <w:rsid w:val="00636ABB"/>
    <w:rsid w:val="006372EE"/>
    <w:rsid w:val="006374BA"/>
    <w:rsid w:val="00637844"/>
    <w:rsid w:val="00637927"/>
    <w:rsid w:val="00640257"/>
    <w:rsid w:val="006402F6"/>
    <w:rsid w:val="0064046E"/>
    <w:rsid w:val="006409E6"/>
    <w:rsid w:val="00640BD3"/>
    <w:rsid w:val="00640F54"/>
    <w:rsid w:val="0064106E"/>
    <w:rsid w:val="006410D6"/>
    <w:rsid w:val="00641356"/>
    <w:rsid w:val="006414FB"/>
    <w:rsid w:val="00642F2D"/>
    <w:rsid w:val="006432DA"/>
    <w:rsid w:val="00643582"/>
    <w:rsid w:val="0064387E"/>
    <w:rsid w:val="00643CCD"/>
    <w:rsid w:val="006444E1"/>
    <w:rsid w:val="00644F9F"/>
    <w:rsid w:val="0064562C"/>
    <w:rsid w:val="0064581A"/>
    <w:rsid w:val="00645B43"/>
    <w:rsid w:val="00645D42"/>
    <w:rsid w:val="00645DB3"/>
    <w:rsid w:val="0064610F"/>
    <w:rsid w:val="00646459"/>
    <w:rsid w:val="006466CE"/>
    <w:rsid w:val="00646CAB"/>
    <w:rsid w:val="00646CAC"/>
    <w:rsid w:val="00647A9E"/>
    <w:rsid w:val="00647B0C"/>
    <w:rsid w:val="00647F0E"/>
    <w:rsid w:val="006502FE"/>
    <w:rsid w:val="00650733"/>
    <w:rsid w:val="00650776"/>
    <w:rsid w:val="006508A4"/>
    <w:rsid w:val="00650916"/>
    <w:rsid w:val="00650A52"/>
    <w:rsid w:val="00650A5F"/>
    <w:rsid w:val="00651334"/>
    <w:rsid w:val="00651387"/>
    <w:rsid w:val="00651790"/>
    <w:rsid w:val="006519BD"/>
    <w:rsid w:val="00651A0C"/>
    <w:rsid w:val="00651D0C"/>
    <w:rsid w:val="00651E27"/>
    <w:rsid w:val="006520E4"/>
    <w:rsid w:val="00652872"/>
    <w:rsid w:val="00652FF5"/>
    <w:rsid w:val="0065322B"/>
    <w:rsid w:val="006537AA"/>
    <w:rsid w:val="00653ABB"/>
    <w:rsid w:val="00653C70"/>
    <w:rsid w:val="00653CBF"/>
    <w:rsid w:val="00654086"/>
    <w:rsid w:val="006540F5"/>
    <w:rsid w:val="00654397"/>
    <w:rsid w:val="00654546"/>
    <w:rsid w:val="00654A7F"/>
    <w:rsid w:val="00654B52"/>
    <w:rsid w:val="00654F6A"/>
    <w:rsid w:val="006550B9"/>
    <w:rsid w:val="0065542E"/>
    <w:rsid w:val="00655515"/>
    <w:rsid w:val="00655705"/>
    <w:rsid w:val="00655D2A"/>
    <w:rsid w:val="00655EC0"/>
    <w:rsid w:val="00655FE1"/>
    <w:rsid w:val="0065619F"/>
    <w:rsid w:val="006566D8"/>
    <w:rsid w:val="00656726"/>
    <w:rsid w:val="0065684B"/>
    <w:rsid w:val="00656B4C"/>
    <w:rsid w:val="00656FBD"/>
    <w:rsid w:val="00656FEF"/>
    <w:rsid w:val="0065700B"/>
    <w:rsid w:val="0065712F"/>
    <w:rsid w:val="0065723E"/>
    <w:rsid w:val="00657370"/>
    <w:rsid w:val="0065756A"/>
    <w:rsid w:val="00657670"/>
    <w:rsid w:val="006576CC"/>
    <w:rsid w:val="00657961"/>
    <w:rsid w:val="00657C4F"/>
    <w:rsid w:val="0066001B"/>
    <w:rsid w:val="006603C6"/>
    <w:rsid w:val="006607B7"/>
    <w:rsid w:val="0066083C"/>
    <w:rsid w:val="0066098B"/>
    <w:rsid w:val="00660BD6"/>
    <w:rsid w:val="00661073"/>
    <w:rsid w:val="0066124C"/>
    <w:rsid w:val="0066135C"/>
    <w:rsid w:val="006619C3"/>
    <w:rsid w:val="00661A17"/>
    <w:rsid w:val="00661BD8"/>
    <w:rsid w:val="00661C88"/>
    <w:rsid w:val="00661D05"/>
    <w:rsid w:val="00662105"/>
    <w:rsid w:val="0066210C"/>
    <w:rsid w:val="006623AE"/>
    <w:rsid w:val="0066264A"/>
    <w:rsid w:val="00662C63"/>
    <w:rsid w:val="00662C9C"/>
    <w:rsid w:val="00662D11"/>
    <w:rsid w:val="00662F87"/>
    <w:rsid w:val="00663250"/>
    <w:rsid w:val="006643B7"/>
    <w:rsid w:val="0066445B"/>
    <w:rsid w:val="00664460"/>
    <w:rsid w:val="006644AF"/>
    <w:rsid w:val="0066451F"/>
    <w:rsid w:val="006645F9"/>
    <w:rsid w:val="0066479E"/>
    <w:rsid w:val="0066498A"/>
    <w:rsid w:val="00664C38"/>
    <w:rsid w:val="00664E23"/>
    <w:rsid w:val="006656CD"/>
    <w:rsid w:val="00665A86"/>
    <w:rsid w:val="00665CB0"/>
    <w:rsid w:val="00666728"/>
    <w:rsid w:val="00666860"/>
    <w:rsid w:val="00667172"/>
    <w:rsid w:val="006672B7"/>
    <w:rsid w:val="006677C1"/>
    <w:rsid w:val="00667BF3"/>
    <w:rsid w:val="00667E2A"/>
    <w:rsid w:val="006700AF"/>
    <w:rsid w:val="00670137"/>
    <w:rsid w:val="00670189"/>
    <w:rsid w:val="0067038E"/>
    <w:rsid w:val="00670580"/>
    <w:rsid w:val="00670873"/>
    <w:rsid w:val="00670AB6"/>
    <w:rsid w:val="00670AF4"/>
    <w:rsid w:val="00671286"/>
    <w:rsid w:val="00671292"/>
    <w:rsid w:val="00671454"/>
    <w:rsid w:val="00671556"/>
    <w:rsid w:val="00671CED"/>
    <w:rsid w:val="00671D5C"/>
    <w:rsid w:val="00671EC0"/>
    <w:rsid w:val="00672289"/>
    <w:rsid w:val="006726B8"/>
    <w:rsid w:val="00672760"/>
    <w:rsid w:val="00672764"/>
    <w:rsid w:val="0067297C"/>
    <w:rsid w:val="0067306C"/>
    <w:rsid w:val="0067321F"/>
    <w:rsid w:val="00673D00"/>
    <w:rsid w:val="00673D28"/>
    <w:rsid w:val="00673F94"/>
    <w:rsid w:val="00674398"/>
    <w:rsid w:val="00674618"/>
    <w:rsid w:val="00674782"/>
    <w:rsid w:val="006747D7"/>
    <w:rsid w:val="0067491D"/>
    <w:rsid w:val="00674C18"/>
    <w:rsid w:val="00674D62"/>
    <w:rsid w:val="0067548A"/>
    <w:rsid w:val="00675879"/>
    <w:rsid w:val="0067587D"/>
    <w:rsid w:val="006759AD"/>
    <w:rsid w:val="00675F57"/>
    <w:rsid w:val="00676027"/>
    <w:rsid w:val="00676078"/>
    <w:rsid w:val="00676097"/>
    <w:rsid w:val="00676409"/>
    <w:rsid w:val="006764CD"/>
    <w:rsid w:val="00676589"/>
    <w:rsid w:val="0067668C"/>
    <w:rsid w:val="006766EF"/>
    <w:rsid w:val="00676971"/>
    <w:rsid w:val="00676BD8"/>
    <w:rsid w:val="00676D06"/>
    <w:rsid w:val="00676E7A"/>
    <w:rsid w:val="006770BD"/>
    <w:rsid w:val="00677554"/>
    <w:rsid w:val="006779C3"/>
    <w:rsid w:val="00677BF0"/>
    <w:rsid w:val="00677D07"/>
    <w:rsid w:val="00677E3D"/>
    <w:rsid w:val="00677FC3"/>
    <w:rsid w:val="00677FEC"/>
    <w:rsid w:val="006801D3"/>
    <w:rsid w:val="0068056D"/>
    <w:rsid w:val="0068065B"/>
    <w:rsid w:val="00680786"/>
    <w:rsid w:val="0068087D"/>
    <w:rsid w:val="00680A9F"/>
    <w:rsid w:val="00680B55"/>
    <w:rsid w:val="00680CAB"/>
    <w:rsid w:val="00680D8F"/>
    <w:rsid w:val="00680DD4"/>
    <w:rsid w:val="00680E33"/>
    <w:rsid w:val="0068104D"/>
    <w:rsid w:val="006810E9"/>
    <w:rsid w:val="0068119F"/>
    <w:rsid w:val="006811FD"/>
    <w:rsid w:val="006812B9"/>
    <w:rsid w:val="00681407"/>
    <w:rsid w:val="00681B91"/>
    <w:rsid w:val="00681C77"/>
    <w:rsid w:val="00681CA6"/>
    <w:rsid w:val="006820B8"/>
    <w:rsid w:val="006824A8"/>
    <w:rsid w:val="00682ABD"/>
    <w:rsid w:val="006830E9"/>
    <w:rsid w:val="00683253"/>
    <w:rsid w:val="00683286"/>
    <w:rsid w:val="006832FD"/>
    <w:rsid w:val="0068360D"/>
    <w:rsid w:val="006836E6"/>
    <w:rsid w:val="00683897"/>
    <w:rsid w:val="00683A91"/>
    <w:rsid w:val="00683BD1"/>
    <w:rsid w:val="00684C55"/>
    <w:rsid w:val="00684D18"/>
    <w:rsid w:val="00684FF1"/>
    <w:rsid w:val="00685024"/>
    <w:rsid w:val="006856C6"/>
    <w:rsid w:val="006857EE"/>
    <w:rsid w:val="00685BF4"/>
    <w:rsid w:val="00685D77"/>
    <w:rsid w:val="0068648E"/>
    <w:rsid w:val="006865C1"/>
    <w:rsid w:val="0068692C"/>
    <w:rsid w:val="00686F75"/>
    <w:rsid w:val="0068704C"/>
    <w:rsid w:val="006871B2"/>
    <w:rsid w:val="00687412"/>
    <w:rsid w:val="00687928"/>
    <w:rsid w:val="00687C25"/>
    <w:rsid w:val="00687C41"/>
    <w:rsid w:val="00690277"/>
    <w:rsid w:val="00690286"/>
    <w:rsid w:val="006906AB"/>
    <w:rsid w:val="00690DE3"/>
    <w:rsid w:val="00690E3F"/>
    <w:rsid w:val="0069110B"/>
    <w:rsid w:val="00691362"/>
    <w:rsid w:val="006917AB"/>
    <w:rsid w:val="0069197A"/>
    <w:rsid w:val="00691E5F"/>
    <w:rsid w:val="006925A6"/>
    <w:rsid w:val="00692750"/>
    <w:rsid w:val="00692754"/>
    <w:rsid w:val="0069279F"/>
    <w:rsid w:val="00692967"/>
    <w:rsid w:val="00692991"/>
    <w:rsid w:val="006930E0"/>
    <w:rsid w:val="00693317"/>
    <w:rsid w:val="006934CD"/>
    <w:rsid w:val="00693718"/>
    <w:rsid w:val="006939B0"/>
    <w:rsid w:val="00693B14"/>
    <w:rsid w:val="00693C28"/>
    <w:rsid w:val="00693E42"/>
    <w:rsid w:val="006940ED"/>
    <w:rsid w:val="0069429C"/>
    <w:rsid w:val="006942F2"/>
    <w:rsid w:val="00694315"/>
    <w:rsid w:val="006946F6"/>
    <w:rsid w:val="006949EB"/>
    <w:rsid w:val="00694A54"/>
    <w:rsid w:val="00694B5C"/>
    <w:rsid w:val="0069536B"/>
    <w:rsid w:val="00695498"/>
    <w:rsid w:val="006954FD"/>
    <w:rsid w:val="00695590"/>
    <w:rsid w:val="00695A4D"/>
    <w:rsid w:val="00695A82"/>
    <w:rsid w:val="00695FB4"/>
    <w:rsid w:val="006961E1"/>
    <w:rsid w:val="006963EB"/>
    <w:rsid w:val="006964A2"/>
    <w:rsid w:val="006966D9"/>
    <w:rsid w:val="00696F3A"/>
    <w:rsid w:val="00697923"/>
    <w:rsid w:val="006979E1"/>
    <w:rsid w:val="00697A0A"/>
    <w:rsid w:val="00697B76"/>
    <w:rsid w:val="006A0089"/>
    <w:rsid w:val="006A012B"/>
    <w:rsid w:val="006A01A8"/>
    <w:rsid w:val="006A02DD"/>
    <w:rsid w:val="006A03EB"/>
    <w:rsid w:val="006A09C0"/>
    <w:rsid w:val="006A0B68"/>
    <w:rsid w:val="006A0C03"/>
    <w:rsid w:val="006A0EA7"/>
    <w:rsid w:val="006A14DF"/>
    <w:rsid w:val="006A18F8"/>
    <w:rsid w:val="006A2AAE"/>
    <w:rsid w:val="006A2E46"/>
    <w:rsid w:val="006A3225"/>
    <w:rsid w:val="006A325C"/>
    <w:rsid w:val="006A37E1"/>
    <w:rsid w:val="006A3C28"/>
    <w:rsid w:val="006A3CD0"/>
    <w:rsid w:val="006A3DFD"/>
    <w:rsid w:val="006A4733"/>
    <w:rsid w:val="006A4785"/>
    <w:rsid w:val="006A4900"/>
    <w:rsid w:val="006A4B14"/>
    <w:rsid w:val="006A4C77"/>
    <w:rsid w:val="006A4E8C"/>
    <w:rsid w:val="006A501E"/>
    <w:rsid w:val="006A52FB"/>
    <w:rsid w:val="006A548C"/>
    <w:rsid w:val="006A5775"/>
    <w:rsid w:val="006A589B"/>
    <w:rsid w:val="006A5A27"/>
    <w:rsid w:val="006A5B09"/>
    <w:rsid w:val="006A5BEE"/>
    <w:rsid w:val="006A5E3A"/>
    <w:rsid w:val="006A6241"/>
    <w:rsid w:val="006A647C"/>
    <w:rsid w:val="006A6860"/>
    <w:rsid w:val="006A68E7"/>
    <w:rsid w:val="006A6A35"/>
    <w:rsid w:val="006A6A62"/>
    <w:rsid w:val="006A6E10"/>
    <w:rsid w:val="006A719B"/>
    <w:rsid w:val="006A7253"/>
    <w:rsid w:val="006A72F9"/>
    <w:rsid w:val="006A7B24"/>
    <w:rsid w:val="006B0232"/>
    <w:rsid w:val="006B033D"/>
    <w:rsid w:val="006B04E0"/>
    <w:rsid w:val="006B0685"/>
    <w:rsid w:val="006B0807"/>
    <w:rsid w:val="006B0830"/>
    <w:rsid w:val="006B0AFB"/>
    <w:rsid w:val="006B0B6D"/>
    <w:rsid w:val="006B0BA1"/>
    <w:rsid w:val="006B0BB5"/>
    <w:rsid w:val="006B0CD1"/>
    <w:rsid w:val="006B1407"/>
    <w:rsid w:val="006B1623"/>
    <w:rsid w:val="006B1698"/>
    <w:rsid w:val="006B1829"/>
    <w:rsid w:val="006B188A"/>
    <w:rsid w:val="006B1B6B"/>
    <w:rsid w:val="006B1D69"/>
    <w:rsid w:val="006B2142"/>
    <w:rsid w:val="006B244F"/>
    <w:rsid w:val="006B2A5C"/>
    <w:rsid w:val="006B2A63"/>
    <w:rsid w:val="006B2BA9"/>
    <w:rsid w:val="006B320B"/>
    <w:rsid w:val="006B344F"/>
    <w:rsid w:val="006B3BCE"/>
    <w:rsid w:val="006B3BDD"/>
    <w:rsid w:val="006B3C75"/>
    <w:rsid w:val="006B3CD4"/>
    <w:rsid w:val="006B3DD2"/>
    <w:rsid w:val="006B43D3"/>
    <w:rsid w:val="006B473A"/>
    <w:rsid w:val="006B48A6"/>
    <w:rsid w:val="006B49F0"/>
    <w:rsid w:val="006B4D8C"/>
    <w:rsid w:val="006B4F83"/>
    <w:rsid w:val="006B53E6"/>
    <w:rsid w:val="006B564D"/>
    <w:rsid w:val="006B5766"/>
    <w:rsid w:val="006B5C11"/>
    <w:rsid w:val="006B5DE1"/>
    <w:rsid w:val="006B64A5"/>
    <w:rsid w:val="006B682E"/>
    <w:rsid w:val="006B6D0B"/>
    <w:rsid w:val="006B7219"/>
    <w:rsid w:val="006B7236"/>
    <w:rsid w:val="006B741A"/>
    <w:rsid w:val="006B78FE"/>
    <w:rsid w:val="006B79CE"/>
    <w:rsid w:val="006C00B5"/>
    <w:rsid w:val="006C041D"/>
    <w:rsid w:val="006C0643"/>
    <w:rsid w:val="006C07C3"/>
    <w:rsid w:val="006C088C"/>
    <w:rsid w:val="006C08B8"/>
    <w:rsid w:val="006C0A42"/>
    <w:rsid w:val="006C0EDF"/>
    <w:rsid w:val="006C14F7"/>
    <w:rsid w:val="006C1522"/>
    <w:rsid w:val="006C1A1C"/>
    <w:rsid w:val="006C1DF9"/>
    <w:rsid w:val="006C25C5"/>
    <w:rsid w:val="006C2872"/>
    <w:rsid w:val="006C2A5A"/>
    <w:rsid w:val="006C2A77"/>
    <w:rsid w:val="006C3315"/>
    <w:rsid w:val="006C350D"/>
    <w:rsid w:val="006C3523"/>
    <w:rsid w:val="006C3656"/>
    <w:rsid w:val="006C36F5"/>
    <w:rsid w:val="006C3735"/>
    <w:rsid w:val="006C4210"/>
    <w:rsid w:val="006C4496"/>
    <w:rsid w:val="006C451F"/>
    <w:rsid w:val="006C454F"/>
    <w:rsid w:val="006C45D9"/>
    <w:rsid w:val="006C490B"/>
    <w:rsid w:val="006C4E02"/>
    <w:rsid w:val="006C4E60"/>
    <w:rsid w:val="006C4F92"/>
    <w:rsid w:val="006C50AC"/>
    <w:rsid w:val="006C56C5"/>
    <w:rsid w:val="006C5ED3"/>
    <w:rsid w:val="006C6257"/>
    <w:rsid w:val="006C6343"/>
    <w:rsid w:val="006C6A43"/>
    <w:rsid w:val="006C6B4B"/>
    <w:rsid w:val="006C725C"/>
    <w:rsid w:val="006C734D"/>
    <w:rsid w:val="006C75F5"/>
    <w:rsid w:val="006C760C"/>
    <w:rsid w:val="006C7947"/>
    <w:rsid w:val="006C7CA9"/>
    <w:rsid w:val="006D0039"/>
    <w:rsid w:val="006D0135"/>
    <w:rsid w:val="006D0157"/>
    <w:rsid w:val="006D028F"/>
    <w:rsid w:val="006D0FA5"/>
    <w:rsid w:val="006D14E5"/>
    <w:rsid w:val="006D1AD1"/>
    <w:rsid w:val="006D1BD6"/>
    <w:rsid w:val="006D1CAF"/>
    <w:rsid w:val="006D1E75"/>
    <w:rsid w:val="006D1ED2"/>
    <w:rsid w:val="006D29B3"/>
    <w:rsid w:val="006D2DC1"/>
    <w:rsid w:val="006D32B5"/>
    <w:rsid w:val="006D346E"/>
    <w:rsid w:val="006D3539"/>
    <w:rsid w:val="006D49AD"/>
    <w:rsid w:val="006D4CB8"/>
    <w:rsid w:val="006D4CFD"/>
    <w:rsid w:val="006D4DD0"/>
    <w:rsid w:val="006D515E"/>
    <w:rsid w:val="006D51B8"/>
    <w:rsid w:val="006D51EF"/>
    <w:rsid w:val="006D5B16"/>
    <w:rsid w:val="006D5C66"/>
    <w:rsid w:val="006D5DAD"/>
    <w:rsid w:val="006D6784"/>
    <w:rsid w:val="006D67AE"/>
    <w:rsid w:val="006D69F6"/>
    <w:rsid w:val="006D6A49"/>
    <w:rsid w:val="006D6E01"/>
    <w:rsid w:val="006D7316"/>
    <w:rsid w:val="006D7351"/>
    <w:rsid w:val="006D753C"/>
    <w:rsid w:val="006D75AA"/>
    <w:rsid w:val="006D7918"/>
    <w:rsid w:val="006D7967"/>
    <w:rsid w:val="006D7A75"/>
    <w:rsid w:val="006D7AD9"/>
    <w:rsid w:val="006D7B4F"/>
    <w:rsid w:val="006D7EDE"/>
    <w:rsid w:val="006E02F8"/>
    <w:rsid w:val="006E03BB"/>
    <w:rsid w:val="006E05DF"/>
    <w:rsid w:val="006E0730"/>
    <w:rsid w:val="006E0F2C"/>
    <w:rsid w:val="006E141A"/>
    <w:rsid w:val="006E1513"/>
    <w:rsid w:val="006E1731"/>
    <w:rsid w:val="006E1814"/>
    <w:rsid w:val="006E1D77"/>
    <w:rsid w:val="006E2329"/>
    <w:rsid w:val="006E2378"/>
    <w:rsid w:val="006E24E9"/>
    <w:rsid w:val="006E2BC0"/>
    <w:rsid w:val="006E2FB6"/>
    <w:rsid w:val="006E34C5"/>
    <w:rsid w:val="006E3552"/>
    <w:rsid w:val="006E3921"/>
    <w:rsid w:val="006E3D35"/>
    <w:rsid w:val="006E3DC9"/>
    <w:rsid w:val="006E3FB8"/>
    <w:rsid w:val="006E4076"/>
    <w:rsid w:val="006E4786"/>
    <w:rsid w:val="006E47B2"/>
    <w:rsid w:val="006E4F14"/>
    <w:rsid w:val="006E57AF"/>
    <w:rsid w:val="006E5A43"/>
    <w:rsid w:val="006E5D56"/>
    <w:rsid w:val="006E6180"/>
    <w:rsid w:val="006E65CE"/>
    <w:rsid w:val="006E6C98"/>
    <w:rsid w:val="006E6CD8"/>
    <w:rsid w:val="006E6FF9"/>
    <w:rsid w:val="006E7307"/>
    <w:rsid w:val="006E736B"/>
    <w:rsid w:val="006E73B4"/>
    <w:rsid w:val="006E74B5"/>
    <w:rsid w:val="006E7A2A"/>
    <w:rsid w:val="006E7CA0"/>
    <w:rsid w:val="006F079D"/>
    <w:rsid w:val="006F07D7"/>
    <w:rsid w:val="006F213F"/>
    <w:rsid w:val="006F219E"/>
    <w:rsid w:val="006F22C5"/>
    <w:rsid w:val="006F28CD"/>
    <w:rsid w:val="006F2943"/>
    <w:rsid w:val="006F2984"/>
    <w:rsid w:val="006F2A86"/>
    <w:rsid w:val="006F348A"/>
    <w:rsid w:val="006F39A0"/>
    <w:rsid w:val="006F3CFD"/>
    <w:rsid w:val="006F3D79"/>
    <w:rsid w:val="006F3E79"/>
    <w:rsid w:val="006F4024"/>
    <w:rsid w:val="006F42D6"/>
    <w:rsid w:val="006F44A2"/>
    <w:rsid w:val="006F46DE"/>
    <w:rsid w:val="006F47DB"/>
    <w:rsid w:val="006F47EB"/>
    <w:rsid w:val="006F4B94"/>
    <w:rsid w:val="006F4F0F"/>
    <w:rsid w:val="006F4FD7"/>
    <w:rsid w:val="006F52DE"/>
    <w:rsid w:val="006F58CF"/>
    <w:rsid w:val="006F5AFD"/>
    <w:rsid w:val="006F5E60"/>
    <w:rsid w:val="006F656C"/>
    <w:rsid w:val="006F6A95"/>
    <w:rsid w:val="006F6C5B"/>
    <w:rsid w:val="006F6E95"/>
    <w:rsid w:val="006F71C2"/>
    <w:rsid w:val="006F7570"/>
    <w:rsid w:val="006F77D3"/>
    <w:rsid w:val="006F7BC2"/>
    <w:rsid w:val="007000DB"/>
    <w:rsid w:val="007002D0"/>
    <w:rsid w:val="007005AA"/>
    <w:rsid w:val="0070067F"/>
    <w:rsid w:val="007008B8"/>
    <w:rsid w:val="00700918"/>
    <w:rsid w:val="00700C81"/>
    <w:rsid w:val="00700E21"/>
    <w:rsid w:val="00700F6D"/>
    <w:rsid w:val="0070107E"/>
    <w:rsid w:val="00701561"/>
    <w:rsid w:val="00701648"/>
    <w:rsid w:val="00701F93"/>
    <w:rsid w:val="007021D6"/>
    <w:rsid w:val="0070236E"/>
    <w:rsid w:val="007025BA"/>
    <w:rsid w:val="007026C2"/>
    <w:rsid w:val="00702E4B"/>
    <w:rsid w:val="00703198"/>
    <w:rsid w:val="0070365A"/>
    <w:rsid w:val="00703975"/>
    <w:rsid w:val="00703D00"/>
    <w:rsid w:val="0070402E"/>
    <w:rsid w:val="007040D0"/>
    <w:rsid w:val="00704260"/>
    <w:rsid w:val="0070444C"/>
    <w:rsid w:val="007048E8"/>
    <w:rsid w:val="00705038"/>
    <w:rsid w:val="007053F8"/>
    <w:rsid w:val="00705669"/>
    <w:rsid w:val="00705CD2"/>
    <w:rsid w:val="00705E64"/>
    <w:rsid w:val="00705E99"/>
    <w:rsid w:val="00705F77"/>
    <w:rsid w:val="00706116"/>
    <w:rsid w:val="007063F1"/>
    <w:rsid w:val="007064D2"/>
    <w:rsid w:val="007068BE"/>
    <w:rsid w:val="00706A40"/>
    <w:rsid w:val="00706D59"/>
    <w:rsid w:val="00706ECC"/>
    <w:rsid w:val="00707531"/>
    <w:rsid w:val="00707669"/>
    <w:rsid w:val="007077CC"/>
    <w:rsid w:val="00707BE7"/>
    <w:rsid w:val="0071120B"/>
    <w:rsid w:val="00711239"/>
    <w:rsid w:val="0071147E"/>
    <w:rsid w:val="007115B4"/>
    <w:rsid w:val="007115D6"/>
    <w:rsid w:val="00711602"/>
    <w:rsid w:val="00711678"/>
    <w:rsid w:val="00711B7A"/>
    <w:rsid w:val="007126FA"/>
    <w:rsid w:val="0071280D"/>
    <w:rsid w:val="00712985"/>
    <w:rsid w:val="00712B43"/>
    <w:rsid w:val="007131AD"/>
    <w:rsid w:val="007131F9"/>
    <w:rsid w:val="007133AE"/>
    <w:rsid w:val="00713551"/>
    <w:rsid w:val="00713761"/>
    <w:rsid w:val="0071389D"/>
    <w:rsid w:val="00713C4B"/>
    <w:rsid w:val="00713C6F"/>
    <w:rsid w:val="00713CDA"/>
    <w:rsid w:val="0071425F"/>
    <w:rsid w:val="00714559"/>
    <w:rsid w:val="007146B7"/>
    <w:rsid w:val="00714725"/>
    <w:rsid w:val="0071499E"/>
    <w:rsid w:val="00714FBA"/>
    <w:rsid w:val="0071509B"/>
    <w:rsid w:val="0071530E"/>
    <w:rsid w:val="00715653"/>
    <w:rsid w:val="007156FD"/>
    <w:rsid w:val="00715AEA"/>
    <w:rsid w:val="00715EB1"/>
    <w:rsid w:val="00715ECC"/>
    <w:rsid w:val="0071612D"/>
    <w:rsid w:val="00716282"/>
    <w:rsid w:val="007169F4"/>
    <w:rsid w:val="00716AEC"/>
    <w:rsid w:val="007170CF"/>
    <w:rsid w:val="0071733E"/>
    <w:rsid w:val="007178A7"/>
    <w:rsid w:val="00717AC4"/>
    <w:rsid w:val="00720094"/>
    <w:rsid w:val="0072013F"/>
    <w:rsid w:val="007202C0"/>
    <w:rsid w:val="0072038F"/>
    <w:rsid w:val="007205D6"/>
    <w:rsid w:val="007208B8"/>
    <w:rsid w:val="00720EC0"/>
    <w:rsid w:val="00721194"/>
    <w:rsid w:val="00721207"/>
    <w:rsid w:val="00721B8B"/>
    <w:rsid w:val="00721B97"/>
    <w:rsid w:val="00721CC3"/>
    <w:rsid w:val="00721DDD"/>
    <w:rsid w:val="00722499"/>
    <w:rsid w:val="00722568"/>
    <w:rsid w:val="00722E18"/>
    <w:rsid w:val="00722E79"/>
    <w:rsid w:val="00723241"/>
    <w:rsid w:val="007236D6"/>
    <w:rsid w:val="007240F6"/>
    <w:rsid w:val="00724476"/>
    <w:rsid w:val="007245A0"/>
    <w:rsid w:val="00724856"/>
    <w:rsid w:val="00724B5C"/>
    <w:rsid w:val="00724F65"/>
    <w:rsid w:val="0072501C"/>
    <w:rsid w:val="007250D4"/>
    <w:rsid w:val="007251ED"/>
    <w:rsid w:val="0072542D"/>
    <w:rsid w:val="0072547F"/>
    <w:rsid w:val="00725909"/>
    <w:rsid w:val="0072626F"/>
    <w:rsid w:val="00726441"/>
    <w:rsid w:val="00726ACC"/>
    <w:rsid w:val="00726C9E"/>
    <w:rsid w:val="00727351"/>
    <w:rsid w:val="00727537"/>
    <w:rsid w:val="00727F7E"/>
    <w:rsid w:val="0073026F"/>
    <w:rsid w:val="00730303"/>
    <w:rsid w:val="00730767"/>
    <w:rsid w:val="00730A4D"/>
    <w:rsid w:val="00730F22"/>
    <w:rsid w:val="0073124B"/>
    <w:rsid w:val="00731335"/>
    <w:rsid w:val="0073146D"/>
    <w:rsid w:val="007315F4"/>
    <w:rsid w:val="007317A1"/>
    <w:rsid w:val="0073184A"/>
    <w:rsid w:val="007318B5"/>
    <w:rsid w:val="00731A25"/>
    <w:rsid w:val="00731C30"/>
    <w:rsid w:val="00731CE5"/>
    <w:rsid w:val="007320DA"/>
    <w:rsid w:val="0073254C"/>
    <w:rsid w:val="007326E6"/>
    <w:rsid w:val="00732D37"/>
    <w:rsid w:val="00733293"/>
    <w:rsid w:val="007336CB"/>
    <w:rsid w:val="00733B2E"/>
    <w:rsid w:val="00733C91"/>
    <w:rsid w:val="00733D65"/>
    <w:rsid w:val="00733D66"/>
    <w:rsid w:val="00733E0C"/>
    <w:rsid w:val="00733E0E"/>
    <w:rsid w:val="00733E54"/>
    <w:rsid w:val="00734626"/>
    <w:rsid w:val="0073477A"/>
    <w:rsid w:val="00734A8F"/>
    <w:rsid w:val="0073512C"/>
    <w:rsid w:val="0073526E"/>
    <w:rsid w:val="00735D5B"/>
    <w:rsid w:val="00735DA0"/>
    <w:rsid w:val="00735E19"/>
    <w:rsid w:val="00735F31"/>
    <w:rsid w:val="007363BB"/>
    <w:rsid w:val="00736552"/>
    <w:rsid w:val="00736787"/>
    <w:rsid w:val="0073685C"/>
    <w:rsid w:val="00736C5F"/>
    <w:rsid w:val="00736F3B"/>
    <w:rsid w:val="00737268"/>
    <w:rsid w:val="00737288"/>
    <w:rsid w:val="007372CE"/>
    <w:rsid w:val="00737530"/>
    <w:rsid w:val="00737DE9"/>
    <w:rsid w:val="00737EAC"/>
    <w:rsid w:val="00737F4D"/>
    <w:rsid w:val="007400B0"/>
    <w:rsid w:val="007406DA"/>
    <w:rsid w:val="00740835"/>
    <w:rsid w:val="00740C6C"/>
    <w:rsid w:val="00741518"/>
    <w:rsid w:val="007415D4"/>
    <w:rsid w:val="00741793"/>
    <w:rsid w:val="007419F9"/>
    <w:rsid w:val="00741B0A"/>
    <w:rsid w:val="00741B20"/>
    <w:rsid w:val="00741B68"/>
    <w:rsid w:val="00742058"/>
    <w:rsid w:val="00742468"/>
    <w:rsid w:val="007425E6"/>
    <w:rsid w:val="0074287A"/>
    <w:rsid w:val="007428FE"/>
    <w:rsid w:val="00742AE3"/>
    <w:rsid w:val="00742ED4"/>
    <w:rsid w:val="00742F00"/>
    <w:rsid w:val="00743026"/>
    <w:rsid w:val="0074304C"/>
    <w:rsid w:val="00743247"/>
    <w:rsid w:val="007432F6"/>
    <w:rsid w:val="0074352D"/>
    <w:rsid w:val="00743B39"/>
    <w:rsid w:val="00743BDB"/>
    <w:rsid w:val="00743E58"/>
    <w:rsid w:val="00743F6A"/>
    <w:rsid w:val="007441D7"/>
    <w:rsid w:val="0074447D"/>
    <w:rsid w:val="0074482C"/>
    <w:rsid w:val="0074490B"/>
    <w:rsid w:val="00744C5D"/>
    <w:rsid w:val="007451D1"/>
    <w:rsid w:val="00745516"/>
    <w:rsid w:val="00745AC1"/>
    <w:rsid w:val="00745FBB"/>
    <w:rsid w:val="007464B5"/>
    <w:rsid w:val="00746566"/>
    <w:rsid w:val="007469E9"/>
    <w:rsid w:val="00746A46"/>
    <w:rsid w:val="00746E3F"/>
    <w:rsid w:val="007472D7"/>
    <w:rsid w:val="00747408"/>
    <w:rsid w:val="007476E6"/>
    <w:rsid w:val="00747976"/>
    <w:rsid w:val="00747AEE"/>
    <w:rsid w:val="00747D73"/>
    <w:rsid w:val="00747FF4"/>
    <w:rsid w:val="00750101"/>
    <w:rsid w:val="007503E4"/>
    <w:rsid w:val="0075047F"/>
    <w:rsid w:val="00750734"/>
    <w:rsid w:val="0075074D"/>
    <w:rsid w:val="00750895"/>
    <w:rsid w:val="007508BE"/>
    <w:rsid w:val="00750F91"/>
    <w:rsid w:val="0075137E"/>
    <w:rsid w:val="0075157B"/>
    <w:rsid w:val="007515C9"/>
    <w:rsid w:val="007515DF"/>
    <w:rsid w:val="00751847"/>
    <w:rsid w:val="00751893"/>
    <w:rsid w:val="007519C5"/>
    <w:rsid w:val="00751CF1"/>
    <w:rsid w:val="00752277"/>
    <w:rsid w:val="00752903"/>
    <w:rsid w:val="00752980"/>
    <w:rsid w:val="0075314F"/>
    <w:rsid w:val="007538B9"/>
    <w:rsid w:val="00753B1F"/>
    <w:rsid w:val="007540CA"/>
    <w:rsid w:val="00754510"/>
    <w:rsid w:val="00754674"/>
    <w:rsid w:val="007548BF"/>
    <w:rsid w:val="007549A4"/>
    <w:rsid w:val="00754B6F"/>
    <w:rsid w:val="00754B91"/>
    <w:rsid w:val="00754CDA"/>
    <w:rsid w:val="00754EA8"/>
    <w:rsid w:val="0075516A"/>
    <w:rsid w:val="007554E8"/>
    <w:rsid w:val="00755582"/>
    <w:rsid w:val="007555BB"/>
    <w:rsid w:val="00755777"/>
    <w:rsid w:val="007559CD"/>
    <w:rsid w:val="00755BBA"/>
    <w:rsid w:val="00755FA8"/>
    <w:rsid w:val="00756638"/>
    <w:rsid w:val="007566CE"/>
    <w:rsid w:val="007567BB"/>
    <w:rsid w:val="00756A25"/>
    <w:rsid w:val="00756B00"/>
    <w:rsid w:val="00756E58"/>
    <w:rsid w:val="00756EC2"/>
    <w:rsid w:val="00756F4F"/>
    <w:rsid w:val="00757122"/>
    <w:rsid w:val="0075737C"/>
    <w:rsid w:val="00757456"/>
    <w:rsid w:val="007574F7"/>
    <w:rsid w:val="0075764F"/>
    <w:rsid w:val="00757DF7"/>
    <w:rsid w:val="0076030D"/>
    <w:rsid w:val="0076074D"/>
    <w:rsid w:val="00760B2F"/>
    <w:rsid w:val="00761386"/>
    <w:rsid w:val="00761749"/>
    <w:rsid w:val="00761ADE"/>
    <w:rsid w:val="00761DF9"/>
    <w:rsid w:val="00761ED7"/>
    <w:rsid w:val="00762888"/>
    <w:rsid w:val="00762976"/>
    <w:rsid w:val="00762CA2"/>
    <w:rsid w:val="00762EEE"/>
    <w:rsid w:val="0076310C"/>
    <w:rsid w:val="0076312B"/>
    <w:rsid w:val="00763510"/>
    <w:rsid w:val="00763DE2"/>
    <w:rsid w:val="00763FEE"/>
    <w:rsid w:val="007640E6"/>
    <w:rsid w:val="007640E8"/>
    <w:rsid w:val="0076430F"/>
    <w:rsid w:val="00764410"/>
    <w:rsid w:val="0076447E"/>
    <w:rsid w:val="007645B6"/>
    <w:rsid w:val="0076470A"/>
    <w:rsid w:val="00764710"/>
    <w:rsid w:val="0076478C"/>
    <w:rsid w:val="00764795"/>
    <w:rsid w:val="007648E8"/>
    <w:rsid w:val="00764B26"/>
    <w:rsid w:val="00765068"/>
    <w:rsid w:val="007654A2"/>
    <w:rsid w:val="00765C4F"/>
    <w:rsid w:val="00765ED7"/>
    <w:rsid w:val="00766011"/>
    <w:rsid w:val="00766029"/>
    <w:rsid w:val="0076611E"/>
    <w:rsid w:val="00766169"/>
    <w:rsid w:val="00766189"/>
    <w:rsid w:val="00766552"/>
    <w:rsid w:val="007668E9"/>
    <w:rsid w:val="00766A03"/>
    <w:rsid w:val="00766C38"/>
    <w:rsid w:val="00766D55"/>
    <w:rsid w:val="00766D7D"/>
    <w:rsid w:val="00766D8E"/>
    <w:rsid w:val="007673D5"/>
    <w:rsid w:val="00767A69"/>
    <w:rsid w:val="00767FAE"/>
    <w:rsid w:val="00767FC7"/>
    <w:rsid w:val="007702F7"/>
    <w:rsid w:val="007705FC"/>
    <w:rsid w:val="00770A97"/>
    <w:rsid w:val="007713B9"/>
    <w:rsid w:val="00771533"/>
    <w:rsid w:val="00771970"/>
    <w:rsid w:val="007719C0"/>
    <w:rsid w:val="00771D62"/>
    <w:rsid w:val="00771ED8"/>
    <w:rsid w:val="00771FE1"/>
    <w:rsid w:val="00772784"/>
    <w:rsid w:val="00772986"/>
    <w:rsid w:val="00772C17"/>
    <w:rsid w:val="00772F21"/>
    <w:rsid w:val="00772F7E"/>
    <w:rsid w:val="00772FC4"/>
    <w:rsid w:val="00773173"/>
    <w:rsid w:val="00773385"/>
    <w:rsid w:val="00773575"/>
    <w:rsid w:val="0077391C"/>
    <w:rsid w:val="00773B23"/>
    <w:rsid w:val="00773EE2"/>
    <w:rsid w:val="00774163"/>
    <w:rsid w:val="0077416F"/>
    <w:rsid w:val="00774319"/>
    <w:rsid w:val="007743DC"/>
    <w:rsid w:val="00774409"/>
    <w:rsid w:val="00774681"/>
    <w:rsid w:val="00774789"/>
    <w:rsid w:val="00774819"/>
    <w:rsid w:val="00774A5C"/>
    <w:rsid w:val="0077502E"/>
    <w:rsid w:val="007757C6"/>
    <w:rsid w:val="00775DD5"/>
    <w:rsid w:val="00776305"/>
    <w:rsid w:val="00776640"/>
    <w:rsid w:val="00776BD5"/>
    <w:rsid w:val="00776D9C"/>
    <w:rsid w:val="00777452"/>
    <w:rsid w:val="007776D0"/>
    <w:rsid w:val="00777986"/>
    <w:rsid w:val="00777BBE"/>
    <w:rsid w:val="00777EBF"/>
    <w:rsid w:val="00777F53"/>
    <w:rsid w:val="007800ED"/>
    <w:rsid w:val="0078010C"/>
    <w:rsid w:val="007804FD"/>
    <w:rsid w:val="007808D3"/>
    <w:rsid w:val="00780FB9"/>
    <w:rsid w:val="00781047"/>
    <w:rsid w:val="00781048"/>
    <w:rsid w:val="007810BC"/>
    <w:rsid w:val="007814FF"/>
    <w:rsid w:val="00781609"/>
    <w:rsid w:val="00781722"/>
    <w:rsid w:val="00781A02"/>
    <w:rsid w:val="00782017"/>
    <w:rsid w:val="0078220E"/>
    <w:rsid w:val="0078272E"/>
    <w:rsid w:val="00782776"/>
    <w:rsid w:val="007828A9"/>
    <w:rsid w:val="007837AB"/>
    <w:rsid w:val="007837D4"/>
    <w:rsid w:val="007839CD"/>
    <w:rsid w:val="00783EF1"/>
    <w:rsid w:val="00783FF1"/>
    <w:rsid w:val="0078454C"/>
    <w:rsid w:val="0078472B"/>
    <w:rsid w:val="00784ADB"/>
    <w:rsid w:val="00784F26"/>
    <w:rsid w:val="00784F6C"/>
    <w:rsid w:val="00785165"/>
    <w:rsid w:val="00785608"/>
    <w:rsid w:val="00785943"/>
    <w:rsid w:val="00785AA4"/>
    <w:rsid w:val="00785DB9"/>
    <w:rsid w:val="00786085"/>
    <w:rsid w:val="00786470"/>
    <w:rsid w:val="00786589"/>
    <w:rsid w:val="00786799"/>
    <w:rsid w:val="00786956"/>
    <w:rsid w:val="00786AAD"/>
    <w:rsid w:val="00786FA9"/>
    <w:rsid w:val="00787047"/>
    <w:rsid w:val="007871E8"/>
    <w:rsid w:val="00787206"/>
    <w:rsid w:val="00787210"/>
    <w:rsid w:val="007872A2"/>
    <w:rsid w:val="00787387"/>
    <w:rsid w:val="007877DD"/>
    <w:rsid w:val="0078793B"/>
    <w:rsid w:val="00787D2B"/>
    <w:rsid w:val="00787D37"/>
    <w:rsid w:val="00787DC2"/>
    <w:rsid w:val="00787F20"/>
    <w:rsid w:val="0079030D"/>
    <w:rsid w:val="0079050C"/>
    <w:rsid w:val="00790734"/>
    <w:rsid w:val="007907B4"/>
    <w:rsid w:val="00790DBD"/>
    <w:rsid w:val="007918E8"/>
    <w:rsid w:val="0079220F"/>
    <w:rsid w:val="00792243"/>
    <w:rsid w:val="00792EA3"/>
    <w:rsid w:val="007931A2"/>
    <w:rsid w:val="00793230"/>
    <w:rsid w:val="00793C7D"/>
    <w:rsid w:val="00793D7A"/>
    <w:rsid w:val="007944AC"/>
    <w:rsid w:val="0079486A"/>
    <w:rsid w:val="00794C4A"/>
    <w:rsid w:val="00795145"/>
    <w:rsid w:val="007959DA"/>
    <w:rsid w:val="00795BAC"/>
    <w:rsid w:val="0079607F"/>
    <w:rsid w:val="007960CC"/>
    <w:rsid w:val="00796150"/>
    <w:rsid w:val="00796227"/>
    <w:rsid w:val="007966CF"/>
    <w:rsid w:val="00796721"/>
    <w:rsid w:val="0079698E"/>
    <w:rsid w:val="00796A53"/>
    <w:rsid w:val="00796B77"/>
    <w:rsid w:val="00796CA4"/>
    <w:rsid w:val="00796D99"/>
    <w:rsid w:val="00796FBC"/>
    <w:rsid w:val="00797965"/>
    <w:rsid w:val="00797E3E"/>
    <w:rsid w:val="00797EE5"/>
    <w:rsid w:val="007A030B"/>
    <w:rsid w:val="007A03F5"/>
    <w:rsid w:val="007A0479"/>
    <w:rsid w:val="007A0482"/>
    <w:rsid w:val="007A08C1"/>
    <w:rsid w:val="007A08D4"/>
    <w:rsid w:val="007A11EC"/>
    <w:rsid w:val="007A1315"/>
    <w:rsid w:val="007A1618"/>
    <w:rsid w:val="007A1821"/>
    <w:rsid w:val="007A1849"/>
    <w:rsid w:val="007A1A41"/>
    <w:rsid w:val="007A1C18"/>
    <w:rsid w:val="007A2036"/>
    <w:rsid w:val="007A2115"/>
    <w:rsid w:val="007A271E"/>
    <w:rsid w:val="007A27DB"/>
    <w:rsid w:val="007A2AC2"/>
    <w:rsid w:val="007A2ACE"/>
    <w:rsid w:val="007A2D54"/>
    <w:rsid w:val="007A301E"/>
    <w:rsid w:val="007A3070"/>
    <w:rsid w:val="007A3105"/>
    <w:rsid w:val="007A3B2F"/>
    <w:rsid w:val="007A3D1A"/>
    <w:rsid w:val="007A3D58"/>
    <w:rsid w:val="007A3D66"/>
    <w:rsid w:val="007A3F92"/>
    <w:rsid w:val="007A408A"/>
    <w:rsid w:val="007A40A7"/>
    <w:rsid w:val="007A41E5"/>
    <w:rsid w:val="007A4563"/>
    <w:rsid w:val="007A48A1"/>
    <w:rsid w:val="007A4A2A"/>
    <w:rsid w:val="007A4ACB"/>
    <w:rsid w:val="007A4C5B"/>
    <w:rsid w:val="007A4D26"/>
    <w:rsid w:val="007A4DD3"/>
    <w:rsid w:val="007A4F5B"/>
    <w:rsid w:val="007A50D6"/>
    <w:rsid w:val="007A5886"/>
    <w:rsid w:val="007A617C"/>
    <w:rsid w:val="007A672A"/>
    <w:rsid w:val="007A684C"/>
    <w:rsid w:val="007A6D01"/>
    <w:rsid w:val="007A707F"/>
    <w:rsid w:val="007A7539"/>
    <w:rsid w:val="007A7639"/>
    <w:rsid w:val="007A78BC"/>
    <w:rsid w:val="007A78C7"/>
    <w:rsid w:val="007A7E5D"/>
    <w:rsid w:val="007B037B"/>
    <w:rsid w:val="007B0560"/>
    <w:rsid w:val="007B0E10"/>
    <w:rsid w:val="007B1038"/>
    <w:rsid w:val="007B126E"/>
    <w:rsid w:val="007B12A2"/>
    <w:rsid w:val="007B1828"/>
    <w:rsid w:val="007B1939"/>
    <w:rsid w:val="007B19E6"/>
    <w:rsid w:val="007B1B88"/>
    <w:rsid w:val="007B22CC"/>
    <w:rsid w:val="007B235F"/>
    <w:rsid w:val="007B2680"/>
    <w:rsid w:val="007B293E"/>
    <w:rsid w:val="007B2C3B"/>
    <w:rsid w:val="007B3BD1"/>
    <w:rsid w:val="007B3C19"/>
    <w:rsid w:val="007B3D7D"/>
    <w:rsid w:val="007B3F33"/>
    <w:rsid w:val="007B4124"/>
    <w:rsid w:val="007B465C"/>
    <w:rsid w:val="007B46D5"/>
    <w:rsid w:val="007B4A27"/>
    <w:rsid w:val="007B4C54"/>
    <w:rsid w:val="007B513D"/>
    <w:rsid w:val="007B51F2"/>
    <w:rsid w:val="007B5204"/>
    <w:rsid w:val="007B54D8"/>
    <w:rsid w:val="007B5560"/>
    <w:rsid w:val="007B56D1"/>
    <w:rsid w:val="007B5843"/>
    <w:rsid w:val="007B59A1"/>
    <w:rsid w:val="007B5A01"/>
    <w:rsid w:val="007B5D7F"/>
    <w:rsid w:val="007B60A8"/>
    <w:rsid w:val="007B60F5"/>
    <w:rsid w:val="007B61F0"/>
    <w:rsid w:val="007B684E"/>
    <w:rsid w:val="007B6ABE"/>
    <w:rsid w:val="007B6D06"/>
    <w:rsid w:val="007B712C"/>
    <w:rsid w:val="007B714C"/>
    <w:rsid w:val="007B7235"/>
    <w:rsid w:val="007B7272"/>
    <w:rsid w:val="007B741E"/>
    <w:rsid w:val="007B7499"/>
    <w:rsid w:val="007B7B51"/>
    <w:rsid w:val="007C0081"/>
    <w:rsid w:val="007C0717"/>
    <w:rsid w:val="007C07EF"/>
    <w:rsid w:val="007C0D9B"/>
    <w:rsid w:val="007C0E0A"/>
    <w:rsid w:val="007C110C"/>
    <w:rsid w:val="007C1331"/>
    <w:rsid w:val="007C1AAD"/>
    <w:rsid w:val="007C20CA"/>
    <w:rsid w:val="007C2186"/>
    <w:rsid w:val="007C2266"/>
    <w:rsid w:val="007C252F"/>
    <w:rsid w:val="007C28D6"/>
    <w:rsid w:val="007C298B"/>
    <w:rsid w:val="007C30BA"/>
    <w:rsid w:val="007C30C3"/>
    <w:rsid w:val="007C355A"/>
    <w:rsid w:val="007C3692"/>
    <w:rsid w:val="007C3C4C"/>
    <w:rsid w:val="007C3C8E"/>
    <w:rsid w:val="007C4189"/>
    <w:rsid w:val="007C4BB6"/>
    <w:rsid w:val="007C4E95"/>
    <w:rsid w:val="007C4EA1"/>
    <w:rsid w:val="007C5019"/>
    <w:rsid w:val="007C5793"/>
    <w:rsid w:val="007C5D1C"/>
    <w:rsid w:val="007C5F30"/>
    <w:rsid w:val="007C605B"/>
    <w:rsid w:val="007C6503"/>
    <w:rsid w:val="007C68AA"/>
    <w:rsid w:val="007C7472"/>
    <w:rsid w:val="007C76C2"/>
    <w:rsid w:val="007C775B"/>
    <w:rsid w:val="007C796B"/>
    <w:rsid w:val="007C79B7"/>
    <w:rsid w:val="007C7FA9"/>
    <w:rsid w:val="007D01AB"/>
    <w:rsid w:val="007D01E4"/>
    <w:rsid w:val="007D01F9"/>
    <w:rsid w:val="007D0583"/>
    <w:rsid w:val="007D0B0E"/>
    <w:rsid w:val="007D0B73"/>
    <w:rsid w:val="007D0F65"/>
    <w:rsid w:val="007D10B2"/>
    <w:rsid w:val="007D11ED"/>
    <w:rsid w:val="007D14E7"/>
    <w:rsid w:val="007D1AB8"/>
    <w:rsid w:val="007D1BD0"/>
    <w:rsid w:val="007D1CDC"/>
    <w:rsid w:val="007D1DAC"/>
    <w:rsid w:val="007D1DFC"/>
    <w:rsid w:val="007D235A"/>
    <w:rsid w:val="007D28C5"/>
    <w:rsid w:val="007D297C"/>
    <w:rsid w:val="007D2A74"/>
    <w:rsid w:val="007D2BC7"/>
    <w:rsid w:val="007D2C02"/>
    <w:rsid w:val="007D2DFF"/>
    <w:rsid w:val="007D339E"/>
    <w:rsid w:val="007D34B2"/>
    <w:rsid w:val="007D3729"/>
    <w:rsid w:val="007D3E06"/>
    <w:rsid w:val="007D40AF"/>
    <w:rsid w:val="007D41E4"/>
    <w:rsid w:val="007D4360"/>
    <w:rsid w:val="007D4419"/>
    <w:rsid w:val="007D44A4"/>
    <w:rsid w:val="007D454F"/>
    <w:rsid w:val="007D457D"/>
    <w:rsid w:val="007D4768"/>
    <w:rsid w:val="007D492E"/>
    <w:rsid w:val="007D4D0B"/>
    <w:rsid w:val="007D4DAE"/>
    <w:rsid w:val="007D5476"/>
    <w:rsid w:val="007D5489"/>
    <w:rsid w:val="007D54E5"/>
    <w:rsid w:val="007D5696"/>
    <w:rsid w:val="007D56B0"/>
    <w:rsid w:val="007D56FA"/>
    <w:rsid w:val="007D5E59"/>
    <w:rsid w:val="007D606A"/>
    <w:rsid w:val="007D6656"/>
    <w:rsid w:val="007D6705"/>
    <w:rsid w:val="007D6956"/>
    <w:rsid w:val="007D6DE5"/>
    <w:rsid w:val="007D6EAC"/>
    <w:rsid w:val="007D730B"/>
    <w:rsid w:val="007D752F"/>
    <w:rsid w:val="007D7B84"/>
    <w:rsid w:val="007D7BAD"/>
    <w:rsid w:val="007DB225"/>
    <w:rsid w:val="007E008E"/>
    <w:rsid w:val="007E06F0"/>
    <w:rsid w:val="007E0AAD"/>
    <w:rsid w:val="007E0E8B"/>
    <w:rsid w:val="007E0EF8"/>
    <w:rsid w:val="007E15BE"/>
    <w:rsid w:val="007E1643"/>
    <w:rsid w:val="007E188C"/>
    <w:rsid w:val="007E1CEC"/>
    <w:rsid w:val="007E1DAB"/>
    <w:rsid w:val="007E20EE"/>
    <w:rsid w:val="007E22C9"/>
    <w:rsid w:val="007E22ED"/>
    <w:rsid w:val="007E2569"/>
    <w:rsid w:val="007E278E"/>
    <w:rsid w:val="007E27B7"/>
    <w:rsid w:val="007E288A"/>
    <w:rsid w:val="007E2C19"/>
    <w:rsid w:val="007E2C9F"/>
    <w:rsid w:val="007E3200"/>
    <w:rsid w:val="007E3A35"/>
    <w:rsid w:val="007E3BB9"/>
    <w:rsid w:val="007E405C"/>
    <w:rsid w:val="007E452B"/>
    <w:rsid w:val="007E4CD0"/>
    <w:rsid w:val="007E5068"/>
    <w:rsid w:val="007E547C"/>
    <w:rsid w:val="007E547F"/>
    <w:rsid w:val="007E54B6"/>
    <w:rsid w:val="007E5C54"/>
    <w:rsid w:val="007E6205"/>
    <w:rsid w:val="007E6422"/>
    <w:rsid w:val="007E64BD"/>
    <w:rsid w:val="007E6526"/>
    <w:rsid w:val="007E65E6"/>
    <w:rsid w:val="007E662F"/>
    <w:rsid w:val="007E665D"/>
    <w:rsid w:val="007E674F"/>
    <w:rsid w:val="007E6AB1"/>
    <w:rsid w:val="007E6AF1"/>
    <w:rsid w:val="007E6D2E"/>
    <w:rsid w:val="007E7FF8"/>
    <w:rsid w:val="007F011C"/>
    <w:rsid w:val="007F0205"/>
    <w:rsid w:val="007F0372"/>
    <w:rsid w:val="007F08AE"/>
    <w:rsid w:val="007F08D6"/>
    <w:rsid w:val="007F0B8F"/>
    <w:rsid w:val="007F0E65"/>
    <w:rsid w:val="007F0E69"/>
    <w:rsid w:val="007F0F5F"/>
    <w:rsid w:val="007F10EC"/>
    <w:rsid w:val="007F11C0"/>
    <w:rsid w:val="007F1F72"/>
    <w:rsid w:val="007F24C9"/>
    <w:rsid w:val="007F2514"/>
    <w:rsid w:val="007F26D9"/>
    <w:rsid w:val="007F278C"/>
    <w:rsid w:val="007F2CD3"/>
    <w:rsid w:val="007F2DAE"/>
    <w:rsid w:val="007F3183"/>
    <w:rsid w:val="007F31AF"/>
    <w:rsid w:val="007F31E4"/>
    <w:rsid w:val="007F379C"/>
    <w:rsid w:val="007F3862"/>
    <w:rsid w:val="007F3B47"/>
    <w:rsid w:val="007F4942"/>
    <w:rsid w:val="007F586A"/>
    <w:rsid w:val="007F586C"/>
    <w:rsid w:val="007F5C4A"/>
    <w:rsid w:val="007F5D57"/>
    <w:rsid w:val="007F5F40"/>
    <w:rsid w:val="007F670C"/>
    <w:rsid w:val="007F6764"/>
    <w:rsid w:val="007F6846"/>
    <w:rsid w:val="007F6CCD"/>
    <w:rsid w:val="007F6F66"/>
    <w:rsid w:val="007F733D"/>
    <w:rsid w:val="007F7491"/>
    <w:rsid w:val="007F7613"/>
    <w:rsid w:val="007F76A3"/>
    <w:rsid w:val="007F78DB"/>
    <w:rsid w:val="007F7902"/>
    <w:rsid w:val="007F7B2B"/>
    <w:rsid w:val="007F7F1C"/>
    <w:rsid w:val="007F7F31"/>
    <w:rsid w:val="008007AA"/>
    <w:rsid w:val="00801144"/>
    <w:rsid w:val="008011B5"/>
    <w:rsid w:val="0080126D"/>
    <w:rsid w:val="00801444"/>
    <w:rsid w:val="00801648"/>
    <w:rsid w:val="0080192B"/>
    <w:rsid w:val="00801A47"/>
    <w:rsid w:val="00801E4B"/>
    <w:rsid w:val="00802122"/>
    <w:rsid w:val="008021A4"/>
    <w:rsid w:val="008021E4"/>
    <w:rsid w:val="008023DC"/>
    <w:rsid w:val="0080244F"/>
    <w:rsid w:val="0080279B"/>
    <w:rsid w:val="008027DA"/>
    <w:rsid w:val="00802D30"/>
    <w:rsid w:val="008030AB"/>
    <w:rsid w:val="00803684"/>
    <w:rsid w:val="00803E9E"/>
    <w:rsid w:val="008040B1"/>
    <w:rsid w:val="0080417D"/>
    <w:rsid w:val="008043F7"/>
    <w:rsid w:val="008047DE"/>
    <w:rsid w:val="00804C83"/>
    <w:rsid w:val="00804D12"/>
    <w:rsid w:val="00804F2C"/>
    <w:rsid w:val="00805B57"/>
    <w:rsid w:val="00805BA6"/>
    <w:rsid w:val="00805D69"/>
    <w:rsid w:val="00806276"/>
    <w:rsid w:val="00806A22"/>
    <w:rsid w:val="00806AEB"/>
    <w:rsid w:val="00806C4C"/>
    <w:rsid w:val="00806CC9"/>
    <w:rsid w:val="008072F0"/>
    <w:rsid w:val="00807A1D"/>
    <w:rsid w:val="00807B39"/>
    <w:rsid w:val="00807EF2"/>
    <w:rsid w:val="008101E4"/>
    <w:rsid w:val="008106B8"/>
    <w:rsid w:val="00810992"/>
    <w:rsid w:val="00810C53"/>
    <w:rsid w:val="00810DEA"/>
    <w:rsid w:val="00810EAB"/>
    <w:rsid w:val="00811584"/>
    <w:rsid w:val="008117BD"/>
    <w:rsid w:val="0081191F"/>
    <w:rsid w:val="00811D87"/>
    <w:rsid w:val="00812552"/>
    <w:rsid w:val="00812668"/>
    <w:rsid w:val="008127B4"/>
    <w:rsid w:val="00812972"/>
    <w:rsid w:val="00812B47"/>
    <w:rsid w:val="00812C50"/>
    <w:rsid w:val="0081300E"/>
    <w:rsid w:val="008131CD"/>
    <w:rsid w:val="008133DA"/>
    <w:rsid w:val="00813689"/>
    <w:rsid w:val="008138A2"/>
    <w:rsid w:val="008139D6"/>
    <w:rsid w:val="00813DD9"/>
    <w:rsid w:val="00813E97"/>
    <w:rsid w:val="00813F90"/>
    <w:rsid w:val="00813FE5"/>
    <w:rsid w:val="008143E0"/>
    <w:rsid w:val="008144E9"/>
    <w:rsid w:val="00814D60"/>
    <w:rsid w:val="008152F9"/>
    <w:rsid w:val="008157A7"/>
    <w:rsid w:val="00815800"/>
    <w:rsid w:val="0081583D"/>
    <w:rsid w:val="00815A58"/>
    <w:rsid w:val="00815C68"/>
    <w:rsid w:val="00815D5D"/>
    <w:rsid w:val="00816398"/>
    <w:rsid w:val="00816568"/>
    <w:rsid w:val="00816962"/>
    <w:rsid w:val="0081722F"/>
    <w:rsid w:val="00817335"/>
    <w:rsid w:val="008175E4"/>
    <w:rsid w:val="00817E28"/>
    <w:rsid w:val="00817E3D"/>
    <w:rsid w:val="00820363"/>
    <w:rsid w:val="008209A5"/>
    <w:rsid w:val="00820B3D"/>
    <w:rsid w:val="00820CB4"/>
    <w:rsid w:val="00820D70"/>
    <w:rsid w:val="00820E16"/>
    <w:rsid w:val="008211AF"/>
    <w:rsid w:val="008211F0"/>
    <w:rsid w:val="0082144F"/>
    <w:rsid w:val="00821468"/>
    <w:rsid w:val="008216F1"/>
    <w:rsid w:val="00821C21"/>
    <w:rsid w:val="00821E1F"/>
    <w:rsid w:val="00822CAF"/>
    <w:rsid w:val="00822E3F"/>
    <w:rsid w:val="00823337"/>
    <w:rsid w:val="00823373"/>
    <w:rsid w:val="0082340A"/>
    <w:rsid w:val="0082344B"/>
    <w:rsid w:val="00823D01"/>
    <w:rsid w:val="00824234"/>
    <w:rsid w:val="008244AE"/>
    <w:rsid w:val="008249FC"/>
    <w:rsid w:val="00824A70"/>
    <w:rsid w:val="00824D4A"/>
    <w:rsid w:val="00824E8E"/>
    <w:rsid w:val="0082519D"/>
    <w:rsid w:val="00825214"/>
    <w:rsid w:val="0082567A"/>
    <w:rsid w:val="008260E0"/>
    <w:rsid w:val="0082666E"/>
    <w:rsid w:val="008267AD"/>
    <w:rsid w:val="008272C2"/>
    <w:rsid w:val="00827569"/>
    <w:rsid w:val="0082791B"/>
    <w:rsid w:val="00827974"/>
    <w:rsid w:val="00827AE8"/>
    <w:rsid w:val="00827B8F"/>
    <w:rsid w:val="00827D9A"/>
    <w:rsid w:val="00827F6C"/>
    <w:rsid w:val="0083035D"/>
    <w:rsid w:val="00830763"/>
    <w:rsid w:val="00830969"/>
    <w:rsid w:val="00830B8B"/>
    <w:rsid w:val="00830E24"/>
    <w:rsid w:val="00830E51"/>
    <w:rsid w:val="00830EDD"/>
    <w:rsid w:val="00830F1C"/>
    <w:rsid w:val="00831A25"/>
    <w:rsid w:val="00831D6B"/>
    <w:rsid w:val="00831EFC"/>
    <w:rsid w:val="008323DA"/>
    <w:rsid w:val="00832437"/>
    <w:rsid w:val="0083243B"/>
    <w:rsid w:val="008324D8"/>
    <w:rsid w:val="0083269D"/>
    <w:rsid w:val="00832ADB"/>
    <w:rsid w:val="00832D2F"/>
    <w:rsid w:val="0083333F"/>
    <w:rsid w:val="00833390"/>
    <w:rsid w:val="00833BC1"/>
    <w:rsid w:val="00833D10"/>
    <w:rsid w:val="00833DF8"/>
    <w:rsid w:val="00833E35"/>
    <w:rsid w:val="00833E81"/>
    <w:rsid w:val="00833F0B"/>
    <w:rsid w:val="00833F34"/>
    <w:rsid w:val="0083414A"/>
    <w:rsid w:val="00834240"/>
    <w:rsid w:val="008347B7"/>
    <w:rsid w:val="0083498A"/>
    <w:rsid w:val="00834ABC"/>
    <w:rsid w:val="00834B76"/>
    <w:rsid w:val="00834F5E"/>
    <w:rsid w:val="00835214"/>
    <w:rsid w:val="0083552F"/>
    <w:rsid w:val="00835678"/>
    <w:rsid w:val="00835881"/>
    <w:rsid w:val="00835DB7"/>
    <w:rsid w:val="00835FFA"/>
    <w:rsid w:val="008362C9"/>
    <w:rsid w:val="0083643B"/>
    <w:rsid w:val="00836821"/>
    <w:rsid w:val="00836951"/>
    <w:rsid w:val="00836A6C"/>
    <w:rsid w:val="00836CF3"/>
    <w:rsid w:val="00836EC2"/>
    <w:rsid w:val="008371D7"/>
    <w:rsid w:val="00837323"/>
    <w:rsid w:val="0083777A"/>
    <w:rsid w:val="0083783E"/>
    <w:rsid w:val="0083786B"/>
    <w:rsid w:val="00840116"/>
    <w:rsid w:val="0084018F"/>
    <w:rsid w:val="00840258"/>
    <w:rsid w:val="008404CA"/>
    <w:rsid w:val="008404FD"/>
    <w:rsid w:val="00840B3A"/>
    <w:rsid w:val="00841033"/>
    <w:rsid w:val="00841036"/>
    <w:rsid w:val="0084146C"/>
    <w:rsid w:val="0084150D"/>
    <w:rsid w:val="00841699"/>
    <w:rsid w:val="0084179F"/>
    <w:rsid w:val="00841B3E"/>
    <w:rsid w:val="00841B50"/>
    <w:rsid w:val="00841C0C"/>
    <w:rsid w:val="00841D9C"/>
    <w:rsid w:val="00841FE0"/>
    <w:rsid w:val="008422D3"/>
    <w:rsid w:val="008423AF"/>
    <w:rsid w:val="00842AAC"/>
    <w:rsid w:val="008438F3"/>
    <w:rsid w:val="00843911"/>
    <w:rsid w:val="00843E3F"/>
    <w:rsid w:val="00844117"/>
    <w:rsid w:val="00844251"/>
    <w:rsid w:val="0084463F"/>
    <w:rsid w:val="00844881"/>
    <w:rsid w:val="00844891"/>
    <w:rsid w:val="0084494B"/>
    <w:rsid w:val="00844F78"/>
    <w:rsid w:val="00845291"/>
    <w:rsid w:val="00845C9B"/>
    <w:rsid w:val="00845D07"/>
    <w:rsid w:val="00845E4E"/>
    <w:rsid w:val="00845F99"/>
    <w:rsid w:val="008461C1"/>
    <w:rsid w:val="00846289"/>
    <w:rsid w:val="00846623"/>
    <w:rsid w:val="008467C4"/>
    <w:rsid w:val="00846DE0"/>
    <w:rsid w:val="00846FBD"/>
    <w:rsid w:val="00847017"/>
    <w:rsid w:val="008470C1"/>
    <w:rsid w:val="00847293"/>
    <w:rsid w:val="008473A4"/>
    <w:rsid w:val="0084761B"/>
    <w:rsid w:val="008476B4"/>
    <w:rsid w:val="0084789B"/>
    <w:rsid w:val="00847E66"/>
    <w:rsid w:val="00847EBA"/>
    <w:rsid w:val="00850222"/>
    <w:rsid w:val="0085028D"/>
    <w:rsid w:val="00850348"/>
    <w:rsid w:val="00850632"/>
    <w:rsid w:val="008508AB"/>
    <w:rsid w:val="008509A1"/>
    <w:rsid w:val="00850D5F"/>
    <w:rsid w:val="0085104C"/>
    <w:rsid w:val="0085108F"/>
    <w:rsid w:val="0085109B"/>
    <w:rsid w:val="00851654"/>
    <w:rsid w:val="008516D9"/>
    <w:rsid w:val="0085181F"/>
    <w:rsid w:val="008518FB"/>
    <w:rsid w:val="00852092"/>
    <w:rsid w:val="008520DE"/>
    <w:rsid w:val="008520F2"/>
    <w:rsid w:val="0085211F"/>
    <w:rsid w:val="008521D8"/>
    <w:rsid w:val="0085262F"/>
    <w:rsid w:val="00852A68"/>
    <w:rsid w:val="00852C78"/>
    <w:rsid w:val="00852DE6"/>
    <w:rsid w:val="00852E7E"/>
    <w:rsid w:val="008531CF"/>
    <w:rsid w:val="0085342A"/>
    <w:rsid w:val="00853681"/>
    <w:rsid w:val="0085368D"/>
    <w:rsid w:val="00853D22"/>
    <w:rsid w:val="00854335"/>
    <w:rsid w:val="0085477F"/>
    <w:rsid w:val="0085486E"/>
    <w:rsid w:val="00854E7F"/>
    <w:rsid w:val="008551E1"/>
    <w:rsid w:val="008555CA"/>
    <w:rsid w:val="00855828"/>
    <w:rsid w:val="00855E76"/>
    <w:rsid w:val="00855EC2"/>
    <w:rsid w:val="00856487"/>
    <w:rsid w:val="008564B7"/>
    <w:rsid w:val="00856AA3"/>
    <w:rsid w:val="00856F7D"/>
    <w:rsid w:val="0085725C"/>
    <w:rsid w:val="0085741D"/>
    <w:rsid w:val="008578D1"/>
    <w:rsid w:val="0085793D"/>
    <w:rsid w:val="008579FE"/>
    <w:rsid w:val="00857B52"/>
    <w:rsid w:val="00857C89"/>
    <w:rsid w:val="00857E2D"/>
    <w:rsid w:val="00860077"/>
    <w:rsid w:val="00860738"/>
    <w:rsid w:val="00860770"/>
    <w:rsid w:val="008608B8"/>
    <w:rsid w:val="00860E1E"/>
    <w:rsid w:val="0086116B"/>
    <w:rsid w:val="008612AE"/>
    <w:rsid w:val="008614E3"/>
    <w:rsid w:val="0086187D"/>
    <w:rsid w:val="00861BF5"/>
    <w:rsid w:val="00861C6B"/>
    <w:rsid w:val="00862035"/>
    <w:rsid w:val="008624A2"/>
    <w:rsid w:val="00862745"/>
    <w:rsid w:val="0086288C"/>
    <w:rsid w:val="00862ED4"/>
    <w:rsid w:val="00862F4D"/>
    <w:rsid w:val="008630E6"/>
    <w:rsid w:val="008631B5"/>
    <w:rsid w:val="008632A1"/>
    <w:rsid w:val="0086351D"/>
    <w:rsid w:val="008636A1"/>
    <w:rsid w:val="0086387D"/>
    <w:rsid w:val="00863882"/>
    <w:rsid w:val="00863B80"/>
    <w:rsid w:val="00863DDF"/>
    <w:rsid w:val="0086400E"/>
    <w:rsid w:val="008641CD"/>
    <w:rsid w:val="0086445E"/>
    <w:rsid w:val="008648AE"/>
    <w:rsid w:val="00864F36"/>
    <w:rsid w:val="00864FF3"/>
    <w:rsid w:val="008653B1"/>
    <w:rsid w:val="00865475"/>
    <w:rsid w:val="0086548D"/>
    <w:rsid w:val="008656EF"/>
    <w:rsid w:val="00865C89"/>
    <w:rsid w:val="00866557"/>
    <w:rsid w:val="00866F85"/>
    <w:rsid w:val="008672E1"/>
    <w:rsid w:val="00867400"/>
    <w:rsid w:val="008674EA"/>
    <w:rsid w:val="00867626"/>
    <w:rsid w:val="008677D1"/>
    <w:rsid w:val="00867ADA"/>
    <w:rsid w:val="00867BAC"/>
    <w:rsid w:val="00867D57"/>
    <w:rsid w:val="00867E52"/>
    <w:rsid w:val="008706EA"/>
    <w:rsid w:val="00870736"/>
    <w:rsid w:val="00870920"/>
    <w:rsid w:val="00870C27"/>
    <w:rsid w:val="00870CAD"/>
    <w:rsid w:val="00870E73"/>
    <w:rsid w:val="008710F7"/>
    <w:rsid w:val="00871889"/>
    <w:rsid w:val="00871FC9"/>
    <w:rsid w:val="0087259C"/>
    <w:rsid w:val="00872B11"/>
    <w:rsid w:val="00872EA4"/>
    <w:rsid w:val="0087332D"/>
    <w:rsid w:val="00873FBD"/>
    <w:rsid w:val="008742B6"/>
    <w:rsid w:val="00874305"/>
    <w:rsid w:val="0087440F"/>
    <w:rsid w:val="00874482"/>
    <w:rsid w:val="0087459A"/>
    <w:rsid w:val="008745E1"/>
    <w:rsid w:val="008747B7"/>
    <w:rsid w:val="00874874"/>
    <w:rsid w:val="00874D95"/>
    <w:rsid w:val="00875276"/>
    <w:rsid w:val="00875278"/>
    <w:rsid w:val="008753A5"/>
    <w:rsid w:val="008757B4"/>
    <w:rsid w:val="00875979"/>
    <w:rsid w:val="008759C5"/>
    <w:rsid w:val="00875D26"/>
    <w:rsid w:val="00875DEA"/>
    <w:rsid w:val="00875E8C"/>
    <w:rsid w:val="00876099"/>
    <w:rsid w:val="008761A1"/>
    <w:rsid w:val="008762DC"/>
    <w:rsid w:val="00876458"/>
    <w:rsid w:val="008765F1"/>
    <w:rsid w:val="00876AD2"/>
    <w:rsid w:val="008778D5"/>
    <w:rsid w:val="008779FA"/>
    <w:rsid w:val="00877D17"/>
    <w:rsid w:val="00877DD2"/>
    <w:rsid w:val="00880821"/>
    <w:rsid w:val="008809CC"/>
    <w:rsid w:val="00880A80"/>
    <w:rsid w:val="00880BBD"/>
    <w:rsid w:val="00880BDB"/>
    <w:rsid w:val="00880D6A"/>
    <w:rsid w:val="00880E04"/>
    <w:rsid w:val="00880E39"/>
    <w:rsid w:val="0088135D"/>
    <w:rsid w:val="00881730"/>
    <w:rsid w:val="00881765"/>
    <w:rsid w:val="00881DFA"/>
    <w:rsid w:val="00881E3C"/>
    <w:rsid w:val="00881E4C"/>
    <w:rsid w:val="00881FA1"/>
    <w:rsid w:val="008820A5"/>
    <w:rsid w:val="00882210"/>
    <w:rsid w:val="008827C4"/>
    <w:rsid w:val="008828D9"/>
    <w:rsid w:val="00882CA1"/>
    <w:rsid w:val="00882E7D"/>
    <w:rsid w:val="00882FFC"/>
    <w:rsid w:val="00883129"/>
    <w:rsid w:val="0088326D"/>
    <w:rsid w:val="008834B3"/>
    <w:rsid w:val="0088376A"/>
    <w:rsid w:val="00883BB4"/>
    <w:rsid w:val="0088411C"/>
    <w:rsid w:val="00884130"/>
    <w:rsid w:val="00884464"/>
    <w:rsid w:val="008844B3"/>
    <w:rsid w:val="008844E1"/>
    <w:rsid w:val="0088452C"/>
    <w:rsid w:val="0088464A"/>
    <w:rsid w:val="0088480E"/>
    <w:rsid w:val="00884A43"/>
    <w:rsid w:val="00884CD3"/>
    <w:rsid w:val="00884F45"/>
    <w:rsid w:val="00885D73"/>
    <w:rsid w:val="00885E8F"/>
    <w:rsid w:val="00885FB3"/>
    <w:rsid w:val="008861C6"/>
    <w:rsid w:val="00886373"/>
    <w:rsid w:val="008865C0"/>
    <w:rsid w:val="00886890"/>
    <w:rsid w:val="00886987"/>
    <w:rsid w:val="0088753F"/>
    <w:rsid w:val="008875F6"/>
    <w:rsid w:val="0088783D"/>
    <w:rsid w:val="00887B17"/>
    <w:rsid w:val="00887E6C"/>
    <w:rsid w:val="00887F32"/>
    <w:rsid w:val="008903B3"/>
    <w:rsid w:val="00890908"/>
    <w:rsid w:val="00890DA9"/>
    <w:rsid w:val="008912AD"/>
    <w:rsid w:val="00891408"/>
    <w:rsid w:val="0089173B"/>
    <w:rsid w:val="008917E8"/>
    <w:rsid w:val="008918D8"/>
    <w:rsid w:val="00891A3E"/>
    <w:rsid w:val="00891B35"/>
    <w:rsid w:val="00891B8B"/>
    <w:rsid w:val="00891E57"/>
    <w:rsid w:val="00892140"/>
    <w:rsid w:val="008922A2"/>
    <w:rsid w:val="00892660"/>
    <w:rsid w:val="00892694"/>
    <w:rsid w:val="00892AB0"/>
    <w:rsid w:val="00892B05"/>
    <w:rsid w:val="00892E6B"/>
    <w:rsid w:val="008931F1"/>
    <w:rsid w:val="00893AF3"/>
    <w:rsid w:val="00893D15"/>
    <w:rsid w:val="008941E1"/>
    <w:rsid w:val="00894638"/>
    <w:rsid w:val="00894849"/>
    <w:rsid w:val="00894F8B"/>
    <w:rsid w:val="0089509A"/>
    <w:rsid w:val="0089568A"/>
    <w:rsid w:val="008957A6"/>
    <w:rsid w:val="0089588A"/>
    <w:rsid w:val="00895C5A"/>
    <w:rsid w:val="00895EDA"/>
    <w:rsid w:val="00895F6C"/>
    <w:rsid w:val="00896088"/>
    <w:rsid w:val="00896197"/>
    <w:rsid w:val="008963A7"/>
    <w:rsid w:val="00896612"/>
    <w:rsid w:val="00896705"/>
    <w:rsid w:val="00896948"/>
    <w:rsid w:val="00896BBD"/>
    <w:rsid w:val="00896E61"/>
    <w:rsid w:val="0089708E"/>
    <w:rsid w:val="00897515"/>
    <w:rsid w:val="00897682"/>
    <w:rsid w:val="008A015E"/>
    <w:rsid w:val="008A0208"/>
    <w:rsid w:val="008A03BD"/>
    <w:rsid w:val="008A04FB"/>
    <w:rsid w:val="008A066A"/>
    <w:rsid w:val="008A0877"/>
    <w:rsid w:val="008A0BA7"/>
    <w:rsid w:val="008A0D08"/>
    <w:rsid w:val="008A0F72"/>
    <w:rsid w:val="008A10E3"/>
    <w:rsid w:val="008A1546"/>
    <w:rsid w:val="008A1608"/>
    <w:rsid w:val="008A16BB"/>
    <w:rsid w:val="008A1875"/>
    <w:rsid w:val="008A1B75"/>
    <w:rsid w:val="008A1BE4"/>
    <w:rsid w:val="008A1C91"/>
    <w:rsid w:val="008A1D23"/>
    <w:rsid w:val="008A1D3F"/>
    <w:rsid w:val="008A1F90"/>
    <w:rsid w:val="008A220B"/>
    <w:rsid w:val="008A232F"/>
    <w:rsid w:val="008A25CD"/>
    <w:rsid w:val="008A28B7"/>
    <w:rsid w:val="008A2A8E"/>
    <w:rsid w:val="008A2EAF"/>
    <w:rsid w:val="008A32E7"/>
    <w:rsid w:val="008A385D"/>
    <w:rsid w:val="008A3A6A"/>
    <w:rsid w:val="008A3D54"/>
    <w:rsid w:val="008A40F4"/>
    <w:rsid w:val="008A47D1"/>
    <w:rsid w:val="008A4859"/>
    <w:rsid w:val="008A4984"/>
    <w:rsid w:val="008A4E67"/>
    <w:rsid w:val="008A5024"/>
    <w:rsid w:val="008A50A0"/>
    <w:rsid w:val="008A5411"/>
    <w:rsid w:val="008A552A"/>
    <w:rsid w:val="008A5602"/>
    <w:rsid w:val="008A56A9"/>
    <w:rsid w:val="008A5B15"/>
    <w:rsid w:val="008A5B72"/>
    <w:rsid w:val="008A5B9D"/>
    <w:rsid w:val="008A6011"/>
    <w:rsid w:val="008A648C"/>
    <w:rsid w:val="008A69D0"/>
    <w:rsid w:val="008A6A57"/>
    <w:rsid w:val="008A6ADB"/>
    <w:rsid w:val="008A74E3"/>
    <w:rsid w:val="008A75EB"/>
    <w:rsid w:val="008A777A"/>
    <w:rsid w:val="008A7B76"/>
    <w:rsid w:val="008A7BC0"/>
    <w:rsid w:val="008B0068"/>
    <w:rsid w:val="008B0150"/>
    <w:rsid w:val="008B072B"/>
    <w:rsid w:val="008B0A1F"/>
    <w:rsid w:val="008B0D4F"/>
    <w:rsid w:val="008B120E"/>
    <w:rsid w:val="008B1381"/>
    <w:rsid w:val="008B14BE"/>
    <w:rsid w:val="008B1B12"/>
    <w:rsid w:val="008B1C86"/>
    <w:rsid w:val="008B2820"/>
    <w:rsid w:val="008B282B"/>
    <w:rsid w:val="008B3039"/>
    <w:rsid w:val="008B3330"/>
    <w:rsid w:val="008B37B7"/>
    <w:rsid w:val="008B3812"/>
    <w:rsid w:val="008B39BD"/>
    <w:rsid w:val="008B3D7C"/>
    <w:rsid w:val="008B4111"/>
    <w:rsid w:val="008B4905"/>
    <w:rsid w:val="008B4A34"/>
    <w:rsid w:val="008B4D84"/>
    <w:rsid w:val="008B5488"/>
    <w:rsid w:val="008B553A"/>
    <w:rsid w:val="008B58C4"/>
    <w:rsid w:val="008B59BE"/>
    <w:rsid w:val="008B5A1A"/>
    <w:rsid w:val="008B5BAE"/>
    <w:rsid w:val="008B5BC2"/>
    <w:rsid w:val="008B5BD6"/>
    <w:rsid w:val="008B5C58"/>
    <w:rsid w:val="008B5C5F"/>
    <w:rsid w:val="008B5CA3"/>
    <w:rsid w:val="008B5E42"/>
    <w:rsid w:val="008B5FBB"/>
    <w:rsid w:val="008B6135"/>
    <w:rsid w:val="008B613C"/>
    <w:rsid w:val="008B62CC"/>
    <w:rsid w:val="008B63A7"/>
    <w:rsid w:val="008B66CA"/>
    <w:rsid w:val="008B67B1"/>
    <w:rsid w:val="008B6D06"/>
    <w:rsid w:val="008B6D27"/>
    <w:rsid w:val="008B6E64"/>
    <w:rsid w:val="008B70D8"/>
    <w:rsid w:val="008B70E3"/>
    <w:rsid w:val="008B77C6"/>
    <w:rsid w:val="008B7ED9"/>
    <w:rsid w:val="008C000F"/>
    <w:rsid w:val="008C049A"/>
    <w:rsid w:val="008C060C"/>
    <w:rsid w:val="008C09AA"/>
    <w:rsid w:val="008C0A8B"/>
    <w:rsid w:val="008C11CA"/>
    <w:rsid w:val="008C13E1"/>
    <w:rsid w:val="008C1512"/>
    <w:rsid w:val="008C17FD"/>
    <w:rsid w:val="008C184D"/>
    <w:rsid w:val="008C1897"/>
    <w:rsid w:val="008C1916"/>
    <w:rsid w:val="008C19B1"/>
    <w:rsid w:val="008C1D5F"/>
    <w:rsid w:val="008C1DF5"/>
    <w:rsid w:val="008C1F1E"/>
    <w:rsid w:val="008C2757"/>
    <w:rsid w:val="008C29D9"/>
    <w:rsid w:val="008C2AA1"/>
    <w:rsid w:val="008C2F61"/>
    <w:rsid w:val="008C3648"/>
    <w:rsid w:val="008C370A"/>
    <w:rsid w:val="008C372A"/>
    <w:rsid w:val="008C3BEF"/>
    <w:rsid w:val="008C43D1"/>
    <w:rsid w:val="008C48FD"/>
    <w:rsid w:val="008C4DE9"/>
    <w:rsid w:val="008C51A9"/>
    <w:rsid w:val="008C52DA"/>
    <w:rsid w:val="008C57CE"/>
    <w:rsid w:val="008C5819"/>
    <w:rsid w:val="008C5AF9"/>
    <w:rsid w:val="008C5CBB"/>
    <w:rsid w:val="008C60DB"/>
    <w:rsid w:val="008C67AD"/>
    <w:rsid w:val="008C6884"/>
    <w:rsid w:val="008C6B5E"/>
    <w:rsid w:val="008C718A"/>
    <w:rsid w:val="008C7277"/>
    <w:rsid w:val="008C73D4"/>
    <w:rsid w:val="008C73D7"/>
    <w:rsid w:val="008C7716"/>
    <w:rsid w:val="008C7898"/>
    <w:rsid w:val="008C7AE8"/>
    <w:rsid w:val="008C7C43"/>
    <w:rsid w:val="008C7C86"/>
    <w:rsid w:val="008D00CC"/>
    <w:rsid w:val="008D021D"/>
    <w:rsid w:val="008D042C"/>
    <w:rsid w:val="008D04BA"/>
    <w:rsid w:val="008D0B60"/>
    <w:rsid w:val="008D11AD"/>
    <w:rsid w:val="008D19D7"/>
    <w:rsid w:val="008D1E2D"/>
    <w:rsid w:val="008D22BC"/>
    <w:rsid w:val="008D25DF"/>
    <w:rsid w:val="008D281A"/>
    <w:rsid w:val="008D3BFE"/>
    <w:rsid w:val="008D42CC"/>
    <w:rsid w:val="008D4493"/>
    <w:rsid w:val="008D462F"/>
    <w:rsid w:val="008D47EB"/>
    <w:rsid w:val="008D4A19"/>
    <w:rsid w:val="008D50BF"/>
    <w:rsid w:val="008D54E7"/>
    <w:rsid w:val="008D589E"/>
    <w:rsid w:val="008D5EE8"/>
    <w:rsid w:val="008D6171"/>
    <w:rsid w:val="008D62F6"/>
    <w:rsid w:val="008D6911"/>
    <w:rsid w:val="008D6DA0"/>
    <w:rsid w:val="008D6E48"/>
    <w:rsid w:val="008D6E82"/>
    <w:rsid w:val="008D6F4A"/>
    <w:rsid w:val="008D7016"/>
    <w:rsid w:val="008D7253"/>
    <w:rsid w:val="008D7E3B"/>
    <w:rsid w:val="008E0207"/>
    <w:rsid w:val="008E033A"/>
    <w:rsid w:val="008E0856"/>
    <w:rsid w:val="008E0BCC"/>
    <w:rsid w:val="008E109F"/>
    <w:rsid w:val="008E15B4"/>
    <w:rsid w:val="008E1B7B"/>
    <w:rsid w:val="008E1FEB"/>
    <w:rsid w:val="008E1FFB"/>
    <w:rsid w:val="008E2055"/>
    <w:rsid w:val="008E2167"/>
    <w:rsid w:val="008E2AAF"/>
    <w:rsid w:val="008E2CB8"/>
    <w:rsid w:val="008E2E24"/>
    <w:rsid w:val="008E2FE6"/>
    <w:rsid w:val="008E3131"/>
    <w:rsid w:val="008E33B2"/>
    <w:rsid w:val="008E3907"/>
    <w:rsid w:val="008E39A9"/>
    <w:rsid w:val="008E3A82"/>
    <w:rsid w:val="008E3B4B"/>
    <w:rsid w:val="008E3C62"/>
    <w:rsid w:val="008E3D4C"/>
    <w:rsid w:val="008E3ED7"/>
    <w:rsid w:val="008E40B6"/>
    <w:rsid w:val="008E4850"/>
    <w:rsid w:val="008E4A48"/>
    <w:rsid w:val="008E4B69"/>
    <w:rsid w:val="008E4E38"/>
    <w:rsid w:val="008E53B7"/>
    <w:rsid w:val="008E545E"/>
    <w:rsid w:val="008E5E55"/>
    <w:rsid w:val="008E5F66"/>
    <w:rsid w:val="008E625C"/>
    <w:rsid w:val="008E62C8"/>
    <w:rsid w:val="008E64AF"/>
    <w:rsid w:val="008E679E"/>
    <w:rsid w:val="008E68E3"/>
    <w:rsid w:val="008E6EA9"/>
    <w:rsid w:val="008E6F45"/>
    <w:rsid w:val="008E7327"/>
    <w:rsid w:val="008E776E"/>
    <w:rsid w:val="008E7BF0"/>
    <w:rsid w:val="008E7D07"/>
    <w:rsid w:val="008E7D18"/>
    <w:rsid w:val="008E7DCF"/>
    <w:rsid w:val="008E7FC0"/>
    <w:rsid w:val="008F015C"/>
    <w:rsid w:val="008F055F"/>
    <w:rsid w:val="008F05B3"/>
    <w:rsid w:val="008F08BE"/>
    <w:rsid w:val="008F1333"/>
    <w:rsid w:val="008F1822"/>
    <w:rsid w:val="008F195C"/>
    <w:rsid w:val="008F1C20"/>
    <w:rsid w:val="008F1D5B"/>
    <w:rsid w:val="008F226C"/>
    <w:rsid w:val="008F288F"/>
    <w:rsid w:val="008F2B69"/>
    <w:rsid w:val="008F2C67"/>
    <w:rsid w:val="008F2CFE"/>
    <w:rsid w:val="008F2D23"/>
    <w:rsid w:val="008F2ED3"/>
    <w:rsid w:val="008F315D"/>
    <w:rsid w:val="008F3810"/>
    <w:rsid w:val="008F3826"/>
    <w:rsid w:val="008F3FD2"/>
    <w:rsid w:val="008F440D"/>
    <w:rsid w:val="008F493D"/>
    <w:rsid w:val="008F4AE0"/>
    <w:rsid w:val="008F503D"/>
    <w:rsid w:val="008F53F5"/>
    <w:rsid w:val="008F5EA7"/>
    <w:rsid w:val="008F608C"/>
    <w:rsid w:val="008F611F"/>
    <w:rsid w:val="008F61D6"/>
    <w:rsid w:val="008F63FA"/>
    <w:rsid w:val="008F65A1"/>
    <w:rsid w:val="008F662C"/>
    <w:rsid w:val="008F67EB"/>
    <w:rsid w:val="008F6DE9"/>
    <w:rsid w:val="008F6E62"/>
    <w:rsid w:val="008F6F8B"/>
    <w:rsid w:val="008F75A0"/>
    <w:rsid w:val="008F75C7"/>
    <w:rsid w:val="008F776D"/>
    <w:rsid w:val="008F7A27"/>
    <w:rsid w:val="008F7C35"/>
    <w:rsid w:val="008F7CBB"/>
    <w:rsid w:val="009003A9"/>
    <w:rsid w:val="009003FF"/>
    <w:rsid w:val="00900407"/>
    <w:rsid w:val="00900C39"/>
    <w:rsid w:val="00900D7B"/>
    <w:rsid w:val="00900FFD"/>
    <w:rsid w:val="00901096"/>
    <w:rsid w:val="0090127A"/>
    <w:rsid w:val="00901BB1"/>
    <w:rsid w:val="00901C0F"/>
    <w:rsid w:val="00901D6A"/>
    <w:rsid w:val="009023D5"/>
    <w:rsid w:val="009028B9"/>
    <w:rsid w:val="00902B3F"/>
    <w:rsid w:val="00902D3B"/>
    <w:rsid w:val="00902DE1"/>
    <w:rsid w:val="00903100"/>
    <w:rsid w:val="009032FA"/>
    <w:rsid w:val="00903590"/>
    <w:rsid w:val="009035AB"/>
    <w:rsid w:val="009037F8"/>
    <w:rsid w:val="00903892"/>
    <w:rsid w:val="00903946"/>
    <w:rsid w:val="00903B96"/>
    <w:rsid w:val="00903F45"/>
    <w:rsid w:val="00904018"/>
    <w:rsid w:val="009041FB"/>
    <w:rsid w:val="009042B7"/>
    <w:rsid w:val="00904398"/>
    <w:rsid w:val="00904695"/>
    <w:rsid w:val="00904782"/>
    <w:rsid w:val="00904A25"/>
    <w:rsid w:val="00904AF5"/>
    <w:rsid w:val="00904E5C"/>
    <w:rsid w:val="00905391"/>
    <w:rsid w:val="009056B6"/>
    <w:rsid w:val="009057DA"/>
    <w:rsid w:val="00905940"/>
    <w:rsid w:val="00905D13"/>
    <w:rsid w:val="00905E5D"/>
    <w:rsid w:val="00906054"/>
    <w:rsid w:val="009063E9"/>
    <w:rsid w:val="00906459"/>
    <w:rsid w:val="00906704"/>
    <w:rsid w:val="00906A45"/>
    <w:rsid w:val="00906BFF"/>
    <w:rsid w:val="009070C1"/>
    <w:rsid w:val="009074D4"/>
    <w:rsid w:val="00907BDD"/>
    <w:rsid w:val="009100B6"/>
    <w:rsid w:val="009100BB"/>
    <w:rsid w:val="0091021D"/>
    <w:rsid w:val="0091028D"/>
    <w:rsid w:val="009105A5"/>
    <w:rsid w:val="00910A08"/>
    <w:rsid w:val="00910B7A"/>
    <w:rsid w:val="00910C61"/>
    <w:rsid w:val="00910F20"/>
    <w:rsid w:val="00910F5E"/>
    <w:rsid w:val="00911227"/>
    <w:rsid w:val="009114E3"/>
    <w:rsid w:val="009116F0"/>
    <w:rsid w:val="00911C24"/>
    <w:rsid w:val="009120CF"/>
    <w:rsid w:val="00912A00"/>
    <w:rsid w:val="00912ADA"/>
    <w:rsid w:val="00912B77"/>
    <w:rsid w:val="00912DDD"/>
    <w:rsid w:val="009132E1"/>
    <w:rsid w:val="0091342B"/>
    <w:rsid w:val="00913470"/>
    <w:rsid w:val="00913981"/>
    <w:rsid w:val="00913D2B"/>
    <w:rsid w:val="00913E7B"/>
    <w:rsid w:val="00913FE5"/>
    <w:rsid w:val="00913FFF"/>
    <w:rsid w:val="00914013"/>
    <w:rsid w:val="00914792"/>
    <w:rsid w:val="009147C8"/>
    <w:rsid w:val="00914AB2"/>
    <w:rsid w:val="00914B41"/>
    <w:rsid w:val="00914B73"/>
    <w:rsid w:val="00914CC3"/>
    <w:rsid w:val="009152FC"/>
    <w:rsid w:val="00915690"/>
    <w:rsid w:val="009156A6"/>
    <w:rsid w:val="00915861"/>
    <w:rsid w:val="00915E6B"/>
    <w:rsid w:val="00915F88"/>
    <w:rsid w:val="00916014"/>
    <w:rsid w:val="0091617B"/>
    <w:rsid w:val="00916362"/>
    <w:rsid w:val="009165A3"/>
    <w:rsid w:val="00916D4D"/>
    <w:rsid w:val="00916D94"/>
    <w:rsid w:val="009170C5"/>
    <w:rsid w:val="0091777D"/>
    <w:rsid w:val="009179C3"/>
    <w:rsid w:val="009179C9"/>
    <w:rsid w:val="00917DB4"/>
    <w:rsid w:val="00917FBF"/>
    <w:rsid w:val="00920274"/>
    <w:rsid w:val="00920449"/>
    <w:rsid w:val="00920461"/>
    <w:rsid w:val="00920767"/>
    <w:rsid w:val="00920826"/>
    <w:rsid w:val="00920CC5"/>
    <w:rsid w:val="00920DAF"/>
    <w:rsid w:val="009210A8"/>
    <w:rsid w:val="009218E9"/>
    <w:rsid w:val="0092191A"/>
    <w:rsid w:val="009219C2"/>
    <w:rsid w:val="00921B61"/>
    <w:rsid w:val="00921B9F"/>
    <w:rsid w:val="00921D68"/>
    <w:rsid w:val="00921E50"/>
    <w:rsid w:val="00922173"/>
    <w:rsid w:val="009222E3"/>
    <w:rsid w:val="00922499"/>
    <w:rsid w:val="009224F0"/>
    <w:rsid w:val="00922501"/>
    <w:rsid w:val="009229ED"/>
    <w:rsid w:val="00922DB5"/>
    <w:rsid w:val="00922FAF"/>
    <w:rsid w:val="009231DE"/>
    <w:rsid w:val="0092365E"/>
    <w:rsid w:val="0092369E"/>
    <w:rsid w:val="00923E97"/>
    <w:rsid w:val="00923F61"/>
    <w:rsid w:val="0092407B"/>
    <w:rsid w:val="00924139"/>
    <w:rsid w:val="00924357"/>
    <w:rsid w:val="0092436F"/>
    <w:rsid w:val="009243E5"/>
    <w:rsid w:val="0092456F"/>
    <w:rsid w:val="0092496E"/>
    <w:rsid w:val="00924D64"/>
    <w:rsid w:val="009255F0"/>
    <w:rsid w:val="009256AA"/>
    <w:rsid w:val="00925AEA"/>
    <w:rsid w:val="00925C9A"/>
    <w:rsid w:val="00925FF4"/>
    <w:rsid w:val="0092612D"/>
    <w:rsid w:val="00926D34"/>
    <w:rsid w:val="00926F31"/>
    <w:rsid w:val="0092711B"/>
    <w:rsid w:val="00927334"/>
    <w:rsid w:val="009277E2"/>
    <w:rsid w:val="0092796B"/>
    <w:rsid w:val="00927BF8"/>
    <w:rsid w:val="00927E60"/>
    <w:rsid w:val="00930017"/>
    <w:rsid w:val="00930183"/>
    <w:rsid w:val="00930197"/>
    <w:rsid w:val="009301E0"/>
    <w:rsid w:val="009301FA"/>
    <w:rsid w:val="00930221"/>
    <w:rsid w:val="009307F1"/>
    <w:rsid w:val="00930950"/>
    <w:rsid w:val="00930990"/>
    <w:rsid w:val="00930D9C"/>
    <w:rsid w:val="00931242"/>
    <w:rsid w:val="009313A0"/>
    <w:rsid w:val="009313D7"/>
    <w:rsid w:val="00931446"/>
    <w:rsid w:val="00931878"/>
    <w:rsid w:val="009322F7"/>
    <w:rsid w:val="00932A21"/>
    <w:rsid w:val="00932AD8"/>
    <w:rsid w:val="00932B47"/>
    <w:rsid w:val="00932B72"/>
    <w:rsid w:val="00932CAE"/>
    <w:rsid w:val="00932F82"/>
    <w:rsid w:val="00932FB6"/>
    <w:rsid w:val="0093356B"/>
    <w:rsid w:val="0093394C"/>
    <w:rsid w:val="00933D19"/>
    <w:rsid w:val="00933DD6"/>
    <w:rsid w:val="00933E77"/>
    <w:rsid w:val="00933F02"/>
    <w:rsid w:val="00934374"/>
    <w:rsid w:val="009344F3"/>
    <w:rsid w:val="00934B45"/>
    <w:rsid w:val="00934BC9"/>
    <w:rsid w:val="00934F15"/>
    <w:rsid w:val="009351BF"/>
    <w:rsid w:val="009352FD"/>
    <w:rsid w:val="0093557A"/>
    <w:rsid w:val="00935A89"/>
    <w:rsid w:val="00935AA9"/>
    <w:rsid w:val="00935B2B"/>
    <w:rsid w:val="00935D6E"/>
    <w:rsid w:val="00936162"/>
    <w:rsid w:val="009366BB"/>
    <w:rsid w:val="00936B61"/>
    <w:rsid w:val="00936E24"/>
    <w:rsid w:val="0093701B"/>
    <w:rsid w:val="009370E2"/>
    <w:rsid w:val="00937108"/>
    <w:rsid w:val="00937546"/>
    <w:rsid w:val="009376CA"/>
    <w:rsid w:val="009378A9"/>
    <w:rsid w:val="00937E78"/>
    <w:rsid w:val="00937FB0"/>
    <w:rsid w:val="009401CE"/>
    <w:rsid w:val="00940DB4"/>
    <w:rsid w:val="009411B1"/>
    <w:rsid w:val="00941768"/>
    <w:rsid w:val="00941922"/>
    <w:rsid w:val="009419C8"/>
    <w:rsid w:val="00941BE9"/>
    <w:rsid w:val="00941D55"/>
    <w:rsid w:val="00941D93"/>
    <w:rsid w:val="00942018"/>
    <w:rsid w:val="009423AA"/>
    <w:rsid w:val="00942B3E"/>
    <w:rsid w:val="00942C27"/>
    <w:rsid w:val="00942F03"/>
    <w:rsid w:val="00942FEF"/>
    <w:rsid w:val="009435A5"/>
    <w:rsid w:val="009439B5"/>
    <w:rsid w:val="00943D27"/>
    <w:rsid w:val="00943E4C"/>
    <w:rsid w:val="00944164"/>
    <w:rsid w:val="00944309"/>
    <w:rsid w:val="00944406"/>
    <w:rsid w:val="0094441E"/>
    <w:rsid w:val="00944C59"/>
    <w:rsid w:val="00945170"/>
    <w:rsid w:val="009451D5"/>
    <w:rsid w:val="009455E1"/>
    <w:rsid w:val="00945689"/>
    <w:rsid w:val="00945694"/>
    <w:rsid w:val="00945748"/>
    <w:rsid w:val="0094574C"/>
    <w:rsid w:val="009457A7"/>
    <w:rsid w:val="00945CB9"/>
    <w:rsid w:val="00945E6A"/>
    <w:rsid w:val="00945FA4"/>
    <w:rsid w:val="00946078"/>
    <w:rsid w:val="0094670F"/>
    <w:rsid w:val="00946836"/>
    <w:rsid w:val="009468EA"/>
    <w:rsid w:val="009469F4"/>
    <w:rsid w:val="00946C24"/>
    <w:rsid w:val="00946E73"/>
    <w:rsid w:val="00946EB0"/>
    <w:rsid w:val="0094717B"/>
    <w:rsid w:val="0094736E"/>
    <w:rsid w:val="00947629"/>
    <w:rsid w:val="00947642"/>
    <w:rsid w:val="00947A26"/>
    <w:rsid w:val="00947D4F"/>
    <w:rsid w:val="00950BBE"/>
    <w:rsid w:val="00950C96"/>
    <w:rsid w:val="00950CE8"/>
    <w:rsid w:val="009518CC"/>
    <w:rsid w:val="00951BF6"/>
    <w:rsid w:val="009520BC"/>
    <w:rsid w:val="009521BB"/>
    <w:rsid w:val="009521F2"/>
    <w:rsid w:val="00952337"/>
    <w:rsid w:val="009526F8"/>
    <w:rsid w:val="009527E8"/>
    <w:rsid w:val="00952962"/>
    <w:rsid w:val="00952DA7"/>
    <w:rsid w:val="009530D2"/>
    <w:rsid w:val="009530D6"/>
    <w:rsid w:val="00953829"/>
    <w:rsid w:val="00953D09"/>
    <w:rsid w:val="00953D16"/>
    <w:rsid w:val="00953D58"/>
    <w:rsid w:val="0095420C"/>
    <w:rsid w:val="009542BF"/>
    <w:rsid w:val="00954365"/>
    <w:rsid w:val="0095450E"/>
    <w:rsid w:val="00954593"/>
    <w:rsid w:val="0095467D"/>
    <w:rsid w:val="009546D7"/>
    <w:rsid w:val="00954865"/>
    <w:rsid w:val="00954AC6"/>
    <w:rsid w:val="00954E1E"/>
    <w:rsid w:val="00954F80"/>
    <w:rsid w:val="00955289"/>
    <w:rsid w:val="009553F0"/>
    <w:rsid w:val="0095564A"/>
    <w:rsid w:val="00955683"/>
    <w:rsid w:val="009559C8"/>
    <w:rsid w:val="00955A28"/>
    <w:rsid w:val="00956071"/>
    <w:rsid w:val="0095617D"/>
    <w:rsid w:val="00956C82"/>
    <w:rsid w:val="00957096"/>
    <w:rsid w:val="009570BD"/>
    <w:rsid w:val="00957161"/>
    <w:rsid w:val="00957224"/>
    <w:rsid w:val="00957624"/>
    <w:rsid w:val="00957646"/>
    <w:rsid w:val="00957C4D"/>
    <w:rsid w:val="0096006D"/>
    <w:rsid w:val="0096088C"/>
    <w:rsid w:val="00960954"/>
    <w:rsid w:val="00960B71"/>
    <w:rsid w:val="00960BA7"/>
    <w:rsid w:val="00960CDD"/>
    <w:rsid w:val="009612F7"/>
    <w:rsid w:val="00961503"/>
    <w:rsid w:val="00961CF6"/>
    <w:rsid w:val="009620B7"/>
    <w:rsid w:val="009624A5"/>
    <w:rsid w:val="0096262F"/>
    <w:rsid w:val="00962718"/>
    <w:rsid w:val="00964170"/>
    <w:rsid w:val="00964243"/>
    <w:rsid w:val="009643CE"/>
    <w:rsid w:val="009643D6"/>
    <w:rsid w:val="0096459E"/>
    <w:rsid w:val="00964AA5"/>
    <w:rsid w:val="00964E4A"/>
    <w:rsid w:val="00964FD7"/>
    <w:rsid w:val="0096501B"/>
    <w:rsid w:val="009651ED"/>
    <w:rsid w:val="00965417"/>
    <w:rsid w:val="0096577F"/>
    <w:rsid w:val="00965C9C"/>
    <w:rsid w:val="009665CE"/>
    <w:rsid w:val="009666B5"/>
    <w:rsid w:val="0096681D"/>
    <w:rsid w:val="00967346"/>
    <w:rsid w:val="009674B4"/>
    <w:rsid w:val="00967810"/>
    <w:rsid w:val="00967C62"/>
    <w:rsid w:val="00967E2B"/>
    <w:rsid w:val="009703F3"/>
    <w:rsid w:val="009708DE"/>
    <w:rsid w:val="00970E77"/>
    <w:rsid w:val="00971065"/>
    <w:rsid w:val="009710A4"/>
    <w:rsid w:val="009710F9"/>
    <w:rsid w:val="009712C2"/>
    <w:rsid w:val="009716E9"/>
    <w:rsid w:val="00971C1C"/>
    <w:rsid w:val="00971CA2"/>
    <w:rsid w:val="00971FEB"/>
    <w:rsid w:val="00972054"/>
    <w:rsid w:val="009720AB"/>
    <w:rsid w:val="0097214B"/>
    <w:rsid w:val="009721A5"/>
    <w:rsid w:val="009721CB"/>
    <w:rsid w:val="009724A5"/>
    <w:rsid w:val="00973208"/>
    <w:rsid w:val="009732E5"/>
    <w:rsid w:val="00973343"/>
    <w:rsid w:val="00973C8A"/>
    <w:rsid w:val="00973E75"/>
    <w:rsid w:val="009743B7"/>
    <w:rsid w:val="00974D4C"/>
    <w:rsid w:val="00974FBC"/>
    <w:rsid w:val="00975114"/>
    <w:rsid w:val="00975186"/>
    <w:rsid w:val="0097578E"/>
    <w:rsid w:val="00976069"/>
    <w:rsid w:val="00976457"/>
    <w:rsid w:val="00976700"/>
    <w:rsid w:val="00976936"/>
    <w:rsid w:val="009769AB"/>
    <w:rsid w:val="00976ED9"/>
    <w:rsid w:val="00976F75"/>
    <w:rsid w:val="00976F87"/>
    <w:rsid w:val="009771BB"/>
    <w:rsid w:val="0097730D"/>
    <w:rsid w:val="0097747B"/>
    <w:rsid w:val="009775FC"/>
    <w:rsid w:val="00977923"/>
    <w:rsid w:val="00977A07"/>
    <w:rsid w:val="00977B84"/>
    <w:rsid w:val="00977DDB"/>
    <w:rsid w:val="0098026D"/>
    <w:rsid w:val="00980375"/>
    <w:rsid w:val="0098045B"/>
    <w:rsid w:val="009804A2"/>
    <w:rsid w:val="0098077C"/>
    <w:rsid w:val="009807B4"/>
    <w:rsid w:val="00980827"/>
    <w:rsid w:val="00980A23"/>
    <w:rsid w:val="00980C79"/>
    <w:rsid w:val="009810F4"/>
    <w:rsid w:val="00981417"/>
    <w:rsid w:val="0098157A"/>
    <w:rsid w:val="00982199"/>
    <w:rsid w:val="00982658"/>
    <w:rsid w:val="009828C9"/>
    <w:rsid w:val="00982B54"/>
    <w:rsid w:val="00982BFF"/>
    <w:rsid w:val="00983258"/>
    <w:rsid w:val="00983843"/>
    <w:rsid w:val="00983F96"/>
    <w:rsid w:val="0098418A"/>
    <w:rsid w:val="009845AB"/>
    <w:rsid w:val="0098465A"/>
    <w:rsid w:val="0098483A"/>
    <w:rsid w:val="00984C21"/>
    <w:rsid w:val="00984C83"/>
    <w:rsid w:val="00985278"/>
    <w:rsid w:val="009853C1"/>
    <w:rsid w:val="0098554E"/>
    <w:rsid w:val="00985720"/>
    <w:rsid w:val="00985C1D"/>
    <w:rsid w:val="00985E05"/>
    <w:rsid w:val="009866D1"/>
    <w:rsid w:val="00986715"/>
    <w:rsid w:val="00986767"/>
    <w:rsid w:val="00986B2E"/>
    <w:rsid w:val="00986F10"/>
    <w:rsid w:val="0098736B"/>
    <w:rsid w:val="0098764D"/>
    <w:rsid w:val="009877D1"/>
    <w:rsid w:val="00987826"/>
    <w:rsid w:val="00987922"/>
    <w:rsid w:val="009900D4"/>
    <w:rsid w:val="00990A80"/>
    <w:rsid w:val="00990EDB"/>
    <w:rsid w:val="009913F8"/>
    <w:rsid w:val="00991584"/>
    <w:rsid w:val="00991599"/>
    <w:rsid w:val="0099163D"/>
    <w:rsid w:val="009916C8"/>
    <w:rsid w:val="00991E72"/>
    <w:rsid w:val="009921C4"/>
    <w:rsid w:val="0099246F"/>
    <w:rsid w:val="009926B5"/>
    <w:rsid w:val="0099292F"/>
    <w:rsid w:val="009933BF"/>
    <w:rsid w:val="00993445"/>
    <w:rsid w:val="00993715"/>
    <w:rsid w:val="00993C39"/>
    <w:rsid w:val="00993FE2"/>
    <w:rsid w:val="00994010"/>
    <w:rsid w:val="009942F2"/>
    <w:rsid w:val="009945DC"/>
    <w:rsid w:val="00994B1D"/>
    <w:rsid w:val="009950F0"/>
    <w:rsid w:val="00995147"/>
    <w:rsid w:val="00995453"/>
    <w:rsid w:val="009954A1"/>
    <w:rsid w:val="00995AF7"/>
    <w:rsid w:val="00995C04"/>
    <w:rsid w:val="00995E1A"/>
    <w:rsid w:val="00995E4A"/>
    <w:rsid w:val="00995EE6"/>
    <w:rsid w:val="009960FF"/>
    <w:rsid w:val="0099622A"/>
    <w:rsid w:val="009963C0"/>
    <w:rsid w:val="0099640B"/>
    <w:rsid w:val="00996C9E"/>
    <w:rsid w:val="00996FC2"/>
    <w:rsid w:val="009972CF"/>
    <w:rsid w:val="00997498"/>
    <w:rsid w:val="009975D2"/>
    <w:rsid w:val="009976DF"/>
    <w:rsid w:val="00997E70"/>
    <w:rsid w:val="00997F08"/>
    <w:rsid w:val="00997FB8"/>
    <w:rsid w:val="009A0C10"/>
    <w:rsid w:val="009A13F5"/>
    <w:rsid w:val="009A1BFE"/>
    <w:rsid w:val="009A1C84"/>
    <w:rsid w:val="009A203B"/>
    <w:rsid w:val="009A224E"/>
    <w:rsid w:val="009A2464"/>
    <w:rsid w:val="009A2482"/>
    <w:rsid w:val="009A2617"/>
    <w:rsid w:val="009A283A"/>
    <w:rsid w:val="009A2A10"/>
    <w:rsid w:val="009A3425"/>
    <w:rsid w:val="009A366E"/>
    <w:rsid w:val="009A39CE"/>
    <w:rsid w:val="009A3A78"/>
    <w:rsid w:val="009A3AE8"/>
    <w:rsid w:val="009A3D94"/>
    <w:rsid w:val="009A3F90"/>
    <w:rsid w:val="009A4049"/>
    <w:rsid w:val="009A4459"/>
    <w:rsid w:val="009A48A4"/>
    <w:rsid w:val="009A4BB3"/>
    <w:rsid w:val="009A4BD5"/>
    <w:rsid w:val="009A4E4F"/>
    <w:rsid w:val="009A4F7E"/>
    <w:rsid w:val="009A53FF"/>
    <w:rsid w:val="009A5936"/>
    <w:rsid w:val="009A5D3C"/>
    <w:rsid w:val="009A613B"/>
    <w:rsid w:val="009A64FF"/>
    <w:rsid w:val="009A777A"/>
    <w:rsid w:val="009A79AA"/>
    <w:rsid w:val="009A7A10"/>
    <w:rsid w:val="009A7C9F"/>
    <w:rsid w:val="009A7CD8"/>
    <w:rsid w:val="009B005A"/>
    <w:rsid w:val="009B037E"/>
    <w:rsid w:val="009B0483"/>
    <w:rsid w:val="009B04C3"/>
    <w:rsid w:val="009B0669"/>
    <w:rsid w:val="009B0C33"/>
    <w:rsid w:val="009B0EFD"/>
    <w:rsid w:val="009B1AF5"/>
    <w:rsid w:val="009B1D9C"/>
    <w:rsid w:val="009B1F32"/>
    <w:rsid w:val="009B24D7"/>
    <w:rsid w:val="009B2826"/>
    <w:rsid w:val="009B2BD2"/>
    <w:rsid w:val="009B2D64"/>
    <w:rsid w:val="009B2DBB"/>
    <w:rsid w:val="009B2F6E"/>
    <w:rsid w:val="009B2FE1"/>
    <w:rsid w:val="009B3230"/>
    <w:rsid w:val="009B35AB"/>
    <w:rsid w:val="009B36E5"/>
    <w:rsid w:val="009B379E"/>
    <w:rsid w:val="009B3C02"/>
    <w:rsid w:val="009B3CF2"/>
    <w:rsid w:val="009B3E7A"/>
    <w:rsid w:val="009B489C"/>
    <w:rsid w:val="009B5036"/>
    <w:rsid w:val="009B52F3"/>
    <w:rsid w:val="009B54EC"/>
    <w:rsid w:val="009B5722"/>
    <w:rsid w:val="009B5822"/>
    <w:rsid w:val="009B5BD2"/>
    <w:rsid w:val="009B690F"/>
    <w:rsid w:val="009B6959"/>
    <w:rsid w:val="009B69B3"/>
    <w:rsid w:val="009B6A64"/>
    <w:rsid w:val="009B6DA4"/>
    <w:rsid w:val="009B7019"/>
    <w:rsid w:val="009B7370"/>
    <w:rsid w:val="009B7422"/>
    <w:rsid w:val="009B7949"/>
    <w:rsid w:val="009B7E68"/>
    <w:rsid w:val="009C06BC"/>
    <w:rsid w:val="009C09E3"/>
    <w:rsid w:val="009C0EB5"/>
    <w:rsid w:val="009C10C8"/>
    <w:rsid w:val="009C1253"/>
    <w:rsid w:val="009C1289"/>
    <w:rsid w:val="009C1363"/>
    <w:rsid w:val="009C15BD"/>
    <w:rsid w:val="009C15CE"/>
    <w:rsid w:val="009C173E"/>
    <w:rsid w:val="009C175E"/>
    <w:rsid w:val="009C19DF"/>
    <w:rsid w:val="009C1D70"/>
    <w:rsid w:val="009C22D8"/>
    <w:rsid w:val="009C290C"/>
    <w:rsid w:val="009C290E"/>
    <w:rsid w:val="009C2F28"/>
    <w:rsid w:val="009C37BB"/>
    <w:rsid w:val="009C37ED"/>
    <w:rsid w:val="009C3BD6"/>
    <w:rsid w:val="009C3CB8"/>
    <w:rsid w:val="009C3DF7"/>
    <w:rsid w:val="009C3E91"/>
    <w:rsid w:val="009C41EE"/>
    <w:rsid w:val="009C429C"/>
    <w:rsid w:val="009C4A30"/>
    <w:rsid w:val="009C4C74"/>
    <w:rsid w:val="009C4F4B"/>
    <w:rsid w:val="009C4F5A"/>
    <w:rsid w:val="009C561F"/>
    <w:rsid w:val="009C5E50"/>
    <w:rsid w:val="009C5E55"/>
    <w:rsid w:val="009C5EEE"/>
    <w:rsid w:val="009C5FE3"/>
    <w:rsid w:val="009C612F"/>
    <w:rsid w:val="009C6424"/>
    <w:rsid w:val="009C6AEE"/>
    <w:rsid w:val="009C6B9D"/>
    <w:rsid w:val="009C6C73"/>
    <w:rsid w:val="009C6D3F"/>
    <w:rsid w:val="009C7095"/>
    <w:rsid w:val="009C7409"/>
    <w:rsid w:val="009C75C9"/>
    <w:rsid w:val="009C78B8"/>
    <w:rsid w:val="009C7B2C"/>
    <w:rsid w:val="009C7B34"/>
    <w:rsid w:val="009D0218"/>
    <w:rsid w:val="009D043B"/>
    <w:rsid w:val="009D0C7B"/>
    <w:rsid w:val="009D0F7C"/>
    <w:rsid w:val="009D1005"/>
    <w:rsid w:val="009D1131"/>
    <w:rsid w:val="009D1469"/>
    <w:rsid w:val="009D1AD0"/>
    <w:rsid w:val="009D1B99"/>
    <w:rsid w:val="009D1BD4"/>
    <w:rsid w:val="009D1F07"/>
    <w:rsid w:val="009D2458"/>
    <w:rsid w:val="009D253C"/>
    <w:rsid w:val="009D25B9"/>
    <w:rsid w:val="009D3482"/>
    <w:rsid w:val="009D37E9"/>
    <w:rsid w:val="009D3C14"/>
    <w:rsid w:val="009D3CDC"/>
    <w:rsid w:val="009D404C"/>
    <w:rsid w:val="009D4B76"/>
    <w:rsid w:val="009D501D"/>
    <w:rsid w:val="009D5D4E"/>
    <w:rsid w:val="009D5E6B"/>
    <w:rsid w:val="009D6031"/>
    <w:rsid w:val="009D6227"/>
    <w:rsid w:val="009D6738"/>
    <w:rsid w:val="009D6993"/>
    <w:rsid w:val="009D6EBE"/>
    <w:rsid w:val="009D75AA"/>
    <w:rsid w:val="009D7607"/>
    <w:rsid w:val="009D765F"/>
    <w:rsid w:val="009D7A60"/>
    <w:rsid w:val="009D7C6B"/>
    <w:rsid w:val="009D7FB7"/>
    <w:rsid w:val="009D9BD0"/>
    <w:rsid w:val="009E022B"/>
    <w:rsid w:val="009E03C2"/>
    <w:rsid w:val="009E05D2"/>
    <w:rsid w:val="009E0856"/>
    <w:rsid w:val="009E0CD6"/>
    <w:rsid w:val="009E0D0C"/>
    <w:rsid w:val="009E0E97"/>
    <w:rsid w:val="009E1099"/>
    <w:rsid w:val="009E10B7"/>
    <w:rsid w:val="009E1A2B"/>
    <w:rsid w:val="009E1C46"/>
    <w:rsid w:val="009E1CE0"/>
    <w:rsid w:val="009E1E74"/>
    <w:rsid w:val="009E2174"/>
    <w:rsid w:val="009E2525"/>
    <w:rsid w:val="009E264E"/>
    <w:rsid w:val="009E2F63"/>
    <w:rsid w:val="009E3012"/>
    <w:rsid w:val="009E311B"/>
    <w:rsid w:val="009E3365"/>
    <w:rsid w:val="009E3394"/>
    <w:rsid w:val="009E39C1"/>
    <w:rsid w:val="009E3CA6"/>
    <w:rsid w:val="009E3E7C"/>
    <w:rsid w:val="009E4314"/>
    <w:rsid w:val="009E4331"/>
    <w:rsid w:val="009E472D"/>
    <w:rsid w:val="009E474C"/>
    <w:rsid w:val="009E4D9A"/>
    <w:rsid w:val="009E5716"/>
    <w:rsid w:val="009E572B"/>
    <w:rsid w:val="009E5878"/>
    <w:rsid w:val="009E5A45"/>
    <w:rsid w:val="009E5B0B"/>
    <w:rsid w:val="009E5FD9"/>
    <w:rsid w:val="009E629B"/>
    <w:rsid w:val="009E6321"/>
    <w:rsid w:val="009E65C9"/>
    <w:rsid w:val="009E66F9"/>
    <w:rsid w:val="009E705B"/>
    <w:rsid w:val="009E73F1"/>
    <w:rsid w:val="009E7A0F"/>
    <w:rsid w:val="009E7A33"/>
    <w:rsid w:val="009E7AE8"/>
    <w:rsid w:val="009E7DF3"/>
    <w:rsid w:val="009E7F8F"/>
    <w:rsid w:val="009F00DF"/>
    <w:rsid w:val="009F025B"/>
    <w:rsid w:val="009F03EF"/>
    <w:rsid w:val="009F062C"/>
    <w:rsid w:val="009F0FBE"/>
    <w:rsid w:val="009F10E9"/>
    <w:rsid w:val="009F1165"/>
    <w:rsid w:val="009F1650"/>
    <w:rsid w:val="009F19C5"/>
    <w:rsid w:val="009F1F8D"/>
    <w:rsid w:val="009F21A3"/>
    <w:rsid w:val="009F2247"/>
    <w:rsid w:val="009F25A8"/>
    <w:rsid w:val="009F2905"/>
    <w:rsid w:val="009F2BD0"/>
    <w:rsid w:val="009F2FCE"/>
    <w:rsid w:val="009F3595"/>
    <w:rsid w:val="009F3DDF"/>
    <w:rsid w:val="009F407E"/>
    <w:rsid w:val="009F4133"/>
    <w:rsid w:val="009F41DC"/>
    <w:rsid w:val="009F43B5"/>
    <w:rsid w:val="009F4714"/>
    <w:rsid w:val="009F476F"/>
    <w:rsid w:val="009F47FD"/>
    <w:rsid w:val="009F4821"/>
    <w:rsid w:val="009F4E36"/>
    <w:rsid w:val="009F5073"/>
    <w:rsid w:val="009F5513"/>
    <w:rsid w:val="009F5551"/>
    <w:rsid w:val="009F5616"/>
    <w:rsid w:val="009F5BC9"/>
    <w:rsid w:val="009F5E67"/>
    <w:rsid w:val="009F5FB0"/>
    <w:rsid w:val="009F6267"/>
    <w:rsid w:val="009F64BE"/>
    <w:rsid w:val="009F6CF7"/>
    <w:rsid w:val="009F6F9B"/>
    <w:rsid w:val="009F7269"/>
    <w:rsid w:val="009F7697"/>
    <w:rsid w:val="009F78D5"/>
    <w:rsid w:val="009F7999"/>
    <w:rsid w:val="009F7ED5"/>
    <w:rsid w:val="009F7F43"/>
    <w:rsid w:val="00A00097"/>
    <w:rsid w:val="00A007E5"/>
    <w:rsid w:val="00A00B56"/>
    <w:rsid w:val="00A00C44"/>
    <w:rsid w:val="00A010BD"/>
    <w:rsid w:val="00A0146A"/>
    <w:rsid w:val="00A01605"/>
    <w:rsid w:val="00A01686"/>
    <w:rsid w:val="00A0172E"/>
    <w:rsid w:val="00A01779"/>
    <w:rsid w:val="00A01E76"/>
    <w:rsid w:val="00A02120"/>
    <w:rsid w:val="00A02190"/>
    <w:rsid w:val="00A0235E"/>
    <w:rsid w:val="00A024AC"/>
    <w:rsid w:val="00A02714"/>
    <w:rsid w:val="00A029DF"/>
    <w:rsid w:val="00A02CDA"/>
    <w:rsid w:val="00A03240"/>
    <w:rsid w:val="00A0437B"/>
    <w:rsid w:val="00A046BA"/>
    <w:rsid w:val="00A04ECB"/>
    <w:rsid w:val="00A052BB"/>
    <w:rsid w:val="00A05399"/>
    <w:rsid w:val="00A0556D"/>
    <w:rsid w:val="00A057AA"/>
    <w:rsid w:val="00A0591D"/>
    <w:rsid w:val="00A05A41"/>
    <w:rsid w:val="00A05C0C"/>
    <w:rsid w:val="00A05D2A"/>
    <w:rsid w:val="00A05F02"/>
    <w:rsid w:val="00A0638C"/>
    <w:rsid w:val="00A063CE"/>
    <w:rsid w:val="00A06CAA"/>
    <w:rsid w:val="00A07074"/>
    <w:rsid w:val="00A070DB"/>
    <w:rsid w:val="00A07230"/>
    <w:rsid w:val="00A0761F"/>
    <w:rsid w:val="00A077E2"/>
    <w:rsid w:val="00A07E77"/>
    <w:rsid w:val="00A07EB4"/>
    <w:rsid w:val="00A106EA"/>
    <w:rsid w:val="00A10F21"/>
    <w:rsid w:val="00A1143D"/>
    <w:rsid w:val="00A11849"/>
    <w:rsid w:val="00A11A61"/>
    <w:rsid w:val="00A11F62"/>
    <w:rsid w:val="00A12011"/>
    <w:rsid w:val="00A12103"/>
    <w:rsid w:val="00A1222F"/>
    <w:rsid w:val="00A12C50"/>
    <w:rsid w:val="00A136B9"/>
    <w:rsid w:val="00A1380D"/>
    <w:rsid w:val="00A1398C"/>
    <w:rsid w:val="00A13AD5"/>
    <w:rsid w:val="00A13B1B"/>
    <w:rsid w:val="00A13F12"/>
    <w:rsid w:val="00A13F95"/>
    <w:rsid w:val="00A13FDB"/>
    <w:rsid w:val="00A140F8"/>
    <w:rsid w:val="00A142AA"/>
    <w:rsid w:val="00A1494A"/>
    <w:rsid w:val="00A1566F"/>
    <w:rsid w:val="00A15835"/>
    <w:rsid w:val="00A1599A"/>
    <w:rsid w:val="00A15C58"/>
    <w:rsid w:val="00A15E56"/>
    <w:rsid w:val="00A15F2E"/>
    <w:rsid w:val="00A16724"/>
    <w:rsid w:val="00A16879"/>
    <w:rsid w:val="00A16914"/>
    <w:rsid w:val="00A1693D"/>
    <w:rsid w:val="00A1736B"/>
    <w:rsid w:val="00A1743A"/>
    <w:rsid w:val="00A17473"/>
    <w:rsid w:val="00A1764D"/>
    <w:rsid w:val="00A179D4"/>
    <w:rsid w:val="00A17BF7"/>
    <w:rsid w:val="00A17D8B"/>
    <w:rsid w:val="00A2057B"/>
    <w:rsid w:val="00A206A6"/>
    <w:rsid w:val="00A206FA"/>
    <w:rsid w:val="00A20731"/>
    <w:rsid w:val="00A20A4E"/>
    <w:rsid w:val="00A20AE6"/>
    <w:rsid w:val="00A20F3F"/>
    <w:rsid w:val="00A2139C"/>
    <w:rsid w:val="00A21F10"/>
    <w:rsid w:val="00A2246E"/>
    <w:rsid w:val="00A225B3"/>
    <w:rsid w:val="00A2265E"/>
    <w:rsid w:val="00A22960"/>
    <w:rsid w:val="00A22A32"/>
    <w:rsid w:val="00A22C53"/>
    <w:rsid w:val="00A22E6E"/>
    <w:rsid w:val="00A22ECA"/>
    <w:rsid w:val="00A2367A"/>
    <w:rsid w:val="00A23698"/>
    <w:rsid w:val="00A239C0"/>
    <w:rsid w:val="00A23DB9"/>
    <w:rsid w:val="00A23EDC"/>
    <w:rsid w:val="00A24964"/>
    <w:rsid w:val="00A24A59"/>
    <w:rsid w:val="00A24B06"/>
    <w:rsid w:val="00A24C19"/>
    <w:rsid w:val="00A24DFF"/>
    <w:rsid w:val="00A24E5D"/>
    <w:rsid w:val="00A250AE"/>
    <w:rsid w:val="00A252EF"/>
    <w:rsid w:val="00A258EF"/>
    <w:rsid w:val="00A25988"/>
    <w:rsid w:val="00A25E6E"/>
    <w:rsid w:val="00A25E91"/>
    <w:rsid w:val="00A263A9"/>
    <w:rsid w:val="00A2643B"/>
    <w:rsid w:val="00A2660E"/>
    <w:rsid w:val="00A27480"/>
    <w:rsid w:val="00A276FE"/>
    <w:rsid w:val="00A2781C"/>
    <w:rsid w:val="00A2795D"/>
    <w:rsid w:val="00A27B68"/>
    <w:rsid w:val="00A27C29"/>
    <w:rsid w:val="00A27D5B"/>
    <w:rsid w:val="00A30474"/>
    <w:rsid w:val="00A304C4"/>
    <w:rsid w:val="00A306A1"/>
    <w:rsid w:val="00A306C4"/>
    <w:rsid w:val="00A30938"/>
    <w:rsid w:val="00A3098D"/>
    <w:rsid w:val="00A30A18"/>
    <w:rsid w:val="00A30DC1"/>
    <w:rsid w:val="00A30EFD"/>
    <w:rsid w:val="00A31148"/>
    <w:rsid w:val="00A3122C"/>
    <w:rsid w:val="00A31232"/>
    <w:rsid w:val="00A31254"/>
    <w:rsid w:val="00A3165B"/>
    <w:rsid w:val="00A31BEB"/>
    <w:rsid w:val="00A31BFA"/>
    <w:rsid w:val="00A31C7B"/>
    <w:rsid w:val="00A31D2B"/>
    <w:rsid w:val="00A321BD"/>
    <w:rsid w:val="00A322AE"/>
    <w:rsid w:val="00A32325"/>
    <w:rsid w:val="00A3289B"/>
    <w:rsid w:val="00A3297D"/>
    <w:rsid w:val="00A329FA"/>
    <w:rsid w:val="00A32C25"/>
    <w:rsid w:val="00A32CDE"/>
    <w:rsid w:val="00A331A0"/>
    <w:rsid w:val="00A333E6"/>
    <w:rsid w:val="00A33453"/>
    <w:rsid w:val="00A336AD"/>
    <w:rsid w:val="00A33797"/>
    <w:rsid w:val="00A33905"/>
    <w:rsid w:val="00A33B5A"/>
    <w:rsid w:val="00A33C05"/>
    <w:rsid w:val="00A33C07"/>
    <w:rsid w:val="00A33F10"/>
    <w:rsid w:val="00A340C3"/>
    <w:rsid w:val="00A34696"/>
    <w:rsid w:val="00A34761"/>
    <w:rsid w:val="00A34F07"/>
    <w:rsid w:val="00A34F7A"/>
    <w:rsid w:val="00A34FDD"/>
    <w:rsid w:val="00A3506D"/>
    <w:rsid w:val="00A35377"/>
    <w:rsid w:val="00A35404"/>
    <w:rsid w:val="00A354CE"/>
    <w:rsid w:val="00A35689"/>
    <w:rsid w:val="00A356F0"/>
    <w:rsid w:val="00A35730"/>
    <w:rsid w:val="00A35980"/>
    <w:rsid w:val="00A35B55"/>
    <w:rsid w:val="00A3606C"/>
    <w:rsid w:val="00A365C5"/>
    <w:rsid w:val="00A366C3"/>
    <w:rsid w:val="00A36857"/>
    <w:rsid w:val="00A36A9F"/>
    <w:rsid w:val="00A36D91"/>
    <w:rsid w:val="00A36E91"/>
    <w:rsid w:val="00A36F07"/>
    <w:rsid w:val="00A36FC3"/>
    <w:rsid w:val="00A3734C"/>
    <w:rsid w:val="00A37366"/>
    <w:rsid w:val="00A37477"/>
    <w:rsid w:val="00A3757E"/>
    <w:rsid w:val="00A37B23"/>
    <w:rsid w:val="00A40219"/>
    <w:rsid w:val="00A4021B"/>
    <w:rsid w:val="00A40755"/>
    <w:rsid w:val="00A40A44"/>
    <w:rsid w:val="00A40D54"/>
    <w:rsid w:val="00A41339"/>
    <w:rsid w:val="00A4157D"/>
    <w:rsid w:val="00A41C29"/>
    <w:rsid w:val="00A4234F"/>
    <w:rsid w:val="00A424E8"/>
    <w:rsid w:val="00A425B8"/>
    <w:rsid w:val="00A429B8"/>
    <w:rsid w:val="00A42A5B"/>
    <w:rsid w:val="00A42AA2"/>
    <w:rsid w:val="00A42DDC"/>
    <w:rsid w:val="00A4306E"/>
    <w:rsid w:val="00A430A6"/>
    <w:rsid w:val="00A430B0"/>
    <w:rsid w:val="00A431DF"/>
    <w:rsid w:val="00A438A8"/>
    <w:rsid w:val="00A43BDF"/>
    <w:rsid w:val="00A43C38"/>
    <w:rsid w:val="00A43E40"/>
    <w:rsid w:val="00A4406B"/>
    <w:rsid w:val="00A4416B"/>
    <w:rsid w:val="00A443FC"/>
    <w:rsid w:val="00A44433"/>
    <w:rsid w:val="00A444E9"/>
    <w:rsid w:val="00A45318"/>
    <w:rsid w:val="00A45A8A"/>
    <w:rsid w:val="00A45C9F"/>
    <w:rsid w:val="00A46368"/>
    <w:rsid w:val="00A4657E"/>
    <w:rsid w:val="00A468EB"/>
    <w:rsid w:val="00A46936"/>
    <w:rsid w:val="00A46EF5"/>
    <w:rsid w:val="00A46FAC"/>
    <w:rsid w:val="00A4703C"/>
    <w:rsid w:val="00A478E3"/>
    <w:rsid w:val="00A47905"/>
    <w:rsid w:val="00A47C00"/>
    <w:rsid w:val="00A502D6"/>
    <w:rsid w:val="00A503EE"/>
    <w:rsid w:val="00A504BB"/>
    <w:rsid w:val="00A505DE"/>
    <w:rsid w:val="00A50BC3"/>
    <w:rsid w:val="00A50D76"/>
    <w:rsid w:val="00A50DB8"/>
    <w:rsid w:val="00A50DC4"/>
    <w:rsid w:val="00A50DDF"/>
    <w:rsid w:val="00A51051"/>
    <w:rsid w:val="00A51250"/>
    <w:rsid w:val="00A5137C"/>
    <w:rsid w:val="00A51452"/>
    <w:rsid w:val="00A51C3E"/>
    <w:rsid w:val="00A51CDD"/>
    <w:rsid w:val="00A52032"/>
    <w:rsid w:val="00A52211"/>
    <w:rsid w:val="00A52219"/>
    <w:rsid w:val="00A5267E"/>
    <w:rsid w:val="00A5276B"/>
    <w:rsid w:val="00A52C45"/>
    <w:rsid w:val="00A52F82"/>
    <w:rsid w:val="00A534DF"/>
    <w:rsid w:val="00A53818"/>
    <w:rsid w:val="00A539AC"/>
    <w:rsid w:val="00A53C8F"/>
    <w:rsid w:val="00A541B1"/>
    <w:rsid w:val="00A543F5"/>
    <w:rsid w:val="00A54892"/>
    <w:rsid w:val="00A54912"/>
    <w:rsid w:val="00A54A78"/>
    <w:rsid w:val="00A54ACB"/>
    <w:rsid w:val="00A54C61"/>
    <w:rsid w:val="00A54EA3"/>
    <w:rsid w:val="00A551C1"/>
    <w:rsid w:val="00A553AD"/>
    <w:rsid w:val="00A554C2"/>
    <w:rsid w:val="00A5550D"/>
    <w:rsid w:val="00A5552B"/>
    <w:rsid w:val="00A555AF"/>
    <w:rsid w:val="00A558D9"/>
    <w:rsid w:val="00A55956"/>
    <w:rsid w:val="00A55A63"/>
    <w:rsid w:val="00A55BDF"/>
    <w:rsid w:val="00A55C8A"/>
    <w:rsid w:val="00A55F20"/>
    <w:rsid w:val="00A564D2"/>
    <w:rsid w:val="00A56636"/>
    <w:rsid w:val="00A56901"/>
    <w:rsid w:val="00A5690A"/>
    <w:rsid w:val="00A56B15"/>
    <w:rsid w:val="00A57055"/>
    <w:rsid w:val="00A57340"/>
    <w:rsid w:val="00A57EB8"/>
    <w:rsid w:val="00A6008A"/>
    <w:rsid w:val="00A605BB"/>
    <w:rsid w:val="00A605DB"/>
    <w:rsid w:val="00A60769"/>
    <w:rsid w:val="00A60A55"/>
    <w:rsid w:val="00A60F16"/>
    <w:rsid w:val="00A6107F"/>
    <w:rsid w:val="00A61213"/>
    <w:rsid w:val="00A61B07"/>
    <w:rsid w:val="00A61BD0"/>
    <w:rsid w:val="00A62104"/>
    <w:rsid w:val="00A6236E"/>
    <w:rsid w:val="00A62913"/>
    <w:rsid w:val="00A62924"/>
    <w:rsid w:val="00A62B56"/>
    <w:rsid w:val="00A62BBE"/>
    <w:rsid w:val="00A62C41"/>
    <w:rsid w:val="00A63310"/>
    <w:rsid w:val="00A633BB"/>
    <w:rsid w:val="00A639D8"/>
    <w:rsid w:val="00A63C49"/>
    <w:rsid w:val="00A63F46"/>
    <w:rsid w:val="00A63FEA"/>
    <w:rsid w:val="00A643D0"/>
    <w:rsid w:val="00A644DF"/>
    <w:rsid w:val="00A64CD8"/>
    <w:rsid w:val="00A6575B"/>
    <w:rsid w:val="00A65788"/>
    <w:rsid w:val="00A657A7"/>
    <w:rsid w:val="00A65906"/>
    <w:rsid w:val="00A65C57"/>
    <w:rsid w:val="00A65CF0"/>
    <w:rsid w:val="00A666D6"/>
    <w:rsid w:val="00A6694F"/>
    <w:rsid w:val="00A66C04"/>
    <w:rsid w:val="00A67338"/>
    <w:rsid w:val="00A6754C"/>
    <w:rsid w:val="00A6778D"/>
    <w:rsid w:val="00A678C3"/>
    <w:rsid w:val="00A67A06"/>
    <w:rsid w:val="00A67D3C"/>
    <w:rsid w:val="00A67EDD"/>
    <w:rsid w:val="00A70656"/>
    <w:rsid w:val="00A7067B"/>
    <w:rsid w:val="00A70B85"/>
    <w:rsid w:val="00A70CDE"/>
    <w:rsid w:val="00A70D53"/>
    <w:rsid w:val="00A71549"/>
    <w:rsid w:val="00A715E3"/>
    <w:rsid w:val="00A71ACB"/>
    <w:rsid w:val="00A71B5F"/>
    <w:rsid w:val="00A71EB5"/>
    <w:rsid w:val="00A722A0"/>
    <w:rsid w:val="00A72712"/>
    <w:rsid w:val="00A7287C"/>
    <w:rsid w:val="00A72A3C"/>
    <w:rsid w:val="00A72B0A"/>
    <w:rsid w:val="00A72DFA"/>
    <w:rsid w:val="00A7317F"/>
    <w:rsid w:val="00A739BA"/>
    <w:rsid w:val="00A73B1D"/>
    <w:rsid w:val="00A74243"/>
    <w:rsid w:val="00A74795"/>
    <w:rsid w:val="00A747DD"/>
    <w:rsid w:val="00A7487C"/>
    <w:rsid w:val="00A749A5"/>
    <w:rsid w:val="00A749D6"/>
    <w:rsid w:val="00A74AD2"/>
    <w:rsid w:val="00A74DAD"/>
    <w:rsid w:val="00A74DCD"/>
    <w:rsid w:val="00A750E0"/>
    <w:rsid w:val="00A751ED"/>
    <w:rsid w:val="00A753BD"/>
    <w:rsid w:val="00A755F1"/>
    <w:rsid w:val="00A755FB"/>
    <w:rsid w:val="00A756F4"/>
    <w:rsid w:val="00A75D97"/>
    <w:rsid w:val="00A75F93"/>
    <w:rsid w:val="00A76101"/>
    <w:rsid w:val="00A765BA"/>
    <w:rsid w:val="00A76847"/>
    <w:rsid w:val="00A7697A"/>
    <w:rsid w:val="00A76AD8"/>
    <w:rsid w:val="00A76B2C"/>
    <w:rsid w:val="00A76CFC"/>
    <w:rsid w:val="00A77239"/>
    <w:rsid w:val="00A774A6"/>
    <w:rsid w:val="00A77C5E"/>
    <w:rsid w:val="00A77E95"/>
    <w:rsid w:val="00A77FA9"/>
    <w:rsid w:val="00A800A1"/>
    <w:rsid w:val="00A804C2"/>
    <w:rsid w:val="00A806CD"/>
    <w:rsid w:val="00A80936"/>
    <w:rsid w:val="00A8115B"/>
    <w:rsid w:val="00A812CF"/>
    <w:rsid w:val="00A812E9"/>
    <w:rsid w:val="00A8170E"/>
    <w:rsid w:val="00A817C0"/>
    <w:rsid w:val="00A821EA"/>
    <w:rsid w:val="00A822FD"/>
    <w:rsid w:val="00A823EA"/>
    <w:rsid w:val="00A824A0"/>
    <w:rsid w:val="00A82597"/>
    <w:rsid w:val="00A8260F"/>
    <w:rsid w:val="00A826F6"/>
    <w:rsid w:val="00A82828"/>
    <w:rsid w:val="00A82AE5"/>
    <w:rsid w:val="00A82C21"/>
    <w:rsid w:val="00A82CB2"/>
    <w:rsid w:val="00A82E4B"/>
    <w:rsid w:val="00A82E6F"/>
    <w:rsid w:val="00A83257"/>
    <w:rsid w:val="00A838B4"/>
    <w:rsid w:val="00A838F2"/>
    <w:rsid w:val="00A839EC"/>
    <w:rsid w:val="00A8406D"/>
    <w:rsid w:val="00A841EA"/>
    <w:rsid w:val="00A84755"/>
    <w:rsid w:val="00A84D73"/>
    <w:rsid w:val="00A84E00"/>
    <w:rsid w:val="00A851B8"/>
    <w:rsid w:val="00A85230"/>
    <w:rsid w:val="00A85292"/>
    <w:rsid w:val="00A85476"/>
    <w:rsid w:val="00A8558E"/>
    <w:rsid w:val="00A8566D"/>
    <w:rsid w:val="00A857AE"/>
    <w:rsid w:val="00A85829"/>
    <w:rsid w:val="00A85B09"/>
    <w:rsid w:val="00A8618D"/>
    <w:rsid w:val="00A861BB"/>
    <w:rsid w:val="00A864F2"/>
    <w:rsid w:val="00A868E9"/>
    <w:rsid w:val="00A86B8C"/>
    <w:rsid w:val="00A86C28"/>
    <w:rsid w:val="00A871FE"/>
    <w:rsid w:val="00A876D4"/>
    <w:rsid w:val="00A877BD"/>
    <w:rsid w:val="00A87930"/>
    <w:rsid w:val="00A9005D"/>
    <w:rsid w:val="00A9035B"/>
    <w:rsid w:val="00A9050A"/>
    <w:rsid w:val="00A90692"/>
    <w:rsid w:val="00A908CE"/>
    <w:rsid w:val="00A909FC"/>
    <w:rsid w:val="00A90B3D"/>
    <w:rsid w:val="00A90CA6"/>
    <w:rsid w:val="00A90F6B"/>
    <w:rsid w:val="00A9130C"/>
    <w:rsid w:val="00A91423"/>
    <w:rsid w:val="00A91425"/>
    <w:rsid w:val="00A91C96"/>
    <w:rsid w:val="00A91DC7"/>
    <w:rsid w:val="00A91DE5"/>
    <w:rsid w:val="00A91F0B"/>
    <w:rsid w:val="00A92095"/>
    <w:rsid w:val="00A9223E"/>
    <w:rsid w:val="00A92329"/>
    <w:rsid w:val="00A92748"/>
    <w:rsid w:val="00A9278E"/>
    <w:rsid w:val="00A927D3"/>
    <w:rsid w:val="00A92FFB"/>
    <w:rsid w:val="00A9308C"/>
    <w:rsid w:val="00A93144"/>
    <w:rsid w:val="00A932FC"/>
    <w:rsid w:val="00A93B0B"/>
    <w:rsid w:val="00A93E2D"/>
    <w:rsid w:val="00A93ED5"/>
    <w:rsid w:val="00A94063"/>
    <w:rsid w:val="00A94324"/>
    <w:rsid w:val="00A94368"/>
    <w:rsid w:val="00A9436A"/>
    <w:rsid w:val="00A94465"/>
    <w:rsid w:val="00A944DD"/>
    <w:rsid w:val="00A946D5"/>
    <w:rsid w:val="00A94DAF"/>
    <w:rsid w:val="00A94EB8"/>
    <w:rsid w:val="00A95100"/>
    <w:rsid w:val="00A95334"/>
    <w:rsid w:val="00A95336"/>
    <w:rsid w:val="00A9594E"/>
    <w:rsid w:val="00A95B7A"/>
    <w:rsid w:val="00A95C61"/>
    <w:rsid w:val="00A95EBF"/>
    <w:rsid w:val="00A96062"/>
    <w:rsid w:val="00A961E2"/>
    <w:rsid w:val="00A96705"/>
    <w:rsid w:val="00A9680D"/>
    <w:rsid w:val="00A968F7"/>
    <w:rsid w:val="00A96FCB"/>
    <w:rsid w:val="00A96FD3"/>
    <w:rsid w:val="00A9711F"/>
    <w:rsid w:val="00A97306"/>
    <w:rsid w:val="00A977D7"/>
    <w:rsid w:val="00AA0036"/>
    <w:rsid w:val="00AA0081"/>
    <w:rsid w:val="00AA0395"/>
    <w:rsid w:val="00AA06C6"/>
    <w:rsid w:val="00AA12CC"/>
    <w:rsid w:val="00AA1442"/>
    <w:rsid w:val="00AA14CF"/>
    <w:rsid w:val="00AA1617"/>
    <w:rsid w:val="00AA2283"/>
    <w:rsid w:val="00AA24F3"/>
    <w:rsid w:val="00AA27F4"/>
    <w:rsid w:val="00AA286E"/>
    <w:rsid w:val="00AA28BD"/>
    <w:rsid w:val="00AA28F6"/>
    <w:rsid w:val="00AA29EE"/>
    <w:rsid w:val="00AA2A3B"/>
    <w:rsid w:val="00AA3DBD"/>
    <w:rsid w:val="00AA40D0"/>
    <w:rsid w:val="00AA4211"/>
    <w:rsid w:val="00AA43AB"/>
    <w:rsid w:val="00AA4739"/>
    <w:rsid w:val="00AA47A9"/>
    <w:rsid w:val="00AA492C"/>
    <w:rsid w:val="00AA4D77"/>
    <w:rsid w:val="00AA51A9"/>
    <w:rsid w:val="00AA522C"/>
    <w:rsid w:val="00AA5388"/>
    <w:rsid w:val="00AA5540"/>
    <w:rsid w:val="00AA5C6C"/>
    <w:rsid w:val="00AA619C"/>
    <w:rsid w:val="00AA622B"/>
    <w:rsid w:val="00AA69D7"/>
    <w:rsid w:val="00AA6FCB"/>
    <w:rsid w:val="00AA709C"/>
    <w:rsid w:val="00AA7A21"/>
    <w:rsid w:val="00AA7B4B"/>
    <w:rsid w:val="00AA7CE2"/>
    <w:rsid w:val="00AB0168"/>
    <w:rsid w:val="00AB0479"/>
    <w:rsid w:val="00AB060F"/>
    <w:rsid w:val="00AB0B2D"/>
    <w:rsid w:val="00AB0C28"/>
    <w:rsid w:val="00AB1951"/>
    <w:rsid w:val="00AB19E1"/>
    <w:rsid w:val="00AB1FF4"/>
    <w:rsid w:val="00AB22BD"/>
    <w:rsid w:val="00AB2589"/>
    <w:rsid w:val="00AB27E5"/>
    <w:rsid w:val="00AB293E"/>
    <w:rsid w:val="00AB2D66"/>
    <w:rsid w:val="00AB339A"/>
    <w:rsid w:val="00AB3700"/>
    <w:rsid w:val="00AB37F2"/>
    <w:rsid w:val="00AB3BDC"/>
    <w:rsid w:val="00AB3EBF"/>
    <w:rsid w:val="00AB40C5"/>
    <w:rsid w:val="00AB415A"/>
    <w:rsid w:val="00AB4416"/>
    <w:rsid w:val="00AB4564"/>
    <w:rsid w:val="00AB45DB"/>
    <w:rsid w:val="00AB4CEC"/>
    <w:rsid w:val="00AB4EF1"/>
    <w:rsid w:val="00AB5052"/>
    <w:rsid w:val="00AB50B1"/>
    <w:rsid w:val="00AB5533"/>
    <w:rsid w:val="00AB5551"/>
    <w:rsid w:val="00AB55C9"/>
    <w:rsid w:val="00AB57B7"/>
    <w:rsid w:val="00AB5872"/>
    <w:rsid w:val="00AB5C4F"/>
    <w:rsid w:val="00AB5ED9"/>
    <w:rsid w:val="00AB5F5C"/>
    <w:rsid w:val="00AB603C"/>
    <w:rsid w:val="00AB637B"/>
    <w:rsid w:val="00AB6B4F"/>
    <w:rsid w:val="00AB6C34"/>
    <w:rsid w:val="00AB6C62"/>
    <w:rsid w:val="00AB716A"/>
    <w:rsid w:val="00AB77F3"/>
    <w:rsid w:val="00AB7A15"/>
    <w:rsid w:val="00AB7B36"/>
    <w:rsid w:val="00AC0047"/>
    <w:rsid w:val="00AC07B3"/>
    <w:rsid w:val="00AC07F5"/>
    <w:rsid w:val="00AC096D"/>
    <w:rsid w:val="00AC1261"/>
    <w:rsid w:val="00AC1579"/>
    <w:rsid w:val="00AC1DF3"/>
    <w:rsid w:val="00AC22FB"/>
    <w:rsid w:val="00AC2A0B"/>
    <w:rsid w:val="00AC2F8F"/>
    <w:rsid w:val="00AC3192"/>
    <w:rsid w:val="00AC31D3"/>
    <w:rsid w:val="00AC322A"/>
    <w:rsid w:val="00AC36BD"/>
    <w:rsid w:val="00AC3712"/>
    <w:rsid w:val="00AC3A1F"/>
    <w:rsid w:val="00AC3DC9"/>
    <w:rsid w:val="00AC3DF4"/>
    <w:rsid w:val="00AC4144"/>
    <w:rsid w:val="00AC4683"/>
    <w:rsid w:val="00AC469B"/>
    <w:rsid w:val="00AC4A7A"/>
    <w:rsid w:val="00AC4ACC"/>
    <w:rsid w:val="00AC4E5C"/>
    <w:rsid w:val="00AC529D"/>
    <w:rsid w:val="00AC56CA"/>
    <w:rsid w:val="00AC5756"/>
    <w:rsid w:val="00AC5779"/>
    <w:rsid w:val="00AC58D4"/>
    <w:rsid w:val="00AC5BD8"/>
    <w:rsid w:val="00AC5CC3"/>
    <w:rsid w:val="00AC6580"/>
    <w:rsid w:val="00AC67B8"/>
    <w:rsid w:val="00AC6B6E"/>
    <w:rsid w:val="00AC6C08"/>
    <w:rsid w:val="00AC6CE0"/>
    <w:rsid w:val="00AC6CF5"/>
    <w:rsid w:val="00AC6E0D"/>
    <w:rsid w:val="00AC6EF4"/>
    <w:rsid w:val="00AC7554"/>
    <w:rsid w:val="00AC7B3D"/>
    <w:rsid w:val="00AC7B64"/>
    <w:rsid w:val="00AD03E3"/>
    <w:rsid w:val="00AD04A7"/>
    <w:rsid w:val="00AD08EB"/>
    <w:rsid w:val="00AD09D0"/>
    <w:rsid w:val="00AD0B02"/>
    <w:rsid w:val="00AD0DDC"/>
    <w:rsid w:val="00AD1127"/>
    <w:rsid w:val="00AD148F"/>
    <w:rsid w:val="00AD1714"/>
    <w:rsid w:val="00AD1A8B"/>
    <w:rsid w:val="00AD1B35"/>
    <w:rsid w:val="00AD20C9"/>
    <w:rsid w:val="00AD228D"/>
    <w:rsid w:val="00AD22D4"/>
    <w:rsid w:val="00AD244C"/>
    <w:rsid w:val="00AD24D8"/>
    <w:rsid w:val="00AD2C8D"/>
    <w:rsid w:val="00AD37A1"/>
    <w:rsid w:val="00AD395F"/>
    <w:rsid w:val="00AD3A81"/>
    <w:rsid w:val="00AD3C86"/>
    <w:rsid w:val="00AD3CA7"/>
    <w:rsid w:val="00AD3D7C"/>
    <w:rsid w:val="00AD3F18"/>
    <w:rsid w:val="00AD44CB"/>
    <w:rsid w:val="00AD4641"/>
    <w:rsid w:val="00AD49DB"/>
    <w:rsid w:val="00AD49FA"/>
    <w:rsid w:val="00AD4AB2"/>
    <w:rsid w:val="00AD52CD"/>
    <w:rsid w:val="00AD546D"/>
    <w:rsid w:val="00AD55B2"/>
    <w:rsid w:val="00AD58A5"/>
    <w:rsid w:val="00AD5BE2"/>
    <w:rsid w:val="00AD6014"/>
    <w:rsid w:val="00AD609C"/>
    <w:rsid w:val="00AD6593"/>
    <w:rsid w:val="00AD66D3"/>
    <w:rsid w:val="00AD6D10"/>
    <w:rsid w:val="00AD7414"/>
    <w:rsid w:val="00AD78CC"/>
    <w:rsid w:val="00AE0C49"/>
    <w:rsid w:val="00AE0C67"/>
    <w:rsid w:val="00AE0C8D"/>
    <w:rsid w:val="00AE0F1B"/>
    <w:rsid w:val="00AE1056"/>
    <w:rsid w:val="00AE1093"/>
    <w:rsid w:val="00AE14E2"/>
    <w:rsid w:val="00AE169C"/>
    <w:rsid w:val="00AE16A7"/>
    <w:rsid w:val="00AE1D2F"/>
    <w:rsid w:val="00AE24D3"/>
    <w:rsid w:val="00AE2577"/>
    <w:rsid w:val="00AE26CD"/>
    <w:rsid w:val="00AE28C0"/>
    <w:rsid w:val="00AE2CAD"/>
    <w:rsid w:val="00AE2DA9"/>
    <w:rsid w:val="00AE2FC5"/>
    <w:rsid w:val="00AE37AD"/>
    <w:rsid w:val="00AE385D"/>
    <w:rsid w:val="00AE39A1"/>
    <w:rsid w:val="00AE39D4"/>
    <w:rsid w:val="00AE3B38"/>
    <w:rsid w:val="00AE3E74"/>
    <w:rsid w:val="00AE3EF0"/>
    <w:rsid w:val="00AE3FCD"/>
    <w:rsid w:val="00AE4094"/>
    <w:rsid w:val="00AE4ACE"/>
    <w:rsid w:val="00AE51E4"/>
    <w:rsid w:val="00AE53B6"/>
    <w:rsid w:val="00AE54FB"/>
    <w:rsid w:val="00AE55FB"/>
    <w:rsid w:val="00AE5665"/>
    <w:rsid w:val="00AE5711"/>
    <w:rsid w:val="00AE5D7D"/>
    <w:rsid w:val="00AE5E6A"/>
    <w:rsid w:val="00AE5EE5"/>
    <w:rsid w:val="00AE62F2"/>
    <w:rsid w:val="00AE6320"/>
    <w:rsid w:val="00AE63B6"/>
    <w:rsid w:val="00AE64BA"/>
    <w:rsid w:val="00AE69D6"/>
    <w:rsid w:val="00AE7196"/>
    <w:rsid w:val="00AE753F"/>
    <w:rsid w:val="00AE7637"/>
    <w:rsid w:val="00AE7A4A"/>
    <w:rsid w:val="00AE7A53"/>
    <w:rsid w:val="00AE7B10"/>
    <w:rsid w:val="00AE7B39"/>
    <w:rsid w:val="00AF01A0"/>
    <w:rsid w:val="00AF037A"/>
    <w:rsid w:val="00AF0475"/>
    <w:rsid w:val="00AF084A"/>
    <w:rsid w:val="00AF084F"/>
    <w:rsid w:val="00AF14AB"/>
    <w:rsid w:val="00AF1A27"/>
    <w:rsid w:val="00AF1A6E"/>
    <w:rsid w:val="00AF1B51"/>
    <w:rsid w:val="00AF1FAA"/>
    <w:rsid w:val="00AF217C"/>
    <w:rsid w:val="00AF222F"/>
    <w:rsid w:val="00AF228E"/>
    <w:rsid w:val="00AF246D"/>
    <w:rsid w:val="00AF2607"/>
    <w:rsid w:val="00AF2A3B"/>
    <w:rsid w:val="00AF2D9A"/>
    <w:rsid w:val="00AF32C8"/>
    <w:rsid w:val="00AF351F"/>
    <w:rsid w:val="00AF37B2"/>
    <w:rsid w:val="00AF3B59"/>
    <w:rsid w:val="00AF3E9D"/>
    <w:rsid w:val="00AF3F10"/>
    <w:rsid w:val="00AF3F36"/>
    <w:rsid w:val="00AF3F41"/>
    <w:rsid w:val="00AF49CE"/>
    <w:rsid w:val="00AF4C33"/>
    <w:rsid w:val="00AF5101"/>
    <w:rsid w:val="00AF51C1"/>
    <w:rsid w:val="00AF5326"/>
    <w:rsid w:val="00AF550B"/>
    <w:rsid w:val="00AF60E8"/>
    <w:rsid w:val="00AF641D"/>
    <w:rsid w:val="00AF646E"/>
    <w:rsid w:val="00AF6513"/>
    <w:rsid w:val="00AF6626"/>
    <w:rsid w:val="00AF6827"/>
    <w:rsid w:val="00AF6D5E"/>
    <w:rsid w:val="00AF7409"/>
    <w:rsid w:val="00AF7600"/>
    <w:rsid w:val="00AF76F9"/>
    <w:rsid w:val="00AF7752"/>
    <w:rsid w:val="00AF7AC2"/>
    <w:rsid w:val="00AF7D84"/>
    <w:rsid w:val="00B00126"/>
    <w:rsid w:val="00B00182"/>
    <w:rsid w:val="00B00337"/>
    <w:rsid w:val="00B00B72"/>
    <w:rsid w:val="00B00C71"/>
    <w:rsid w:val="00B00E90"/>
    <w:rsid w:val="00B0108C"/>
    <w:rsid w:val="00B01B04"/>
    <w:rsid w:val="00B01BA7"/>
    <w:rsid w:val="00B01C3F"/>
    <w:rsid w:val="00B01C97"/>
    <w:rsid w:val="00B026CE"/>
    <w:rsid w:val="00B02D00"/>
    <w:rsid w:val="00B02D59"/>
    <w:rsid w:val="00B02FA5"/>
    <w:rsid w:val="00B02FAA"/>
    <w:rsid w:val="00B03169"/>
    <w:rsid w:val="00B031AE"/>
    <w:rsid w:val="00B031F0"/>
    <w:rsid w:val="00B03246"/>
    <w:rsid w:val="00B0394D"/>
    <w:rsid w:val="00B039CB"/>
    <w:rsid w:val="00B03B26"/>
    <w:rsid w:val="00B03EB5"/>
    <w:rsid w:val="00B03FD1"/>
    <w:rsid w:val="00B04199"/>
    <w:rsid w:val="00B04587"/>
    <w:rsid w:val="00B04611"/>
    <w:rsid w:val="00B04D66"/>
    <w:rsid w:val="00B04F2F"/>
    <w:rsid w:val="00B04F9D"/>
    <w:rsid w:val="00B0516B"/>
    <w:rsid w:val="00B051E9"/>
    <w:rsid w:val="00B05FFF"/>
    <w:rsid w:val="00B0619E"/>
    <w:rsid w:val="00B064BC"/>
    <w:rsid w:val="00B066D7"/>
    <w:rsid w:val="00B06712"/>
    <w:rsid w:val="00B06907"/>
    <w:rsid w:val="00B06AE9"/>
    <w:rsid w:val="00B073DC"/>
    <w:rsid w:val="00B0746D"/>
    <w:rsid w:val="00B07923"/>
    <w:rsid w:val="00B07BD4"/>
    <w:rsid w:val="00B07F41"/>
    <w:rsid w:val="00B10042"/>
    <w:rsid w:val="00B10295"/>
    <w:rsid w:val="00B104BD"/>
    <w:rsid w:val="00B104EF"/>
    <w:rsid w:val="00B10E2A"/>
    <w:rsid w:val="00B10F98"/>
    <w:rsid w:val="00B11017"/>
    <w:rsid w:val="00B11269"/>
    <w:rsid w:val="00B112AF"/>
    <w:rsid w:val="00B11610"/>
    <w:rsid w:val="00B11654"/>
    <w:rsid w:val="00B11970"/>
    <w:rsid w:val="00B120C5"/>
    <w:rsid w:val="00B1235D"/>
    <w:rsid w:val="00B123F3"/>
    <w:rsid w:val="00B125CF"/>
    <w:rsid w:val="00B12635"/>
    <w:rsid w:val="00B12A6A"/>
    <w:rsid w:val="00B12BD0"/>
    <w:rsid w:val="00B13388"/>
    <w:rsid w:val="00B1341C"/>
    <w:rsid w:val="00B1351D"/>
    <w:rsid w:val="00B13880"/>
    <w:rsid w:val="00B13916"/>
    <w:rsid w:val="00B14A0D"/>
    <w:rsid w:val="00B14C50"/>
    <w:rsid w:val="00B14ED4"/>
    <w:rsid w:val="00B15035"/>
    <w:rsid w:val="00B152AA"/>
    <w:rsid w:val="00B158AA"/>
    <w:rsid w:val="00B15964"/>
    <w:rsid w:val="00B15AC7"/>
    <w:rsid w:val="00B15BB8"/>
    <w:rsid w:val="00B15BD5"/>
    <w:rsid w:val="00B15FB5"/>
    <w:rsid w:val="00B15FD5"/>
    <w:rsid w:val="00B16454"/>
    <w:rsid w:val="00B1651C"/>
    <w:rsid w:val="00B16AF8"/>
    <w:rsid w:val="00B16B5C"/>
    <w:rsid w:val="00B16CA7"/>
    <w:rsid w:val="00B16CBA"/>
    <w:rsid w:val="00B17050"/>
    <w:rsid w:val="00B17379"/>
    <w:rsid w:val="00B17534"/>
    <w:rsid w:val="00B17770"/>
    <w:rsid w:val="00B178D6"/>
    <w:rsid w:val="00B179BF"/>
    <w:rsid w:val="00B17A79"/>
    <w:rsid w:val="00B17CEE"/>
    <w:rsid w:val="00B17F34"/>
    <w:rsid w:val="00B17F6B"/>
    <w:rsid w:val="00B2008A"/>
    <w:rsid w:val="00B20402"/>
    <w:rsid w:val="00B20842"/>
    <w:rsid w:val="00B20FBE"/>
    <w:rsid w:val="00B21A0F"/>
    <w:rsid w:val="00B21E0E"/>
    <w:rsid w:val="00B21E22"/>
    <w:rsid w:val="00B22320"/>
    <w:rsid w:val="00B227A3"/>
    <w:rsid w:val="00B22B0D"/>
    <w:rsid w:val="00B22B7A"/>
    <w:rsid w:val="00B23302"/>
    <w:rsid w:val="00B2371D"/>
    <w:rsid w:val="00B23798"/>
    <w:rsid w:val="00B23CDB"/>
    <w:rsid w:val="00B23E11"/>
    <w:rsid w:val="00B2431D"/>
    <w:rsid w:val="00B243C8"/>
    <w:rsid w:val="00B24829"/>
    <w:rsid w:val="00B249E0"/>
    <w:rsid w:val="00B24A4E"/>
    <w:rsid w:val="00B24B56"/>
    <w:rsid w:val="00B24B75"/>
    <w:rsid w:val="00B24E2F"/>
    <w:rsid w:val="00B24F27"/>
    <w:rsid w:val="00B25154"/>
    <w:rsid w:val="00B2533C"/>
    <w:rsid w:val="00B25638"/>
    <w:rsid w:val="00B2586F"/>
    <w:rsid w:val="00B258E7"/>
    <w:rsid w:val="00B25B43"/>
    <w:rsid w:val="00B25E65"/>
    <w:rsid w:val="00B26538"/>
    <w:rsid w:val="00B266B9"/>
    <w:rsid w:val="00B2683D"/>
    <w:rsid w:val="00B26985"/>
    <w:rsid w:val="00B269C3"/>
    <w:rsid w:val="00B26ADC"/>
    <w:rsid w:val="00B26ADE"/>
    <w:rsid w:val="00B26BE1"/>
    <w:rsid w:val="00B26DE6"/>
    <w:rsid w:val="00B27233"/>
    <w:rsid w:val="00B276D1"/>
    <w:rsid w:val="00B27862"/>
    <w:rsid w:val="00B27A08"/>
    <w:rsid w:val="00B27C51"/>
    <w:rsid w:val="00B27CA1"/>
    <w:rsid w:val="00B27FE7"/>
    <w:rsid w:val="00B3004E"/>
    <w:rsid w:val="00B30359"/>
    <w:rsid w:val="00B305BF"/>
    <w:rsid w:val="00B3070A"/>
    <w:rsid w:val="00B30D3E"/>
    <w:rsid w:val="00B30DB5"/>
    <w:rsid w:val="00B312D2"/>
    <w:rsid w:val="00B314AB"/>
    <w:rsid w:val="00B31F65"/>
    <w:rsid w:val="00B3211D"/>
    <w:rsid w:val="00B32170"/>
    <w:rsid w:val="00B32845"/>
    <w:rsid w:val="00B3288B"/>
    <w:rsid w:val="00B32D5B"/>
    <w:rsid w:val="00B32D93"/>
    <w:rsid w:val="00B33165"/>
    <w:rsid w:val="00B33213"/>
    <w:rsid w:val="00B334F0"/>
    <w:rsid w:val="00B33699"/>
    <w:rsid w:val="00B337A2"/>
    <w:rsid w:val="00B33895"/>
    <w:rsid w:val="00B338EF"/>
    <w:rsid w:val="00B3392A"/>
    <w:rsid w:val="00B33E0C"/>
    <w:rsid w:val="00B33EAD"/>
    <w:rsid w:val="00B34114"/>
    <w:rsid w:val="00B3429B"/>
    <w:rsid w:val="00B34374"/>
    <w:rsid w:val="00B34AA6"/>
    <w:rsid w:val="00B34EAF"/>
    <w:rsid w:val="00B35195"/>
    <w:rsid w:val="00B351EA"/>
    <w:rsid w:val="00B352CF"/>
    <w:rsid w:val="00B35452"/>
    <w:rsid w:val="00B3563E"/>
    <w:rsid w:val="00B356EF"/>
    <w:rsid w:val="00B35A01"/>
    <w:rsid w:val="00B35F3B"/>
    <w:rsid w:val="00B36963"/>
    <w:rsid w:val="00B36F04"/>
    <w:rsid w:val="00B36F1C"/>
    <w:rsid w:val="00B370C3"/>
    <w:rsid w:val="00B37525"/>
    <w:rsid w:val="00B378CF"/>
    <w:rsid w:val="00B37CE4"/>
    <w:rsid w:val="00B37E3D"/>
    <w:rsid w:val="00B4029B"/>
    <w:rsid w:val="00B4035C"/>
    <w:rsid w:val="00B40490"/>
    <w:rsid w:val="00B4079C"/>
    <w:rsid w:val="00B40914"/>
    <w:rsid w:val="00B40942"/>
    <w:rsid w:val="00B4099E"/>
    <w:rsid w:val="00B409B8"/>
    <w:rsid w:val="00B40C14"/>
    <w:rsid w:val="00B41F3E"/>
    <w:rsid w:val="00B420A1"/>
    <w:rsid w:val="00B422EA"/>
    <w:rsid w:val="00B42570"/>
    <w:rsid w:val="00B426CC"/>
    <w:rsid w:val="00B428A8"/>
    <w:rsid w:val="00B428BD"/>
    <w:rsid w:val="00B42909"/>
    <w:rsid w:val="00B42973"/>
    <w:rsid w:val="00B429BC"/>
    <w:rsid w:val="00B42DC7"/>
    <w:rsid w:val="00B43576"/>
    <w:rsid w:val="00B435A9"/>
    <w:rsid w:val="00B439DC"/>
    <w:rsid w:val="00B439F0"/>
    <w:rsid w:val="00B43D24"/>
    <w:rsid w:val="00B43D53"/>
    <w:rsid w:val="00B4436C"/>
    <w:rsid w:val="00B44423"/>
    <w:rsid w:val="00B4498F"/>
    <w:rsid w:val="00B449C8"/>
    <w:rsid w:val="00B44DDA"/>
    <w:rsid w:val="00B44E2F"/>
    <w:rsid w:val="00B451DC"/>
    <w:rsid w:val="00B4563C"/>
    <w:rsid w:val="00B45955"/>
    <w:rsid w:val="00B45E4B"/>
    <w:rsid w:val="00B4604A"/>
    <w:rsid w:val="00B465C3"/>
    <w:rsid w:val="00B4683B"/>
    <w:rsid w:val="00B4687B"/>
    <w:rsid w:val="00B46B67"/>
    <w:rsid w:val="00B46E23"/>
    <w:rsid w:val="00B46F5F"/>
    <w:rsid w:val="00B47042"/>
    <w:rsid w:val="00B478F7"/>
    <w:rsid w:val="00B479C1"/>
    <w:rsid w:val="00B47B8F"/>
    <w:rsid w:val="00B5012D"/>
    <w:rsid w:val="00B50262"/>
    <w:rsid w:val="00B503EA"/>
    <w:rsid w:val="00B506B9"/>
    <w:rsid w:val="00B50A80"/>
    <w:rsid w:val="00B51081"/>
    <w:rsid w:val="00B5124C"/>
    <w:rsid w:val="00B51657"/>
    <w:rsid w:val="00B51C52"/>
    <w:rsid w:val="00B51C6F"/>
    <w:rsid w:val="00B5255E"/>
    <w:rsid w:val="00B52713"/>
    <w:rsid w:val="00B52763"/>
    <w:rsid w:val="00B527B9"/>
    <w:rsid w:val="00B52CD9"/>
    <w:rsid w:val="00B5322B"/>
    <w:rsid w:val="00B532E5"/>
    <w:rsid w:val="00B533AD"/>
    <w:rsid w:val="00B5375F"/>
    <w:rsid w:val="00B537DE"/>
    <w:rsid w:val="00B539D4"/>
    <w:rsid w:val="00B539F9"/>
    <w:rsid w:val="00B53E68"/>
    <w:rsid w:val="00B545D8"/>
    <w:rsid w:val="00B54922"/>
    <w:rsid w:val="00B54A6B"/>
    <w:rsid w:val="00B54E91"/>
    <w:rsid w:val="00B54FE5"/>
    <w:rsid w:val="00B55151"/>
    <w:rsid w:val="00B555FC"/>
    <w:rsid w:val="00B556F8"/>
    <w:rsid w:val="00B558B0"/>
    <w:rsid w:val="00B55A54"/>
    <w:rsid w:val="00B55A60"/>
    <w:rsid w:val="00B55F30"/>
    <w:rsid w:val="00B56308"/>
    <w:rsid w:val="00B56487"/>
    <w:rsid w:val="00B566FF"/>
    <w:rsid w:val="00B56935"/>
    <w:rsid w:val="00B56F80"/>
    <w:rsid w:val="00B571F1"/>
    <w:rsid w:val="00B5727C"/>
    <w:rsid w:val="00B576C5"/>
    <w:rsid w:val="00B57A84"/>
    <w:rsid w:val="00B57AAE"/>
    <w:rsid w:val="00B57BC9"/>
    <w:rsid w:val="00B57C44"/>
    <w:rsid w:val="00B57D7E"/>
    <w:rsid w:val="00B57DCB"/>
    <w:rsid w:val="00B60C27"/>
    <w:rsid w:val="00B60FEE"/>
    <w:rsid w:val="00B612DF"/>
    <w:rsid w:val="00B61338"/>
    <w:rsid w:val="00B614E7"/>
    <w:rsid w:val="00B617D4"/>
    <w:rsid w:val="00B619A6"/>
    <w:rsid w:val="00B61DB4"/>
    <w:rsid w:val="00B61E15"/>
    <w:rsid w:val="00B62897"/>
    <w:rsid w:val="00B62E44"/>
    <w:rsid w:val="00B62F0A"/>
    <w:rsid w:val="00B62F5A"/>
    <w:rsid w:val="00B62F6A"/>
    <w:rsid w:val="00B62FC1"/>
    <w:rsid w:val="00B6322B"/>
    <w:rsid w:val="00B63534"/>
    <w:rsid w:val="00B638BB"/>
    <w:rsid w:val="00B63A66"/>
    <w:rsid w:val="00B63CBA"/>
    <w:rsid w:val="00B64040"/>
    <w:rsid w:val="00B641EC"/>
    <w:rsid w:val="00B648E2"/>
    <w:rsid w:val="00B64951"/>
    <w:rsid w:val="00B65387"/>
    <w:rsid w:val="00B65487"/>
    <w:rsid w:val="00B6556F"/>
    <w:rsid w:val="00B65775"/>
    <w:rsid w:val="00B6584F"/>
    <w:rsid w:val="00B6593D"/>
    <w:rsid w:val="00B65A1D"/>
    <w:rsid w:val="00B66450"/>
    <w:rsid w:val="00B664DA"/>
    <w:rsid w:val="00B66F60"/>
    <w:rsid w:val="00B66F91"/>
    <w:rsid w:val="00B67034"/>
    <w:rsid w:val="00B671E9"/>
    <w:rsid w:val="00B67328"/>
    <w:rsid w:val="00B67AD9"/>
    <w:rsid w:val="00B67D10"/>
    <w:rsid w:val="00B67D72"/>
    <w:rsid w:val="00B67D8F"/>
    <w:rsid w:val="00B702E2"/>
    <w:rsid w:val="00B703A0"/>
    <w:rsid w:val="00B7054D"/>
    <w:rsid w:val="00B70684"/>
    <w:rsid w:val="00B70846"/>
    <w:rsid w:val="00B708BF"/>
    <w:rsid w:val="00B70E90"/>
    <w:rsid w:val="00B710FD"/>
    <w:rsid w:val="00B711DC"/>
    <w:rsid w:val="00B71479"/>
    <w:rsid w:val="00B71809"/>
    <w:rsid w:val="00B71AE9"/>
    <w:rsid w:val="00B71DAC"/>
    <w:rsid w:val="00B723B8"/>
    <w:rsid w:val="00B72B52"/>
    <w:rsid w:val="00B72B63"/>
    <w:rsid w:val="00B72E04"/>
    <w:rsid w:val="00B72ED0"/>
    <w:rsid w:val="00B732BD"/>
    <w:rsid w:val="00B735B5"/>
    <w:rsid w:val="00B737EB"/>
    <w:rsid w:val="00B73903"/>
    <w:rsid w:val="00B7414F"/>
    <w:rsid w:val="00B741C6"/>
    <w:rsid w:val="00B749FD"/>
    <w:rsid w:val="00B74ADB"/>
    <w:rsid w:val="00B74B39"/>
    <w:rsid w:val="00B74D7A"/>
    <w:rsid w:val="00B754E3"/>
    <w:rsid w:val="00B75D15"/>
    <w:rsid w:val="00B75FEA"/>
    <w:rsid w:val="00B764CF"/>
    <w:rsid w:val="00B76626"/>
    <w:rsid w:val="00B769F6"/>
    <w:rsid w:val="00B76D14"/>
    <w:rsid w:val="00B76D7E"/>
    <w:rsid w:val="00B772B8"/>
    <w:rsid w:val="00B774A9"/>
    <w:rsid w:val="00B77CEC"/>
    <w:rsid w:val="00B77E29"/>
    <w:rsid w:val="00B77EA6"/>
    <w:rsid w:val="00B80208"/>
    <w:rsid w:val="00B80398"/>
    <w:rsid w:val="00B8039A"/>
    <w:rsid w:val="00B808C0"/>
    <w:rsid w:val="00B80C72"/>
    <w:rsid w:val="00B80F5F"/>
    <w:rsid w:val="00B810B0"/>
    <w:rsid w:val="00B8113C"/>
    <w:rsid w:val="00B8133B"/>
    <w:rsid w:val="00B81D9E"/>
    <w:rsid w:val="00B82091"/>
    <w:rsid w:val="00B821B1"/>
    <w:rsid w:val="00B8291A"/>
    <w:rsid w:val="00B835BE"/>
    <w:rsid w:val="00B83F65"/>
    <w:rsid w:val="00B843C4"/>
    <w:rsid w:val="00B84877"/>
    <w:rsid w:val="00B848FD"/>
    <w:rsid w:val="00B84905"/>
    <w:rsid w:val="00B84CB0"/>
    <w:rsid w:val="00B8507C"/>
    <w:rsid w:val="00B850C7"/>
    <w:rsid w:val="00B8514E"/>
    <w:rsid w:val="00B858A9"/>
    <w:rsid w:val="00B858F7"/>
    <w:rsid w:val="00B85B05"/>
    <w:rsid w:val="00B85D4E"/>
    <w:rsid w:val="00B85EC7"/>
    <w:rsid w:val="00B85F2D"/>
    <w:rsid w:val="00B85F70"/>
    <w:rsid w:val="00B86060"/>
    <w:rsid w:val="00B868DF"/>
    <w:rsid w:val="00B86938"/>
    <w:rsid w:val="00B86CDC"/>
    <w:rsid w:val="00B86F52"/>
    <w:rsid w:val="00B878C3"/>
    <w:rsid w:val="00B87ADD"/>
    <w:rsid w:val="00B87C65"/>
    <w:rsid w:val="00B87F87"/>
    <w:rsid w:val="00B900D3"/>
    <w:rsid w:val="00B904D3"/>
    <w:rsid w:val="00B906F0"/>
    <w:rsid w:val="00B90775"/>
    <w:rsid w:val="00B9117B"/>
    <w:rsid w:val="00B91467"/>
    <w:rsid w:val="00B917DA"/>
    <w:rsid w:val="00B91995"/>
    <w:rsid w:val="00B91BBD"/>
    <w:rsid w:val="00B91C6C"/>
    <w:rsid w:val="00B920BC"/>
    <w:rsid w:val="00B9238A"/>
    <w:rsid w:val="00B92515"/>
    <w:rsid w:val="00B92C98"/>
    <w:rsid w:val="00B9317E"/>
    <w:rsid w:val="00B93413"/>
    <w:rsid w:val="00B93456"/>
    <w:rsid w:val="00B9368D"/>
    <w:rsid w:val="00B93779"/>
    <w:rsid w:val="00B9393A"/>
    <w:rsid w:val="00B940D0"/>
    <w:rsid w:val="00B9466C"/>
    <w:rsid w:val="00B94911"/>
    <w:rsid w:val="00B94D03"/>
    <w:rsid w:val="00B94F38"/>
    <w:rsid w:val="00B950EC"/>
    <w:rsid w:val="00B9528E"/>
    <w:rsid w:val="00B95390"/>
    <w:rsid w:val="00B95419"/>
    <w:rsid w:val="00B955FD"/>
    <w:rsid w:val="00B958EB"/>
    <w:rsid w:val="00B95D19"/>
    <w:rsid w:val="00B95D86"/>
    <w:rsid w:val="00B95EFD"/>
    <w:rsid w:val="00B9618E"/>
    <w:rsid w:val="00B9638C"/>
    <w:rsid w:val="00B9684E"/>
    <w:rsid w:val="00B96E1D"/>
    <w:rsid w:val="00B97190"/>
    <w:rsid w:val="00B972B1"/>
    <w:rsid w:val="00B97342"/>
    <w:rsid w:val="00B975D7"/>
    <w:rsid w:val="00B97627"/>
    <w:rsid w:val="00B97972"/>
    <w:rsid w:val="00B97AA3"/>
    <w:rsid w:val="00B97C18"/>
    <w:rsid w:val="00B99937"/>
    <w:rsid w:val="00BA047E"/>
    <w:rsid w:val="00BA0545"/>
    <w:rsid w:val="00BA056A"/>
    <w:rsid w:val="00BA079B"/>
    <w:rsid w:val="00BA09B5"/>
    <w:rsid w:val="00BA0AB7"/>
    <w:rsid w:val="00BA1331"/>
    <w:rsid w:val="00BA1BD0"/>
    <w:rsid w:val="00BA1C60"/>
    <w:rsid w:val="00BA1E52"/>
    <w:rsid w:val="00BA205C"/>
    <w:rsid w:val="00BA22B2"/>
    <w:rsid w:val="00BA249E"/>
    <w:rsid w:val="00BA2AF5"/>
    <w:rsid w:val="00BA2B2D"/>
    <w:rsid w:val="00BA2D6D"/>
    <w:rsid w:val="00BA2E34"/>
    <w:rsid w:val="00BA3040"/>
    <w:rsid w:val="00BA3090"/>
    <w:rsid w:val="00BA34F5"/>
    <w:rsid w:val="00BA3607"/>
    <w:rsid w:val="00BA372F"/>
    <w:rsid w:val="00BA3A5A"/>
    <w:rsid w:val="00BA3B32"/>
    <w:rsid w:val="00BA3B3B"/>
    <w:rsid w:val="00BA3DFE"/>
    <w:rsid w:val="00BA3E93"/>
    <w:rsid w:val="00BA49AB"/>
    <w:rsid w:val="00BA4BA4"/>
    <w:rsid w:val="00BA5196"/>
    <w:rsid w:val="00BA5705"/>
    <w:rsid w:val="00BA587F"/>
    <w:rsid w:val="00BA5A6D"/>
    <w:rsid w:val="00BA6100"/>
    <w:rsid w:val="00BA643E"/>
    <w:rsid w:val="00BA6ABA"/>
    <w:rsid w:val="00BA6D07"/>
    <w:rsid w:val="00BA6E39"/>
    <w:rsid w:val="00BA6E56"/>
    <w:rsid w:val="00BA6F7C"/>
    <w:rsid w:val="00BA748F"/>
    <w:rsid w:val="00BA75DC"/>
    <w:rsid w:val="00BA77B9"/>
    <w:rsid w:val="00BA793B"/>
    <w:rsid w:val="00BA79C5"/>
    <w:rsid w:val="00BA7BDD"/>
    <w:rsid w:val="00BA7DFF"/>
    <w:rsid w:val="00BA7E1B"/>
    <w:rsid w:val="00BB01D3"/>
    <w:rsid w:val="00BB05AA"/>
    <w:rsid w:val="00BB07DD"/>
    <w:rsid w:val="00BB106D"/>
    <w:rsid w:val="00BB1306"/>
    <w:rsid w:val="00BB139A"/>
    <w:rsid w:val="00BB1944"/>
    <w:rsid w:val="00BB1A03"/>
    <w:rsid w:val="00BB1B02"/>
    <w:rsid w:val="00BB1D40"/>
    <w:rsid w:val="00BB25F2"/>
    <w:rsid w:val="00BB2C8E"/>
    <w:rsid w:val="00BB2F22"/>
    <w:rsid w:val="00BB2FAA"/>
    <w:rsid w:val="00BB31F3"/>
    <w:rsid w:val="00BB3581"/>
    <w:rsid w:val="00BB37E7"/>
    <w:rsid w:val="00BB383D"/>
    <w:rsid w:val="00BB39BF"/>
    <w:rsid w:val="00BB3A2A"/>
    <w:rsid w:val="00BB3E30"/>
    <w:rsid w:val="00BB400F"/>
    <w:rsid w:val="00BB4181"/>
    <w:rsid w:val="00BB435A"/>
    <w:rsid w:val="00BB466D"/>
    <w:rsid w:val="00BB4C2B"/>
    <w:rsid w:val="00BB4C85"/>
    <w:rsid w:val="00BB4DF7"/>
    <w:rsid w:val="00BB4F1F"/>
    <w:rsid w:val="00BB52DA"/>
    <w:rsid w:val="00BB563E"/>
    <w:rsid w:val="00BB585F"/>
    <w:rsid w:val="00BB5889"/>
    <w:rsid w:val="00BB60A4"/>
    <w:rsid w:val="00BB63FB"/>
    <w:rsid w:val="00BB6755"/>
    <w:rsid w:val="00BB69E1"/>
    <w:rsid w:val="00BB6B65"/>
    <w:rsid w:val="00BB6C59"/>
    <w:rsid w:val="00BB6DE6"/>
    <w:rsid w:val="00BB6ED2"/>
    <w:rsid w:val="00BB6F88"/>
    <w:rsid w:val="00BB7036"/>
    <w:rsid w:val="00BB7127"/>
    <w:rsid w:val="00BB7154"/>
    <w:rsid w:val="00BB7370"/>
    <w:rsid w:val="00BB73EF"/>
    <w:rsid w:val="00BB742B"/>
    <w:rsid w:val="00BB745A"/>
    <w:rsid w:val="00BB7617"/>
    <w:rsid w:val="00BB7830"/>
    <w:rsid w:val="00BB7A63"/>
    <w:rsid w:val="00BB7A90"/>
    <w:rsid w:val="00BB7AD0"/>
    <w:rsid w:val="00BB7D9F"/>
    <w:rsid w:val="00BB7DCD"/>
    <w:rsid w:val="00BC00B2"/>
    <w:rsid w:val="00BC0121"/>
    <w:rsid w:val="00BC0317"/>
    <w:rsid w:val="00BC0460"/>
    <w:rsid w:val="00BC04A3"/>
    <w:rsid w:val="00BC0566"/>
    <w:rsid w:val="00BC0D04"/>
    <w:rsid w:val="00BC0F97"/>
    <w:rsid w:val="00BC1BAF"/>
    <w:rsid w:val="00BC1D89"/>
    <w:rsid w:val="00BC1FBB"/>
    <w:rsid w:val="00BC231D"/>
    <w:rsid w:val="00BC25A2"/>
    <w:rsid w:val="00BC291D"/>
    <w:rsid w:val="00BC2A2F"/>
    <w:rsid w:val="00BC2CCB"/>
    <w:rsid w:val="00BC2E88"/>
    <w:rsid w:val="00BC32A2"/>
    <w:rsid w:val="00BC3336"/>
    <w:rsid w:val="00BC36C4"/>
    <w:rsid w:val="00BC3846"/>
    <w:rsid w:val="00BC39CA"/>
    <w:rsid w:val="00BC3C78"/>
    <w:rsid w:val="00BC3E8C"/>
    <w:rsid w:val="00BC4108"/>
    <w:rsid w:val="00BC422F"/>
    <w:rsid w:val="00BC4BDC"/>
    <w:rsid w:val="00BC4C2E"/>
    <w:rsid w:val="00BC4DF8"/>
    <w:rsid w:val="00BC530F"/>
    <w:rsid w:val="00BC53E9"/>
    <w:rsid w:val="00BC5746"/>
    <w:rsid w:val="00BC5872"/>
    <w:rsid w:val="00BC5C11"/>
    <w:rsid w:val="00BC5D82"/>
    <w:rsid w:val="00BC5DA3"/>
    <w:rsid w:val="00BC5EC1"/>
    <w:rsid w:val="00BC60AE"/>
    <w:rsid w:val="00BC6318"/>
    <w:rsid w:val="00BC641F"/>
    <w:rsid w:val="00BC678E"/>
    <w:rsid w:val="00BC6BF4"/>
    <w:rsid w:val="00BC6DB0"/>
    <w:rsid w:val="00BC6DE6"/>
    <w:rsid w:val="00BC6E71"/>
    <w:rsid w:val="00BC744B"/>
    <w:rsid w:val="00BC7569"/>
    <w:rsid w:val="00BC7730"/>
    <w:rsid w:val="00BC7914"/>
    <w:rsid w:val="00BC79FF"/>
    <w:rsid w:val="00BC7CB7"/>
    <w:rsid w:val="00BC7D09"/>
    <w:rsid w:val="00BC7EF5"/>
    <w:rsid w:val="00BD003E"/>
    <w:rsid w:val="00BD0261"/>
    <w:rsid w:val="00BD0FF4"/>
    <w:rsid w:val="00BD1199"/>
    <w:rsid w:val="00BD137F"/>
    <w:rsid w:val="00BD139C"/>
    <w:rsid w:val="00BD1824"/>
    <w:rsid w:val="00BD1832"/>
    <w:rsid w:val="00BD1CBF"/>
    <w:rsid w:val="00BD1F27"/>
    <w:rsid w:val="00BD1FA3"/>
    <w:rsid w:val="00BD22C2"/>
    <w:rsid w:val="00BD235B"/>
    <w:rsid w:val="00BD2422"/>
    <w:rsid w:val="00BD2EB1"/>
    <w:rsid w:val="00BD3C8A"/>
    <w:rsid w:val="00BD3CA3"/>
    <w:rsid w:val="00BD3D1D"/>
    <w:rsid w:val="00BD4104"/>
    <w:rsid w:val="00BD4194"/>
    <w:rsid w:val="00BD44FE"/>
    <w:rsid w:val="00BD4596"/>
    <w:rsid w:val="00BD493A"/>
    <w:rsid w:val="00BD4AFD"/>
    <w:rsid w:val="00BD4B96"/>
    <w:rsid w:val="00BD500A"/>
    <w:rsid w:val="00BD51A4"/>
    <w:rsid w:val="00BD526C"/>
    <w:rsid w:val="00BD52E8"/>
    <w:rsid w:val="00BD5419"/>
    <w:rsid w:val="00BD576F"/>
    <w:rsid w:val="00BD583B"/>
    <w:rsid w:val="00BD5D2B"/>
    <w:rsid w:val="00BD5F02"/>
    <w:rsid w:val="00BD6096"/>
    <w:rsid w:val="00BD6273"/>
    <w:rsid w:val="00BD630F"/>
    <w:rsid w:val="00BD6424"/>
    <w:rsid w:val="00BD676A"/>
    <w:rsid w:val="00BD6912"/>
    <w:rsid w:val="00BD69BD"/>
    <w:rsid w:val="00BD6E08"/>
    <w:rsid w:val="00BD6E99"/>
    <w:rsid w:val="00BD6FEE"/>
    <w:rsid w:val="00BD7298"/>
    <w:rsid w:val="00BD73A6"/>
    <w:rsid w:val="00BD74AA"/>
    <w:rsid w:val="00BD778A"/>
    <w:rsid w:val="00BD79F5"/>
    <w:rsid w:val="00BD7D8C"/>
    <w:rsid w:val="00BD7F12"/>
    <w:rsid w:val="00BE021B"/>
    <w:rsid w:val="00BE06FE"/>
    <w:rsid w:val="00BE0C99"/>
    <w:rsid w:val="00BE147B"/>
    <w:rsid w:val="00BE14BC"/>
    <w:rsid w:val="00BE153C"/>
    <w:rsid w:val="00BE1CE2"/>
    <w:rsid w:val="00BE1CF7"/>
    <w:rsid w:val="00BE1E29"/>
    <w:rsid w:val="00BE1E8C"/>
    <w:rsid w:val="00BE1F08"/>
    <w:rsid w:val="00BE204F"/>
    <w:rsid w:val="00BE20CC"/>
    <w:rsid w:val="00BE2365"/>
    <w:rsid w:val="00BE245B"/>
    <w:rsid w:val="00BE24EF"/>
    <w:rsid w:val="00BE26CE"/>
    <w:rsid w:val="00BE2871"/>
    <w:rsid w:val="00BE29CA"/>
    <w:rsid w:val="00BE337A"/>
    <w:rsid w:val="00BE3CB0"/>
    <w:rsid w:val="00BE3CC5"/>
    <w:rsid w:val="00BE3D36"/>
    <w:rsid w:val="00BE3D44"/>
    <w:rsid w:val="00BE4150"/>
    <w:rsid w:val="00BE4484"/>
    <w:rsid w:val="00BE49DB"/>
    <w:rsid w:val="00BE4AC4"/>
    <w:rsid w:val="00BE4CAB"/>
    <w:rsid w:val="00BE5067"/>
    <w:rsid w:val="00BE50B7"/>
    <w:rsid w:val="00BE59F0"/>
    <w:rsid w:val="00BE5C20"/>
    <w:rsid w:val="00BE5F4E"/>
    <w:rsid w:val="00BE5FE9"/>
    <w:rsid w:val="00BE6386"/>
    <w:rsid w:val="00BE64CF"/>
    <w:rsid w:val="00BE6570"/>
    <w:rsid w:val="00BE65A1"/>
    <w:rsid w:val="00BE697B"/>
    <w:rsid w:val="00BE735D"/>
    <w:rsid w:val="00BE73E8"/>
    <w:rsid w:val="00BE7D41"/>
    <w:rsid w:val="00BE7F0D"/>
    <w:rsid w:val="00BF0024"/>
    <w:rsid w:val="00BF0079"/>
    <w:rsid w:val="00BF024C"/>
    <w:rsid w:val="00BF0A97"/>
    <w:rsid w:val="00BF0D82"/>
    <w:rsid w:val="00BF11ED"/>
    <w:rsid w:val="00BF12D1"/>
    <w:rsid w:val="00BF1445"/>
    <w:rsid w:val="00BF1551"/>
    <w:rsid w:val="00BF1558"/>
    <w:rsid w:val="00BF16CF"/>
    <w:rsid w:val="00BF1702"/>
    <w:rsid w:val="00BF172C"/>
    <w:rsid w:val="00BF1AB7"/>
    <w:rsid w:val="00BF2114"/>
    <w:rsid w:val="00BF22CF"/>
    <w:rsid w:val="00BF2454"/>
    <w:rsid w:val="00BF27C7"/>
    <w:rsid w:val="00BF2EA6"/>
    <w:rsid w:val="00BF2FE2"/>
    <w:rsid w:val="00BF369C"/>
    <w:rsid w:val="00BF3BB0"/>
    <w:rsid w:val="00BF3C6F"/>
    <w:rsid w:val="00BF3CA9"/>
    <w:rsid w:val="00BF40AF"/>
    <w:rsid w:val="00BF4984"/>
    <w:rsid w:val="00BF4BD8"/>
    <w:rsid w:val="00BF4C1A"/>
    <w:rsid w:val="00BF4CAD"/>
    <w:rsid w:val="00BF4E0B"/>
    <w:rsid w:val="00BF4F5E"/>
    <w:rsid w:val="00BF55DF"/>
    <w:rsid w:val="00BF5CAB"/>
    <w:rsid w:val="00BF6F46"/>
    <w:rsid w:val="00BF721C"/>
    <w:rsid w:val="00BF7357"/>
    <w:rsid w:val="00BF7950"/>
    <w:rsid w:val="00BF7C3F"/>
    <w:rsid w:val="00C0019A"/>
    <w:rsid w:val="00C001F6"/>
    <w:rsid w:val="00C004F2"/>
    <w:rsid w:val="00C00804"/>
    <w:rsid w:val="00C00954"/>
    <w:rsid w:val="00C00C01"/>
    <w:rsid w:val="00C01511"/>
    <w:rsid w:val="00C01558"/>
    <w:rsid w:val="00C0174F"/>
    <w:rsid w:val="00C018F3"/>
    <w:rsid w:val="00C01B8A"/>
    <w:rsid w:val="00C01DC0"/>
    <w:rsid w:val="00C01DD9"/>
    <w:rsid w:val="00C02111"/>
    <w:rsid w:val="00C02208"/>
    <w:rsid w:val="00C0229C"/>
    <w:rsid w:val="00C0239C"/>
    <w:rsid w:val="00C02498"/>
    <w:rsid w:val="00C025E2"/>
    <w:rsid w:val="00C02643"/>
    <w:rsid w:val="00C0295C"/>
    <w:rsid w:val="00C029F9"/>
    <w:rsid w:val="00C02D10"/>
    <w:rsid w:val="00C02E59"/>
    <w:rsid w:val="00C02FED"/>
    <w:rsid w:val="00C03138"/>
    <w:rsid w:val="00C033F4"/>
    <w:rsid w:val="00C03557"/>
    <w:rsid w:val="00C03783"/>
    <w:rsid w:val="00C03B8F"/>
    <w:rsid w:val="00C03D58"/>
    <w:rsid w:val="00C03DC9"/>
    <w:rsid w:val="00C0410B"/>
    <w:rsid w:val="00C04193"/>
    <w:rsid w:val="00C045CC"/>
    <w:rsid w:val="00C04868"/>
    <w:rsid w:val="00C04A13"/>
    <w:rsid w:val="00C04F59"/>
    <w:rsid w:val="00C05204"/>
    <w:rsid w:val="00C052C4"/>
    <w:rsid w:val="00C052D5"/>
    <w:rsid w:val="00C05573"/>
    <w:rsid w:val="00C05736"/>
    <w:rsid w:val="00C05E7F"/>
    <w:rsid w:val="00C0610E"/>
    <w:rsid w:val="00C06879"/>
    <w:rsid w:val="00C06A00"/>
    <w:rsid w:val="00C06A3E"/>
    <w:rsid w:val="00C06CAD"/>
    <w:rsid w:val="00C06E02"/>
    <w:rsid w:val="00C06E90"/>
    <w:rsid w:val="00C0718B"/>
    <w:rsid w:val="00C071B6"/>
    <w:rsid w:val="00C07304"/>
    <w:rsid w:val="00C0763B"/>
    <w:rsid w:val="00C07BDD"/>
    <w:rsid w:val="00C07CCD"/>
    <w:rsid w:val="00C10207"/>
    <w:rsid w:val="00C102A6"/>
    <w:rsid w:val="00C10544"/>
    <w:rsid w:val="00C106D9"/>
    <w:rsid w:val="00C106ED"/>
    <w:rsid w:val="00C10B4C"/>
    <w:rsid w:val="00C10FF5"/>
    <w:rsid w:val="00C11709"/>
    <w:rsid w:val="00C12512"/>
    <w:rsid w:val="00C1287D"/>
    <w:rsid w:val="00C12C5F"/>
    <w:rsid w:val="00C12E38"/>
    <w:rsid w:val="00C1368E"/>
    <w:rsid w:val="00C13B24"/>
    <w:rsid w:val="00C13C24"/>
    <w:rsid w:val="00C1412F"/>
    <w:rsid w:val="00C1416D"/>
    <w:rsid w:val="00C1482E"/>
    <w:rsid w:val="00C14A27"/>
    <w:rsid w:val="00C14E9C"/>
    <w:rsid w:val="00C15008"/>
    <w:rsid w:val="00C150F9"/>
    <w:rsid w:val="00C1544E"/>
    <w:rsid w:val="00C1577A"/>
    <w:rsid w:val="00C15A04"/>
    <w:rsid w:val="00C15BC0"/>
    <w:rsid w:val="00C15C3A"/>
    <w:rsid w:val="00C15DA1"/>
    <w:rsid w:val="00C15E65"/>
    <w:rsid w:val="00C160C3"/>
    <w:rsid w:val="00C160F5"/>
    <w:rsid w:val="00C1624B"/>
    <w:rsid w:val="00C162CE"/>
    <w:rsid w:val="00C16432"/>
    <w:rsid w:val="00C16749"/>
    <w:rsid w:val="00C16B8E"/>
    <w:rsid w:val="00C16BA8"/>
    <w:rsid w:val="00C16FA7"/>
    <w:rsid w:val="00C17115"/>
    <w:rsid w:val="00C1731B"/>
    <w:rsid w:val="00C1733C"/>
    <w:rsid w:val="00C174C3"/>
    <w:rsid w:val="00C1755E"/>
    <w:rsid w:val="00C175C9"/>
    <w:rsid w:val="00C1767A"/>
    <w:rsid w:val="00C17AA6"/>
    <w:rsid w:val="00C17C82"/>
    <w:rsid w:val="00C201B7"/>
    <w:rsid w:val="00C2083D"/>
    <w:rsid w:val="00C20B79"/>
    <w:rsid w:val="00C20D84"/>
    <w:rsid w:val="00C20E66"/>
    <w:rsid w:val="00C21CD2"/>
    <w:rsid w:val="00C21FB5"/>
    <w:rsid w:val="00C2252D"/>
    <w:rsid w:val="00C225DD"/>
    <w:rsid w:val="00C226FC"/>
    <w:rsid w:val="00C2279A"/>
    <w:rsid w:val="00C227C0"/>
    <w:rsid w:val="00C22E04"/>
    <w:rsid w:val="00C22E47"/>
    <w:rsid w:val="00C22F59"/>
    <w:rsid w:val="00C23205"/>
    <w:rsid w:val="00C2324B"/>
    <w:rsid w:val="00C2380A"/>
    <w:rsid w:val="00C23EA4"/>
    <w:rsid w:val="00C23FF0"/>
    <w:rsid w:val="00C245ED"/>
    <w:rsid w:val="00C24A5F"/>
    <w:rsid w:val="00C250E6"/>
    <w:rsid w:val="00C25261"/>
    <w:rsid w:val="00C253EA"/>
    <w:rsid w:val="00C25871"/>
    <w:rsid w:val="00C25ED2"/>
    <w:rsid w:val="00C26103"/>
    <w:rsid w:val="00C26114"/>
    <w:rsid w:val="00C26217"/>
    <w:rsid w:val="00C26373"/>
    <w:rsid w:val="00C2639E"/>
    <w:rsid w:val="00C2643D"/>
    <w:rsid w:val="00C26F18"/>
    <w:rsid w:val="00C2711E"/>
    <w:rsid w:val="00C274D6"/>
    <w:rsid w:val="00C275BF"/>
    <w:rsid w:val="00C2778C"/>
    <w:rsid w:val="00C302FD"/>
    <w:rsid w:val="00C30560"/>
    <w:rsid w:val="00C30822"/>
    <w:rsid w:val="00C30A41"/>
    <w:rsid w:val="00C30CFB"/>
    <w:rsid w:val="00C30D47"/>
    <w:rsid w:val="00C30DD1"/>
    <w:rsid w:val="00C30F97"/>
    <w:rsid w:val="00C3111A"/>
    <w:rsid w:val="00C31852"/>
    <w:rsid w:val="00C31A03"/>
    <w:rsid w:val="00C31FEA"/>
    <w:rsid w:val="00C32079"/>
    <w:rsid w:val="00C32174"/>
    <w:rsid w:val="00C3281B"/>
    <w:rsid w:val="00C32E9F"/>
    <w:rsid w:val="00C33799"/>
    <w:rsid w:val="00C338E2"/>
    <w:rsid w:val="00C33BC2"/>
    <w:rsid w:val="00C34017"/>
    <w:rsid w:val="00C34537"/>
    <w:rsid w:val="00C34692"/>
    <w:rsid w:val="00C346E5"/>
    <w:rsid w:val="00C348D6"/>
    <w:rsid w:val="00C34DBF"/>
    <w:rsid w:val="00C3502D"/>
    <w:rsid w:val="00C35292"/>
    <w:rsid w:val="00C352CB"/>
    <w:rsid w:val="00C355D0"/>
    <w:rsid w:val="00C35988"/>
    <w:rsid w:val="00C35F45"/>
    <w:rsid w:val="00C35F55"/>
    <w:rsid w:val="00C360C9"/>
    <w:rsid w:val="00C36488"/>
    <w:rsid w:val="00C3648D"/>
    <w:rsid w:val="00C36827"/>
    <w:rsid w:val="00C36FD8"/>
    <w:rsid w:val="00C375F7"/>
    <w:rsid w:val="00C37678"/>
    <w:rsid w:val="00C3798E"/>
    <w:rsid w:val="00C37EE4"/>
    <w:rsid w:val="00C37EEC"/>
    <w:rsid w:val="00C401E5"/>
    <w:rsid w:val="00C40223"/>
    <w:rsid w:val="00C40289"/>
    <w:rsid w:val="00C4083E"/>
    <w:rsid w:val="00C40A8E"/>
    <w:rsid w:val="00C40BAC"/>
    <w:rsid w:val="00C40E42"/>
    <w:rsid w:val="00C410A4"/>
    <w:rsid w:val="00C411ED"/>
    <w:rsid w:val="00C41560"/>
    <w:rsid w:val="00C41624"/>
    <w:rsid w:val="00C41C7E"/>
    <w:rsid w:val="00C41F09"/>
    <w:rsid w:val="00C42323"/>
    <w:rsid w:val="00C42AFC"/>
    <w:rsid w:val="00C42DE5"/>
    <w:rsid w:val="00C42E65"/>
    <w:rsid w:val="00C4352B"/>
    <w:rsid w:val="00C439B4"/>
    <w:rsid w:val="00C43A03"/>
    <w:rsid w:val="00C440C6"/>
    <w:rsid w:val="00C44644"/>
    <w:rsid w:val="00C449C4"/>
    <w:rsid w:val="00C4553C"/>
    <w:rsid w:val="00C45990"/>
    <w:rsid w:val="00C45AD4"/>
    <w:rsid w:val="00C45B1B"/>
    <w:rsid w:val="00C45B61"/>
    <w:rsid w:val="00C45E39"/>
    <w:rsid w:val="00C46338"/>
    <w:rsid w:val="00C466A8"/>
    <w:rsid w:val="00C46861"/>
    <w:rsid w:val="00C46C41"/>
    <w:rsid w:val="00C46DE2"/>
    <w:rsid w:val="00C4728D"/>
    <w:rsid w:val="00C474CE"/>
    <w:rsid w:val="00C475D7"/>
    <w:rsid w:val="00C47EED"/>
    <w:rsid w:val="00C47F43"/>
    <w:rsid w:val="00C5037C"/>
    <w:rsid w:val="00C504A7"/>
    <w:rsid w:val="00C504DF"/>
    <w:rsid w:val="00C5055E"/>
    <w:rsid w:val="00C50725"/>
    <w:rsid w:val="00C50853"/>
    <w:rsid w:val="00C50AF4"/>
    <w:rsid w:val="00C510A3"/>
    <w:rsid w:val="00C5117C"/>
    <w:rsid w:val="00C5158A"/>
    <w:rsid w:val="00C5178F"/>
    <w:rsid w:val="00C51837"/>
    <w:rsid w:val="00C51F9E"/>
    <w:rsid w:val="00C522A7"/>
    <w:rsid w:val="00C522DF"/>
    <w:rsid w:val="00C523BC"/>
    <w:rsid w:val="00C52712"/>
    <w:rsid w:val="00C52A25"/>
    <w:rsid w:val="00C52BA2"/>
    <w:rsid w:val="00C5302E"/>
    <w:rsid w:val="00C53636"/>
    <w:rsid w:val="00C536A4"/>
    <w:rsid w:val="00C53996"/>
    <w:rsid w:val="00C539C1"/>
    <w:rsid w:val="00C53AD8"/>
    <w:rsid w:val="00C540E5"/>
    <w:rsid w:val="00C540F4"/>
    <w:rsid w:val="00C54314"/>
    <w:rsid w:val="00C54427"/>
    <w:rsid w:val="00C54634"/>
    <w:rsid w:val="00C5472F"/>
    <w:rsid w:val="00C547D7"/>
    <w:rsid w:val="00C54854"/>
    <w:rsid w:val="00C55286"/>
    <w:rsid w:val="00C5533D"/>
    <w:rsid w:val="00C554FB"/>
    <w:rsid w:val="00C5563D"/>
    <w:rsid w:val="00C559E2"/>
    <w:rsid w:val="00C55B2D"/>
    <w:rsid w:val="00C561AC"/>
    <w:rsid w:val="00C56894"/>
    <w:rsid w:val="00C56FCF"/>
    <w:rsid w:val="00C5710D"/>
    <w:rsid w:val="00C571EB"/>
    <w:rsid w:val="00C573C0"/>
    <w:rsid w:val="00C576DF"/>
    <w:rsid w:val="00C57C80"/>
    <w:rsid w:val="00C57D50"/>
    <w:rsid w:val="00C6002A"/>
    <w:rsid w:val="00C60051"/>
    <w:rsid w:val="00C60937"/>
    <w:rsid w:val="00C60AF1"/>
    <w:rsid w:val="00C60C50"/>
    <w:rsid w:val="00C6109F"/>
    <w:rsid w:val="00C61298"/>
    <w:rsid w:val="00C613B7"/>
    <w:rsid w:val="00C61B12"/>
    <w:rsid w:val="00C61B47"/>
    <w:rsid w:val="00C61BBF"/>
    <w:rsid w:val="00C61C80"/>
    <w:rsid w:val="00C621D5"/>
    <w:rsid w:val="00C62742"/>
    <w:rsid w:val="00C62ACD"/>
    <w:rsid w:val="00C6307C"/>
    <w:rsid w:val="00C63134"/>
    <w:rsid w:val="00C63831"/>
    <w:rsid w:val="00C638CD"/>
    <w:rsid w:val="00C63CB4"/>
    <w:rsid w:val="00C63E75"/>
    <w:rsid w:val="00C63F46"/>
    <w:rsid w:val="00C640BA"/>
    <w:rsid w:val="00C644B0"/>
    <w:rsid w:val="00C645B5"/>
    <w:rsid w:val="00C648B4"/>
    <w:rsid w:val="00C648C8"/>
    <w:rsid w:val="00C64A52"/>
    <w:rsid w:val="00C64F0F"/>
    <w:rsid w:val="00C64FA3"/>
    <w:rsid w:val="00C65281"/>
    <w:rsid w:val="00C65429"/>
    <w:rsid w:val="00C65614"/>
    <w:rsid w:val="00C659F4"/>
    <w:rsid w:val="00C65B62"/>
    <w:rsid w:val="00C65D29"/>
    <w:rsid w:val="00C66008"/>
    <w:rsid w:val="00C6673E"/>
    <w:rsid w:val="00C66794"/>
    <w:rsid w:val="00C66907"/>
    <w:rsid w:val="00C66B7E"/>
    <w:rsid w:val="00C66C4C"/>
    <w:rsid w:val="00C66F8D"/>
    <w:rsid w:val="00C66FC4"/>
    <w:rsid w:val="00C6707F"/>
    <w:rsid w:val="00C674A6"/>
    <w:rsid w:val="00C675FB"/>
    <w:rsid w:val="00C67CFB"/>
    <w:rsid w:val="00C701FE"/>
    <w:rsid w:val="00C704DF"/>
    <w:rsid w:val="00C7051C"/>
    <w:rsid w:val="00C7064E"/>
    <w:rsid w:val="00C707EF"/>
    <w:rsid w:val="00C70A81"/>
    <w:rsid w:val="00C70AD4"/>
    <w:rsid w:val="00C70BB9"/>
    <w:rsid w:val="00C70D63"/>
    <w:rsid w:val="00C70D97"/>
    <w:rsid w:val="00C71325"/>
    <w:rsid w:val="00C71C1D"/>
    <w:rsid w:val="00C71CFA"/>
    <w:rsid w:val="00C71ED9"/>
    <w:rsid w:val="00C72C65"/>
    <w:rsid w:val="00C72F8A"/>
    <w:rsid w:val="00C7348A"/>
    <w:rsid w:val="00C73515"/>
    <w:rsid w:val="00C73B33"/>
    <w:rsid w:val="00C74545"/>
    <w:rsid w:val="00C745C9"/>
    <w:rsid w:val="00C74E15"/>
    <w:rsid w:val="00C74E42"/>
    <w:rsid w:val="00C754B9"/>
    <w:rsid w:val="00C75625"/>
    <w:rsid w:val="00C75ABC"/>
    <w:rsid w:val="00C75C50"/>
    <w:rsid w:val="00C75CA7"/>
    <w:rsid w:val="00C761D0"/>
    <w:rsid w:val="00C76379"/>
    <w:rsid w:val="00C763B1"/>
    <w:rsid w:val="00C764B8"/>
    <w:rsid w:val="00C76564"/>
    <w:rsid w:val="00C766C8"/>
    <w:rsid w:val="00C76827"/>
    <w:rsid w:val="00C7686D"/>
    <w:rsid w:val="00C76B96"/>
    <w:rsid w:val="00C775BF"/>
    <w:rsid w:val="00C7797D"/>
    <w:rsid w:val="00C779EC"/>
    <w:rsid w:val="00C77A01"/>
    <w:rsid w:val="00C77B8E"/>
    <w:rsid w:val="00C77E15"/>
    <w:rsid w:val="00C801D3"/>
    <w:rsid w:val="00C80209"/>
    <w:rsid w:val="00C80287"/>
    <w:rsid w:val="00C80415"/>
    <w:rsid w:val="00C80631"/>
    <w:rsid w:val="00C8071B"/>
    <w:rsid w:val="00C80A46"/>
    <w:rsid w:val="00C80EEA"/>
    <w:rsid w:val="00C80F55"/>
    <w:rsid w:val="00C810AC"/>
    <w:rsid w:val="00C81437"/>
    <w:rsid w:val="00C81852"/>
    <w:rsid w:val="00C81EA4"/>
    <w:rsid w:val="00C820C0"/>
    <w:rsid w:val="00C824E1"/>
    <w:rsid w:val="00C824F2"/>
    <w:rsid w:val="00C82735"/>
    <w:rsid w:val="00C82E86"/>
    <w:rsid w:val="00C8360D"/>
    <w:rsid w:val="00C83663"/>
    <w:rsid w:val="00C8371A"/>
    <w:rsid w:val="00C83A54"/>
    <w:rsid w:val="00C83BC9"/>
    <w:rsid w:val="00C83BD1"/>
    <w:rsid w:val="00C83C28"/>
    <w:rsid w:val="00C841AE"/>
    <w:rsid w:val="00C8426A"/>
    <w:rsid w:val="00C8446B"/>
    <w:rsid w:val="00C8485D"/>
    <w:rsid w:val="00C84EE5"/>
    <w:rsid w:val="00C85127"/>
    <w:rsid w:val="00C85700"/>
    <w:rsid w:val="00C85850"/>
    <w:rsid w:val="00C858E7"/>
    <w:rsid w:val="00C85CDD"/>
    <w:rsid w:val="00C8604E"/>
    <w:rsid w:val="00C864E3"/>
    <w:rsid w:val="00C8655B"/>
    <w:rsid w:val="00C86611"/>
    <w:rsid w:val="00C86857"/>
    <w:rsid w:val="00C868CC"/>
    <w:rsid w:val="00C86AF1"/>
    <w:rsid w:val="00C86FD9"/>
    <w:rsid w:val="00C86FE8"/>
    <w:rsid w:val="00C87237"/>
    <w:rsid w:val="00C87A3F"/>
    <w:rsid w:val="00C87C61"/>
    <w:rsid w:val="00C901C0"/>
    <w:rsid w:val="00C9043C"/>
    <w:rsid w:val="00C9059A"/>
    <w:rsid w:val="00C90822"/>
    <w:rsid w:val="00C90A33"/>
    <w:rsid w:val="00C90C3F"/>
    <w:rsid w:val="00C90C44"/>
    <w:rsid w:val="00C90DD7"/>
    <w:rsid w:val="00C90FEA"/>
    <w:rsid w:val="00C91003"/>
    <w:rsid w:val="00C9129C"/>
    <w:rsid w:val="00C912DF"/>
    <w:rsid w:val="00C9135F"/>
    <w:rsid w:val="00C91487"/>
    <w:rsid w:val="00C91562"/>
    <w:rsid w:val="00C915D9"/>
    <w:rsid w:val="00C916EC"/>
    <w:rsid w:val="00C91847"/>
    <w:rsid w:val="00C91A38"/>
    <w:rsid w:val="00C91CCC"/>
    <w:rsid w:val="00C91ECE"/>
    <w:rsid w:val="00C921FE"/>
    <w:rsid w:val="00C92318"/>
    <w:rsid w:val="00C92A81"/>
    <w:rsid w:val="00C92F13"/>
    <w:rsid w:val="00C93434"/>
    <w:rsid w:val="00C93682"/>
    <w:rsid w:val="00C93A0B"/>
    <w:rsid w:val="00C93B27"/>
    <w:rsid w:val="00C93CFA"/>
    <w:rsid w:val="00C93DCD"/>
    <w:rsid w:val="00C93E2F"/>
    <w:rsid w:val="00C93F37"/>
    <w:rsid w:val="00C9428F"/>
    <w:rsid w:val="00C9483A"/>
    <w:rsid w:val="00C9495E"/>
    <w:rsid w:val="00C94A1B"/>
    <w:rsid w:val="00C94F76"/>
    <w:rsid w:val="00C95043"/>
    <w:rsid w:val="00C95128"/>
    <w:rsid w:val="00C95F5B"/>
    <w:rsid w:val="00C95F72"/>
    <w:rsid w:val="00C95F8D"/>
    <w:rsid w:val="00C96131"/>
    <w:rsid w:val="00C96168"/>
    <w:rsid w:val="00C96384"/>
    <w:rsid w:val="00C9668B"/>
    <w:rsid w:val="00C96976"/>
    <w:rsid w:val="00C9721E"/>
    <w:rsid w:val="00C97287"/>
    <w:rsid w:val="00C9740D"/>
    <w:rsid w:val="00C977E7"/>
    <w:rsid w:val="00C9782D"/>
    <w:rsid w:val="00C978CE"/>
    <w:rsid w:val="00C979FD"/>
    <w:rsid w:val="00C97A59"/>
    <w:rsid w:val="00C97B90"/>
    <w:rsid w:val="00CA0168"/>
    <w:rsid w:val="00CA01DB"/>
    <w:rsid w:val="00CA0313"/>
    <w:rsid w:val="00CA032E"/>
    <w:rsid w:val="00CA046E"/>
    <w:rsid w:val="00CA07C1"/>
    <w:rsid w:val="00CA08B5"/>
    <w:rsid w:val="00CA0C1A"/>
    <w:rsid w:val="00CA1092"/>
    <w:rsid w:val="00CA1551"/>
    <w:rsid w:val="00CA15AE"/>
    <w:rsid w:val="00CA15F6"/>
    <w:rsid w:val="00CA172E"/>
    <w:rsid w:val="00CA1C74"/>
    <w:rsid w:val="00CA1FCA"/>
    <w:rsid w:val="00CA219A"/>
    <w:rsid w:val="00CA242B"/>
    <w:rsid w:val="00CA28DE"/>
    <w:rsid w:val="00CA2AEE"/>
    <w:rsid w:val="00CA2C95"/>
    <w:rsid w:val="00CA2CB6"/>
    <w:rsid w:val="00CA2D3E"/>
    <w:rsid w:val="00CA3415"/>
    <w:rsid w:val="00CA3620"/>
    <w:rsid w:val="00CA3737"/>
    <w:rsid w:val="00CA3B36"/>
    <w:rsid w:val="00CA3B61"/>
    <w:rsid w:val="00CA3BF6"/>
    <w:rsid w:val="00CA3D0C"/>
    <w:rsid w:val="00CA4373"/>
    <w:rsid w:val="00CA4462"/>
    <w:rsid w:val="00CA488B"/>
    <w:rsid w:val="00CA4A77"/>
    <w:rsid w:val="00CA4D3A"/>
    <w:rsid w:val="00CA4EB6"/>
    <w:rsid w:val="00CA4F8F"/>
    <w:rsid w:val="00CA5012"/>
    <w:rsid w:val="00CA546C"/>
    <w:rsid w:val="00CA5D1C"/>
    <w:rsid w:val="00CA5EBB"/>
    <w:rsid w:val="00CA5F3B"/>
    <w:rsid w:val="00CA61C8"/>
    <w:rsid w:val="00CA61D7"/>
    <w:rsid w:val="00CA6344"/>
    <w:rsid w:val="00CA63A4"/>
    <w:rsid w:val="00CA6486"/>
    <w:rsid w:val="00CA6506"/>
    <w:rsid w:val="00CA6630"/>
    <w:rsid w:val="00CA679B"/>
    <w:rsid w:val="00CA6F01"/>
    <w:rsid w:val="00CA7092"/>
    <w:rsid w:val="00CA70DC"/>
    <w:rsid w:val="00CA70E3"/>
    <w:rsid w:val="00CA712B"/>
    <w:rsid w:val="00CA7162"/>
    <w:rsid w:val="00CA71AA"/>
    <w:rsid w:val="00CA73B3"/>
    <w:rsid w:val="00CA757C"/>
    <w:rsid w:val="00CA766C"/>
    <w:rsid w:val="00CA79BA"/>
    <w:rsid w:val="00CA7BDF"/>
    <w:rsid w:val="00CA7D5F"/>
    <w:rsid w:val="00CB0143"/>
    <w:rsid w:val="00CB0156"/>
    <w:rsid w:val="00CB02E7"/>
    <w:rsid w:val="00CB072D"/>
    <w:rsid w:val="00CB076C"/>
    <w:rsid w:val="00CB0D81"/>
    <w:rsid w:val="00CB1269"/>
    <w:rsid w:val="00CB15AE"/>
    <w:rsid w:val="00CB15C7"/>
    <w:rsid w:val="00CB161B"/>
    <w:rsid w:val="00CB1624"/>
    <w:rsid w:val="00CB1769"/>
    <w:rsid w:val="00CB17B3"/>
    <w:rsid w:val="00CB27E6"/>
    <w:rsid w:val="00CB28F8"/>
    <w:rsid w:val="00CB295B"/>
    <w:rsid w:val="00CB2BD6"/>
    <w:rsid w:val="00CB2DB8"/>
    <w:rsid w:val="00CB2FBD"/>
    <w:rsid w:val="00CB38D1"/>
    <w:rsid w:val="00CB3B33"/>
    <w:rsid w:val="00CB3BA5"/>
    <w:rsid w:val="00CB3BF1"/>
    <w:rsid w:val="00CB4143"/>
    <w:rsid w:val="00CB42C1"/>
    <w:rsid w:val="00CB43FB"/>
    <w:rsid w:val="00CB448C"/>
    <w:rsid w:val="00CB44DE"/>
    <w:rsid w:val="00CB4DA9"/>
    <w:rsid w:val="00CB5AED"/>
    <w:rsid w:val="00CB5B33"/>
    <w:rsid w:val="00CB5CB1"/>
    <w:rsid w:val="00CB5EAC"/>
    <w:rsid w:val="00CB5ECB"/>
    <w:rsid w:val="00CB6068"/>
    <w:rsid w:val="00CB608A"/>
    <w:rsid w:val="00CB63A0"/>
    <w:rsid w:val="00CB65CA"/>
    <w:rsid w:val="00CB6997"/>
    <w:rsid w:val="00CB6AC1"/>
    <w:rsid w:val="00CB6B7E"/>
    <w:rsid w:val="00CB6C4D"/>
    <w:rsid w:val="00CB6CD8"/>
    <w:rsid w:val="00CB6E45"/>
    <w:rsid w:val="00CB6E91"/>
    <w:rsid w:val="00CB7B63"/>
    <w:rsid w:val="00CB7CDB"/>
    <w:rsid w:val="00CB7F06"/>
    <w:rsid w:val="00CB7F33"/>
    <w:rsid w:val="00CC025E"/>
    <w:rsid w:val="00CC05C1"/>
    <w:rsid w:val="00CC0839"/>
    <w:rsid w:val="00CC08B8"/>
    <w:rsid w:val="00CC0D1B"/>
    <w:rsid w:val="00CC0FFF"/>
    <w:rsid w:val="00CC10B7"/>
    <w:rsid w:val="00CC1127"/>
    <w:rsid w:val="00CC12CF"/>
    <w:rsid w:val="00CC15DD"/>
    <w:rsid w:val="00CC1B88"/>
    <w:rsid w:val="00CC1BC5"/>
    <w:rsid w:val="00CC1CB2"/>
    <w:rsid w:val="00CC2133"/>
    <w:rsid w:val="00CC23FC"/>
    <w:rsid w:val="00CC27E1"/>
    <w:rsid w:val="00CC2852"/>
    <w:rsid w:val="00CC28BC"/>
    <w:rsid w:val="00CC2C27"/>
    <w:rsid w:val="00CC3045"/>
    <w:rsid w:val="00CC321E"/>
    <w:rsid w:val="00CC39FB"/>
    <w:rsid w:val="00CC3ADA"/>
    <w:rsid w:val="00CC3B02"/>
    <w:rsid w:val="00CC3D0B"/>
    <w:rsid w:val="00CC4228"/>
    <w:rsid w:val="00CC4369"/>
    <w:rsid w:val="00CC43E7"/>
    <w:rsid w:val="00CC46FE"/>
    <w:rsid w:val="00CC47A2"/>
    <w:rsid w:val="00CC4FBF"/>
    <w:rsid w:val="00CC5399"/>
    <w:rsid w:val="00CC57A7"/>
    <w:rsid w:val="00CC5883"/>
    <w:rsid w:val="00CC599C"/>
    <w:rsid w:val="00CC5B95"/>
    <w:rsid w:val="00CC61AD"/>
    <w:rsid w:val="00CC6474"/>
    <w:rsid w:val="00CC6493"/>
    <w:rsid w:val="00CC6AE5"/>
    <w:rsid w:val="00CC6B12"/>
    <w:rsid w:val="00CC6CA4"/>
    <w:rsid w:val="00CC6E25"/>
    <w:rsid w:val="00CC7119"/>
    <w:rsid w:val="00CC7AB6"/>
    <w:rsid w:val="00CC7BE5"/>
    <w:rsid w:val="00CC7E1A"/>
    <w:rsid w:val="00CD002D"/>
    <w:rsid w:val="00CD0057"/>
    <w:rsid w:val="00CD0363"/>
    <w:rsid w:val="00CD075D"/>
    <w:rsid w:val="00CD07C5"/>
    <w:rsid w:val="00CD083C"/>
    <w:rsid w:val="00CD0E29"/>
    <w:rsid w:val="00CD1028"/>
    <w:rsid w:val="00CD132A"/>
    <w:rsid w:val="00CD13B7"/>
    <w:rsid w:val="00CD225F"/>
    <w:rsid w:val="00CD2270"/>
    <w:rsid w:val="00CD2884"/>
    <w:rsid w:val="00CD3116"/>
    <w:rsid w:val="00CD3217"/>
    <w:rsid w:val="00CD325F"/>
    <w:rsid w:val="00CD3364"/>
    <w:rsid w:val="00CD3366"/>
    <w:rsid w:val="00CD34B3"/>
    <w:rsid w:val="00CD3BCD"/>
    <w:rsid w:val="00CD3BF9"/>
    <w:rsid w:val="00CD3CD7"/>
    <w:rsid w:val="00CD3E56"/>
    <w:rsid w:val="00CD4565"/>
    <w:rsid w:val="00CD4A12"/>
    <w:rsid w:val="00CD4AB0"/>
    <w:rsid w:val="00CD502F"/>
    <w:rsid w:val="00CD513A"/>
    <w:rsid w:val="00CD5151"/>
    <w:rsid w:val="00CD562F"/>
    <w:rsid w:val="00CD570E"/>
    <w:rsid w:val="00CD577D"/>
    <w:rsid w:val="00CD5825"/>
    <w:rsid w:val="00CD58E7"/>
    <w:rsid w:val="00CD63B3"/>
    <w:rsid w:val="00CD6417"/>
    <w:rsid w:val="00CD6513"/>
    <w:rsid w:val="00CD65FF"/>
    <w:rsid w:val="00CD674A"/>
    <w:rsid w:val="00CD6D9F"/>
    <w:rsid w:val="00CD7218"/>
    <w:rsid w:val="00CD72E1"/>
    <w:rsid w:val="00CD77AD"/>
    <w:rsid w:val="00CD7B0B"/>
    <w:rsid w:val="00CD7B3D"/>
    <w:rsid w:val="00CD7DFC"/>
    <w:rsid w:val="00CE007B"/>
    <w:rsid w:val="00CE02E2"/>
    <w:rsid w:val="00CE08A8"/>
    <w:rsid w:val="00CE139D"/>
    <w:rsid w:val="00CE153D"/>
    <w:rsid w:val="00CE1947"/>
    <w:rsid w:val="00CE1A2E"/>
    <w:rsid w:val="00CE1F17"/>
    <w:rsid w:val="00CE2061"/>
    <w:rsid w:val="00CE257B"/>
    <w:rsid w:val="00CE259E"/>
    <w:rsid w:val="00CE25FD"/>
    <w:rsid w:val="00CE2908"/>
    <w:rsid w:val="00CE2BAF"/>
    <w:rsid w:val="00CE2ED7"/>
    <w:rsid w:val="00CE302A"/>
    <w:rsid w:val="00CE35BD"/>
    <w:rsid w:val="00CE37B3"/>
    <w:rsid w:val="00CE385F"/>
    <w:rsid w:val="00CE3BF2"/>
    <w:rsid w:val="00CE4265"/>
    <w:rsid w:val="00CE481B"/>
    <w:rsid w:val="00CE4892"/>
    <w:rsid w:val="00CE535A"/>
    <w:rsid w:val="00CE5666"/>
    <w:rsid w:val="00CE566D"/>
    <w:rsid w:val="00CE5771"/>
    <w:rsid w:val="00CE5A12"/>
    <w:rsid w:val="00CE63DD"/>
    <w:rsid w:val="00CE6645"/>
    <w:rsid w:val="00CE66C5"/>
    <w:rsid w:val="00CE68A3"/>
    <w:rsid w:val="00CE697E"/>
    <w:rsid w:val="00CE738A"/>
    <w:rsid w:val="00CE77CB"/>
    <w:rsid w:val="00CE7824"/>
    <w:rsid w:val="00CE7B32"/>
    <w:rsid w:val="00CE7CC5"/>
    <w:rsid w:val="00CF02D4"/>
    <w:rsid w:val="00CF0578"/>
    <w:rsid w:val="00CF0617"/>
    <w:rsid w:val="00CF07BA"/>
    <w:rsid w:val="00CF0916"/>
    <w:rsid w:val="00CF09DA"/>
    <w:rsid w:val="00CF0A12"/>
    <w:rsid w:val="00CF0D8A"/>
    <w:rsid w:val="00CF1018"/>
    <w:rsid w:val="00CF11E1"/>
    <w:rsid w:val="00CF13BA"/>
    <w:rsid w:val="00CF14CC"/>
    <w:rsid w:val="00CF1665"/>
    <w:rsid w:val="00CF1853"/>
    <w:rsid w:val="00CF1B82"/>
    <w:rsid w:val="00CF1C93"/>
    <w:rsid w:val="00CF1D59"/>
    <w:rsid w:val="00CF2341"/>
    <w:rsid w:val="00CF2385"/>
    <w:rsid w:val="00CF264E"/>
    <w:rsid w:val="00CF2759"/>
    <w:rsid w:val="00CF2938"/>
    <w:rsid w:val="00CF3113"/>
    <w:rsid w:val="00CF365C"/>
    <w:rsid w:val="00CF3B28"/>
    <w:rsid w:val="00CF3E2A"/>
    <w:rsid w:val="00CF410F"/>
    <w:rsid w:val="00CF446B"/>
    <w:rsid w:val="00CF4879"/>
    <w:rsid w:val="00CF4A76"/>
    <w:rsid w:val="00CF507E"/>
    <w:rsid w:val="00CF50F8"/>
    <w:rsid w:val="00CF55A4"/>
    <w:rsid w:val="00CF5735"/>
    <w:rsid w:val="00CF5B45"/>
    <w:rsid w:val="00CF5BE6"/>
    <w:rsid w:val="00CF5DFB"/>
    <w:rsid w:val="00CF5E66"/>
    <w:rsid w:val="00CF5F14"/>
    <w:rsid w:val="00CF6152"/>
    <w:rsid w:val="00CF64FD"/>
    <w:rsid w:val="00CF6748"/>
    <w:rsid w:val="00CF6AD3"/>
    <w:rsid w:val="00CF6B6E"/>
    <w:rsid w:val="00CF6D36"/>
    <w:rsid w:val="00CF6DAE"/>
    <w:rsid w:val="00CF6DF3"/>
    <w:rsid w:val="00CF6EC1"/>
    <w:rsid w:val="00CF7086"/>
    <w:rsid w:val="00CF7088"/>
    <w:rsid w:val="00CF7CD8"/>
    <w:rsid w:val="00CF7EBB"/>
    <w:rsid w:val="00D00253"/>
    <w:rsid w:val="00D0042A"/>
    <w:rsid w:val="00D00EF5"/>
    <w:rsid w:val="00D00F4B"/>
    <w:rsid w:val="00D012A8"/>
    <w:rsid w:val="00D014E6"/>
    <w:rsid w:val="00D016BD"/>
    <w:rsid w:val="00D01825"/>
    <w:rsid w:val="00D018DD"/>
    <w:rsid w:val="00D01D5A"/>
    <w:rsid w:val="00D023DA"/>
    <w:rsid w:val="00D0248C"/>
    <w:rsid w:val="00D029B5"/>
    <w:rsid w:val="00D02D56"/>
    <w:rsid w:val="00D02E3B"/>
    <w:rsid w:val="00D02F8C"/>
    <w:rsid w:val="00D0300D"/>
    <w:rsid w:val="00D03068"/>
    <w:rsid w:val="00D03593"/>
    <w:rsid w:val="00D03645"/>
    <w:rsid w:val="00D0365A"/>
    <w:rsid w:val="00D038B6"/>
    <w:rsid w:val="00D03911"/>
    <w:rsid w:val="00D03BDE"/>
    <w:rsid w:val="00D03CD9"/>
    <w:rsid w:val="00D03E74"/>
    <w:rsid w:val="00D04195"/>
    <w:rsid w:val="00D04240"/>
    <w:rsid w:val="00D043ED"/>
    <w:rsid w:val="00D04430"/>
    <w:rsid w:val="00D04929"/>
    <w:rsid w:val="00D05027"/>
    <w:rsid w:val="00D051BE"/>
    <w:rsid w:val="00D054CB"/>
    <w:rsid w:val="00D05726"/>
    <w:rsid w:val="00D05B06"/>
    <w:rsid w:val="00D05BDE"/>
    <w:rsid w:val="00D0628A"/>
    <w:rsid w:val="00D064A0"/>
    <w:rsid w:val="00D06D15"/>
    <w:rsid w:val="00D06FFB"/>
    <w:rsid w:val="00D07816"/>
    <w:rsid w:val="00D07945"/>
    <w:rsid w:val="00D07A41"/>
    <w:rsid w:val="00D07B14"/>
    <w:rsid w:val="00D07DA9"/>
    <w:rsid w:val="00D10048"/>
    <w:rsid w:val="00D1043C"/>
    <w:rsid w:val="00D10812"/>
    <w:rsid w:val="00D10A94"/>
    <w:rsid w:val="00D10DE1"/>
    <w:rsid w:val="00D10F4E"/>
    <w:rsid w:val="00D111C6"/>
    <w:rsid w:val="00D116FD"/>
    <w:rsid w:val="00D1180D"/>
    <w:rsid w:val="00D118BF"/>
    <w:rsid w:val="00D11B81"/>
    <w:rsid w:val="00D11BEB"/>
    <w:rsid w:val="00D11CFC"/>
    <w:rsid w:val="00D12557"/>
    <w:rsid w:val="00D1262A"/>
    <w:rsid w:val="00D12E58"/>
    <w:rsid w:val="00D12E86"/>
    <w:rsid w:val="00D12ECE"/>
    <w:rsid w:val="00D134C4"/>
    <w:rsid w:val="00D1382E"/>
    <w:rsid w:val="00D146E6"/>
    <w:rsid w:val="00D14885"/>
    <w:rsid w:val="00D14A3D"/>
    <w:rsid w:val="00D14AD6"/>
    <w:rsid w:val="00D14CD1"/>
    <w:rsid w:val="00D15125"/>
    <w:rsid w:val="00D15245"/>
    <w:rsid w:val="00D1594B"/>
    <w:rsid w:val="00D15998"/>
    <w:rsid w:val="00D15EEB"/>
    <w:rsid w:val="00D15F94"/>
    <w:rsid w:val="00D15F96"/>
    <w:rsid w:val="00D161F9"/>
    <w:rsid w:val="00D16271"/>
    <w:rsid w:val="00D16295"/>
    <w:rsid w:val="00D16827"/>
    <w:rsid w:val="00D1686B"/>
    <w:rsid w:val="00D168A2"/>
    <w:rsid w:val="00D16C14"/>
    <w:rsid w:val="00D16FFA"/>
    <w:rsid w:val="00D171D4"/>
    <w:rsid w:val="00D1768A"/>
    <w:rsid w:val="00D17753"/>
    <w:rsid w:val="00D17BB4"/>
    <w:rsid w:val="00D2003F"/>
    <w:rsid w:val="00D20209"/>
    <w:rsid w:val="00D20229"/>
    <w:rsid w:val="00D2034B"/>
    <w:rsid w:val="00D20A37"/>
    <w:rsid w:val="00D20DBB"/>
    <w:rsid w:val="00D2156A"/>
    <w:rsid w:val="00D21851"/>
    <w:rsid w:val="00D218EA"/>
    <w:rsid w:val="00D21A80"/>
    <w:rsid w:val="00D21BDE"/>
    <w:rsid w:val="00D21E2F"/>
    <w:rsid w:val="00D22298"/>
    <w:rsid w:val="00D22669"/>
    <w:rsid w:val="00D22751"/>
    <w:rsid w:val="00D2277B"/>
    <w:rsid w:val="00D2296C"/>
    <w:rsid w:val="00D22D6E"/>
    <w:rsid w:val="00D22E27"/>
    <w:rsid w:val="00D23026"/>
    <w:rsid w:val="00D233ED"/>
    <w:rsid w:val="00D23683"/>
    <w:rsid w:val="00D23691"/>
    <w:rsid w:val="00D23788"/>
    <w:rsid w:val="00D238C8"/>
    <w:rsid w:val="00D23A73"/>
    <w:rsid w:val="00D23AD2"/>
    <w:rsid w:val="00D23D03"/>
    <w:rsid w:val="00D23D4F"/>
    <w:rsid w:val="00D23E52"/>
    <w:rsid w:val="00D23ED3"/>
    <w:rsid w:val="00D240D1"/>
    <w:rsid w:val="00D24297"/>
    <w:rsid w:val="00D24456"/>
    <w:rsid w:val="00D2485D"/>
    <w:rsid w:val="00D2490B"/>
    <w:rsid w:val="00D24986"/>
    <w:rsid w:val="00D2584C"/>
    <w:rsid w:val="00D25AE6"/>
    <w:rsid w:val="00D25C8D"/>
    <w:rsid w:val="00D25D82"/>
    <w:rsid w:val="00D25F81"/>
    <w:rsid w:val="00D26001"/>
    <w:rsid w:val="00D2635B"/>
    <w:rsid w:val="00D2637E"/>
    <w:rsid w:val="00D264BA"/>
    <w:rsid w:val="00D264C4"/>
    <w:rsid w:val="00D26580"/>
    <w:rsid w:val="00D266CC"/>
    <w:rsid w:val="00D269B6"/>
    <w:rsid w:val="00D26A33"/>
    <w:rsid w:val="00D26C62"/>
    <w:rsid w:val="00D271EE"/>
    <w:rsid w:val="00D2730F"/>
    <w:rsid w:val="00D27778"/>
    <w:rsid w:val="00D27897"/>
    <w:rsid w:val="00D27EEB"/>
    <w:rsid w:val="00D30DF8"/>
    <w:rsid w:val="00D311B4"/>
    <w:rsid w:val="00D313B4"/>
    <w:rsid w:val="00D314BE"/>
    <w:rsid w:val="00D31516"/>
    <w:rsid w:val="00D3158A"/>
    <w:rsid w:val="00D31661"/>
    <w:rsid w:val="00D316BF"/>
    <w:rsid w:val="00D317FD"/>
    <w:rsid w:val="00D31858"/>
    <w:rsid w:val="00D31B03"/>
    <w:rsid w:val="00D31C2E"/>
    <w:rsid w:val="00D31DD2"/>
    <w:rsid w:val="00D31E95"/>
    <w:rsid w:val="00D320D5"/>
    <w:rsid w:val="00D321CB"/>
    <w:rsid w:val="00D326D5"/>
    <w:rsid w:val="00D327A0"/>
    <w:rsid w:val="00D32964"/>
    <w:rsid w:val="00D330AF"/>
    <w:rsid w:val="00D33642"/>
    <w:rsid w:val="00D33952"/>
    <w:rsid w:val="00D33A61"/>
    <w:rsid w:val="00D33AB3"/>
    <w:rsid w:val="00D33D93"/>
    <w:rsid w:val="00D342EE"/>
    <w:rsid w:val="00D347A4"/>
    <w:rsid w:val="00D34E2A"/>
    <w:rsid w:val="00D35567"/>
    <w:rsid w:val="00D356D9"/>
    <w:rsid w:val="00D35899"/>
    <w:rsid w:val="00D359BD"/>
    <w:rsid w:val="00D35A16"/>
    <w:rsid w:val="00D35E9F"/>
    <w:rsid w:val="00D35F59"/>
    <w:rsid w:val="00D3608A"/>
    <w:rsid w:val="00D36133"/>
    <w:rsid w:val="00D36B2D"/>
    <w:rsid w:val="00D36E79"/>
    <w:rsid w:val="00D3709F"/>
    <w:rsid w:val="00D370BF"/>
    <w:rsid w:val="00D372DE"/>
    <w:rsid w:val="00D3771D"/>
    <w:rsid w:val="00D37B12"/>
    <w:rsid w:val="00D40460"/>
    <w:rsid w:val="00D40B95"/>
    <w:rsid w:val="00D411FD"/>
    <w:rsid w:val="00D412B4"/>
    <w:rsid w:val="00D41531"/>
    <w:rsid w:val="00D41672"/>
    <w:rsid w:val="00D418D1"/>
    <w:rsid w:val="00D4199A"/>
    <w:rsid w:val="00D41D3E"/>
    <w:rsid w:val="00D41F57"/>
    <w:rsid w:val="00D42145"/>
    <w:rsid w:val="00D423F9"/>
    <w:rsid w:val="00D42838"/>
    <w:rsid w:val="00D42D68"/>
    <w:rsid w:val="00D42E4E"/>
    <w:rsid w:val="00D430D3"/>
    <w:rsid w:val="00D431DC"/>
    <w:rsid w:val="00D4363F"/>
    <w:rsid w:val="00D437E6"/>
    <w:rsid w:val="00D43B6A"/>
    <w:rsid w:val="00D43F00"/>
    <w:rsid w:val="00D4400B"/>
    <w:rsid w:val="00D440EC"/>
    <w:rsid w:val="00D4453F"/>
    <w:rsid w:val="00D44560"/>
    <w:rsid w:val="00D448D6"/>
    <w:rsid w:val="00D4493A"/>
    <w:rsid w:val="00D450F8"/>
    <w:rsid w:val="00D46028"/>
    <w:rsid w:val="00D462FC"/>
    <w:rsid w:val="00D4666B"/>
    <w:rsid w:val="00D466D0"/>
    <w:rsid w:val="00D4692C"/>
    <w:rsid w:val="00D46AB7"/>
    <w:rsid w:val="00D46D2F"/>
    <w:rsid w:val="00D46D46"/>
    <w:rsid w:val="00D46D89"/>
    <w:rsid w:val="00D46DDD"/>
    <w:rsid w:val="00D47547"/>
    <w:rsid w:val="00D476B1"/>
    <w:rsid w:val="00D476EB"/>
    <w:rsid w:val="00D478FB"/>
    <w:rsid w:val="00D4791A"/>
    <w:rsid w:val="00D47A33"/>
    <w:rsid w:val="00D47E34"/>
    <w:rsid w:val="00D47E44"/>
    <w:rsid w:val="00D47E62"/>
    <w:rsid w:val="00D47EA1"/>
    <w:rsid w:val="00D50098"/>
    <w:rsid w:val="00D506A9"/>
    <w:rsid w:val="00D50A6A"/>
    <w:rsid w:val="00D50E61"/>
    <w:rsid w:val="00D51486"/>
    <w:rsid w:val="00D514F1"/>
    <w:rsid w:val="00D51674"/>
    <w:rsid w:val="00D51705"/>
    <w:rsid w:val="00D51881"/>
    <w:rsid w:val="00D5192C"/>
    <w:rsid w:val="00D51E70"/>
    <w:rsid w:val="00D5221D"/>
    <w:rsid w:val="00D52368"/>
    <w:rsid w:val="00D523DC"/>
    <w:rsid w:val="00D523F7"/>
    <w:rsid w:val="00D5249C"/>
    <w:rsid w:val="00D524A8"/>
    <w:rsid w:val="00D524B1"/>
    <w:rsid w:val="00D525C4"/>
    <w:rsid w:val="00D52815"/>
    <w:rsid w:val="00D52D9A"/>
    <w:rsid w:val="00D53290"/>
    <w:rsid w:val="00D5344E"/>
    <w:rsid w:val="00D5355B"/>
    <w:rsid w:val="00D53B3C"/>
    <w:rsid w:val="00D53BAF"/>
    <w:rsid w:val="00D53DFD"/>
    <w:rsid w:val="00D53E0F"/>
    <w:rsid w:val="00D541A4"/>
    <w:rsid w:val="00D54644"/>
    <w:rsid w:val="00D546F7"/>
    <w:rsid w:val="00D549CA"/>
    <w:rsid w:val="00D54A10"/>
    <w:rsid w:val="00D54DAC"/>
    <w:rsid w:val="00D54FFB"/>
    <w:rsid w:val="00D55044"/>
    <w:rsid w:val="00D550C8"/>
    <w:rsid w:val="00D550E0"/>
    <w:rsid w:val="00D556BD"/>
    <w:rsid w:val="00D55834"/>
    <w:rsid w:val="00D559D5"/>
    <w:rsid w:val="00D55D22"/>
    <w:rsid w:val="00D55D6B"/>
    <w:rsid w:val="00D560B4"/>
    <w:rsid w:val="00D5665C"/>
    <w:rsid w:val="00D56C43"/>
    <w:rsid w:val="00D57567"/>
    <w:rsid w:val="00D575F9"/>
    <w:rsid w:val="00D576C6"/>
    <w:rsid w:val="00D601B1"/>
    <w:rsid w:val="00D605D2"/>
    <w:rsid w:val="00D60784"/>
    <w:rsid w:val="00D60D25"/>
    <w:rsid w:val="00D60EB5"/>
    <w:rsid w:val="00D6148C"/>
    <w:rsid w:val="00D614BE"/>
    <w:rsid w:val="00D61640"/>
    <w:rsid w:val="00D62116"/>
    <w:rsid w:val="00D625E1"/>
    <w:rsid w:val="00D626F4"/>
    <w:rsid w:val="00D627E3"/>
    <w:rsid w:val="00D62C96"/>
    <w:rsid w:val="00D63015"/>
    <w:rsid w:val="00D6316F"/>
    <w:rsid w:val="00D635C5"/>
    <w:rsid w:val="00D63715"/>
    <w:rsid w:val="00D63CF0"/>
    <w:rsid w:val="00D63DC1"/>
    <w:rsid w:val="00D63EA1"/>
    <w:rsid w:val="00D63FB7"/>
    <w:rsid w:val="00D641D6"/>
    <w:rsid w:val="00D64263"/>
    <w:rsid w:val="00D643F4"/>
    <w:rsid w:val="00D6444F"/>
    <w:rsid w:val="00D64B1D"/>
    <w:rsid w:val="00D64BC8"/>
    <w:rsid w:val="00D64BD4"/>
    <w:rsid w:val="00D64E34"/>
    <w:rsid w:val="00D655BD"/>
    <w:rsid w:val="00D6580A"/>
    <w:rsid w:val="00D66283"/>
    <w:rsid w:val="00D666C8"/>
    <w:rsid w:val="00D668AB"/>
    <w:rsid w:val="00D671D7"/>
    <w:rsid w:val="00D675AF"/>
    <w:rsid w:val="00D67C1F"/>
    <w:rsid w:val="00D70116"/>
    <w:rsid w:val="00D70828"/>
    <w:rsid w:val="00D70C5A"/>
    <w:rsid w:val="00D70E87"/>
    <w:rsid w:val="00D713C1"/>
    <w:rsid w:val="00D723A8"/>
    <w:rsid w:val="00D727FA"/>
    <w:rsid w:val="00D72B07"/>
    <w:rsid w:val="00D72B88"/>
    <w:rsid w:val="00D72BE6"/>
    <w:rsid w:val="00D72C97"/>
    <w:rsid w:val="00D72E1F"/>
    <w:rsid w:val="00D72F44"/>
    <w:rsid w:val="00D730AA"/>
    <w:rsid w:val="00D73109"/>
    <w:rsid w:val="00D74268"/>
    <w:rsid w:val="00D74680"/>
    <w:rsid w:val="00D747D7"/>
    <w:rsid w:val="00D74B57"/>
    <w:rsid w:val="00D74E18"/>
    <w:rsid w:val="00D75788"/>
    <w:rsid w:val="00D759DD"/>
    <w:rsid w:val="00D75D12"/>
    <w:rsid w:val="00D75EAF"/>
    <w:rsid w:val="00D75F89"/>
    <w:rsid w:val="00D76075"/>
    <w:rsid w:val="00D7683C"/>
    <w:rsid w:val="00D76C79"/>
    <w:rsid w:val="00D76F1A"/>
    <w:rsid w:val="00D7720E"/>
    <w:rsid w:val="00D778F1"/>
    <w:rsid w:val="00D77CA2"/>
    <w:rsid w:val="00D77FF1"/>
    <w:rsid w:val="00D8018C"/>
    <w:rsid w:val="00D802D4"/>
    <w:rsid w:val="00D8057A"/>
    <w:rsid w:val="00D807AD"/>
    <w:rsid w:val="00D808F5"/>
    <w:rsid w:val="00D80A7C"/>
    <w:rsid w:val="00D80C85"/>
    <w:rsid w:val="00D80DB1"/>
    <w:rsid w:val="00D80ED3"/>
    <w:rsid w:val="00D81106"/>
    <w:rsid w:val="00D8171A"/>
    <w:rsid w:val="00D81759"/>
    <w:rsid w:val="00D817C1"/>
    <w:rsid w:val="00D81E2E"/>
    <w:rsid w:val="00D81E43"/>
    <w:rsid w:val="00D8219B"/>
    <w:rsid w:val="00D8246D"/>
    <w:rsid w:val="00D8292C"/>
    <w:rsid w:val="00D82B39"/>
    <w:rsid w:val="00D82E28"/>
    <w:rsid w:val="00D82FE2"/>
    <w:rsid w:val="00D83024"/>
    <w:rsid w:val="00D831A5"/>
    <w:rsid w:val="00D83D11"/>
    <w:rsid w:val="00D84267"/>
    <w:rsid w:val="00D84414"/>
    <w:rsid w:val="00D848DC"/>
    <w:rsid w:val="00D84B94"/>
    <w:rsid w:val="00D84C80"/>
    <w:rsid w:val="00D84DFA"/>
    <w:rsid w:val="00D84E1F"/>
    <w:rsid w:val="00D84E8B"/>
    <w:rsid w:val="00D84F74"/>
    <w:rsid w:val="00D852E9"/>
    <w:rsid w:val="00D853EA"/>
    <w:rsid w:val="00D85441"/>
    <w:rsid w:val="00D85673"/>
    <w:rsid w:val="00D858C2"/>
    <w:rsid w:val="00D86062"/>
    <w:rsid w:val="00D864FF"/>
    <w:rsid w:val="00D86835"/>
    <w:rsid w:val="00D86963"/>
    <w:rsid w:val="00D869DF"/>
    <w:rsid w:val="00D869E8"/>
    <w:rsid w:val="00D86E45"/>
    <w:rsid w:val="00D87227"/>
    <w:rsid w:val="00D8773D"/>
    <w:rsid w:val="00D87861"/>
    <w:rsid w:val="00D8793C"/>
    <w:rsid w:val="00D879AF"/>
    <w:rsid w:val="00D87DD1"/>
    <w:rsid w:val="00D87DD4"/>
    <w:rsid w:val="00D9013D"/>
    <w:rsid w:val="00D902F9"/>
    <w:rsid w:val="00D9037B"/>
    <w:rsid w:val="00D90720"/>
    <w:rsid w:val="00D90761"/>
    <w:rsid w:val="00D9089E"/>
    <w:rsid w:val="00D90903"/>
    <w:rsid w:val="00D90A55"/>
    <w:rsid w:val="00D90D7D"/>
    <w:rsid w:val="00D90DC1"/>
    <w:rsid w:val="00D90F99"/>
    <w:rsid w:val="00D91014"/>
    <w:rsid w:val="00D915C0"/>
    <w:rsid w:val="00D91864"/>
    <w:rsid w:val="00D9197B"/>
    <w:rsid w:val="00D91F3F"/>
    <w:rsid w:val="00D920DB"/>
    <w:rsid w:val="00D9235C"/>
    <w:rsid w:val="00D9237A"/>
    <w:rsid w:val="00D923E5"/>
    <w:rsid w:val="00D924DA"/>
    <w:rsid w:val="00D9282D"/>
    <w:rsid w:val="00D9283F"/>
    <w:rsid w:val="00D92C05"/>
    <w:rsid w:val="00D92D96"/>
    <w:rsid w:val="00D9327D"/>
    <w:rsid w:val="00D932F3"/>
    <w:rsid w:val="00D93447"/>
    <w:rsid w:val="00D93A3F"/>
    <w:rsid w:val="00D93C31"/>
    <w:rsid w:val="00D93C94"/>
    <w:rsid w:val="00D93CE9"/>
    <w:rsid w:val="00D94091"/>
    <w:rsid w:val="00D94092"/>
    <w:rsid w:val="00D9472E"/>
    <w:rsid w:val="00D9474C"/>
    <w:rsid w:val="00D947A3"/>
    <w:rsid w:val="00D94894"/>
    <w:rsid w:val="00D94A3F"/>
    <w:rsid w:val="00D94CAB"/>
    <w:rsid w:val="00D94E88"/>
    <w:rsid w:val="00D950A5"/>
    <w:rsid w:val="00D95D2E"/>
    <w:rsid w:val="00D96530"/>
    <w:rsid w:val="00D966B0"/>
    <w:rsid w:val="00D96752"/>
    <w:rsid w:val="00D968F8"/>
    <w:rsid w:val="00D96A65"/>
    <w:rsid w:val="00D96CFF"/>
    <w:rsid w:val="00D96DE1"/>
    <w:rsid w:val="00D96F88"/>
    <w:rsid w:val="00D96FDF"/>
    <w:rsid w:val="00D9708D"/>
    <w:rsid w:val="00D9741C"/>
    <w:rsid w:val="00D97B5F"/>
    <w:rsid w:val="00D97ED3"/>
    <w:rsid w:val="00DA0102"/>
    <w:rsid w:val="00DA0486"/>
    <w:rsid w:val="00DA0C67"/>
    <w:rsid w:val="00DA0D52"/>
    <w:rsid w:val="00DA0E1D"/>
    <w:rsid w:val="00DA1C45"/>
    <w:rsid w:val="00DA1C8E"/>
    <w:rsid w:val="00DA1D09"/>
    <w:rsid w:val="00DA21EE"/>
    <w:rsid w:val="00DA289C"/>
    <w:rsid w:val="00DA2D36"/>
    <w:rsid w:val="00DA2E0A"/>
    <w:rsid w:val="00DA2EBB"/>
    <w:rsid w:val="00DA3084"/>
    <w:rsid w:val="00DA344A"/>
    <w:rsid w:val="00DA3818"/>
    <w:rsid w:val="00DA39ED"/>
    <w:rsid w:val="00DA3A4A"/>
    <w:rsid w:val="00DA3A98"/>
    <w:rsid w:val="00DA3F37"/>
    <w:rsid w:val="00DA40D7"/>
    <w:rsid w:val="00DA4208"/>
    <w:rsid w:val="00DA42FA"/>
    <w:rsid w:val="00DA459D"/>
    <w:rsid w:val="00DA45B9"/>
    <w:rsid w:val="00DA45EE"/>
    <w:rsid w:val="00DA49B5"/>
    <w:rsid w:val="00DA538D"/>
    <w:rsid w:val="00DA57A4"/>
    <w:rsid w:val="00DA5A6D"/>
    <w:rsid w:val="00DA5A6F"/>
    <w:rsid w:val="00DA5AA1"/>
    <w:rsid w:val="00DA5E18"/>
    <w:rsid w:val="00DA5F46"/>
    <w:rsid w:val="00DA6156"/>
    <w:rsid w:val="00DA62D3"/>
    <w:rsid w:val="00DA6477"/>
    <w:rsid w:val="00DA6678"/>
    <w:rsid w:val="00DA6E41"/>
    <w:rsid w:val="00DA703E"/>
    <w:rsid w:val="00DA73E1"/>
    <w:rsid w:val="00DA73F2"/>
    <w:rsid w:val="00DA7500"/>
    <w:rsid w:val="00DA769F"/>
    <w:rsid w:val="00DA79D1"/>
    <w:rsid w:val="00DA7C11"/>
    <w:rsid w:val="00DB0304"/>
    <w:rsid w:val="00DB04C3"/>
    <w:rsid w:val="00DB0608"/>
    <w:rsid w:val="00DB073F"/>
    <w:rsid w:val="00DB0884"/>
    <w:rsid w:val="00DB0A0E"/>
    <w:rsid w:val="00DB0BFB"/>
    <w:rsid w:val="00DB0C1E"/>
    <w:rsid w:val="00DB150A"/>
    <w:rsid w:val="00DB1933"/>
    <w:rsid w:val="00DB1ED0"/>
    <w:rsid w:val="00DB2A8B"/>
    <w:rsid w:val="00DB2FB5"/>
    <w:rsid w:val="00DB3012"/>
    <w:rsid w:val="00DB31C5"/>
    <w:rsid w:val="00DB33A9"/>
    <w:rsid w:val="00DB354E"/>
    <w:rsid w:val="00DB36F8"/>
    <w:rsid w:val="00DB3C41"/>
    <w:rsid w:val="00DB3D80"/>
    <w:rsid w:val="00DB3F31"/>
    <w:rsid w:val="00DB3FDA"/>
    <w:rsid w:val="00DB4827"/>
    <w:rsid w:val="00DB488E"/>
    <w:rsid w:val="00DB4988"/>
    <w:rsid w:val="00DB4CCA"/>
    <w:rsid w:val="00DB4DED"/>
    <w:rsid w:val="00DB4ED4"/>
    <w:rsid w:val="00DB53F1"/>
    <w:rsid w:val="00DB5583"/>
    <w:rsid w:val="00DB58AD"/>
    <w:rsid w:val="00DB5D16"/>
    <w:rsid w:val="00DB6668"/>
    <w:rsid w:val="00DB6813"/>
    <w:rsid w:val="00DB6816"/>
    <w:rsid w:val="00DB6BAF"/>
    <w:rsid w:val="00DB6C41"/>
    <w:rsid w:val="00DB6D0A"/>
    <w:rsid w:val="00DB6E4F"/>
    <w:rsid w:val="00DB6F44"/>
    <w:rsid w:val="00DB7048"/>
    <w:rsid w:val="00DB70AD"/>
    <w:rsid w:val="00DB70F7"/>
    <w:rsid w:val="00DB7653"/>
    <w:rsid w:val="00DB76C2"/>
    <w:rsid w:val="00DB7901"/>
    <w:rsid w:val="00DB7958"/>
    <w:rsid w:val="00DB7D8D"/>
    <w:rsid w:val="00DB7DA7"/>
    <w:rsid w:val="00DC04A2"/>
    <w:rsid w:val="00DC0D5C"/>
    <w:rsid w:val="00DC11A6"/>
    <w:rsid w:val="00DC12B0"/>
    <w:rsid w:val="00DC1B18"/>
    <w:rsid w:val="00DC2064"/>
    <w:rsid w:val="00DC247E"/>
    <w:rsid w:val="00DC2518"/>
    <w:rsid w:val="00DC27F5"/>
    <w:rsid w:val="00DC29D7"/>
    <w:rsid w:val="00DC2AD3"/>
    <w:rsid w:val="00DC2D53"/>
    <w:rsid w:val="00DC2DE7"/>
    <w:rsid w:val="00DC2F1E"/>
    <w:rsid w:val="00DC31EC"/>
    <w:rsid w:val="00DC3218"/>
    <w:rsid w:val="00DC332F"/>
    <w:rsid w:val="00DC3349"/>
    <w:rsid w:val="00DC351A"/>
    <w:rsid w:val="00DC37C3"/>
    <w:rsid w:val="00DC3BB4"/>
    <w:rsid w:val="00DC3ECA"/>
    <w:rsid w:val="00DC41A7"/>
    <w:rsid w:val="00DC4383"/>
    <w:rsid w:val="00DC47D4"/>
    <w:rsid w:val="00DC48B4"/>
    <w:rsid w:val="00DC4BD6"/>
    <w:rsid w:val="00DC4BEA"/>
    <w:rsid w:val="00DC4FC9"/>
    <w:rsid w:val="00DC5244"/>
    <w:rsid w:val="00DC5537"/>
    <w:rsid w:val="00DC553A"/>
    <w:rsid w:val="00DC5611"/>
    <w:rsid w:val="00DC5653"/>
    <w:rsid w:val="00DC5682"/>
    <w:rsid w:val="00DC5CFD"/>
    <w:rsid w:val="00DC5FFC"/>
    <w:rsid w:val="00DC6141"/>
    <w:rsid w:val="00DC631E"/>
    <w:rsid w:val="00DC686E"/>
    <w:rsid w:val="00DC68EB"/>
    <w:rsid w:val="00DC6B54"/>
    <w:rsid w:val="00DC6CB9"/>
    <w:rsid w:val="00DC6D0F"/>
    <w:rsid w:val="00DC6EB8"/>
    <w:rsid w:val="00DC6F99"/>
    <w:rsid w:val="00DC7219"/>
    <w:rsid w:val="00DC77A4"/>
    <w:rsid w:val="00DC789D"/>
    <w:rsid w:val="00DD0681"/>
    <w:rsid w:val="00DD06AD"/>
    <w:rsid w:val="00DD06CE"/>
    <w:rsid w:val="00DD09D9"/>
    <w:rsid w:val="00DD1096"/>
    <w:rsid w:val="00DD12BC"/>
    <w:rsid w:val="00DD13C5"/>
    <w:rsid w:val="00DD1475"/>
    <w:rsid w:val="00DD14AD"/>
    <w:rsid w:val="00DD1B7F"/>
    <w:rsid w:val="00DD1E7B"/>
    <w:rsid w:val="00DD2225"/>
    <w:rsid w:val="00DD2728"/>
    <w:rsid w:val="00DD28EB"/>
    <w:rsid w:val="00DD2A6F"/>
    <w:rsid w:val="00DD2BDC"/>
    <w:rsid w:val="00DD2C93"/>
    <w:rsid w:val="00DD2CA5"/>
    <w:rsid w:val="00DD2F01"/>
    <w:rsid w:val="00DD3260"/>
    <w:rsid w:val="00DD3673"/>
    <w:rsid w:val="00DD3B09"/>
    <w:rsid w:val="00DD3CED"/>
    <w:rsid w:val="00DD4159"/>
    <w:rsid w:val="00DD44A5"/>
    <w:rsid w:val="00DD4D8A"/>
    <w:rsid w:val="00DD4EFC"/>
    <w:rsid w:val="00DD5023"/>
    <w:rsid w:val="00DD502C"/>
    <w:rsid w:val="00DD519C"/>
    <w:rsid w:val="00DD59A6"/>
    <w:rsid w:val="00DD59BA"/>
    <w:rsid w:val="00DD5F7A"/>
    <w:rsid w:val="00DD6176"/>
    <w:rsid w:val="00DD677C"/>
    <w:rsid w:val="00DD6997"/>
    <w:rsid w:val="00DD6D6E"/>
    <w:rsid w:val="00DD75F3"/>
    <w:rsid w:val="00DD7A20"/>
    <w:rsid w:val="00DE01A4"/>
    <w:rsid w:val="00DE03F7"/>
    <w:rsid w:val="00DE05C9"/>
    <w:rsid w:val="00DE05F8"/>
    <w:rsid w:val="00DE0913"/>
    <w:rsid w:val="00DE0A2E"/>
    <w:rsid w:val="00DE0DFE"/>
    <w:rsid w:val="00DE0FAE"/>
    <w:rsid w:val="00DE12FF"/>
    <w:rsid w:val="00DE1B87"/>
    <w:rsid w:val="00DE1CB1"/>
    <w:rsid w:val="00DE1D10"/>
    <w:rsid w:val="00DE261F"/>
    <w:rsid w:val="00DE2849"/>
    <w:rsid w:val="00DE2EB2"/>
    <w:rsid w:val="00DE3598"/>
    <w:rsid w:val="00DE35DE"/>
    <w:rsid w:val="00DE3B9D"/>
    <w:rsid w:val="00DE3D38"/>
    <w:rsid w:val="00DE3F25"/>
    <w:rsid w:val="00DE3F97"/>
    <w:rsid w:val="00DE4063"/>
    <w:rsid w:val="00DE43AE"/>
    <w:rsid w:val="00DE454B"/>
    <w:rsid w:val="00DE4663"/>
    <w:rsid w:val="00DE466D"/>
    <w:rsid w:val="00DE4876"/>
    <w:rsid w:val="00DE4A76"/>
    <w:rsid w:val="00DE54B8"/>
    <w:rsid w:val="00DE54C5"/>
    <w:rsid w:val="00DE576B"/>
    <w:rsid w:val="00DE5B6D"/>
    <w:rsid w:val="00DE5DC1"/>
    <w:rsid w:val="00DE5EB6"/>
    <w:rsid w:val="00DE5F03"/>
    <w:rsid w:val="00DE61C0"/>
    <w:rsid w:val="00DE6289"/>
    <w:rsid w:val="00DE6635"/>
    <w:rsid w:val="00DE6825"/>
    <w:rsid w:val="00DE698E"/>
    <w:rsid w:val="00DE6A26"/>
    <w:rsid w:val="00DE6DA7"/>
    <w:rsid w:val="00DE7142"/>
    <w:rsid w:val="00DE71B0"/>
    <w:rsid w:val="00DE71C2"/>
    <w:rsid w:val="00DE7F9C"/>
    <w:rsid w:val="00DF0263"/>
    <w:rsid w:val="00DF0511"/>
    <w:rsid w:val="00DF05AB"/>
    <w:rsid w:val="00DF0692"/>
    <w:rsid w:val="00DF097C"/>
    <w:rsid w:val="00DF0B3E"/>
    <w:rsid w:val="00DF105D"/>
    <w:rsid w:val="00DF1185"/>
    <w:rsid w:val="00DF12AC"/>
    <w:rsid w:val="00DF1596"/>
    <w:rsid w:val="00DF1888"/>
    <w:rsid w:val="00DF1AD2"/>
    <w:rsid w:val="00DF1DC9"/>
    <w:rsid w:val="00DF2012"/>
    <w:rsid w:val="00DF205D"/>
    <w:rsid w:val="00DF210C"/>
    <w:rsid w:val="00DF23C5"/>
    <w:rsid w:val="00DF2846"/>
    <w:rsid w:val="00DF2A64"/>
    <w:rsid w:val="00DF2B15"/>
    <w:rsid w:val="00DF2C54"/>
    <w:rsid w:val="00DF31D8"/>
    <w:rsid w:val="00DF3498"/>
    <w:rsid w:val="00DF3529"/>
    <w:rsid w:val="00DF371F"/>
    <w:rsid w:val="00DF395B"/>
    <w:rsid w:val="00DF3BE5"/>
    <w:rsid w:val="00DF41D3"/>
    <w:rsid w:val="00DF42B5"/>
    <w:rsid w:val="00DF4561"/>
    <w:rsid w:val="00DF4EE4"/>
    <w:rsid w:val="00DF5079"/>
    <w:rsid w:val="00DF546D"/>
    <w:rsid w:val="00DF572A"/>
    <w:rsid w:val="00DF57BE"/>
    <w:rsid w:val="00DF5816"/>
    <w:rsid w:val="00DF5989"/>
    <w:rsid w:val="00DF5AFE"/>
    <w:rsid w:val="00DF5B7C"/>
    <w:rsid w:val="00DF5CDE"/>
    <w:rsid w:val="00DF5E83"/>
    <w:rsid w:val="00DF5ED5"/>
    <w:rsid w:val="00DF678B"/>
    <w:rsid w:val="00DF6A87"/>
    <w:rsid w:val="00DF74BE"/>
    <w:rsid w:val="00DF74FC"/>
    <w:rsid w:val="00DF7565"/>
    <w:rsid w:val="00DF76FA"/>
    <w:rsid w:val="00DF7A26"/>
    <w:rsid w:val="00DF7AD6"/>
    <w:rsid w:val="00DF7D11"/>
    <w:rsid w:val="00E0000F"/>
    <w:rsid w:val="00E000E5"/>
    <w:rsid w:val="00E00443"/>
    <w:rsid w:val="00E00776"/>
    <w:rsid w:val="00E00A94"/>
    <w:rsid w:val="00E00EBF"/>
    <w:rsid w:val="00E00EC6"/>
    <w:rsid w:val="00E017C6"/>
    <w:rsid w:val="00E01859"/>
    <w:rsid w:val="00E019C9"/>
    <w:rsid w:val="00E01E3E"/>
    <w:rsid w:val="00E01E94"/>
    <w:rsid w:val="00E021CD"/>
    <w:rsid w:val="00E022FE"/>
    <w:rsid w:val="00E02440"/>
    <w:rsid w:val="00E031B6"/>
    <w:rsid w:val="00E03543"/>
    <w:rsid w:val="00E0357F"/>
    <w:rsid w:val="00E0372F"/>
    <w:rsid w:val="00E03B46"/>
    <w:rsid w:val="00E042EB"/>
    <w:rsid w:val="00E04682"/>
    <w:rsid w:val="00E047F8"/>
    <w:rsid w:val="00E04A06"/>
    <w:rsid w:val="00E04C86"/>
    <w:rsid w:val="00E04DE4"/>
    <w:rsid w:val="00E0517D"/>
    <w:rsid w:val="00E05219"/>
    <w:rsid w:val="00E05A46"/>
    <w:rsid w:val="00E05E8E"/>
    <w:rsid w:val="00E05F8B"/>
    <w:rsid w:val="00E066BE"/>
    <w:rsid w:val="00E06715"/>
    <w:rsid w:val="00E068BB"/>
    <w:rsid w:val="00E06E4E"/>
    <w:rsid w:val="00E06EAF"/>
    <w:rsid w:val="00E07027"/>
    <w:rsid w:val="00E072FA"/>
    <w:rsid w:val="00E074E7"/>
    <w:rsid w:val="00E076F3"/>
    <w:rsid w:val="00E07AF1"/>
    <w:rsid w:val="00E0D0BA"/>
    <w:rsid w:val="00E10007"/>
    <w:rsid w:val="00E1024E"/>
    <w:rsid w:val="00E10559"/>
    <w:rsid w:val="00E105EC"/>
    <w:rsid w:val="00E10848"/>
    <w:rsid w:val="00E10EDF"/>
    <w:rsid w:val="00E112F0"/>
    <w:rsid w:val="00E113BD"/>
    <w:rsid w:val="00E1145F"/>
    <w:rsid w:val="00E11533"/>
    <w:rsid w:val="00E11758"/>
    <w:rsid w:val="00E117C9"/>
    <w:rsid w:val="00E11B04"/>
    <w:rsid w:val="00E11B2B"/>
    <w:rsid w:val="00E11F78"/>
    <w:rsid w:val="00E12488"/>
    <w:rsid w:val="00E127BC"/>
    <w:rsid w:val="00E130A6"/>
    <w:rsid w:val="00E1313D"/>
    <w:rsid w:val="00E136DD"/>
    <w:rsid w:val="00E13C02"/>
    <w:rsid w:val="00E14578"/>
    <w:rsid w:val="00E145A1"/>
    <w:rsid w:val="00E14CB7"/>
    <w:rsid w:val="00E151F5"/>
    <w:rsid w:val="00E1531A"/>
    <w:rsid w:val="00E15419"/>
    <w:rsid w:val="00E15627"/>
    <w:rsid w:val="00E15A34"/>
    <w:rsid w:val="00E15A81"/>
    <w:rsid w:val="00E15C87"/>
    <w:rsid w:val="00E15D6B"/>
    <w:rsid w:val="00E15E5F"/>
    <w:rsid w:val="00E16386"/>
    <w:rsid w:val="00E166CE"/>
    <w:rsid w:val="00E16973"/>
    <w:rsid w:val="00E16E08"/>
    <w:rsid w:val="00E16E28"/>
    <w:rsid w:val="00E171A3"/>
    <w:rsid w:val="00E176C2"/>
    <w:rsid w:val="00E1779E"/>
    <w:rsid w:val="00E177D3"/>
    <w:rsid w:val="00E1794E"/>
    <w:rsid w:val="00E17BE8"/>
    <w:rsid w:val="00E17FC8"/>
    <w:rsid w:val="00E203AA"/>
    <w:rsid w:val="00E20435"/>
    <w:rsid w:val="00E20652"/>
    <w:rsid w:val="00E20D23"/>
    <w:rsid w:val="00E20E1C"/>
    <w:rsid w:val="00E20E80"/>
    <w:rsid w:val="00E21436"/>
    <w:rsid w:val="00E2165E"/>
    <w:rsid w:val="00E2182B"/>
    <w:rsid w:val="00E21A77"/>
    <w:rsid w:val="00E21BFA"/>
    <w:rsid w:val="00E21E6C"/>
    <w:rsid w:val="00E21E7E"/>
    <w:rsid w:val="00E21F70"/>
    <w:rsid w:val="00E22159"/>
    <w:rsid w:val="00E22194"/>
    <w:rsid w:val="00E2230D"/>
    <w:rsid w:val="00E22343"/>
    <w:rsid w:val="00E22677"/>
    <w:rsid w:val="00E227CD"/>
    <w:rsid w:val="00E22A53"/>
    <w:rsid w:val="00E22D4A"/>
    <w:rsid w:val="00E2323F"/>
    <w:rsid w:val="00E232FA"/>
    <w:rsid w:val="00E233EB"/>
    <w:rsid w:val="00E235CB"/>
    <w:rsid w:val="00E236D1"/>
    <w:rsid w:val="00E238A5"/>
    <w:rsid w:val="00E23F4C"/>
    <w:rsid w:val="00E23F50"/>
    <w:rsid w:val="00E23FBD"/>
    <w:rsid w:val="00E24123"/>
    <w:rsid w:val="00E242A8"/>
    <w:rsid w:val="00E243FD"/>
    <w:rsid w:val="00E245A1"/>
    <w:rsid w:val="00E247F8"/>
    <w:rsid w:val="00E24A9D"/>
    <w:rsid w:val="00E24BAF"/>
    <w:rsid w:val="00E24F99"/>
    <w:rsid w:val="00E2511D"/>
    <w:rsid w:val="00E25483"/>
    <w:rsid w:val="00E25730"/>
    <w:rsid w:val="00E25B94"/>
    <w:rsid w:val="00E26348"/>
    <w:rsid w:val="00E26607"/>
    <w:rsid w:val="00E2676E"/>
    <w:rsid w:val="00E2684A"/>
    <w:rsid w:val="00E26EA2"/>
    <w:rsid w:val="00E273AC"/>
    <w:rsid w:val="00E27537"/>
    <w:rsid w:val="00E30432"/>
    <w:rsid w:val="00E304AA"/>
    <w:rsid w:val="00E30933"/>
    <w:rsid w:val="00E30BA3"/>
    <w:rsid w:val="00E30BB7"/>
    <w:rsid w:val="00E31238"/>
    <w:rsid w:val="00E312EE"/>
    <w:rsid w:val="00E3251F"/>
    <w:rsid w:val="00E32A63"/>
    <w:rsid w:val="00E32E58"/>
    <w:rsid w:val="00E33033"/>
    <w:rsid w:val="00E33A10"/>
    <w:rsid w:val="00E34053"/>
    <w:rsid w:val="00E3407C"/>
    <w:rsid w:val="00E34360"/>
    <w:rsid w:val="00E34FDB"/>
    <w:rsid w:val="00E35047"/>
    <w:rsid w:val="00E356F7"/>
    <w:rsid w:val="00E35831"/>
    <w:rsid w:val="00E358F1"/>
    <w:rsid w:val="00E35930"/>
    <w:rsid w:val="00E359EF"/>
    <w:rsid w:val="00E35A0E"/>
    <w:rsid w:val="00E35B96"/>
    <w:rsid w:val="00E35BA1"/>
    <w:rsid w:val="00E35BC2"/>
    <w:rsid w:val="00E35CB2"/>
    <w:rsid w:val="00E35F63"/>
    <w:rsid w:val="00E3629A"/>
    <w:rsid w:val="00E36403"/>
    <w:rsid w:val="00E36432"/>
    <w:rsid w:val="00E364FF"/>
    <w:rsid w:val="00E36A99"/>
    <w:rsid w:val="00E36E80"/>
    <w:rsid w:val="00E36F77"/>
    <w:rsid w:val="00E3713D"/>
    <w:rsid w:val="00E37698"/>
    <w:rsid w:val="00E379AD"/>
    <w:rsid w:val="00E37E1B"/>
    <w:rsid w:val="00E37E68"/>
    <w:rsid w:val="00E401CA"/>
    <w:rsid w:val="00E4037B"/>
    <w:rsid w:val="00E40BF4"/>
    <w:rsid w:val="00E40FE9"/>
    <w:rsid w:val="00E41144"/>
    <w:rsid w:val="00E41164"/>
    <w:rsid w:val="00E412C6"/>
    <w:rsid w:val="00E419A4"/>
    <w:rsid w:val="00E4219D"/>
    <w:rsid w:val="00E423B4"/>
    <w:rsid w:val="00E423FF"/>
    <w:rsid w:val="00E4245F"/>
    <w:rsid w:val="00E42492"/>
    <w:rsid w:val="00E42CBF"/>
    <w:rsid w:val="00E42D11"/>
    <w:rsid w:val="00E432B1"/>
    <w:rsid w:val="00E43340"/>
    <w:rsid w:val="00E43448"/>
    <w:rsid w:val="00E434E1"/>
    <w:rsid w:val="00E43633"/>
    <w:rsid w:val="00E43E21"/>
    <w:rsid w:val="00E441AF"/>
    <w:rsid w:val="00E443B3"/>
    <w:rsid w:val="00E45016"/>
    <w:rsid w:val="00E4514C"/>
    <w:rsid w:val="00E4547E"/>
    <w:rsid w:val="00E455F5"/>
    <w:rsid w:val="00E45631"/>
    <w:rsid w:val="00E459F5"/>
    <w:rsid w:val="00E45A3C"/>
    <w:rsid w:val="00E45CF6"/>
    <w:rsid w:val="00E45D4A"/>
    <w:rsid w:val="00E45D4E"/>
    <w:rsid w:val="00E45DC5"/>
    <w:rsid w:val="00E4608C"/>
    <w:rsid w:val="00E4649F"/>
    <w:rsid w:val="00E4661E"/>
    <w:rsid w:val="00E4666B"/>
    <w:rsid w:val="00E46957"/>
    <w:rsid w:val="00E469F6"/>
    <w:rsid w:val="00E46BD7"/>
    <w:rsid w:val="00E470B0"/>
    <w:rsid w:val="00E472AA"/>
    <w:rsid w:val="00E473D5"/>
    <w:rsid w:val="00E4741C"/>
    <w:rsid w:val="00E474CE"/>
    <w:rsid w:val="00E47735"/>
    <w:rsid w:val="00E477BE"/>
    <w:rsid w:val="00E479E3"/>
    <w:rsid w:val="00E47A61"/>
    <w:rsid w:val="00E47A91"/>
    <w:rsid w:val="00E47E33"/>
    <w:rsid w:val="00E47FFB"/>
    <w:rsid w:val="00E508F9"/>
    <w:rsid w:val="00E50F70"/>
    <w:rsid w:val="00E51027"/>
    <w:rsid w:val="00E514C7"/>
    <w:rsid w:val="00E52661"/>
    <w:rsid w:val="00E5298E"/>
    <w:rsid w:val="00E531C9"/>
    <w:rsid w:val="00E53242"/>
    <w:rsid w:val="00E53343"/>
    <w:rsid w:val="00E53584"/>
    <w:rsid w:val="00E536DF"/>
    <w:rsid w:val="00E538D4"/>
    <w:rsid w:val="00E53B98"/>
    <w:rsid w:val="00E53B9F"/>
    <w:rsid w:val="00E54326"/>
    <w:rsid w:val="00E5450B"/>
    <w:rsid w:val="00E5492D"/>
    <w:rsid w:val="00E54CB5"/>
    <w:rsid w:val="00E550E1"/>
    <w:rsid w:val="00E5558C"/>
    <w:rsid w:val="00E55606"/>
    <w:rsid w:val="00E55630"/>
    <w:rsid w:val="00E55BDF"/>
    <w:rsid w:val="00E55C96"/>
    <w:rsid w:val="00E56225"/>
    <w:rsid w:val="00E56CBB"/>
    <w:rsid w:val="00E56E7A"/>
    <w:rsid w:val="00E56F96"/>
    <w:rsid w:val="00E57171"/>
    <w:rsid w:val="00E5729D"/>
    <w:rsid w:val="00E578C9"/>
    <w:rsid w:val="00E5793B"/>
    <w:rsid w:val="00E57A80"/>
    <w:rsid w:val="00E57B6C"/>
    <w:rsid w:val="00E57D3D"/>
    <w:rsid w:val="00E602AE"/>
    <w:rsid w:val="00E604CE"/>
    <w:rsid w:val="00E6120E"/>
    <w:rsid w:val="00E61421"/>
    <w:rsid w:val="00E61513"/>
    <w:rsid w:val="00E616F3"/>
    <w:rsid w:val="00E618FF"/>
    <w:rsid w:val="00E61B2E"/>
    <w:rsid w:val="00E61ED4"/>
    <w:rsid w:val="00E61EE9"/>
    <w:rsid w:val="00E625D2"/>
    <w:rsid w:val="00E62832"/>
    <w:rsid w:val="00E628E4"/>
    <w:rsid w:val="00E629CA"/>
    <w:rsid w:val="00E62C93"/>
    <w:rsid w:val="00E62CE5"/>
    <w:rsid w:val="00E62EB5"/>
    <w:rsid w:val="00E634E5"/>
    <w:rsid w:val="00E63BC8"/>
    <w:rsid w:val="00E63CC6"/>
    <w:rsid w:val="00E63DAB"/>
    <w:rsid w:val="00E63F68"/>
    <w:rsid w:val="00E644CB"/>
    <w:rsid w:val="00E64583"/>
    <w:rsid w:val="00E64AAE"/>
    <w:rsid w:val="00E64D4B"/>
    <w:rsid w:val="00E64F8F"/>
    <w:rsid w:val="00E65038"/>
    <w:rsid w:val="00E654B4"/>
    <w:rsid w:val="00E654DB"/>
    <w:rsid w:val="00E65573"/>
    <w:rsid w:val="00E6557A"/>
    <w:rsid w:val="00E65C11"/>
    <w:rsid w:val="00E65C1B"/>
    <w:rsid w:val="00E6608A"/>
    <w:rsid w:val="00E661A5"/>
    <w:rsid w:val="00E6639C"/>
    <w:rsid w:val="00E66501"/>
    <w:rsid w:val="00E66572"/>
    <w:rsid w:val="00E6670D"/>
    <w:rsid w:val="00E66A06"/>
    <w:rsid w:val="00E66AA5"/>
    <w:rsid w:val="00E66D2F"/>
    <w:rsid w:val="00E67085"/>
    <w:rsid w:val="00E6708F"/>
    <w:rsid w:val="00E6742E"/>
    <w:rsid w:val="00E6750C"/>
    <w:rsid w:val="00E67678"/>
    <w:rsid w:val="00E67855"/>
    <w:rsid w:val="00E679A8"/>
    <w:rsid w:val="00E67B84"/>
    <w:rsid w:val="00E67C77"/>
    <w:rsid w:val="00E67ECE"/>
    <w:rsid w:val="00E7019B"/>
    <w:rsid w:val="00E701E0"/>
    <w:rsid w:val="00E70350"/>
    <w:rsid w:val="00E70934"/>
    <w:rsid w:val="00E71082"/>
    <w:rsid w:val="00E71521"/>
    <w:rsid w:val="00E7158C"/>
    <w:rsid w:val="00E71791"/>
    <w:rsid w:val="00E71827"/>
    <w:rsid w:val="00E71CDD"/>
    <w:rsid w:val="00E71CE7"/>
    <w:rsid w:val="00E7215A"/>
    <w:rsid w:val="00E72441"/>
    <w:rsid w:val="00E7259A"/>
    <w:rsid w:val="00E726AC"/>
    <w:rsid w:val="00E72BDB"/>
    <w:rsid w:val="00E72F5F"/>
    <w:rsid w:val="00E73346"/>
    <w:rsid w:val="00E73D79"/>
    <w:rsid w:val="00E73DD9"/>
    <w:rsid w:val="00E73E6B"/>
    <w:rsid w:val="00E73E74"/>
    <w:rsid w:val="00E73ED9"/>
    <w:rsid w:val="00E740CA"/>
    <w:rsid w:val="00E7428A"/>
    <w:rsid w:val="00E74310"/>
    <w:rsid w:val="00E74640"/>
    <w:rsid w:val="00E7494D"/>
    <w:rsid w:val="00E7499D"/>
    <w:rsid w:val="00E74C10"/>
    <w:rsid w:val="00E74CDA"/>
    <w:rsid w:val="00E7514E"/>
    <w:rsid w:val="00E755BC"/>
    <w:rsid w:val="00E7568F"/>
    <w:rsid w:val="00E75D48"/>
    <w:rsid w:val="00E75DE7"/>
    <w:rsid w:val="00E7666C"/>
    <w:rsid w:val="00E76AE3"/>
    <w:rsid w:val="00E76DBF"/>
    <w:rsid w:val="00E777FC"/>
    <w:rsid w:val="00E77908"/>
    <w:rsid w:val="00E804D4"/>
    <w:rsid w:val="00E804D9"/>
    <w:rsid w:val="00E80926"/>
    <w:rsid w:val="00E8120A"/>
    <w:rsid w:val="00E81293"/>
    <w:rsid w:val="00E8141C"/>
    <w:rsid w:val="00E81564"/>
    <w:rsid w:val="00E81653"/>
    <w:rsid w:val="00E816C9"/>
    <w:rsid w:val="00E81A26"/>
    <w:rsid w:val="00E81B80"/>
    <w:rsid w:val="00E81DE2"/>
    <w:rsid w:val="00E81F89"/>
    <w:rsid w:val="00E82378"/>
    <w:rsid w:val="00E8257E"/>
    <w:rsid w:val="00E8279E"/>
    <w:rsid w:val="00E82B89"/>
    <w:rsid w:val="00E82D25"/>
    <w:rsid w:val="00E830F7"/>
    <w:rsid w:val="00E83352"/>
    <w:rsid w:val="00E83C5B"/>
    <w:rsid w:val="00E8451B"/>
    <w:rsid w:val="00E845BB"/>
    <w:rsid w:val="00E8473D"/>
    <w:rsid w:val="00E8475A"/>
    <w:rsid w:val="00E848B7"/>
    <w:rsid w:val="00E84FC4"/>
    <w:rsid w:val="00E8509E"/>
    <w:rsid w:val="00E85306"/>
    <w:rsid w:val="00E854BA"/>
    <w:rsid w:val="00E85509"/>
    <w:rsid w:val="00E857E3"/>
    <w:rsid w:val="00E85A4C"/>
    <w:rsid w:val="00E85AB8"/>
    <w:rsid w:val="00E85BED"/>
    <w:rsid w:val="00E85D47"/>
    <w:rsid w:val="00E85F03"/>
    <w:rsid w:val="00E8602E"/>
    <w:rsid w:val="00E8646C"/>
    <w:rsid w:val="00E86C12"/>
    <w:rsid w:val="00E86D32"/>
    <w:rsid w:val="00E86D5D"/>
    <w:rsid w:val="00E86F79"/>
    <w:rsid w:val="00E86F7D"/>
    <w:rsid w:val="00E87333"/>
    <w:rsid w:val="00E87473"/>
    <w:rsid w:val="00E87481"/>
    <w:rsid w:val="00E87BD2"/>
    <w:rsid w:val="00E904E8"/>
    <w:rsid w:val="00E90998"/>
    <w:rsid w:val="00E90B92"/>
    <w:rsid w:val="00E913D5"/>
    <w:rsid w:val="00E9157C"/>
    <w:rsid w:val="00E91E1B"/>
    <w:rsid w:val="00E9219B"/>
    <w:rsid w:val="00E922BB"/>
    <w:rsid w:val="00E929D5"/>
    <w:rsid w:val="00E92B9A"/>
    <w:rsid w:val="00E933D5"/>
    <w:rsid w:val="00E93402"/>
    <w:rsid w:val="00E9346B"/>
    <w:rsid w:val="00E93DF2"/>
    <w:rsid w:val="00E94197"/>
    <w:rsid w:val="00E942DA"/>
    <w:rsid w:val="00E944CE"/>
    <w:rsid w:val="00E94C85"/>
    <w:rsid w:val="00E95037"/>
    <w:rsid w:val="00E95056"/>
    <w:rsid w:val="00E953A3"/>
    <w:rsid w:val="00E954C8"/>
    <w:rsid w:val="00E9591F"/>
    <w:rsid w:val="00E95B5A"/>
    <w:rsid w:val="00E95B86"/>
    <w:rsid w:val="00E95BEA"/>
    <w:rsid w:val="00E95C45"/>
    <w:rsid w:val="00E95CC5"/>
    <w:rsid w:val="00E95E19"/>
    <w:rsid w:val="00E963C2"/>
    <w:rsid w:val="00E969B8"/>
    <w:rsid w:val="00E96D57"/>
    <w:rsid w:val="00E96DD7"/>
    <w:rsid w:val="00E9701F"/>
    <w:rsid w:val="00E97229"/>
    <w:rsid w:val="00E97568"/>
    <w:rsid w:val="00E975F3"/>
    <w:rsid w:val="00E976D4"/>
    <w:rsid w:val="00E9795F"/>
    <w:rsid w:val="00E9F5F7"/>
    <w:rsid w:val="00EA0055"/>
    <w:rsid w:val="00EA0370"/>
    <w:rsid w:val="00EA0441"/>
    <w:rsid w:val="00EA0589"/>
    <w:rsid w:val="00EA0655"/>
    <w:rsid w:val="00EA0A7B"/>
    <w:rsid w:val="00EA0E75"/>
    <w:rsid w:val="00EA0FF9"/>
    <w:rsid w:val="00EA1150"/>
    <w:rsid w:val="00EA1209"/>
    <w:rsid w:val="00EA1705"/>
    <w:rsid w:val="00EA17AE"/>
    <w:rsid w:val="00EA1B7D"/>
    <w:rsid w:val="00EA1D06"/>
    <w:rsid w:val="00EA1DDC"/>
    <w:rsid w:val="00EA1EBC"/>
    <w:rsid w:val="00EA225D"/>
    <w:rsid w:val="00EA22B8"/>
    <w:rsid w:val="00EA243A"/>
    <w:rsid w:val="00EA2503"/>
    <w:rsid w:val="00EA25FE"/>
    <w:rsid w:val="00EA2620"/>
    <w:rsid w:val="00EA2972"/>
    <w:rsid w:val="00EA2FD3"/>
    <w:rsid w:val="00EA31D7"/>
    <w:rsid w:val="00EA33E9"/>
    <w:rsid w:val="00EA3401"/>
    <w:rsid w:val="00EA3511"/>
    <w:rsid w:val="00EA35EA"/>
    <w:rsid w:val="00EA3647"/>
    <w:rsid w:val="00EA3899"/>
    <w:rsid w:val="00EA3B38"/>
    <w:rsid w:val="00EA4106"/>
    <w:rsid w:val="00EA41EA"/>
    <w:rsid w:val="00EA42BC"/>
    <w:rsid w:val="00EA46B1"/>
    <w:rsid w:val="00EA478A"/>
    <w:rsid w:val="00EA4988"/>
    <w:rsid w:val="00EA4B71"/>
    <w:rsid w:val="00EA4C4E"/>
    <w:rsid w:val="00EA5026"/>
    <w:rsid w:val="00EA5239"/>
    <w:rsid w:val="00EA539B"/>
    <w:rsid w:val="00EA5A72"/>
    <w:rsid w:val="00EA5C40"/>
    <w:rsid w:val="00EA5ECB"/>
    <w:rsid w:val="00EA5ED4"/>
    <w:rsid w:val="00EA629B"/>
    <w:rsid w:val="00EA659E"/>
    <w:rsid w:val="00EA6997"/>
    <w:rsid w:val="00EA6ED6"/>
    <w:rsid w:val="00EA6F75"/>
    <w:rsid w:val="00EA7013"/>
    <w:rsid w:val="00EA72A2"/>
    <w:rsid w:val="00EA7879"/>
    <w:rsid w:val="00EA7A0F"/>
    <w:rsid w:val="00EB0083"/>
    <w:rsid w:val="00EB044B"/>
    <w:rsid w:val="00EB058C"/>
    <w:rsid w:val="00EB074A"/>
    <w:rsid w:val="00EB0A7B"/>
    <w:rsid w:val="00EB0C17"/>
    <w:rsid w:val="00EB0D36"/>
    <w:rsid w:val="00EB0D44"/>
    <w:rsid w:val="00EB1039"/>
    <w:rsid w:val="00EB1C00"/>
    <w:rsid w:val="00EB2135"/>
    <w:rsid w:val="00EB2452"/>
    <w:rsid w:val="00EB2B66"/>
    <w:rsid w:val="00EB3062"/>
    <w:rsid w:val="00EB32F6"/>
    <w:rsid w:val="00EB3550"/>
    <w:rsid w:val="00EB36FE"/>
    <w:rsid w:val="00EB3999"/>
    <w:rsid w:val="00EB3A26"/>
    <w:rsid w:val="00EB3C8F"/>
    <w:rsid w:val="00EB3D77"/>
    <w:rsid w:val="00EB3DF9"/>
    <w:rsid w:val="00EB417F"/>
    <w:rsid w:val="00EB4189"/>
    <w:rsid w:val="00EB42D5"/>
    <w:rsid w:val="00EB454F"/>
    <w:rsid w:val="00EB4808"/>
    <w:rsid w:val="00EB4B1C"/>
    <w:rsid w:val="00EB4B6E"/>
    <w:rsid w:val="00EB4D11"/>
    <w:rsid w:val="00EB4D2E"/>
    <w:rsid w:val="00EB4DA1"/>
    <w:rsid w:val="00EB4EAC"/>
    <w:rsid w:val="00EB5183"/>
    <w:rsid w:val="00EB5253"/>
    <w:rsid w:val="00EB52CB"/>
    <w:rsid w:val="00EB56A9"/>
    <w:rsid w:val="00EB57EC"/>
    <w:rsid w:val="00EB5FBE"/>
    <w:rsid w:val="00EB5FED"/>
    <w:rsid w:val="00EB61FE"/>
    <w:rsid w:val="00EB6220"/>
    <w:rsid w:val="00EB62B8"/>
    <w:rsid w:val="00EB62D0"/>
    <w:rsid w:val="00EB65E5"/>
    <w:rsid w:val="00EB689E"/>
    <w:rsid w:val="00EB696C"/>
    <w:rsid w:val="00EB6C4C"/>
    <w:rsid w:val="00EB6DA4"/>
    <w:rsid w:val="00EB76EC"/>
    <w:rsid w:val="00EB7D6E"/>
    <w:rsid w:val="00EC048B"/>
    <w:rsid w:val="00EC08D7"/>
    <w:rsid w:val="00EC0A72"/>
    <w:rsid w:val="00EC0AAC"/>
    <w:rsid w:val="00EC0D27"/>
    <w:rsid w:val="00EC0D57"/>
    <w:rsid w:val="00EC15F3"/>
    <w:rsid w:val="00EC18DF"/>
    <w:rsid w:val="00EC1902"/>
    <w:rsid w:val="00EC1AA3"/>
    <w:rsid w:val="00EC1D59"/>
    <w:rsid w:val="00EC2474"/>
    <w:rsid w:val="00EC2653"/>
    <w:rsid w:val="00EC29AA"/>
    <w:rsid w:val="00EC2A7C"/>
    <w:rsid w:val="00EC2B18"/>
    <w:rsid w:val="00EC2B41"/>
    <w:rsid w:val="00EC2C4E"/>
    <w:rsid w:val="00EC2E13"/>
    <w:rsid w:val="00EC31D0"/>
    <w:rsid w:val="00EC335C"/>
    <w:rsid w:val="00EC3442"/>
    <w:rsid w:val="00EC363B"/>
    <w:rsid w:val="00EC384D"/>
    <w:rsid w:val="00EC3B65"/>
    <w:rsid w:val="00EC3BD7"/>
    <w:rsid w:val="00EC3CAB"/>
    <w:rsid w:val="00EC3D43"/>
    <w:rsid w:val="00EC3DDB"/>
    <w:rsid w:val="00EC40F1"/>
    <w:rsid w:val="00EC42A8"/>
    <w:rsid w:val="00EC45D0"/>
    <w:rsid w:val="00EC45E2"/>
    <w:rsid w:val="00EC497E"/>
    <w:rsid w:val="00EC4A5A"/>
    <w:rsid w:val="00EC53B1"/>
    <w:rsid w:val="00EC59AA"/>
    <w:rsid w:val="00EC5C11"/>
    <w:rsid w:val="00EC62D0"/>
    <w:rsid w:val="00EC6509"/>
    <w:rsid w:val="00EC657B"/>
    <w:rsid w:val="00EC6ABF"/>
    <w:rsid w:val="00EC6C00"/>
    <w:rsid w:val="00EC6CA7"/>
    <w:rsid w:val="00EC7089"/>
    <w:rsid w:val="00EC72CD"/>
    <w:rsid w:val="00EC7624"/>
    <w:rsid w:val="00EC78F5"/>
    <w:rsid w:val="00EC7A2A"/>
    <w:rsid w:val="00ED0003"/>
    <w:rsid w:val="00ED0365"/>
    <w:rsid w:val="00ED0473"/>
    <w:rsid w:val="00ED06BB"/>
    <w:rsid w:val="00ED07C2"/>
    <w:rsid w:val="00ED0AD5"/>
    <w:rsid w:val="00ED102C"/>
    <w:rsid w:val="00ED11A9"/>
    <w:rsid w:val="00ED1312"/>
    <w:rsid w:val="00ED1F96"/>
    <w:rsid w:val="00ED1FC1"/>
    <w:rsid w:val="00ED2881"/>
    <w:rsid w:val="00ED29EF"/>
    <w:rsid w:val="00ED2B4C"/>
    <w:rsid w:val="00ED2ED7"/>
    <w:rsid w:val="00ED3193"/>
    <w:rsid w:val="00ED3211"/>
    <w:rsid w:val="00ED399D"/>
    <w:rsid w:val="00ED3E40"/>
    <w:rsid w:val="00ED3F6D"/>
    <w:rsid w:val="00ED4167"/>
    <w:rsid w:val="00ED44E6"/>
    <w:rsid w:val="00ED4578"/>
    <w:rsid w:val="00ED48CC"/>
    <w:rsid w:val="00ED4A1E"/>
    <w:rsid w:val="00ED4A88"/>
    <w:rsid w:val="00ED5BE0"/>
    <w:rsid w:val="00ED5C93"/>
    <w:rsid w:val="00ED5CE8"/>
    <w:rsid w:val="00ED5D18"/>
    <w:rsid w:val="00ED5ECD"/>
    <w:rsid w:val="00ED6506"/>
    <w:rsid w:val="00ED6F1E"/>
    <w:rsid w:val="00ED71A4"/>
    <w:rsid w:val="00ED72C7"/>
    <w:rsid w:val="00ED791F"/>
    <w:rsid w:val="00ED79E7"/>
    <w:rsid w:val="00ED7B0D"/>
    <w:rsid w:val="00ED7B84"/>
    <w:rsid w:val="00EE0C8E"/>
    <w:rsid w:val="00EE112C"/>
    <w:rsid w:val="00EE1265"/>
    <w:rsid w:val="00EE12AF"/>
    <w:rsid w:val="00EE141C"/>
    <w:rsid w:val="00EE17FA"/>
    <w:rsid w:val="00EE1A4C"/>
    <w:rsid w:val="00EE1E19"/>
    <w:rsid w:val="00EE2467"/>
    <w:rsid w:val="00EE26B2"/>
    <w:rsid w:val="00EE2C96"/>
    <w:rsid w:val="00EE2EB2"/>
    <w:rsid w:val="00EE3634"/>
    <w:rsid w:val="00EE372A"/>
    <w:rsid w:val="00EE392F"/>
    <w:rsid w:val="00EE3D60"/>
    <w:rsid w:val="00EE3E33"/>
    <w:rsid w:val="00EE3ED7"/>
    <w:rsid w:val="00EE4014"/>
    <w:rsid w:val="00EE4201"/>
    <w:rsid w:val="00EE4361"/>
    <w:rsid w:val="00EE4D67"/>
    <w:rsid w:val="00EE51CB"/>
    <w:rsid w:val="00EE5213"/>
    <w:rsid w:val="00EE543D"/>
    <w:rsid w:val="00EE547A"/>
    <w:rsid w:val="00EE54D4"/>
    <w:rsid w:val="00EE54E7"/>
    <w:rsid w:val="00EE5D2F"/>
    <w:rsid w:val="00EE65D3"/>
    <w:rsid w:val="00EE6930"/>
    <w:rsid w:val="00EE726F"/>
    <w:rsid w:val="00EE73CC"/>
    <w:rsid w:val="00EE74AA"/>
    <w:rsid w:val="00EE7A71"/>
    <w:rsid w:val="00EE7BDF"/>
    <w:rsid w:val="00EE7E43"/>
    <w:rsid w:val="00EF0130"/>
    <w:rsid w:val="00EF03DD"/>
    <w:rsid w:val="00EF098C"/>
    <w:rsid w:val="00EF0C1B"/>
    <w:rsid w:val="00EF0E49"/>
    <w:rsid w:val="00EF1081"/>
    <w:rsid w:val="00EF1091"/>
    <w:rsid w:val="00EF1352"/>
    <w:rsid w:val="00EF15A9"/>
    <w:rsid w:val="00EF187A"/>
    <w:rsid w:val="00EF1F1D"/>
    <w:rsid w:val="00EF20AE"/>
    <w:rsid w:val="00EF221B"/>
    <w:rsid w:val="00EF2317"/>
    <w:rsid w:val="00EF2487"/>
    <w:rsid w:val="00EF29FE"/>
    <w:rsid w:val="00EF2ACF"/>
    <w:rsid w:val="00EF30A5"/>
    <w:rsid w:val="00EF30FA"/>
    <w:rsid w:val="00EF332A"/>
    <w:rsid w:val="00EF354D"/>
    <w:rsid w:val="00EF3574"/>
    <w:rsid w:val="00EF3782"/>
    <w:rsid w:val="00EF3CCA"/>
    <w:rsid w:val="00EF40C6"/>
    <w:rsid w:val="00EF4634"/>
    <w:rsid w:val="00EF4C2B"/>
    <w:rsid w:val="00EF4F70"/>
    <w:rsid w:val="00EF51CE"/>
    <w:rsid w:val="00EF52DE"/>
    <w:rsid w:val="00EF540F"/>
    <w:rsid w:val="00EF5532"/>
    <w:rsid w:val="00EF570E"/>
    <w:rsid w:val="00EF580D"/>
    <w:rsid w:val="00EF5C5E"/>
    <w:rsid w:val="00EF6216"/>
    <w:rsid w:val="00EF63F1"/>
    <w:rsid w:val="00EF64DB"/>
    <w:rsid w:val="00EF6730"/>
    <w:rsid w:val="00EF6E41"/>
    <w:rsid w:val="00EF6FF6"/>
    <w:rsid w:val="00EF747D"/>
    <w:rsid w:val="00EF76E4"/>
    <w:rsid w:val="00EF783C"/>
    <w:rsid w:val="00EF7AA7"/>
    <w:rsid w:val="00EF7BE1"/>
    <w:rsid w:val="00EF7DA4"/>
    <w:rsid w:val="00EF7EF7"/>
    <w:rsid w:val="00F00156"/>
    <w:rsid w:val="00F0032D"/>
    <w:rsid w:val="00F00363"/>
    <w:rsid w:val="00F0048E"/>
    <w:rsid w:val="00F00A65"/>
    <w:rsid w:val="00F00D50"/>
    <w:rsid w:val="00F012E3"/>
    <w:rsid w:val="00F01487"/>
    <w:rsid w:val="00F0163E"/>
    <w:rsid w:val="00F01B35"/>
    <w:rsid w:val="00F01C54"/>
    <w:rsid w:val="00F01EB1"/>
    <w:rsid w:val="00F01F69"/>
    <w:rsid w:val="00F02056"/>
    <w:rsid w:val="00F02183"/>
    <w:rsid w:val="00F0223B"/>
    <w:rsid w:val="00F0241E"/>
    <w:rsid w:val="00F0255A"/>
    <w:rsid w:val="00F026FB"/>
    <w:rsid w:val="00F02A4A"/>
    <w:rsid w:val="00F02E8A"/>
    <w:rsid w:val="00F0321B"/>
    <w:rsid w:val="00F032A3"/>
    <w:rsid w:val="00F032EC"/>
    <w:rsid w:val="00F035C0"/>
    <w:rsid w:val="00F036AD"/>
    <w:rsid w:val="00F03C73"/>
    <w:rsid w:val="00F04288"/>
    <w:rsid w:val="00F04934"/>
    <w:rsid w:val="00F04B6A"/>
    <w:rsid w:val="00F04C80"/>
    <w:rsid w:val="00F050F5"/>
    <w:rsid w:val="00F052EB"/>
    <w:rsid w:val="00F054A0"/>
    <w:rsid w:val="00F05742"/>
    <w:rsid w:val="00F05C0D"/>
    <w:rsid w:val="00F05D0C"/>
    <w:rsid w:val="00F05F36"/>
    <w:rsid w:val="00F0603A"/>
    <w:rsid w:val="00F06870"/>
    <w:rsid w:val="00F06AFB"/>
    <w:rsid w:val="00F06E2A"/>
    <w:rsid w:val="00F06FAB"/>
    <w:rsid w:val="00F06FCA"/>
    <w:rsid w:val="00F070F7"/>
    <w:rsid w:val="00F071A1"/>
    <w:rsid w:val="00F07984"/>
    <w:rsid w:val="00F07AE5"/>
    <w:rsid w:val="00F07D9E"/>
    <w:rsid w:val="00F07E69"/>
    <w:rsid w:val="00F1043A"/>
    <w:rsid w:val="00F104C8"/>
    <w:rsid w:val="00F1067C"/>
    <w:rsid w:val="00F10F66"/>
    <w:rsid w:val="00F11146"/>
    <w:rsid w:val="00F11467"/>
    <w:rsid w:val="00F11E34"/>
    <w:rsid w:val="00F11E3F"/>
    <w:rsid w:val="00F11F7C"/>
    <w:rsid w:val="00F11FC0"/>
    <w:rsid w:val="00F123A2"/>
    <w:rsid w:val="00F123EE"/>
    <w:rsid w:val="00F12591"/>
    <w:rsid w:val="00F1262E"/>
    <w:rsid w:val="00F126ED"/>
    <w:rsid w:val="00F12AE8"/>
    <w:rsid w:val="00F12BBC"/>
    <w:rsid w:val="00F13201"/>
    <w:rsid w:val="00F13314"/>
    <w:rsid w:val="00F1341B"/>
    <w:rsid w:val="00F13532"/>
    <w:rsid w:val="00F1377E"/>
    <w:rsid w:val="00F13B4C"/>
    <w:rsid w:val="00F13B98"/>
    <w:rsid w:val="00F13BF6"/>
    <w:rsid w:val="00F13EB6"/>
    <w:rsid w:val="00F1456C"/>
    <w:rsid w:val="00F14576"/>
    <w:rsid w:val="00F1481C"/>
    <w:rsid w:val="00F14F10"/>
    <w:rsid w:val="00F14FB7"/>
    <w:rsid w:val="00F150B7"/>
    <w:rsid w:val="00F151C0"/>
    <w:rsid w:val="00F153D1"/>
    <w:rsid w:val="00F15630"/>
    <w:rsid w:val="00F1602F"/>
    <w:rsid w:val="00F161AF"/>
    <w:rsid w:val="00F16359"/>
    <w:rsid w:val="00F16766"/>
    <w:rsid w:val="00F1686A"/>
    <w:rsid w:val="00F16E08"/>
    <w:rsid w:val="00F16E78"/>
    <w:rsid w:val="00F17108"/>
    <w:rsid w:val="00F17CE2"/>
    <w:rsid w:val="00F20689"/>
    <w:rsid w:val="00F2075B"/>
    <w:rsid w:val="00F2077F"/>
    <w:rsid w:val="00F20989"/>
    <w:rsid w:val="00F215BB"/>
    <w:rsid w:val="00F219CB"/>
    <w:rsid w:val="00F21E87"/>
    <w:rsid w:val="00F2242A"/>
    <w:rsid w:val="00F225EC"/>
    <w:rsid w:val="00F22670"/>
    <w:rsid w:val="00F2276E"/>
    <w:rsid w:val="00F22ACF"/>
    <w:rsid w:val="00F22B53"/>
    <w:rsid w:val="00F22BDD"/>
    <w:rsid w:val="00F23078"/>
    <w:rsid w:val="00F2331A"/>
    <w:rsid w:val="00F23439"/>
    <w:rsid w:val="00F23805"/>
    <w:rsid w:val="00F238C6"/>
    <w:rsid w:val="00F241A2"/>
    <w:rsid w:val="00F24295"/>
    <w:rsid w:val="00F24370"/>
    <w:rsid w:val="00F246BD"/>
    <w:rsid w:val="00F2477A"/>
    <w:rsid w:val="00F24884"/>
    <w:rsid w:val="00F2488E"/>
    <w:rsid w:val="00F24EE1"/>
    <w:rsid w:val="00F24F3B"/>
    <w:rsid w:val="00F25218"/>
    <w:rsid w:val="00F258E5"/>
    <w:rsid w:val="00F258E8"/>
    <w:rsid w:val="00F2593D"/>
    <w:rsid w:val="00F25A2B"/>
    <w:rsid w:val="00F25ABF"/>
    <w:rsid w:val="00F25FD6"/>
    <w:rsid w:val="00F2610B"/>
    <w:rsid w:val="00F26686"/>
    <w:rsid w:val="00F266B3"/>
    <w:rsid w:val="00F26D18"/>
    <w:rsid w:val="00F26F59"/>
    <w:rsid w:val="00F26F83"/>
    <w:rsid w:val="00F27081"/>
    <w:rsid w:val="00F274F5"/>
    <w:rsid w:val="00F2764C"/>
    <w:rsid w:val="00F277C8"/>
    <w:rsid w:val="00F3005F"/>
    <w:rsid w:val="00F3038F"/>
    <w:rsid w:val="00F30B10"/>
    <w:rsid w:val="00F30C58"/>
    <w:rsid w:val="00F30FEB"/>
    <w:rsid w:val="00F310EC"/>
    <w:rsid w:val="00F312DD"/>
    <w:rsid w:val="00F314C5"/>
    <w:rsid w:val="00F31697"/>
    <w:rsid w:val="00F317F8"/>
    <w:rsid w:val="00F31CFC"/>
    <w:rsid w:val="00F32717"/>
    <w:rsid w:val="00F32A3C"/>
    <w:rsid w:val="00F32D1D"/>
    <w:rsid w:val="00F32E90"/>
    <w:rsid w:val="00F32E9E"/>
    <w:rsid w:val="00F33600"/>
    <w:rsid w:val="00F338B5"/>
    <w:rsid w:val="00F33A3A"/>
    <w:rsid w:val="00F33CDC"/>
    <w:rsid w:val="00F3415F"/>
    <w:rsid w:val="00F341C2"/>
    <w:rsid w:val="00F343C8"/>
    <w:rsid w:val="00F347A9"/>
    <w:rsid w:val="00F3496A"/>
    <w:rsid w:val="00F34B2B"/>
    <w:rsid w:val="00F34CD5"/>
    <w:rsid w:val="00F34D21"/>
    <w:rsid w:val="00F34F61"/>
    <w:rsid w:val="00F34F9F"/>
    <w:rsid w:val="00F352D7"/>
    <w:rsid w:val="00F3543C"/>
    <w:rsid w:val="00F35538"/>
    <w:rsid w:val="00F3584E"/>
    <w:rsid w:val="00F35F37"/>
    <w:rsid w:val="00F35FDA"/>
    <w:rsid w:val="00F3624D"/>
    <w:rsid w:val="00F36539"/>
    <w:rsid w:val="00F3664B"/>
    <w:rsid w:val="00F367AC"/>
    <w:rsid w:val="00F36970"/>
    <w:rsid w:val="00F36A97"/>
    <w:rsid w:val="00F36BD2"/>
    <w:rsid w:val="00F36C2F"/>
    <w:rsid w:val="00F36ECA"/>
    <w:rsid w:val="00F36F01"/>
    <w:rsid w:val="00F36F70"/>
    <w:rsid w:val="00F36FE5"/>
    <w:rsid w:val="00F371A7"/>
    <w:rsid w:val="00F37538"/>
    <w:rsid w:val="00F37817"/>
    <w:rsid w:val="00F3799C"/>
    <w:rsid w:val="00F4028C"/>
    <w:rsid w:val="00F404D9"/>
    <w:rsid w:val="00F405DE"/>
    <w:rsid w:val="00F4065E"/>
    <w:rsid w:val="00F40906"/>
    <w:rsid w:val="00F4156B"/>
    <w:rsid w:val="00F41827"/>
    <w:rsid w:val="00F41840"/>
    <w:rsid w:val="00F4185B"/>
    <w:rsid w:val="00F418C4"/>
    <w:rsid w:val="00F41949"/>
    <w:rsid w:val="00F41CF7"/>
    <w:rsid w:val="00F424C5"/>
    <w:rsid w:val="00F427C9"/>
    <w:rsid w:val="00F4299A"/>
    <w:rsid w:val="00F42A90"/>
    <w:rsid w:val="00F4300B"/>
    <w:rsid w:val="00F43037"/>
    <w:rsid w:val="00F43118"/>
    <w:rsid w:val="00F4325A"/>
    <w:rsid w:val="00F43393"/>
    <w:rsid w:val="00F43598"/>
    <w:rsid w:val="00F43ABC"/>
    <w:rsid w:val="00F43B34"/>
    <w:rsid w:val="00F43F54"/>
    <w:rsid w:val="00F44150"/>
    <w:rsid w:val="00F444FF"/>
    <w:rsid w:val="00F44676"/>
    <w:rsid w:val="00F44792"/>
    <w:rsid w:val="00F451E8"/>
    <w:rsid w:val="00F45C9D"/>
    <w:rsid w:val="00F45F70"/>
    <w:rsid w:val="00F4614E"/>
    <w:rsid w:val="00F4619C"/>
    <w:rsid w:val="00F462D3"/>
    <w:rsid w:val="00F46402"/>
    <w:rsid w:val="00F46CB7"/>
    <w:rsid w:val="00F46F1F"/>
    <w:rsid w:val="00F47139"/>
    <w:rsid w:val="00F4725D"/>
    <w:rsid w:val="00F4727D"/>
    <w:rsid w:val="00F47326"/>
    <w:rsid w:val="00F474AE"/>
    <w:rsid w:val="00F477CC"/>
    <w:rsid w:val="00F478BA"/>
    <w:rsid w:val="00F47B4D"/>
    <w:rsid w:val="00F47CC0"/>
    <w:rsid w:val="00F47D1C"/>
    <w:rsid w:val="00F500E9"/>
    <w:rsid w:val="00F506B1"/>
    <w:rsid w:val="00F506B7"/>
    <w:rsid w:val="00F509C8"/>
    <w:rsid w:val="00F50A78"/>
    <w:rsid w:val="00F50DEF"/>
    <w:rsid w:val="00F51AF1"/>
    <w:rsid w:val="00F51C5E"/>
    <w:rsid w:val="00F51C8A"/>
    <w:rsid w:val="00F524F1"/>
    <w:rsid w:val="00F529B3"/>
    <w:rsid w:val="00F52B66"/>
    <w:rsid w:val="00F52BE0"/>
    <w:rsid w:val="00F530F4"/>
    <w:rsid w:val="00F53AC7"/>
    <w:rsid w:val="00F53B9A"/>
    <w:rsid w:val="00F53F3D"/>
    <w:rsid w:val="00F54252"/>
    <w:rsid w:val="00F5451C"/>
    <w:rsid w:val="00F5497C"/>
    <w:rsid w:val="00F54BD0"/>
    <w:rsid w:val="00F54D2C"/>
    <w:rsid w:val="00F54F8B"/>
    <w:rsid w:val="00F5575D"/>
    <w:rsid w:val="00F55913"/>
    <w:rsid w:val="00F55A1B"/>
    <w:rsid w:val="00F55C90"/>
    <w:rsid w:val="00F55FC7"/>
    <w:rsid w:val="00F5645D"/>
    <w:rsid w:val="00F56534"/>
    <w:rsid w:val="00F56631"/>
    <w:rsid w:val="00F56A5E"/>
    <w:rsid w:val="00F57580"/>
    <w:rsid w:val="00F57934"/>
    <w:rsid w:val="00F57BC3"/>
    <w:rsid w:val="00F57BFF"/>
    <w:rsid w:val="00F57DEB"/>
    <w:rsid w:val="00F57E89"/>
    <w:rsid w:val="00F57F6C"/>
    <w:rsid w:val="00F60061"/>
    <w:rsid w:val="00F60446"/>
    <w:rsid w:val="00F604E0"/>
    <w:rsid w:val="00F6061A"/>
    <w:rsid w:val="00F60FE0"/>
    <w:rsid w:val="00F61012"/>
    <w:rsid w:val="00F610CC"/>
    <w:rsid w:val="00F61178"/>
    <w:rsid w:val="00F61254"/>
    <w:rsid w:val="00F6156D"/>
    <w:rsid w:val="00F615CD"/>
    <w:rsid w:val="00F61C53"/>
    <w:rsid w:val="00F61CB4"/>
    <w:rsid w:val="00F61CE3"/>
    <w:rsid w:val="00F61DAB"/>
    <w:rsid w:val="00F61DD6"/>
    <w:rsid w:val="00F61FE9"/>
    <w:rsid w:val="00F620C8"/>
    <w:rsid w:val="00F621CB"/>
    <w:rsid w:val="00F622DA"/>
    <w:rsid w:val="00F6248B"/>
    <w:rsid w:val="00F624B1"/>
    <w:rsid w:val="00F628E3"/>
    <w:rsid w:val="00F6290F"/>
    <w:rsid w:val="00F62DFB"/>
    <w:rsid w:val="00F63026"/>
    <w:rsid w:val="00F6331A"/>
    <w:rsid w:val="00F6343E"/>
    <w:rsid w:val="00F634D0"/>
    <w:rsid w:val="00F63874"/>
    <w:rsid w:val="00F63893"/>
    <w:rsid w:val="00F63EF8"/>
    <w:rsid w:val="00F63FCE"/>
    <w:rsid w:val="00F649C7"/>
    <w:rsid w:val="00F649E0"/>
    <w:rsid w:val="00F64B77"/>
    <w:rsid w:val="00F64DAF"/>
    <w:rsid w:val="00F653F8"/>
    <w:rsid w:val="00F654A7"/>
    <w:rsid w:val="00F65C3B"/>
    <w:rsid w:val="00F65D54"/>
    <w:rsid w:val="00F65FA3"/>
    <w:rsid w:val="00F664EF"/>
    <w:rsid w:val="00F669DB"/>
    <w:rsid w:val="00F66B6B"/>
    <w:rsid w:val="00F66BF6"/>
    <w:rsid w:val="00F66D2C"/>
    <w:rsid w:val="00F66F36"/>
    <w:rsid w:val="00F66F8C"/>
    <w:rsid w:val="00F67279"/>
    <w:rsid w:val="00F673C8"/>
    <w:rsid w:val="00F673E5"/>
    <w:rsid w:val="00F67704"/>
    <w:rsid w:val="00F678F3"/>
    <w:rsid w:val="00F679AF"/>
    <w:rsid w:val="00F67AD5"/>
    <w:rsid w:val="00F67F62"/>
    <w:rsid w:val="00F7006D"/>
    <w:rsid w:val="00F701EF"/>
    <w:rsid w:val="00F702EE"/>
    <w:rsid w:val="00F7058F"/>
    <w:rsid w:val="00F708AE"/>
    <w:rsid w:val="00F70E07"/>
    <w:rsid w:val="00F71177"/>
    <w:rsid w:val="00F711E4"/>
    <w:rsid w:val="00F711F3"/>
    <w:rsid w:val="00F714CC"/>
    <w:rsid w:val="00F71820"/>
    <w:rsid w:val="00F71940"/>
    <w:rsid w:val="00F7224F"/>
    <w:rsid w:val="00F72438"/>
    <w:rsid w:val="00F72493"/>
    <w:rsid w:val="00F726BC"/>
    <w:rsid w:val="00F727D6"/>
    <w:rsid w:val="00F72BE0"/>
    <w:rsid w:val="00F73007"/>
    <w:rsid w:val="00F7387B"/>
    <w:rsid w:val="00F7402C"/>
    <w:rsid w:val="00F742DF"/>
    <w:rsid w:val="00F743C7"/>
    <w:rsid w:val="00F74E6F"/>
    <w:rsid w:val="00F74FAE"/>
    <w:rsid w:val="00F75009"/>
    <w:rsid w:val="00F75161"/>
    <w:rsid w:val="00F7527E"/>
    <w:rsid w:val="00F75308"/>
    <w:rsid w:val="00F7538B"/>
    <w:rsid w:val="00F7580D"/>
    <w:rsid w:val="00F75E47"/>
    <w:rsid w:val="00F75ED4"/>
    <w:rsid w:val="00F7614A"/>
    <w:rsid w:val="00F7625E"/>
    <w:rsid w:val="00F76358"/>
    <w:rsid w:val="00F76368"/>
    <w:rsid w:val="00F76493"/>
    <w:rsid w:val="00F764B8"/>
    <w:rsid w:val="00F7670B"/>
    <w:rsid w:val="00F767C6"/>
    <w:rsid w:val="00F767F2"/>
    <w:rsid w:val="00F769EF"/>
    <w:rsid w:val="00F77059"/>
    <w:rsid w:val="00F774BC"/>
    <w:rsid w:val="00F77618"/>
    <w:rsid w:val="00F7770A"/>
    <w:rsid w:val="00F7791B"/>
    <w:rsid w:val="00F77FE4"/>
    <w:rsid w:val="00F804AA"/>
    <w:rsid w:val="00F804B3"/>
    <w:rsid w:val="00F80AFE"/>
    <w:rsid w:val="00F80FA8"/>
    <w:rsid w:val="00F8106C"/>
    <w:rsid w:val="00F810B3"/>
    <w:rsid w:val="00F815AE"/>
    <w:rsid w:val="00F8168E"/>
    <w:rsid w:val="00F81BE7"/>
    <w:rsid w:val="00F81D9F"/>
    <w:rsid w:val="00F81DC4"/>
    <w:rsid w:val="00F81E35"/>
    <w:rsid w:val="00F81EA5"/>
    <w:rsid w:val="00F82019"/>
    <w:rsid w:val="00F82128"/>
    <w:rsid w:val="00F8225B"/>
    <w:rsid w:val="00F8291A"/>
    <w:rsid w:val="00F82DBD"/>
    <w:rsid w:val="00F83317"/>
    <w:rsid w:val="00F83380"/>
    <w:rsid w:val="00F83C42"/>
    <w:rsid w:val="00F83F17"/>
    <w:rsid w:val="00F842B6"/>
    <w:rsid w:val="00F84390"/>
    <w:rsid w:val="00F84497"/>
    <w:rsid w:val="00F8479E"/>
    <w:rsid w:val="00F848FD"/>
    <w:rsid w:val="00F84BB9"/>
    <w:rsid w:val="00F853B4"/>
    <w:rsid w:val="00F85849"/>
    <w:rsid w:val="00F859B6"/>
    <w:rsid w:val="00F85DA6"/>
    <w:rsid w:val="00F86128"/>
    <w:rsid w:val="00F861EF"/>
    <w:rsid w:val="00F86339"/>
    <w:rsid w:val="00F863B6"/>
    <w:rsid w:val="00F86587"/>
    <w:rsid w:val="00F866A3"/>
    <w:rsid w:val="00F86BEA"/>
    <w:rsid w:val="00F86C54"/>
    <w:rsid w:val="00F86DAF"/>
    <w:rsid w:val="00F87231"/>
    <w:rsid w:val="00F876CE"/>
    <w:rsid w:val="00F87810"/>
    <w:rsid w:val="00F878DD"/>
    <w:rsid w:val="00F87B01"/>
    <w:rsid w:val="00F87BA5"/>
    <w:rsid w:val="00F87D38"/>
    <w:rsid w:val="00F90240"/>
    <w:rsid w:val="00F90241"/>
    <w:rsid w:val="00F904CA"/>
    <w:rsid w:val="00F9062A"/>
    <w:rsid w:val="00F906CC"/>
    <w:rsid w:val="00F907CC"/>
    <w:rsid w:val="00F909BE"/>
    <w:rsid w:val="00F90AE5"/>
    <w:rsid w:val="00F90E20"/>
    <w:rsid w:val="00F9115C"/>
    <w:rsid w:val="00F916AE"/>
    <w:rsid w:val="00F91827"/>
    <w:rsid w:val="00F91D8C"/>
    <w:rsid w:val="00F91EB1"/>
    <w:rsid w:val="00F926DA"/>
    <w:rsid w:val="00F92739"/>
    <w:rsid w:val="00F9281A"/>
    <w:rsid w:val="00F928E6"/>
    <w:rsid w:val="00F92C19"/>
    <w:rsid w:val="00F92C1F"/>
    <w:rsid w:val="00F93F9E"/>
    <w:rsid w:val="00F940A3"/>
    <w:rsid w:val="00F94949"/>
    <w:rsid w:val="00F949F2"/>
    <w:rsid w:val="00F94C5D"/>
    <w:rsid w:val="00F94D56"/>
    <w:rsid w:val="00F94DC5"/>
    <w:rsid w:val="00F9502C"/>
    <w:rsid w:val="00F9599E"/>
    <w:rsid w:val="00F95D11"/>
    <w:rsid w:val="00F95DD8"/>
    <w:rsid w:val="00F962B2"/>
    <w:rsid w:val="00F9647C"/>
    <w:rsid w:val="00F96525"/>
    <w:rsid w:val="00F96D7A"/>
    <w:rsid w:val="00F96ED6"/>
    <w:rsid w:val="00F972D0"/>
    <w:rsid w:val="00F977FF"/>
    <w:rsid w:val="00F97C6F"/>
    <w:rsid w:val="00F97E6C"/>
    <w:rsid w:val="00FA007C"/>
    <w:rsid w:val="00FA07CA"/>
    <w:rsid w:val="00FA0806"/>
    <w:rsid w:val="00FA0843"/>
    <w:rsid w:val="00FA0AEB"/>
    <w:rsid w:val="00FA0B0F"/>
    <w:rsid w:val="00FA1072"/>
    <w:rsid w:val="00FA1225"/>
    <w:rsid w:val="00FA12CE"/>
    <w:rsid w:val="00FA1409"/>
    <w:rsid w:val="00FA149B"/>
    <w:rsid w:val="00FA1567"/>
    <w:rsid w:val="00FA15CB"/>
    <w:rsid w:val="00FA198E"/>
    <w:rsid w:val="00FA1A23"/>
    <w:rsid w:val="00FA1A3D"/>
    <w:rsid w:val="00FA1EC2"/>
    <w:rsid w:val="00FA1F7F"/>
    <w:rsid w:val="00FA204B"/>
    <w:rsid w:val="00FA2787"/>
    <w:rsid w:val="00FA2ACE"/>
    <w:rsid w:val="00FA2C1A"/>
    <w:rsid w:val="00FA3056"/>
    <w:rsid w:val="00FA3127"/>
    <w:rsid w:val="00FA32B6"/>
    <w:rsid w:val="00FA32BF"/>
    <w:rsid w:val="00FA3351"/>
    <w:rsid w:val="00FA35F1"/>
    <w:rsid w:val="00FA36D8"/>
    <w:rsid w:val="00FA3841"/>
    <w:rsid w:val="00FA3C21"/>
    <w:rsid w:val="00FA3E02"/>
    <w:rsid w:val="00FA44F1"/>
    <w:rsid w:val="00FA47D3"/>
    <w:rsid w:val="00FA4889"/>
    <w:rsid w:val="00FA48BE"/>
    <w:rsid w:val="00FA4A1E"/>
    <w:rsid w:val="00FA4B37"/>
    <w:rsid w:val="00FA4CCB"/>
    <w:rsid w:val="00FA4D31"/>
    <w:rsid w:val="00FA4F1B"/>
    <w:rsid w:val="00FA5439"/>
    <w:rsid w:val="00FA54E4"/>
    <w:rsid w:val="00FA56E4"/>
    <w:rsid w:val="00FA5AF3"/>
    <w:rsid w:val="00FA614C"/>
    <w:rsid w:val="00FA61B3"/>
    <w:rsid w:val="00FA648D"/>
    <w:rsid w:val="00FA6608"/>
    <w:rsid w:val="00FA677A"/>
    <w:rsid w:val="00FA6A92"/>
    <w:rsid w:val="00FA6CBF"/>
    <w:rsid w:val="00FA6EAE"/>
    <w:rsid w:val="00FA7009"/>
    <w:rsid w:val="00FA7691"/>
    <w:rsid w:val="00FA76A0"/>
    <w:rsid w:val="00FA7827"/>
    <w:rsid w:val="00FA7850"/>
    <w:rsid w:val="00FA7BB0"/>
    <w:rsid w:val="00FA7BFA"/>
    <w:rsid w:val="00FA7E6E"/>
    <w:rsid w:val="00FB0210"/>
    <w:rsid w:val="00FB021E"/>
    <w:rsid w:val="00FB07E0"/>
    <w:rsid w:val="00FB0AE5"/>
    <w:rsid w:val="00FB0D98"/>
    <w:rsid w:val="00FB0E0E"/>
    <w:rsid w:val="00FB13E3"/>
    <w:rsid w:val="00FB14D1"/>
    <w:rsid w:val="00FB1807"/>
    <w:rsid w:val="00FB1A68"/>
    <w:rsid w:val="00FB1A92"/>
    <w:rsid w:val="00FB1F59"/>
    <w:rsid w:val="00FB1FA1"/>
    <w:rsid w:val="00FB1FF8"/>
    <w:rsid w:val="00FB24CA"/>
    <w:rsid w:val="00FB26A2"/>
    <w:rsid w:val="00FB28AA"/>
    <w:rsid w:val="00FB28C7"/>
    <w:rsid w:val="00FB2D24"/>
    <w:rsid w:val="00FB2D4B"/>
    <w:rsid w:val="00FB2EF4"/>
    <w:rsid w:val="00FB35E4"/>
    <w:rsid w:val="00FB3624"/>
    <w:rsid w:val="00FB3B74"/>
    <w:rsid w:val="00FB40EA"/>
    <w:rsid w:val="00FB4319"/>
    <w:rsid w:val="00FB44B3"/>
    <w:rsid w:val="00FB45CB"/>
    <w:rsid w:val="00FB49B8"/>
    <w:rsid w:val="00FB4A5B"/>
    <w:rsid w:val="00FB4F9F"/>
    <w:rsid w:val="00FB50B4"/>
    <w:rsid w:val="00FB5172"/>
    <w:rsid w:val="00FB53C6"/>
    <w:rsid w:val="00FB5448"/>
    <w:rsid w:val="00FB556B"/>
    <w:rsid w:val="00FB5B58"/>
    <w:rsid w:val="00FB5C45"/>
    <w:rsid w:val="00FB5C96"/>
    <w:rsid w:val="00FB5FDC"/>
    <w:rsid w:val="00FB6025"/>
    <w:rsid w:val="00FB6506"/>
    <w:rsid w:val="00FB6650"/>
    <w:rsid w:val="00FB6BE7"/>
    <w:rsid w:val="00FB6DEF"/>
    <w:rsid w:val="00FB78D2"/>
    <w:rsid w:val="00FB7D20"/>
    <w:rsid w:val="00FB7D59"/>
    <w:rsid w:val="00FC088B"/>
    <w:rsid w:val="00FC0986"/>
    <w:rsid w:val="00FC0C18"/>
    <w:rsid w:val="00FC0C3B"/>
    <w:rsid w:val="00FC1630"/>
    <w:rsid w:val="00FC18E7"/>
    <w:rsid w:val="00FC19CE"/>
    <w:rsid w:val="00FC1A70"/>
    <w:rsid w:val="00FC2240"/>
    <w:rsid w:val="00FC2C4B"/>
    <w:rsid w:val="00FC2E71"/>
    <w:rsid w:val="00FC2FC7"/>
    <w:rsid w:val="00FC38EA"/>
    <w:rsid w:val="00FC3B0E"/>
    <w:rsid w:val="00FC3F4F"/>
    <w:rsid w:val="00FC4055"/>
    <w:rsid w:val="00FC417A"/>
    <w:rsid w:val="00FC48FA"/>
    <w:rsid w:val="00FC4903"/>
    <w:rsid w:val="00FC4E8C"/>
    <w:rsid w:val="00FC5041"/>
    <w:rsid w:val="00FC58B4"/>
    <w:rsid w:val="00FC5AF9"/>
    <w:rsid w:val="00FC5D4E"/>
    <w:rsid w:val="00FC61A5"/>
    <w:rsid w:val="00FC6298"/>
    <w:rsid w:val="00FC6592"/>
    <w:rsid w:val="00FC6FE8"/>
    <w:rsid w:val="00FC6FF4"/>
    <w:rsid w:val="00FC70FA"/>
    <w:rsid w:val="00FC7431"/>
    <w:rsid w:val="00FC7BBD"/>
    <w:rsid w:val="00FC7BC0"/>
    <w:rsid w:val="00FC7D94"/>
    <w:rsid w:val="00FC7E6F"/>
    <w:rsid w:val="00FD042C"/>
    <w:rsid w:val="00FD0A60"/>
    <w:rsid w:val="00FD0B3C"/>
    <w:rsid w:val="00FD0D1B"/>
    <w:rsid w:val="00FD0D6A"/>
    <w:rsid w:val="00FD0FFA"/>
    <w:rsid w:val="00FD15A6"/>
    <w:rsid w:val="00FD1BFA"/>
    <w:rsid w:val="00FD1D64"/>
    <w:rsid w:val="00FD240F"/>
    <w:rsid w:val="00FD2A22"/>
    <w:rsid w:val="00FD2B4E"/>
    <w:rsid w:val="00FD300D"/>
    <w:rsid w:val="00FD32C9"/>
    <w:rsid w:val="00FD34EC"/>
    <w:rsid w:val="00FD3EE8"/>
    <w:rsid w:val="00FD3F4D"/>
    <w:rsid w:val="00FD4714"/>
    <w:rsid w:val="00FD4C49"/>
    <w:rsid w:val="00FD5107"/>
    <w:rsid w:val="00FD51BB"/>
    <w:rsid w:val="00FD5448"/>
    <w:rsid w:val="00FD5DAA"/>
    <w:rsid w:val="00FD6147"/>
    <w:rsid w:val="00FD615A"/>
    <w:rsid w:val="00FD61AA"/>
    <w:rsid w:val="00FD647E"/>
    <w:rsid w:val="00FD64D4"/>
    <w:rsid w:val="00FD671B"/>
    <w:rsid w:val="00FD6D7F"/>
    <w:rsid w:val="00FD71F1"/>
    <w:rsid w:val="00FD7BE8"/>
    <w:rsid w:val="00FD7CF1"/>
    <w:rsid w:val="00FD7E7D"/>
    <w:rsid w:val="00FD7F82"/>
    <w:rsid w:val="00FE0384"/>
    <w:rsid w:val="00FE07C8"/>
    <w:rsid w:val="00FE0963"/>
    <w:rsid w:val="00FE0EB1"/>
    <w:rsid w:val="00FE15EE"/>
    <w:rsid w:val="00FE1622"/>
    <w:rsid w:val="00FE1777"/>
    <w:rsid w:val="00FE1BDA"/>
    <w:rsid w:val="00FE1D3D"/>
    <w:rsid w:val="00FE2140"/>
    <w:rsid w:val="00FE3098"/>
    <w:rsid w:val="00FE339D"/>
    <w:rsid w:val="00FE344C"/>
    <w:rsid w:val="00FE352B"/>
    <w:rsid w:val="00FE3B1E"/>
    <w:rsid w:val="00FE3B5C"/>
    <w:rsid w:val="00FE3D79"/>
    <w:rsid w:val="00FE42FB"/>
    <w:rsid w:val="00FE46EF"/>
    <w:rsid w:val="00FE4AD6"/>
    <w:rsid w:val="00FE4EA3"/>
    <w:rsid w:val="00FE4EC9"/>
    <w:rsid w:val="00FE5283"/>
    <w:rsid w:val="00FE5A9B"/>
    <w:rsid w:val="00FE60B4"/>
    <w:rsid w:val="00FE64D9"/>
    <w:rsid w:val="00FE6690"/>
    <w:rsid w:val="00FE6B96"/>
    <w:rsid w:val="00FE6E4C"/>
    <w:rsid w:val="00FE704A"/>
    <w:rsid w:val="00FE70E3"/>
    <w:rsid w:val="00FE7377"/>
    <w:rsid w:val="00FE76B5"/>
    <w:rsid w:val="00FF0073"/>
    <w:rsid w:val="00FF02EC"/>
    <w:rsid w:val="00FF03E1"/>
    <w:rsid w:val="00FF0B9E"/>
    <w:rsid w:val="00FF0C82"/>
    <w:rsid w:val="00FF0FA7"/>
    <w:rsid w:val="00FF1252"/>
    <w:rsid w:val="00FF1409"/>
    <w:rsid w:val="00FF1463"/>
    <w:rsid w:val="00FF17B2"/>
    <w:rsid w:val="00FF1AE3"/>
    <w:rsid w:val="00FF2071"/>
    <w:rsid w:val="00FF2190"/>
    <w:rsid w:val="00FF2502"/>
    <w:rsid w:val="00FF2A61"/>
    <w:rsid w:val="00FF2C54"/>
    <w:rsid w:val="00FF2F21"/>
    <w:rsid w:val="00FF3191"/>
    <w:rsid w:val="00FF31FC"/>
    <w:rsid w:val="00FF33BF"/>
    <w:rsid w:val="00FF35E4"/>
    <w:rsid w:val="00FF3600"/>
    <w:rsid w:val="00FF3C96"/>
    <w:rsid w:val="00FF3DE7"/>
    <w:rsid w:val="00FF3F8D"/>
    <w:rsid w:val="00FF4448"/>
    <w:rsid w:val="00FF471E"/>
    <w:rsid w:val="00FF478E"/>
    <w:rsid w:val="00FF48C2"/>
    <w:rsid w:val="00FF48E7"/>
    <w:rsid w:val="00FF4977"/>
    <w:rsid w:val="00FF49A8"/>
    <w:rsid w:val="00FF4D56"/>
    <w:rsid w:val="00FF4DA0"/>
    <w:rsid w:val="00FF4E64"/>
    <w:rsid w:val="00FF4ED4"/>
    <w:rsid w:val="00FF4F77"/>
    <w:rsid w:val="00FF51DA"/>
    <w:rsid w:val="00FF5471"/>
    <w:rsid w:val="00FF623F"/>
    <w:rsid w:val="00FF637A"/>
    <w:rsid w:val="00FF63C7"/>
    <w:rsid w:val="00FF63F5"/>
    <w:rsid w:val="00FF6852"/>
    <w:rsid w:val="00FF6952"/>
    <w:rsid w:val="00FF6A16"/>
    <w:rsid w:val="00FF6B11"/>
    <w:rsid w:val="00FF7422"/>
    <w:rsid w:val="00FF7485"/>
    <w:rsid w:val="00FF76B5"/>
    <w:rsid w:val="00FF778A"/>
    <w:rsid w:val="00FF7991"/>
    <w:rsid w:val="00FF7B9E"/>
    <w:rsid w:val="00FF7BC2"/>
    <w:rsid w:val="00FF7BD8"/>
    <w:rsid w:val="011B0151"/>
    <w:rsid w:val="0140EC7C"/>
    <w:rsid w:val="014A4A48"/>
    <w:rsid w:val="014C527E"/>
    <w:rsid w:val="014D6DC8"/>
    <w:rsid w:val="0162FCE4"/>
    <w:rsid w:val="017430E4"/>
    <w:rsid w:val="0179410B"/>
    <w:rsid w:val="01795735"/>
    <w:rsid w:val="01C78901"/>
    <w:rsid w:val="01F61AD5"/>
    <w:rsid w:val="01FB5EF2"/>
    <w:rsid w:val="01FF2B29"/>
    <w:rsid w:val="02034B4A"/>
    <w:rsid w:val="020574E7"/>
    <w:rsid w:val="02181CCF"/>
    <w:rsid w:val="021E0B10"/>
    <w:rsid w:val="02263EBC"/>
    <w:rsid w:val="02545B43"/>
    <w:rsid w:val="026B3062"/>
    <w:rsid w:val="0272A0AB"/>
    <w:rsid w:val="0272E1CE"/>
    <w:rsid w:val="02737CCD"/>
    <w:rsid w:val="028C252B"/>
    <w:rsid w:val="02978C74"/>
    <w:rsid w:val="02CC76A6"/>
    <w:rsid w:val="02D086ED"/>
    <w:rsid w:val="02DBD6D8"/>
    <w:rsid w:val="02E8E3D0"/>
    <w:rsid w:val="0309A7DA"/>
    <w:rsid w:val="030E8B81"/>
    <w:rsid w:val="0348EA29"/>
    <w:rsid w:val="034E1952"/>
    <w:rsid w:val="0361298B"/>
    <w:rsid w:val="037847DB"/>
    <w:rsid w:val="0394013A"/>
    <w:rsid w:val="0399B40D"/>
    <w:rsid w:val="039EEFC6"/>
    <w:rsid w:val="03E02540"/>
    <w:rsid w:val="040635CB"/>
    <w:rsid w:val="04072C78"/>
    <w:rsid w:val="0424A586"/>
    <w:rsid w:val="0440E762"/>
    <w:rsid w:val="044BB4F2"/>
    <w:rsid w:val="04572846"/>
    <w:rsid w:val="04795342"/>
    <w:rsid w:val="0480EF10"/>
    <w:rsid w:val="049272E8"/>
    <w:rsid w:val="04A6F27F"/>
    <w:rsid w:val="04AA77C0"/>
    <w:rsid w:val="04B3A176"/>
    <w:rsid w:val="04B7773F"/>
    <w:rsid w:val="04B9EE1E"/>
    <w:rsid w:val="04BBE896"/>
    <w:rsid w:val="04BF8A4F"/>
    <w:rsid w:val="04C44244"/>
    <w:rsid w:val="04D0E412"/>
    <w:rsid w:val="04D1ED59"/>
    <w:rsid w:val="04EAA11F"/>
    <w:rsid w:val="04F192CA"/>
    <w:rsid w:val="04F4F7DC"/>
    <w:rsid w:val="04F7A340"/>
    <w:rsid w:val="050C1A89"/>
    <w:rsid w:val="0520616E"/>
    <w:rsid w:val="0536305E"/>
    <w:rsid w:val="05364E0C"/>
    <w:rsid w:val="0548F51E"/>
    <w:rsid w:val="05602EF1"/>
    <w:rsid w:val="05708E44"/>
    <w:rsid w:val="058EE39A"/>
    <w:rsid w:val="059B1125"/>
    <w:rsid w:val="05AB2C71"/>
    <w:rsid w:val="05C6A5A5"/>
    <w:rsid w:val="05E57DCD"/>
    <w:rsid w:val="05E67654"/>
    <w:rsid w:val="05E69C63"/>
    <w:rsid w:val="05EA364B"/>
    <w:rsid w:val="061A3ACE"/>
    <w:rsid w:val="064B9562"/>
    <w:rsid w:val="066AB50F"/>
    <w:rsid w:val="068B9FFE"/>
    <w:rsid w:val="06A6074C"/>
    <w:rsid w:val="06AB6C69"/>
    <w:rsid w:val="06C30B53"/>
    <w:rsid w:val="06D0B490"/>
    <w:rsid w:val="06EA7E4D"/>
    <w:rsid w:val="06FB86BD"/>
    <w:rsid w:val="07044631"/>
    <w:rsid w:val="070DADE7"/>
    <w:rsid w:val="07278418"/>
    <w:rsid w:val="072C33F3"/>
    <w:rsid w:val="073A6A69"/>
    <w:rsid w:val="076202B8"/>
    <w:rsid w:val="076302EE"/>
    <w:rsid w:val="076552AA"/>
    <w:rsid w:val="076707EF"/>
    <w:rsid w:val="07708743"/>
    <w:rsid w:val="077656E2"/>
    <w:rsid w:val="0777857D"/>
    <w:rsid w:val="07B5A23F"/>
    <w:rsid w:val="07B7E837"/>
    <w:rsid w:val="07BFBD8C"/>
    <w:rsid w:val="07C7CC49"/>
    <w:rsid w:val="07E42912"/>
    <w:rsid w:val="07E4FCD2"/>
    <w:rsid w:val="07E72ABF"/>
    <w:rsid w:val="07F6CF27"/>
    <w:rsid w:val="07FAAE02"/>
    <w:rsid w:val="0825893B"/>
    <w:rsid w:val="082AAFBE"/>
    <w:rsid w:val="083370F6"/>
    <w:rsid w:val="08382A15"/>
    <w:rsid w:val="086FC4DD"/>
    <w:rsid w:val="0878DD23"/>
    <w:rsid w:val="087D6B64"/>
    <w:rsid w:val="08805B14"/>
    <w:rsid w:val="088CB1BF"/>
    <w:rsid w:val="08A46B66"/>
    <w:rsid w:val="08E0197B"/>
    <w:rsid w:val="090FD93F"/>
    <w:rsid w:val="0925EFD1"/>
    <w:rsid w:val="096A45E7"/>
    <w:rsid w:val="096BD6E2"/>
    <w:rsid w:val="0970E646"/>
    <w:rsid w:val="097BA39D"/>
    <w:rsid w:val="09AAE621"/>
    <w:rsid w:val="09AC2AED"/>
    <w:rsid w:val="09B84971"/>
    <w:rsid w:val="09C506FB"/>
    <w:rsid w:val="09E17946"/>
    <w:rsid w:val="09FA3902"/>
    <w:rsid w:val="09FCEA54"/>
    <w:rsid w:val="09FF6C66"/>
    <w:rsid w:val="0A1A97C7"/>
    <w:rsid w:val="0A30F78C"/>
    <w:rsid w:val="0A38F829"/>
    <w:rsid w:val="0A45681C"/>
    <w:rsid w:val="0A577F56"/>
    <w:rsid w:val="0A60AC61"/>
    <w:rsid w:val="0A68E336"/>
    <w:rsid w:val="0A6AE566"/>
    <w:rsid w:val="0A77A4A0"/>
    <w:rsid w:val="0A8025D0"/>
    <w:rsid w:val="0A8483EA"/>
    <w:rsid w:val="0A893957"/>
    <w:rsid w:val="0AC8CB7C"/>
    <w:rsid w:val="0ACF6793"/>
    <w:rsid w:val="0ACFE259"/>
    <w:rsid w:val="0B2E8949"/>
    <w:rsid w:val="0B31A11D"/>
    <w:rsid w:val="0B502E26"/>
    <w:rsid w:val="0B9BD21B"/>
    <w:rsid w:val="0BA566FF"/>
    <w:rsid w:val="0BA86125"/>
    <w:rsid w:val="0BC9E3B0"/>
    <w:rsid w:val="0BCBAD13"/>
    <w:rsid w:val="0BE3AA6D"/>
    <w:rsid w:val="0BFC7D40"/>
    <w:rsid w:val="0C44AFA0"/>
    <w:rsid w:val="0C864C2E"/>
    <w:rsid w:val="0C917948"/>
    <w:rsid w:val="0CAB4CEF"/>
    <w:rsid w:val="0CC53C4C"/>
    <w:rsid w:val="0CEFCAC8"/>
    <w:rsid w:val="0CFA83B6"/>
    <w:rsid w:val="0CFFA6AE"/>
    <w:rsid w:val="0D1929C7"/>
    <w:rsid w:val="0D3DAF08"/>
    <w:rsid w:val="0D5CAD3E"/>
    <w:rsid w:val="0D7BCDF0"/>
    <w:rsid w:val="0D7D6DFF"/>
    <w:rsid w:val="0D97FAE2"/>
    <w:rsid w:val="0D9A2FC3"/>
    <w:rsid w:val="0DA452DB"/>
    <w:rsid w:val="0DACE58A"/>
    <w:rsid w:val="0DD32524"/>
    <w:rsid w:val="0DE3C5FE"/>
    <w:rsid w:val="0DE98D74"/>
    <w:rsid w:val="0E05B578"/>
    <w:rsid w:val="0E1DE02B"/>
    <w:rsid w:val="0E27273A"/>
    <w:rsid w:val="0E2DBD82"/>
    <w:rsid w:val="0E3E285D"/>
    <w:rsid w:val="0E6BA5A1"/>
    <w:rsid w:val="0E6CD092"/>
    <w:rsid w:val="0E74FBC2"/>
    <w:rsid w:val="0E83924D"/>
    <w:rsid w:val="0E83DD3B"/>
    <w:rsid w:val="0E897460"/>
    <w:rsid w:val="0EF203DE"/>
    <w:rsid w:val="0F0D5ABA"/>
    <w:rsid w:val="0F5C985E"/>
    <w:rsid w:val="0F69096D"/>
    <w:rsid w:val="0F81D4C0"/>
    <w:rsid w:val="0F8BF958"/>
    <w:rsid w:val="0FBF1CBD"/>
    <w:rsid w:val="0FCE9794"/>
    <w:rsid w:val="0FDA6BB8"/>
    <w:rsid w:val="0FF0DEFB"/>
    <w:rsid w:val="0FF3483E"/>
    <w:rsid w:val="0FF3A433"/>
    <w:rsid w:val="10062573"/>
    <w:rsid w:val="100EF4B5"/>
    <w:rsid w:val="101FA627"/>
    <w:rsid w:val="103A7AA8"/>
    <w:rsid w:val="103E7430"/>
    <w:rsid w:val="1046AF2F"/>
    <w:rsid w:val="106C87D1"/>
    <w:rsid w:val="10708DBD"/>
    <w:rsid w:val="1081FFA3"/>
    <w:rsid w:val="10CEF3C6"/>
    <w:rsid w:val="10D82CB9"/>
    <w:rsid w:val="10D9899E"/>
    <w:rsid w:val="10FCF42C"/>
    <w:rsid w:val="1115176B"/>
    <w:rsid w:val="111DD6BA"/>
    <w:rsid w:val="113597D6"/>
    <w:rsid w:val="115A3724"/>
    <w:rsid w:val="116AB9CC"/>
    <w:rsid w:val="1177E2B8"/>
    <w:rsid w:val="117C6E74"/>
    <w:rsid w:val="1191D7A6"/>
    <w:rsid w:val="11940C77"/>
    <w:rsid w:val="11A8B2ED"/>
    <w:rsid w:val="11B14F9E"/>
    <w:rsid w:val="11B3357D"/>
    <w:rsid w:val="11C321F1"/>
    <w:rsid w:val="11E5D084"/>
    <w:rsid w:val="11F3EA67"/>
    <w:rsid w:val="11FD9C0F"/>
    <w:rsid w:val="1206CC35"/>
    <w:rsid w:val="1220F20B"/>
    <w:rsid w:val="1230A784"/>
    <w:rsid w:val="12409BE4"/>
    <w:rsid w:val="1242680E"/>
    <w:rsid w:val="1258D144"/>
    <w:rsid w:val="1259FE6F"/>
    <w:rsid w:val="125ABC3D"/>
    <w:rsid w:val="12762B1D"/>
    <w:rsid w:val="1276745C"/>
    <w:rsid w:val="129F6DF4"/>
    <w:rsid w:val="12A1BE98"/>
    <w:rsid w:val="12A21F76"/>
    <w:rsid w:val="12AD09FE"/>
    <w:rsid w:val="12AD62A9"/>
    <w:rsid w:val="12B1B16B"/>
    <w:rsid w:val="12B587BB"/>
    <w:rsid w:val="12C9B093"/>
    <w:rsid w:val="12CDEB2B"/>
    <w:rsid w:val="12DCC57A"/>
    <w:rsid w:val="12DF7F63"/>
    <w:rsid w:val="12E3D32B"/>
    <w:rsid w:val="12E3F321"/>
    <w:rsid w:val="1320DB53"/>
    <w:rsid w:val="1328622C"/>
    <w:rsid w:val="132A3EDC"/>
    <w:rsid w:val="133144A2"/>
    <w:rsid w:val="13543D46"/>
    <w:rsid w:val="1359890E"/>
    <w:rsid w:val="135B8F3D"/>
    <w:rsid w:val="1360419F"/>
    <w:rsid w:val="137B4F52"/>
    <w:rsid w:val="138C020B"/>
    <w:rsid w:val="13905E16"/>
    <w:rsid w:val="139DF4A6"/>
    <w:rsid w:val="13BDD18B"/>
    <w:rsid w:val="13D21133"/>
    <w:rsid w:val="13D98B92"/>
    <w:rsid w:val="13EBAD07"/>
    <w:rsid w:val="13F11736"/>
    <w:rsid w:val="14016E55"/>
    <w:rsid w:val="141C3982"/>
    <w:rsid w:val="146580B6"/>
    <w:rsid w:val="146A9582"/>
    <w:rsid w:val="14792E8E"/>
    <w:rsid w:val="1479FE67"/>
    <w:rsid w:val="14812F61"/>
    <w:rsid w:val="14A85A2A"/>
    <w:rsid w:val="14BA2CFE"/>
    <w:rsid w:val="14D2C74E"/>
    <w:rsid w:val="14E56C57"/>
    <w:rsid w:val="14E7F260"/>
    <w:rsid w:val="14F3B4FA"/>
    <w:rsid w:val="151CF73C"/>
    <w:rsid w:val="152838A5"/>
    <w:rsid w:val="153C7060"/>
    <w:rsid w:val="15409753"/>
    <w:rsid w:val="154F0EB1"/>
    <w:rsid w:val="15636D45"/>
    <w:rsid w:val="15965571"/>
    <w:rsid w:val="1597651C"/>
    <w:rsid w:val="159AE4C9"/>
    <w:rsid w:val="15A1DCD6"/>
    <w:rsid w:val="15B12917"/>
    <w:rsid w:val="15C1DFD2"/>
    <w:rsid w:val="15C21E07"/>
    <w:rsid w:val="15DD3E10"/>
    <w:rsid w:val="15E3B687"/>
    <w:rsid w:val="16001D50"/>
    <w:rsid w:val="160E93EE"/>
    <w:rsid w:val="164885AE"/>
    <w:rsid w:val="166F51BC"/>
    <w:rsid w:val="168F2FE1"/>
    <w:rsid w:val="16A7B74C"/>
    <w:rsid w:val="16C3751A"/>
    <w:rsid w:val="16D40646"/>
    <w:rsid w:val="16EB6DD9"/>
    <w:rsid w:val="170542DD"/>
    <w:rsid w:val="17395210"/>
    <w:rsid w:val="1749B872"/>
    <w:rsid w:val="1753E484"/>
    <w:rsid w:val="176197F3"/>
    <w:rsid w:val="1767D024"/>
    <w:rsid w:val="176976E0"/>
    <w:rsid w:val="1790E566"/>
    <w:rsid w:val="17954064"/>
    <w:rsid w:val="179DAB9B"/>
    <w:rsid w:val="17D6A446"/>
    <w:rsid w:val="17DB06B0"/>
    <w:rsid w:val="17EA86C9"/>
    <w:rsid w:val="17EE4997"/>
    <w:rsid w:val="17F1D3C7"/>
    <w:rsid w:val="18514644"/>
    <w:rsid w:val="1860B409"/>
    <w:rsid w:val="186B19A7"/>
    <w:rsid w:val="186FEE99"/>
    <w:rsid w:val="187B6503"/>
    <w:rsid w:val="18A1A56B"/>
    <w:rsid w:val="18C1F8CE"/>
    <w:rsid w:val="18D03511"/>
    <w:rsid w:val="18F7735B"/>
    <w:rsid w:val="18F929C7"/>
    <w:rsid w:val="19340871"/>
    <w:rsid w:val="193840CB"/>
    <w:rsid w:val="193C3BE7"/>
    <w:rsid w:val="19496928"/>
    <w:rsid w:val="1961D598"/>
    <w:rsid w:val="1986B5FB"/>
    <w:rsid w:val="19B449B8"/>
    <w:rsid w:val="1A13753A"/>
    <w:rsid w:val="1A14E464"/>
    <w:rsid w:val="1A486609"/>
    <w:rsid w:val="1A569E14"/>
    <w:rsid w:val="1A5E5112"/>
    <w:rsid w:val="1A7FF603"/>
    <w:rsid w:val="1A818C14"/>
    <w:rsid w:val="1A82A87A"/>
    <w:rsid w:val="1ABE714A"/>
    <w:rsid w:val="1ACC4AD9"/>
    <w:rsid w:val="1B0B6717"/>
    <w:rsid w:val="1B6488AC"/>
    <w:rsid w:val="1B7C977D"/>
    <w:rsid w:val="1B8284D2"/>
    <w:rsid w:val="1B944860"/>
    <w:rsid w:val="1BA577BE"/>
    <w:rsid w:val="1BB828A7"/>
    <w:rsid w:val="1BC86C37"/>
    <w:rsid w:val="1BDE344D"/>
    <w:rsid w:val="1BEBFE2A"/>
    <w:rsid w:val="1BFE8609"/>
    <w:rsid w:val="1C007231"/>
    <w:rsid w:val="1C04DF46"/>
    <w:rsid w:val="1C109947"/>
    <w:rsid w:val="1C23EC4F"/>
    <w:rsid w:val="1C27BBE2"/>
    <w:rsid w:val="1C4DF8B5"/>
    <w:rsid w:val="1C6E6053"/>
    <w:rsid w:val="1C778B80"/>
    <w:rsid w:val="1C8317B2"/>
    <w:rsid w:val="1C8FC112"/>
    <w:rsid w:val="1CA367D7"/>
    <w:rsid w:val="1CA8ABAB"/>
    <w:rsid w:val="1CC5C4A4"/>
    <w:rsid w:val="1CC5DAA8"/>
    <w:rsid w:val="1CFC6905"/>
    <w:rsid w:val="1D124C6B"/>
    <w:rsid w:val="1D22D083"/>
    <w:rsid w:val="1D3A4D49"/>
    <w:rsid w:val="1D58D9F9"/>
    <w:rsid w:val="1D5D9952"/>
    <w:rsid w:val="1D649853"/>
    <w:rsid w:val="1D674171"/>
    <w:rsid w:val="1D6E3D31"/>
    <w:rsid w:val="1D8159C3"/>
    <w:rsid w:val="1DA10F60"/>
    <w:rsid w:val="1DAF74DE"/>
    <w:rsid w:val="1DC76F92"/>
    <w:rsid w:val="1DD38023"/>
    <w:rsid w:val="1DD706BA"/>
    <w:rsid w:val="1DDC393A"/>
    <w:rsid w:val="1DE7C9C5"/>
    <w:rsid w:val="1DF9E358"/>
    <w:rsid w:val="1E040F05"/>
    <w:rsid w:val="1E120D22"/>
    <w:rsid w:val="1E127D77"/>
    <w:rsid w:val="1E2BBA4A"/>
    <w:rsid w:val="1E48A777"/>
    <w:rsid w:val="1E4C48DC"/>
    <w:rsid w:val="1E552A5E"/>
    <w:rsid w:val="1E6DDB67"/>
    <w:rsid w:val="1E74D648"/>
    <w:rsid w:val="1E79DAB6"/>
    <w:rsid w:val="1EC31904"/>
    <w:rsid w:val="1EDF3315"/>
    <w:rsid w:val="1EE8E9ED"/>
    <w:rsid w:val="1EFCAE0C"/>
    <w:rsid w:val="1F1C8A78"/>
    <w:rsid w:val="1F1DBABB"/>
    <w:rsid w:val="1F204DB2"/>
    <w:rsid w:val="1F2267F9"/>
    <w:rsid w:val="1F2B9ECA"/>
    <w:rsid w:val="1F853902"/>
    <w:rsid w:val="1F8B302A"/>
    <w:rsid w:val="1FA2F661"/>
    <w:rsid w:val="1FBF2483"/>
    <w:rsid w:val="1FF4FFA6"/>
    <w:rsid w:val="1FFEC25C"/>
    <w:rsid w:val="2015358D"/>
    <w:rsid w:val="204323B2"/>
    <w:rsid w:val="204E6B97"/>
    <w:rsid w:val="205D853B"/>
    <w:rsid w:val="205E75BF"/>
    <w:rsid w:val="2065A611"/>
    <w:rsid w:val="206CCC45"/>
    <w:rsid w:val="209528C4"/>
    <w:rsid w:val="20AAD6CF"/>
    <w:rsid w:val="20AF72B8"/>
    <w:rsid w:val="20B47DB3"/>
    <w:rsid w:val="20B5B8D1"/>
    <w:rsid w:val="20BFB1A5"/>
    <w:rsid w:val="20DFFE7B"/>
    <w:rsid w:val="210A68BA"/>
    <w:rsid w:val="210FA2F7"/>
    <w:rsid w:val="2153B956"/>
    <w:rsid w:val="2160AEB3"/>
    <w:rsid w:val="2185BB95"/>
    <w:rsid w:val="2188522A"/>
    <w:rsid w:val="218DE6FC"/>
    <w:rsid w:val="219D1F9A"/>
    <w:rsid w:val="21BE6BF1"/>
    <w:rsid w:val="21EFF4E4"/>
    <w:rsid w:val="22288B53"/>
    <w:rsid w:val="2245EBA0"/>
    <w:rsid w:val="22569C4D"/>
    <w:rsid w:val="225D2E75"/>
    <w:rsid w:val="22890217"/>
    <w:rsid w:val="22B42CE7"/>
    <w:rsid w:val="22B66ED3"/>
    <w:rsid w:val="22E7138A"/>
    <w:rsid w:val="231E2649"/>
    <w:rsid w:val="2346F7B2"/>
    <w:rsid w:val="234EC53F"/>
    <w:rsid w:val="2350A1A5"/>
    <w:rsid w:val="23686DFC"/>
    <w:rsid w:val="23AE8E71"/>
    <w:rsid w:val="23B07646"/>
    <w:rsid w:val="23BED5CC"/>
    <w:rsid w:val="23D3C35D"/>
    <w:rsid w:val="23E170C6"/>
    <w:rsid w:val="23EAB9F0"/>
    <w:rsid w:val="23EC7881"/>
    <w:rsid w:val="245F8AF4"/>
    <w:rsid w:val="24767E27"/>
    <w:rsid w:val="248593BE"/>
    <w:rsid w:val="2493CF77"/>
    <w:rsid w:val="24956FDE"/>
    <w:rsid w:val="24A2049F"/>
    <w:rsid w:val="24F0B578"/>
    <w:rsid w:val="24FD2B67"/>
    <w:rsid w:val="250BC938"/>
    <w:rsid w:val="25205E64"/>
    <w:rsid w:val="25442638"/>
    <w:rsid w:val="254E6CC6"/>
    <w:rsid w:val="2551249A"/>
    <w:rsid w:val="25795C4D"/>
    <w:rsid w:val="258D769A"/>
    <w:rsid w:val="259CD46E"/>
    <w:rsid w:val="25D4C49A"/>
    <w:rsid w:val="25E9EB66"/>
    <w:rsid w:val="26079C1F"/>
    <w:rsid w:val="2617F2BC"/>
    <w:rsid w:val="262D5EE2"/>
    <w:rsid w:val="263E4934"/>
    <w:rsid w:val="2641F250"/>
    <w:rsid w:val="2644FB02"/>
    <w:rsid w:val="2658AE37"/>
    <w:rsid w:val="265B4D58"/>
    <w:rsid w:val="266AD0FB"/>
    <w:rsid w:val="267AB0D1"/>
    <w:rsid w:val="267B2450"/>
    <w:rsid w:val="267F735D"/>
    <w:rsid w:val="268CDCE9"/>
    <w:rsid w:val="26951AED"/>
    <w:rsid w:val="26D7927F"/>
    <w:rsid w:val="2742F2F3"/>
    <w:rsid w:val="274F1077"/>
    <w:rsid w:val="27773A06"/>
    <w:rsid w:val="277D7837"/>
    <w:rsid w:val="27820022"/>
    <w:rsid w:val="2783E314"/>
    <w:rsid w:val="27851C8F"/>
    <w:rsid w:val="2789D1E7"/>
    <w:rsid w:val="278CC639"/>
    <w:rsid w:val="27A5660F"/>
    <w:rsid w:val="27B0FE21"/>
    <w:rsid w:val="27C2C967"/>
    <w:rsid w:val="27DB1896"/>
    <w:rsid w:val="27F03C3D"/>
    <w:rsid w:val="27F0E4ED"/>
    <w:rsid w:val="28150084"/>
    <w:rsid w:val="281DD312"/>
    <w:rsid w:val="28373A0D"/>
    <w:rsid w:val="283DE716"/>
    <w:rsid w:val="284F48BE"/>
    <w:rsid w:val="2861BB20"/>
    <w:rsid w:val="286E9A92"/>
    <w:rsid w:val="287BD24B"/>
    <w:rsid w:val="2883EBA5"/>
    <w:rsid w:val="2893E995"/>
    <w:rsid w:val="289BFC39"/>
    <w:rsid w:val="28B724F3"/>
    <w:rsid w:val="28C944AA"/>
    <w:rsid w:val="28DAAF27"/>
    <w:rsid w:val="28DD6991"/>
    <w:rsid w:val="28F0B783"/>
    <w:rsid w:val="28F7F7D4"/>
    <w:rsid w:val="290B01FF"/>
    <w:rsid w:val="290C206A"/>
    <w:rsid w:val="293B88DD"/>
    <w:rsid w:val="29547715"/>
    <w:rsid w:val="299CEF7D"/>
    <w:rsid w:val="299F6725"/>
    <w:rsid w:val="29AA5AAA"/>
    <w:rsid w:val="29B54FE3"/>
    <w:rsid w:val="29CA4309"/>
    <w:rsid w:val="29D632F1"/>
    <w:rsid w:val="2A0D7A1B"/>
    <w:rsid w:val="2A6C18AF"/>
    <w:rsid w:val="2AA3E5A2"/>
    <w:rsid w:val="2ACDA614"/>
    <w:rsid w:val="2ACDD321"/>
    <w:rsid w:val="2AE6B87F"/>
    <w:rsid w:val="2AE6DEDD"/>
    <w:rsid w:val="2AED6956"/>
    <w:rsid w:val="2B22EF78"/>
    <w:rsid w:val="2B3E7C2C"/>
    <w:rsid w:val="2B522A51"/>
    <w:rsid w:val="2B6064B2"/>
    <w:rsid w:val="2B65FDCD"/>
    <w:rsid w:val="2B687F3D"/>
    <w:rsid w:val="2B69FC28"/>
    <w:rsid w:val="2B7917E5"/>
    <w:rsid w:val="2B83D08B"/>
    <w:rsid w:val="2B9AE847"/>
    <w:rsid w:val="2B9CF2B3"/>
    <w:rsid w:val="2BAF33C2"/>
    <w:rsid w:val="2BBC0784"/>
    <w:rsid w:val="2BC2B68E"/>
    <w:rsid w:val="2C1C6781"/>
    <w:rsid w:val="2C255DC8"/>
    <w:rsid w:val="2C3ABE60"/>
    <w:rsid w:val="2C414E24"/>
    <w:rsid w:val="2C6A72DB"/>
    <w:rsid w:val="2C6E0AE3"/>
    <w:rsid w:val="2C74CB45"/>
    <w:rsid w:val="2C8CC906"/>
    <w:rsid w:val="2C911098"/>
    <w:rsid w:val="2CA7E14D"/>
    <w:rsid w:val="2CBCD20F"/>
    <w:rsid w:val="2D00EEA1"/>
    <w:rsid w:val="2D17B9B1"/>
    <w:rsid w:val="2D1CB2C8"/>
    <w:rsid w:val="2D325982"/>
    <w:rsid w:val="2D392908"/>
    <w:rsid w:val="2D6667F1"/>
    <w:rsid w:val="2D68C220"/>
    <w:rsid w:val="2D700675"/>
    <w:rsid w:val="2D748B20"/>
    <w:rsid w:val="2D9A8DA6"/>
    <w:rsid w:val="2DA308F4"/>
    <w:rsid w:val="2DB00EAC"/>
    <w:rsid w:val="2DB4A866"/>
    <w:rsid w:val="2DB85B6D"/>
    <w:rsid w:val="2DF327DC"/>
    <w:rsid w:val="2E27DCA2"/>
    <w:rsid w:val="2E2E1682"/>
    <w:rsid w:val="2E3F3F13"/>
    <w:rsid w:val="2E41FDAE"/>
    <w:rsid w:val="2E48D073"/>
    <w:rsid w:val="2E65AD2F"/>
    <w:rsid w:val="2E7C87F3"/>
    <w:rsid w:val="2E8C0F2F"/>
    <w:rsid w:val="2E976A37"/>
    <w:rsid w:val="2EA8572C"/>
    <w:rsid w:val="2EAB6DF6"/>
    <w:rsid w:val="2EB201FA"/>
    <w:rsid w:val="2EBD07D0"/>
    <w:rsid w:val="2ECC203F"/>
    <w:rsid w:val="2EE313BD"/>
    <w:rsid w:val="2EFE1D82"/>
    <w:rsid w:val="2F25E7F0"/>
    <w:rsid w:val="2F2A59F9"/>
    <w:rsid w:val="2F442F2F"/>
    <w:rsid w:val="2F57C2C3"/>
    <w:rsid w:val="2F60A83F"/>
    <w:rsid w:val="2F64FD86"/>
    <w:rsid w:val="2F8E6921"/>
    <w:rsid w:val="2F939AC6"/>
    <w:rsid w:val="2FA0EDC3"/>
    <w:rsid w:val="2FAE29BB"/>
    <w:rsid w:val="2FCE72B0"/>
    <w:rsid w:val="2FD7F538"/>
    <w:rsid w:val="2FE04EFD"/>
    <w:rsid w:val="30026C72"/>
    <w:rsid w:val="300B28BE"/>
    <w:rsid w:val="300F72E2"/>
    <w:rsid w:val="30163636"/>
    <w:rsid w:val="3020E11C"/>
    <w:rsid w:val="304091AB"/>
    <w:rsid w:val="30541B0E"/>
    <w:rsid w:val="305A99BD"/>
    <w:rsid w:val="3068E629"/>
    <w:rsid w:val="3081F1B0"/>
    <w:rsid w:val="308D7FF4"/>
    <w:rsid w:val="30B455C9"/>
    <w:rsid w:val="30B7F6A6"/>
    <w:rsid w:val="30BACC66"/>
    <w:rsid w:val="30CB2CD1"/>
    <w:rsid w:val="30D15C6F"/>
    <w:rsid w:val="30E14216"/>
    <w:rsid w:val="30FCD354"/>
    <w:rsid w:val="311F29AE"/>
    <w:rsid w:val="317C7E3F"/>
    <w:rsid w:val="31961B73"/>
    <w:rsid w:val="31B23DC9"/>
    <w:rsid w:val="31C3CBCE"/>
    <w:rsid w:val="31E62F89"/>
    <w:rsid w:val="31E69478"/>
    <w:rsid w:val="31F3C4F3"/>
    <w:rsid w:val="31FD8B04"/>
    <w:rsid w:val="32001B60"/>
    <w:rsid w:val="32058A32"/>
    <w:rsid w:val="320AA258"/>
    <w:rsid w:val="32146AE8"/>
    <w:rsid w:val="321B6DCD"/>
    <w:rsid w:val="32350A30"/>
    <w:rsid w:val="3242EB83"/>
    <w:rsid w:val="32546D28"/>
    <w:rsid w:val="327969DD"/>
    <w:rsid w:val="32C9F89D"/>
    <w:rsid w:val="32D711E3"/>
    <w:rsid w:val="330E3BAC"/>
    <w:rsid w:val="3320BB4B"/>
    <w:rsid w:val="3320D473"/>
    <w:rsid w:val="332D95B6"/>
    <w:rsid w:val="3344222F"/>
    <w:rsid w:val="3359B8AB"/>
    <w:rsid w:val="336B8CA6"/>
    <w:rsid w:val="337EA96A"/>
    <w:rsid w:val="33910A1D"/>
    <w:rsid w:val="33AAAF12"/>
    <w:rsid w:val="33BC4762"/>
    <w:rsid w:val="33BF0D99"/>
    <w:rsid w:val="33CCC2C2"/>
    <w:rsid w:val="33E53EFF"/>
    <w:rsid w:val="33F16F6A"/>
    <w:rsid w:val="34041A6C"/>
    <w:rsid w:val="340AF226"/>
    <w:rsid w:val="3411058C"/>
    <w:rsid w:val="3426B268"/>
    <w:rsid w:val="342C8042"/>
    <w:rsid w:val="3438EFD2"/>
    <w:rsid w:val="34564E39"/>
    <w:rsid w:val="3470D442"/>
    <w:rsid w:val="34953785"/>
    <w:rsid w:val="349973E0"/>
    <w:rsid w:val="34A8FE8A"/>
    <w:rsid w:val="34AF9CA7"/>
    <w:rsid w:val="34C1EC5E"/>
    <w:rsid w:val="34D45E32"/>
    <w:rsid w:val="34D5EC07"/>
    <w:rsid w:val="34E31C70"/>
    <w:rsid w:val="34FAD5E9"/>
    <w:rsid w:val="3508355F"/>
    <w:rsid w:val="351FCE54"/>
    <w:rsid w:val="35415676"/>
    <w:rsid w:val="355AA10F"/>
    <w:rsid w:val="35739DF6"/>
    <w:rsid w:val="3579554A"/>
    <w:rsid w:val="357C63E8"/>
    <w:rsid w:val="3587E167"/>
    <w:rsid w:val="3588F098"/>
    <w:rsid w:val="359DE62E"/>
    <w:rsid w:val="35B57E1E"/>
    <w:rsid w:val="35BB6E31"/>
    <w:rsid w:val="35D55ED4"/>
    <w:rsid w:val="35E524F5"/>
    <w:rsid w:val="35E9673F"/>
    <w:rsid w:val="360BB521"/>
    <w:rsid w:val="36143875"/>
    <w:rsid w:val="36260799"/>
    <w:rsid w:val="364C4342"/>
    <w:rsid w:val="3658AA74"/>
    <w:rsid w:val="36615262"/>
    <w:rsid w:val="367B6156"/>
    <w:rsid w:val="36841B51"/>
    <w:rsid w:val="36B2E0EE"/>
    <w:rsid w:val="36D377A9"/>
    <w:rsid w:val="36E34595"/>
    <w:rsid w:val="371F09CD"/>
    <w:rsid w:val="37283C2F"/>
    <w:rsid w:val="373563C9"/>
    <w:rsid w:val="37526208"/>
    <w:rsid w:val="3755282A"/>
    <w:rsid w:val="375FC142"/>
    <w:rsid w:val="37686887"/>
    <w:rsid w:val="37A89483"/>
    <w:rsid w:val="37B8E49A"/>
    <w:rsid w:val="37CDA4D3"/>
    <w:rsid w:val="37DC7492"/>
    <w:rsid w:val="3816EA19"/>
    <w:rsid w:val="38239716"/>
    <w:rsid w:val="382DA040"/>
    <w:rsid w:val="38307FBE"/>
    <w:rsid w:val="384185D5"/>
    <w:rsid w:val="385C34D3"/>
    <w:rsid w:val="3871E4AC"/>
    <w:rsid w:val="38A94F90"/>
    <w:rsid w:val="38AA00AF"/>
    <w:rsid w:val="38BBC646"/>
    <w:rsid w:val="38F0EFAC"/>
    <w:rsid w:val="38F6A318"/>
    <w:rsid w:val="3904E02A"/>
    <w:rsid w:val="392309DB"/>
    <w:rsid w:val="3948A366"/>
    <w:rsid w:val="3951ACBC"/>
    <w:rsid w:val="396714A0"/>
    <w:rsid w:val="397C204C"/>
    <w:rsid w:val="397FD3B3"/>
    <w:rsid w:val="398D3699"/>
    <w:rsid w:val="3994F268"/>
    <w:rsid w:val="399FD533"/>
    <w:rsid w:val="39A9A3B0"/>
    <w:rsid w:val="39A9BB58"/>
    <w:rsid w:val="39DFBBF0"/>
    <w:rsid w:val="39EC379F"/>
    <w:rsid w:val="39F73CBD"/>
    <w:rsid w:val="3A0A8E36"/>
    <w:rsid w:val="3A155657"/>
    <w:rsid w:val="3A173863"/>
    <w:rsid w:val="3A229D2A"/>
    <w:rsid w:val="3A341C4E"/>
    <w:rsid w:val="3A6356C7"/>
    <w:rsid w:val="3A6F77CF"/>
    <w:rsid w:val="3A94BDCA"/>
    <w:rsid w:val="3A97AEB4"/>
    <w:rsid w:val="3AD3D59C"/>
    <w:rsid w:val="3ADAF954"/>
    <w:rsid w:val="3AE7D040"/>
    <w:rsid w:val="3B0A1D3C"/>
    <w:rsid w:val="3B15393C"/>
    <w:rsid w:val="3B1695C7"/>
    <w:rsid w:val="3B27E6F9"/>
    <w:rsid w:val="3B4D9B88"/>
    <w:rsid w:val="3B680520"/>
    <w:rsid w:val="3B6AFF1E"/>
    <w:rsid w:val="3B702710"/>
    <w:rsid w:val="3B7E4152"/>
    <w:rsid w:val="3B84E9EC"/>
    <w:rsid w:val="3B8C446E"/>
    <w:rsid w:val="3BA78581"/>
    <w:rsid w:val="3BD47705"/>
    <w:rsid w:val="3BD79603"/>
    <w:rsid w:val="3C16720D"/>
    <w:rsid w:val="3C16BAF1"/>
    <w:rsid w:val="3C1EBA00"/>
    <w:rsid w:val="3C2554DA"/>
    <w:rsid w:val="3C272B6D"/>
    <w:rsid w:val="3C3840D9"/>
    <w:rsid w:val="3C665E01"/>
    <w:rsid w:val="3C747279"/>
    <w:rsid w:val="3C78D272"/>
    <w:rsid w:val="3C861980"/>
    <w:rsid w:val="3CABB167"/>
    <w:rsid w:val="3CAFAED4"/>
    <w:rsid w:val="3CC56A41"/>
    <w:rsid w:val="3CE57A9D"/>
    <w:rsid w:val="3CFC74FE"/>
    <w:rsid w:val="3CFD5DDA"/>
    <w:rsid w:val="3D034574"/>
    <w:rsid w:val="3D2DA3DF"/>
    <w:rsid w:val="3D369DCD"/>
    <w:rsid w:val="3D47E735"/>
    <w:rsid w:val="3D99BC46"/>
    <w:rsid w:val="3DA7D459"/>
    <w:rsid w:val="3DB6FD32"/>
    <w:rsid w:val="3DC120F9"/>
    <w:rsid w:val="3DD51D33"/>
    <w:rsid w:val="3DDD94FC"/>
    <w:rsid w:val="3DEC8895"/>
    <w:rsid w:val="3E3705B2"/>
    <w:rsid w:val="3E381C73"/>
    <w:rsid w:val="3E3CC7AB"/>
    <w:rsid w:val="3E43189A"/>
    <w:rsid w:val="3E54C9C3"/>
    <w:rsid w:val="3E586B91"/>
    <w:rsid w:val="3E5D8778"/>
    <w:rsid w:val="3E66A3C7"/>
    <w:rsid w:val="3E7B0F07"/>
    <w:rsid w:val="3E7B15CD"/>
    <w:rsid w:val="3E814982"/>
    <w:rsid w:val="3E82C136"/>
    <w:rsid w:val="3EB748C2"/>
    <w:rsid w:val="3EC3E356"/>
    <w:rsid w:val="3ED7DF61"/>
    <w:rsid w:val="3EDA04DC"/>
    <w:rsid w:val="3EED900F"/>
    <w:rsid w:val="3EF34B14"/>
    <w:rsid w:val="3EF63F52"/>
    <w:rsid w:val="3F0068D1"/>
    <w:rsid w:val="3F0EEA50"/>
    <w:rsid w:val="3F43BDA9"/>
    <w:rsid w:val="3F486D20"/>
    <w:rsid w:val="3F685650"/>
    <w:rsid w:val="3F8E509A"/>
    <w:rsid w:val="3FA8D97A"/>
    <w:rsid w:val="3FAB0695"/>
    <w:rsid w:val="3FBE71AC"/>
    <w:rsid w:val="3FC8FE02"/>
    <w:rsid w:val="3FCBE20E"/>
    <w:rsid w:val="3FCD0A81"/>
    <w:rsid w:val="3FE9CB08"/>
    <w:rsid w:val="3FEA083B"/>
    <w:rsid w:val="3FF85F81"/>
    <w:rsid w:val="4012350C"/>
    <w:rsid w:val="4020A57E"/>
    <w:rsid w:val="403AC785"/>
    <w:rsid w:val="4091A714"/>
    <w:rsid w:val="409F3CCA"/>
    <w:rsid w:val="40C1B119"/>
    <w:rsid w:val="40C3552B"/>
    <w:rsid w:val="40E15759"/>
    <w:rsid w:val="40EA074A"/>
    <w:rsid w:val="4101F065"/>
    <w:rsid w:val="415E3887"/>
    <w:rsid w:val="415FD330"/>
    <w:rsid w:val="41948F23"/>
    <w:rsid w:val="41A07517"/>
    <w:rsid w:val="41A6DA0D"/>
    <w:rsid w:val="41AA8114"/>
    <w:rsid w:val="41AE2BC5"/>
    <w:rsid w:val="41FB9FB4"/>
    <w:rsid w:val="420A6D08"/>
    <w:rsid w:val="42A3281A"/>
    <w:rsid w:val="42C84D48"/>
    <w:rsid w:val="42D9C9DE"/>
    <w:rsid w:val="42F039BB"/>
    <w:rsid w:val="42F493D0"/>
    <w:rsid w:val="4328959F"/>
    <w:rsid w:val="43338C50"/>
    <w:rsid w:val="4349430F"/>
    <w:rsid w:val="434DBA6B"/>
    <w:rsid w:val="4356E4EB"/>
    <w:rsid w:val="435BD046"/>
    <w:rsid w:val="4360AD2D"/>
    <w:rsid w:val="438CE4EE"/>
    <w:rsid w:val="439ADEF2"/>
    <w:rsid w:val="43D3D7DE"/>
    <w:rsid w:val="43E73EC6"/>
    <w:rsid w:val="43EF71DC"/>
    <w:rsid w:val="4415300A"/>
    <w:rsid w:val="441B9880"/>
    <w:rsid w:val="4438EC4D"/>
    <w:rsid w:val="4441541D"/>
    <w:rsid w:val="44559351"/>
    <w:rsid w:val="445BF3CC"/>
    <w:rsid w:val="4493EC1E"/>
    <w:rsid w:val="44B7E1E1"/>
    <w:rsid w:val="44B9CF43"/>
    <w:rsid w:val="44BE4054"/>
    <w:rsid w:val="44BF5D07"/>
    <w:rsid w:val="44C7D2EE"/>
    <w:rsid w:val="44DB365F"/>
    <w:rsid w:val="44F658FE"/>
    <w:rsid w:val="45242614"/>
    <w:rsid w:val="45310F42"/>
    <w:rsid w:val="4540307E"/>
    <w:rsid w:val="454DCA47"/>
    <w:rsid w:val="4563ADBE"/>
    <w:rsid w:val="4565D101"/>
    <w:rsid w:val="4599E6C9"/>
    <w:rsid w:val="459D7674"/>
    <w:rsid w:val="45A1B92A"/>
    <w:rsid w:val="45A7E6C7"/>
    <w:rsid w:val="45DF0A14"/>
    <w:rsid w:val="45E7B244"/>
    <w:rsid w:val="45F1FA55"/>
    <w:rsid w:val="4609F57B"/>
    <w:rsid w:val="460C9502"/>
    <w:rsid w:val="46312AC6"/>
    <w:rsid w:val="46471AC3"/>
    <w:rsid w:val="464CA6EB"/>
    <w:rsid w:val="465AB1C8"/>
    <w:rsid w:val="466C17BD"/>
    <w:rsid w:val="4682EDBA"/>
    <w:rsid w:val="46982E65"/>
    <w:rsid w:val="46AF73A4"/>
    <w:rsid w:val="46C2F1A4"/>
    <w:rsid w:val="46CD8634"/>
    <w:rsid w:val="46E5967A"/>
    <w:rsid w:val="46EBE50A"/>
    <w:rsid w:val="46F618FB"/>
    <w:rsid w:val="470B16E9"/>
    <w:rsid w:val="470F1D44"/>
    <w:rsid w:val="4712256A"/>
    <w:rsid w:val="4731C24F"/>
    <w:rsid w:val="473526EB"/>
    <w:rsid w:val="473F7FC1"/>
    <w:rsid w:val="47549A2D"/>
    <w:rsid w:val="475A43C4"/>
    <w:rsid w:val="475AE743"/>
    <w:rsid w:val="4786F4E2"/>
    <w:rsid w:val="478CC264"/>
    <w:rsid w:val="4799204E"/>
    <w:rsid w:val="47C6C92B"/>
    <w:rsid w:val="47CDABA0"/>
    <w:rsid w:val="47EA3C57"/>
    <w:rsid w:val="47F073F6"/>
    <w:rsid w:val="47F68A59"/>
    <w:rsid w:val="4811A3EF"/>
    <w:rsid w:val="4817CA55"/>
    <w:rsid w:val="481BEFBC"/>
    <w:rsid w:val="482D43F5"/>
    <w:rsid w:val="4832EA64"/>
    <w:rsid w:val="4864B496"/>
    <w:rsid w:val="487F4A0E"/>
    <w:rsid w:val="4893D3AB"/>
    <w:rsid w:val="48A332A8"/>
    <w:rsid w:val="48A388A8"/>
    <w:rsid w:val="48ABF505"/>
    <w:rsid w:val="48C8C691"/>
    <w:rsid w:val="48CCF378"/>
    <w:rsid w:val="48E80616"/>
    <w:rsid w:val="48EB745D"/>
    <w:rsid w:val="4901B8F7"/>
    <w:rsid w:val="490302F2"/>
    <w:rsid w:val="49248883"/>
    <w:rsid w:val="49321312"/>
    <w:rsid w:val="493B3CEF"/>
    <w:rsid w:val="493D7F26"/>
    <w:rsid w:val="495167C5"/>
    <w:rsid w:val="49699052"/>
    <w:rsid w:val="49703DD0"/>
    <w:rsid w:val="497FBB96"/>
    <w:rsid w:val="49811C53"/>
    <w:rsid w:val="4987032B"/>
    <w:rsid w:val="498C8211"/>
    <w:rsid w:val="49973BD4"/>
    <w:rsid w:val="499A9D65"/>
    <w:rsid w:val="49AFBA24"/>
    <w:rsid w:val="49D7CD37"/>
    <w:rsid w:val="49E1352D"/>
    <w:rsid w:val="49E31FDF"/>
    <w:rsid w:val="49F07CB5"/>
    <w:rsid w:val="49F10D58"/>
    <w:rsid w:val="4A005D2A"/>
    <w:rsid w:val="4A0D72DE"/>
    <w:rsid w:val="4A54430D"/>
    <w:rsid w:val="4A99E2C5"/>
    <w:rsid w:val="4A9D6D0F"/>
    <w:rsid w:val="4A9E6032"/>
    <w:rsid w:val="4A9FAF92"/>
    <w:rsid w:val="4AB2FA2B"/>
    <w:rsid w:val="4ABFF731"/>
    <w:rsid w:val="4AFE8D5E"/>
    <w:rsid w:val="4B143A16"/>
    <w:rsid w:val="4B22D2EE"/>
    <w:rsid w:val="4B23967F"/>
    <w:rsid w:val="4B2D5EA6"/>
    <w:rsid w:val="4B32AFAB"/>
    <w:rsid w:val="4B36D10B"/>
    <w:rsid w:val="4B46A0CC"/>
    <w:rsid w:val="4B5F923A"/>
    <w:rsid w:val="4B6FE1D2"/>
    <w:rsid w:val="4B70D442"/>
    <w:rsid w:val="4B7D5651"/>
    <w:rsid w:val="4B7D9EB7"/>
    <w:rsid w:val="4B804049"/>
    <w:rsid w:val="4B9EB3F3"/>
    <w:rsid w:val="4BAA17D4"/>
    <w:rsid w:val="4BE8EAB6"/>
    <w:rsid w:val="4BECA711"/>
    <w:rsid w:val="4C0E49D9"/>
    <w:rsid w:val="4C10C7C3"/>
    <w:rsid w:val="4C17923F"/>
    <w:rsid w:val="4C195BFE"/>
    <w:rsid w:val="4C3AAD85"/>
    <w:rsid w:val="4C3DAB6E"/>
    <w:rsid w:val="4C43B676"/>
    <w:rsid w:val="4C5534C0"/>
    <w:rsid w:val="4C5C4BA9"/>
    <w:rsid w:val="4C641582"/>
    <w:rsid w:val="4C677A4F"/>
    <w:rsid w:val="4CD98F0C"/>
    <w:rsid w:val="4D17549C"/>
    <w:rsid w:val="4D4970BB"/>
    <w:rsid w:val="4D59B565"/>
    <w:rsid w:val="4D5A0962"/>
    <w:rsid w:val="4D81D6E8"/>
    <w:rsid w:val="4D88113F"/>
    <w:rsid w:val="4D95347D"/>
    <w:rsid w:val="4D9786A7"/>
    <w:rsid w:val="4DA773AF"/>
    <w:rsid w:val="4DCD984D"/>
    <w:rsid w:val="4DDB396B"/>
    <w:rsid w:val="4DE7F52E"/>
    <w:rsid w:val="4DFD34ED"/>
    <w:rsid w:val="4E006303"/>
    <w:rsid w:val="4E112C02"/>
    <w:rsid w:val="4E1A47B2"/>
    <w:rsid w:val="4E26E0DE"/>
    <w:rsid w:val="4E87F2E9"/>
    <w:rsid w:val="4EA14176"/>
    <w:rsid w:val="4EAFE139"/>
    <w:rsid w:val="4ED9E243"/>
    <w:rsid w:val="4EE5E1F1"/>
    <w:rsid w:val="4EF16970"/>
    <w:rsid w:val="4EF809DE"/>
    <w:rsid w:val="4F181D1C"/>
    <w:rsid w:val="4F4B75A1"/>
    <w:rsid w:val="4F5D4CCD"/>
    <w:rsid w:val="4F6D0EF1"/>
    <w:rsid w:val="4F7FD72F"/>
    <w:rsid w:val="4F8CF7D7"/>
    <w:rsid w:val="4F8F881C"/>
    <w:rsid w:val="4FD007E0"/>
    <w:rsid w:val="4FE635B7"/>
    <w:rsid w:val="5026F4BE"/>
    <w:rsid w:val="503A0A6E"/>
    <w:rsid w:val="5053CAF8"/>
    <w:rsid w:val="5060AA25"/>
    <w:rsid w:val="5081E43D"/>
    <w:rsid w:val="508411D7"/>
    <w:rsid w:val="50A2F50A"/>
    <w:rsid w:val="50AEC874"/>
    <w:rsid w:val="50C35011"/>
    <w:rsid w:val="50D2E712"/>
    <w:rsid w:val="50D84B63"/>
    <w:rsid w:val="50F53C94"/>
    <w:rsid w:val="50F99280"/>
    <w:rsid w:val="51206608"/>
    <w:rsid w:val="515A5ED3"/>
    <w:rsid w:val="515CC0D4"/>
    <w:rsid w:val="515FC4E7"/>
    <w:rsid w:val="5174FE0A"/>
    <w:rsid w:val="51B16298"/>
    <w:rsid w:val="51D36D56"/>
    <w:rsid w:val="51DB5EB1"/>
    <w:rsid w:val="51E14846"/>
    <w:rsid w:val="51E98900"/>
    <w:rsid w:val="51F42931"/>
    <w:rsid w:val="5202AAFD"/>
    <w:rsid w:val="5209D5BD"/>
    <w:rsid w:val="52198187"/>
    <w:rsid w:val="521BFE02"/>
    <w:rsid w:val="522D7ECC"/>
    <w:rsid w:val="523D2C4F"/>
    <w:rsid w:val="524E9DB1"/>
    <w:rsid w:val="526BE24F"/>
    <w:rsid w:val="52705117"/>
    <w:rsid w:val="527B0F63"/>
    <w:rsid w:val="527E35A3"/>
    <w:rsid w:val="528677D9"/>
    <w:rsid w:val="52A1B001"/>
    <w:rsid w:val="52A2EFAC"/>
    <w:rsid w:val="52A3A230"/>
    <w:rsid w:val="52E5CD4F"/>
    <w:rsid w:val="52EB3640"/>
    <w:rsid w:val="52FE3E57"/>
    <w:rsid w:val="53284D7C"/>
    <w:rsid w:val="53338E85"/>
    <w:rsid w:val="533D669B"/>
    <w:rsid w:val="5341FE40"/>
    <w:rsid w:val="534AF5CB"/>
    <w:rsid w:val="535C7403"/>
    <w:rsid w:val="536CFF24"/>
    <w:rsid w:val="53725E49"/>
    <w:rsid w:val="5378258A"/>
    <w:rsid w:val="5381F900"/>
    <w:rsid w:val="539FA7A0"/>
    <w:rsid w:val="53B5E943"/>
    <w:rsid w:val="53FE13F1"/>
    <w:rsid w:val="5415634E"/>
    <w:rsid w:val="543BC0AD"/>
    <w:rsid w:val="54487B77"/>
    <w:rsid w:val="54544956"/>
    <w:rsid w:val="5467D5C0"/>
    <w:rsid w:val="5472E899"/>
    <w:rsid w:val="547735A5"/>
    <w:rsid w:val="54899365"/>
    <w:rsid w:val="54B5AD1E"/>
    <w:rsid w:val="54BBE317"/>
    <w:rsid w:val="54CF9C7E"/>
    <w:rsid w:val="54D0A01B"/>
    <w:rsid w:val="54FA4810"/>
    <w:rsid w:val="54FBAB4E"/>
    <w:rsid w:val="550E101A"/>
    <w:rsid w:val="551A38BB"/>
    <w:rsid w:val="5528EA85"/>
    <w:rsid w:val="5530ADED"/>
    <w:rsid w:val="5558AB71"/>
    <w:rsid w:val="5564268E"/>
    <w:rsid w:val="556BBA32"/>
    <w:rsid w:val="5583CB14"/>
    <w:rsid w:val="559A17A9"/>
    <w:rsid w:val="55B26FBB"/>
    <w:rsid w:val="55B6CE11"/>
    <w:rsid w:val="55BAA14D"/>
    <w:rsid w:val="55BEE39E"/>
    <w:rsid w:val="55C08167"/>
    <w:rsid w:val="55CB54AC"/>
    <w:rsid w:val="55D32CD1"/>
    <w:rsid w:val="55F9365D"/>
    <w:rsid w:val="5619552A"/>
    <w:rsid w:val="56222E0E"/>
    <w:rsid w:val="5645FEC9"/>
    <w:rsid w:val="566488CB"/>
    <w:rsid w:val="5670278C"/>
    <w:rsid w:val="568D0C2E"/>
    <w:rsid w:val="5695A894"/>
    <w:rsid w:val="56C305B1"/>
    <w:rsid w:val="56D90D40"/>
    <w:rsid w:val="56DF2748"/>
    <w:rsid w:val="57174B07"/>
    <w:rsid w:val="572200C8"/>
    <w:rsid w:val="574A06ED"/>
    <w:rsid w:val="577BDFB9"/>
    <w:rsid w:val="5786578E"/>
    <w:rsid w:val="57901669"/>
    <w:rsid w:val="57A2BDFC"/>
    <w:rsid w:val="57ADD110"/>
    <w:rsid w:val="57C4DF1A"/>
    <w:rsid w:val="57E99351"/>
    <w:rsid w:val="5809C442"/>
    <w:rsid w:val="580DBD45"/>
    <w:rsid w:val="5820C820"/>
    <w:rsid w:val="58320415"/>
    <w:rsid w:val="588A9A49"/>
    <w:rsid w:val="58947D6E"/>
    <w:rsid w:val="589875CF"/>
    <w:rsid w:val="589E9BEA"/>
    <w:rsid w:val="58A48C56"/>
    <w:rsid w:val="58D1EE13"/>
    <w:rsid w:val="58DAA959"/>
    <w:rsid w:val="58EE2957"/>
    <w:rsid w:val="59321696"/>
    <w:rsid w:val="5938D16A"/>
    <w:rsid w:val="593DC428"/>
    <w:rsid w:val="595A8129"/>
    <w:rsid w:val="595C6CCC"/>
    <w:rsid w:val="595D7992"/>
    <w:rsid w:val="59812E20"/>
    <w:rsid w:val="5992B824"/>
    <w:rsid w:val="59C07E2B"/>
    <w:rsid w:val="59C6E89D"/>
    <w:rsid w:val="59CC0392"/>
    <w:rsid w:val="59DBCFD8"/>
    <w:rsid w:val="59E6B638"/>
    <w:rsid w:val="59F3E3FE"/>
    <w:rsid w:val="5A184AB8"/>
    <w:rsid w:val="5A3805D5"/>
    <w:rsid w:val="5A3C36EC"/>
    <w:rsid w:val="5A403483"/>
    <w:rsid w:val="5A614B8D"/>
    <w:rsid w:val="5A632D96"/>
    <w:rsid w:val="5A6623C8"/>
    <w:rsid w:val="5A7C10AE"/>
    <w:rsid w:val="5A843CC1"/>
    <w:rsid w:val="5A8543A1"/>
    <w:rsid w:val="5A87484E"/>
    <w:rsid w:val="5A8919B7"/>
    <w:rsid w:val="5AE4B980"/>
    <w:rsid w:val="5AF361A1"/>
    <w:rsid w:val="5B072DB7"/>
    <w:rsid w:val="5B085C50"/>
    <w:rsid w:val="5B13C3E0"/>
    <w:rsid w:val="5B1BCA18"/>
    <w:rsid w:val="5B312165"/>
    <w:rsid w:val="5B693730"/>
    <w:rsid w:val="5BA98476"/>
    <w:rsid w:val="5BB13A49"/>
    <w:rsid w:val="5BD09941"/>
    <w:rsid w:val="5BD73E15"/>
    <w:rsid w:val="5BE1B6A5"/>
    <w:rsid w:val="5BE4865F"/>
    <w:rsid w:val="5BE6A4E6"/>
    <w:rsid w:val="5BFFDEEE"/>
    <w:rsid w:val="5C1A69D9"/>
    <w:rsid w:val="5C1ED663"/>
    <w:rsid w:val="5C3C87E2"/>
    <w:rsid w:val="5C3FF55D"/>
    <w:rsid w:val="5C4A9BA3"/>
    <w:rsid w:val="5C661750"/>
    <w:rsid w:val="5C681592"/>
    <w:rsid w:val="5C9591A7"/>
    <w:rsid w:val="5CAB1D04"/>
    <w:rsid w:val="5CC5E151"/>
    <w:rsid w:val="5CDDBC08"/>
    <w:rsid w:val="5D06D83F"/>
    <w:rsid w:val="5D1D8806"/>
    <w:rsid w:val="5D2827ED"/>
    <w:rsid w:val="5D330CC8"/>
    <w:rsid w:val="5D4B5F14"/>
    <w:rsid w:val="5D580C94"/>
    <w:rsid w:val="5D782D07"/>
    <w:rsid w:val="5D939F79"/>
    <w:rsid w:val="5DAEC5BC"/>
    <w:rsid w:val="5DB1E262"/>
    <w:rsid w:val="5DB47C18"/>
    <w:rsid w:val="5DCDD1C3"/>
    <w:rsid w:val="5DD489A6"/>
    <w:rsid w:val="5DDDDBC7"/>
    <w:rsid w:val="5DE74549"/>
    <w:rsid w:val="5DEBAB95"/>
    <w:rsid w:val="5DEED295"/>
    <w:rsid w:val="5DF5309D"/>
    <w:rsid w:val="5E047F05"/>
    <w:rsid w:val="5E24603A"/>
    <w:rsid w:val="5E2D68E3"/>
    <w:rsid w:val="5E400E23"/>
    <w:rsid w:val="5E68DC5E"/>
    <w:rsid w:val="5E876E3B"/>
    <w:rsid w:val="5EA0445F"/>
    <w:rsid w:val="5EAD6074"/>
    <w:rsid w:val="5EC3963B"/>
    <w:rsid w:val="5EC6F4C0"/>
    <w:rsid w:val="5ED79019"/>
    <w:rsid w:val="5F17C6E3"/>
    <w:rsid w:val="5F3717A1"/>
    <w:rsid w:val="5F39FC71"/>
    <w:rsid w:val="5F3BAACE"/>
    <w:rsid w:val="5F3F4A27"/>
    <w:rsid w:val="5F4654B2"/>
    <w:rsid w:val="5F713CF1"/>
    <w:rsid w:val="5F7C8369"/>
    <w:rsid w:val="5F964A76"/>
    <w:rsid w:val="5F9B976D"/>
    <w:rsid w:val="5FAA06A6"/>
    <w:rsid w:val="5FC1AB5B"/>
    <w:rsid w:val="5FDD27FF"/>
    <w:rsid w:val="5FE43F2F"/>
    <w:rsid w:val="5FE79FDF"/>
    <w:rsid w:val="60072830"/>
    <w:rsid w:val="6012BF60"/>
    <w:rsid w:val="60157F69"/>
    <w:rsid w:val="60164D74"/>
    <w:rsid w:val="6018D58A"/>
    <w:rsid w:val="602F1DA4"/>
    <w:rsid w:val="603BA3E0"/>
    <w:rsid w:val="603DA752"/>
    <w:rsid w:val="60859E75"/>
    <w:rsid w:val="60972E9A"/>
    <w:rsid w:val="609DAF47"/>
    <w:rsid w:val="60AD6FD3"/>
    <w:rsid w:val="60B74006"/>
    <w:rsid w:val="60C14DCD"/>
    <w:rsid w:val="60C6E736"/>
    <w:rsid w:val="60DB0590"/>
    <w:rsid w:val="60F38173"/>
    <w:rsid w:val="610206AC"/>
    <w:rsid w:val="61045B6C"/>
    <w:rsid w:val="612AB1A5"/>
    <w:rsid w:val="6150ABE7"/>
    <w:rsid w:val="61514BAD"/>
    <w:rsid w:val="6182E146"/>
    <w:rsid w:val="6190D449"/>
    <w:rsid w:val="61A35FBA"/>
    <w:rsid w:val="61CF1068"/>
    <w:rsid w:val="61D2949F"/>
    <w:rsid w:val="61D6BBC4"/>
    <w:rsid w:val="61DC8FA8"/>
    <w:rsid w:val="61DD3733"/>
    <w:rsid w:val="62099A2C"/>
    <w:rsid w:val="620C3E4A"/>
    <w:rsid w:val="621D7A43"/>
    <w:rsid w:val="6220B8B7"/>
    <w:rsid w:val="622E1D6D"/>
    <w:rsid w:val="6256DB12"/>
    <w:rsid w:val="625A8D3B"/>
    <w:rsid w:val="628CE599"/>
    <w:rsid w:val="62AF47F0"/>
    <w:rsid w:val="62B1CAB7"/>
    <w:rsid w:val="62B58179"/>
    <w:rsid w:val="62D3F0DA"/>
    <w:rsid w:val="62DAAB4C"/>
    <w:rsid w:val="6302CE59"/>
    <w:rsid w:val="63626D9E"/>
    <w:rsid w:val="6381163F"/>
    <w:rsid w:val="6383B4A3"/>
    <w:rsid w:val="639B85E7"/>
    <w:rsid w:val="63A53A46"/>
    <w:rsid w:val="63BE4D9C"/>
    <w:rsid w:val="63ED49D4"/>
    <w:rsid w:val="63F0E22B"/>
    <w:rsid w:val="63F2CB28"/>
    <w:rsid w:val="640B81A1"/>
    <w:rsid w:val="641A5D87"/>
    <w:rsid w:val="641B5BC2"/>
    <w:rsid w:val="643D32E3"/>
    <w:rsid w:val="644C23BC"/>
    <w:rsid w:val="645051BC"/>
    <w:rsid w:val="645229AD"/>
    <w:rsid w:val="646326AD"/>
    <w:rsid w:val="6466EB86"/>
    <w:rsid w:val="647EA6E1"/>
    <w:rsid w:val="64B186B0"/>
    <w:rsid w:val="64F7829A"/>
    <w:rsid w:val="65B80BCE"/>
    <w:rsid w:val="65CB5294"/>
    <w:rsid w:val="65CDFD80"/>
    <w:rsid w:val="65D51071"/>
    <w:rsid w:val="65D69F37"/>
    <w:rsid w:val="65DD6053"/>
    <w:rsid w:val="65EBE7B4"/>
    <w:rsid w:val="65F8B291"/>
    <w:rsid w:val="663BED4C"/>
    <w:rsid w:val="6661A697"/>
    <w:rsid w:val="66A014EE"/>
    <w:rsid w:val="66ABDEA7"/>
    <w:rsid w:val="66E3D043"/>
    <w:rsid w:val="66F0AA0B"/>
    <w:rsid w:val="66F0F211"/>
    <w:rsid w:val="66F19D2D"/>
    <w:rsid w:val="672C7F19"/>
    <w:rsid w:val="674016C1"/>
    <w:rsid w:val="674F077B"/>
    <w:rsid w:val="67740085"/>
    <w:rsid w:val="678694FE"/>
    <w:rsid w:val="678DD0C3"/>
    <w:rsid w:val="6798B54F"/>
    <w:rsid w:val="67990DBA"/>
    <w:rsid w:val="67998CE7"/>
    <w:rsid w:val="6830533C"/>
    <w:rsid w:val="683F775F"/>
    <w:rsid w:val="685DF017"/>
    <w:rsid w:val="6862409A"/>
    <w:rsid w:val="686C6BD6"/>
    <w:rsid w:val="687FE739"/>
    <w:rsid w:val="6884C4DB"/>
    <w:rsid w:val="688B9AEA"/>
    <w:rsid w:val="68A9B563"/>
    <w:rsid w:val="68BEDB8E"/>
    <w:rsid w:val="68D14BF0"/>
    <w:rsid w:val="68D93AD9"/>
    <w:rsid w:val="68E9CB90"/>
    <w:rsid w:val="69053599"/>
    <w:rsid w:val="69108615"/>
    <w:rsid w:val="6942AFF2"/>
    <w:rsid w:val="6966C826"/>
    <w:rsid w:val="696B2DA3"/>
    <w:rsid w:val="69769A09"/>
    <w:rsid w:val="69AC258F"/>
    <w:rsid w:val="69F820A1"/>
    <w:rsid w:val="6A02A99E"/>
    <w:rsid w:val="6A2C0C71"/>
    <w:rsid w:val="6A4FD61C"/>
    <w:rsid w:val="6A5E675F"/>
    <w:rsid w:val="6A7A8A43"/>
    <w:rsid w:val="6A7C7417"/>
    <w:rsid w:val="6A988779"/>
    <w:rsid w:val="6AB9F76C"/>
    <w:rsid w:val="6AC903CC"/>
    <w:rsid w:val="6AF64C96"/>
    <w:rsid w:val="6AFBFACE"/>
    <w:rsid w:val="6B198B1A"/>
    <w:rsid w:val="6B600113"/>
    <w:rsid w:val="6B89DCE1"/>
    <w:rsid w:val="6BAE757A"/>
    <w:rsid w:val="6BCF2413"/>
    <w:rsid w:val="6BDC7054"/>
    <w:rsid w:val="6BDF6262"/>
    <w:rsid w:val="6BF9B6BF"/>
    <w:rsid w:val="6C03E0A9"/>
    <w:rsid w:val="6C272605"/>
    <w:rsid w:val="6C3697E1"/>
    <w:rsid w:val="6C3DF0DB"/>
    <w:rsid w:val="6C553B6F"/>
    <w:rsid w:val="6C5DF94A"/>
    <w:rsid w:val="6C5EAE4B"/>
    <w:rsid w:val="6C8AF993"/>
    <w:rsid w:val="6CDAAAD2"/>
    <w:rsid w:val="6CE9739B"/>
    <w:rsid w:val="6CEFC700"/>
    <w:rsid w:val="6CFD8169"/>
    <w:rsid w:val="6D03BC85"/>
    <w:rsid w:val="6D10014B"/>
    <w:rsid w:val="6D11D7BD"/>
    <w:rsid w:val="6D1E8114"/>
    <w:rsid w:val="6D26356C"/>
    <w:rsid w:val="6D432B12"/>
    <w:rsid w:val="6D474E1A"/>
    <w:rsid w:val="6D48CD1F"/>
    <w:rsid w:val="6D6CA827"/>
    <w:rsid w:val="6DB317DB"/>
    <w:rsid w:val="6DC40E5E"/>
    <w:rsid w:val="6DCA64C9"/>
    <w:rsid w:val="6DD44E52"/>
    <w:rsid w:val="6DD4EE52"/>
    <w:rsid w:val="6DF0DE0D"/>
    <w:rsid w:val="6E0FAF67"/>
    <w:rsid w:val="6E314CD7"/>
    <w:rsid w:val="6E392C2B"/>
    <w:rsid w:val="6E3B3864"/>
    <w:rsid w:val="6E54E3D9"/>
    <w:rsid w:val="6E57CBAA"/>
    <w:rsid w:val="6E6496D1"/>
    <w:rsid w:val="6EB190CA"/>
    <w:rsid w:val="6EC20FB7"/>
    <w:rsid w:val="6EDF5B2D"/>
    <w:rsid w:val="6EF9C39A"/>
    <w:rsid w:val="6EFDFE7E"/>
    <w:rsid w:val="6F04C81D"/>
    <w:rsid w:val="6F091F8B"/>
    <w:rsid w:val="6F112E25"/>
    <w:rsid w:val="6F1F5692"/>
    <w:rsid w:val="6F320F39"/>
    <w:rsid w:val="6F36A81A"/>
    <w:rsid w:val="6F3C99C4"/>
    <w:rsid w:val="6F3D90E9"/>
    <w:rsid w:val="6F443637"/>
    <w:rsid w:val="6F6104D1"/>
    <w:rsid w:val="6F8F2425"/>
    <w:rsid w:val="6F950FE0"/>
    <w:rsid w:val="6FBBE417"/>
    <w:rsid w:val="6FCA53A2"/>
    <w:rsid w:val="6FF5398D"/>
    <w:rsid w:val="7021ADB7"/>
    <w:rsid w:val="703D8A64"/>
    <w:rsid w:val="704CAC1A"/>
    <w:rsid w:val="70571B45"/>
    <w:rsid w:val="70593150"/>
    <w:rsid w:val="705E0B35"/>
    <w:rsid w:val="708454B6"/>
    <w:rsid w:val="708B4865"/>
    <w:rsid w:val="70B1B114"/>
    <w:rsid w:val="70B4F331"/>
    <w:rsid w:val="70C1C3C2"/>
    <w:rsid w:val="70C5479A"/>
    <w:rsid w:val="70D7E781"/>
    <w:rsid w:val="70D8D9FF"/>
    <w:rsid w:val="7109AF44"/>
    <w:rsid w:val="712B2458"/>
    <w:rsid w:val="7144D59D"/>
    <w:rsid w:val="7145A8B0"/>
    <w:rsid w:val="7169D1A2"/>
    <w:rsid w:val="7199BEFC"/>
    <w:rsid w:val="71A6990B"/>
    <w:rsid w:val="71AA3D9C"/>
    <w:rsid w:val="71B12C17"/>
    <w:rsid w:val="71BA0DB6"/>
    <w:rsid w:val="71BD5569"/>
    <w:rsid w:val="71C53BE9"/>
    <w:rsid w:val="71C7735F"/>
    <w:rsid w:val="71FA3788"/>
    <w:rsid w:val="71FB3AF9"/>
    <w:rsid w:val="7205CCA2"/>
    <w:rsid w:val="72147BBD"/>
    <w:rsid w:val="728BEC78"/>
    <w:rsid w:val="72B79A25"/>
    <w:rsid w:val="72C5D785"/>
    <w:rsid w:val="72F04A57"/>
    <w:rsid w:val="72FBB36E"/>
    <w:rsid w:val="730B8F15"/>
    <w:rsid w:val="733AB84C"/>
    <w:rsid w:val="7364E797"/>
    <w:rsid w:val="73658C23"/>
    <w:rsid w:val="736B7E10"/>
    <w:rsid w:val="7374CA2B"/>
    <w:rsid w:val="73764533"/>
    <w:rsid w:val="73913E1F"/>
    <w:rsid w:val="73BD9326"/>
    <w:rsid w:val="73CE1184"/>
    <w:rsid w:val="73EEE950"/>
    <w:rsid w:val="741D48E3"/>
    <w:rsid w:val="742A80C8"/>
    <w:rsid w:val="7444DF02"/>
    <w:rsid w:val="7471BEFA"/>
    <w:rsid w:val="7473AA4B"/>
    <w:rsid w:val="7481D097"/>
    <w:rsid w:val="7482D012"/>
    <w:rsid w:val="748C8DEE"/>
    <w:rsid w:val="748E54C9"/>
    <w:rsid w:val="74A276BE"/>
    <w:rsid w:val="74A2B345"/>
    <w:rsid w:val="74AB4B6F"/>
    <w:rsid w:val="74B4CA38"/>
    <w:rsid w:val="74B7F487"/>
    <w:rsid w:val="74DBF785"/>
    <w:rsid w:val="74F28503"/>
    <w:rsid w:val="7509F195"/>
    <w:rsid w:val="7510B4C2"/>
    <w:rsid w:val="75132558"/>
    <w:rsid w:val="751C7500"/>
    <w:rsid w:val="751E84FD"/>
    <w:rsid w:val="7556791A"/>
    <w:rsid w:val="75699330"/>
    <w:rsid w:val="757769F0"/>
    <w:rsid w:val="758D7D6F"/>
    <w:rsid w:val="758E9124"/>
    <w:rsid w:val="75A138A5"/>
    <w:rsid w:val="75A6252E"/>
    <w:rsid w:val="75F514A8"/>
    <w:rsid w:val="75FF428C"/>
    <w:rsid w:val="76036B2B"/>
    <w:rsid w:val="76397227"/>
    <w:rsid w:val="763D2554"/>
    <w:rsid w:val="7657037E"/>
    <w:rsid w:val="7676E653"/>
    <w:rsid w:val="767C8F6E"/>
    <w:rsid w:val="76A90F88"/>
    <w:rsid w:val="76CB0B94"/>
    <w:rsid w:val="76D14F60"/>
    <w:rsid w:val="76E9C96C"/>
    <w:rsid w:val="76ED9FDA"/>
    <w:rsid w:val="7707013A"/>
    <w:rsid w:val="771F2F0F"/>
    <w:rsid w:val="773533E0"/>
    <w:rsid w:val="7739075F"/>
    <w:rsid w:val="7749393A"/>
    <w:rsid w:val="775AC068"/>
    <w:rsid w:val="777F2293"/>
    <w:rsid w:val="778BF398"/>
    <w:rsid w:val="77924317"/>
    <w:rsid w:val="77A0D9D7"/>
    <w:rsid w:val="77A43E09"/>
    <w:rsid w:val="77BC1C57"/>
    <w:rsid w:val="77CCDC88"/>
    <w:rsid w:val="77E9A79D"/>
    <w:rsid w:val="77FA9C4A"/>
    <w:rsid w:val="7830C1CF"/>
    <w:rsid w:val="7855FA3A"/>
    <w:rsid w:val="7858A024"/>
    <w:rsid w:val="7858C03A"/>
    <w:rsid w:val="785FA218"/>
    <w:rsid w:val="788B3FDB"/>
    <w:rsid w:val="788EC624"/>
    <w:rsid w:val="7890D7A0"/>
    <w:rsid w:val="78A5503F"/>
    <w:rsid w:val="78C41DF4"/>
    <w:rsid w:val="78C9E734"/>
    <w:rsid w:val="78D60FD0"/>
    <w:rsid w:val="78D7EB31"/>
    <w:rsid w:val="79076DA6"/>
    <w:rsid w:val="790E3BE7"/>
    <w:rsid w:val="7913316D"/>
    <w:rsid w:val="79216769"/>
    <w:rsid w:val="792D040D"/>
    <w:rsid w:val="79321E41"/>
    <w:rsid w:val="793C63B9"/>
    <w:rsid w:val="7947AF61"/>
    <w:rsid w:val="7961DC44"/>
    <w:rsid w:val="79714E75"/>
    <w:rsid w:val="799F4FC5"/>
    <w:rsid w:val="79ADA76C"/>
    <w:rsid w:val="79B60EB7"/>
    <w:rsid w:val="79C0B482"/>
    <w:rsid w:val="79C7FB13"/>
    <w:rsid w:val="79E0CD53"/>
    <w:rsid w:val="7A1B4A77"/>
    <w:rsid w:val="7A29AE86"/>
    <w:rsid w:val="7A2A16C8"/>
    <w:rsid w:val="7A456C4C"/>
    <w:rsid w:val="7A4C3B7B"/>
    <w:rsid w:val="7A4C44E0"/>
    <w:rsid w:val="7A5DE91C"/>
    <w:rsid w:val="7A7BB95E"/>
    <w:rsid w:val="7A8DF791"/>
    <w:rsid w:val="7A95C70E"/>
    <w:rsid w:val="7A98569F"/>
    <w:rsid w:val="7AA37CBA"/>
    <w:rsid w:val="7AA5CC50"/>
    <w:rsid w:val="7AB75317"/>
    <w:rsid w:val="7AD30737"/>
    <w:rsid w:val="7ADE6FBF"/>
    <w:rsid w:val="7AE75E60"/>
    <w:rsid w:val="7AF1F1F1"/>
    <w:rsid w:val="7B070A4F"/>
    <w:rsid w:val="7B108010"/>
    <w:rsid w:val="7B1540A5"/>
    <w:rsid w:val="7B1F306B"/>
    <w:rsid w:val="7B304FBF"/>
    <w:rsid w:val="7B451E27"/>
    <w:rsid w:val="7B72C8B5"/>
    <w:rsid w:val="7BC255C8"/>
    <w:rsid w:val="7BD5C755"/>
    <w:rsid w:val="7BDD793C"/>
    <w:rsid w:val="7BE02AEB"/>
    <w:rsid w:val="7BEB50C2"/>
    <w:rsid w:val="7BF5DFBC"/>
    <w:rsid w:val="7C0EDA08"/>
    <w:rsid w:val="7C1CB632"/>
    <w:rsid w:val="7C26C961"/>
    <w:rsid w:val="7C408423"/>
    <w:rsid w:val="7C4E5F43"/>
    <w:rsid w:val="7C6D233D"/>
    <w:rsid w:val="7C7485FC"/>
    <w:rsid w:val="7C78039E"/>
    <w:rsid w:val="7C86331B"/>
    <w:rsid w:val="7C8E3BC8"/>
    <w:rsid w:val="7C8F136B"/>
    <w:rsid w:val="7C9BEC0D"/>
    <w:rsid w:val="7C9E03FF"/>
    <w:rsid w:val="7CA9B4B5"/>
    <w:rsid w:val="7CBC5927"/>
    <w:rsid w:val="7CBF8E66"/>
    <w:rsid w:val="7CC909B9"/>
    <w:rsid w:val="7CFF7D21"/>
    <w:rsid w:val="7D13AB8A"/>
    <w:rsid w:val="7D2F80F0"/>
    <w:rsid w:val="7D327505"/>
    <w:rsid w:val="7D3CD427"/>
    <w:rsid w:val="7D41DE04"/>
    <w:rsid w:val="7D609269"/>
    <w:rsid w:val="7D6A541E"/>
    <w:rsid w:val="7D92110A"/>
    <w:rsid w:val="7D9D2E47"/>
    <w:rsid w:val="7DBAD7B3"/>
    <w:rsid w:val="7DC108E6"/>
    <w:rsid w:val="7DD3F3E9"/>
    <w:rsid w:val="7DF8BF35"/>
    <w:rsid w:val="7E0EE162"/>
    <w:rsid w:val="7E329C3E"/>
    <w:rsid w:val="7E38ED77"/>
    <w:rsid w:val="7E5048C8"/>
    <w:rsid w:val="7E6D3065"/>
    <w:rsid w:val="7EA019B0"/>
    <w:rsid w:val="7EA0C137"/>
    <w:rsid w:val="7EB03BFA"/>
    <w:rsid w:val="7EEBA2DD"/>
    <w:rsid w:val="7F03CC7C"/>
    <w:rsid w:val="7F104365"/>
    <w:rsid w:val="7F1C6A01"/>
    <w:rsid w:val="7F43318F"/>
    <w:rsid w:val="7F6FBCEE"/>
    <w:rsid w:val="7F72B4AA"/>
    <w:rsid w:val="7FA127C3"/>
    <w:rsid w:val="7FD4149F"/>
    <w:rsid w:val="7FE602B1"/>
    <w:rsid w:val="7FE872C3"/>
    <w:rsid w:val="7FF3706D"/>
    <w:rsid w:val="7FF4F942"/>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1C9CC137"/>
  <w15:chartTrackingRefBased/>
  <w15:docId w15:val="{8857E947-3A7D-4A1D-BC07-2D6791F482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3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07B14"/>
  </w:style>
  <w:style w:type="paragraph" w:styleId="Heading1">
    <w:name w:val="heading 1"/>
    <w:basedOn w:val="ListParagraph"/>
    <w:next w:val="Normal"/>
    <w:link w:val="Heading1Char"/>
    <w:uiPriority w:val="9"/>
    <w:qFormat/>
    <w:rsid w:val="00377794"/>
    <w:pPr>
      <w:numPr>
        <w:numId w:val="3"/>
      </w:numPr>
      <w:spacing w:line="240" w:lineRule="auto"/>
      <w:outlineLvl w:val="0"/>
    </w:pPr>
    <w:rPr>
      <w:rFonts w:ascii="Times New Roman" w:eastAsia="Times New Roman" w:hAnsi="Times New Roman" w:cs="Times New Roman"/>
      <w:b/>
      <w:bCs/>
      <w:sz w:val="24"/>
      <w:szCs w:val="24"/>
    </w:rPr>
  </w:style>
  <w:style w:type="paragraph" w:styleId="Heading2">
    <w:name w:val="heading 2"/>
    <w:basedOn w:val="Normal"/>
    <w:next w:val="Normal"/>
    <w:link w:val="Heading2Char"/>
    <w:uiPriority w:val="9"/>
    <w:unhideWhenUsed/>
    <w:qFormat/>
    <w:rsid w:val="009B2F6E"/>
    <w:pPr>
      <w:numPr>
        <w:ilvl w:val="1"/>
        <w:numId w:val="3"/>
      </w:numPr>
      <w:spacing w:line="240" w:lineRule="auto"/>
      <w:jc w:val="both"/>
      <w:outlineLvl w:val="1"/>
    </w:pPr>
    <w:rPr>
      <w:rFonts w:ascii="Times New Roman" w:eastAsia="Times New Roman" w:hAnsi="Times New Roman" w:cs="Times New Roman"/>
      <w:b/>
      <w:bCs/>
      <w:sz w:val="24"/>
      <w:szCs w:val="24"/>
    </w:rPr>
  </w:style>
  <w:style w:type="paragraph" w:styleId="Heading3">
    <w:name w:val="heading 3"/>
    <w:basedOn w:val="Normal"/>
    <w:next w:val="Normal"/>
    <w:link w:val="Heading3Char"/>
    <w:uiPriority w:val="9"/>
    <w:semiHidden/>
    <w:unhideWhenUsed/>
    <w:qFormat/>
    <w:rsid w:val="00670873"/>
    <w:pPr>
      <w:keepNext/>
      <w:keepLines/>
      <w:numPr>
        <w:ilvl w:val="2"/>
        <w:numId w:val="3"/>
      </w:numPr>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70873"/>
    <w:pPr>
      <w:keepNext/>
      <w:keepLines/>
      <w:numPr>
        <w:ilvl w:val="3"/>
        <w:numId w:val="3"/>
      </w:numPr>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70873"/>
    <w:pPr>
      <w:keepNext/>
      <w:keepLines/>
      <w:numPr>
        <w:ilvl w:val="4"/>
        <w:numId w:val="3"/>
      </w:numPr>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70873"/>
    <w:pPr>
      <w:keepNext/>
      <w:keepLines/>
      <w:numPr>
        <w:ilvl w:val="5"/>
        <w:numId w:val="3"/>
      </w:numPr>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70873"/>
    <w:pPr>
      <w:keepNext/>
      <w:keepLines/>
      <w:numPr>
        <w:ilvl w:val="6"/>
        <w:numId w:val="3"/>
      </w:numPr>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70873"/>
    <w:pPr>
      <w:keepNext/>
      <w:keepLines/>
      <w:numPr>
        <w:ilvl w:val="7"/>
        <w:numId w:val="3"/>
      </w:numPr>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70873"/>
    <w:pPr>
      <w:keepNext/>
      <w:keepLines/>
      <w:numPr>
        <w:ilvl w:val="8"/>
        <w:numId w:val="3"/>
      </w:numPr>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7794"/>
    <w:rPr>
      <w:rFonts w:ascii="Times New Roman" w:eastAsia="Times New Roman" w:hAnsi="Times New Roman" w:cs="Times New Roman"/>
      <w:b/>
      <w:bCs/>
      <w:sz w:val="24"/>
      <w:szCs w:val="24"/>
      <w:lang w:val="ro-RO"/>
    </w:rPr>
  </w:style>
  <w:style w:type="character" w:customStyle="1" w:styleId="Heading2Char">
    <w:name w:val="Heading 2 Char"/>
    <w:basedOn w:val="DefaultParagraphFont"/>
    <w:link w:val="Heading2"/>
    <w:uiPriority w:val="9"/>
    <w:rsid w:val="009B2F6E"/>
    <w:rPr>
      <w:rFonts w:ascii="Times New Roman" w:eastAsia="Times New Roman" w:hAnsi="Times New Roman" w:cs="Times New Roman"/>
      <w:b/>
      <w:bCs/>
      <w:sz w:val="24"/>
      <w:szCs w:val="24"/>
      <w:lang w:val="ro-RO"/>
    </w:rPr>
  </w:style>
  <w:style w:type="character" w:customStyle="1" w:styleId="Heading3Char">
    <w:name w:val="Heading 3 Char"/>
    <w:basedOn w:val="DefaultParagraphFont"/>
    <w:link w:val="Heading3"/>
    <w:uiPriority w:val="9"/>
    <w:semiHidden/>
    <w:rsid w:val="0067087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7087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7087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7087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087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087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0873"/>
    <w:rPr>
      <w:rFonts w:eastAsiaTheme="majorEastAsia" w:cstheme="majorBidi"/>
      <w:color w:val="272727" w:themeColor="text1" w:themeTint="D8"/>
    </w:rPr>
  </w:style>
  <w:style w:type="paragraph" w:styleId="Title">
    <w:name w:val="Title"/>
    <w:basedOn w:val="Normal"/>
    <w:next w:val="Normal"/>
    <w:link w:val="TitleChar"/>
    <w:uiPriority w:val="10"/>
    <w:qFormat/>
    <w:rsid w:val="0067087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087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087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7087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0873"/>
    <w:pPr>
      <w:spacing w:before="160"/>
      <w:jc w:val="center"/>
    </w:pPr>
    <w:rPr>
      <w:i/>
      <w:iCs/>
      <w:color w:val="404040" w:themeColor="text1" w:themeTint="BF"/>
    </w:rPr>
  </w:style>
  <w:style w:type="character" w:customStyle="1" w:styleId="QuoteChar">
    <w:name w:val="Quote Char"/>
    <w:basedOn w:val="DefaultParagraphFont"/>
    <w:link w:val="Quote"/>
    <w:uiPriority w:val="29"/>
    <w:rsid w:val="00670873"/>
    <w:rPr>
      <w:i/>
      <w:iCs/>
      <w:color w:val="404040" w:themeColor="text1" w:themeTint="BF"/>
    </w:rPr>
  </w:style>
  <w:style w:type="paragraph" w:styleId="ListParagraph">
    <w:name w:val="List Paragraph"/>
    <w:aliases w:val="Dot pt,No Spacing1,List Paragraph Char Char Char,Indicator Text,Numbered Para 1,List Paragraph1,Bullet Points,MAIN CONTENT,List Paragraph12,List Paragraph11,OBC Bullet,F5 List Paragraph,Colorful List - Accent 11,Normal numbered,Bullet 1,L"/>
    <w:basedOn w:val="Normal"/>
    <w:link w:val="ListParagraphChar"/>
    <w:uiPriority w:val="34"/>
    <w:qFormat/>
    <w:rsid w:val="00670873"/>
    <w:pPr>
      <w:ind w:left="720"/>
      <w:contextualSpacing/>
    </w:pPr>
  </w:style>
  <w:style w:type="character" w:styleId="IntenseEmphasis">
    <w:name w:val="Intense Emphasis"/>
    <w:basedOn w:val="DefaultParagraphFont"/>
    <w:uiPriority w:val="21"/>
    <w:qFormat/>
    <w:rsid w:val="00670873"/>
    <w:rPr>
      <w:i/>
      <w:iCs/>
      <w:color w:val="0F4761" w:themeColor="accent1" w:themeShade="BF"/>
    </w:rPr>
  </w:style>
  <w:style w:type="paragraph" w:styleId="IntenseQuote">
    <w:name w:val="Intense Quote"/>
    <w:basedOn w:val="Normal"/>
    <w:next w:val="Normal"/>
    <w:link w:val="IntenseQuoteChar"/>
    <w:uiPriority w:val="30"/>
    <w:qFormat/>
    <w:rsid w:val="0067087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70873"/>
    <w:rPr>
      <w:i/>
      <w:iCs/>
      <w:color w:val="0F4761" w:themeColor="accent1" w:themeShade="BF"/>
    </w:rPr>
  </w:style>
  <w:style w:type="character" w:styleId="IntenseReference">
    <w:name w:val="Intense Reference"/>
    <w:basedOn w:val="DefaultParagraphFont"/>
    <w:uiPriority w:val="32"/>
    <w:qFormat/>
    <w:rsid w:val="00670873"/>
    <w:rPr>
      <w:b/>
      <w:bCs/>
      <w:smallCaps/>
      <w:color w:val="0F4761" w:themeColor="accent1" w:themeShade="BF"/>
      <w:spacing w:val="5"/>
    </w:rPr>
  </w:style>
  <w:style w:type="character" w:customStyle="1" w:styleId="Marker">
    <w:name w:val="Marker"/>
    <w:basedOn w:val="DefaultParagraphFont"/>
    <w:rsid w:val="004D63A1"/>
    <w:rPr>
      <w:color w:val="0000FF"/>
      <w:shd w:val="clear" w:color="auto" w:fill="auto"/>
    </w:rPr>
  </w:style>
  <w:style w:type="paragraph" w:styleId="Header">
    <w:name w:val="header"/>
    <w:basedOn w:val="Normal"/>
    <w:link w:val="HeaderChar"/>
    <w:uiPriority w:val="99"/>
    <w:unhideWhenUsed/>
    <w:rsid w:val="004D63A1"/>
    <w:pPr>
      <w:tabs>
        <w:tab w:val="center" w:pos="4513"/>
        <w:tab w:val="right" w:pos="9026"/>
      </w:tabs>
      <w:spacing w:after="0" w:line="240" w:lineRule="auto"/>
    </w:pPr>
  </w:style>
  <w:style w:type="character" w:customStyle="1" w:styleId="HeaderChar">
    <w:name w:val="Header Char"/>
    <w:basedOn w:val="DefaultParagraphFont"/>
    <w:link w:val="Header"/>
    <w:uiPriority w:val="99"/>
    <w:rsid w:val="004D63A1"/>
  </w:style>
  <w:style w:type="paragraph" w:styleId="Footer">
    <w:name w:val="footer"/>
    <w:basedOn w:val="Normal"/>
    <w:link w:val="FooterChar"/>
    <w:uiPriority w:val="99"/>
    <w:unhideWhenUsed/>
    <w:rsid w:val="004D63A1"/>
    <w:pPr>
      <w:tabs>
        <w:tab w:val="center" w:pos="4513"/>
        <w:tab w:val="right" w:pos="9026"/>
      </w:tabs>
      <w:spacing w:after="0" w:line="240" w:lineRule="auto"/>
    </w:pPr>
  </w:style>
  <w:style w:type="character" w:customStyle="1" w:styleId="FooterChar">
    <w:name w:val="Footer Char"/>
    <w:basedOn w:val="DefaultParagraphFont"/>
    <w:link w:val="Footer"/>
    <w:uiPriority w:val="99"/>
    <w:rsid w:val="004D63A1"/>
  </w:style>
  <w:style w:type="paragraph" w:customStyle="1" w:styleId="Pagedecouverture">
    <w:name w:val="Page de couverture"/>
    <w:basedOn w:val="Normal"/>
    <w:next w:val="Normal"/>
    <w:rsid w:val="004D63A1"/>
    <w:pPr>
      <w:spacing w:after="0" w:line="240" w:lineRule="auto"/>
      <w:jc w:val="both"/>
    </w:pPr>
    <w:rPr>
      <w:rFonts w:ascii="Times New Roman" w:hAnsi="Times New Roman" w:cs="Times New Roman"/>
      <w:kern w:val="0"/>
      <w:sz w:val="24"/>
      <w14:ligatures w14:val="none"/>
    </w:rPr>
  </w:style>
  <w:style w:type="paragraph" w:customStyle="1" w:styleId="FooterCoverPage">
    <w:name w:val="Footer Cover Page"/>
    <w:basedOn w:val="Normal"/>
    <w:link w:val="FooterCoverPageChar"/>
    <w:rsid w:val="004D63A1"/>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4D63A1"/>
    <w:rPr>
      <w:rFonts w:ascii="Times New Roman" w:hAnsi="Times New Roman" w:cs="Times New Roman"/>
      <w:sz w:val="24"/>
    </w:rPr>
  </w:style>
  <w:style w:type="paragraph" w:customStyle="1" w:styleId="FooterSensitivity">
    <w:name w:val="Footer Sensitivity"/>
    <w:basedOn w:val="Normal"/>
    <w:link w:val="FooterSensitivityChar"/>
    <w:rsid w:val="004D63A1"/>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4D63A1"/>
    <w:rPr>
      <w:rFonts w:ascii="Times New Roman" w:hAnsi="Times New Roman" w:cs="Times New Roman"/>
      <w:b/>
      <w:sz w:val="32"/>
    </w:rPr>
  </w:style>
  <w:style w:type="paragraph" w:customStyle="1" w:styleId="HeaderCoverPage">
    <w:name w:val="Header Cover Page"/>
    <w:basedOn w:val="Normal"/>
    <w:link w:val="HeaderCoverPageChar"/>
    <w:rsid w:val="004D63A1"/>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4D63A1"/>
    <w:rPr>
      <w:rFonts w:ascii="Times New Roman" w:hAnsi="Times New Roman" w:cs="Times New Roman"/>
      <w:sz w:val="24"/>
    </w:rPr>
  </w:style>
  <w:style w:type="paragraph" w:customStyle="1" w:styleId="HeaderSensitivity">
    <w:name w:val="Header Sensitivity"/>
    <w:basedOn w:val="Normal"/>
    <w:link w:val="HeaderSensitivityChar"/>
    <w:rsid w:val="004D63A1"/>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4D63A1"/>
    <w:rPr>
      <w:rFonts w:ascii="Times New Roman" w:hAnsi="Times New Roman" w:cs="Times New Roman"/>
      <w:b/>
      <w:sz w:val="32"/>
    </w:rPr>
  </w:style>
  <w:style w:type="paragraph" w:customStyle="1" w:styleId="HeaderSensitivityRight">
    <w:name w:val="Header Sensitivity Right"/>
    <w:basedOn w:val="Normal"/>
    <w:link w:val="HeaderSensitivityRightChar"/>
    <w:rsid w:val="00473E6F"/>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4D63A1"/>
    <w:rPr>
      <w:rFonts w:ascii="Times New Roman" w:hAnsi="Times New Roman" w:cs="Times New Roman"/>
      <w:sz w:val="28"/>
    </w:rPr>
  </w:style>
  <w:style w:type="paragraph" w:styleId="FootnoteText">
    <w:name w:val="footnote text"/>
    <w:aliases w:val="Schriftart: 9 pt,Schriftart: 10 pt,Schriftart: 8 pt,Fußnotentextf,fn,Style 7,Fußnotentext Char,Fußnotentext Char1 Char1,Fußnotentext Char Char Char Char,Fußnotentext Char1 Char Char Char,Fußnotentext Char Char,Fußnote,Fuﬂnotentextf,f,ft"/>
    <w:basedOn w:val="Normal"/>
    <w:link w:val="FootnoteTextChar"/>
    <w:uiPriority w:val="99"/>
    <w:unhideWhenUsed/>
    <w:qFormat/>
    <w:rsid w:val="004C5C84"/>
    <w:pPr>
      <w:spacing w:after="0" w:line="240" w:lineRule="auto"/>
    </w:pPr>
    <w:rPr>
      <w:sz w:val="20"/>
      <w:szCs w:val="20"/>
    </w:rPr>
  </w:style>
  <w:style w:type="character" w:customStyle="1" w:styleId="FootnoteTextChar">
    <w:name w:val="Footnote Text Char"/>
    <w:aliases w:val="Schriftart: 9 pt Char,Schriftart: 10 pt Char,Schriftart: 8 pt Char,Fußnotentextf Char,fn Char,Style 7 Char,Fußnotentext Char Char1,Fußnotentext Char1 Char1 Char,Fußnotentext Char Char Char Char Char,Fußnotentext Char Char Char,f Char"/>
    <w:basedOn w:val="DefaultParagraphFont"/>
    <w:link w:val="FootnoteText"/>
    <w:uiPriority w:val="99"/>
    <w:qFormat/>
    <w:rsid w:val="004C5C84"/>
    <w:rPr>
      <w:sz w:val="20"/>
      <w:szCs w:val="20"/>
    </w:rPr>
  </w:style>
  <w:style w:type="character" w:styleId="FootnoteReference">
    <w:name w:val="footnote reference"/>
    <w:aliases w:val="Footnote,Footnote number,Footnote symbol,Footnote Reference Number,Footnote reference number,Times 10 Point,Exposant 3 Point,Footnote Reference Superscript,EN Footnote Reference,note TESI,Voetnootverwijzing,fr,o,FR,FR1,numbe,n,number"/>
    <w:basedOn w:val="DefaultParagraphFont"/>
    <w:link w:val="FootnotesymbolCarZchn"/>
    <w:qFormat/>
    <w:rsid w:val="004C5C84"/>
    <w:rPr>
      <w:vertAlign w:val="superscript"/>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qFormat/>
    <w:rsid w:val="004C5C84"/>
    <w:pPr>
      <w:spacing w:line="240" w:lineRule="exact"/>
      <w:jc w:val="both"/>
    </w:pPr>
    <w:rPr>
      <w:vertAlign w:val="superscript"/>
    </w:rPr>
  </w:style>
  <w:style w:type="paragraph" w:customStyle="1" w:styleId="Text1">
    <w:name w:val="Text 1"/>
    <w:basedOn w:val="Normal"/>
    <w:qFormat/>
    <w:rsid w:val="00342770"/>
    <w:pPr>
      <w:spacing w:after="240" w:line="240" w:lineRule="auto"/>
      <w:ind w:left="482"/>
      <w:jc w:val="both"/>
    </w:pPr>
    <w:rPr>
      <w:rFonts w:ascii="Times New Roman" w:eastAsia="Times New Roman" w:hAnsi="Times New Roman" w:cs="Times New Roman"/>
      <w:kern w:val="0"/>
      <w:sz w:val="24"/>
      <w:szCs w:val="20"/>
      <w:lang w:eastAsia="en-IE"/>
      <w14:ligatures w14:val="none"/>
    </w:rPr>
  </w:style>
  <w:style w:type="paragraph" w:styleId="ListNumber">
    <w:name w:val="List Number"/>
    <w:basedOn w:val="Normal"/>
    <w:uiPriority w:val="30"/>
    <w:rsid w:val="00FD5DAA"/>
    <w:pPr>
      <w:numPr>
        <w:numId w:val="1"/>
      </w:numPr>
      <w:spacing w:after="240" w:line="240" w:lineRule="auto"/>
      <w:jc w:val="both"/>
    </w:pPr>
    <w:rPr>
      <w:rFonts w:ascii="Times New Roman" w:eastAsia="Times New Roman" w:hAnsi="Times New Roman" w:cs="Times New Roman"/>
      <w:kern w:val="0"/>
      <w:sz w:val="24"/>
      <w:szCs w:val="20"/>
      <w:lang w:eastAsia="en-IE"/>
      <w14:ligatures w14:val="none"/>
    </w:rPr>
  </w:style>
  <w:style w:type="paragraph" w:customStyle="1" w:styleId="ListBullet1">
    <w:name w:val="List Bullet 1"/>
    <w:basedOn w:val="Text1"/>
    <w:rsid w:val="006C0643"/>
    <w:pPr>
      <w:numPr>
        <w:numId w:val="2"/>
      </w:numPr>
    </w:pPr>
  </w:style>
  <w:style w:type="paragraph" w:customStyle="1" w:styleId="ListBullet1Level2">
    <w:name w:val="List Bullet 1 (Level 2)"/>
    <w:basedOn w:val="Text1"/>
    <w:unhideWhenUsed/>
    <w:rsid w:val="006C0643"/>
    <w:pPr>
      <w:numPr>
        <w:ilvl w:val="1"/>
        <w:numId w:val="2"/>
      </w:numPr>
    </w:pPr>
  </w:style>
  <w:style w:type="paragraph" w:customStyle="1" w:styleId="ListBullet1Level3">
    <w:name w:val="List Bullet 1 (Level 3)"/>
    <w:basedOn w:val="Text1"/>
    <w:semiHidden/>
    <w:unhideWhenUsed/>
    <w:rsid w:val="006C0643"/>
    <w:pPr>
      <w:numPr>
        <w:ilvl w:val="2"/>
        <w:numId w:val="2"/>
      </w:numPr>
    </w:pPr>
  </w:style>
  <w:style w:type="paragraph" w:customStyle="1" w:styleId="ListBullet1Level4">
    <w:name w:val="List Bullet 1 (Level 4)"/>
    <w:basedOn w:val="Text1"/>
    <w:semiHidden/>
    <w:unhideWhenUsed/>
    <w:rsid w:val="006C0643"/>
    <w:pPr>
      <w:numPr>
        <w:ilvl w:val="3"/>
        <w:numId w:val="2"/>
      </w:numPr>
    </w:pPr>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Normal"/>
    <w:uiPriority w:val="99"/>
    <w:rsid w:val="006C0643"/>
    <w:pPr>
      <w:spacing w:line="240" w:lineRule="exact"/>
    </w:pPr>
    <w:rPr>
      <w:rFonts w:ascii="Times New Roman" w:eastAsia="Times New Roman" w:hAnsi="Times New Roman" w:cs="Times New Roman"/>
      <w:kern w:val="0"/>
      <w:sz w:val="24"/>
      <w:szCs w:val="20"/>
      <w:vertAlign w:val="superscript"/>
      <w:lang w:eastAsia="en-IE"/>
      <w14:ligatures w14:val="none"/>
    </w:rPr>
  </w:style>
  <w:style w:type="character" w:customStyle="1" w:styleId="normaltextrun">
    <w:name w:val="normaltextrun"/>
    <w:basedOn w:val="DefaultParagraphFont"/>
    <w:rsid w:val="006C0643"/>
  </w:style>
  <w:style w:type="character" w:customStyle="1" w:styleId="eop">
    <w:name w:val="eop"/>
    <w:basedOn w:val="DefaultParagraphFont"/>
    <w:rsid w:val="006C0643"/>
  </w:style>
  <w:style w:type="character" w:styleId="Hyperlink">
    <w:name w:val="Hyperlink"/>
    <w:basedOn w:val="DefaultParagraphFont"/>
    <w:uiPriority w:val="99"/>
    <w:unhideWhenUsed/>
    <w:rsid w:val="006C0643"/>
    <w:rPr>
      <w:color w:val="0000FF"/>
      <w:u w:val="single"/>
    </w:rPr>
  </w:style>
  <w:style w:type="paragraph" w:styleId="EndnoteText">
    <w:name w:val="endnote text"/>
    <w:basedOn w:val="Normal"/>
    <w:link w:val="EndnoteTextChar"/>
    <w:uiPriority w:val="99"/>
    <w:semiHidden/>
    <w:unhideWhenUsed/>
    <w:rsid w:val="00A424E8"/>
    <w:pPr>
      <w:spacing w:after="0" w:line="240" w:lineRule="auto"/>
    </w:pPr>
    <w:rPr>
      <w:sz w:val="20"/>
      <w:szCs w:val="20"/>
    </w:rPr>
  </w:style>
  <w:style w:type="character" w:customStyle="1" w:styleId="EndnoteTextChar">
    <w:name w:val="Endnote Text Char"/>
    <w:basedOn w:val="DefaultParagraphFont"/>
    <w:link w:val="EndnoteText"/>
    <w:uiPriority w:val="99"/>
    <w:semiHidden/>
    <w:rsid w:val="00A424E8"/>
    <w:rPr>
      <w:sz w:val="20"/>
      <w:szCs w:val="20"/>
    </w:rPr>
  </w:style>
  <w:style w:type="character" w:styleId="EndnoteReference">
    <w:name w:val="endnote reference"/>
    <w:basedOn w:val="DefaultParagraphFont"/>
    <w:uiPriority w:val="99"/>
    <w:semiHidden/>
    <w:unhideWhenUsed/>
    <w:rsid w:val="00A424E8"/>
    <w:rPr>
      <w:vertAlign w:val="superscript"/>
    </w:rPr>
  </w:style>
  <w:style w:type="character" w:styleId="Strong">
    <w:name w:val="Strong"/>
    <w:basedOn w:val="DefaultParagraphFont"/>
    <w:uiPriority w:val="22"/>
    <w:qFormat/>
    <w:rsid w:val="00EC6509"/>
    <w:rPr>
      <w:b/>
      <w:bCs/>
    </w:rPr>
  </w:style>
  <w:style w:type="paragraph" w:customStyle="1" w:styleId="MyCustomStyle">
    <w:name w:val="My Custom Style"/>
    <w:rsid w:val="001B626A"/>
    <w:pPr>
      <w:spacing w:before="120" w:after="0" w:line="240" w:lineRule="auto"/>
      <w:jc w:val="both"/>
    </w:pPr>
    <w:rPr>
      <w:rFonts w:ascii="Times New Roman" w:eastAsia="Times New Roman" w:hAnsi="Times New Roman" w:cs="Times New Roman"/>
      <w:kern w:val="0"/>
      <w:sz w:val="24"/>
      <w:szCs w:val="24"/>
      <w:lang w:eastAsia="en-IE"/>
      <w14:ligatures w14:val="none"/>
    </w:rPr>
  </w:style>
  <w:style w:type="character" w:customStyle="1" w:styleId="wacimagecontainer">
    <w:name w:val="wacimagecontainer"/>
    <w:basedOn w:val="DefaultParagraphFont"/>
    <w:rsid w:val="0082144F"/>
  </w:style>
  <w:style w:type="character" w:customStyle="1" w:styleId="contentcontrolboundarysink">
    <w:name w:val="contentcontrolboundarysink"/>
    <w:basedOn w:val="DefaultParagraphFont"/>
    <w:rsid w:val="00630ADB"/>
  </w:style>
  <w:style w:type="paragraph" w:customStyle="1" w:styleId="paragraph">
    <w:name w:val="paragraph"/>
    <w:basedOn w:val="Normal"/>
    <w:rsid w:val="004614B6"/>
    <w:pPr>
      <w:spacing w:before="100" w:beforeAutospacing="1" w:after="100" w:afterAutospacing="1" w:line="240" w:lineRule="auto"/>
    </w:pPr>
    <w:rPr>
      <w:rFonts w:ascii="Times New Roman" w:eastAsia="Times New Roman" w:hAnsi="Times New Roman" w:cs="Times New Roman"/>
      <w:kern w:val="0"/>
      <w:sz w:val="24"/>
      <w:szCs w:val="24"/>
      <w:lang w:eastAsia="en-IE"/>
      <w14:ligatures w14:val="none"/>
    </w:rPr>
  </w:style>
  <w:style w:type="character" w:customStyle="1" w:styleId="ListParagraphChar">
    <w:name w:val="List Paragraph Char"/>
    <w:aliases w:val="Dot pt Char,No Spacing1 Char,List Paragraph Char Char Char Char,Indicator Text Char,Numbered Para 1 Char,List Paragraph1 Char,Bullet Points Char,MAIN CONTENT Char,List Paragraph12 Char,List Paragraph11 Char,OBC Bullet Char,L Char"/>
    <w:basedOn w:val="DefaultParagraphFont"/>
    <w:link w:val="ListParagraph"/>
    <w:uiPriority w:val="34"/>
    <w:qFormat/>
    <w:locked/>
    <w:rsid w:val="00FA4D31"/>
  </w:style>
  <w:style w:type="character" w:customStyle="1" w:styleId="superscript">
    <w:name w:val="superscript"/>
    <w:basedOn w:val="DefaultParagraphFont"/>
    <w:rsid w:val="004E429F"/>
  </w:style>
  <w:style w:type="character" w:styleId="FollowedHyperlink">
    <w:name w:val="FollowedHyperlink"/>
    <w:basedOn w:val="DefaultParagraphFont"/>
    <w:uiPriority w:val="99"/>
    <w:semiHidden/>
    <w:unhideWhenUsed/>
    <w:rsid w:val="00993445"/>
    <w:rPr>
      <w:color w:val="96607D" w:themeColor="followedHyperlink"/>
      <w:u w:val="single"/>
    </w:rPr>
  </w:style>
  <w:style w:type="character" w:customStyle="1" w:styleId="scxw62457875">
    <w:name w:val="scxw62457875"/>
    <w:basedOn w:val="DefaultParagraphFont"/>
    <w:rsid w:val="00CD63B3"/>
  </w:style>
  <w:style w:type="character" w:styleId="CommentReference">
    <w:name w:val="annotation reference"/>
    <w:basedOn w:val="DefaultParagraphFont"/>
    <w:uiPriority w:val="99"/>
    <w:semiHidden/>
    <w:unhideWhenUsed/>
    <w:rsid w:val="006A3225"/>
    <w:rPr>
      <w:sz w:val="16"/>
      <w:szCs w:val="16"/>
    </w:rPr>
  </w:style>
  <w:style w:type="paragraph" w:styleId="CommentText">
    <w:name w:val="annotation text"/>
    <w:basedOn w:val="Normal"/>
    <w:link w:val="CommentTextChar"/>
    <w:uiPriority w:val="99"/>
    <w:unhideWhenUsed/>
    <w:rsid w:val="006A3225"/>
    <w:pPr>
      <w:spacing w:line="240" w:lineRule="auto"/>
    </w:pPr>
    <w:rPr>
      <w:sz w:val="20"/>
      <w:szCs w:val="20"/>
    </w:rPr>
  </w:style>
  <w:style w:type="character" w:customStyle="1" w:styleId="CommentTextChar">
    <w:name w:val="Comment Text Char"/>
    <w:basedOn w:val="DefaultParagraphFont"/>
    <w:link w:val="CommentText"/>
    <w:uiPriority w:val="99"/>
    <w:rsid w:val="006A3225"/>
    <w:rPr>
      <w:sz w:val="20"/>
      <w:szCs w:val="20"/>
    </w:rPr>
  </w:style>
  <w:style w:type="paragraph" w:styleId="CommentSubject">
    <w:name w:val="annotation subject"/>
    <w:basedOn w:val="CommentText"/>
    <w:next w:val="CommentText"/>
    <w:link w:val="CommentSubjectChar"/>
    <w:uiPriority w:val="99"/>
    <w:semiHidden/>
    <w:unhideWhenUsed/>
    <w:rsid w:val="006A3225"/>
    <w:rPr>
      <w:b/>
      <w:bCs/>
    </w:rPr>
  </w:style>
  <w:style w:type="character" w:customStyle="1" w:styleId="CommentSubjectChar">
    <w:name w:val="Comment Subject Char"/>
    <w:basedOn w:val="CommentTextChar"/>
    <w:link w:val="CommentSubject"/>
    <w:uiPriority w:val="99"/>
    <w:semiHidden/>
    <w:rsid w:val="006A3225"/>
    <w:rPr>
      <w:b/>
      <w:bCs/>
      <w:sz w:val="20"/>
      <w:szCs w:val="20"/>
    </w:rPr>
  </w:style>
  <w:style w:type="character" w:customStyle="1" w:styleId="UnresolvedMention1">
    <w:name w:val="Unresolved Mention1"/>
    <w:basedOn w:val="DefaultParagraphFont"/>
    <w:uiPriority w:val="99"/>
    <w:semiHidden/>
    <w:unhideWhenUsed/>
    <w:rsid w:val="006B1829"/>
    <w:rPr>
      <w:color w:val="605E5C"/>
      <w:shd w:val="clear" w:color="auto" w:fill="E1DFDD"/>
    </w:rPr>
  </w:style>
  <w:style w:type="paragraph" w:styleId="Revision">
    <w:name w:val="Revision"/>
    <w:hidden/>
    <w:uiPriority w:val="99"/>
    <w:semiHidden/>
    <w:rsid w:val="00D727FA"/>
    <w:pPr>
      <w:spacing w:after="0" w:line="240" w:lineRule="auto"/>
    </w:pPr>
  </w:style>
  <w:style w:type="character" w:customStyle="1" w:styleId="Mention1">
    <w:name w:val="Mention1"/>
    <w:basedOn w:val="DefaultParagraphFont"/>
    <w:uiPriority w:val="99"/>
    <w:unhideWhenUsed/>
    <w:rsid w:val="008C43D1"/>
    <w:rPr>
      <w:color w:val="2B579A"/>
      <w:shd w:val="clear" w:color="auto" w:fill="E1DFDD"/>
    </w:rPr>
  </w:style>
  <w:style w:type="paragraph" w:styleId="Caption">
    <w:name w:val="caption"/>
    <w:aliases w:val="Caption PSP,Caption - Centre Graphic,Caption1 Char Char Char Char Char Char Char Char,Caption1 Char Char Char Char Char Char Char Char Tegn Tegn Tegn Tegn Tegn,Caption1 Char Char Char Char Char Char Char Char Tegn Tegn Tegn,Char,C"/>
    <w:basedOn w:val="Normal"/>
    <w:next w:val="Normal"/>
    <w:autoRedefine/>
    <w:uiPriority w:val="35"/>
    <w:qFormat/>
    <w:rsid w:val="00391F79"/>
    <w:pPr>
      <w:keepNext/>
      <w:tabs>
        <w:tab w:val="left" w:pos="1446"/>
        <w:tab w:val="left" w:pos="1474"/>
      </w:tabs>
      <w:spacing w:before="160" w:after="240" w:line="240" w:lineRule="auto"/>
      <w:ind w:left="1446" w:hanging="964"/>
    </w:pPr>
    <w:rPr>
      <w:rFonts w:ascii="Times New Roman" w:eastAsia="Arial" w:hAnsi="Times New Roman" w:cs="Times New Roman"/>
      <w:i/>
      <w:kern w:val="0"/>
      <w:szCs w:val="24"/>
      <w14:ligatures w14:val="none"/>
    </w:rPr>
  </w:style>
  <w:style w:type="paragraph" w:customStyle="1" w:styleId="FootnotesymbolCharCharCharChar">
    <w:name w:val="Footnote symbol Char Char Char Char"/>
    <w:aliases w:val="Voetnootverwijzing Char Char Char Char,Times 10 Point Char Char Char Char,Exposant 3 Point Char Char Char Char,Footnote Reference Superscript Char Char Char Cha"/>
    <w:basedOn w:val="Normal"/>
    <w:rsid w:val="00E922BB"/>
    <w:pPr>
      <w:spacing w:line="240" w:lineRule="exact"/>
    </w:pPr>
    <w:rPr>
      <w:rFonts w:ascii="Times New Roman" w:eastAsia="Times New Roman" w:hAnsi="Times New Roman" w:cs="Times New Roman"/>
      <w:kern w:val="0"/>
      <w:sz w:val="24"/>
      <w:szCs w:val="24"/>
      <w:vertAlign w:val="superscript"/>
      <w:lang w:eastAsia="en-IE"/>
      <w14:ligatures w14:val="none"/>
    </w:rPr>
  </w:style>
  <w:style w:type="paragraph" w:customStyle="1" w:styleId="Disclaimer">
    <w:name w:val="Disclaimer"/>
    <w:basedOn w:val="Normal"/>
    <w:rsid w:val="00473E6F"/>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kern w:val="0"/>
      <w:sz w:val="24"/>
      <w14:ligatures w14:val="none"/>
    </w:rPr>
  </w:style>
  <w:style w:type="paragraph" w:customStyle="1" w:styleId="SecurityMarking">
    <w:name w:val="SecurityMarking"/>
    <w:basedOn w:val="Normal"/>
    <w:rsid w:val="00473E6F"/>
    <w:pPr>
      <w:spacing w:after="0" w:line="276" w:lineRule="auto"/>
      <w:ind w:left="5103"/>
    </w:pPr>
    <w:rPr>
      <w:rFonts w:ascii="Times New Roman" w:hAnsi="Times New Roman" w:cs="Times New Roman"/>
      <w:kern w:val="0"/>
      <w:sz w:val="28"/>
      <w14:ligatures w14:val="none"/>
    </w:rPr>
  </w:style>
  <w:style w:type="paragraph" w:customStyle="1" w:styleId="DateMarking">
    <w:name w:val="DateMarking"/>
    <w:basedOn w:val="Normal"/>
    <w:rsid w:val="00473E6F"/>
    <w:pPr>
      <w:spacing w:after="0" w:line="276" w:lineRule="auto"/>
      <w:ind w:left="5103"/>
    </w:pPr>
    <w:rPr>
      <w:rFonts w:ascii="Times New Roman" w:hAnsi="Times New Roman" w:cs="Times New Roman"/>
      <w:i/>
      <w:kern w:val="0"/>
      <w:sz w:val="28"/>
      <w14:ligatures w14:val="none"/>
    </w:rPr>
  </w:style>
  <w:style w:type="paragraph" w:customStyle="1" w:styleId="ReleasableTo">
    <w:name w:val="ReleasableTo"/>
    <w:basedOn w:val="Normal"/>
    <w:rsid w:val="00473E6F"/>
    <w:pPr>
      <w:spacing w:after="0" w:line="276" w:lineRule="auto"/>
      <w:ind w:left="5103"/>
    </w:pPr>
    <w:rPr>
      <w:rFonts w:ascii="Times New Roman" w:hAnsi="Times New Roman" w:cs="Times New Roman"/>
      <w:i/>
      <w:kern w:val="0"/>
      <w:sz w:val="28"/>
      <w14:ligatures w14:val="none"/>
    </w:rPr>
  </w:style>
  <w:style w:type="character" w:customStyle="1" w:styleId="cf01">
    <w:name w:val="cf01"/>
    <w:basedOn w:val="DefaultParagraphFont"/>
    <w:rsid w:val="006402F6"/>
    <w:rPr>
      <w:rFonts w:ascii="Segoe UI" w:hAnsi="Segoe UI" w:cs="Segoe UI" w:hint="default"/>
      <w:sz w:val="18"/>
      <w:szCs w:val="18"/>
    </w:rPr>
  </w:style>
  <w:style w:type="paragraph" w:customStyle="1" w:styleId="Languesfaisantfoi">
    <w:name w:val="Langues faisant foi"/>
    <w:basedOn w:val="Normal"/>
    <w:next w:val="Normal"/>
    <w:rsid w:val="00D24986"/>
    <w:pPr>
      <w:spacing w:before="360" w:after="240" w:line="240" w:lineRule="auto"/>
      <w:jc w:val="center"/>
    </w:pPr>
    <w:rPr>
      <w:rFonts w:ascii="Times New Roman" w:hAnsi="Times New Roman" w:cs="Times New Roman"/>
      <w:kern w:val="0"/>
      <w:sz w:val="24"/>
      <w14:ligatures w14:val="none"/>
    </w:rPr>
  </w:style>
  <w:style w:type="paragraph" w:customStyle="1" w:styleId="LanguesfaisantfoiPagedecouverture">
    <w:name w:val="Langues faisant foi (Page de couverture)"/>
    <w:basedOn w:val="Normal"/>
    <w:next w:val="Normal"/>
    <w:rsid w:val="00D24986"/>
    <w:pPr>
      <w:spacing w:before="360" w:after="240" w:line="240" w:lineRule="auto"/>
      <w:jc w:val="center"/>
    </w:pPr>
    <w:rPr>
      <w:rFonts w:ascii="Times New Roman" w:hAnsi="Times New Roman" w:cs="Times New Roman"/>
      <w:kern w:val="0"/>
      <w:sz w:val="24"/>
      <w14:ligatures w14:val="none"/>
    </w:rPr>
  </w:style>
  <w:style w:type="paragraph" w:customStyle="1" w:styleId="IntrtEEE">
    <w:name w:val="Intérêt EEE"/>
    <w:basedOn w:val="Languesfaisantfoi"/>
    <w:next w:val="Normal"/>
    <w:rsid w:val="00D24986"/>
    <w:pPr>
      <w:spacing w:after="0"/>
    </w:pPr>
  </w:style>
  <w:style w:type="paragraph" w:customStyle="1" w:styleId="IntrtEEEPagedecouverture">
    <w:name w:val="Intérêt EEE (Page de couverture)"/>
    <w:basedOn w:val="IntrtEEE"/>
    <w:next w:val="Normal"/>
    <w:rsid w:val="00D24986"/>
  </w:style>
  <w:style w:type="character" w:customStyle="1" w:styleId="UnresolvedMention">
    <w:name w:val="Unresolved Mention"/>
    <w:basedOn w:val="DefaultParagraphFont"/>
    <w:uiPriority w:val="99"/>
    <w:semiHidden/>
    <w:unhideWhenUsed/>
    <w:rsid w:val="00726C9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219089">
      <w:bodyDiv w:val="1"/>
      <w:marLeft w:val="0"/>
      <w:marRight w:val="0"/>
      <w:marTop w:val="0"/>
      <w:marBottom w:val="0"/>
      <w:divBdr>
        <w:top w:val="none" w:sz="0" w:space="0" w:color="auto"/>
        <w:left w:val="none" w:sz="0" w:space="0" w:color="auto"/>
        <w:bottom w:val="none" w:sz="0" w:space="0" w:color="auto"/>
        <w:right w:val="none" w:sz="0" w:space="0" w:color="auto"/>
      </w:divBdr>
    </w:div>
    <w:div w:id="120271976">
      <w:bodyDiv w:val="1"/>
      <w:marLeft w:val="0"/>
      <w:marRight w:val="0"/>
      <w:marTop w:val="0"/>
      <w:marBottom w:val="0"/>
      <w:divBdr>
        <w:top w:val="none" w:sz="0" w:space="0" w:color="auto"/>
        <w:left w:val="none" w:sz="0" w:space="0" w:color="auto"/>
        <w:bottom w:val="none" w:sz="0" w:space="0" w:color="auto"/>
        <w:right w:val="none" w:sz="0" w:space="0" w:color="auto"/>
      </w:divBdr>
    </w:div>
    <w:div w:id="140929072">
      <w:bodyDiv w:val="1"/>
      <w:marLeft w:val="0"/>
      <w:marRight w:val="0"/>
      <w:marTop w:val="0"/>
      <w:marBottom w:val="0"/>
      <w:divBdr>
        <w:top w:val="none" w:sz="0" w:space="0" w:color="auto"/>
        <w:left w:val="none" w:sz="0" w:space="0" w:color="auto"/>
        <w:bottom w:val="none" w:sz="0" w:space="0" w:color="auto"/>
        <w:right w:val="none" w:sz="0" w:space="0" w:color="auto"/>
      </w:divBdr>
    </w:div>
    <w:div w:id="180780432">
      <w:bodyDiv w:val="1"/>
      <w:marLeft w:val="0"/>
      <w:marRight w:val="0"/>
      <w:marTop w:val="0"/>
      <w:marBottom w:val="0"/>
      <w:divBdr>
        <w:top w:val="none" w:sz="0" w:space="0" w:color="auto"/>
        <w:left w:val="none" w:sz="0" w:space="0" w:color="auto"/>
        <w:bottom w:val="none" w:sz="0" w:space="0" w:color="auto"/>
        <w:right w:val="none" w:sz="0" w:space="0" w:color="auto"/>
      </w:divBdr>
    </w:div>
    <w:div w:id="379289003">
      <w:bodyDiv w:val="1"/>
      <w:marLeft w:val="0"/>
      <w:marRight w:val="0"/>
      <w:marTop w:val="0"/>
      <w:marBottom w:val="0"/>
      <w:divBdr>
        <w:top w:val="none" w:sz="0" w:space="0" w:color="auto"/>
        <w:left w:val="none" w:sz="0" w:space="0" w:color="auto"/>
        <w:bottom w:val="none" w:sz="0" w:space="0" w:color="auto"/>
        <w:right w:val="none" w:sz="0" w:space="0" w:color="auto"/>
      </w:divBdr>
    </w:div>
    <w:div w:id="583952422">
      <w:bodyDiv w:val="1"/>
      <w:marLeft w:val="0"/>
      <w:marRight w:val="0"/>
      <w:marTop w:val="0"/>
      <w:marBottom w:val="0"/>
      <w:divBdr>
        <w:top w:val="none" w:sz="0" w:space="0" w:color="auto"/>
        <w:left w:val="none" w:sz="0" w:space="0" w:color="auto"/>
        <w:bottom w:val="none" w:sz="0" w:space="0" w:color="auto"/>
        <w:right w:val="none" w:sz="0" w:space="0" w:color="auto"/>
      </w:divBdr>
    </w:div>
    <w:div w:id="640814414">
      <w:bodyDiv w:val="1"/>
      <w:marLeft w:val="0"/>
      <w:marRight w:val="0"/>
      <w:marTop w:val="0"/>
      <w:marBottom w:val="0"/>
      <w:divBdr>
        <w:top w:val="none" w:sz="0" w:space="0" w:color="auto"/>
        <w:left w:val="none" w:sz="0" w:space="0" w:color="auto"/>
        <w:bottom w:val="none" w:sz="0" w:space="0" w:color="auto"/>
        <w:right w:val="none" w:sz="0" w:space="0" w:color="auto"/>
      </w:divBdr>
    </w:div>
    <w:div w:id="1297948034">
      <w:bodyDiv w:val="1"/>
      <w:marLeft w:val="0"/>
      <w:marRight w:val="0"/>
      <w:marTop w:val="0"/>
      <w:marBottom w:val="0"/>
      <w:divBdr>
        <w:top w:val="none" w:sz="0" w:space="0" w:color="auto"/>
        <w:left w:val="none" w:sz="0" w:space="0" w:color="auto"/>
        <w:bottom w:val="none" w:sz="0" w:space="0" w:color="auto"/>
        <w:right w:val="none" w:sz="0" w:space="0" w:color="auto"/>
      </w:divBdr>
    </w:div>
    <w:div w:id="1319765928">
      <w:bodyDiv w:val="1"/>
      <w:marLeft w:val="0"/>
      <w:marRight w:val="0"/>
      <w:marTop w:val="0"/>
      <w:marBottom w:val="0"/>
      <w:divBdr>
        <w:top w:val="none" w:sz="0" w:space="0" w:color="auto"/>
        <w:left w:val="none" w:sz="0" w:space="0" w:color="auto"/>
        <w:bottom w:val="none" w:sz="0" w:space="0" w:color="auto"/>
        <w:right w:val="none" w:sz="0" w:space="0" w:color="auto"/>
      </w:divBdr>
    </w:div>
    <w:div w:id="1403674619">
      <w:bodyDiv w:val="1"/>
      <w:marLeft w:val="0"/>
      <w:marRight w:val="0"/>
      <w:marTop w:val="0"/>
      <w:marBottom w:val="0"/>
      <w:divBdr>
        <w:top w:val="none" w:sz="0" w:space="0" w:color="auto"/>
        <w:left w:val="none" w:sz="0" w:space="0" w:color="auto"/>
        <w:bottom w:val="none" w:sz="0" w:space="0" w:color="auto"/>
        <w:right w:val="none" w:sz="0" w:space="0" w:color="auto"/>
      </w:divBdr>
    </w:div>
    <w:div w:id="1410271632">
      <w:bodyDiv w:val="1"/>
      <w:marLeft w:val="0"/>
      <w:marRight w:val="0"/>
      <w:marTop w:val="0"/>
      <w:marBottom w:val="0"/>
      <w:divBdr>
        <w:top w:val="none" w:sz="0" w:space="0" w:color="auto"/>
        <w:left w:val="none" w:sz="0" w:space="0" w:color="auto"/>
        <w:bottom w:val="none" w:sz="0" w:space="0" w:color="auto"/>
        <w:right w:val="none" w:sz="0" w:space="0" w:color="auto"/>
      </w:divBdr>
    </w:div>
    <w:div w:id="1579629570">
      <w:bodyDiv w:val="1"/>
      <w:marLeft w:val="0"/>
      <w:marRight w:val="0"/>
      <w:marTop w:val="0"/>
      <w:marBottom w:val="0"/>
      <w:divBdr>
        <w:top w:val="none" w:sz="0" w:space="0" w:color="auto"/>
        <w:left w:val="none" w:sz="0" w:space="0" w:color="auto"/>
        <w:bottom w:val="none" w:sz="0" w:space="0" w:color="auto"/>
        <w:right w:val="none" w:sz="0" w:space="0" w:color="auto"/>
      </w:divBdr>
    </w:div>
    <w:div w:id="2035958272">
      <w:bodyDiv w:val="1"/>
      <w:marLeft w:val="0"/>
      <w:marRight w:val="0"/>
      <w:marTop w:val="0"/>
      <w:marBottom w:val="0"/>
      <w:divBdr>
        <w:top w:val="none" w:sz="0" w:space="0" w:color="auto"/>
        <w:left w:val="none" w:sz="0" w:space="0" w:color="auto"/>
        <w:bottom w:val="none" w:sz="0" w:space="0" w:color="auto"/>
        <w:right w:val="none" w:sz="0" w:space="0" w:color="auto"/>
      </w:divBdr>
    </w:div>
    <w:div w:id="2077589168">
      <w:bodyDiv w:val="1"/>
      <w:marLeft w:val="0"/>
      <w:marRight w:val="0"/>
      <w:marTop w:val="0"/>
      <w:marBottom w:val="0"/>
      <w:divBdr>
        <w:top w:val="none" w:sz="0" w:space="0" w:color="auto"/>
        <w:left w:val="none" w:sz="0" w:space="0" w:color="auto"/>
        <w:bottom w:val="none" w:sz="0" w:space="0" w:color="auto"/>
        <w:right w:val="none" w:sz="0" w:space="0" w:color="auto"/>
      </w:divBdr>
    </w:div>
    <w:div w:id="2090885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image" Target="media/image4.png"/><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image" Target="media/image3.png"/><Relationship Id="rId29"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7.png"/><Relationship Id="rId32"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image" Target="media/image6.png"/><Relationship Id="rId28" Type="http://schemas.openxmlformats.org/officeDocument/2006/relationships/footer" Target="footer5.xml"/><Relationship Id="rId10" Type="http://schemas.openxmlformats.org/officeDocument/2006/relationships/footnotes" Target="footnotes.xml"/><Relationship Id="rId19" Type="http://schemas.openxmlformats.org/officeDocument/2006/relationships/image" Target="media/image2.png"/><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image" Target="media/image5.png"/><Relationship Id="rId27" Type="http://schemas.openxmlformats.org/officeDocument/2006/relationships/footer" Target="footer4.xml"/><Relationship Id="rId30" Type="http://schemas.openxmlformats.org/officeDocument/2006/relationships/footer" Target="footer6.xml"/></Relationships>
</file>

<file path=word/_rels/footnotes.xml.rels><?xml version="1.0" encoding="UTF-8" standalone="yes"?>
<Relationships xmlns="http://schemas.openxmlformats.org/package/2006/relationships"><Relationship Id="rId8" Type="http://schemas.openxmlformats.org/officeDocument/2006/relationships/hyperlink" Target="https://iea.blob.core.windows.net/assets/b6a6fc8c-c62e-411d-a15c-bf211ccc06f3/ThePathtoaNewEraforNuclearEnergy.pdf" TargetMode="External"/><Relationship Id="rId13" Type="http://schemas.openxmlformats.org/officeDocument/2006/relationships/hyperlink" Target="https://www.eib.org/en/press/all/2025-130-eib-and-orano-sign-a-loan-agreement-for-400-million-euros-relating-to-the-project-to-extend-the-georges-besse-2-uranium-enrichment-plant" TargetMode="External"/><Relationship Id="rId3" Type="http://schemas.openxmlformats.org/officeDocument/2006/relationships/hyperlink" Target="https://ec.europa.eu/eurostat/web/products-eurostat-news/w/ddn-20250225-1" TargetMode="External"/><Relationship Id="rId7" Type="http://schemas.openxmlformats.org/officeDocument/2006/relationships/hyperlink" Target="https://www.nucleareurope.eu/project/european-smr-pre-partnership/" TargetMode="External"/><Relationship Id="rId12" Type="http://schemas.openxmlformats.org/officeDocument/2006/relationships/hyperlink" Target="https://www.eib.org/en/press/all/2025-130-eib-and-orano-sign-a-loan-agreement-for-400-million-euros-relating-to-the-project-to-extend-the-georges-besse-2-uranium-enrichment-plant" TargetMode="External"/><Relationship Id="rId2" Type="http://schemas.openxmlformats.org/officeDocument/2006/relationships/hyperlink" Target="https://eur-lex.europa.eu/legal-content/EN/TXT/?uri=CELEX%3A52025DC0440R%2801%29&amp;qid=1747125158211" TargetMode="External"/><Relationship Id="rId16" Type="http://schemas.openxmlformats.org/officeDocument/2006/relationships/hyperlink" Target="https://cordis.europa.eu/project/id/101052200" TargetMode="External"/><Relationship Id="rId1" Type="http://schemas.openxmlformats.org/officeDocument/2006/relationships/hyperlink" Target="https://eur-lex.europa.eu/legal-content/RO/TXT/PDF/?uri=CELEX:52024DC0063" TargetMode="External"/><Relationship Id="rId6" Type="http://schemas.openxmlformats.org/officeDocument/2006/relationships/hyperlink" Target="https://single-market-economy.ec.europa.eu/industry/industrial-alliances/european-industrial-alliance-small-modular-reactors_en" TargetMode="External"/><Relationship Id="rId11" Type="http://schemas.openxmlformats.org/officeDocument/2006/relationships/hyperlink" Target="https://energy.ec.europa.eu/topics/nuclear-energy/radiological-and-nuclear-technology-health/samira-action-plan_en" TargetMode="External"/><Relationship Id="rId5" Type="http://schemas.openxmlformats.org/officeDocument/2006/relationships/hyperlink" Target="https://eur-lex.europa.eu/legal-content/EN/TXT/?uri=CELEX%3A52025DC0440R%2801%29&amp;qid=1747125158211" TargetMode="External"/><Relationship Id="rId15" Type="http://schemas.openxmlformats.org/officeDocument/2006/relationships/hyperlink" Target="https://cordis.europa.eu/project/id/101213280" TargetMode="External"/><Relationship Id="rId10" Type="http://schemas.openxmlformats.org/officeDocument/2006/relationships/hyperlink" Target="https://www.iea.org/reports/the-path-to-a-new-era-for-nuclear-energy" TargetMode="External"/><Relationship Id="rId4" Type="http://schemas.openxmlformats.org/officeDocument/2006/relationships/hyperlink" Target="https://www.iea.org/reports/the-path-to-a-new-era-for-nuclear-energy" TargetMode="External"/><Relationship Id="rId9" Type="http://schemas.openxmlformats.org/officeDocument/2006/relationships/hyperlink" Target="https://www.nucleareurope.eu/project/pathways-to-2050/" TargetMode="External"/><Relationship Id="rId14" Type="http://schemas.openxmlformats.org/officeDocument/2006/relationships/hyperlink" Target="https://eur-lex.europa.eu/legal-content/EN/TXT/?uri=CELEX%3A52025DC0440R%2801%29&amp;qid=174712515821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0c666ed-fe46-43d6-bf30-6de2567680e6">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F37100A9351204890AE6EC9E8983010" ma:contentTypeVersion="10" ma:contentTypeDescription="Create a new document." ma:contentTypeScope="" ma:versionID="49a0fb0bee4bdddb1f711d416646ea8d">
  <xsd:schema xmlns:xsd="http://www.w3.org/2001/XMLSchema" xmlns:xs="http://www.w3.org/2001/XMLSchema" xmlns:p="http://schemas.microsoft.com/office/2006/metadata/properties" xmlns:ns2="30c666ed-fe46-43d6-bf30-6de2567680e6" targetNamespace="http://schemas.microsoft.com/office/2006/metadata/properties" ma:root="true" ma:fieldsID="76bb33b7cd296a3496a959b822b02297" ns2:_="">
    <xsd:import namespace="30c666ed-fe46-43d6-bf30-6de2567680e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c666ed-fe46-43d6-bf30-6de2567680e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ct:contentTypeSchema xmlns:ct="http://schemas.microsoft.com/office/2006/metadata/contentType" xmlns:ma="http://schemas.microsoft.com/office/2006/metadata/properties/metaAttributes" ct:_="" ma:_="" ma:contentTypeName="Document" ma:contentTypeID="0x010100BF37100A9351204890AE6EC9E8983010" ma:contentTypeVersion="10" ma:contentTypeDescription="Create a new document." ma:contentTypeScope="" ma:versionID="e97d29b1770148343b73576c29187785">
  <xsd:schema xmlns:xsd="http://www.w3.org/2001/XMLSchema" xmlns:xs="http://www.w3.org/2001/XMLSchema" xmlns:p="http://schemas.microsoft.com/office/2006/metadata/properties" xmlns:ns2="30c666ed-fe46-43d6-bf30-6de2567680e6" targetNamespace="http://schemas.microsoft.com/office/2006/metadata/properties" ma:root="true" ma:fieldsID="e76b89cd66126d706bb5f708ee2905ac" ns2:_="">
    <xsd:import namespace="30c666ed-fe46-43d6-bf30-6de2567680e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c666ed-fe46-43d6-bf30-6de2567680e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99063E-5C30-476D-9297-B96F5B468143}">
  <ds:schemaRefs>
    <ds:schemaRef ds:uri="http://schemas.microsoft.com/sharepoint/v3/contenttype/forms"/>
  </ds:schemaRefs>
</ds:datastoreItem>
</file>

<file path=customXml/itemProps2.xml><?xml version="1.0" encoding="utf-8"?>
<ds:datastoreItem xmlns:ds="http://schemas.openxmlformats.org/officeDocument/2006/customXml" ds:itemID="{57C37B1F-2686-439C-8983-4B8C3E1E2F14}">
  <ds:schemaRefs>
    <ds:schemaRef ds:uri="http://schemas.microsoft.com/office/2006/metadata/properties"/>
    <ds:schemaRef ds:uri="http://schemas.microsoft.com/office/infopath/2007/PartnerControls"/>
    <ds:schemaRef ds:uri="30c666ed-fe46-43d6-bf30-6de2567680e6"/>
  </ds:schemaRefs>
</ds:datastoreItem>
</file>

<file path=customXml/itemProps3.xml><?xml version="1.0" encoding="utf-8"?>
<ds:datastoreItem xmlns:ds="http://schemas.openxmlformats.org/officeDocument/2006/customXml" ds:itemID="{218B680E-3C1A-4B47-AEC5-9DD437DA8F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0c666ed-fe46-43d6-bf30-6de2567680e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F744FEE-CEF5-444D-BA30-E9A10D0017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0c666ed-fe46-43d6-bf30-6de2567680e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9170124B-34DF-4204-BC0C-49054B33B8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122</TotalTime>
  <Pages>14</Pages>
  <Words>7728</Words>
  <Characters>44055</Characters>
  <Application>Microsoft Office Word</Application>
  <DocSecurity>0</DocSecurity>
  <Lines>367</Lines>
  <Paragraphs>103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51680</CharactersWithSpaces>
  <SharedDoc>false</SharedDoc>
  <HLinks>
    <vt:vector size="84" baseType="variant">
      <vt:variant>
        <vt:i4>3407984</vt:i4>
      </vt:variant>
      <vt:variant>
        <vt:i4>39</vt:i4>
      </vt:variant>
      <vt:variant>
        <vt:i4>0</vt:i4>
      </vt:variant>
      <vt:variant>
        <vt:i4>5</vt:i4>
      </vt:variant>
      <vt:variant>
        <vt:lpwstr>https://eur-lex.europa.eu/legal-content/EN/TXT/?uri=CELEX%3A52025DC0440R%2801%29&amp;qid=1747125158211</vt:lpwstr>
      </vt:variant>
      <vt:variant>
        <vt:lpwstr/>
      </vt:variant>
      <vt:variant>
        <vt:i4>3735669</vt:i4>
      </vt:variant>
      <vt:variant>
        <vt:i4>36</vt:i4>
      </vt:variant>
      <vt:variant>
        <vt:i4>0</vt:i4>
      </vt:variant>
      <vt:variant>
        <vt:i4>5</vt:i4>
      </vt:variant>
      <vt:variant>
        <vt:lpwstr>https://www.eib.org/en/press/all/2025-130-eib-and-orano-sign-a-loan-agreement-for-400-million-euros-relating-to-the-project-to-extend-the-georges-besse-2-uranium-enrichment-plant</vt:lpwstr>
      </vt:variant>
      <vt:variant>
        <vt:lpwstr/>
      </vt:variant>
      <vt:variant>
        <vt:i4>2818058</vt:i4>
      </vt:variant>
      <vt:variant>
        <vt:i4>33</vt:i4>
      </vt:variant>
      <vt:variant>
        <vt:i4>0</vt:i4>
      </vt:variant>
      <vt:variant>
        <vt:i4>5</vt:i4>
      </vt:variant>
      <vt:variant>
        <vt:lpwstr>https://energy.ec.europa.eu/topics/nuclear-energy/radiological-and-nuclear-technology-health/samira-action-plan_en</vt:lpwstr>
      </vt:variant>
      <vt:variant>
        <vt:lpwstr>:~:text=The%20SAMIRA%20action%20plan%20is%20the%20EU%E2%80%99s%20first,use%20of%20radiological%20and%20nuclear%20technology%20in%20healthcare.</vt:lpwstr>
      </vt:variant>
      <vt:variant>
        <vt:i4>6422649</vt:i4>
      </vt:variant>
      <vt:variant>
        <vt:i4>30</vt:i4>
      </vt:variant>
      <vt:variant>
        <vt:i4>0</vt:i4>
      </vt:variant>
      <vt:variant>
        <vt:i4>5</vt:i4>
      </vt:variant>
      <vt:variant>
        <vt:lpwstr>https://www.nucleareurope.eu/project/pathways-to-2050/</vt:lpwstr>
      </vt:variant>
      <vt:variant>
        <vt:lpwstr/>
      </vt:variant>
      <vt:variant>
        <vt:i4>2883688</vt:i4>
      </vt:variant>
      <vt:variant>
        <vt:i4>27</vt:i4>
      </vt:variant>
      <vt:variant>
        <vt:i4>0</vt:i4>
      </vt:variant>
      <vt:variant>
        <vt:i4>5</vt:i4>
      </vt:variant>
      <vt:variant>
        <vt:lpwstr>https://iea.blob.core.windows.net/assets/b6a6fc8c-c62e-411d-a15c-bf211ccc06f3/ThePathtoaNewEraforNuclearEnergy.pdf</vt:lpwstr>
      </vt:variant>
      <vt:variant>
        <vt:lpwstr/>
      </vt:variant>
      <vt:variant>
        <vt:i4>7536696</vt:i4>
      </vt:variant>
      <vt:variant>
        <vt:i4>24</vt:i4>
      </vt:variant>
      <vt:variant>
        <vt:i4>0</vt:i4>
      </vt:variant>
      <vt:variant>
        <vt:i4>5</vt:i4>
      </vt:variant>
      <vt:variant>
        <vt:lpwstr>https://www.nucleareurope.eu/project/european-smr-pre-partnership/</vt:lpwstr>
      </vt:variant>
      <vt:variant>
        <vt:lpwstr/>
      </vt:variant>
      <vt:variant>
        <vt:i4>2228314</vt:i4>
      </vt:variant>
      <vt:variant>
        <vt:i4>21</vt:i4>
      </vt:variant>
      <vt:variant>
        <vt:i4>0</vt:i4>
      </vt:variant>
      <vt:variant>
        <vt:i4>5</vt:i4>
      </vt:variant>
      <vt:variant>
        <vt:lpwstr>https://eur-lex.europa.eu/legal-content/EN/TXT/?uri=uriserv%3AOJ.L_.2014.219.01.0042.01.ENG</vt:lpwstr>
      </vt:variant>
      <vt:variant>
        <vt:lpwstr/>
      </vt:variant>
      <vt:variant>
        <vt:i4>7274511</vt:i4>
      </vt:variant>
      <vt:variant>
        <vt:i4>18</vt:i4>
      </vt:variant>
      <vt:variant>
        <vt:i4>0</vt:i4>
      </vt:variant>
      <vt:variant>
        <vt:i4>5</vt:i4>
      </vt:variant>
      <vt:variant>
        <vt:lpwstr>https://single-market-economy.ec.europa.eu/industry/industrial-alliances/european-industrial-alliance-small-modular-reactors_en</vt:lpwstr>
      </vt:variant>
      <vt:variant>
        <vt:lpwstr/>
      </vt:variant>
      <vt:variant>
        <vt:i4>4456491</vt:i4>
      </vt:variant>
      <vt:variant>
        <vt:i4>15</vt:i4>
      </vt:variant>
      <vt:variant>
        <vt:i4>0</vt:i4>
      </vt:variant>
      <vt:variant>
        <vt:i4>5</vt:i4>
      </vt:variant>
      <vt:variant>
        <vt:lpwstr>https://commission.europa.eu/strategy-and-policy/priorities-2019-2024/european-green-deal/repowereu-affordable-secure-and-sustainable-energy-europe_en</vt:lpwstr>
      </vt:variant>
      <vt:variant>
        <vt:lpwstr/>
      </vt:variant>
      <vt:variant>
        <vt:i4>5373953</vt:i4>
      </vt:variant>
      <vt:variant>
        <vt:i4>12</vt:i4>
      </vt:variant>
      <vt:variant>
        <vt:i4>0</vt:i4>
      </vt:variant>
      <vt:variant>
        <vt:i4>5</vt:i4>
      </vt:variant>
      <vt:variant>
        <vt:lpwstr>https://www.iea.org/reports/the-path-to-a-new-era-for-nuclear-energy</vt:lpwstr>
      </vt:variant>
      <vt:variant>
        <vt:lpwstr/>
      </vt:variant>
      <vt:variant>
        <vt:i4>4456526</vt:i4>
      </vt:variant>
      <vt:variant>
        <vt:i4>9</vt:i4>
      </vt:variant>
      <vt:variant>
        <vt:i4>0</vt:i4>
      </vt:variant>
      <vt:variant>
        <vt:i4>5</vt:i4>
      </vt:variant>
      <vt:variant>
        <vt:lpwstr>https://ec.europa.eu/eurostat/web/products-eurostat-news/w/ddn-20250225-1</vt:lpwstr>
      </vt:variant>
      <vt:variant>
        <vt:lpwstr/>
      </vt:variant>
      <vt:variant>
        <vt:i4>3407984</vt:i4>
      </vt:variant>
      <vt:variant>
        <vt:i4>6</vt:i4>
      </vt:variant>
      <vt:variant>
        <vt:i4>0</vt:i4>
      </vt:variant>
      <vt:variant>
        <vt:i4>5</vt:i4>
      </vt:variant>
      <vt:variant>
        <vt:lpwstr>https://eur-lex.europa.eu/legal-content/EN/TXT/?uri=CELEX%3A52025DC0440R%2801%29&amp;qid=1747125158211</vt:lpwstr>
      </vt:variant>
      <vt:variant>
        <vt:lpwstr/>
      </vt:variant>
      <vt:variant>
        <vt:i4>1769522</vt:i4>
      </vt:variant>
      <vt:variant>
        <vt:i4>3</vt:i4>
      </vt:variant>
      <vt:variant>
        <vt:i4>0</vt:i4>
      </vt:variant>
      <vt:variant>
        <vt:i4>5</vt:i4>
      </vt:variant>
      <vt:variant>
        <vt:lpwstr>https://commission.europa.eu/topics/eu-competitiveness_en</vt:lpwstr>
      </vt:variant>
      <vt:variant>
        <vt:lpwstr/>
      </vt:variant>
      <vt:variant>
        <vt:i4>2424849</vt:i4>
      </vt:variant>
      <vt:variant>
        <vt:i4>0</vt:i4>
      </vt:variant>
      <vt:variant>
        <vt:i4>0</vt:i4>
      </vt:variant>
      <vt:variant>
        <vt:i4>5</vt:i4>
      </vt:variant>
      <vt:variant>
        <vt:lpwstr>https://commission.europa.eu/topics/eu-competitiveness/draghi-report_en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11</cp:revision>
  <dcterms:created xsi:type="dcterms:W3CDTF">2026-03-03T10:12:00Z</dcterms:created>
  <dcterms:modified xsi:type="dcterms:W3CDTF">2026-03-13T07:57:00Z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2025-05-21T18:08:48Z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d791e515-fbb8-4449-868a-73c44270c50e</vt:lpwstr>
  </property>
  <property fmtid="{D5CDD505-2E9C-101B-9397-08002B2CF9AE}" pid="8" name="MSIP_Label_6bd9ddd1-4d20-43f6-abfa-fc3c07406f94_ContentBits">
    <vt:lpwstr>0</vt:lpwstr>
  </property>
  <property fmtid="{D5CDD505-2E9C-101B-9397-08002B2CF9AE}" pid="9" name="ContentTypeId">
    <vt:lpwstr>0x010100BF37100A9351204890AE6EC9E8983010</vt:lpwstr>
  </property>
  <property fmtid="{D5CDD505-2E9C-101B-9397-08002B2CF9AE}" pid="10" name="Level of sensitivity">
    <vt:lpwstr>Standard treatment</vt:lpwstr>
  </property>
  <property fmtid="{D5CDD505-2E9C-101B-9397-08002B2CF9AE}" pid="11" name="Last edited using">
    <vt:lpwstr>LW 9.2, Build 20250828</vt:lpwstr>
  </property>
  <property fmtid="{D5CDD505-2E9C-101B-9397-08002B2CF9AE}" pid="12" name="Part">
    <vt:lpwstr>1</vt:lpwstr>
  </property>
  <property fmtid="{D5CDD505-2E9C-101B-9397-08002B2CF9AE}" pid="13" name="Total parts">
    <vt:lpwstr>1</vt:lpwstr>
  </property>
  <property fmtid="{D5CDD505-2E9C-101B-9397-08002B2CF9AE}" pid="14" name="DocStatus">
    <vt:lpwstr>Green</vt:lpwstr>
  </property>
  <property fmtid="{D5CDD505-2E9C-101B-9397-08002B2CF9AE}" pid="15" name="CPTemplateID">
    <vt:lpwstr>CP-009</vt:lpwstr>
  </property>
  <property fmtid="{D5CDD505-2E9C-101B-9397-08002B2CF9AE}" pid="16" name="MediaServiceImageTags">
    <vt:lpwstr/>
  </property>
  <property fmtid="{D5CDD505-2E9C-101B-9397-08002B2CF9AE}" pid="17" name="Created using">
    <vt:lpwstr>LW 9.2, Build 20250828</vt:lpwstr>
  </property>
</Properties>
</file>