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64A8F8" w14:textId="48466488" w:rsidR="0029533F" w:rsidRDefault="00EB2C0E" w:rsidP="00EB2C0E">
      <w:pPr>
        <w:pStyle w:val="Pagedecouverture"/>
        <w:rPr>
          <w:noProof/>
        </w:rPr>
      </w:pPr>
      <w:bookmarkStart w:id="0" w:name="_Hlk221782633"/>
      <w:r>
        <w:rPr>
          <w:noProof/>
        </w:rPr>
        <w:pict w14:anchorId="0014EF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alt="8FE4831C-F21B-4473-8EC9-2E58FDD04617" style="width:455.25pt;height:408.75pt">
            <v:imagedata r:id="rId7" o:title=""/>
          </v:shape>
        </w:pict>
      </w:r>
    </w:p>
    <w:p w14:paraId="0FB320FE" w14:textId="77777777" w:rsidR="00F82C78" w:rsidRPr="00A179B5" w:rsidRDefault="00F82C78">
      <w:pPr>
        <w:rPr>
          <w:noProof/>
        </w:rPr>
        <w:sectPr w:rsidR="00F82C78" w:rsidRPr="00A179B5" w:rsidSect="00EB2C0E">
          <w:footerReference w:type="even" r:id="rId8"/>
          <w:footerReference w:type="default" r:id="rId9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3ABDBC08" w14:textId="4B436765" w:rsidR="00783FEE" w:rsidRDefault="0035045B" w:rsidP="0035045B">
      <w:pPr>
        <w:pStyle w:val="Rfrenceinterinstitutionnelle"/>
        <w:rPr>
          <w:noProof/>
        </w:rPr>
      </w:pPr>
      <w:bookmarkStart w:id="1" w:name="_GoBack"/>
      <w:bookmarkEnd w:id="1"/>
      <w:r>
        <w:rPr>
          <w:noProof/>
        </w:rPr>
        <w:lastRenderedPageBreak/>
        <w:t>2023/0266 (COD)</w:t>
      </w:r>
    </w:p>
    <w:p w14:paraId="7A48F1F8" w14:textId="641D7097" w:rsidR="00F82C78" w:rsidRPr="00A179B5" w:rsidRDefault="0035045B" w:rsidP="0035045B">
      <w:pPr>
        <w:pStyle w:val="Typedudocument"/>
        <w:rPr>
          <w:noProof/>
        </w:rPr>
      </w:pPr>
      <w:bookmarkStart w:id="2" w:name="_Hlk222756973"/>
      <w:r w:rsidRPr="0035045B">
        <w:rPr>
          <w:noProof/>
        </w:rPr>
        <w:t>COMMUNICATION FROM THE COMMISSION</w:t>
      </w:r>
      <w:r w:rsidRPr="0035045B">
        <w:rPr>
          <w:noProof/>
        </w:rPr>
        <w:br/>
        <w:t>TO THE EUROPEAN PARLIAMENT</w:t>
      </w:r>
      <w:r w:rsidRPr="0035045B">
        <w:rPr>
          <w:noProof/>
        </w:rPr>
        <w:br/>
      </w:r>
      <w:r w:rsidRPr="0035045B">
        <w:rPr>
          <w:noProof/>
        </w:rPr>
        <w:br/>
        <w:t>pursuant to Article 294(6) of the Treaty on the Functioning of the European Union</w:t>
      </w:r>
      <w:r w:rsidRPr="0035045B">
        <w:rPr>
          <w:noProof/>
        </w:rPr>
        <w:br/>
      </w:r>
      <w:r w:rsidRPr="0035045B">
        <w:rPr>
          <w:noProof/>
        </w:rPr>
        <w:br/>
        <w:t>concerning the</w:t>
      </w:r>
    </w:p>
    <w:p w14:paraId="022103C0" w14:textId="2640AECE" w:rsidR="0019691D" w:rsidRPr="0019691D" w:rsidRDefault="0035045B" w:rsidP="0035045B">
      <w:pPr>
        <w:pStyle w:val="Titreobjet"/>
        <w:rPr>
          <w:noProof/>
          <w:lang w:val="en-IE"/>
        </w:rPr>
      </w:pPr>
      <w:r w:rsidRPr="0035045B">
        <w:rPr>
          <w:noProof/>
        </w:rPr>
        <w:t>position of the Council on the Proposal for a Regulation of the European Parliament and of the Council on the greenhouse gas emissions accounting of transport services (CountEmissions EU)</w:t>
      </w:r>
    </w:p>
    <w:bookmarkEnd w:id="2"/>
    <w:p w14:paraId="170B1B09" w14:textId="11B41EBD" w:rsidR="00F82C78" w:rsidRDefault="0035045B" w:rsidP="0035045B">
      <w:pPr>
        <w:pStyle w:val="IntrtEEE"/>
        <w:rPr>
          <w:noProof/>
        </w:rPr>
      </w:pPr>
      <w:r w:rsidRPr="0035045B">
        <w:rPr>
          <w:noProof/>
        </w:rPr>
        <w:t>(Text with EEA relevance)</w:t>
      </w:r>
    </w:p>
    <w:p w14:paraId="2018F380" w14:textId="77777777" w:rsidR="00F82C78" w:rsidRPr="00A179B5" w:rsidRDefault="00F82C78" w:rsidP="001704B9">
      <w:pPr>
        <w:pStyle w:val="ManualHeading1"/>
        <w:rPr>
          <w:noProof/>
          <w:sz w:val="22"/>
        </w:rPr>
      </w:pPr>
      <w:r w:rsidRPr="00A179B5">
        <w:rPr>
          <w:noProof/>
        </w:rPr>
        <w:t>1.</w:t>
      </w:r>
      <w:r w:rsidRPr="00A179B5">
        <w:rPr>
          <w:noProof/>
        </w:rPr>
        <w:tab/>
        <w:t>Background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2483"/>
      </w:tblGrid>
      <w:tr w:rsidR="008054B9" w:rsidRPr="008054B9" w14:paraId="0A430EC3" w14:textId="77777777" w:rsidTr="00C91830">
        <w:tc>
          <w:tcPr>
            <w:tcW w:w="6804" w:type="dxa"/>
          </w:tcPr>
          <w:p w14:paraId="7842370F" w14:textId="00586F22" w:rsidR="00F82C78" w:rsidRPr="008054B9" w:rsidRDefault="00F82C78" w:rsidP="00FC6CE4">
            <w:pPr>
              <w:jc w:val="left"/>
              <w:rPr>
                <w:noProof/>
              </w:rPr>
            </w:pPr>
            <w:r w:rsidRPr="008054B9">
              <w:rPr>
                <w:noProof/>
              </w:rPr>
              <w:t>Date of transmission of the proposal to the European Parliament and to the Council</w:t>
            </w:r>
            <w:r w:rsidR="00DC34A4">
              <w:rPr>
                <w:noProof/>
              </w:rPr>
              <w:t xml:space="preserve"> </w:t>
            </w:r>
            <w:r w:rsidRPr="008054B9">
              <w:rPr>
                <w:noProof/>
              </w:rPr>
              <w:t>(document COM(</w:t>
            </w:r>
            <w:r w:rsidR="00721B4F" w:rsidRPr="008A2D0F">
              <w:rPr>
                <w:noProof/>
              </w:rPr>
              <w:t>2023</w:t>
            </w:r>
            <w:r w:rsidRPr="008054B9">
              <w:rPr>
                <w:noProof/>
              </w:rPr>
              <w:t xml:space="preserve">) </w:t>
            </w:r>
            <w:r w:rsidR="0019691D">
              <w:rPr>
                <w:noProof/>
              </w:rPr>
              <w:t>441 final</w:t>
            </w:r>
            <w:r w:rsidRPr="008054B9">
              <w:rPr>
                <w:noProof/>
              </w:rPr>
              <w:t xml:space="preserve"> </w:t>
            </w:r>
            <w:r w:rsidRPr="00FC6CE4">
              <w:rPr>
                <w:noProof/>
              </w:rPr>
              <w:t xml:space="preserve">– </w:t>
            </w:r>
            <w:r w:rsidR="00FC6CE4" w:rsidRPr="00FC6CE4">
              <w:rPr>
                <w:noProof/>
                <w:lang w:val="en-IE"/>
              </w:rPr>
              <w:t xml:space="preserve">2023/0266 </w:t>
            </w:r>
            <w:r w:rsidRPr="00FC6CE4">
              <w:rPr>
                <w:noProof/>
              </w:rPr>
              <w:t>COD):</w:t>
            </w:r>
          </w:p>
        </w:tc>
        <w:tc>
          <w:tcPr>
            <w:tcW w:w="2483" w:type="dxa"/>
          </w:tcPr>
          <w:p w14:paraId="1F47382E" w14:textId="76F367FE" w:rsidR="00F82C78" w:rsidRPr="008054B9" w:rsidRDefault="00FC6CE4" w:rsidP="00FC48CE">
            <w:pPr>
              <w:jc w:val="left"/>
              <w:rPr>
                <w:noProof/>
              </w:rPr>
            </w:pPr>
            <w:r w:rsidRPr="00FC6CE4">
              <w:rPr>
                <w:noProof/>
              </w:rPr>
              <w:t>11</w:t>
            </w:r>
            <w:r w:rsidR="00CE71E3">
              <w:rPr>
                <w:noProof/>
              </w:rPr>
              <w:t> </w:t>
            </w:r>
            <w:r>
              <w:rPr>
                <w:noProof/>
              </w:rPr>
              <w:t>July</w:t>
            </w:r>
            <w:r w:rsidR="00CE71E3">
              <w:rPr>
                <w:noProof/>
              </w:rPr>
              <w:t> </w:t>
            </w:r>
            <w:r w:rsidRPr="00FC6CE4">
              <w:rPr>
                <w:noProof/>
              </w:rPr>
              <w:t>2023</w:t>
            </w:r>
            <w:r w:rsidR="00ED1922">
              <w:rPr>
                <w:noProof/>
              </w:rPr>
              <w:t>.</w:t>
            </w:r>
          </w:p>
        </w:tc>
      </w:tr>
      <w:tr w:rsidR="008054B9" w:rsidRPr="008054B9" w14:paraId="4E513F44" w14:textId="77777777" w:rsidTr="00C91830">
        <w:tc>
          <w:tcPr>
            <w:tcW w:w="6804" w:type="dxa"/>
          </w:tcPr>
          <w:p w14:paraId="4999FE58" w14:textId="77777777" w:rsidR="00F82C78" w:rsidRPr="008054B9" w:rsidRDefault="00F82C78" w:rsidP="00FC48CE">
            <w:pPr>
              <w:rPr>
                <w:noProof/>
              </w:rPr>
            </w:pPr>
            <w:r w:rsidRPr="008054B9">
              <w:rPr>
                <w:noProof/>
              </w:rPr>
              <w:t>Date of the opinion of the European Economic and Social Committee:</w:t>
            </w:r>
          </w:p>
        </w:tc>
        <w:tc>
          <w:tcPr>
            <w:tcW w:w="2483" w:type="dxa"/>
            <w:shd w:val="clear" w:color="auto" w:fill="auto"/>
          </w:tcPr>
          <w:p w14:paraId="33BF55F4" w14:textId="72E98237" w:rsidR="00F82C78" w:rsidRPr="008054B9" w:rsidRDefault="00A050F2" w:rsidP="00FC48CE">
            <w:pPr>
              <w:jc w:val="left"/>
              <w:rPr>
                <w:noProof/>
              </w:rPr>
            </w:pPr>
            <w:r w:rsidRPr="00A050F2">
              <w:rPr>
                <w:noProof/>
              </w:rPr>
              <w:t>25</w:t>
            </w:r>
            <w:r w:rsidR="00CE71E3">
              <w:rPr>
                <w:noProof/>
              </w:rPr>
              <w:t> October 2023</w:t>
            </w:r>
            <w:r w:rsidR="00F82C78" w:rsidRPr="008054B9">
              <w:rPr>
                <w:noProof/>
              </w:rPr>
              <w:t>.</w:t>
            </w:r>
          </w:p>
        </w:tc>
      </w:tr>
      <w:tr w:rsidR="008054B9" w:rsidRPr="008054B9" w14:paraId="4185BBF4" w14:textId="77777777" w:rsidTr="00C91830">
        <w:tc>
          <w:tcPr>
            <w:tcW w:w="6804" w:type="dxa"/>
          </w:tcPr>
          <w:p w14:paraId="1DF4F470" w14:textId="77777777" w:rsidR="00F82C78" w:rsidRPr="008054B9" w:rsidRDefault="00F82C78" w:rsidP="00FC48CE">
            <w:pPr>
              <w:rPr>
                <w:noProof/>
              </w:rPr>
            </w:pPr>
            <w:r w:rsidRPr="008054B9">
              <w:rPr>
                <w:noProof/>
              </w:rPr>
              <w:t>Date of the position of the European Parliament, first reading:</w:t>
            </w:r>
          </w:p>
        </w:tc>
        <w:tc>
          <w:tcPr>
            <w:tcW w:w="2483" w:type="dxa"/>
          </w:tcPr>
          <w:p w14:paraId="59523345" w14:textId="3619ABC5" w:rsidR="00F82C78" w:rsidRPr="008054B9" w:rsidRDefault="0019691D" w:rsidP="00FC48CE">
            <w:pPr>
              <w:jc w:val="left"/>
              <w:rPr>
                <w:noProof/>
              </w:rPr>
            </w:pPr>
            <w:r>
              <w:rPr>
                <w:noProof/>
              </w:rPr>
              <w:t>10</w:t>
            </w:r>
            <w:r w:rsidR="00CE71E3">
              <w:rPr>
                <w:noProof/>
              </w:rPr>
              <w:t> </w:t>
            </w:r>
            <w:r w:rsidR="002528CC">
              <w:rPr>
                <w:noProof/>
              </w:rPr>
              <w:t>April</w:t>
            </w:r>
            <w:r w:rsidR="00CE71E3">
              <w:rPr>
                <w:noProof/>
              </w:rPr>
              <w:t> </w:t>
            </w:r>
            <w:r w:rsidR="00721B4F" w:rsidRPr="008A2D0F">
              <w:rPr>
                <w:noProof/>
              </w:rPr>
              <w:t>202</w:t>
            </w:r>
            <w:r w:rsidR="002528CC">
              <w:rPr>
                <w:noProof/>
              </w:rPr>
              <w:t>4</w:t>
            </w:r>
            <w:r w:rsidR="00F82C78" w:rsidRPr="008054B9">
              <w:rPr>
                <w:noProof/>
              </w:rPr>
              <w:t>.</w:t>
            </w:r>
          </w:p>
        </w:tc>
      </w:tr>
      <w:tr w:rsidR="008054B9" w:rsidRPr="008054B9" w14:paraId="3BC7FE15" w14:textId="77777777" w:rsidTr="00C91830">
        <w:tc>
          <w:tcPr>
            <w:tcW w:w="6804" w:type="dxa"/>
          </w:tcPr>
          <w:p w14:paraId="428849F8" w14:textId="77777777" w:rsidR="00F82C78" w:rsidRPr="008054B9" w:rsidRDefault="00F82C78" w:rsidP="00FC48CE">
            <w:pPr>
              <w:rPr>
                <w:noProof/>
              </w:rPr>
            </w:pPr>
            <w:r w:rsidRPr="008054B9">
              <w:rPr>
                <w:noProof/>
              </w:rPr>
              <w:t>Date of transmission of the amended proposal:</w:t>
            </w:r>
          </w:p>
        </w:tc>
        <w:tc>
          <w:tcPr>
            <w:tcW w:w="2483" w:type="dxa"/>
          </w:tcPr>
          <w:p w14:paraId="018A9021" w14:textId="77777777" w:rsidR="00F82C78" w:rsidRPr="008054B9" w:rsidRDefault="00A1547A" w:rsidP="00FC48CE">
            <w:pPr>
              <w:jc w:val="left"/>
              <w:rPr>
                <w:noProof/>
              </w:rPr>
            </w:pPr>
            <w:r w:rsidRPr="008A2D0F">
              <w:rPr>
                <w:noProof/>
              </w:rPr>
              <w:t>N/A</w:t>
            </w:r>
            <w:r w:rsidR="00F82C78" w:rsidRPr="008054B9">
              <w:rPr>
                <w:noProof/>
              </w:rPr>
              <w:t>.</w:t>
            </w:r>
          </w:p>
        </w:tc>
      </w:tr>
      <w:tr w:rsidR="008054B9" w:rsidRPr="008054B9" w14:paraId="1AEED276" w14:textId="77777777" w:rsidTr="00C91830">
        <w:tc>
          <w:tcPr>
            <w:tcW w:w="6804" w:type="dxa"/>
          </w:tcPr>
          <w:p w14:paraId="026B3909" w14:textId="77777777" w:rsidR="00F82C78" w:rsidRPr="008054B9" w:rsidRDefault="00F82C78" w:rsidP="00FC48CE">
            <w:pPr>
              <w:rPr>
                <w:noProof/>
              </w:rPr>
            </w:pPr>
            <w:r w:rsidRPr="008054B9">
              <w:rPr>
                <w:noProof/>
              </w:rPr>
              <w:t>Date of adoption of the position of the Council:</w:t>
            </w:r>
          </w:p>
        </w:tc>
        <w:tc>
          <w:tcPr>
            <w:tcW w:w="2483" w:type="dxa"/>
          </w:tcPr>
          <w:p w14:paraId="6677BF32" w14:textId="5208A655" w:rsidR="00F82C78" w:rsidRPr="008054B9" w:rsidRDefault="00795F59" w:rsidP="00FC48CE">
            <w:pPr>
              <w:jc w:val="left"/>
              <w:rPr>
                <w:noProof/>
              </w:rPr>
            </w:pPr>
            <w:r>
              <w:rPr>
                <w:noProof/>
              </w:rPr>
              <w:t>2</w:t>
            </w:r>
            <w:r w:rsidR="008D29D9">
              <w:rPr>
                <w:noProof/>
              </w:rPr>
              <w:t xml:space="preserve">6 </w:t>
            </w:r>
            <w:r>
              <w:rPr>
                <w:noProof/>
              </w:rPr>
              <w:t>February 2026.</w:t>
            </w:r>
          </w:p>
        </w:tc>
      </w:tr>
    </w:tbl>
    <w:p w14:paraId="570CB58F" w14:textId="77777777" w:rsidR="00F82C78" w:rsidRPr="008054B9" w:rsidRDefault="00F82C78" w:rsidP="001704B9">
      <w:pPr>
        <w:pStyle w:val="ManualHeading1"/>
        <w:rPr>
          <w:noProof/>
        </w:rPr>
      </w:pPr>
      <w:r w:rsidRPr="008054B9">
        <w:rPr>
          <w:noProof/>
        </w:rPr>
        <w:t>2.</w:t>
      </w:r>
      <w:r w:rsidRPr="008054B9">
        <w:rPr>
          <w:noProof/>
        </w:rPr>
        <w:tab/>
        <w:t>Objective of the proposal from the Commission</w:t>
      </w:r>
    </w:p>
    <w:p w14:paraId="747B6F9F" w14:textId="3029D951" w:rsidR="00C31C7F" w:rsidRPr="00C31C7F" w:rsidRDefault="00C31C7F" w:rsidP="00C31C7F">
      <w:pPr>
        <w:rPr>
          <w:noProof/>
        </w:rPr>
      </w:pPr>
      <w:r w:rsidRPr="00C31C7F">
        <w:rPr>
          <w:noProof/>
        </w:rPr>
        <w:t xml:space="preserve">The Commission’s proposal aims to </w:t>
      </w:r>
      <w:r w:rsidR="00606786">
        <w:rPr>
          <w:noProof/>
        </w:rPr>
        <w:t>lay down</w:t>
      </w:r>
      <w:r w:rsidR="00606786" w:rsidRPr="00C31C7F">
        <w:rPr>
          <w:noProof/>
        </w:rPr>
        <w:t xml:space="preserve"> </w:t>
      </w:r>
      <w:r w:rsidRPr="00C31C7F">
        <w:rPr>
          <w:noProof/>
        </w:rPr>
        <w:t xml:space="preserve">a common EU framework to </w:t>
      </w:r>
      <w:r w:rsidR="00E20986">
        <w:rPr>
          <w:noProof/>
        </w:rPr>
        <w:t>account</w:t>
      </w:r>
      <w:r w:rsidRPr="00C31C7F">
        <w:rPr>
          <w:noProof/>
        </w:rPr>
        <w:t xml:space="preserve"> </w:t>
      </w:r>
      <w:r w:rsidR="00606786">
        <w:rPr>
          <w:noProof/>
        </w:rPr>
        <w:t xml:space="preserve">for the </w:t>
      </w:r>
      <w:r w:rsidRPr="00C31C7F">
        <w:rPr>
          <w:noProof/>
        </w:rPr>
        <w:t xml:space="preserve">greenhouse gas (GHG) emissions of transport services across </w:t>
      </w:r>
      <w:r w:rsidR="00881BE0">
        <w:rPr>
          <w:noProof/>
        </w:rPr>
        <w:t xml:space="preserve">transport </w:t>
      </w:r>
      <w:r w:rsidRPr="00C31C7F">
        <w:rPr>
          <w:noProof/>
        </w:rPr>
        <w:t xml:space="preserve">modes. The objective </w:t>
      </w:r>
      <w:r w:rsidR="00B7705B">
        <w:rPr>
          <w:noProof/>
        </w:rPr>
        <w:t xml:space="preserve">of the proposal </w:t>
      </w:r>
      <w:r w:rsidRPr="00C31C7F">
        <w:rPr>
          <w:noProof/>
        </w:rPr>
        <w:t xml:space="preserve">is to ensure uniformity, comparability and transparency of emissions information </w:t>
      </w:r>
      <w:r w:rsidR="00881BE0">
        <w:rPr>
          <w:noProof/>
        </w:rPr>
        <w:t xml:space="preserve">in order </w:t>
      </w:r>
      <w:r w:rsidRPr="00C31C7F">
        <w:rPr>
          <w:noProof/>
        </w:rPr>
        <w:t>to</w:t>
      </w:r>
      <w:r w:rsidR="00606786">
        <w:rPr>
          <w:noProof/>
        </w:rPr>
        <w:t>: (i)</w:t>
      </w:r>
      <w:r w:rsidRPr="00C31C7F">
        <w:rPr>
          <w:noProof/>
        </w:rPr>
        <w:t xml:space="preserve"> support more sustainable choices by businesses and consumers</w:t>
      </w:r>
      <w:r w:rsidR="00606786">
        <w:rPr>
          <w:noProof/>
        </w:rPr>
        <w:t>; (ii)</w:t>
      </w:r>
      <w:r w:rsidRPr="00C31C7F">
        <w:rPr>
          <w:noProof/>
        </w:rPr>
        <w:t xml:space="preserve"> improve market functioning</w:t>
      </w:r>
      <w:r w:rsidR="00606786">
        <w:rPr>
          <w:noProof/>
        </w:rPr>
        <w:t>;</w:t>
      </w:r>
      <w:r w:rsidRPr="00C31C7F">
        <w:rPr>
          <w:noProof/>
        </w:rPr>
        <w:t xml:space="preserve"> and </w:t>
      </w:r>
      <w:r w:rsidR="00606786">
        <w:rPr>
          <w:noProof/>
        </w:rPr>
        <w:t xml:space="preserve">(iii) </w:t>
      </w:r>
      <w:r w:rsidRPr="00C31C7F">
        <w:rPr>
          <w:noProof/>
        </w:rPr>
        <w:t xml:space="preserve">contribute to the </w:t>
      </w:r>
      <w:r w:rsidR="00606786">
        <w:rPr>
          <w:noProof/>
        </w:rPr>
        <w:t>EU</w:t>
      </w:r>
      <w:r w:rsidR="00606786" w:rsidRPr="00C31C7F">
        <w:rPr>
          <w:noProof/>
        </w:rPr>
        <w:t xml:space="preserve">’s </w:t>
      </w:r>
      <w:r w:rsidRPr="00C31C7F">
        <w:rPr>
          <w:noProof/>
        </w:rPr>
        <w:t xml:space="preserve">climate objectives while </w:t>
      </w:r>
      <w:r w:rsidR="00881BE0">
        <w:rPr>
          <w:noProof/>
        </w:rPr>
        <w:t>ensuring</w:t>
      </w:r>
      <w:r w:rsidRPr="00C31C7F">
        <w:rPr>
          <w:noProof/>
        </w:rPr>
        <w:t xml:space="preserve"> proportionality for </w:t>
      </w:r>
      <w:r w:rsidR="00606786">
        <w:rPr>
          <w:noProof/>
        </w:rPr>
        <w:t>businesses</w:t>
      </w:r>
      <w:r w:rsidRPr="00C31C7F">
        <w:rPr>
          <w:noProof/>
        </w:rPr>
        <w:t xml:space="preserve">, notably </w:t>
      </w:r>
      <w:r w:rsidR="000F554C">
        <w:rPr>
          <w:noProof/>
        </w:rPr>
        <w:t xml:space="preserve">micro, </w:t>
      </w:r>
      <w:r w:rsidR="00147CC6">
        <w:rPr>
          <w:noProof/>
        </w:rPr>
        <w:t>small and medium-sized enterprises (</w:t>
      </w:r>
      <w:r w:rsidRPr="00C31C7F">
        <w:rPr>
          <w:noProof/>
        </w:rPr>
        <w:t>SMEs</w:t>
      </w:r>
      <w:r w:rsidR="00147CC6">
        <w:rPr>
          <w:noProof/>
        </w:rPr>
        <w:t>)</w:t>
      </w:r>
      <w:r w:rsidRPr="00C31C7F">
        <w:rPr>
          <w:noProof/>
        </w:rPr>
        <w:t>.</w:t>
      </w:r>
    </w:p>
    <w:p w14:paraId="6868980A" w14:textId="4E5A6442" w:rsidR="00C31C7F" w:rsidRPr="008054B9" w:rsidRDefault="005308D2" w:rsidP="00B22062">
      <w:pPr>
        <w:rPr>
          <w:noProof/>
        </w:rPr>
      </w:pPr>
      <w:r>
        <w:rPr>
          <w:noProof/>
          <w:lang w:val="en-IE"/>
        </w:rPr>
        <w:pict w14:anchorId="52251AA1">
          <v:rect id="_x0000_i1026" style="width:468pt;height:1.2pt" o:hralign="center" o:hrstd="t" o:hr="t" fillcolor="#a0a0a0" stroked="f"/>
        </w:pict>
      </w:r>
    </w:p>
    <w:p w14:paraId="5381B685" w14:textId="77777777" w:rsidR="00F82C78" w:rsidRPr="008054B9" w:rsidRDefault="00F82C78" w:rsidP="001704B9">
      <w:pPr>
        <w:pStyle w:val="ManualHeading1"/>
        <w:rPr>
          <w:noProof/>
        </w:rPr>
      </w:pPr>
      <w:r w:rsidRPr="008054B9">
        <w:rPr>
          <w:noProof/>
        </w:rPr>
        <w:t>3.</w:t>
      </w:r>
      <w:r w:rsidRPr="008054B9">
        <w:rPr>
          <w:noProof/>
        </w:rPr>
        <w:tab/>
        <w:t>Comments on the position of the Council</w:t>
      </w:r>
    </w:p>
    <w:p w14:paraId="21D1725D" w14:textId="4340B569" w:rsidR="00C31C7F" w:rsidRPr="00C31C7F" w:rsidRDefault="00C31C7F" w:rsidP="00C31C7F">
      <w:pPr>
        <w:rPr>
          <w:noProof/>
          <w:lang w:val="en-IE"/>
        </w:rPr>
      </w:pPr>
      <w:r w:rsidRPr="00C31C7F">
        <w:rPr>
          <w:noProof/>
          <w:lang w:val="en-IE"/>
        </w:rPr>
        <w:t>The Council position at first reading preserves the core architecture and objectives of the Commission proposal while reflecting the provisional agreement reached with the European Parliament on 5</w:t>
      </w:r>
      <w:r w:rsidR="00CE71E3">
        <w:rPr>
          <w:noProof/>
          <w:lang w:val="en-IE"/>
        </w:rPr>
        <w:t> </w:t>
      </w:r>
      <w:r w:rsidRPr="00C31C7F">
        <w:rPr>
          <w:noProof/>
          <w:lang w:val="en-IE"/>
        </w:rPr>
        <w:t>November</w:t>
      </w:r>
      <w:r w:rsidR="00CE71E3">
        <w:rPr>
          <w:noProof/>
          <w:lang w:val="en-IE"/>
        </w:rPr>
        <w:t> </w:t>
      </w:r>
      <w:r w:rsidRPr="00C31C7F">
        <w:rPr>
          <w:noProof/>
          <w:lang w:val="en-IE"/>
        </w:rPr>
        <w:t xml:space="preserve">2025. </w:t>
      </w:r>
      <w:r w:rsidR="003C1431">
        <w:rPr>
          <w:noProof/>
          <w:lang w:val="en-IE"/>
        </w:rPr>
        <w:t>The</w:t>
      </w:r>
      <w:r w:rsidR="003C1431" w:rsidRPr="00C31C7F">
        <w:rPr>
          <w:noProof/>
          <w:lang w:val="en-IE"/>
        </w:rPr>
        <w:t xml:space="preserve"> </w:t>
      </w:r>
      <w:r w:rsidRPr="00C31C7F">
        <w:rPr>
          <w:noProof/>
          <w:lang w:val="en-IE"/>
        </w:rPr>
        <w:t>purpose</w:t>
      </w:r>
      <w:r w:rsidR="003C1431">
        <w:rPr>
          <w:noProof/>
          <w:lang w:val="en-IE"/>
        </w:rPr>
        <w:t xml:space="preserve"> of the Council position</w:t>
      </w:r>
      <w:r w:rsidRPr="00C31C7F">
        <w:rPr>
          <w:noProof/>
          <w:lang w:val="en-IE"/>
        </w:rPr>
        <w:t xml:space="preserve"> is to deliver a balanced, implementable legal framework that:</w:t>
      </w:r>
    </w:p>
    <w:p w14:paraId="7B1D216A" w14:textId="69790CAB" w:rsidR="00C31C7F" w:rsidRPr="00C31C7F" w:rsidRDefault="003C1431" w:rsidP="00B67341">
      <w:pPr>
        <w:pStyle w:val="Bullet0"/>
        <w:numPr>
          <w:ilvl w:val="0"/>
          <w:numId w:val="9"/>
        </w:numPr>
        <w:rPr>
          <w:noProof/>
        </w:rPr>
      </w:pPr>
      <w:r>
        <w:rPr>
          <w:noProof/>
        </w:rPr>
        <w:t>m</w:t>
      </w:r>
      <w:r w:rsidR="00C31C7F" w:rsidRPr="00C31C7F">
        <w:rPr>
          <w:noProof/>
        </w:rPr>
        <w:t xml:space="preserve">aintains EN ISO 14083 </w:t>
      </w:r>
      <w:r w:rsidR="009E0B08">
        <w:rPr>
          <w:noProof/>
        </w:rPr>
        <w:t xml:space="preserve">standard </w:t>
      </w:r>
      <w:r w:rsidR="00C31C7F" w:rsidRPr="00C31C7F">
        <w:rPr>
          <w:noProof/>
        </w:rPr>
        <w:t>as the reference methodology for calculating emissions of transport services</w:t>
      </w:r>
      <w:r w:rsidR="00147CC6">
        <w:rPr>
          <w:noProof/>
        </w:rPr>
        <w:t>,</w:t>
      </w:r>
      <w:r w:rsidR="00C31C7F" w:rsidRPr="00C31C7F">
        <w:rPr>
          <w:noProof/>
        </w:rPr>
        <w:t xml:space="preserve"> while providing for </w:t>
      </w:r>
      <w:r w:rsidR="00147CC6">
        <w:rPr>
          <w:noProof/>
        </w:rPr>
        <w:t xml:space="preserve">its possible </w:t>
      </w:r>
      <w:r w:rsidR="00C31C7F" w:rsidRPr="00C31C7F">
        <w:rPr>
          <w:noProof/>
        </w:rPr>
        <w:t xml:space="preserve">review and clarification </w:t>
      </w:r>
      <w:r w:rsidR="00147CC6">
        <w:rPr>
          <w:noProof/>
        </w:rPr>
        <w:t>i</w:t>
      </w:r>
      <w:r w:rsidR="00F36D71">
        <w:rPr>
          <w:noProof/>
        </w:rPr>
        <w:t>f</w:t>
      </w:r>
      <w:r w:rsidR="00147CC6" w:rsidRPr="00C31C7F">
        <w:rPr>
          <w:noProof/>
        </w:rPr>
        <w:t xml:space="preserve"> </w:t>
      </w:r>
      <w:r w:rsidR="00C31C7F" w:rsidRPr="00C31C7F">
        <w:rPr>
          <w:noProof/>
        </w:rPr>
        <w:t>necessary</w:t>
      </w:r>
      <w:r w:rsidR="00F36D71">
        <w:rPr>
          <w:noProof/>
        </w:rPr>
        <w:t>;</w:t>
      </w:r>
    </w:p>
    <w:p w14:paraId="2797D23A" w14:textId="5349AA89" w:rsidR="00C31C7F" w:rsidRDefault="00F36D71" w:rsidP="00C31C7F">
      <w:pPr>
        <w:pStyle w:val="Bullet0"/>
        <w:rPr>
          <w:noProof/>
        </w:rPr>
      </w:pPr>
      <w:r>
        <w:rPr>
          <w:noProof/>
        </w:rPr>
        <w:lastRenderedPageBreak/>
        <w:t>a</w:t>
      </w:r>
      <w:r w:rsidR="00C31C7F" w:rsidRPr="00C31C7F">
        <w:rPr>
          <w:noProof/>
        </w:rPr>
        <w:t xml:space="preserve">voids imposing new mandatory reporting </w:t>
      </w:r>
      <w:r w:rsidR="008D7651">
        <w:rPr>
          <w:noProof/>
        </w:rPr>
        <w:t>requirements</w:t>
      </w:r>
      <w:r w:rsidR="008D7651" w:rsidRPr="00C31C7F">
        <w:rPr>
          <w:noProof/>
        </w:rPr>
        <w:t xml:space="preserve"> </w:t>
      </w:r>
      <w:r w:rsidR="00C31C7F" w:rsidRPr="00C31C7F">
        <w:rPr>
          <w:noProof/>
        </w:rPr>
        <w:t xml:space="preserve">on businesses </w:t>
      </w:r>
      <w:r w:rsidR="008D7651">
        <w:rPr>
          <w:noProof/>
        </w:rPr>
        <w:t>and</w:t>
      </w:r>
      <w:r w:rsidR="00C31C7F" w:rsidRPr="00C31C7F">
        <w:rPr>
          <w:noProof/>
        </w:rPr>
        <w:t xml:space="preserve"> </w:t>
      </w:r>
      <w:r w:rsidR="008D7651">
        <w:rPr>
          <w:noProof/>
        </w:rPr>
        <w:t>obligations</w:t>
      </w:r>
      <w:r w:rsidR="00C31C7F" w:rsidRPr="00C31C7F">
        <w:rPr>
          <w:noProof/>
        </w:rPr>
        <w:t xml:space="preserve"> to use primary data </w:t>
      </w:r>
      <w:r w:rsidR="008D7651">
        <w:rPr>
          <w:noProof/>
        </w:rPr>
        <w:t>for emissions calculation</w:t>
      </w:r>
      <w:r w:rsidR="007C1E4E">
        <w:rPr>
          <w:noProof/>
        </w:rPr>
        <w:t xml:space="preserve">, </w:t>
      </w:r>
      <w:r w:rsidR="00147CC6">
        <w:rPr>
          <w:noProof/>
        </w:rPr>
        <w:t>while</w:t>
      </w:r>
      <w:r w:rsidR="007C1E4E">
        <w:rPr>
          <w:noProof/>
        </w:rPr>
        <w:t xml:space="preserve"> </w:t>
      </w:r>
      <w:r w:rsidR="00DD1F71">
        <w:rPr>
          <w:noProof/>
        </w:rPr>
        <w:t>allowing</w:t>
      </w:r>
      <w:r w:rsidR="007C1E4E">
        <w:rPr>
          <w:noProof/>
        </w:rPr>
        <w:t xml:space="preserve"> Member States to mandate</w:t>
      </w:r>
      <w:r w:rsidR="009A666B">
        <w:rPr>
          <w:noProof/>
        </w:rPr>
        <w:t xml:space="preserve"> and incentivise</w:t>
      </w:r>
      <w:r w:rsidR="007C1E4E">
        <w:rPr>
          <w:noProof/>
        </w:rPr>
        <w:t xml:space="preserve"> the use of such data on their territories</w:t>
      </w:r>
      <w:r>
        <w:rPr>
          <w:noProof/>
        </w:rPr>
        <w:t>;</w:t>
      </w:r>
    </w:p>
    <w:p w14:paraId="2CFD4BA3" w14:textId="03297C9E" w:rsidR="009E0B08" w:rsidRPr="00C31C7F" w:rsidRDefault="00F36D71" w:rsidP="00C31C7F">
      <w:pPr>
        <w:pStyle w:val="Bullet0"/>
        <w:rPr>
          <w:noProof/>
        </w:rPr>
      </w:pPr>
      <w:r>
        <w:rPr>
          <w:noProof/>
        </w:rPr>
        <w:t>e</w:t>
      </w:r>
      <w:r w:rsidR="009E0B08">
        <w:rPr>
          <w:noProof/>
        </w:rPr>
        <w:t xml:space="preserve">mpowers the Commission to </w:t>
      </w:r>
      <w:r>
        <w:rPr>
          <w:noProof/>
        </w:rPr>
        <w:t xml:space="preserve">create </w:t>
      </w:r>
      <w:r w:rsidR="009E0B08">
        <w:rPr>
          <w:noProof/>
        </w:rPr>
        <w:t xml:space="preserve">default value databases at </w:t>
      </w:r>
      <w:r w:rsidR="00E5232B">
        <w:rPr>
          <w:noProof/>
        </w:rPr>
        <w:t xml:space="preserve">the </w:t>
      </w:r>
      <w:r w:rsidR="009E0B08">
        <w:rPr>
          <w:noProof/>
        </w:rPr>
        <w:t>EU level</w:t>
      </w:r>
      <w:r w:rsidR="00F75086">
        <w:rPr>
          <w:noProof/>
        </w:rPr>
        <w:t xml:space="preserve">, taking into account the </w:t>
      </w:r>
      <w:r w:rsidR="00E5232B">
        <w:rPr>
          <w:noProof/>
        </w:rPr>
        <w:t xml:space="preserve">relevant </w:t>
      </w:r>
      <w:r w:rsidR="00F75086">
        <w:rPr>
          <w:noProof/>
        </w:rPr>
        <w:t>existing regulations,</w:t>
      </w:r>
      <w:r w:rsidR="009E0B08">
        <w:rPr>
          <w:noProof/>
        </w:rPr>
        <w:t xml:space="preserve"> and sets rules for the </w:t>
      </w:r>
      <w:r w:rsidR="007C19C4">
        <w:rPr>
          <w:noProof/>
        </w:rPr>
        <w:t xml:space="preserve">assessment </w:t>
      </w:r>
      <w:r w:rsidR="009E0B08">
        <w:rPr>
          <w:noProof/>
        </w:rPr>
        <w:t xml:space="preserve">of data from databases </w:t>
      </w:r>
      <w:r w:rsidR="00C30CE6">
        <w:rPr>
          <w:noProof/>
        </w:rPr>
        <w:t xml:space="preserve">and calculation tools </w:t>
      </w:r>
      <w:r w:rsidR="009E0B08">
        <w:rPr>
          <w:noProof/>
        </w:rPr>
        <w:t>operated by third partie</w:t>
      </w:r>
      <w:r w:rsidR="00C30CE6">
        <w:rPr>
          <w:noProof/>
        </w:rPr>
        <w:t>s</w:t>
      </w:r>
      <w:r>
        <w:rPr>
          <w:noProof/>
        </w:rPr>
        <w:t>;</w:t>
      </w:r>
    </w:p>
    <w:p w14:paraId="0668B225" w14:textId="25224C83" w:rsidR="00C31C7F" w:rsidRPr="00C31C7F" w:rsidRDefault="00F36D71" w:rsidP="00C31C7F">
      <w:pPr>
        <w:pStyle w:val="Bullet0"/>
        <w:rPr>
          <w:noProof/>
        </w:rPr>
      </w:pPr>
      <w:r>
        <w:rPr>
          <w:noProof/>
        </w:rPr>
        <w:t>p</w:t>
      </w:r>
      <w:r w:rsidR="00C31C7F" w:rsidRPr="00C31C7F">
        <w:rPr>
          <w:noProof/>
        </w:rPr>
        <w:t>rovides practical support for SMEs by requiring the Commission to develop a simple, free</w:t>
      </w:r>
      <w:r w:rsidR="00C31C7F" w:rsidRPr="00C31C7F">
        <w:rPr>
          <w:noProof/>
        </w:rPr>
        <w:noBreakHyphen/>
        <w:t>to</w:t>
      </w:r>
      <w:r w:rsidR="00C31C7F" w:rsidRPr="00C31C7F">
        <w:rPr>
          <w:noProof/>
        </w:rPr>
        <w:noBreakHyphen/>
        <w:t xml:space="preserve">use EU calculation tool and </w:t>
      </w:r>
      <w:r w:rsidR="00E5232B">
        <w:rPr>
          <w:noProof/>
        </w:rPr>
        <w:t xml:space="preserve">an </w:t>
      </w:r>
      <w:r w:rsidR="00C31C7F" w:rsidRPr="00C31C7F">
        <w:rPr>
          <w:noProof/>
        </w:rPr>
        <w:t>accompanying manual</w:t>
      </w:r>
      <w:r>
        <w:rPr>
          <w:noProof/>
        </w:rPr>
        <w:t xml:space="preserve"> (</w:t>
      </w:r>
      <w:r w:rsidR="00C31C7F" w:rsidRPr="00C31C7F">
        <w:rPr>
          <w:noProof/>
        </w:rPr>
        <w:t>the tool’s technical specifications are to be set out in an implementing act</w:t>
      </w:r>
      <w:r>
        <w:rPr>
          <w:noProof/>
        </w:rPr>
        <w:t>);</w:t>
      </w:r>
    </w:p>
    <w:p w14:paraId="7986FC52" w14:textId="180D6E2A" w:rsidR="00C31C7F" w:rsidRPr="00C31C7F" w:rsidRDefault="00F36D71" w:rsidP="00C31C7F">
      <w:pPr>
        <w:pStyle w:val="Bullet0"/>
        <w:rPr>
          <w:noProof/>
        </w:rPr>
      </w:pPr>
      <w:r>
        <w:rPr>
          <w:noProof/>
        </w:rPr>
        <w:t>s</w:t>
      </w:r>
      <w:r w:rsidR="00C31C7F" w:rsidRPr="00C31C7F">
        <w:rPr>
          <w:noProof/>
        </w:rPr>
        <w:t>ets clear</w:t>
      </w:r>
      <w:r w:rsidR="007C1E4E">
        <w:rPr>
          <w:noProof/>
        </w:rPr>
        <w:t xml:space="preserve"> and </w:t>
      </w:r>
      <w:r w:rsidR="00E5232B">
        <w:rPr>
          <w:noProof/>
        </w:rPr>
        <w:t>reasonable</w:t>
      </w:r>
      <w:r w:rsidR="00E5232B" w:rsidRPr="00C31C7F">
        <w:rPr>
          <w:noProof/>
        </w:rPr>
        <w:t xml:space="preserve"> </w:t>
      </w:r>
      <w:r w:rsidR="00C31C7F" w:rsidRPr="00C31C7F">
        <w:rPr>
          <w:noProof/>
        </w:rPr>
        <w:t>implementation timelines for databases, tool development and quality</w:t>
      </w:r>
      <w:r w:rsidR="00C31C7F" w:rsidRPr="00C31C7F">
        <w:rPr>
          <w:noProof/>
        </w:rPr>
        <w:noBreakHyphen/>
        <w:t>assurance measures</w:t>
      </w:r>
      <w:r w:rsidR="00E5232B">
        <w:rPr>
          <w:noProof/>
        </w:rPr>
        <w:t xml:space="preserve"> necessary</w:t>
      </w:r>
      <w:r w:rsidR="00C31C7F" w:rsidRPr="00C31C7F">
        <w:rPr>
          <w:noProof/>
        </w:rPr>
        <w:t xml:space="preserve"> to ensure operational readines</w:t>
      </w:r>
      <w:r w:rsidR="006404F8">
        <w:rPr>
          <w:noProof/>
        </w:rPr>
        <w:t>s</w:t>
      </w:r>
      <w:r w:rsidR="00FF2DF5">
        <w:rPr>
          <w:noProof/>
        </w:rPr>
        <w:t>;</w:t>
      </w:r>
    </w:p>
    <w:p w14:paraId="4A8ACF8C" w14:textId="24F43A66" w:rsidR="00C31C7F" w:rsidRPr="00C31C7F" w:rsidRDefault="00FF2DF5" w:rsidP="00E445A5">
      <w:pPr>
        <w:pStyle w:val="Bullet0"/>
        <w:rPr>
          <w:noProof/>
        </w:rPr>
      </w:pPr>
      <w:r>
        <w:rPr>
          <w:noProof/>
        </w:rPr>
        <w:t>a</w:t>
      </w:r>
      <w:r w:rsidR="00C31C7F" w:rsidRPr="00C31C7F">
        <w:rPr>
          <w:noProof/>
        </w:rPr>
        <w:t>llocates powers</w:t>
      </w:r>
      <w:r w:rsidR="00E445A5">
        <w:rPr>
          <w:noProof/>
        </w:rPr>
        <w:t xml:space="preserve"> to the Commission</w:t>
      </w:r>
      <w:r w:rsidR="00C31C7F" w:rsidRPr="00C31C7F">
        <w:rPr>
          <w:noProof/>
        </w:rPr>
        <w:t xml:space="preserve"> </w:t>
      </w:r>
      <w:r w:rsidR="00E445A5">
        <w:rPr>
          <w:noProof/>
        </w:rPr>
        <w:t>to adopt</w:t>
      </w:r>
      <w:r w:rsidR="00C31C7F" w:rsidRPr="00C31C7F">
        <w:rPr>
          <w:noProof/>
        </w:rPr>
        <w:t xml:space="preserve"> implementing and delegated acts in line with </w:t>
      </w:r>
      <w:r w:rsidR="00E445A5" w:rsidRPr="005F4A9F">
        <w:rPr>
          <w:noProof/>
        </w:rPr>
        <w:t xml:space="preserve">the requirements laid down in </w:t>
      </w:r>
      <w:r w:rsidR="00C31C7F" w:rsidRPr="00C31C7F">
        <w:rPr>
          <w:noProof/>
        </w:rPr>
        <w:t>Articles 290 and 291 TFEU</w:t>
      </w:r>
      <w:r>
        <w:rPr>
          <w:noProof/>
        </w:rPr>
        <w:t>;</w:t>
      </w:r>
    </w:p>
    <w:p w14:paraId="4A490E24" w14:textId="242C5DDF" w:rsidR="00C31C7F" w:rsidRPr="00C31C7F" w:rsidRDefault="00FF2DF5" w:rsidP="00C31C7F">
      <w:pPr>
        <w:pStyle w:val="Bullet0"/>
        <w:rPr>
          <w:noProof/>
        </w:rPr>
      </w:pPr>
      <w:r>
        <w:rPr>
          <w:noProof/>
        </w:rPr>
        <w:t>d</w:t>
      </w:r>
      <w:r w:rsidR="00C31C7F" w:rsidRPr="00C31C7F">
        <w:rPr>
          <w:noProof/>
        </w:rPr>
        <w:t xml:space="preserve">efers </w:t>
      </w:r>
      <w:r w:rsidR="00E5232B">
        <w:rPr>
          <w:noProof/>
        </w:rPr>
        <w:t xml:space="preserve">any possible </w:t>
      </w:r>
      <w:r w:rsidR="00C31C7F" w:rsidRPr="00C31C7F">
        <w:rPr>
          <w:noProof/>
        </w:rPr>
        <w:t xml:space="preserve">decisions on methodological extensions </w:t>
      </w:r>
      <w:r w:rsidR="001554A3">
        <w:rPr>
          <w:noProof/>
        </w:rPr>
        <w:t xml:space="preserve">under </w:t>
      </w:r>
      <w:r w:rsidR="00E445A5">
        <w:rPr>
          <w:noProof/>
        </w:rPr>
        <w:t>a</w:t>
      </w:r>
      <w:r w:rsidR="008A17D5">
        <w:rPr>
          <w:noProof/>
        </w:rPr>
        <w:t xml:space="preserve"> </w:t>
      </w:r>
      <w:r w:rsidR="00C31C7F" w:rsidRPr="00C31C7F">
        <w:rPr>
          <w:noProof/>
        </w:rPr>
        <w:t xml:space="preserve">review clause, tasking the Commission </w:t>
      </w:r>
      <w:r>
        <w:rPr>
          <w:noProof/>
        </w:rPr>
        <w:t>with</w:t>
      </w:r>
      <w:r w:rsidRPr="00C31C7F">
        <w:rPr>
          <w:noProof/>
        </w:rPr>
        <w:t xml:space="preserve"> </w:t>
      </w:r>
      <w:r w:rsidR="00C31C7F" w:rsidRPr="00C31C7F">
        <w:rPr>
          <w:noProof/>
        </w:rPr>
        <w:t>assess</w:t>
      </w:r>
      <w:r>
        <w:rPr>
          <w:noProof/>
        </w:rPr>
        <w:t>ing</w:t>
      </w:r>
      <w:r w:rsidR="00C31C7F" w:rsidRPr="00C31C7F">
        <w:rPr>
          <w:noProof/>
        </w:rPr>
        <w:t xml:space="preserve"> </w:t>
      </w:r>
      <w:r w:rsidR="006404F8">
        <w:rPr>
          <w:noProof/>
        </w:rPr>
        <w:t xml:space="preserve">international developments and </w:t>
      </w:r>
      <w:r w:rsidR="00E5232B">
        <w:rPr>
          <w:noProof/>
        </w:rPr>
        <w:t xml:space="preserve">the </w:t>
      </w:r>
      <w:r w:rsidR="00C31C7F" w:rsidRPr="00C31C7F">
        <w:rPr>
          <w:noProof/>
        </w:rPr>
        <w:t xml:space="preserve">feasibility </w:t>
      </w:r>
      <w:r w:rsidR="006404F8">
        <w:rPr>
          <w:noProof/>
        </w:rPr>
        <w:t xml:space="preserve">of such extensions </w:t>
      </w:r>
      <w:r w:rsidR="00C31C7F" w:rsidRPr="00C31C7F">
        <w:rPr>
          <w:noProof/>
        </w:rPr>
        <w:t xml:space="preserve">four years after </w:t>
      </w:r>
      <w:r w:rsidR="00E5232B">
        <w:rPr>
          <w:noProof/>
        </w:rPr>
        <w:t xml:space="preserve">the Regulation’s entry into </w:t>
      </w:r>
      <w:r w:rsidR="00C31C7F" w:rsidRPr="00C31C7F">
        <w:rPr>
          <w:noProof/>
        </w:rPr>
        <w:t>application</w:t>
      </w:r>
      <w:r>
        <w:rPr>
          <w:noProof/>
        </w:rPr>
        <w:t>;</w:t>
      </w:r>
    </w:p>
    <w:p w14:paraId="121EAEEC" w14:textId="5519F74C" w:rsidR="00C31C7F" w:rsidRDefault="00FF2DF5" w:rsidP="000F554C">
      <w:pPr>
        <w:pStyle w:val="Bullet0"/>
        <w:rPr>
          <w:noProof/>
        </w:rPr>
      </w:pPr>
      <w:r>
        <w:rPr>
          <w:noProof/>
        </w:rPr>
        <w:t>p</w:t>
      </w:r>
      <w:r w:rsidR="00E5232B">
        <w:rPr>
          <w:noProof/>
        </w:rPr>
        <w:t>rovides</w:t>
      </w:r>
      <w:r w:rsidR="00E5232B" w:rsidRPr="00C31C7F">
        <w:rPr>
          <w:noProof/>
        </w:rPr>
        <w:t xml:space="preserve"> </w:t>
      </w:r>
      <w:r w:rsidR="009E0B08">
        <w:rPr>
          <w:noProof/>
        </w:rPr>
        <w:t xml:space="preserve">that </w:t>
      </w:r>
      <w:r w:rsidR="00E5232B">
        <w:rPr>
          <w:noProof/>
        </w:rPr>
        <w:t xml:space="preserve">any issues related to the </w:t>
      </w:r>
      <w:r w:rsidR="00D53B76">
        <w:rPr>
          <w:noProof/>
        </w:rPr>
        <w:t>access</w:t>
      </w:r>
      <w:r w:rsidR="00E5232B">
        <w:rPr>
          <w:noProof/>
        </w:rPr>
        <w:t>ibility of</w:t>
      </w:r>
      <w:r w:rsidR="00D53B76">
        <w:rPr>
          <w:noProof/>
        </w:rPr>
        <w:t xml:space="preserve"> </w:t>
      </w:r>
      <w:r w:rsidR="009E0B08">
        <w:rPr>
          <w:noProof/>
        </w:rPr>
        <w:t xml:space="preserve">EN ISO 14083 </w:t>
      </w:r>
      <w:r w:rsidR="00E5232B">
        <w:rPr>
          <w:noProof/>
        </w:rPr>
        <w:t>standard are</w:t>
      </w:r>
      <w:r w:rsidR="00E5232B" w:rsidRPr="00C31C7F">
        <w:rPr>
          <w:noProof/>
        </w:rPr>
        <w:t xml:space="preserve"> </w:t>
      </w:r>
      <w:r w:rsidR="00E5232B">
        <w:rPr>
          <w:noProof/>
        </w:rPr>
        <w:t>assessed by the</w:t>
      </w:r>
      <w:r w:rsidR="00C31C7F" w:rsidRPr="00C31C7F">
        <w:rPr>
          <w:noProof/>
        </w:rPr>
        <w:t xml:space="preserve"> Commission</w:t>
      </w:r>
      <w:r w:rsidR="00E5232B">
        <w:rPr>
          <w:noProof/>
        </w:rPr>
        <w:t xml:space="preserve"> </w:t>
      </w:r>
      <w:r w:rsidR="00E5232B" w:rsidRPr="00E5232B">
        <w:rPr>
          <w:noProof/>
        </w:rPr>
        <w:t xml:space="preserve">in the context of the </w:t>
      </w:r>
      <w:r w:rsidR="00E5232B">
        <w:rPr>
          <w:noProof/>
        </w:rPr>
        <w:t xml:space="preserve">Regulation’s </w:t>
      </w:r>
      <w:r w:rsidR="009A666B">
        <w:rPr>
          <w:noProof/>
        </w:rPr>
        <w:t>evaluation</w:t>
      </w:r>
      <w:r w:rsidR="00D53B76">
        <w:rPr>
          <w:noProof/>
        </w:rPr>
        <w:t>.</w:t>
      </w:r>
    </w:p>
    <w:p w14:paraId="065FD901" w14:textId="77777777" w:rsidR="00F82C78" w:rsidRPr="008054B9" w:rsidRDefault="00F82C78" w:rsidP="001704B9">
      <w:pPr>
        <w:pStyle w:val="ManualHeading1"/>
        <w:rPr>
          <w:noProof/>
        </w:rPr>
      </w:pPr>
      <w:r w:rsidRPr="008054B9">
        <w:rPr>
          <w:noProof/>
        </w:rPr>
        <w:t>4.</w:t>
      </w:r>
      <w:r w:rsidRPr="008054B9">
        <w:rPr>
          <w:noProof/>
        </w:rPr>
        <w:tab/>
        <w:t>Conclusion</w:t>
      </w:r>
    </w:p>
    <w:p w14:paraId="2614ADA4" w14:textId="6030FCCB" w:rsidR="00217654" w:rsidRDefault="00721B4F" w:rsidP="001704B9">
      <w:pPr>
        <w:rPr>
          <w:noProof/>
        </w:rPr>
      </w:pPr>
      <w:r w:rsidRPr="008A2D0F">
        <w:rPr>
          <w:noProof/>
        </w:rPr>
        <w:t xml:space="preserve">The Commission </w:t>
      </w:r>
      <w:r w:rsidR="00147CC6">
        <w:rPr>
          <w:noProof/>
        </w:rPr>
        <w:t>welcomes</w:t>
      </w:r>
      <w:r w:rsidR="00147CC6" w:rsidRPr="008A2D0F">
        <w:rPr>
          <w:noProof/>
        </w:rPr>
        <w:t xml:space="preserve"> </w:t>
      </w:r>
      <w:r w:rsidRPr="008A2D0F">
        <w:rPr>
          <w:noProof/>
        </w:rPr>
        <w:t>the result of the inter-institutional negotiations and can therefore accept the Council</w:t>
      </w:r>
      <w:r w:rsidR="00FF0B6A">
        <w:rPr>
          <w:noProof/>
        </w:rPr>
        <w:t>’</w:t>
      </w:r>
      <w:r w:rsidRPr="008A2D0F">
        <w:rPr>
          <w:noProof/>
        </w:rPr>
        <w:t>s position at first reading.</w:t>
      </w:r>
    </w:p>
    <w:bookmarkEnd w:id="0"/>
    <w:p w14:paraId="2FFD63F9" w14:textId="77777777" w:rsidR="004A7764" w:rsidRDefault="004A7764" w:rsidP="001704B9">
      <w:pPr>
        <w:rPr>
          <w:noProof/>
        </w:rPr>
      </w:pPr>
    </w:p>
    <w:p w14:paraId="025641DA" w14:textId="04C26084" w:rsidR="00F82C78" w:rsidRPr="008A2D0F" w:rsidRDefault="00F82C78" w:rsidP="001704B9">
      <w:pPr>
        <w:rPr>
          <w:noProof/>
        </w:rPr>
      </w:pPr>
    </w:p>
    <w:sectPr w:rsidR="00F82C78" w:rsidRPr="008A2D0F" w:rsidSect="00EB2C0E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FA6F4" w14:textId="77777777" w:rsidR="006A2919" w:rsidRDefault="006A2919" w:rsidP="00F82C78">
      <w:pPr>
        <w:spacing w:before="0" w:after="0"/>
      </w:pPr>
      <w:r>
        <w:separator/>
      </w:r>
    </w:p>
  </w:endnote>
  <w:endnote w:type="continuationSeparator" w:id="0">
    <w:p w14:paraId="4DB45CC1" w14:textId="77777777" w:rsidR="006A2919" w:rsidRDefault="006A2919" w:rsidP="00F82C7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AB6C4" w14:textId="100492DD" w:rsidR="00EB2C0E" w:rsidRPr="00EB2C0E" w:rsidRDefault="00EB2C0E" w:rsidP="00EB2C0E">
    <w:pPr>
      <w:pStyle w:val="Footer"/>
      <w:rPr>
        <w:rFonts w:ascii="Arial" w:hAnsi="Arial" w:cs="Arial"/>
        <w:b/>
        <w:sz w:val="48"/>
      </w:rPr>
    </w:pPr>
    <w:r w:rsidRPr="00EB2C0E">
      <w:rPr>
        <w:rFonts w:ascii="Arial" w:hAnsi="Arial" w:cs="Arial"/>
        <w:b/>
        <w:sz w:val="48"/>
      </w:rPr>
      <w:t>EN</w:t>
    </w:r>
    <w:r w:rsidRPr="00EB2C0E">
      <w:rPr>
        <w:rFonts w:ascii="Arial" w:hAnsi="Arial" w:cs="Arial"/>
        <w:b/>
        <w:sz w:val="48"/>
      </w:rPr>
      <w:tab/>
    </w:r>
    <w:r w:rsidRPr="00EB2C0E">
      <w:rPr>
        <w:rFonts w:ascii="Arial" w:hAnsi="Arial" w:cs="Arial"/>
        <w:b/>
        <w:sz w:val="48"/>
      </w:rPr>
      <w:tab/>
    </w:r>
    <w:r w:rsidRPr="00EB2C0E">
      <w:tab/>
    </w:r>
    <w:r w:rsidRPr="00EB2C0E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CEA43" w14:textId="21B28CD4" w:rsidR="00EB2C0E" w:rsidRPr="00EB2C0E" w:rsidRDefault="00EB2C0E" w:rsidP="00EB2C0E">
    <w:pPr>
      <w:pStyle w:val="Footer"/>
      <w:rPr>
        <w:rFonts w:ascii="Arial" w:hAnsi="Arial" w:cs="Arial"/>
        <w:b/>
        <w:sz w:val="48"/>
      </w:rPr>
    </w:pPr>
    <w:r w:rsidRPr="00EB2C0E">
      <w:rPr>
        <w:rFonts w:ascii="Arial" w:hAnsi="Arial" w:cs="Arial"/>
        <w:b/>
        <w:sz w:val="48"/>
      </w:rPr>
      <w:t>EN</w:t>
    </w:r>
    <w:r w:rsidRPr="00EB2C0E">
      <w:rPr>
        <w:rFonts w:ascii="Arial" w:hAnsi="Arial" w:cs="Arial"/>
        <w:b/>
        <w:sz w:val="48"/>
      </w:rPr>
      <w:tab/>
    </w:r>
    <w:r w:rsidRPr="00EB2C0E">
      <w:rPr>
        <w:rFonts w:ascii="Arial" w:hAnsi="Arial" w:cs="Arial"/>
        <w:b/>
        <w:sz w:val="48"/>
      </w:rPr>
      <w:tab/>
    </w:r>
    <w:r w:rsidRPr="00EB2C0E">
      <w:tab/>
    </w:r>
    <w:r w:rsidRPr="00EB2C0E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41238" w14:textId="77777777" w:rsidR="00EB2C0E" w:rsidRDefault="00EB2C0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07522" w14:textId="5622698E" w:rsidR="00EB2C0E" w:rsidRPr="00EB2C0E" w:rsidRDefault="00EB2C0E" w:rsidP="00EB2C0E">
    <w:pPr>
      <w:pStyle w:val="Footer"/>
      <w:rPr>
        <w:rFonts w:ascii="Arial" w:hAnsi="Arial" w:cs="Arial"/>
        <w:b/>
        <w:sz w:val="48"/>
      </w:rPr>
    </w:pPr>
    <w:r w:rsidRPr="00EB2C0E">
      <w:rPr>
        <w:rFonts w:ascii="Arial" w:hAnsi="Arial" w:cs="Arial"/>
        <w:b/>
        <w:sz w:val="48"/>
      </w:rPr>
      <w:t>EN</w:t>
    </w:r>
    <w:r w:rsidRPr="00EB2C0E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4A7764">
      <w:rPr>
        <w:noProof/>
      </w:rPr>
      <w:t>2</w:t>
    </w:r>
    <w:r>
      <w:fldChar w:fldCharType="end"/>
    </w:r>
    <w:r>
      <w:tab/>
    </w:r>
    <w:r w:rsidRPr="00EB2C0E">
      <w:tab/>
    </w:r>
    <w:r w:rsidRPr="00EB2C0E"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47285" w14:textId="77777777" w:rsidR="00EB2C0E" w:rsidRDefault="00EB2C0E" w:rsidP="00EB2C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D7D4B" w14:textId="77777777" w:rsidR="006A2919" w:rsidRDefault="006A2919" w:rsidP="00F82C78">
      <w:pPr>
        <w:spacing w:before="0" w:after="0"/>
      </w:pPr>
      <w:r>
        <w:separator/>
      </w:r>
    </w:p>
  </w:footnote>
  <w:footnote w:type="continuationSeparator" w:id="0">
    <w:p w14:paraId="201C12E1" w14:textId="77777777" w:rsidR="006A2919" w:rsidRDefault="006A2919" w:rsidP="00F82C7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F32C8" w14:textId="77777777" w:rsidR="00EB2C0E" w:rsidRDefault="00EB2C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97A92" w14:textId="77777777" w:rsidR="00EB2C0E" w:rsidRDefault="00EB2C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BCAEDB3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2CB2F8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1332A88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2A22A47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90741E9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4814A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239208B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51E8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5"/>
    <w:lvlOverride w:ilvl="0">
      <w:startOverride w:val="1"/>
    </w:lvlOverride>
  </w:num>
  <w:num w:numId="10">
    <w:abstractNumId w:val="19"/>
  </w:num>
  <w:num w:numId="11">
    <w:abstractNumId w:val="12"/>
  </w:num>
  <w:num w:numId="12">
    <w:abstractNumId w:val="21"/>
  </w:num>
  <w:num w:numId="13">
    <w:abstractNumId w:val="11"/>
  </w:num>
  <w:num w:numId="14">
    <w:abstractNumId w:val="13"/>
  </w:num>
  <w:num w:numId="15">
    <w:abstractNumId w:val="14"/>
  </w:num>
  <w:num w:numId="16">
    <w:abstractNumId w:val="9"/>
  </w:num>
  <w:num w:numId="17">
    <w:abstractNumId w:val="20"/>
  </w:num>
  <w:num w:numId="18">
    <w:abstractNumId w:val="8"/>
  </w:num>
  <w:num w:numId="19">
    <w:abstractNumId w:val="15"/>
  </w:num>
  <w:num w:numId="20">
    <w:abstractNumId w:val="17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3-04 08:44:17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EPKit_DocumentHasBeenSaved" w:val="true"/>
    <w:docVar w:name="LW_CORRIGENDUM" w:val="&lt;UNUSED&gt;"/>
    <w:docVar w:name="LW_COVERPAGE_EXISTS" w:val="True"/>
    <w:docVar w:name="LW_COVERPAGE_GUID" w:val="8FE4831C-F21B-4473-8EC9-2E58FDD04617"/>
    <w:docVar w:name="LW_COVERPAGE_TYPE" w:val="1"/>
    <w:docVar w:name="LW_CreatedUtc" w:val="2025-04-29T09:31:20.6654942Z"/>
    <w:docVar w:name="LW_CROSSREFERENCE" w:val="&lt;UNUSED&gt;"/>
    <w:docVar w:name="LW_DocType" w:val="COM"/>
    <w:docVar w:name="LW_EMISSION" w:val="6.3.2026"/>
    <w:docVar w:name="LW_EMISSION_ISODATE" w:val="2026-03-06"/>
    <w:docVar w:name="LW_EMISSION_LOCATION" w:val="BRX"/>
    <w:docVar w:name="LW_EMISSION_PREFIX" w:val="Brussels, "/>
    <w:docVar w:name="LW_EMISSION_SUFFIX" w:val=" "/>
    <w:docVar w:name="LW_ID_DOCMODEL" w:val="SJ-028"/>
    <w:docVar w:name="LW_ID_DOCSTRUCTURE" w:val="COM/PL/CODEC"/>
    <w:docVar w:name="LW_ID_DOCTYPE" w:val="SJ-028"/>
    <w:docVar w:name="LW_INTERETEEE.CP" w:val="(Text with EEA relevance)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266"/>
    <w:docVar w:name="LW_REF.II.NEW.CP_YEAR" w:val="2023"/>
    <w:docVar w:name="LW_REF.INST.NEW" w:val="COM"/>
    <w:docVar w:name="LW_REF.INST.NEW_ADOPTED" w:val="final"/>
    <w:docVar w:name="LW_REF.INST.NEW_TEXT" w:val="(2026) 121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position of the Council on the Proposal for a Regulation of the European Parliament and of the Council on the greenhouse gas emissions accounting of transport services (CountEmissions EU)"/>
    <w:docVar w:name="LW_TYPE.DOC.CP" w:val="COMMUNICATION FROM THE COMMISSION_x000b_TO THE EUROPEAN PARLIAMENT_x000b__x000b_pursuant to Article 294(6) of the Treaty on the Functioning of the European Union_x000b__x000b_concerning the"/>
    <w:docVar w:name="LwApiVersions" w:val="LW4CoDe 1.24.5.0; LW 9.2, Build 20251112"/>
  </w:docVars>
  <w:rsids>
    <w:rsidRoot w:val="00F82C78"/>
    <w:rsid w:val="000021E1"/>
    <w:rsid w:val="0001751D"/>
    <w:rsid w:val="00044467"/>
    <w:rsid w:val="00073065"/>
    <w:rsid w:val="00073CA9"/>
    <w:rsid w:val="00080AC3"/>
    <w:rsid w:val="00085C85"/>
    <w:rsid w:val="000C6D75"/>
    <w:rsid w:val="000C733F"/>
    <w:rsid w:val="000D0E02"/>
    <w:rsid w:val="000F0DAC"/>
    <w:rsid w:val="000F0E20"/>
    <w:rsid w:val="000F554C"/>
    <w:rsid w:val="000F599E"/>
    <w:rsid w:val="0010022A"/>
    <w:rsid w:val="001065F5"/>
    <w:rsid w:val="001238EF"/>
    <w:rsid w:val="00142CCE"/>
    <w:rsid w:val="00147CC6"/>
    <w:rsid w:val="00151BE8"/>
    <w:rsid w:val="001554A3"/>
    <w:rsid w:val="00155FB5"/>
    <w:rsid w:val="0019691D"/>
    <w:rsid w:val="00197613"/>
    <w:rsid w:val="001A5C44"/>
    <w:rsid w:val="001D720B"/>
    <w:rsid w:val="001E080D"/>
    <w:rsid w:val="001E3935"/>
    <w:rsid w:val="00201EA4"/>
    <w:rsid w:val="00215422"/>
    <w:rsid w:val="00217654"/>
    <w:rsid w:val="00222C37"/>
    <w:rsid w:val="00233DC7"/>
    <w:rsid w:val="00246445"/>
    <w:rsid w:val="00247779"/>
    <w:rsid w:val="002528CC"/>
    <w:rsid w:val="002653A5"/>
    <w:rsid w:val="002709A4"/>
    <w:rsid w:val="00285BEE"/>
    <w:rsid w:val="002878AB"/>
    <w:rsid w:val="0029533F"/>
    <w:rsid w:val="002A14D5"/>
    <w:rsid w:val="002A386C"/>
    <w:rsid w:val="002A4323"/>
    <w:rsid w:val="002B30AF"/>
    <w:rsid w:val="002E05F5"/>
    <w:rsid w:val="002E2917"/>
    <w:rsid w:val="002E7716"/>
    <w:rsid w:val="002E7F4F"/>
    <w:rsid w:val="003015A0"/>
    <w:rsid w:val="0033344A"/>
    <w:rsid w:val="00345678"/>
    <w:rsid w:val="0035045B"/>
    <w:rsid w:val="00367856"/>
    <w:rsid w:val="00381EED"/>
    <w:rsid w:val="00392179"/>
    <w:rsid w:val="003B297E"/>
    <w:rsid w:val="003C1431"/>
    <w:rsid w:val="003C5E79"/>
    <w:rsid w:val="003F4357"/>
    <w:rsid w:val="004044A3"/>
    <w:rsid w:val="0040641E"/>
    <w:rsid w:val="00410145"/>
    <w:rsid w:val="004136D1"/>
    <w:rsid w:val="0042648E"/>
    <w:rsid w:val="00463F10"/>
    <w:rsid w:val="00473B68"/>
    <w:rsid w:val="004936D2"/>
    <w:rsid w:val="004A7764"/>
    <w:rsid w:val="004C1D9E"/>
    <w:rsid w:val="004E687C"/>
    <w:rsid w:val="004F7EA0"/>
    <w:rsid w:val="005026E7"/>
    <w:rsid w:val="00524AB9"/>
    <w:rsid w:val="00541E4E"/>
    <w:rsid w:val="00543667"/>
    <w:rsid w:val="00555604"/>
    <w:rsid w:val="00571A2E"/>
    <w:rsid w:val="00573DAF"/>
    <w:rsid w:val="00576987"/>
    <w:rsid w:val="0058377F"/>
    <w:rsid w:val="005B02CF"/>
    <w:rsid w:val="005B1EB6"/>
    <w:rsid w:val="005F4A9F"/>
    <w:rsid w:val="005F5B12"/>
    <w:rsid w:val="00602849"/>
    <w:rsid w:val="00606786"/>
    <w:rsid w:val="006278C6"/>
    <w:rsid w:val="006404F8"/>
    <w:rsid w:val="006A2919"/>
    <w:rsid w:val="006C3DF2"/>
    <w:rsid w:val="006E5328"/>
    <w:rsid w:val="006F58F6"/>
    <w:rsid w:val="006F5B5C"/>
    <w:rsid w:val="0071156C"/>
    <w:rsid w:val="00714189"/>
    <w:rsid w:val="00721B4F"/>
    <w:rsid w:val="00725D5E"/>
    <w:rsid w:val="007305AB"/>
    <w:rsid w:val="00736CEA"/>
    <w:rsid w:val="007421FE"/>
    <w:rsid w:val="00773331"/>
    <w:rsid w:val="00776724"/>
    <w:rsid w:val="00783FEE"/>
    <w:rsid w:val="007932EF"/>
    <w:rsid w:val="00794F38"/>
    <w:rsid w:val="00795F59"/>
    <w:rsid w:val="007B74BF"/>
    <w:rsid w:val="007C19C4"/>
    <w:rsid w:val="007C1E4E"/>
    <w:rsid w:val="007E05B0"/>
    <w:rsid w:val="008054B9"/>
    <w:rsid w:val="008438C2"/>
    <w:rsid w:val="008578AB"/>
    <w:rsid w:val="00871FCA"/>
    <w:rsid w:val="008722D3"/>
    <w:rsid w:val="00874D22"/>
    <w:rsid w:val="00881BE0"/>
    <w:rsid w:val="00885D5A"/>
    <w:rsid w:val="00891CF1"/>
    <w:rsid w:val="008960D3"/>
    <w:rsid w:val="008A17D5"/>
    <w:rsid w:val="008A2914"/>
    <w:rsid w:val="008A2D0F"/>
    <w:rsid w:val="008A3B83"/>
    <w:rsid w:val="008B33FB"/>
    <w:rsid w:val="008C15A6"/>
    <w:rsid w:val="008C2F91"/>
    <w:rsid w:val="008C64E6"/>
    <w:rsid w:val="008D06B2"/>
    <w:rsid w:val="008D29D9"/>
    <w:rsid w:val="008D7651"/>
    <w:rsid w:val="008E4D8E"/>
    <w:rsid w:val="00903A53"/>
    <w:rsid w:val="00916D36"/>
    <w:rsid w:val="00936016"/>
    <w:rsid w:val="00936ACA"/>
    <w:rsid w:val="009564E8"/>
    <w:rsid w:val="009A0DE4"/>
    <w:rsid w:val="009A666B"/>
    <w:rsid w:val="009B3D55"/>
    <w:rsid w:val="009D6F0D"/>
    <w:rsid w:val="009E0B08"/>
    <w:rsid w:val="00A050F2"/>
    <w:rsid w:val="00A1547A"/>
    <w:rsid w:val="00A72730"/>
    <w:rsid w:val="00A83142"/>
    <w:rsid w:val="00AA4F5D"/>
    <w:rsid w:val="00AA7F88"/>
    <w:rsid w:val="00AE32BA"/>
    <w:rsid w:val="00B00AB5"/>
    <w:rsid w:val="00B05DB1"/>
    <w:rsid w:val="00B22062"/>
    <w:rsid w:val="00B67341"/>
    <w:rsid w:val="00B7705B"/>
    <w:rsid w:val="00BA627E"/>
    <w:rsid w:val="00BE5E71"/>
    <w:rsid w:val="00BE74C4"/>
    <w:rsid w:val="00C03ED7"/>
    <w:rsid w:val="00C12301"/>
    <w:rsid w:val="00C21839"/>
    <w:rsid w:val="00C2221D"/>
    <w:rsid w:val="00C275F0"/>
    <w:rsid w:val="00C30CE6"/>
    <w:rsid w:val="00C31C7F"/>
    <w:rsid w:val="00C5463A"/>
    <w:rsid w:val="00C61F7D"/>
    <w:rsid w:val="00C836E6"/>
    <w:rsid w:val="00C862EB"/>
    <w:rsid w:val="00C91830"/>
    <w:rsid w:val="00CE06A5"/>
    <w:rsid w:val="00CE6E27"/>
    <w:rsid w:val="00CE71E3"/>
    <w:rsid w:val="00D14435"/>
    <w:rsid w:val="00D14496"/>
    <w:rsid w:val="00D176CA"/>
    <w:rsid w:val="00D20381"/>
    <w:rsid w:val="00D21FB5"/>
    <w:rsid w:val="00D315E2"/>
    <w:rsid w:val="00D42670"/>
    <w:rsid w:val="00D52500"/>
    <w:rsid w:val="00D53B76"/>
    <w:rsid w:val="00D83413"/>
    <w:rsid w:val="00DB42FD"/>
    <w:rsid w:val="00DC34A4"/>
    <w:rsid w:val="00DC34E6"/>
    <w:rsid w:val="00DD1F71"/>
    <w:rsid w:val="00DD6E29"/>
    <w:rsid w:val="00E01B86"/>
    <w:rsid w:val="00E11524"/>
    <w:rsid w:val="00E20986"/>
    <w:rsid w:val="00E26A45"/>
    <w:rsid w:val="00E40762"/>
    <w:rsid w:val="00E445A5"/>
    <w:rsid w:val="00E5232B"/>
    <w:rsid w:val="00E62EAC"/>
    <w:rsid w:val="00E6677E"/>
    <w:rsid w:val="00E67980"/>
    <w:rsid w:val="00E941DD"/>
    <w:rsid w:val="00EB2C0E"/>
    <w:rsid w:val="00EC5BC9"/>
    <w:rsid w:val="00ED1922"/>
    <w:rsid w:val="00EE2C5D"/>
    <w:rsid w:val="00EF3B3B"/>
    <w:rsid w:val="00F32A9C"/>
    <w:rsid w:val="00F36D71"/>
    <w:rsid w:val="00F61863"/>
    <w:rsid w:val="00F619FC"/>
    <w:rsid w:val="00F64050"/>
    <w:rsid w:val="00F643CD"/>
    <w:rsid w:val="00F73A3E"/>
    <w:rsid w:val="00F75086"/>
    <w:rsid w:val="00F82C78"/>
    <w:rsid w:val="00F96F9C"/>
    <w:rsid w:val="00FA7BCB"/>
    <w:rsid w:val="00FB6448"/>
    <w:rsid w:val="00FC38F8"/>
    <w:rsid w:val="00FC6CE4"/>
    <w:rsid w:val="00FD0D98"/>
    <w:rsid w:val="00FF0B6A"/>
    <w:rsid w:val="00FF2DF5"/>
    <w:rsid w:val="00FF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1966B093"/>
  <w15:docId w15:val="{64A16D26-2DBA-43AE-A371-738649DC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7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7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7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7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rsid w:val="000F0DAC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F0DAC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F0DAC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F0DAC"/>
    <w:pPr>
      <w:numPr>
        <w:numId w:val="4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1E080D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1E080D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1E080D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E080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E080D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E080D"/>
    <w:pPr>
      <w:numPr>
        <w:numId w:val="8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936AC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36A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D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D75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E20986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36E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45A5"/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B2C0E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B2C0E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EB2C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EB2C0E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EB2C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10"/>
      </w:numPr>
    </w:pPr>
  </w:style>
  <w:style w:type="paragraph" w:customStyle="1" w:styleId="Tiret1">
    <w:name w:val="Tiret 1"/>
    <w:basedOn w:val="Point1"/>
    <w:pPr>
      <w:numPr>
        <w:numId w:val="11"/>
      </w:numPr>
    </w:pPr>
  </w:style>
  <w:style w:type="paragraph" w:customStyle="1" w:styleId="Tiret2">
    <w:name w:val="Tiret 2"/>
    <w:basedOn w:val="Point2"/>
    <w:pPr>
      <w:numPr>
        <w:numId w:val="12"/>
      </w:numPr>
    </w:pPr>
  </w:style>
  <w:style w:type="paragraph" w:customStyle="1" w:styleId="Tiret3">
    <w:name w:val="Tiret 3"/>
    <w:basedOn w:val="Point3"/>
    <w:pPr>
      <w:numPr>
        <w:numId w:val="13"/>
      </w:numPr>
    </w:pPr>
  </w:style>
  <w:style w:type="paragraph" w:customStyle="1" w:styleId="Tiret4">
    <w:name w:val="Tiret 4"/>
    <w:basedOn w:val="Point4"/>
    <w:pPr>
      <w:numPr>
        <w:numId w:val="14"/>
      </w:numPr>
    </w:pPr>
  </w:style>
  <w:style w:type="paragraph" w:customStyle="1" w:styleId="Tiret5">
    <w:name w:val="Tiret 5"/>
    <w:basedOn w:val="Point5"/>
    <w:pPr>
      <w:numPr>
        <w:numId w:val="15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6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6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6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6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6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6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6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8"/>
      </w:numPr>
    </w:pPr>
  </w:style>
  <w:style w:type="paragraph" w:customStyle="1" w:styleId="Point1number">
    <w:name w:val="Point 1 (number)"/>
    <w:basedOn w:val="Normal"/>
    <w:pPr>
      <w:numPr>
        <w:ilvl w:val="2"/>
        <w:numId w:val="18"/>
      </w:numPr>
    </w:pPr>
  </w:style>
  <w:style w:type="paragraph" w:customStyle="1" w:styleId="Point2number">
    <w:name w:val="Point 2 (number)"/>
    <w:basedOn w:val="Normal"/>
    <w:pPr>
      <w:numPr>
        <w:ilvl w:val="4"/>
        <w:numId w:val="18"/>
      </w:numPr>
    </w:pPr>
  </w:style>
  <w:style w:type="paragraph" w:customStyle="1" w:styleId="Point3number">
    <w:name w:val="Point 3 (number)"/>
    <w:basedOn w:val="Normal"/>
    <w:pPr>
      <w:numPr>
        <w:ilvl w:val="6"/>
        <w:numId w:val="18"/>
      </w:numPr>
    </w:pPr>
  </w:style>
  <w:style w:type="paragraph" w:customStyle="1" w:styleId="Point0letter">
    <w:name w:val="Point 0 (letter)"/>
    <w:basedOn w:val="Normal"/>
    <w:pPr>
      <w:numPr>
        <w:ilvl w:val="1"/>
        <w:numId w:val="18"/>
      </w:numPr>
    </w:pPr>
  </w:style>
  <w:style w:type="paragraph" w:customStyle="1" w:styleId="Point1letter">
    <w:name w:val="Point 1 (letter)"/>
    <w:basedOn w:val="Normal"/>
    <w:pPr>
      <w:numPr>
        <w:ilvl w:val="3"/>
        <w:numId w:val="18"/>
      </w:numPr>
    </w:pPr>
  </w:style>
  <w:style w:type="paragraph" w:customStyle="1" w:styleId="Point2letter">
    <w:name w:val="Point 2 (letter)"/>
    <w:basedOn w:val="Normal"/>
    <w:pPr>
      <w:numPr>
        <w:ilvl w:val="5"/>
        <w:numId w:val="18"/>
      </w:numPr>
    </w:pPr>
  </w:style>
  <w:style w:type="paragraph" w:customStyle="1" w:styleId="Point3letter">
    <w:name w:val="Point 3 (letter)"/>
    <w:basedOn w:val="Normal"/>
    <w:pPr>
      <w:numPr>
        <w:ilvl w:val="7"/>
        <w:numId w:val="18"/>
      </w:numPr>
    </w:pPr>
  </w:style>
  <w:style w:type="paragraph" w:customStyle="1" w:styleId="Point4letter">
    <w:name w:val="Point 4 (letter)"/>
    <w:basedOn w:val="Normal"/>
    <w:pPr>
      <w:numPr>
        <w:ilvl w:val="8"/>
        <w:numId w:val="18"/>
      </w:numPr>
    </w:pPr>
  </w:style>
  <w:style w:type="paragraph" w:customStyle="1" w:styleId="Bullet0">
    <w:name w:val="Bullet 0"/>
    <w:basedOn w:val="Normal"/>
    <w:pPr>
      <w:numPr>
        <w:numId w:val="19"/>
      </w:numPr>
    </w:pPr>
  </w:style>
  <w:style w:type="paragraph" w:customStyle="1" w:styleId="Bullet1">
    <w:name w:val="Bullet 1"/>
    <w:basedOn w:val="Normal"/>
    <w:pPr>
      <w:numPr>
        <w:numId w:val="20"/>
      </w:numPr>
    </w:pPr>
  </w:style>
  <w:style w:type="paragraph" w:customStyle="1" w:styleId="Bullet2">
    <w:name w:val="Bullet 2"/>
    <w:basedOn w:val="Normal"/>
    <w:pPr>
      <w:numPr>
        <w:numId w:val="21"/>
      </w:numPr>
    </w:pPr>
  </w:style>
  <w:style w:type="paragraph" w:customStyle="1" w:styleId="Bullet3">
    <w:name w:val="Bullet 3"/>
    <w:basedOn w:val="Normal"/>
    <w:pPr>
      <w:numPr>
        <w:numId w:val="22"/>
      </w:numPr>
    </w:pPr>
  </w:style>
  <w:style w:type="paragraph" w:customStyle="1" w:styleId="Bullet4">
    <w:name w:val="Bullet 4"/>
    <w:basedOn w:val="Normal"/>
    <w:pPr>
      <w:numPr>
        <w:numId w:val="23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4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E664ED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664ED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664ED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664ED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EB2C0E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EB2C0E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EB2C0E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EB2C0E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3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15</cp:revision>
  <dcterms:created xsi:type="dcterms:W3CDTF">2026-03-03T10:20:00Z</dcterms:created>
  <dcterms:modified xsi:type="dcterms:W3CDTF">2026-03-04T07:44:00Z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COM/PL/CODEC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9.1, Build 20240808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SJ-028</vt:lpwstr>
  </property>
  <property fmtid="{D5CDD505-2E9C-101B-9397-08002B2CF9AE}" pid="10" name="MSIP_Label_6bd9ddd1-4d20-43f6-abfa-fc3c07406f94_Enabled">
    <vt:lpwstr>true</vt:lpwstr>
  </property>
  <property fmtid="{D5CDD505-2E9C-101B-9397-08002B2CF9AE}" pid="11" name="MSIP_Label_6bd9ddd1-4d20-43f6-abfa-fc3c07406f94_SetDate">
    <vt:lpwstr>2025-04-29T10:12:55Z</vt:lpwstr>
  </property>
  <property fmtid="{D5CDD505-2E9C-101B-9397-08002B2CF9AE}" pid="12" name="MSIP_Label_6bd9ddd1-4d20-43f6-abfa-fc3c07406f94_Method">
    <vt:lpwstr>Standard</vt:lpwstr>
  </property>
  <property fmtid="{D5CDD505-2E9C-101B-9397-08002B2CF9AE}" pid="13" name="MSIP_Label_6bd9ddd1-4d20-43f6-abfa-fc3c07406f94_Name">
    <vt:lpwstr>Commission Use</vt:lpwstr>
  </property>
  <property fmtid="{D5CDD505-2E9C-101B-9397-08002B2CF9AE}" pid="14" name="MSIP_Label_6bd9ddd1-4d20-43f6-abfa-fc3c07406f94_SiteId">
    <vt:lpwstr>b24c8b06-522c-46fe-9080-70926f8dddb1</vt:lpwstr>
  </property>
  <property fmtid="{D5CDD505-2E9C-101B-9397-08002B2CF9AE}" pid="15" name="MSIP_Label_6bd9ddd1-4d20-43f6-abfa-fc3c07406f94_ActionId">
    <vt:lpwstr>27f8e65b-ea4d-4c4b-92b0-9d342f7222b6</vt:lpwstr>
  </property>
  <property fmtid="{D5CDD505-2E9C-101B-9397-08002B2CF9AE}" pid="16" name="MSIP_Label_6bd9ddd1-4d20-43f6-abfa-fc3c07406f94_ContentBits">
    <vt:lpwstr>0</vt:lpwstr>
  </property>
  <property fmtid="{D5CDD505-2E9C-101B-9397-08002B2CF9AE}" pid="17" name="DQCStatus">
    <vt:lpwstr>Green (DQC version 03)</vt:lpwstr>
  </property>
</Properties>
</file>