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B64A8F8" w14:textId="3CB1123C" w:rsidR="0029533F" w:rsidRPr="007C2099" w:rsidRDefault="00AE0276" w:rsidP="00AE0276">
      <w:pPr>
        <w:pStyle w:val="Pagedecouverture"/>
        <w:rPr>
          <w:noProof/>
        </w:rPr>
      </w:pPr>
      <w:bookmarkStart w:id="0" w:name="_Hlk221782633"/>
      <w:r>
        <w:rPr>
          <w:noProof/>
        </w:rPr>
        <w:pict w14:anchorId="1B10286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4" type="#_x0000_t75" alt="2C9F5556-4DA8-4BA0-9657-C7EF1B33FF76" style="width:455.25pt;height:408.75pt">
            <v:imagedata r:id="rId7" o:title=""/>
          </v:shape>
        </w:pict>
      </w:r>
    </w:p>
    <w:p w14:paraId="0FB320FE" w14:textId="77777777" w:rsidR="00F82C78" w:rsidRPr="007C2099" w:rsidRDefault="00F82C78">
      <w:pPr>
        <w:rPr>
          <w:noProof/>
        </w:rPr>
        <w:sectPr w:rsidR="00F82C78" w:rsidRPr="007C2099" w:rsidSect="00AE0276">
          <w:headerReference w:type="even" r:id="rId8"/>
          <w:headerReference w:type="default" r:id="rId9"/>
          <w:footerReference w:type="even" r:id="rId10"/>
          <w:footerReference w:type="default" r:id="rId11"/>
          <w:headerReference w:type="first" r:id="rId12"/>
          <w:footerReference w:type="first" r:id="rId13"/>
          <w:pgSz w:w="11907" w:h="16839"/>
          <w:pgMar w:top="1134" w:right="1417" w:bottom="1134" w:left="1417" w:header="709" w:footer="709" w:gutter="0"/>
          <w:pgNumType w:start="0"/>
          <w:cols w:space="720"/>
          <w:docGrid w:linePitch="360"/>
        </w:sectPr>
      </w:pPr>
    </w:p>
    <w:p w14:paraId="3ABDBC08" w14:textId="633133F3" w:rsidR="00783FEE" w:rsidRPr="007C2099" w:rsidRDefault="007C2099" w:rsidP="007C2099">
      <w:pPr>
        <w:pStyle w:val="Rfrenceinterinstitutionnelle"/>
        <w:rPr>
          <w:noProof/>
        </w:rPr>
      </w:pPr>
      <w:bookmarkStart w:id="1" w:name="_GoBack"/>
      <w:bookmarkEnd w:id="1"/>
      <w:r>
        <w:rPr>
          <w:noProof/>
        </w:rPr>
        <w:lastRenderedPageBreak/>
        <w:t>2023/0266 (COD)</w:t>
      </w:r>
    </w:p>
    <w:p w14:paraId="7A48F1F8" w14:textId="094C0459" w:rsidR="00F82C78" w:rsidRPr="007C2099" w:rsidRDefault="007C2099" w:rsidP="007C2099">
      <w:pPr>
        <w:pStyle w:val="Typedudocument"/>
        <w:rPr>
          <w:noProof/>
        </w:rPr>
      </w:pPr>
      <w:bookmarkStart w:id="2" w:name="_Hlk222756973"/>
      <w:r w:rsidRPr="007C2099">
        <w:rPr>
          <w:noProof/>
        </w:rPr>
        <w:t>COMMUNICATION DE LA COMMISSION AU PARLEMENT EUROPÉEN</w:t>
      </w:r>
      <w:r w:rsidRPr="007C2099">
        <w:rPr>
          <w:noProof/>
        </w:rPr>
        <w:br/>
      </w:r>
      <w:r w:rsidRPr="007C2099">
        <w:rPr>
          <w:noProof/>
        </w:rPr>
        <w:br/>
        <w:t>conformément à l’article 294, paragraphe 6, du traité sur le fonctionnement de l’Union européenne</w:t>
      </w:r>
      <w:r w:rsidRPr="007C2099">
        <w:rPr>
          <w:noProof/>
        </w:rPr>
        <w:br/>
      </w:r>
      <w:r w:rsidRPr="007C2099">
        <w:rPr>
          <w:noProof/>
        </w:rPr>
        <w:br/>
        <w:t>concernant la</w:t>
      </w:r>
    </w:p>
    <w:p w14:paraId="022103C0" w14:textId="36193CB6" w:rsidR="0019691D" w:rsidRPr="007C2099" w:rsidRDefault="007C2099" w:rsidP="007C2099">
      <w:pPr>
        <w:pStyle w:val="Titreobjet"/>
        <w:rPr>
          <w:noProof/>
        </w:rPr>
      </w:pPr>
      <w:r w:rsidRPr="007C2099">
        <w:rPr>
          <w:noProof/>
        </w:rPr>
        <w:t>position du Conseil relative à la proposition de règlement du Parlement européen et du Conseil sur la comptabilisation des émissions de gaz à effet de serre des services de transport (CountEmissions EU)</w:t>
      </w:r>
    </w:p>
    <w:bookmarkEnd w:id="2"/>
    <w:p w14:paraId="170B1B09" w14:textId="4C278B6D" w:rsidR="00F82C78" w:rsidRPr="007C2099" w:rsidRDefault="007C2099" w:rsidP="007C2099">
      <w:pPr>
        <w:pStyle w:val="IntrtEEE"/>
        <w:rPr>
          <w:noProof/>
        </w:rPr>
      </w:pPr>
      <w:r w:rsidRPr="007C2099">
        <w:rPr>
          <w:noProof/>
        </w:rPr>
        <w:t>(Texte présentant de l’intérêt pour l’EEE)</w:t>
      </w:r>
    </w:p>
    <w:p w14:paraId="2018F380" w14:textId="77777777" w:rsidR="00F82C78" w:rsidRPr="007C2099" w:rsidRDefault="00F82C78" w:rsidP="001704B9">
      <w:pPr>
        <w:pStyle w:val="ManualHeading1"/>
        <w:rPr>
          <w:noProof/>
          <w:sz w:val="22"/>
        </w:rPr>
      </w:pPr>
      <w:r w:rsidRPr="007C2099">
        <w:rPr>
          <w:noProof/>
        </w:rPr>
        <w:t>1.</w:t>
      </w:r>
      <w:r w:rsidRPr="007C2099">
        <w:rPr>
          <w:noProof/>
        </w:rPr>
        <w:tab/>
        <w:t>Contexte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804"/>
        <w:gridCol w:w="2483"/>
      </w:tblGrid>
      <w:tr w:rsidR="008054B9" w:rsidRPr="007C2099" w14:paraId="0A430EC3" w14:textId="77777777" w:rsidTr="00C91830">
        <w:tc>
          <w:tcPr>
            <w:tcW w:w="6804" w:type="dxa"/>
          </w:tcPr>
          <w:p w14:paraId="7842370F" w14:textId="00586F22" w:rsidR="00F82C78" w:rsidRPr="007C2099" w:rsidRDefault="00F82C78" w:rsidP="00FC6CE4">
            <w:pPr>
              <w:jc w:val="left"/>
              <w:rPr>
                <w:noProof/>
              </w:rPr>
            </w:pPr>
            <w:r w:rsidRPr="007C2099">
              <w:rPr>
                <w:noProof/>
              </w:rPr>
              <w:t>Date de la transmission de la proposition au Parlement européen et au Conseil [document COM(2023) 441 final – 2023/0266 (COD)]:</w:t>
            </w:r>
          </w:p>
        </w:tc>
        <w:tc>
          <w:tcPr>
            <w:tcW w:w="2483" w:type="dxa"/>
          </w:tcPr>
          <w:p w14:paraId="1F47382E" w14:textId="76F367FE" w:rsidR="00F82C78" w:rsidRPr="007C2099" w:rsidRDefault="00FC6CE4" w:rsidP="00FC48CE">
            <w:pPr>
              <w:jc w:val="left"/>
              <w:rPr>
                <w:noProof/>
              </w:rPr>
            </w:pPr>
            <w:r w:rsidRPr="007C2099">
              <w:rPr>
                <w:noProof/>
              </w:rPr>
              <w:t>11 juillet 2023.</w:t>
            </w:r>
          </w:p>
        </w:tc>
      </w:tr>
      <w:tr w:rsidR="008054B9" w:rsidRPr="007C2099" w14:paraId="4E513F44" w14:textId="77777777" w:rsidTr="00C91830">
        <w:tc>
          <w:tcPr>
            <w:tcW w:w="6804" w:type="dxa"/>
          </w:tcPr>
          <w:p w14:paraId="4999FE58" w14:textId="77777777" w:rsidR="00F82C78" w:rsidRPr="007C2099" w:rsidRDefault="00F82C78" w:rsidP="00FC48CE">
            <w:pPr>
              <w:rPr>
                <w:noProof/>
              </w:rPr>
            </w:pPr>
            <w:r w:rsidRPr="007C2099">
              <w:rPr>
                <w:noProof/>
              </w:rPr>
              <w:t>Date de l’avis du Comité économique et social européen:</w:t>
            </w:r>
          </w:p>
        </w:tc>
        <w:tc>
          <w:tcPr>
            <w:tcW w:w="2483" w:type="dxa"/>
            <w:shd w:val="clear" w:color="auto" w:fill="auto"/>
          </w:tcPr>
          <w:p w14:paraId="33BF55F4" w14:textId="72E98237" w:rsidR="00F82C78" w:rsidRPr="007C2099" w:rsidRDefault="00A050F2" w:rsidP="00FC48CE">
            <w:pPr>
              <w:jc w:val="left"/>
              <w:rPr>
                <w:noProof/>
              </w:rPr>
            </w:pPr>
            <w:r w:rsidRPr="007C2099">
              <w:rPr>
                <w:noProof/>
              </w:rPr>
              <w:t>25 octobre 2023.</w:t>
            </w:r>
          </w:p>
        </w:tc>
      </w:tr>
      <w:tr w:rsidR="008054B9" w:rsidRPr="007C2099" w14:paraId="4185BBF4" w14:textId="77777777" w:rsidTr="00C91830">
        <w:tc>
          <w:tcPr>
            <w:tcW w:w="6804" w:type="dxa"/>
          </w:tcPr>
          <w:p w14:paraId="1DF4F470" w14:textId="77777777" w:rsidR="00F82C78" w:rsidRPr="007C2099" w:rsidRDefault="00F82C78" w:rsidP="00FC48CE">
            <w:pPr>
              <w:rPr>
                <w:noProof/>
              </w:rPr>
            </w:pPr>
            <w:r w:rsidRPr="007C2099">
              <w:rPr>
                <w:noProof/>
              </w:rPr>
              <w:t>Date de la position du Parlement européen en première lecture:</w:t>
            </w:r>
          </w:p>
        </w:tc>
        <w:tc>
          <w:tcPr>
            <w:tcW w:w="2483" w:type="dxa"/>
          </w:tcPr>
          <w:p w14:paraId="59523345" w14:textId="3619ABC5" w:rsidR="00F82C78" w:rsidRPr="007C2099" w:rsidRDefault="0019691D" w:rsidP="00FC48CE">
            <w:pPr>
              <w:jc w:val="left"/>
              <w:rPr>
                <w:noProof/>
              </w:rPr>
            </w:pPr>
            <w:r w:rsidRPr="007C2099">
              <w:rPr>
                <w:noProof/>
              </w:rPr>
              <w:t>10 avril 2024.</w:t>
            </w:r>
          </w:p>
        </w:tc>
      </w:tr>
      <w:tr w:rsidR="008054B9" w:rsidRPr="007C2099" w14:paraId="3BC7FE15" w14:textId="77777777" w:rsidTr="00C91830">
        <w:tc>
          <w:tcPr>
            <w:tcW w:w="6804" w:type="dxa"/>
          </w:tcPr>
          <w:p w14:paraId="428849F8" w14:textId="77777777" w:rsidR="00F82C78" w:rsidRPr="007C2099" w:rsidRDefault="00F82C78" w:rsidP="00FC48CE">
            <w:pPr>
              <w:rPr>
                <w:noProof/>
              </w:rPr>
            </w:pPr>
            <w:r w:rsidRPr="007C2099">
              <w:rPr>
                <w:noProof/>
              </w:rPr>
              <w:t>Date de transmission de la proposition modifiée:</w:t>
            </w:r>
          </w:p>
        </w:tc>
        <w:tc>
          <w:tcPr>
            <w:tcW w:w="2483" w:type="dxa"/>
          </w:tcPr>
          <w:p w14:paraId="018A9021" w14:textId="77777777" w:rsidR="00F82C78" w:rsidRPr="007C2099" w:rsidRDefault="00A1547A" w:rsidP="00FC48CE">
            <w:pPr>
              <w:jc w:val="left"/>
              <w:rPr>
                <w:noProof/>
              </w:rPr>
            </w:pPr>
            <w:r w:rsidRPr="007C2099">
              <w:rPr>
                <w:noProof/>
              </w:rPr>
              <w:t>s.o.</w:t>
            </w:r>
          </w:p>
        </w:tc>
      </w:tr>
      <w:tr w:rsidR="008054B9" w:rsidRPr="007C2099" w14:paraId="1AEED276" w14:textId="77777777" w:rsidTr="00C91830">
        <w:tc>
          <w:tcPr>
            <w:tcW w:w="6804" w:type="dxa"/>
          </w:tcPr>
          <w:p w14:paraId="026B3909" w14:textId="77777777" w:rsidR="00F82C78" w:rsidRPr="007C2099" w:rsidRDefault="00F82C78" w:rsidP="00FC48CE">
            <w:pPr>
              <w:rPr>
                <w:noProof/>
              </w:rPr>
            </w:pPr>
            <w:r w:rsidRPr="007C2099">
              <w:rPr>
                <w:noProof/>
              </w:rPr>
              <w:t>Date de l’adoption de la position du Conseil:</w:t>
            </w:r>
          </w:p>
        </w:tc>
        <w:tc>
          <w:tcPr>
            <w:tcW w:w="2483" w:type="dxa"/>
          </w:tcPr>
          <w:p w14:paraId="6677BF32" w14:textId="5208A655" w:rsidR="00F82C78" w:rsidRPr="007C2099" w:rsidRDefault="00795F59" w:rsidP="00FC48CE">
            <w:pPr>
              <w:jc w:val="left"/>
              <w:rPr>
                <w:noProof/>
              </w:rPr>
            </w:pPr>
            <w:r w:rsidRPr="007C2099">
              <w:rPr>
                <w:noProof/>
              </w:rPr>
              <w:t>26 février 2026.</w:t>
            </w:r>
          </w:p>
        </w:tc>
      </w:tr>
    </w:tbl>
    <w:p w14:paraId="570CB58F" w14:textId="77777777" w:rsidR="00F82C78" w:rsidRPr="007C2099" w:rsidRDefault="00F82C78" w:rsidP="001704B9">
      <w:pPr>
        <w:pStyle w:val="ManualHeading1"/>
        <w:rPr>
          <w:noProof/>
        </w:rPr>
      </w:pPr>
      <w:r w:rsidRPr="007C2099">
        <w:rPr>
          <w:noProof/>
        </w:rPr>
        <w:t>2.</w:t>
      </w:r>
      <w:r w:rsidRPr="007C2099">
        <w:rPr>
          <w:noProof/>
        </w:rPr>
        <w:tab/>
        <w:t>Objet de la proposition de la Commission</w:t>
      </w:r>
    </w:p>
    <w:p w14:paraId="747B6F9F" w14:textId="3029D951" w:rsidR="00C31C7F" w:rsidRPr="007C2099" w:rsidRDefault="00C31C7F" w:rsidP="00C31C7F">
      <w:pPr>
        <w:rPr>
          <w:noProof/>
        </w:rPr>
      </w:pPr>
      <w:r w:rsidRPr="007C2099">
        <w:rPr>
          <w:noProof/>
        </w:rPr>
        <w:t>La proposition de la Commission vise à établir un cadre commun de l’UE pour comptabiliser les émissions de gaz à effet de serre (GES) des services de transport dans tous les modes de transport. L’objectif de la proposition est de garantir l’uniformité, la comparabilité et la transparence des informations sur les émissions afin: i) de soutenir des choix plus durables de la part des entreprises et des consommateurs; ii) d’améliorer le fonctionnement du marché; et iii) de contribuer aux objectifs climatiques de l’UE tout en garantissant la proportionnalité pour les entreprises, notamment les micro, petites et moyennes entreprises (PME).</w:t>
      </w:r>
    </w:p>
    <w:p w14:paraId="6868980A" w14:textId="4E5A6442" w:rsidR="00C31C7F" w:rsidRPr="007C2099" w:rsidRDefault="00FB5983" w:rsidP="00B22062">
      <w:pPr>
        <w:rPr>
          <w:noProof/>
        </w:rPr>
      </w:pPr>
      <w:r>
        <w:rPr>
          <w:noProof/>
        </w:rPr>
        <w:pict w14:anchorId="52251AA1">
          <v:rect id="_x0000_i1026" style="width:468pt;height:1.2pt" o:hralign="center" o:hrstd="t" o:hr="t" fillcolor="#a0a0a0" stroked="f"/>
        </w:pict>
      </w:r>
    </w:p>
    <w:p w14:paraId="5381B685" w14:textId="77777777" w:rsidR="00F82C78" w:rsidRPr="007C2099" w:rsidRDefault="00F82C78" w:rsidP="001704B9">
      <w:pPr>
        <w:pStyle w:val="ManualHeading1"/>
        <w:rPr>
          <w:noProof/>
        </w:rPr>
      </w:pPr>
      <w:r w:rsidRPr="007C2099">
        <w:rPr>
          <w:noProof/>
        </w:rPr>
        <w:t>3.</w:t>
      </w:r>
      <w:r w:rsidRPr="007C2099">
        <w:rPr>
          <w:noProof/>
        </w:rPr>
        <w:tab/>
        <w:t>Commentaires sur la position du conseil</w:t>
      </w:r>
    </w:p>
    <w:p w14:paraId="21D1725D" w14:textId="4340B569" w:rsidR="00C31C7F" w:rsidRPr="007C2099" w:rsidRDefault="00C31C7F" w:rsidP="00C31C7F">
      <w:pPr>
        <w:rPr>
          <w:noProof/>
        </w:rPr>
      </w:pPr>
      <w:r w:rsidRPr="007C2099">
        <w:rPr>
          <w:noProof/>
        </w:rPr>
        <w:t>La position du Conseil en première lecture préserve l’architecture et les objectifs fondamentaux de la proposition de la Commission tout en tenant compte de l’accord provisoire intervenu avec le Parlement européen le 5 novembre 2025. La position du Conseil a pour finalité de parvenir à un cadre juridique équilibré et applicable qui:</w:t>
      </w:r>
    </w:p>
    <w:p w14:paraId="7B1D216A" w14:textId="69790CAB" w:rsidR="00C31C7F" w:rsidRPr="007C2099" w:rsidRDefault="003C1431" w:rsidP="00B67341">
      <w:pPr>
        <w:pStyle w:val="Bullet0"/>
        <w:numPr>
          <w:ilvl w:val="0"/>
          <w:numId w:val="9"/>
        </w:numPr>
        <w:rPr>
          <w:noProof/>
        </w:rPr>
      </w:pPr>
      <w:r w:rsidRPr="007C2099">
        <w:rPr>
          <w:noProof/>
        </w:rPr>
        <w:t>maintient la norme EN ISO 14083 en tant que méthode de référence pour le calcul des émissions des services de transport, tout en prévoyant son éventuelle révision et clarification, si cela s’avère nécessaire;</w:t>
      </w:r>
    </w:p>
    <w:p w14:paraId="2797D23A" w14:textId="5349AA89" w:rsidR="00C31C7F" w:rsidRPr="007C2099" w:rsidRDefault="00F36D71" w:rsidP="00C31C7F">
      <w:pPr>
        <w:pStyle w:val="Bullet0"/>
        <w:rPr>
          <w:noProof/>
        </w:rPr>
      </w:pPr>
      <w:r w:rsidRPr="007C2099">
        <w:rPr>
          <w:noProof/>
        </w:rPr>
        <w:lastRenderedPageBreak/>
        <w:t>évite d’imposer de nouvelles obligations de déclaration aux entreprises et l’obligation d’utiliser des données primaires pour le calcul des émissions, tout en permettant aux États membres d’imposer et d’encourager l’utilisation de ces données sur leur territoire;</w:t>
      </w:r>
    </w:p>
    <w:p w14:paraId="2CFD4BA3" w14:textId="03297C9E" w:rsidR="009E0B08" w:rsidRPr="007C2099" w:rsidRDefault="00F36D71" w:rsidP="00C31C7F">
      <w:pPr>
        <w:pStyle w:val="Bullet0"/>
        <w:rPr>
          <w:noProof/>
        </w:rPr>
      </w:pPr>
      <w:r w:rsidRPr="007C2099">
        <w:rPr>
          <w:noProof/>
        </w:rPr>
        <w:t>habilite la Commission à créer des bases de données des valeurs par défaut au niveau de l’Union, en tenant compte des règlements pertinents existants et définit des règles pour l’évaluation des données issues des bases de données et des outils de calcul exploités par des tiers;</w:t>
      </w:r>
    </w:p>
    <w:p w14:paraId="0668B225" w14:textId="25224C83" w:rsidR="00C31C7F" w:rsidRPr="007C2099" w:rsidRDefault="00F36D71" w:rsidP="00C31C7F">
      <w:pPr>
        <w:pStyle w:val="Bullet0"/>
        <w:rPr>
          <w:noProof/>
        </w:rPr>
      </w:pPr>
      <w:r w:rsidRPr="007C2099">
        <w:rPr>
          <w:noProof/>
        </w:rPr>
        <w:t>apporte un soutien pratique aux PME en demandant à la Commission de concevoir un outil de calcul européen simple et gratuit, accompagné d’un manuel d’utilisation (les spécifications techniques de l’outil doivent être définies dans un acte d’exécution);</w:t>
      </w:r>
    </w:p>
    <w:p w14:paraId="7986FC52" w14:textId="180D6E2A" w:rsidR="00C31C7F" w:rsidRPr="007C2099" w:rsidRDefault="00F36D71" w:rsidP="00C31C7F">
      <w:pPr>
        <w:pStyle w:val="Bullet0"/>
        <w:rPr>
          <w:noProof/>
        </w:rPr>
      </w:pPr>
      <w:r w:rsidRPr="007C2099">
        <w:rPr>
          <w:noProof/>
        </w:rPr>
        <w:t>fixe des délais de mise en œuvre précis et raisonnables pour les bases de données, la conception de l’outil et les mesures d’assurance de la qualité, qui sont nécessaires afin que le règlement soit prêt à être mis en application;</w:t>
      </w:r>
    </w:p>
    <w:p w14:paraId="4A8ACF8C" w14:textId="24F43A66" w:rsidR="00C31C7F" w:rsidRPr="007C2099" w:rsidRDefault="00FF2DF5" w:rsidP="00E445A5">
      <w:pPr>
        <w:pStyle w:val="Bullet0"/>
        <w:rPr>
          <w:noProof/>
        </w:rPr>
      </w:pPr>
      <w:r w:rsidRPr="007C2099">
        <w:rPr>
          <w:noProof/>
        </w:rPr>
        <w:t>confère à la Commission le pouvoir d’adopter des actes d’exécution et des actes délégués conformément aux exigences énoncées aux articles 290 et 291 du TFUE;</w:t>
      </w:r>
    </w:p>
    <w:p w14:paraId="4A490E24" w14:textId="242C5DDF" w:rsidR="00C31C7F" w:rsidRPr="007C2099" w:rsidRDefault="00FF2DF5" w:rsidP="00C31C7F">
      <w:pPr>
        <w:pStyle w:val="Bullet0"/>
        <w:rPr>
          <w:noProof/>
        </w:rPr>
      </w:pPr>
      <w:r w:rsidRPr="007C2099">
        <w:rPr>
          <w:noProof/>
        </w:rPr>
        <w:t>reporte toute décision éventuelle concernant les extensions méthodologiques au titre d’une clause de réexamen, en confiant à la Commission la tâche d’évaluer l’évolution de la situation au niveau international et la faisabilité de ce type d’extensions quatre ans après l’entrée en application du règlement;</w:t>
      </w:r>
    </w:p>
    <w:p w14:paraId="121EAEEC" w14:textId="5519F74C" w:rsidR="00C31C7F" w:rsidRPr="007C2099" w:rsidRDefault="00FF2DF5" w:rsidP="000F554C">
      <w:pPr>
        <w:pStyle w:val="Bullet0"/>
        <w:rPr>
          <w:noProof/>
        </w:rPr>
      </w:pPr>
      <w:r w:rsidRPr="007C2099">
        <w:rPr>
          <w:noProof/>
        </w:rPr>
        <w:t>dispose que tout problème lié à l’accessibilité de la norme EN ISO 14083 est examiné par la Commission dans le cadre de l’évaluation du règlement.</w:t>
      </w:r>
    </w:p>
    <w:p w14:paraId="065FD901" w14:textId="77777777" w:rsidR="00F82C78" w:rsidRPr="007C2099" w:rsidRDefault="00F82C78" w:rsidP="001704B9">
      <w:pPr>
        <w:pStyle w:val="ManualHeading1"/>
        <w:rPr>
          <w:noProof/>
        </w:rPr>
      </w:pPr>
      <w:r w:rsidRPr="007C2099">
        <w:rPr>
          <w:noProof/>
        </w:rPr>
        <w:t>4.</w:t>
      </w:r>
      <w:r w:rsidRPr="007C2099">
        <w:rPr>
          <w:noProof/>
        </w:rPr>
        <w:tab/>
        <w:t>Conclusion</w:t>
      </w:r>
    </w:p>
    <w:p w14:paraId="2614ADA4" w14:textId="6030FCCB" w:rsidR="00217654" w:rsidRPr="007C2099" w:rsidRDefault="00721B4F" w:rsidP="001704B9">
      <w:pPr>
        <w:rPr>
          <w:noProof/>
        </w:rPr>
      </w:pPr>
      <w:r w:rsidRPr="007C2099">
        <w:rPr>
          <w:noProof/>
        </w:rPr>
        <w:t>La Commission se réjouit de l’issue des négociations interinstitutionnelles et peut donc accepter la position adoptée par le Conseil en première lecture.</w:t>
      </w:r>
    </w:p>
    <w:bookmarkEnd w:id="0"/>
    <w:p w14:paraId="08BBCEBD" w14:textId="77777777" w:rsidR="00AA3BD0" w:rsidRDefault="00AA3BD0" w:rsidP="001704B9">
      <w:pPr>
        <w:rPr>
          <w:noProof/>
        </w:rPr>
      </w:pPr>
    </w:p>
    <w:p w14:paraId="025641DA" w14:textId="37851D24" w:rsidR="00F82C78" w:rsidRPr="007C2099" w:rsidRDefault="00F82C78" w:rsidP="001704B9">
      <w:pPr>
        <w:rPr>
          <w:noProof/>
        </w:rPr>
      </w:pPr>
    </w:p>
    <w:sectPr w:rsidR="00F82C78" w:rsidRPr="007C2099" w:rsidSect="00AE0276">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CFFA6F4" w14:textId="77777777" w:rsidR="006A2919" w:rsidRDefault="006A2919" w:rsidP="00F82C78">
      <w:pPr>
        <w:spacing w:before="0" w:after="0"/>
      </w:pPr>
      <w:r>
        <w:separator/>
      </w:r>
    </w:p>
  </w:endnote>
  <w:endnote w:type="continuationSeparator" w:id="0">
    <w:p w14:paraId="4DB45CC1" w14:textId="77777777" w:rsidR="006A2919" w:rsidRDefault="006A2919" w:rsidP="00F82C78">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8221A0" w14:textId="3E2F8C25" w:rsidR="00AE0276" w:rsidRPr="00AE0276" w:rsidRDefault="00AE0276" w:rsidP="00AE0276">
    <w:pPr>
      <w:pStyle w:val="Footer"/>
      <w:rPr>
        <w:rFonts w:ascii="Arial" w:hAnsi="Arial" w:cs="Arial"/>
        <w:b/>
        <w:sz w:val="48"/>
      </w:rPr>
    </w:pPr>
    <w:r w:rsidRPr="00AE0276">
      <w:rPr>
        <w:rFonts w:ascii="Arial" w:hAnsi="Arial" w:cs="Arial"/>
        <w:b/>
        <w:sz w:val="48"/>
      </w:rPr>
      <w:t>FR</w:t>
    </w:r>
    <w:r w:rsidRPr="00AE0276">
      <w:rPr>
        <w:rFonts w:ascii="Arial" w:hAnsi="Arial" w:cs="Arial"/>
        <w:b/>
        <w:sz w:val="48"/>
      </w:rPr>
      <w:tab/>
    </w:r>
    <w:r w:rsidRPr="00AE0276">
      <w:rPr>
        <w:rFonts w:ascii="Arial" w:hAnsi="Arial" w:cs="Arial"/>
        <w:b/>
        <w:sz w:val="48"/>
      </w:rPr>
      <w:tab/>
    </w:r>
    <w:r w:rsidRPr="00AE0276">
      <w:tab/>
    </w:r>
    <w:r w:rsidRPr="00AE0276">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1FC8E4" w14:textId="6CF2F8E6" w:rsidR="00AE0276" w:rsidRPr="00AE0276" w:rsidRDefault="00AE0276" w:rsidP="00AE0276">
    <w:pPr>
      <w:pStyle w:val="Footer"/>
      <w:rPr>
        <w:rFonts w:ascii="Arial" w:hAnsi="Arial" w:cs="Arial"/>
        <w:b/>
        <w:sz w:val="48"/>
      </w:rPr>
    </w:pPr>
    <w:r w:rsidRPr="00AE0276">
      <w:rPr>
        <w:rFonts w:ascii="Arial" w:hAnsi="Arial" w:cs="Arial"/>
        <w:b/>
        <w:sz w:val="48"/>
      </w:rPr>
      <w:t>FR</w:t>
    </w:r>
    <w:r w:rsidRPr="00AE0276">
      <w:rPr>
        <w:rFonts w:ascii="Arial" w:hAnsi="Arial" w:cs="Arial"/>
        <w:b/>
        <w:sz w:val="48"/>
      </w:rPr>
      <w:tab/>
    </w:r>
    <w:r w:rsidRPr="00AE0276">
      <w:rPr>
        <w:rFonts w:ascii="Arial" w:hAnsi="Arial" w:cs="Arial"/>
        <w:b/>
        <w:sz w:val="48"/>
      </w:rPr>
      <w:tab/>
    </w:r>
    <w:r w:rsidRPr="00AE0276">
      <w:tab/>
    </w:r>
    <w:r w:rsidRPr="00AE0276">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BBBF32" w14:textId="77777777" w:rsidR="00AE0276" w:rsidRPr="00AE0276" w:rsidRDefault="00AE0276" w:rsidP="00AE0276">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A95D62" w14:textId="77777777" w:rsidR="00AE0276" w:rsidRDefault="00AE0276">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67A9AD" w14:textId="7B8A76E4" w:rsidR="00AE0276" w:rsidRPr="00AE0276" w:rsidRDefault="00AE0276" w:rsidP="00AE0276">
    <w:pPr>
      <w:pStyle w:val="Footer"/>
      <w:rPr>
        <w:rFonts w:ascii="Arial" w:hAnsi="Arial" w:cs="Arial"/>
        <w:b/>
        <w:sz w:val="48"/>
      </w:rPr>
    </w:pPr>
    <w:r w:rsidRPr="00AE0276">
      <w:rPr>
        <w:rFonts w:ascii="Arial" w:hAnsi="Arial" w:cs="Arial"/>
        <w:b/>
        <w:sz w:val="48"/>
      </w:rPr>
      <w:t>FR</w:t>
    </w:r>
    <w:r w:rsidRPr="00AE0276">
      <w:rPr>
        <w:rFonts w:ascii="Arial" w:hAnsi="Arial" w:cs="Arial"/>
        <w:b/>
        <w:sz w:val="48"/>
      </w:rPr>
      <w:tab/>
    </w:r>
    <w:r>
      <w:fldChar w:fldCharType="begin"/>
    </w:r>
    <w:r>
      <w:instrText xml:space="preserve"> PAGE  \* MERGEFORMAT </w:instrText>
    </w:r>
    <w:r>
      <w:fldChar w:fldCharType="separate"/>
    </w:r>
    <w:r w:rsidR="00AA3BD0">
      <w:rPr>
        <w:noProof/>
      </w:rPr>
      <w:t>2</w:t>
    </w:r>
    <w:r>
      <w:fldChar w:fldCharType="end"/>
    </w:r>
    <w:r>
      <w:tab/>
    </w:r>
    <w:r w:rsidRPr="00AE0276">
      <w:tab/>
    </w:r>
    <w:r w:rsidRPr="00AE0276">
      <w:rPr>
        <w:rFonts w:ascii="Arial" w:hAnsi="Arial" w:cs="Arial"/>
        <w:b/>
        <w:sz w:val="48"/>
      </w:rPr>
      <w:t>FR</w: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9CB124" w14:textId="77777777" w:rsidR="00AE0276" w:rsidRDefault="00AE0276" w:rsidP="00AE027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D9D7D4B" w14:textId="77777777" w:rsidR="006A2919" w:rsidRDefault="006A2919" w:rsidP="00F82C78">
      <w:pPr>
        <w:spacing w:before="0" w:after="0"/>
      </w:pPr>
      <w:r>
        <w:separator/>
      </w:r>
    </w:p>
  </w:footnote>
  <w:footnote w:type="continuationSeparator" w:id="0">
    <w:p w14:paraId="201C12E1" w14:textId="77777777" w:rsidR="006A2919" w:rsidRDefault="006A2919" w:rsidP="00F82C78">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6F717B" w14:textId="77777777" w:rsidR="00AE0276" w:rsidRPr="00AE0276" w:rsidRDefault="00AE0276" w:rsidP="00AE027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7309DE" w14:textId="77777777" w:rsidR="00AE0276" w:rsidRPr="00AE0276" w:rsidRDefault="00AE0276" w:rsidP="00AE027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8AD2F3" w14:textId="77777777" w:rsidR="00AE0276" w:rsidRPr="00AE0276" w:rsidRDefault="00AE0276" w:rsidP="00AE0276">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C37D80" w14:textId="77777777" w:rsidR="00AE0276" w:rsidRDefault="00AE0276">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661C74" w14:textId="77777777" w:rsidR="00AE0276" w:rsidRDefault="00AE027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BCAEDB38"/>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2CB2F822"/>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1332A880"/>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2A22A470"/>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90741E98"/>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4814ADEE"/>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239208B6"/>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751E8A68"/>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15"/>
    <w:lvlOverride w:ilvl="0">
      <w:startOverride w:val="1"/>
    </w:lvlOverride>
  </w:num>
  <w:num w:numId="10">
    <w:abstractNumId w:val="19"/>
  </w:num>
  <w:num w:numId="11">
    <w:abstractNumId w:val="12"/>
  </w:num>
  <w:num w:numId="12">
    <w:abstractNumId w:val="21"/>
  </w:num>
  <w:num w:numId="13">
    <w:abstractNumId w:val="11"/>
  </w:num>
  <w:num w:numId="14">
    <w:abstractNumId w:val="13"/>
  </w:num>
  <w:num w:numId="15">
    <w:abstractNumId w:val="14"/>
  </w:num>
  <w:num w:numId="16">
    <w:abstractNumId w:val="9"/>
  </w:num>
  <w:num w:numId="17">
    <w:abstractNumId w:val="20"/>
  </w:num>
  <w:num w:numId="18">
    <w:abstractNumId w:val="8"/>
  </w:num>
  <w:num w:numId="19">
    <w:abstractNumId w:val="15"/>
  </w:num>
  <w:num w:numId="20">
    <w:abstractNumId w:val="17"/>
  </w:num>
  <w:num w:numId="21">
    <w:abstractNumId w:val="18"/>
  </w:num>
  <w:num w:numId="22">
    <w:abstractNumId w:val="10"/>
  </w:num>
  <w:num w:numId="23">
    <w:abstractNumId w:val="16"/>
  </w:num>
  <w:num w:numId="24">
    <w:abstractNumId w:val="22"/>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2"/>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3-04 08:44:15"/>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EPKit_DocumentHasBeenSaved" w:val="true"/>
    <w:docVar w:name="LW_CORRIGENDUM" w:val="&lt;UNUSED&gt;"/>
    <w:docVar w:name="LW_COVERPAGE_EXISTS" w:val="True"/>
    <w:docVar w:name="LW_COVERPAGE_GUID" w:val="2C9F5556-4DA8-4BA0-9657-C7EF1B33FF76"/>
    <w:docVar w:name="LW_COVERPAGE_TYPE" w:val="1"/>
    <w:docVar w:name="LW_CreatedUtc" w:val="2025-04-29T09:31:20.6654942Z"/>
    <w:docVar w:name="LW_CROSSREFERENCE" w:val="&lt;UNUSED&gt;"/>
    <w:docVar w:name="LW_DocType" w:val="COM"/>
    <w:docVar w:name="LW_EMISSION" w:val="6.3.2026"/>
    <w:docVar w:name="LW_EMISSION_ISODATE" w:val="2026-03-06"/>
    <w:docVar w:name="LW_EMISSION_LOCATION" w:val="BRX"/>
    <w:docVar w:name="LW_EMISSION_PREFIX" w:val="Bruxelles, le "/>
    <w:docVar w:name="LW_EMISSION_SUFFIX" w:val=" "/>
    <w:docVar w:name="LW_ID_DOCMODEL" w:val="SJ-028"/>
    <w:docVar w:name="LW_ID_DOCSTRUCTURE" w:val="COM/PL/CODEC"/>
    <w:docVar w:name="LW_ID_DOCTYPE" w:val="SJ-028"/>
    <w:docVar w:name="LW_INTERETEEE.CP" w:val="(Texte présentant de l\u8217?intérêt pour l\u8217?EEE)"/>
    <w:docVar w:name="LW_LANGUE" w:val="FR"/>
    <w:docVar w:name="LW_LEVEL_OF_SENSITIVITY" w:val="Standard treatment"/>
    <w:docVar w:name="LW_NOM.INST" w:val="COMMISSION EUROPÉENNE"/>
    <w:docVar w:name="LW_NOM.INST_JOINTDOC" w:val="&lt;EMPTY&gt;"/>
    <w:docVar w:name="LW_PART_NBR" w:val="1"/>
    <w:docVar w:name="LW_PART_NBR_TOTAL" w:val="1"/>
    <w:docVar w:name="LW_REF.II.NEW.CP" w:val="COD"/>
    <w:docVar w:name="LW_REF.II.NEW.CP_NUMBER" w:val="0266"/>
    <w:docVar w:name="LW_REF.II.NEW.CP_YEAR" w:val="2023"/>
    <w:docVar w:name="LW_REF.INST.NEW" w:val="COM"/>
    <w:docVar w:name="LW_REF.INST.NEW_ADOPTED" w:val="final"/>
    <w:docVar w:name="LW_REF.INST.NEW_TEXT" w:val="(2026) 121"/>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position du Conseil relative à la proposition de règlement du Parlement européen et du Conseil sur la comptabilisation des émissions de gaz à effet de serre des services de transport (CountEmissions EU)"/>
    <w:docVar w:name="LW_TYPE.DOC.CP" w:val="COMMUNICATION DE LA COMMISSION AU PARLEMENT EUROPÉEN_x000b__x000b_conformément à l\u8217?article 294, paragraphe 6, du traité sur le fonctionnement de l\u8217?Union européenne_x000b__x000b_concernant la"/>
    <w:docVar w:name="LwApiVersions" w:val="LW4CoDe 1.24.5.0; LW 9.2, Build 20251112"/>
  </w:docVars>
  <w:rsids>
    <w:rsidRoot w:val="00F82C78"/>
    <w:rsid w:val="000021E1"/>
    <w:rsid w:val="0001751D"/>
    <w:rsid w:val="00044467"/>
    <w:rsid w:val="00073065"/>
    <w:rsid w:val="00073CA9"/>
    <w:rsid w:val="0007715D"/>
    <w:rsid w:val="00080AC3"/>
    <w:rsid w:val="00085C85"/>
    <w:rsid w:val="00094659"/>
    <w:rsid w:val="000C6D75"/>
    <w:rsid w:val="000C733F"/>
    <w:rsid w:val="000D0E02"/>
    <w:rsid w:val="000F0DAC"/>
    <w:rsid w:val="000F554C"/>
    <w:rsid w:val="000F599E"/>
    <w:rsid w:val="0010022A"/>
    <w:rsid w:val="001065F5"/>
    <w:rsid w:val="001238EF"/>
    <w:rsid w:val="00142CCE"/>
    <w:rsid w:val="00147CC6"/>
    <w:rsid w:val="00151BE8"/>
    <w:rsid w:val="001554A3"/>
    <w:rsid w:val="00155FB5"/>
    <w:rsid w:val="0019691D"/>
    <w:rsid w:val="00197613"/>
    <w:rsid w:val="001A5C44"/>
    <w:rsid w:val="001D720B"/>
    <w:rsid w:val="001E080D"/>
    <w:rsid w:val="001E3935"/>
    <w:rsid w:val="001E3D71"/>
    <w:rsid w:val="00201EA4"/>
    <w:rsid w:val="00215422"/>
    <w:rsid w:val="00217654"/>
    <w:rsid w:val="00222C37"/>
    <w:rsid w:val="00233DC7"/>
    <w:rsid w:val="00246445"/>
    <w:rsid w:val="00247779"/>
    <w:rsid w:val="002528CC"/>
    <w:rsid w:val="002653A5"/>
    <w:rsid w:val="002709A4"/>
    <w:rsid w:val="002717B1"/>
    <w:rsid w:val="00285BEE"/>
    <w:rsid w:val="002878AB"/>
    <w:rsid w:val="0029533F"/>
    <w:rsid w:val="002A14D5"/>
    <w:rsid w:val="002A386C"/>
    <w:rsid w:val="002A4323"/>
    <w:rsid w:val="002B30AF"/>
    <w:rsid w:val="002E05F5"/>
    <w:rsid w:val="002E2917"/>
    <w:rsid w:val="002E7716"/>
    <w:rsid w:val="002E7F4F"/>
    <w:rsid w:val="003015A0"/>
    <w:rsid w:val="0033344A"/>
    <w:rsid w:val="00345678"/>
    <w:rsid w:val="0035045B"/>
    <w:rsid w:val="00367856"/>
    <w:rsid w:val="00381EED"/>
    <w:rsid w:val="00392179"/>
    <w:rsid w:val="003B297E"/>
    <w:rsid w:val="003C1431"/>
    <w:rsid w:val="003C5E79"/>
    <w:rsid w:val="003F4357"/>
    <w:rsid w:val="004044A3"/>
    <w:rsid w:val="0040641E"/>
    <w:rsid w:val="00410145"/>
    <w:rsid w:val="004136D1"/>
    <w:rsid w:val="0042648E"/>
    <w:rsid w:val="00473B68"/>
    <w:rsid w:val="004936D2"/>
    <w:rsid w:val="004C1D9E"/>
    <w:rsid w:val="004E687C"/>
    <w:rsid w:val="004E71D3"/>
    <w:rsid w:val="004F7EA0"/>
    <w:rsid w:val="005026E7"/>
    <w:rsid w:val="00524AB9"/>
    <w:rsid w:val="00541E4E"/>
    <w:rsid w:val="00543667"/>
    <w:rsid w:val="00555604"/>
    <w:rsid w:val="00571A2E"/>
    <w:rsid w:val="00573DAF"/>
    <w:rsid w:val="00576987"/>
    <w:rsid w:val="0058377F"/>
    <w:rsid w:val="005B02CF"/>
    <w:rsid w:val="005B1EB6"/>
    <w:rsid w:val="005F3438"/>
    <w:rsid w:val="005F4A9F"/>
    <w:rsid w:val="005F5B12"/>
    <w:rsid w:val="00602849"/>
    <w:rsid w:val="00606786"/>
    <w:rsid w:val="006278C6"/>
    <w:rsid w:val="006404F8"/>
    <w:rsid w:val="006A2919"/>
    <w:rsid w:val="006C3DF2"/>
    <w:rsid w:val="006E5328"/>
    <w:rsid w:val="006F58F6"/>
    <w:rsid w:val="006F5B5C"/>
    <w:rsid w:val="0071156C"/>
    <w:rsid w:val="00714189"/>
    <w:rsid w:val="00721B4F"/>
    <w:rsid w:val="00725D5E"/>
    <w:rsid w:val="007305AB"/>
    <w:rsid w:val="00736CEA"/>
    <w:rsid w:val="007421FE"/>
    <w:rsid w:val="00773331"/>
    <w:rsid w:val="00776724"/>
    <w:rsid w:val="00783FEE"/>
    <w:rsid w:val="007932EF"/>
    <w:rsid w:val="00794F38"/>
    <w:rsid w:val="00795F59"/>
    <w:rsid w:val="007A7FDE"/>
    <w:rsid w:val="007B74BF"/>
    <w:rsid w:val="007C19C4"/>
    <w:rsid w:val="007C1E4E"/>
    <w:rsid w:val="007C2099"/>
    <w:rsid w:val="007E05B0"/>
    <w:rsid w:val="008054B9"/>
    <w:rsid w:val="008438C2"/>
    <w:rsid w:val="00844312"/>
    <w:rsid w:val="008578AB"/>
    <w:rsid w:val="00871FCA"/>
    <w:rsid w:val="008722D3"/>
    <w:rsid w:val="00874D22"/>
    <w:rsid w:val="00881BE0"/>
    <w:rsid w:val="00885D5A"/>
    <w:rsid w:val="00891CF1"/>
    <w:rsid w:val="008960D3"/>
    <w:rsid w:val="008A17D5"/>
    <w:rsid w:val="008A2914"/>
    <w:rsid w:val="008A2D0F"/>
    <w:rsid w:val="008A3B83"/>
    <w:rsid w:val="008B33FB"/>
    <w:rsid w:val="008C15A6"/>
    <w:rsid w:val="008C2F91"/>
    <w:rsid w:val="008C4CF7"/>
    <w:rsid w:val="008C64E6"/>
    <w:rsid w:val="008D06B2"/>
    <w:rsid w:val="008D29D9"/>
    <w:rsid w:val="008D7651"/>
    <w:rsid w:val="008E4D8E"/>
    <w:rsid w:val="00903A53"/>
    <w:rsid w:val="00916D36"/>
    <w:rsid w:val="00936016"/>
    <w:rsid w:val="00936ACA"/>
    <w:rsid w:val="009564E8"/>
    <w:rsid w:val="009A0DE4"/>
    <w:rsid w:val="009A666B"/>
    <w:rsid w:val="009B3D55"/>
    <w:rsid w:val="009D6F0D"/>
    <w:rsid w:val="009E0B08"/>
    <w:rsid w:val="00A050F2"/>
    <w:rsid w:val="00A1547A"/>
    <w:rsid w:val="00A65614"/>
    <w:rsid w:val="00A72730"/>
    <w:rsid w:val="00A83142"/>
    <w:rsid w:val="00AA3BD0"/>
    <w:rsid w:val="00AA4F5D"/>
    <w:rsid w:val="00AA7F88"/>
    <w:rsid w:val="00AE0276"/>
    <w:rsid w:val="00AE32BA"/>
    <w:rsid w:val="00B00AB5"/>
    <w:rsid w:val="00B05DB1"/>
    <w:rsid w:val="00B22062"/>
    <w:rsid w:val="00B67341"/>
    <w:rsid w:val="00B7705B"/>
    <w:rsid w:val="00BA627E"/>
    <w:rsid w:val="00BC3644"/>
    <w:rsid w:val="00BE5E71"/>
    <w:rsid w:val="00BE74C4"/>
    <w:rsid w:val="00C03ED7"/>
    <w:rsid w:val="00C12301"/>
    <w:rsid w:val="00C21839"/>
    <w:rsid w:val="00C2221D"/>
    <w:rsid w:val="00C275F0"/>
    <w:rsid w:val="00C30CE6"/>
    <w:rsid w:val="00C30D14"/>
    <w:rsid w:val="00C31C7F"/>
    <w:rsid w:val="00C5463A"/>
    <w:rsid w:val="00C61F7D"/>
    <w:rsid w:val="00C836E6"/>
    <w:rsid w:val="00C862EB"/>
    <w:rsid w:val="00C91830"/>
    <w:rsid w:val="00CE06A5"/>
    <w:rsid w:val="00CE6E27"/>
    <w:rsid w:val="00CE71E3"/>
    <w:rsid w:val="00D14435"/>
    <w:rsid w:val="00D14496"/>
    <w:rsid w:val="00D176CA"/>
    <w:rsid w:val="00D20381"/>
    <w:rsid w:val="00D21FB5"/>
    <w:rsid w:val="00D315E2"/>
    <w:rsid w:val="00D33E7F"/>
    <w:rsid w:val="00D42670"/>
    <w:rsid w:val="00D52500"/>
    <w:rsid w:val="00D53B76"/>
    <w:rsid w:val="00D75C0D"/>
    <w:rsid w:val="00D83413"/>
    <w:rsid w:val="00DB42FD"/>
    <w:rsid w:val="00DC34A4"/>
    <w:rsid w:val="00DC34E6"/>
    <w:rsid w:val="00DD1F71"/>
    <w:rsid w:val="00DD6E29"/>
    <w:rsid w:val="00E11524"/>
    <w:rsid w:val="00E20986"/>
    <w:rsid w:val="00E26A45"/>
    <w:rsid w:val="00E40762"/>
    <w:rsid w:val="00E445A5"/>
    <w:rsid w:val="00E5232B"/>
    <w:rsid w:val="00E62EAC"/>
    <w:rsid w:val="00E6677E"/>
    <w:rsid w:val="00E67980"/>
    <w:rsid w:val="00E941DD"/>
    <w:rsid w:val="00EC5BC9"/>
    <w:rsid w:val="00ED1922"/>
    <w:rsid w:val="00EE2C5D"/>
    <w:rsid w:val="00EF3B3B"/>
    <w:rsid w:val="00F32A9C"/>
    <w:rsid w:val="00F36D71"/>
    <w:rsid w:val="00F61863"/>
    <w:rsid w:val="00F619FC"/>
    <w:rsid w:val="00F64050"/>
    <w:rsid w:val="00F643CD"/>
    <w:rsid w:val="00F73A3E"/>
    <w:rsid w:val="00F75086"/>
    <w:rsid w:val="00F82C78"/>
    <w:rsid w:val="00F96F9C"/>
    <w:rsid w:val="00FA7BCB"/>
    <w:rsid w:val="00FB6448"/>
    <w:rsid w:val="00FC38F8"/>
    <w:rsid w:val="00FC6CE4"/>
    <w:rsid w:val="00FD0D98"/>
    <w:rsid w:val="00FE11AB"/>
    <w:rsid w:val="00FF0B6A"/>
    <w:rsid w:val="00FF2DF5"/>
    <w:rsid w:val="00FF33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2"/>
    </o:shapelayout>
  </w:shapeDefaults>
  <w:decimalSymbol w:val=","/>
  <w:listSeparator w:val=";"/>
  <w14:docId w14:val="1966B093"/>
  <w15:docId w15:val="{64A16D26-2DBA-43AE-A371-738649DC30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17"/>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7"/>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7"/>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7"/>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7"/>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7"/>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7"/>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rsid w:val="000F0DAC"/>
    <w:pPr>
      <w:numPr>
        <w:numId w:val="1"/>
      </w:numPr>
      <w:contextualSpacing/>
    </w:pPr>
  </w:style>
  <w:style w:type="paragraph" w:styleId="ListBullet2">
    <w:name w:val="List Bullet 2"/>
    <w:basedOn w:val="Normal"/>
    <w:uiPriority w:val="99"/>
    <w:semiHidden/>
    <w:unhideWhenUsed/>
    <w:rsid w:val="000F0DAC"/>
    <w:pPr>
      <w:numPr>
        <w:numId w:val="2"/>
      </w:numPr>
      <w:contextualSpacing/>
    </w:pPr>
  </w:style>
  <w:style w:type="paragraph" w:styleId="ListBullet3">
    <w:name w:val="List Bullet 3"/>
    <w:basedOn w:val="Normal"/>
    <w:uiPriority w:val="99"/>
    <w:semiHidden/>
    <w:unhideWhenUsed/>
    <w:rsid w:val="000F0DAC"/>
    <w:pPr>
      <w:numPr>
        <w:numId w:val="3"/>
      </w:numPr>
      <w:contextualSpacing/>
    </w:pPr>
  </w:style>
  <w:style w:type="paragraph" w:styleId="ListBullet4">
    <w:name w:val="List Bullet 4"/>
    <w:basedOn w:val="Normal"/>
    <w:uiPriority w:val="99"/>
    <w:semiHidden/>
    <w:unhideWhenUsed/>
    <w:rsid w:val="000F0DAC"/>
    <w:pPr>
      <w:numPr>
        <w:numId w:val="4"/>
      </w:numPr>
      <w:contextualSpacing/>
    </w:pPr>
  </w:style>
  <w:style w:type="paragraph" w:styleId="Caption">
    <w:name w:val="caption"/>
    <w:basedOn w:val="Normal"/>
    <w:next w:val="Normal"/>
    <w:uiPriority w:val="35"/>
    <w:semiHidden/>
    <w:unhideWhenUsed/>
    <w:qFormat/>
    <w:rsid w:val="001E080D"/>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1E080D"/>
    <w:pPr>
      <w:spacing w:after="0"/>
    </w:pPr>
  </w:style>
  <w:style w:type="paragraph" w:styleId="ListNumber">
    <w:name w:val="List Number"/>
    <w:basedOn w:val="Normal"/>
    <w:uiPriority w:val="99"/>
    <w:semiHidden/>
    <w:unhideWhenUsed/>
    <w:rsid w:val="001E080D"/>
    <w:pPr>
      <w:numPr>
        <w:numId w:val="5"/>
      </w:numPr>
      <w:contextualSpacing/>
    </w:pPr>
  </w:style>
  <w:style w:type="paragraph" w:styleId="ListNumber2">
    <w:name w:val="List Number 2"/>
    <w:basedOn w:val="Normal"/>
    <w:uiPriority w:val="99"/>
    <w:semiHidden/>
    <w:unhideWhenUsed/>
    <w:rsid w:val="001E080D"/>
    <w:pPr>
      <w:numPr>
        <w:numId w:val="6"/>
      </w:numPr>
      <w:contextualSpacing/>
    </w:pPr>
  </w:style>
  <w:style w:type="paragraph" w:styleId="ListNumber3">
    <w:name w:val="List Number 3"/>
    <w:basedOn w:val="Normal"/>
    <w:uiPriority w:val="99"/>
    <w:semiHidden/>
    <w:unhideWhenUsed/>
    <w:rsid w:val="001E080D"/>
    <w:pPr>
      <w:numPr>
        <w:numId w:val="7"/>
      </w:numPr>
      <w:contextualSpacing/>
    </w:pPr>
  </w:style>
  <w:style w:type="paragraph" w:styleId="ListNumber4">
    <w:name w:val="List Number 4"/>
    <w:basedOn w:val="Normal"/>
    <w:uiPriority w:val="99"/>
    <w:semiHidden/>
    <w:unhideWhenUsed/>
    <w:rsid w:val="001E080D"/>
    <w:pPr>
      <w:numPr>
        <w:numId w:val="8"/>
      </w:numPr>
      <w:contextualSpacing/>
    </w:pPr>
  </w:style>
  <w:style w:type="character" w:styleId="Hyperlink">
    <w:name w:val="Hyperlink"/>
    <w:basedOn w:val="DefaultParagraphFont"/>
    <w:uiPriority w:val="99"/>
    <w:unhideWhenUsed/>
    <w:rsid w:val="00936ACA"/>
    <w:rPr>
      <w:color w:val="0000FF" w:themeColor="hyperlink"/>
      <w:u w:val="single"/>
    </w:rPr>
  </w:style>
  <w:style w:type="character" w:styleId="CommentReference">
    <w:name w:val="annotation reference"/>
    <w:basedOn w:val="DefaultParagraphFont"/>
    <w:uiPriority w:val="99"/>
    <w:semiHidden/>
    <w:unhideWhenUsed/>
    <w:rsid w:val="00936ACA"/>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fr-FR"/>
    </w:rPr>
  </w:style>
  <w:style w:type="paragraph" w:styleId="CommentSubject">
    <w:name w:val="annotation subject"/>
    <w:basedOn w:val="CommentText"/>
    <w:next w:val="CommentText"/>
    <w:link w:val="CommentSubjectChar"/>
    <w:uiPriority w:val="99"/>
    <w:semiHidden/>
    <w:unhideWhenUsed/>
    <w:rsid w:val="000C6D75"/>
    <w:rPr>
      <w:b/>
      <w:bCs/>
    </w:rPr>
  </w:style>
  <w:style w:type="character" w:customStyle="1" w:styleId="CommentSubjectChar">
    <w:name w:val="Comment Subject Char"/>
    <w:basedOn w:val="CommentTextChar"/>
    <w:link w:val="CommentSubject"/>
    <w:uiPriority w:val="99"/>
    <w:semiHidden/>
    <w:rsid w:val="000C6D75"/>
    <w:rPr>
      <w:rFonts w:ascii="Times New Roman" w:hAnsi="Times New Roman" w:cs="Times New Roman"/>
      <w:b/>
      <w:bCs/>
      <w:sz w:val="20"/>
      <w:szCs w:val="20"/>
      <w:lang w:val="fr-FR"/>
    </w:rPr>
  </w:style>
  <w:style w:type="paragraph" w:styleId="Revision">
    <w:name w:val="Revision"/>
    <w:hidden/>
    <w:uiPriority w:val="99"/>
    <w:semiHidden/>
    <w:rsid w:val="00E20986"/>
    <w:pPr>
      <w:spacing w:after="0" w:line="240" w:lineRule="auto"/>
    </w:pPr>
    <w:rPr>
      <w:rFonts w:ascii="Times New Roman" w:hAnsi="Times New Roman" w:cs="Times New Roman"/>
      <w:sz w:val="24"/>
    </w:rPr>
  </w:style>
  <w:style w:type="character" w:customStyle="1" w:styleId="UnresolvedMention">
    <w:name w:val="Unresolved Mention"/>
    <w:basedOn w:val="DefaultParagraphFont"/>
    <w:uiPriority w:val="99"/>
    <w:semiHidden/>
    <w:unhideWhenUsed/>
    <w:rsid w:val="00C836E6"/>
    <w:rPr>
      <w:color w:val="605E5C"/>
      <w:shd w:val="clear" w:color="auto" w:fill="E1DFDD"/>
    </w:rPr>
  </w:style>
  <w:style w:type="paragraph" w:styleId="NormalWeb">
    <w:name w:val="Normal (Web)"/>
    <w:basedOn w:val="Normal"/>
    <w:uiPriority w:val="99"/>
    <w:semiHidden/>
    <w:unhideWhenUsed/>
    <w:rsid w:val="00E445A5"/>
    <w:rPr>
      <w:szCs w:val="24"/>
    </w:rPr>
  </w:style>
  <w:style w:type="character" w:customStyle="1" w:styleId="HeaderChar">
    <w:name w:val="Header Char"/>
    <w:basedOn w:val="DefaultParagraphFont"/>
    <w:link w:val="Header"/>
    <w:uiPriority w:val="99"/>
    <w:rsid w:val="00AE0276"/>
    <w:rPr>
      <w:rFonts w:ascii="Times New Roman" w:hAnsi="Times New Roman" w:cs="Times New Roman"/>
      <w:sz w:val="24"/>
      <w:lang w:val="fr-FR"/>
    </w:rPr>
  </w:style>
  <w:style w:type="character" w:customStyle="1" w:styleId="FooterChar">
    <w:name w:val="Footer Char"/>
    <w:basedOn w:val="DefaultParagraphFont"/>
    <w:link w:val="Footer"/>
    <w:uiPriority w:val="99"/>
    <w:rsid w:val="00AE0276"/>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fr-FR"/>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fr-FR"/>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fr-FR"/>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fr-FR"/>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fr-FR"/>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fr-FR"/>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fr-FR"/>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AE0276"/>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AE0276"/>
    <w:pPr>
      <w:spacing w:before="0"/>
      <w:jc w:val="right"/>
    </w:pPr>
    <w:rPr>
      <w:sz w:val="28"/>
    </w:rPr>
  </w:style>
  <w:style w:type="paragraph" w:customStyle="1" w:styleId="FooterSensitivity">
    <w:name w:val="Footer Sensitivity"/>
    <w:basedOn w:val="Normal"/>
    <w:rsid w:val="00AE0276"/>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10"/>
      </w:numPr>
    </w:pPr>
  </w:style>
  <w:style w:type="paragraph" w:customStyle="1" w:styleId="Tiret1">
    <w:name w:val="Tiret 1"/>
    <w:basedOn w:val="Point1"/>
    <w:pPr>
      <w:numPr>
        <w:numId w:val="11"/>
      </w:numPr>
    </w:pPr>
  </w:style>
  <w:style w:type="paragraph" w:customStyle="1" w:styleId="Tiret2">
    <w:name w:val="Tiret 2"/>
    <w:basedOn w:val="Point2"/>
    <w:pPr>
      <w:numPr>
        <w:numId w:val="12"/>
      </w:numPr>
    </w:pPr>
  </w:style>
  <w:style w:type="paragraph" w:customStyle="1" w:styleId="Tiret3">
    <w:name w:val="Tiret 3"/>
    <w:basedOn w:val="Point3"/>
    <w:pPr>
      <w:numPr>
        <w:numId w:val="13"/>
      </w:numPr>
    </w:pPr>
  </w:style>
  <w:style w:type="paragraph" w:customStyle="1" w:styleId="Tiret4">
    <w:name w:val="Tiret 4"/>
    <w:basedOn w:val="Point4"/>
    <w:pPr>
      <w:numPr>
        <w:numId w:val="14"/>
      </w:numPr>
    </w:pPr>
  </w:style>
  <w:style w:type="paragraph" w:customStyle="1" w:styleId="Tiret5">
    <w:name w:val="Tiret 5"/>
    <w:basedOn w:val="Point5"/>
    <w:pPr>
      <w:numPr>
        <w:numId w:val="15"/>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6"/>
      </w:numPr>
    </w:pPr>
  </w:style>
  <w:style w:type="paragraph" w:customStyle="1" w:styleId="NumPar2">
    <w:name w:val="NumPar 2"/>
    <w:basedOn w:val="Normal"/>
    <w:next w:val="Text1"/>
    <w:pPr>
      <w:numPr>
        <w:ilvl w:val="1"/>
        <w:numId w:val="16"/>
      </w:numPr>
    </w:pPr>
  </w:style>
  <w:style w:type="paragraph" w:customStyle="1" w:styleId="NumPar3">
    <w:name w:val="NumPar 3"/>
    <w:basedOn w:val="Normal"/>
    <w:next w:val="Text1"/>
    <w:pPr>
      <w:numPr>
        <w:ilvl w:val="2"/>
        <w:numId w:val="16"/>
      </w:numPr>
    </w:pPr>
  </w:style>
  <w:style w:type="paragraph" w:customStyle="1" w:styleId="NumPar4">
    <w:name w:val="NumPar 4"/>
    <w:basedOn w:val="Normal"/>
    <w:next w:val="Text1"/>
    <w:pPr>
      <w:numPr>
        <w:ilvl w:val="3"/>
        <w:numId w:val="16"/>
      </w:numPr>
    </w:pPr>
  </w:style>
  <w:style w:type="paragraph" w:customStyle="1" w:styleId="NumPar5">
    <w:name w:val="NumPar 5"/>
    <w:basedOn w:val="Normal"/>
    <w:next w:val="Text2"/>
    <w:pPr>
      <w:numPr>
        <w:ilvl w:val="4"/>
        <w:numId w:val="16"/>
      </w:numPr>
    </w:pPr>
  </w:style>
  <w:style w:type="paragraph" w:customStyle="1" w:styleId="NumPar6">
    <w:name w:val="NumPar 6"/>
    <w:basedOn w:val="Normal"/>
    <w:next w:val="Text2"/>
    <w:pPr>
      <w:numPr>
        <w:ilvl w:val="5"/>
        <w:numId w:val="16"/>
      </w:numPr>
    </w:pPr>
  </w:style>
  <w:style w:type="paragraph" w:customStyle="1" w:styleId="NumPar7">
    <w:name w:val="NumPar 7"/>
    <w:basedOn w:val="Normal"/>
    <w:next w:val="Text2"/>
    <w:pPr>
      <w:numPr>
        <w:ilvl w:val="6"/>
        <w:numId w:val="16"/>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8"/>
      </w:numPr>
    </w:pPr>
  </w:style>
  <w:style w:type="paragraph" w:customStyle="1" w:styleId="Point1number">
    <w:name w:val="Point 1 (number)"/>
    <w:basedOn w:val="Normal"/>
    <w:pPr>
      <w:numPr>
        <w:ilvl w:val="2"/>
        <w:numId w:val="18"/>
      </w:numPr>
    </w:pPr>
  </w:style>
  <w:style w:type="paragraph" w:customStyle="1" w:styleId="Point2number">
    <w:name w:val="Point 2 (number)"/>
    <w:basedOn w:val="Normal"/>
    <w:pPr>
      <w:numPr>
        <w:ilvl w:val="4"/>
        <w:numId w:val="18"/>
      </w:numPr>
    </w:pPr>
  </w:style>
  <w:style w:type="paragraph" w:customStyle="1" w:styleId="Point3number">
    <w:name w:val="Point 3 (number)"/>
    <w:basedOn w:val="Normal"/>
    <w:pPr>
      <w:numPr>
        <w:ilvl w:val="6"/>
        <w:numId w:val="18"/>
      </w:numPr>
    </w:pPr>
  </w:style>
  <w:style w:type="paragraph" w:customStyle="1" w:styleId="Point0letter">
    <w:name w:val="Point 0 (letter)"/>
    <w:basedOn w:val="Normal"/>
    <w:pPr>
      <w:numPr>
        <w:ilvl w:val="1"/>
        <w:numId w:val="18"/>
      </w:numPr>
    </w:pPr>
  </w:style>
  <w:style w:type="paragraph" w:customStyle="1" w:styleId="Point1letter">
    <w:name w:val="Point 1 (letter)"/>
    <w:basedOn w:val="Normal"/>
    <w:pPr>
      <w:numPr>
        <w:ilvl w:val="3"/>
        <w:numId w:val="18"/>
      </w:numPr>
    </w:pPr>
  </w:style>
  <w:style w:type="paragraph" w:customStyle="1" w:styleId="Point2letter">
    <w:name w:val="Point 2 (letter)"/>
    <w:basedOn w:val="Normal"/>
    <w:pPr>
      <w:numPr>
        <w:ilvl w:val="5"/>
        <w:numId w:val="18"/>
      </w:numPr>
    </w:pPr>
  </w:style>
  <w:style w:type="paragraph" w:customStyle="1" w:styleId="Point3letter">
    <w:name w:val="Point 3 (letter)"/>
    <w:basedOn w:val="Normal"/>
    <w:pPr>
      <w:numPr>
        <w:ilvl w:val="7"/>
        <w:numId w:val="18"/>
      </w:numPr>
    </w:pPr>
  </w:style>
  <w:style w:type="paragraph" w:customStyle="1" w:styleId="Point4letter">
    <w:name w:val="Point 4 (letter)"/>
    <w:basedOn w:val="Normal"/>
    <w:pPr>
      <w:numPr>
        <w:ilvl w:val="8"/>
        <w:numId w:val="18"/>
      </w:numPr>
    </w:pPr>
  </w:style>
  <w:style w:type="paragraph" w:customStyle="1" w:styleId="Bullet0">
    <w:name w:val="Bullet 0"/>
    <w:basedOn w:val="Normal"/>
    <w:pPr>
      <w:numPr>
        <w:numId w:val="19"/>
      </w:numPr>
    </w:pPr>
  </w:style>
  <w:style w:type="paragraph" w:customStyle="1" w:styleId="Bullet1">
    <w:name w:val="Bullet 1"/>
    <w:basedOn w:val="Normal"/>
    <w:pPr>
      <w:numPr>
        <w:numId w:val="20"/>
      </w:numPr>
    </w:pPr>
  </w:style>
  <w:style w:type="paragraph" w:customStyle="1" w:styleId="Bullet2">
    <w:name w:val="Bullet 2"/>
    <w:basedOn w:val="Normal"/>
    <w:pPr>
      <w:numPr>
        <w:numId w:val="21"/>
      </w:numPr>
    </w:pPr>
  </w:style>
  <w:style w:type="paragraph" w:customStyle="1" w:styleId="Bullet3">
    <w:name w:val="Bullet 3"/>
    <w:basedOn w:val="Normal"/>
    <w:pPr>
      <w:numPr>
        <w:numId w:val="22"/>
      </w:numPr>
    </w:pPr>
  </w:style>
  <w:style w:type="paragraph" w:customStyle="1" w:styleId="Bullet4">
    <w:name w:val="Bullet 4"/>
    <w:basedOn w:val="Normal"/>
    <w:pPr>
      <w:numPr>
        <w:numId w:val="23"/>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4"/>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AE0276"/>
    <w:pPr>
      <w:tabs>
        <w:tab w:val="center" w:pos="4535"/>
        <w:tab w:val="right" w:pos="9071"/>
      </w:tabs>
      <w:spacing w:before="0"/>
    </w:pPr>
  </w:style>
  <w:style w:type="paragraph" w:customStyle="1" w:styleId="HeaderLandscape">
    <w:name w:val="HeaderLandscape"/>
    <w:basedOn w:val="Normal"/>
    <w:rsid w:val="00AE0276"/>
    <w:pPr>
      <w:tabs>
        <w:tab w:val="center" w:pos="7285"/>
        <w:tab w:val="right" w:pos="14003"/>
      </w:tabs>
      <w:spacing w:before="0"/>
    </w:pPr>
  </w:style>
  <w:style w:type="paragraph" w:styleId="Footer">
    <w:name w:val="footer"/>
    <w:basedOn w:val="Normal"/>
    <w:link w:val="FooterChar"/>
    <w:uiPriority w:val="99"/>
    <w:unhideWhenUsed/>
    <w:rsid w:val="00AE0276"/>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AE0276"/>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4076646">
      <w:bodyDiv w:val="1"/>
      <w:marLeft w:val="0"/>
      <w:marRight w:val="0"/>
      <w:marTop w:val="0"/>
      <w:marBottom w:val="0"/>
      <w:divBdr>
        <w:top w:val="none" w:sz="0" w:space="0" w:color="auto"/>
        <w:left w:val="none" w:sz="0" w:space="0" w:color="auto"/>
        <w:bottom w:val="none" w:sz="0" w:space="0" w:color="auto"/>
        <w:right w:val="none" w:sz="0" w:space="0" w:color="auto"/>
      </w:divBdr>
    </w:div>
    <w:div w:id="300312837">
      <w:bodyDiv w:val="1"/>
      <w:marLeft w:val="0"/>
      <w:marRight w:val="0"/>
      <w:marTop w:val="0"/>
      <w:marBottom w:val="0"/>
      <w:divBdr>
        <w:top w:val="none" w:sz="0" w:space="0" w:color="auto"/>
        <w:left w:val="none" w:sz="0" w:space="0" w:color="auto"/>
        <w:bottom w:val="none" w:sz="0" w:space="0" w:color="auto"/>
        <w:right w:val="none" w:sz="0" w:space="0" w:color="auto"/>
      </w:divBdr>
    </w:div>
    <w:div w:id="310906299">
      <w:bodyDiv w:val="1"/>
      <w:marLeft w:val="0"/>
      <w:marRight w:val="0"/>
      <w:marTop w:val="0"/>
      <w:marBottom w:val="0"/>
      <w:divBdr>
        <w:top w:val="none" w:sz="0" w:space="0" w:color="auto"/>
        <w:left w:val="none" w:sz="0" w:space="0" w:color="auto"/>
        <w:bottom w:val="none" w:sz="0" w:space="0" w:color="auto"/>
        <w:right w:val="none" w:sz="0" w:space="0" w:color="auto"/>
      </w:divBdr>
    </w:div>
    <w:div w:id="594627925">
      <w:bodyDiv w:val="1"/>
      <w:marLeft w:val="0"/>
      <w:marRight w:val="0"/>
      <w:marTop w:val="0"/>
      <w:marBottom w:val="0"/>
      <w:divBdr>
        <w:top w:val="none" w:sz="0" w:space="0" w:color="auto"/>
        <w:left w:val="none" w:sz="0" w:space="0" w:color="auto"/>
        <w:bottom w:val="none" w:sz="0" w:space="0" w:color="auto"/>
        <w:right w:val="none" w:sz="0" w:space="0" w:color="auto"/>
      </w:divBdr>
    </w:div>
    <w:div w:id="608975573">
      <w:bodyDiv w:val="1"/>
      <w:marLeft w:val="0"/>
      <w:marRight w:val="0"/>
      <w:marTop w:val="0"/>
      <w:marBottom w:val="0"/>
      <w:divBdr>
        <w:top w:val="none" w:sz="0" w:space="0" w:color="auto"/>
        <w:left w:val="none" w:sz="0" w:space="0" w:color="auto"/>
        <w:bottom w:val="none" w:sz="0" w:space="0" w:color="auto"/>
        <w:right w:val="none" w:sz="0" w:space="0" w:color="auto"/>
      </w:divBdr>
    </w:div>
    <w:div w:id="723604411">
      <w:bodyDiv w:val="1"/>
      <w:marLeft w:val="0"/>
      <w:marRight w:val="0"/>
      <w:marTop w:val="0"/>
      <w:marBottom w:val="0"/>
      <w:divBdr>
        <w:top w:val="none" w:sz="0" w:space="0" w:color="auto"/>
        <w:left w:val="none" w:sz="0" w:space="0" w:color="auto"/>
        <w:bottom w:val="none" w:sz="0" w:space="0" w:color="auto"/>
        <w:right w:val="none" w:sz="0" w:space="0" w:color="auto"/>
      </w:divBdr>
    </w:div>
    <w:div w:id="843785278">
      <w:bodyDiv w:val="1"/>
      <w:marLeft w:val="0"/>
      <w:marRight w:val="0"/>
      <w:marTop w:val="0"/>
      <w:marBottom w:val="0"/>
      <w:divBdr>
        <w:top w:val="none" w:sz="0" w:space="0" w:color="auto"/>
        <w:left w:val="none" w:sz="0" w:space="0" w:color="auto"/>
        <w:bottom w:val="none" w:sz="0" w:space="0" w:color="auto"/>
        <w:right w:val="none" w:sz="0" w:space="0" w:color="auto"/>
      </w:divBdr>
    </w:div>
    <w:div w:id="925919091">
      <w:bodyDiv w:val="1"/>
      <w:marLeft w:val="0"/>
      <w:marRight w:val="0"/>
      <w:marTop w:val="0"/>
      <w:marBottom w:val="0"/>
      <w:divBdr>
        <w:top w:val="none" w:sz="0" w:space="0" w:color="auto"/>
        <w:left w:val="none" w:sz="0" w:space="0" w:color="auto"/>
        <w:bottom w:val="none" w:sz="0" w:space="0" w:color="auto"/>
        <w:right w:val="none" w:sz="0" w:space="0" w:color="auto"/>
      </w:divBdr>
    </w:div>
    <w:div w:id="1030951737">
      <w:bodyDiv w:val="1"/>
      <w:marLeft w:val="0"/>
      <w:marRight w:val="0"/>
      <w:marTop w:val="0"/>
      <w:marBottom w:val="0"/>
      <w:divBdr>
        <w:top w:val="none" w:sz="0" w:space="0" w:color="auto"/>
        <w:left w:val="none" w:sz="0" w:space="0" w:color="auto"/>
        <w:bottom w:val="none" w:sz="0" w:space="0" w:color="auto"/>
        <w:right w:val="none" w:sz="0" w:space="0" w:color="auto"/>
      </w:divBdr>
    </w:div>
    <w:div w:id="1854026605">
      <w:bodyDiv w:val="1"/>
      <w:marLeft w:val="0"/>
      <w:marRight w:val="0"/>
      <w:marTop w:val="0"/>
      <w:marBottom w:val="0"/>
      <w:divBdr>
        <w:top w:val="none" w:sz="0" w:space="0" w:color="auto"/>
        <w:left w:val="none" w:sz="0" w:space="0" w:color="auto"/>
        <w:bottom w:val="none" w:sz="0" w:space="0" w:color="auto"/>
        <w:right w:val="none" w:sz="0" w:space="0" w:color="auto"/>
      </w:divBdr>
    </w:div>
    <w:div w:id="2091851711">
      <w:bodyDiv w:val="1"/>
      <w:marLeft w:val="0"/>
      <w:marRight w:val="0"/>
      <w:marTop w:val="0"/>
      <w:marBottom w:val="0"/>
      <w:divBdr>
        <w:top w:val="none" w:sz="0" w:space="0" w:color="auto"/>
        <w:left w:val="none" w:sz="0" w:space="0" w:color="auto"/>
        <w:bottom w:val="none" w:sz="0" w:space="0" w:color="auto"/>
        <w:right w:val="none" w:sz="0" w:space="0" w:color="auto"/>
      </w:divBdr>
    </w:div>
    <w:div w:id="21353226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header" Target="header3.xml"/><Relationship Id="rId17" Type="http://schemas.openxmlformats.org/officeDocument/2006/relationships/header" Target="header5.xml"/><Relationship Id="rId2" Type="http://schemas.openxmlformats.org/officeDocument/2006/relationships/styles" Target="styles.xml"/><Relationship Id="rId16" Type="http://schemas.openxmlformats.org/officeDocument/2006/relationships/footer" Target="footer5.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footer" Target="footer4.xm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COM.dotm</Template>
  <TotalTime>7</TotalTime>
  <Pages>3</Pages>
  <Words>588</Words>
  <Characters>3357</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23</cp:revision>
  <dcterms:created xsi:type="dcterms:W3CDTF">2026-03-03T10:20:00Z</dcterms:created>
  <dcterms:modified xsi:type="dcterms:W3CDTF">2026-03-04T07:44:00Z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COM/PL/CODEC</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9.1, Build 20240808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SJ-028</vt:lpwstr>
  </property>
  <property fmtid="{D5CDD505-2E9C-101B-9397-08002B2CF9AE}" pid="10" name="MSIP_Label_6bd9ddd1-4d20-43f6-abfa-fc3c07406f94_Enabled">
    <vt:lpwstr>true</vt:lpwstr>
  </property>
  <property fmtid="{D5CDD505-2E9C-101B-9397-08002B2CF9AE}" pid="11" name="MSIP_Label_6bd9ddd1-4d20-43f6-abfa-fc3c07406f94_SetDate">
    <vt:lpwstr>2025-04-29T10:12:55Z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27f8e65b-ea4d-4c4b-92b0-9d342f7222b6</vt:lpwstr>
  </property>
  <property fmtid="{D5CDD505-2E9C-101B-9397-08002B2CF9AE}" pid="16" name="MSIP_Label_6bd9ddd1-4d20-43f6-abfa-fc3c07406f94_ContentBits">
    <vt:lpwstr>0</vt:lpwstr>
  </property>
  <property fmtid="{D5CDD505-2E9C-101B-9397-08002B2CF9AE}" pid="17" name="DQCStatus">
    <vt:lpwstr>Green (DQC version 03)</vt:lpwstr>
  </property>
</Properties>
</file>