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C71B7" w14:textId="4AA8A24E" w:rsidR="006F74FD" w:rsidRDefault="00A26F6C" w:rsidP="00A26F6C">
      <w:pPr>
        <w:pStyle w:val="Pagedecouverture"/>
        <w:rPr>
          <w:noProof/>
        </w:rPr>
      </w:pPr>
      <w:r>
        <w:rPr>
          <w:noProof/>
        </w:rPr>
        <w:pict w14:anchorId="5FED2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815497-75D8-4609-BEB4-3923396624BE" style="width:455.25pt;height:381.75pt">
            <v:imagedata r:id="rId10" o:title=""/>
          </v:shape>
        </w:pict>
      </w:r>
    </w:p>
    <w:p w14:paraId="0C7337F9" w14:textId="77777777" w:rsidR="005D7F0B" w:rsidRDefault="005D7F0B">
      <w:pPr>
        <w:rPr>
          <w:noProof/>
        </w:rPr>
        <w:sectPr w:rsidR="005D7F0B" w:rsidSect="00A26F6C">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3B3711AA" w14:textId="77777777" w:rsidR="005D7F0B" w:rsidRDefault="000C62D9">
      <w:pPr>
        <w:pStyle w:val="Annexetitre"/>
        <w:rPr>
          <w:noProof/>
        </w:rPr>
      </w:pPr>
      <w:bookmarkStart w:id="0" w:name="_GoBack"/>
      <w:bookmarkEnd w:id="0"/>
      <w:r>
        <w:rPr>
          <w:noProof/>
        </w:rPr>
        <w:lastRenderedPageBreak/>
        <w:t>Annex</w:t>
      </w:r>
    </w:p>
    <w:p w14:paraId="4AAD882A" w14:textId="77777777" w:rsidR="005D7F0B" w:rsidRDefault="005D7F0B">
      <w:pPr>
        <w:pStyle w:val="NormalCentered"/>
        <w:rPr>
          <w:noProof/>
        </w:rPr>
      </w:pPr>
    </w:p>
    <w:p w14:paraId="7E4D9230" w14:textId="77777777" w:rsidR="005D7F0B" w:rsidRDefault="000C62D9">
      <w:pPr>
        <w:pStyle w:val="NumPar1"/>
        <w:numPr>
          <w:ilvl w:val="0"/>
          <w:numId w:val="36"/>
        </w:numPr>
        <w:rPr>
          <w:noProof/>
        </w:rPr>
      </w:pPr>
      <w:r>
        <w:rPr>
          <w:noProof/>
        </w:rPr>
        <w:t>Introduction</w:t>
      </w:r>
    </w:p>
    <w:p w14:paraId="00EE40F7" w14:textId="78E1F188" w:rsidR="005D7F0B" w:rsidRDefault="000C62D9">
      <w:pPr>
        <w:pStyle w:val="Text1"/>
        <w:rPr>
          <w:noProof/>
        </w:rPr>
      </w:pPr>
      <w:r>
        <w:rPr>
          <w:noProof/>
        </w:rPr>
        <w:t xml:space="preserve">The </w:t>
      </w:r>
      <w:r w:rsidR="00A61600">
        <w:rPr>
          <w:noProof/>
        </w:rPr>
        <w:t>third</w:t>
      </w:r>
      <w:r>
        <w:rPr>
          <w:noProof/>
        </w:rPr>
        <w:t xml:space="preserve"> session of the Supervisory Authority of the Protocol to the Convention on International Interests in Mobile Equipment on Matters Specific to Railway Rolling Stock adopted in Luxembourg on 23 February 2007 </w:t>
      </w:r>
      <w:r w:rsidRPr="000C62D9">
        <w:rPr>
          <w:noProof/>
        </w:rPr>
        <w:t xml:space="preserve">(‘Luxembourg Protocol’) </w:t>
      </w:r>
      <w:r>
        <w:rPr>
          <w:noProof/>
        </w:rPr>
        <w:t>will take place on</w:t>
      </w:r>
      <w:r w:rsidR="00781270">
        <w:rPr>
          <w:noProof/>
        </w:rPr>
        <w:t xml:space="preserve"> </w:t>
      </w:r>
      <w:r w:rsidR="00A61600">
        <w:rPr>
          <w:noProof/>
        </w:rPr>
        <w:t>14</w:t>
      </w:r>
      <w:r w:rsidR="00781270">
        <w:rPr>
          <w:noProof/>
        </w:rPr>
        <w:t xml:space="preserve"> </w:t>
      </w:r>
      <w:r>
        <w:rPr>
          <w:noProof/>
        </w:rPr>
        <w:t>Apri</w:t>
      </w:r>
      <w:r w:rsidR="00781270">
        <w:rPr>
          <w:noProof/>
        </w:rPr>
        <w:t>l</w:t>
      </w:r>
      <w:r>
        <w:rPr>
          <w:noProof/>
        </w:rPr>
        <w:t xml:space="preserve"> 202</w:t>
      </w:r>
      <w:r w:rsidR="002F16CF">
        <w:rPr>
          <w:noProof/>
        </w:rPr>
        <w:t>6</w:t>
      </w:r>
      <w:r>
        <w:rPr>
          <w:noProof/>
        </w:rPr>
        <w:t>.</w:t>
      </w:r>
    </w:p>
    <w:p w14:paraId="4F3EEB38" w14:textId="43B23921" w:rsidR="005D7F0B" w:rsidRDefault="000C62D9">
      <w:pPr>
        <w:pStyle w:val="NumPar1"/>
        <w:rPr>
          <w:noProof/>
        </w:rPr>
      </w:pPr>
      <w:r>
        <w:rPr>
          <w:noProof/>
        </w:rPr>
        <w:t>Union Competence</w:t>
      </w:r>
    </w:p>
    <w:p w14:paraId="3BD2929F" w14:textId="06A8F0EA" w:rsidR="005D7F0B" w:rsidRDefault="000C62D9">
      <w:pPr>
        <w:pStyle w:val="Text1"/>
        <w:rPr>
          <w:noProof/>
        </w:rPr>
      </w:pPr>
      <w:r>
        <w:rPr>
          <w:noProof/>
        </w:rPr>
        <w:t xml:space="preserve">The European Union is a contracting party to the Luxembourg Protocol. The Union has exclusive competence in respect of this meeting’s agenda items where the Supervisory Authority will be called upon to adopt acts having legal effects within the meaning of </w:t>
      </w:r>
      <w:r w:rsidRPr="009464CA">
        <w:rPr>
          <w:noProof/>
        </w:rPr>
        <w:t xml:space="preserve">Article 218(9) </w:t>
      </w:r>
      <w:r>
        <w:rPr>
          <w:noProof/>
        </w:rPr>
        <w:t xml:space="preserve">of the Treaty on the Functioning of the European </w:t>
      </w:r>
      <w:r w:rsidRPr="000F4869">
        <w:rPr>
          <w:noProof/>
        </w:rPr>
        <w:t xml:space="preserve">Union (TFEU) – namely Agenda Items </w:t>
      </w:r>
      <w:r w:rsidR="00781270" w:rsidRPr="000F4869">
        <w:rPr>
          <w:noProof/>
        </w:rPr>
        <w:t>9</w:t>
      </w:r>
      <w:r w:rsidRPr="000F4869">
        <w:rPr>
          <w:noProof/>
        </w:rPr>
        <w:t xml:space="preserve"> and </w:t>
      </w:r>
      <w:r w:rsidR="000F4869" w:rsidRPr="000F4869">
        <w:rPr>
          <w:noProof/>
        </w:rPr>
        <w:t>10</w:t>
      </w:r>
      <w:r w:rsidRPr="000F4869">
        <w:rPr>
          <w:noProof/>
        </w:rPr>
        <w:t>.</w:t>
      </w:r>
    </w:p>
    <w:p w14:paraId="184FA373" w14:textId="66A4A16E" w:rsidR="005D7F0B" w:rsidRPr="000F4869" w:rsidRDefault="000C62D9">
      <w:pPr>
        <w:pStyle w:val="NumPar1"/>
        <w:rPr>
          <w:noProof/>
        </w:rPr>
      </w:pPr>
      <w:r w:rsidRPr="000F4869">
        <w:rPr>
          <w:noProof/>
        </w:rPr>
        <w:t xml:space="preserve">Comments on agenda items of the </w:t>
      </w:r>
      <w:r w:rsidR="000F4869">
        <w:rPr>
          <w:noProof/>
        </w:rPr>
        <w:t>third</w:t>
      </w:r>
      <w:r w:rsidRPr="000F4869">
        <w:rPr>
          <w:noProof/>
        </w:rPr>
        <w:t xml:space="preserve"> session of the Supervisory Authority</w:t>
      </w:r>
    </w:p>
    <w:p w14:paraId="423E2368" w14:textId="22A30D79" w:rsidR="005D7F0B" w:rsidRDefault="000C62D9">
      <w:pPr>
        <w:pStyle w:val="Text1"/>
        <w:rPr>
          <w:noProof/>
        </w:rPr>
      </w:pPr>
      <w:r w:rsidRPr="000F4869">
        <w:rPr>
          <w:noProof/>
        </w:rPr>
        <w:t xml:space="preserve">Agenda Item </w:t>
      </w:r>
      <w:r w:rsidR="0028755F" w:rsidRPr="0028755F">
        <w:rPr>
          <w:noProof/>
        </w:rPr>
        <w:t>9. Model Rules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0"/>
        <w:gridCol w:w="3700"/>
      </w:tblGrid>
      <w:tr w:rsidR="005D7F0B" w:rsidRPr="00737F58" w14:paraId="4585DB2A" w14:textId="77777777">
        <w:trPr>
          <w:jc w:val="center"/>
        </w:trPr>
        <w:tc>
          <w:tcPr>
            <w:tcW w:w="3700" w:type="dxa"/>
          </w:tcPr>
          <w:p w14:paraId="64E12233" w14:textId="77777777" w:rsidR="005D7F0B" w:rsidRDefault="000C62D9">
            <w:pPr>
              <w:rPr>
                <w:noProof/>
              </w:rPr>
            </w:pPr>
            <w:r>
              <w:rPr>
                <w:noProof/>
              </w:rPr>
              <w:t>Document(s)</w:t>
            </w:r>
          </w:p>
        </w:tc>
        <w:tc>
          <w:tcPr>
            <w:tcW w:w="3700" w:type="dxa"/>
          </w:tcPr>
          <w:p w14:paraId="2BE9DB11" w14:textId="69D81113" w:rsidR="005D7F0B" w:rsidRPr="00603DEB" w:rsidRDefault="00603DEB">
            <w:pPr>
              <w:rPr>
                <w:noProof/>
                <w:lang w:val="fr-BE"/>
              </w:rPr>
            </w:pPr>
            <w:r w:rsidRPr="00603DEB">
              <w:rPr>
                <w:noProof/>
                <w:lang w:val="fr-BE"/>
              </w:rPr>
              <w:t>LUX-26011-SA3-09-Model Rules</w:t>
            </w:r>
            <w:r w:rsidR="00144A7D" w:rsidRPr="00603DEB">
              <w:rPr>
                <w:i/>
                <w:iCs/>
                <w:noProof/>
                <w:lang w:val="fr-BE"/>
              </w:rPr>
              <w:t>.pdf</w:t>
            </w:r>
          </w:p>
        </w:tc>
      </w:tr>
      <w:tr w:rsidR="005D7F0B" w14:paraId="09AA0EBA" w14:textId="77777777">
        <w:trPr>
          <w:jc w:val="center"/>
        </w:trPr>
        <w:tc>
          <w:tcPr>
            <w:tcW w:w="3700" w:type="dxa"/>
          </w:tcPr>
          <w:p w14:paraId="3B35B8BE" w14:textId="77777777" w:rsidR="005D7F0B" w:rsidRDefault="000C62D9">
            <w:pPr>
              <w:rPr>
                <w:noProof/>
              </w:rPr>
            </w:pPr>
            <w:r>
              <w:rPr>
                <w:noProof/>
              </w:rPr>
              <w:t>Exercise of voting rights</w:t>
            </w:r>
          </w:p>
        </w:tc>
        <w:tc>
          <w:tcPr>
            <w:tcW w:w="3700" w:type="dxa"/>
          </w:tcPr>
          <w:p w14:paraId="16FD2CBD" w14:textId="77777777" w:rsidR="005D7F0B" w:rsidRDefault="000C62D9">
            <w:pPr>
              <w:rPr>
                <w:noProof/>
              </w:rPr>
            </w:pPr>
            <w:r>
              <w:rPr>
                <w:noProof/>
              </w:rPr>
              <w:t>European Union</w:t>
            </w:r>
          </w:p>
        </w:tc>
      </w:tr>
      <w:tr w:rsidR="005D7F0B" w14:paraId="69184059" w14:textId="77777777">
        <w:trPr>
          <w:jc w:val="center"/>
        </w:trPr>
        <w:tc>
          <w:tcPr>
            <w:tcW w:w="3700" w:type="dxa"/>
          </w:tcPr>
          <w:p w14:paraId="5C03B4A9" w14:textId="77777777" w:rsidR="005D7F0B" w:rsidRDefault="000C62D9">
            <w:pPr>
              <w:rPr>
                <w:noProof/>
              </w:rPr>
            </w:pPr>
            <w:r>
              <w:rPr>
                <w:noProof/>
              </w:rPr>
              <w:t>Position</w:t>
            </w:r>
          </w:p>
        </w:tc>
        <w:tc>
          <w:tcPr>
            <w:tcW w:w="3700" w:type="dxa"/>
          </w:tcPr>
          <w:p w14:paraId="16B0BBD1" w14:textId="77777777" w:rsidR="002F16CF" w:rsidRDefault="004B227E" w:rsidP="004B227E">
            <w:pPr>
              <w:jc w:val="left"/>
              <w:rPr>
                <w:i/>
                <w:iCs/>
                <w:noProof/>
              </w:rPr>
            </w:pPr>
            <w:r>
              <w:rPr>
                <w:noProof/>
              </w:rPr>
              <w:t>To c</w:t>
            </w:r>
            <w:r w:rsidR="00F2768B">
              <w:rPr>
                <w:noProof/>
              </w:rPr>
              <w:t>hange the decision to be taken by the Supervisory Authority to</w:t>
            </w:r>
            <w:r w:rsidR="002F16CF">
              <w:rPr>
                <w:noProof/>
              </w:rPr>
              <w:t>:</w:t>
            </w:r>
            <w:r w:rsidR="00E01631">
              <w:rPr>
                <w:noProof/>
              </w:rPr>
              <w:t xml:space="preserve"> ‘</w:t>
            </w:r>
            <w:r w:rsidR="002F16CF">
              <w:rPr>
                <w:i/>
                <w:iCs/>
                <w:noProof/>
              </w:rPr>
              <w:t>The Supervisory Authority:</w:t>
            </w:r>
          </w:p>
          <w:p w14:paraId="2E13657A" w14:textId="5AD71F2E" w:rsidR="002F16CF" w:rsidRDefault="002F16CF" w:rsidP="002F16CF">
            <w:pPr>
              <w:jc w:val="left"/>
              <w:rPr>
                <w:i/>
                <w:iCs/>
                <w:noProof/>
              </w:rPr>
            </w:pPr>
            <w:r>
              <w:rPr>
                <w:i/>
                <w:iCs/>
                <w:noProof/>
              </w:rPr>
              <w:t xml:space="preserve">- </w:t>
            </w:r>
            <w:r w:rsidR="00E01631" w:rsidRPr="006F7CED">
              <w:rPr>
                <w:i/>
                <w:iCs/>
                <w:noProof/>
              </w:rPr>
              <w:t>notes the modifications to the Model Rules on the Permanent Identification of Railway</w:t>
            </w:r>
            <w:r w:rsidR="004742B5" w:rsidRPr="006F7CED">
              <w:rPr>
                <w:i/>
                <w:iCs/>
                <w:noProof/>
              </w:rPr>
              <w:t xml:space="preserve"> </w:t>
            </w:r>
            <w:r w:rsidR="00E01631" w:rsidRPr="006F7CED">
              <w:rPr>
                <w:i/>
                <w:iCs/>
                <w:noProof/>
              </w:rPr>
              <w:t xml:space="preserve">Rolling Stock </w:t>
            </w:r>
            <w:r w:rsidR="004742B5" w:rsidRPr="006F7CED">
              <w:rPr>
                <w:i/>
                <w:iCs/>
                <w:noProof/>
              </w:rPr>
              <w:t>(R</w:t>
            </w:r>
            <w:r w:rsidR="00E01631" w:rsidRPr="006F7CED">
              <w:rPr>
                <w:i/>
                <w:iCs/>
                <w:noProof/>
              </w:rPr>
              <w:t>evision 3</w:t>
            </w:r>
            <w:r w:rsidR="004742B5" w:rsidRPr="006F7CED">
              <w:rPr>
                <w:i/>
                <w:iCs/>
                <w:noProof/>
              </w:rPr>
              <w:t>)</w:t>
            </w:r>
            <w:r>
              <w:rPr>
                <w:i/>
                <w:iCs/>
                <w:noProof/>
              </w:rPr>
              <w:t xml:space="preserve"> discussed at the third session of </w:t>
            </w:r>
            <w:r w:rsidRPr="002F16CF">
              <w:rPr>
                <w:i/>
                <w:iCs/>
                <w:noProof/>
                <w:lang w:val="en-IE"/>
              </w:rPr>
              <w:t>the Revision Committee to the Model Rules for the Permanent Identification of Railway Rolling Stock</w:t>
            </w:r>
            <w:r>
              <w:rPr>
                <w:i/>
                <w:iCs/>
                <w:noProof/>
                <w:lang w:val="en-IE"/>
              </w:rPr>
              <w:t>, held in September 2025</w:t>
            </w:r>
            <w:r>
              <w:rPr>
                <w:i/>
                <w:iCs/>
                <w:noProof/>
              </w:rPr>
              <w:t>;</w:t>
            </w:r>
            <w:r w:rsidR="00DC0C11" w:rsidRPr="00DC0C11">
              <w:rPr>
                <w:noProof/>
              </w:rPr>
              <w:t>’</w:t>
            </w:r>
          </w:p>
          <w:p w14:paraId="295D04AB" w14:textId="76CD3983" w:rsidR="00600415" w:rsidRPr="00DC0C11" w:rsidRDefault="00600415" w:rsidP="002F16CF">
            <w:pPr>
              <w:jc w:val="left"/>
              <w:rPr>
                <w:noProof/>
              </w:rPr>
            </w:pPr>
            <w:r w:rsidRPr="00600415">
              <w:rPr>
                <w:noProof/>
              </w:rPr>
              <w:t>If the Model Rules do not enter into force until the third session of the Supervisory Authority takes place:</w:t>
            </w:r>
          </w:p>
          <w:p w14:paraId="38EAF48B" w14:textId="5EB25FC2" w:rsidR="002F16CF" w:rsidRDefault="00DC0C11" w:rsidP="002F16CF">
            <w:pPr>
              <w:jc w:val="left"/>
              <w:rPr>
                <w:i/>
                <w:iCs/>
                <w:noProof/>
                <w:lang w:val="en-IE"/>
              </w:rPr>
            </w:pPr>
            <w:r w:rsidRPr="00DC0C11">
              <w:rPr>
                <w:noProof/>
              </w:rPr>
              <w:t>‘</w:t>
            </w:r>
            <w:r w:rsidR="002F16CF">
              <w:rPr>
                <w:i/>
                <w:iCs/>
                <w:noProof/>
              </w:rPr>
              <w:t>- notes</w:t>
            </w:r>
            <w:r w:rsidR="004742B5" w:rsidRPr="006F7CED">
              <w:rPr>
                <w:i/>
                <w:iCs/>
                <w:noProof/>
              </w:rPr>
              <w:t xml:space="preserve"> </w:t>
            </w:r>
            <w:r w:rsidR="002F16CF">
              <w:rPr>
                <w:i/>
                <w:iCs/>
                <w:noProof/>
              </w:rPr>
              <w:t xml:space="preserve">that the modifications </w:t>
            </w:r>
            <w:r w:rsidR="00E01631" w:rsidRPr="006F7CED">
              <w:rPr>
                <w:i/>
                <w:iCs/>
                <w:noProof/>
              </w:rPr>
              <w:t>of those Model Rules</w:t>
            </w:r>
            <w:r w:rsidR="002F16CF">
              <w:rPr>
                <w:i/>
                <w:iCs/>
                <w:noProof/>
              </w:rPr>
              <w:t xml:space="preserve"> </w:t>
            </w:r>
            <w:r w:rsidR="002F16CF" w:rsidRPr="002F16CF">
              <w:rPr>
                <w:i/>
                <w:iCs/>
                <w:noProof/>
                <w:lang w:val="en-IE"/>
              </w:rPr>
              <w:t>should only enter into force at the time of publication of the report of the seventy-ninth session the United Nations Economic Commission for Europe (UNECE) SC.2 Working Party on Rail Transport</w:t>
            </w:r>
            <w:r w:rsidR="002F16CF">
              <w:rPr>
                <w:i/>
                <w:iCs/>
                <w:noProof/>
                <w:lang w:val="en-IE"/>
              </w:rPr>
              <w:t>;</w:t>
            </w:r>
          </w:p>
          <w:p w14:paraId="537DAE8A" w14:textId="77777777" w:rsidR="005D7F0B" w:rsidRDefault="002F16CF" w:rsidP="002F16CF">
            <w:pPr>
              <w:jc w:val="left"/>
              <w:rPr>
                <w:noProof/>
              </w:rPr>
            </w:pPr>
            <w:r>
              <w:rPr>
                <w:i/>
                <w:iCs/>
                <w:noProof/>
                <w:lang w:val="en-IE"/>
              </w:rPr>
              <w:t>-</w:t>
            </w:r>
            <w:r w:rsidR="004742B5" w:rsidRPr="006F7CED">
              <w:rPr>
                <w:i/>
                <w:iCs/>
                <w:noProof/>
              </w:rPr>
              <w:t xml:space="preserve"> </w:t>
            </w:r>
            <w:r w:rsidR="004B227E" w:rsidRPr="004B227E">
              <w:rPr>
                <w:i/>
                <w:iCs/>
                <w:noProof/>
              </w:rPr>
              <w:t>postpone</w:t>
            </w:r>
            <w:r>
              <w:rPr>
                <w:i/>
                <w:iCs/>
                <w:noProof/>
              </w:rPr>
              <w:t>s</w:t>
            </w:r>
            <w:r w:rsidR="004B227E" w:rsidRPr="004B227E">
              <w:rPr>
                <w:i/>
                <w:iCs/>
                <w:noProof/>
              </w:rPr>
              <w:t xml:space="preserve"> any action </w:t>
            </w:r>
            <w:r>
              <w:rPr>
                <w:i/>
                <w:iCs/>
                <w:noProof/>
              </w:rPr>
              <w:t xml:space="preserve">on the approval of </w:t>
            </w:r>
            <w:r w:rsidR="004B227E" w:rsidRPr="004B227E">
              <w:rPr>
                <w:i/>
                <w:iCs/>
                <w:noProof/>
              </w:rPr>
              <w:t xml:space="preserve">Revision 3 </w:t>
            </w:r>
            <w:r>
              <w:rPr>
                <w:i/>
                <w:iCs/>
                <w:noProof/>
              </w:rPr>
              <w:t>of those Model Rules until such rules enter into force</w:t>
            </w:r>
            <w:r w:rsidR="004B227E" w:rsidRPr="004B227E">
              <w:rPr>
                <w:i/>
                <w:iCs/>
                <w:noProof/>
              </w:rPr>
              <w:t>.</w:t>
            </w:r>
            <w:r w:rsidR="00E01631">
              <w:rPr>
                <w:noProof/>
              </w:rPr>
              <w:t>’</w:t>
            </w:r>
          </w:p>
          <w:p w14:paraId="059FAE8C" w14:textId="0B596E9C" w:rsidR="00DC0C11" w:rsidRDefault="00DC0C11" w:rsidP="00DC0C11">
            <w:pPr>
              <w:jc w:val="left"/>
              <w:rPr>
                <w:noProof/>
              </w:rPr>
            </w:pPr>
            <w:r>
              <w:rPr>
                <w:noProof/>
              </w:rPr>
              <w:t>If the Model Rules enter into force until the third session of the Supervisory Authority takes place, and corresponds to the unofficial version published on the website of UNECE</w:t>
            </w:r>
            <w:r>
              <w:rPr>
                <w:rStyle w:val="FootnoteReference"/>
                <w:noProof/>
              </w:rPr>
              <w:footnoteReference w:id="1"/>
            </w:r>
            <w:r>
              <w:rPr>
                <w:noProof/>
              </w:rPr>
              <w:t>:</w:t>
            </w:r>
          </w:p>
          <w:p w14:paraId="15368EFD" w14:textId="4F42ADE2" w:rsidR="00DC0C11" w:rsidRDefault="00DC0C11" w:rsidP="00DC0C11">
            <w:pPr>
              <w:jc w:val="left"/>
              <w:rPr>
                <w:noProof/>
              </w:rPr>
            </w:pPr>
            <w:r>
              <w:rPr>
                <w:noProof/>
              </w:rPr>
              <w:t>‘</w:t>
            </w:r>
            <w:r w:rsidRPr="00DC0C11">
              <w:rPr>
                <w:i/>
                <w:iCs/>
                <w:noProof/>
              </w:rPr>
              <w:t>- approves the Model Rules (</w:t>
            </w:r>
            <w:r>
              <w:rPr>
                <w:i/>
                <w:iCs/>
                <w:noProof/>
              </w:rPr>
              <w:t>R</w:t>
            </w:r>
            <w:r w:rsidRPr="00DC0C11">
              <w:rPr>
                <w:i/>
                <w:iCs/>
                <w:noProof/>
              </w:rPr>
              <w:t>evision 3)</w:t>
            </w:r>
            <w:r>
              <w:rPr>
                <w:noProof/>
              </w:rPr>
              <w:t>’</w:t>
            </w:r>
          </w:p>
        </w:tc>
      </w:tr>
    </w:tbl>
    <w:p w14:paraId="62697843" w14:textId="497049C5" w:rsidR="005D7F0B" w:rsidRDefault="000C62D9">
      <w:pPr>
        <w:pStyle w:val="Text1"/>
        <w:rPr>
          <w:noProof/>
        </w:rPr>
      </w:pPr>
      <w:r>
        <w:rPr>
          <w:noProof/>
        </w:rPr>
        <w:t>Agenda Item</w:t>
      </w:r>
      <w:r w:rsidR="00666074">
        <w:rPr>
          <w:noProof/>
        </w:rPr>
        <w:t xml:space="preserve"> </w:t>
      </w:r>
      <w:r w:rsidR="002748E4" w:rsidRPr="002748E4">
        <w:rPr>
          <w:noProof/>
        </w:rPr>
        <w:t>10. Statutes and Rules of Procedure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0"/>
        <w:gridCol w:w="3700"/>
      </w:tblGrid>
      <w:tr w:rsidR="005D7F0B" w14:paraId="0A54A25D" w14:textId="77777777">
        <w:trPr>
          <w:jc w:val="center"/>
        </w:trPr>
        <w:tc>
          <w:tcPr>
            <w:tcW w:w="3700" w:type="dxa"/>
          </w:tcPr>
          <w:p w14:paraId="03378BB1" w14:textId="77777777" w:rsidR="005D7F0B" w:rsidRDefault="000C62D9">
            <w:pPr>
              <w:rPr>
                <w:noProof/>
              </w:rPr>
            </w:pPr>
            <w:r>
              <w:rPr>
                <w:noProof/>
              </w:rPr>
              <w:t>Document(s)</w:t>
            </w:r>
          </w:p>
        </w:tc>
        <w:tc>
          <w:tcPr>
            <w:tcW w:w="3700" w:type="dxa"/>
          </w:tcPr>
          <w:p w14:paraId="04F6C79E" w14:textId="6F34BFB5" w:rsidR="005D7F0B" w:rsidRPr="006A08B3" w:rsidRDefault="002748E4">
            <w:pPr>
              <w:rPr>
                <w:i/>
                <w:iCs/>
                <w:noProof/>
              </w:rPr>
            </w:pPr>
            <w:r w:rsidRPr="002748E4">
              <w:rPr>
                <w:noProof/>
              </w:rPr>
              <w:t>LUX-26012-SA3-10-Statutes and Rules of Procedure (&amp;ad)</w:t>
            </w:r>
            <w:r w:rsidR="006A08B3">
              <w:rPr>
                <w:i/>
                <w:iCs/>
                <w:noProof/>
              </w:rPr>
              <w:t>.pdf</w:t>
            </w:r>
          </w:p>
        </w:tc>
      </w:tr>
      <w:tr w:rsidR="005D7F0B" w14:paraId="6787FC6E" w14:textId="77777777">
        <w:trPr>
          <w:jc w:val="center"/>
        </w:trPr>
        <w:tc>
          <w:tcPr>
            <w:tcW w:w="3700" w:type="dxa"/>
          </w:tcPr>
          <w:p w14:paraId="6BE58976" w14:textId="77777777" w:rsidR="005D7F0B" w:rsidRDefault="000C62D9">
            <w:pPr>
              <w:rPr>
                <w:noProof/>
              </w:rPr>
            </w:pPr>
            <w:r>
              <w:rPr>
                <w:noProof/>
              </w:rPr>
              <w:t>Exercise of voting rights</w:t>
            </w:r>
          </w:p>
        </w:tc>
        <w:tc>
          <w:tcPr>
            <w:tcW w:w="3700" w:type="dxa"/>
          </w:tcPr>
          <w:p w14:paraId="5FD773F2" w14:textId="77777777" w:rsidR="005D7F0B" w:rsidRDefault="000C62D9">
            <w:pPr>
              <w:rPr>
                <w:noProof/>
              </w:rPr>
            </w:pPr>
            <w:r>
              <w:rPr>
                <w:noProof/>
              </w:rPr>
              <w:t>European Union</w:t>
            </w:r>
          </w:p>
        </w:tc>
      </w:tr>
      <w:tr w:rsidR="005D7F0B" w14:paraId="2FD17B72" w14:textId="77777777">
        <w:trPr>
          <w:jc w:val="center"/>
        </w:trPr>
        <w:tc>
          <w:tcPr>
            <w:tcW w:w="3700" w:type="dxa"/>
          </w:tcPr>
          <w:p w14:paraId="66EBE8EB" w14:textId="77777777" w:rsidR="005D7F0B" w:rsidRDefault="000C62D9">
            <w:pPr>
              <w:rPr>
                <w:noProof/>
              </w:rPr>
            </w:pPr>
            <w:r>
              <w:rPr>
                <w:noProof/>
              </w:rPr>
              <w:t>Position</w:t>
            </w:r>
          </w:p>
        </w:tc>
        <w:tc>
          <w:tcPr>
            <w:tcW w:w="3700" w:type="dxa"/>
          </w:tcPr>
          <w:p w14:paraId="67F5054A" w14:textId="19ADCE5D" w:rsidR="005D7F0B" w:rsidRDefault="000C62D9" w:rsidP="009464CA">
            <w:pPr>
              <w:jc w:val="left"/>
              <w:rPr>
                <w:noProof/>
              </w:rPr>
            </w:pPr>
            <w:r w:rsidRPr="000C62D9">
              <w:rPr>
                <w:noProof/>
              </w:rPr>
              <w:t xml:space="preserve">In favour of the approval </w:t>
            </w:r>
            <w:r>
              <w:rPr>
                <w:noProof/>
              </w:rPr>
              <w:t>of the proposed amendment</w:t>
            </w:r>
            <w:r w:rsidR="002F16CF">
              <w:rPr>
                <w:noProof/>
              </w:rPr>
              <w:t>s</w:t>
            </w:r>
            <w:r>
              <w:rPr>
                <w:noProof/>
              </w:rPr>
              <w:t xml:space="preserve"> to the</w:t>
            </w:r>
            <w:r w:rsidRPr="000C62D9">
              <w:rPr>
                <w:noProof/>
              </w:rPr>
              <w:t xml:space="preserve"> Statutes</w:t>
            </w:r>
            <w:r>
              <w:rPr>
                <w:noProof/>
              </w:rPr>
              <w:t>.</w:t>
            </w:r>
          </w:p>
          <w:p w14:paraId="08614BAA" w14:textId="701B29F1" w:rsidR="000C62D9" w:rsidRDefault="000C62D9" w:rsidP="009464CA">
            <w:pPr>
              <w:jc w:val="left"/>
              <w:rPr>
                <w:noProof/>
              </w:rPr>
            </w:pPr>
            <w:r w:rsidRPr="000C62D9">
              <w:rPr>
                <w:noProof/>
              </w:rPr>
              <w:t>In favour of the approval of the proposed amendment</w:t>
            </w:r>
            <w:r w:rsidR="002F16CF">
              <w:rPr>
                <w:noProof/>
              </w:rPr>
              <w:t>s</w:t>
            </w:r>
            <w:r w:rsidRPr="000C62D9">
              <w:rPr>
                <w:noProof/>
              </w:rPr>
              <w:t xml:space="preserve"> </w:t>
            </w:r>
            <w:r>
              <w:rPr>
                <w:noProof/>
              </w:rPr>
              <w:t xml:space="preserve">to the Rules of Procedure, </w:t>
            </w:r>
            <w:r w:rsidRPr="000C62D9">
              <w:rPr>
                <w:noProof/>
              </w:rPr>
              <w:t>subject to the following amendment</w:t>
            </w:r>
            <w:r>
              <w:rPr>
                <w:noProof/>
              </w:rPr>
              <w:t>s</w:t>
            </w:r>
            <w:r w:rsidRPr="000C62D9">
              <w:rPr>
                <w:noProof/>
              </w:rPr>
              <w:t>:</w:t>
            </w:r>
          </w:p>
          <w:p w14:paraId="5BD4C8D4" w14:textId="0EEAB632" w:rsidR="002F16CF" w:rsidRDefault="002F16CF" w:rsidP="009464CA">
            <w:pPr>
              <w:jc w:val="left"/>
              <w:rPr>
                <w:noProof/>
              </w:rPr>
            </w:pPr>
            <w:r>
              <w:rPr>
                <w:noProof/>
              </w:rPr>
              <w:t xml:space="preserve">- in </w:t>
            </w:r>
            <w:r w:rsidR="00571EAB">
              <w:rPr>
                <w:noProof/>
              </w:rPr>
              <w:t>Article 16(6), point (c), replace ‘</w:t>
            </w:r>
            <w:r w:rsidR="00571EAB" w:rsidRPr="00636F72">
              <w:rPr>
                <w:i/>
                <w:iCs/>
                <w:noProof/>
              </w:rPr>
              <w:t>two weeks</w:t>
            </w:r>
            <w:r w:rsidR="00571EAB">
              <w:rPr>
                <w:noProof/>
              </w:rPr>
              <w:t>’ with ‘</w:t>
            </w:r>
            <w:r w:rsidR="00571EAB" w:rsidRPr="00636F72">
              <w:rPr>
                <w:i/>
                <w:iCs/>
                <w:noProof/>
              </w:rPr>
              <w:t>10 weeks</w:t>
            </w:r>
            <w:r w:rsidR="00571EAB">
              <w:rPr>
                <w:noProof/>
              </w:rPr>
              <w:t>’;</w:t>
            </w:r>
          </w:p>
          <w:p w14:paraId="03535ADD" w14:textId="3286CFE2" w:rsidR="000C62D9" w:rsidRPr="009464CA" w:rsidRDefault="00571EAB" w:rsidP="00EB4BCD">
            <w:pPr>
              <w:jc w:val="left"/>
              <w:rPr>
                <w:noProof/>
                <w:lang w:val="en-IE"/>
              </w:rPr>
            </w:pPr>
            <w:r>
              <w:rPr>
                <w:noProof/>
              </w:rPr>
              <w:t>- in Article 16(7), remove ‘</w:t>
            </w:r>
            <w:r w:rsidRPr="00636F72">
              <w:rPr>
                <w:i/>
                <w:iCs/>
                <w:noProof/>
                <w:lang w:val="en-IE"/>
              </w:rPr>
              <w:t>or where so decided by the Supervisory Authority</w:t>
            </w:r>
            <w:r w:rsidRPr="00EE0D93">
              <w:rPr>
                <w:noProof/>
                <w:lang w:val="en-IE"/>
              </w:rPr>
              <w:t>’ from the introductory paragraph.</w:t>
            </w:r>
          </w:p>
        </w:tc>
      </w:tr>
    </w:tbl>
    <w:p w14:paraId="12798FDF" w14:textId="77777777" w:rsidR="000C62D9" w:rsidRDefault="000C62D9">
      <w:pPr>
        <w:rPr>
          <w:noProof/>
        </w:rPr>
      </w:pPr>
    </w:p>
    <w:sectPr w:rsidR="000C62D9" w:rsidSect="00A26F6C">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6EDCD" w14:textId="77777777" w:rsidR="0019020C" w:rsidRDefault="0019020C" w:rsidP="00BC3913">
      <w:pPr>
        <w:spacing w:before="0" w:after="0"/>
      </w:pPr>
      <w:r>
        <w:separator/>
      </w:r>
    </w:p>
  </w:endnote>
  <w:endnote w:type="continuationSeparator" w:id="0">
    <w:p w14:paraId="4A60BF10" w14:textId="77777777" w:rsidR="0019020C" w:rsidRDefault="0019020C" w:rsidP="00BC39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1D538" w14:textId="49576D36" w:rsidR="00A26F6C" w:rsidRPr="00A26F6C" w:rsidRDefault="00A26F6C" w:rsidP="00A26F6C">
    <w:pPr>
      <w:pStyle w:val="Footer"/>
      <w:rPr>
        <w:rFonts w:ascii="Arial" w:hAnsi="Arial" w:cs="Arial"/>
        <w:b/>
        <w:sz w:val="48"/>
      </w:rPr>
    </w:pPr>
    <w:r w:rsidRPr="00A26F6C">
      <w:rPr>
        <w:rFonts w:ascii="Arial" w:hAnsi="Arial" w:cs="Arial"/>
        <w:b/>
        <w:sz w:val="48"/>
      </w:rPr>
      <w:t>EN</w:t>
    </w:r>
    <w:r w:rsidRPr="00A26F6C">
      <w:rPr>
        <w:rFonts w:ascii="Arial" w:hAnsi="Arial" w:cs="Arial"/>
        <w:b/>
        <w:sz w:val="48"/>
      </w:rPr>
      <w:tab/>
    </w:r>
    <w:r w:rsidRPr="00A26F6C">
      <w:rPr>
        <w:rFonts w:ascii="Arial" w:hAnsi="Arial" w:cs="Arial"/>
        <w:b/>
        <w:sz w:val="48"/>
      </w:rPr>
      <w:tab/>
    </w:r>
    <w:r w:rsidRPr="00A26F6C">
      <w:tab/>
    </w:r>
    <w:r w:rsidRPr="00A26F6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D032F" w14:textId="58978B5E" w:rsidR="00A26F6C" w:rsidRPr="00A26F6C" w:rsidRDefault="00A26F6C" w:rsidP="00A26F6C">
    <w:pPr>
      <w:pStyle w:val="Footer"/>
      <w:rPr>
        <w:rFonts w:ascii="Arial" w:hAnsi="Arial" w:cs="Arial"/>
        <w:b/>
        <w:sz w:val="48"/>
      </w:rPr>
    </w:pPr>
    <w:r w:rsidRPr="00A26F6C">
      <w:rPr>
        <w:rFonts w:ascii="Arial" w:hAnsi="Arial" w:cs="Arial"/>
        <w:b/>
        <w:sz w:val="48"/>
      </w:rPr>
      <w:t>EN</w:t>
    </w:r>
    <w:r w:rsidRPr="00A26F6C">
      <w:rPr>
        <w:rFonts w:ascii="Arial" w:hAnsi="Arial" w:cs="Arial"/>
        <w:b/>
        <w:sz w:val="48"/>
      </w:rPr>
      <w:tab/>
    </w:r>
    <w:r w:rsidRPr="00A26F6C">
      <w:rPr>
        <w:rFonts w:ascii="Arial" w:hAnsi="Arial" w:cs="Arial"/>
        <w:b/>
        <w:sz w:val="48"/>
      </w:rPr>
      <w:tab/>
    </w:r>
    <w:r w:rsidRPr="00A26F6C">
      <w:tab/>
    </w:r>
    <w:r w:rsidRPr="00A26F6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D3B28" w14:textId="77777777" w:rsidR="00A26F6C" w:rsidRPr="00A26F6C" w:rsidRDefault="00A26F6C" w:rsidP="00A26F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B1EC2" w14:textId="77777777" w:rsidR="00A26F6C" w:rsidRDefault="00A26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29816" w14:textId="000821A5" w:rsidR="00A26F6C" w:rsidRPr="00A26F6C" w:rsidRDefault="00A26F6C" w:rsidP="00A26F6C">
    <w:pPr>
      <w:pStyle w:val="Footer"/>
      <w:rPr>
        <w:rFonts w:ascii="Arial" w:hAnsi="Arial" w:cs="Arial"/>
        <w:b/>
        <w:sz w:val="48"/>
      </w:rPr>
    </w:pPr>
    <w:r w:rsidRPr="00A26F6C">
      <w:rPr>
        <w:rFonts w:ascii="Arial" w:hAnsi="Arial" w:cs="Arial"/>
        <w:b/>
        <w:sz w:val="48"/>
      </w:rPr>
      <w:t>EN</w:t>
    </w:r>
    <w:r w:rsidRPr="00A26F6C">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A26F6C">
      <w:tab/>
    </w:r>
    <w:r w:rsidRPr="00A26F6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45E42" w14:textId="77777777" w:rsidR="00A26F6C" w:rsidRDefault="00A26F6C" w:rsidP="00A26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F8291" w14:textId="77777777" w:rsidR="0019020C" w:rsidRDefault="0019020C" w:rsidP="00BC3913">
      <w:pPr>
        <w:spacing w:before="0" w:after="0"/>
      </w:pPr>
      <w:r>
        <w:separator/>
      </w:r>
    </w:p>
  </w:footnote>
  <w:footnote w:type="continuationSeparator" w:id="0">
    <w:p w14:paraId="2546E6B8" w14:textId="77777777" w:rsidR="0019020C" w:rsidRDefault="0019020C" w:rsidP="00BC3913">
      <w:pPr>
        <w:spacing w:before="0" w:after="0"/>
      </w:pPr>
      <w:r>
        <w:continuationSeparator/>
      </w:r>
    </w:p>
  </w:footnote>
  <w:footnote w:id="1">
    <w:p w14:paraId="00F50E46" w14:textId="50443626" w:rsidR="00DC0C11" w:rsidRPr="00DC0C11" w:rsidRDefault="00DC0C11">
      <w:pPr>
        <w:pStyle w:val="FootnoteText"/>
      </w:pPr>
      <w:r>
        <w:rPr>
          <w:rStyle w:val="FootnoteReference"/>
        </w:rPr>
        <w:footnoteRef/>
      </w:r>
      <w:r>
        <w:rPr>
          <w:lang w:val="es-ES"/>
        </w:rPr>
        <w:tab/>
      </w:r>
      <w:hyperlink r:id="rId1" w:history="1">
        <w:r w:rsidR="00EB4BCD" w:rsidRPr="003C211D">
          <w:rPr>
            <w:rStyle w:val="Hyperlink"/>
            <w:lang w:val="es-ES"/>
          </w:rPr>
          <w:t>https://unece.org/sites/default/files/2026-02/ECE-TRANS-SC.2-337-Rev.3EFR_Unofficial.pdf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8C0D9" w14:textId="77777777" w:rsidR="00A26F6C" w:rsidRPr="00A26F6C" w:rsidRDefault="00A26F6C" w:rsidP="00A26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18FA2" w14:textId="77777777" w:rsidR="00A26F6C" w:rsidRPr="00A26F6C" w:rsidRDefault="00A26F6C" w:rsidP="00A26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37F7" w14:textId="77777777" w:rsidR="00A26F6C" w:rsidRPr="00A26F6C" w:rsidRDefault="00A26F6C" w:rsidP="00A26F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85E27" w14:textId="77777777" w:rsidR="00A26F6C" w:rsidRDefault="00A26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83905" w14:textId="77777777" w:rsidR="00A26F6C" w:rsidRDefault="00A26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37E25C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64A204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3221E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5E66A0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B08F48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71A621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074746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1D4D6A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C97291"/>
    <w:multiLevelType w:val="hybridMultilevel"/>
    <w:tmpl w:val="DCAC5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num>
  <w:num w:numId="2">
    <w:abstractNumId w:val="19"/>
  </w:num>
  <w:num w:numId="3">
    <w:abstractNumId w:val="12"/>
  </w:num>
  <w:num w:numId="4">
    <w:abstractNumId w:val="22"/>
  </w:num>
  <w:num w:numId="5">
    <w:abstractNumId w:val="11"/>
  </w:num>
  <w:num w:numId="6">
    <w:abstractNumId w:val="13"/>
  </w:num>
  <w:num w:numId="7">
    <w:abstractNumId w:val="14"/>
  </w:num>
  <w:num w:numId="8">
    <w:abstractNumId w:val="9"/>
  </w:num>
  <w:num w:numId="9">
    <w:abstractNumId w:val="8"/>
  </w:num>
  <w:num w:numId="10">
    <w:abstractNumId w:val="15"/>
  </w:num>
  <w:num w:numId="11">
    <w:abstractNumId w:val="17"/>
  </w:num>
  <w:num w:numId="12">
    <w:abstractNumId w:val="18"/>
  </w:num>
  <w:num w:numId="13">
    <w:abstractNumId w:val="10"/>
  </w:num>
  <w:num w:numId="14">
    <w:abstractNumId w:val="16"/>
  </w:num>
  <w:num w:numId="15">
    <w:abstractNumId w:val="23"/>
  </w:num>
  <w:num w:numId="16">
    <w:abstractNumId w:val="7"/>
  </w:num>
  <w:num w:numId="17">
    <w:abstractNumId w:val="5"/>
  </w:num>
  <w:num w:numId="18">
    <w:abstractNumId w:val="4"/>
  </w:num>
  <w:num w:numId="19">
    <w:abstractNumId w:val="3"/>
  </w:num>
  <w:num w:numId="20">
    <w:abstractNumId w:val="21"/>
  </w:num>
  <w:num w:numId="21">
    <w:abstractNumId w:val="19"/>
  </w:num>
  <w:num w:numId="22">
    <w:abstractNumId w:val="12"/>
  </w:num>
  <w:num w:numId="23">
    <w:abstractNumId w:val="22"/>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3"/>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05 09:25: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KN_IMPORT" w:val="20241104"/>
    <w:docVar w:name="LW_ANNEX_NBR_FIRST" w:val="1"/>
    <w:docVar w:name="LW_ANNEX_NBR_LAST" w:val="1"/>
    <w:docVar w:name="LW_ANNEX_UNIQUE" w:val="1"/>
    <w:docVar w:name="LW_CORRIGENDUM" w:val="&lt;UNUSED&gt;"/>
    <w:docVar w:name="LW_COVERPAGE_EXISTS" w:val="True"/>
    <w:docVar w:name="LW_COVERPAGE_GUID" w:val="13815497-75D8-4609-BEB4-3923396624BE"/>
    <w:docVar w:name="LW_COVERPAGE_TYPE" w:val="1"/>
    <w:docVar w:name="LW_CROSSREFERENCE" w:val="&lt;UNUSED&gt;"/>
    <w:docVar w:name="LW_DocType" w:val="ANNEX"/>
    <w:docVar w:name="LW_EMISSION" w:val="9.3.2026"/>
    <w:docVar w:name="LW_EMISSION_ISODATE" w:val="2026-03-09"/>
    <w:docVar w:name="LW_EMISSION_LOCATION" w:val="BRX"/>
    <w:docVar w:name="LW_EMISSION_PREFIX" w:val="Brussels, "/>
    <w:docVar w:name="LW_EMISSION_SUFFIX" w:val=" "/>
    <w:docVar w:name="LW_ID_DOCSTRUCTURE" w:val="COM/ANNEX"/>
    <w:docVar w:name="LW_ID_DOCTYPE" w:val="SG-017"/>
    <w:docVar w:name="LW_INTERETEEE.CP" w:val="&lt;UNUSED&gt;"/>
    <w:docVar w:name="LW_LANGUE" w:val="EN"/>
    <w:docVar w:name="LW_LEVEL_OF_SENSITIVITY" w:val="Standard treatment"/>
    <w:docVar w:name="LW_NOM.INST" w:val="EUROPEAN COMMISSION"/>
    <w:docVar w:name="LW_NOM.INST_JOINTDOC" w:val="&lt;EMPTY&gt;"/>
    <w:docVar w:name="LW_OBJETACTEPRINCIPAL" w:val="on the position to be taken on behalf of the European Union at the third session of the Supervisory Authority established pursuant to Article XII of the Luxembourg Protocol to the Convention on International Interests in Mobile Equipment on Matters specific to Railway Rolling Stock"/>
    <w:docVar w:name="LW_OBJETACTEPRINCIPAL.CP" w:val="on the position to be taken on behalf of the European Union at the third session of the Supervisory Authority established pursuant to Article XII of the Luxembourg Protocol to the Convention on International Interests in Mobile Equipment on Matters specific to Railway Rolling Stock"/>
    <w:docVar w:name="LW_PART_NBR" w:val="1"/>
    <w:docVar w:name="LW_PART_NBR_TOTAL" w:val="1"/>
    <w:docVar w:name="LW_REF.INST.NEW" w:val="COM"/>
    <w:docVar w:name="LW_REF.INST.NEW_ADOPTED" w:val="final"/>
    <w:docVar w:name="LW_REF.INST.NEW_TEXT" w:val="(2026) 1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COUNCIL DECISION"/>
    <w:docVar w:name="LW_TYPEACTEPRINCIPAL.CP" w:val="COUNCIL DECISION"/>
    <w:docVar w:name="LwApiVersions" w:val="LW4CoDe 1.24.5.0; LW 9.2, Build 20251112"/>
  </w:docVars>
  <w:rsids>
    <w:rsidRoot w:val="00905D22"/>
    <w:rsid w:val="000003CA"/>
    <w:rsid w:val="000066D1"/>
    <w:rsid w:val="000A6EFB"/>
    <w:rsid w:val="000C62D9"/>
    <w:rsid w:val="000D6292"/>
    <w:rsid w:val="000E509A"/>
    <w:rsid w:val="000F4869"/>
    <w:rsid w:val="001219ED"/>
    <w:rsid w:val="00142204"/>
    <w:rsid w:val="00144A7D"/>
    <w:rsid w:val="00165C4F"/>
    <w:rsid w:val="00170A39"/>
    <w:rsid w:val="00171169"/>
    <w:rsid w:val="0019020C"/>
    <w:rsid w:val="001C1FB6"/>
    <w:rsid w:val="001D2E09"/>
    <w:rsid w:val="001F343E"/>
    <w:rsid w:val="002002C8"/>
    <w:rsid w:val="00213DF8"/>
    <w:rsid w:val="00221A88"/>
    <w:rsid w:val="00236C1B"/>
    <w:rsid w:val="002412FE"/>
    <w:rsid w:val="00246AAE"/>
    <w:rsid w:val="002748E4"/>
    <w:rsid w:val="0028755F"/>
    <w:rsid w:val="00292752"/>
    <w:rsid w:val="002A02C6"/>
    <w:rsid w:val="002C4E3B"/>
    <w:rsid w:val="002D67DD"/>
    <w:rsid w:val="002F16CF"/>
    <w:rsid w:val="003242ED"/>
    <w:rsid w:val="00326A08"/>
    <w:rsid w:val="00343CFE"/>
    <w:rsid w:val="003544AA"/>
    <w:rsid w:val="00387832"/>
    <w:rsid w:val="00397E55"/>
    <w:rsid w:val="003A7D99"/>
    <w:rsid w:val="003B03B9"/>
    <w:rsid w:val="003E6268"/>
    <w:rsid w:val="003F7B5E"/>
    <w:rsid w:val="00407814"/>
    <w:rsid w:val="004256EE"/>
    <w:rsid w:val="004742B5"/>
    <w:rsid w:val="00492EB7"/>
    <w:rsid w:val="004967D7"/>
    <w:rsid w:val="004A3F30"/>
    <w:rsid w:val="004B227E"/>
    <w:rsid w:val="004B7AEB"/>
    <w:rsid w:val="004D511B"/>
    <w:rsid w:val="00555A00"/>
    <w:rsid w:val="00571EAB"/>
    <w:rsid w:val="005921C0"/>
    <w:rsid w:val="005A2409"/>
    <w:rsid w:val="005C683F"/>
    <w:rsid w:val="005D6F9E"/>
    <w:rsid w:val="005D7F0B"/>
    <w:rsid w:val="005F6B76"/>
    <w:rsid w:val="00600415"/>
    <w:rsid w:val="0060241C"/>
    <w:rsid w:val="00603DEB"/>
    <w:rsid w:val="006151E7"/>
    <w:rsid w:val="00616B0F"/>
    <w:rsid w:val="00626E37"/>
    <w:rsid w:val="00636F72"/>
    <w:rsid w:val="0065494C"/>
    <w:rsid w:val="00654AB1"/>
    <w:rsid w:val="00665A22"/>
    <w:rsid w:val="00666074"/>
    <w:rsid w:val="006A01C5"/>
    <w:rsid w:val="006A08B3"/>
    <w:rsid w:val="006A6BCB"/>
    <w:rsid w:val="006F74FD"/>
    <w:rsid w:val="006F7CED"/>
    <w:rsid w:val="0073048C"/>
    <w:rsid w:val="00737F58"/>
    <w:rsid w:val="00781270"/>
    <w:rsid w:val="007C7FC4"/>
    <w:rsid w:val="007D63C8"/>
    <w:rsid w:val="007F0C52"/>
    <w:rsid w:val="007F3D5F"/>
    <w:rsid w:val="007F78CC"/>
    <w:rsid w:val="008377BA"/>
    <w:rsid w:val="00843B21"/>
    <w:rsid w:val="00851CCB"/>
    <w:rsid w:val="00872108"/>
    <w:rsid w:val="00880F16"/>
    <w:rsid w:val="00886829"/>
    <w:rsid w:val="00896F9C"/>
    <w:rsid w:val="008D4A62"/>
    <w:rsid w:val="008D5B82"/>
    <w:rsid w:val="008D6398"/>
    <w:rsid w:val="008E4E3E"/>
    <w:rsid w:val="008E6040"/>
    <w:rsid w:val="008F00DD"/>
    <w:rsid w:val="008F0757"/>
    <w:rsid w:val="00900291"/>
    <w:rsid w:val="00905D22"/>
    <w:rsid w:val="009350C8"/>
    <w:rsid w:val="009464CA"/>
    <w:rsid w:val="009631F4"/>
    <w:rsid w:val="009A2608"/>
    <w:rsid w:val="009A3928"/>
    <w:rsid w:val="009B504C"/>
    <w:rsid w:val="009C30CF"/>
    <w:rsid w:val="009C5E8C"/>
    <w:rsid w:val="009E1277"/>
    <w:rsid w:val="009F3EE2"/>
    <w:rsid w:val="009F5096"/>
    <w:rsid w:val="00A2134B"/>
    <w:rsid w:val="00A26F6C"/>
    <w:rsid w:val="00A32D81"/>
    <w:rsid w:val="00A428F3"/>
    <w:rsid w:val="00A61600"/>
    <w:rsid w:val="00A6243B"/>
    <w:rsid w:val="00A64FE4"/>
    <w:rsid w:val="00A6693B"/>
    <w:rsid w:val="00A71F6D"/>
    <w:rsid w:val="00A724D5"/>
    <w:rsid w:val="00A8554A"/>
    <w:rsid w:val="00B30864"/>
    <w:rsid w:val="00BA4F3C"/>
    <w:rsid w:val="00BB30BC"/>
    <w:rsid w:val="00BC3913"/>
    <w:rsid w:val="00BD0271"/>
    <w:rsid w:val="00C14937"/>
    <w:rsid w:val="00C21B6D"/>
    <w:rsid w:val="00C26133"/>
    <w:rsid w:val="00C30585"/>
    <w:rsid w:val="00C51406"/>
    <w:rsid w:val="00C602D2"/>
    <w:rsid w:val="00C87BF1"/>
    <w:rsid w:val="00C953CA"/>
    <w:rsid w:val="00CA558C"/>
    <w:rsid w:val="00CA73CA"/>
    <w:rsid w:val="00CE541B"/>
    <w:rsid w:val="00CF07C6"/>
    <w:rsid w:val="00D328C4"/>
    <w:rsid w:val="00D33986"/>
    <w:rsid w:val="00DC0C11"/>
    <w:rsid w:val="00E01631"/>
    <w:rsid w:val="00E36683"/>
    <w:rsid w:val="00E4518D"/>
    <w:rsid w:val="00E5477A"/>
    <w:rsid w:val="00E87B78"/>
    <w:rsid w:val="00E916DB"/>
    <w:rsid w:val="00E936B5"/>
    <w:rsid w:val="00EB4BCD"/>
    <w:rsid w:val="00EE0D93"/>
    <w:rsid w:val="00F14785"/>
    <w:rsid w:val="00F2768B"/>
    <w:rsid w:val="00F31967"/>
    <w:rsid w:val="00F34957"/>
    <w:rsid w:val="00F7024E"/>
    <w:rsid w:val="00F727F6"/>
    <w:rsid w:val="00F82260"/>
    <w:rsid w:val="00F947F2"/>
    <w:rsid w:val="00FB0854"/>
    <w:rsid w:val="00FB5108"/>
    <w:rsid w:val="00FC739D"/>
    <w:rsid w:val="00FD5F02"/>
    <w:rsid w:val="00FD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83BDE5"/>
  <w15:docId w15:val="{09F53965-9710-411E-8F26-50DA8E88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0C62D9"/>
    <w:pPr>
      <w:numPr>
        <w:numId w:val="16"/>
      </w:numPr>
      <w:contextualSpacing/>
    </w:pPr>
  </w:style>
  <w:style w:type="paragraph" w:styleId="ListBullet2">
    <w:name w:val="List Bullet 2"/>
    <w:basedOn w:val="Normal"/>
    <w:uiPriority w:val="99"/>
    <w:semiHidden/>
    <w:unhideWhenUsed/>
    <w:rsid w:val="000C62D9"/>
    <w:pPr>
      <w:numPr>
        <w:numId w:val="17"/>
      </w:numPr>
      <w:contextualSpacing/>
    </w:pPr>
  </w:style>
  <w:style w:type="paragraph" w:styleId="ListBullet3">
    <w:name w:val="List Bullet 3"/>
    <w:basedOn w:val="Normal"/>
    <w:uiPriority w:val="99"/>
    <w:semiHidden/>
    <w:unhideWhenUsed/>
    <w:rsid w:val="000C62D9"/>
    <w:pPr>
      <w:numPr>
        <w:numId w:val="18"/>
      </w:numPr>
      <w:contextualSpacing/>
    </w:pPr>
  </w:style>
  <w:style w:type="paragraph" w:styleId="ListBullet4">
    <w:name w:val="List Bullet 4"/>
    <w:basedOn w:val="Normal"/>
    <w:uiPriority w:val="99"/>
    <w:semiHidden/>
    <w:unhideWhenUsed/>
    <w:rsid w:val="000C62D9"/>
    <w:pPr>
      <w:numPr>
        <w:numId w:val="19"/>
      </w:numPr>
      <w:contextualSpacing/>
    </w:pPr>
  </w:style>
  <w:style w:type="paragraph" w:styleId="Revision">
    <w:name w:val="Revision"/>
    <w:hidden/>
    <w:uiPriority w:val="99"/>
    <w:semiHidden/>
    <w:rsid w:val="000C62D9"/>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0C62D9"/>
    <w:rPr>
      <w:sz w:val="16"/>
      <w:szCs w:val="16"/>
    </w:rPr>
  </w:style>
  <w:style w:type="paragraph" w:styleId="CommentText">
    <w:name w:val="annotation text"/>
    <w:basedOn w:val="Normal"/>
    <w:link w:val="CommentTextChar"/>
    <w:uiPriority w:val="99"/>
    <w:unhideWhenUsed/>
    <w:rsid w:val="000C62D9"/>
    <w:rPr>
      <w:sz w:val="20"/>
      <w:szCs w:val="20"/>
    </w:rPr>
  </w:style>
  <w:style w:type="character" w:customStyle="1" w:styleId="CommentTextChar">
    <w:name w:val="Comment Text Char"/>
    <w:basedOn w:val="DefaultParagraphFont"/>
    <w:link w:val="CommentText"/>
    <w:uiPriority w:val="99"/>
    <w:rsid w:val="000C62D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C62D9"/>
    <w:rPr>
      <w:b/>
      <w:bCs/>
    </w:rPr>
  </w:style>
  <w:style w:type="character" w:customStyle="1" w:styleId="CommentSubjectChar">
    <w:name w:val="Comment Subject Char"/>
    <w:basedOn w:val="CommentTextChar"/>
    <w:link w:val="CommentSubject"/>
    <w:uiPriority w:val="99"/>
    <w:semiHidden/>
    <w:rsid w:val="000C62D9"/>
    <w:rPr>
      <w:rFonts w:ascii="Times New Roman" w:hAnsi="Times New Roman" w:cs="Times New Roman"/>
      <w:b/>
      <w:bCs/>
      <w:sz w:val="20"/>
      <w:szCs w:val="20"/>
      <w:lang w:val="en-GB"/>
    </w:rPr>
  </w:style>
  <w:style w:type="paragraph" w:styleId="ListParagraph">
    <w:name w:val="List Paragraph"/>
    <w:basedOn w:val="Normal"/>
    <w:uiPriority w:val="34"/>
    <w:qFormat/>
    <w:rsid w:val="000C62D9"/>
    <w:pPr>
      <w:ind w:left="720"/>
      <w:contextualSpacing/>
    </w:pPr>
  </w:style>
  <w:style w:type="character" w:customStyle="1" w:styleId="UnresolvedMention">
    <w:name w:val="Unresolved Mention"/>
    <w:basedOn w:val="DefaultParagraphFont"/>
    <w:uiPriority w:val="99"/>
    <w:semiHidden/>
    <w:unhideWhenUsed/>
    <w:rsid w:val="00EB4BCD"/>
    <w:rPr>
      <w:color w:val="605E5C"/>
      <w:shd w:val="clear" w:color="auto" w:fill="E1DFDD"/>
    </w:rPr>
  </w:style>
  <w:style w:type="character" w:customStyle="1" w:styleId="HeaderChar">
    <w:name w:val="Header Char"/>
    <w:basedOn w:val="DefaultParagraphFont"/>
    <w:link w:val="Header"/>
    <w:uiPriority w:val="99"/>
    <w:rsid w:val="00A26F6C"/>
    <w:rPr>
      <w:rFonts w:ascii="Times New Roman" w:hAnsi="Times New Roman" w:cs="Times New Roman"/>
      <w:sz w:val="24"/>
      <w:lang w:val="en-GB"/>
    </w:rPr>
  </w:style>
  <w:style w:type="character" w:customStyle="1" w:styleId="FooterChar">
    <w:name w:val="Footer Char"/>
    <w:basedOn w:val="DefaultParagraphFont"/>
    <w:link w:val="Footer"/>
    <w:uiPriority w:val="99"/>
    <w:rsid w:val="00A26F6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26F6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26F6C"/>
    <w:pPr>
      <w:spacing w:before="0"/>
      <w:jc w:val="right"/>
    </w:pPr>
    <w:rPr>
      <w:sz w:val="28"/>
    </w:rPr>
  </w:style>
  <w:style w:type="paragraph" w:customStyle="1" w:styleId="FooterSensitivity">
    <w:name w:val="Footer Sensitivity"/>
    <w:basedOn w:val="Normal"/>
    <w:rsid w:val="00A26F6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Caption">
    <w:name w:val="caption"/>
    <w:basedOn w:val="Normal"/>
    <w:next w:val="Normal"/>
    <w:uiPriority w:val="35"/>
    <w:semiHidden/>
    <w:unhideWhenUsed/>
    <w:qFormat/>
    <w:rsid w:val="00FD5F0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D5F02"/>
    <w:pPr>
      <w:spacing w:after="0"/>
    </w:pPr>
  </w:style>
  <w:style w:type="paragraph" w:styleId="ListNumber">
    <w:name w:val="List Number"/>
    <w:basedOn w:val="Normal"/>
    <w:uiPriority w:val="99"/>
    <w:semiHidden/>
    <w:unhideWhenUsed/>
    <w:rsid w:val="00FD5F02"/>
    <w:pPr>
      <w:numPr>
        <w:numId w:val="37"/>
      </w:numPr>
      <w:contextualSpacing/>
    </w:pPr>
  </w:style>
  <w:style w:type="paragraph" w:styleId="ListNumber2">
    <w:name w:val="List Number 2"/>
    <w:basedOn w:val="Normal"/>
    <w:uiPriority w:val="99"/>
    <w:semiHidden/>
    <w:unhideWhenUsed/>
    <w:rsid w:val="00FD5F02"/>
    <w:pPr>
      <w:numPr>
        <w:numId w:val="38"/>
      </w:numPr>
      <w:contextualSpacing/>
    </w:pPr>
  </w:style>
  <w:style w:type="paragraph" w:styleId="ListNumber3">
    <w:name w:val="List Number 3"/>
    <w:basedOn w:val="Normal"/>
    <w:uiPriority w:val="99"/>
    <w:semiHidden/>
    <w:unhideWhenUsed/>
    <w:rsid w:val="00FD5F02"/>
    <w:pPr>
      <w:numPr>
        <w:numId w:val="39"/>
      </w:numPr>
      <w:contextualSpacing/>
    </w:pPr>
  </w:style>
  <w:style w:type="paragraph" w:styleId="ListNumber4">
    <w:name w:val="List Number 4"/>
    <w:basedOn w:val="Normal"/>
    <w:uiPriority w:val="99"/>
    <w:semiHidden/>
    <w:unhideWhenUsed/>
    <w:rsid w:val="00FD5F02"/>
    <w:pPr>
      <w:numPr>
        <w:numId w:val="40"/>
      </w:numPr>
      <w:contextualSpacing/>
    </w:pPr>
  </w:style>
  <w:style w:type="paragraph" w:styleId="Header">
    <w:name w:val="header"/>
    <w:basedOn w:val="Normal"/>
    <w:link w:val="HeaderChar"/>
    <w:uiPriority w:val="99"/>
    <w:unhideWhenUsed/>
    <w:rsid w:val="00A26F6C"/>
    <w:pPr>
      <w:tabs>
        <w:tab w:val="center" w:pos="4535"/>
        <w:tab w:val="right" w:pos="9071"/>
      </w:tabs>
      <w:spacing w:before="0"/>
    </w:pPr>
  </w:style>
  <w:style w:type="paragraph" w:customStyle="1" w:styleId="HeaderLandscape">
    <w:name w:val="HeaderLandscape"/>
    <w:basedOn w:val="Normal"/>
    <w:rsid w:val="00A26F6C"/>
    <w:pPr>
      <w:tabs>
        <w:tab w:val="center" w:pos="7285"/>
        <w:tab w:val="right" w:pos="14003"/>
      </w:tabs>
      <w:spacing w:before="0"/>
    </w:pPr>
  </w:style>
  <w:style w:type="paragraph" w:styleId="Footer">
    <w:name w:val="footer"/>
    <w:basedOn w:val="Normal"/>
    <w:link w:val="FooterChar"/>
    <w:uiPriority w:val="99"/>
    <w:unhideWhenUsed/>
    <w:rsid w:val="00A26F6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26F6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692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ece.org/sites/default/files/2026-02/ECE-TRANS-SC.2-337-Rev.3EFR_Unoffici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26" ma:contentTypeDescription="Crée un document." ma:contentTypeScope="" ma:versionID="2bf57dbcb596a7ab70443dffe7c87a54">
  <xsd:schema xmlns:xsd="http://www.w3.org/2001/XMLSchema" xmlns:xs="http://www.w3.org/2001/XMLSchema" xmlns:p="http://schemas.microsoft.com/office/2006/metadata/properties" xmlns:ns1="http://schemas.microsoft.com/sharepoint/v3" xmlns:ns2="d74c950a-78ac-4838-92ef-a1426a5f274c" xmlns:ns3="17c60b09-739e-4693-8901-93c6edee2864" xmlns:ns4="http://schemas.microsoft.com/sharepoint/v4" targetNamespace="http://schemas.microsoft.com/office/2006/metadata/properties" ma:root="true" ma:fieldsID="08dbc51dde236442b47bb49b4b961c23" ns1:_="" ns2:_="" ns3:_="" ns4:_="">
    <xsd:import namespace="http://schemas.microsoft.com/sharepoint/v3"/>
    <xsd:import namespace="d74c950a-78ac-4838-92ef-a1426a5f274c"/>
    <xsd:import namespace="17c60b09-739e-4693-8901-93c6edee2864"/>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Contributor" minOccurs="0"/>
                <xsd:element ref="ns2:Linktothefile" minOccurs="0"/>
                <xsd:element ref="ns2:_Flow_SignoffStatus" minOccurs="0"/>
                <xsd:element ref="ns3:EC_ARES_NUMBER" minOccurs="0"/>
                <xsd:element ref="ns3:EC_ARES_DATE_TRANSFERRED" minOccurs="0"/>
                <xsd:element ref="ns3:EC_ARES_TRANSFERRED_BY" minOccurs="0"/>
                <xsd:element ref="ns1:_vti_ItemHoldRecordStatus" minOccurs="0"/>
                <xsd:element ref="ns4:IconOverlay" minOccurs="0"/>
                <xsd:element ref="ns1:_vti_ItemDeclaredRecor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8" nillable="true" ma:displayName="État de conservation et d’enregistrement" ma:decimals="0" ma:hidden="true" ma:internalName="_vti_ItemHoldRecordStatus" ma:readOnly="true">
      <xsd:simpleType>
        <xsd:restriction base="dms:Unknown"/>
      </xsd:simpleType>
    </xsd:element>
    <xsd:element name="_vti_ItemDeclaredRecord" ma:index="30" nillable="true" ma:displayName="Enregistrement déclaré"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ntributor" ma:index="22" nillable="true" ma:displayName="Contributor" ma:format="Dropdown" ma:list="UserInfo" ma:SharePointGroup="0" ma:internalName="Contribu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thefile" ma:index="23" nillable="true" ma:displayName="Link to the file" ma:format="Hyperlink" ma:internalName="Linktothefile">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4" nillable="true" ma:displayName="État de validation" ma:internalName="_x0024_Resources_x003a_core_x002c_Signoff_Status">
      <xsd:simpleType>
        <xsd:restriction base="dms:Text"/>
      </xsd:simpleType>
    </xsd:element>
    <xsd:element name="MediaServiceLocation" ma:index="3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ff648ecc-43ea-4bde-9c3e-1c8fecc211d7}"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7c60b09-739e-4693-8901-93c6edee2864" xsi:nil="true"/>
    <lcf76f155ced4ddcb4097134ff3c332f xmlns="d74c950a-78ac-4838-92ef-a1426a5f274c">
      <Terms xmlns="http://schemas.microsoft.com/office/infopath/2007/PartnerControls"/>
    </lcf76f155ced4ddcb4097134ff3c332f>
    <Contributor xmlns="d74c950a-78ac-4838-92ef-a1426a5f274c">
      <UserInfo>
        <DisplayName/>
        <AccountId xsi:nil="true"/>
        <AccountType/>
      </UserInfo>
    </Contributor>
    <Linktothefile xmlns="d74c950a-78ac-4838-92ef-a1426a5f274c">
      <Url xsi:nil="true"/>
      <Description xsi:nil="true"/>
    </Linktothefile>
    <EC_ARES_DATE_TRANSFERRED xmlns="17c60b09-739e-4693-8901-93c6edee2864" xsi:nil="true"/>
    <IconOverlay xmlns="http://schemas.microsoft.com/sharepoint/v4" xsi:nil="true"/>
    <EC_ARES_NUMBER xmlns="17c60b09-739e-4693-8901-93c6edee2864">
      <Url xsi:nil="true"/>
      <Description xsi:nil="true"/>
    </EC_ARES_NUMBER>
    <_Flow_SignoffStatus xmlns="d74c950a-78ac-4838-92ef-a1426a5f274c" xsi:nil="true"/>
    <EC_ARES_TRANSFERRED_BY xmlns="17c60b09-739e-4693-8901-93c6edee2864" xsi:nil="true"/>
  </documentManagement>
</p:properties>
</file>

<file path=customXml/itemProps1.xml><?xml version="1.0" encoding="utf-8"?>
<ds:datastoreItem xmlns:ds="http://schemas.openxmlformats.org/officeDocument/2006/customXml" ds:itemID="{2158B9C4-5C10-4092-81FA-E8946C865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4c950a-78ac-4838-92ef-a1426a5f274c"/>
    <ds:schemaRef ds:uri="17c60b09-739e-4693-8901-93c6edee286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B8770F-35FE-4A28-89F8-FF15CAAAA1A9}">
  <ds:schemaRefs>
    <ds:schemaRef ds:uri="http://schemas.microsoft.com/sharepoint/v3/contenttype/forms"/>
  </ds:schemaRefs>
</ds:datastoreItem>
</file>

<file path=customXml/itemProps3.xml><?xml version="1.0" encoding="utf-8"?>
<ds:datastoreItem xmlns:ds="http://schemas.openxmlformats.org/officeDocument/2006/customXml" ds:itemID="{F1CD189C-7C66-4228-9310-87EA3D71B2E9}">
  <ds:schemaRefs>
    <ds:schemaRef ds:uri="http://schemas.microsoft.com/office/2006/metadata/properties"/>
    <ds:schemaRef ds:uri="http://schemas.microsoft.com/office/infopath/2007/PartnerControls"/>
    <ds:schemaRef ds:uri="17c60b09-739e-4693-8901-93c6edee2864"/>
    <ds:schemaRef ds:uri="d74c950a-78ac-4838-92ef-a1426a5f274c"/>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ANNEX.dotm</Template>
  <TotalTime>3</TotalTime>
  <Pages>3</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2026-02-20T13:53:00Z</dcterms:created>
  <dcterms:modified xsi:type="dcterms:W3CDTF">2026-03-05T08:25:00Z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20241104</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2025-02-27T16:40:27Z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c0e6595d-d3ef-4329-bbbb-8676f5fe165a</vt:lpwstr>
  </property>
  <property fmtid="{D5CDD505-2E9C-101B-9397-08002B2CF9AE}" pid="15" name="MSIP_Label_6bd9ddd1-4d20-43f6-abfa-fc3c07406f94_ContentBits">
    <vt:lpwstr>0</vt:lpwstr>
  </property>
  <property fmtid="{D5CDD505-2E9C-101B-9397-08002B2CF9AE}" pid="16" name="ContentTypeId">
    <vt:lpwstr>0x010100F3DA1763E5DCF94383754B6D3E5E6622</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1</vt:lpwstr>
  </property>
  <property fmtid="{D5CDD505-2E9C-101B-9397-08002B2CF9AE}" pid="20" name="MediaServiceImageTags">
    <vt:lpwstr/>
  </property>
  <property fmtid="{D5CDD505-2E9C-101B-9397-08002B2CF9AE}" pid="21" name="DQCStatus">
    <vt:lpwstr>Green (DQC version 03)</vt:lpwstr>
  </property>
</Properties>
</file>