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36F" w:rsidRPr="009D4B5F" w:rsidRDefault="00542E28" w:rsidP="00542E2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F87E94-0476-4A71-8004-1A7627F53E4F" style="width:455.25pt;height:371.25pt">
            <v:imagedata r:id="rId11" o:title=""/>
          </v:shape>
        </w:pict>
      </w:r>
    </w:p>
    <w:p w:rsidR="009B236F" w:rsidRPr="009D4B5F" w:rsidRDefault="009B236F" w:rsidP="009B236F">
      <w:pPr>
        <w:rPr>
          <w:noProof/>
        </w:rPr>
        <w:sectPr w:rsidR="009B236F" w:rsidRPr="009D4B5F" w:rsidSect="00542E28">
          <w:footerReference w:type="even" r:id="rId12"/>
          <w:footerReference w:type="default" r:id="rId13"/>
          <w:pgSz w:w="11907" w:h="16839"/>
          <w:pgMar w:top="1134" w:right="1417" w:bottom="1134" w:left="1417" w:header="709" w:footer="709" w:gutter="0"/>
          <w:pgNumType w:start="0"/>
          <w:cols w:space="720"/>
          <w:docGrid w:linePitch="360"/>
        </w:sectPr>
      </w:pPr>
    </w:p>
    <w:p w:rsidR="009B236F" w:rsidRPr="009D4B5F" w:rsidRDefault="009B236F" w:rsidP="00BB6B30">
      <w:pPr>
        <w:pStyle w:val="Exposdesmotifstitre"/>
        <w:rPr>
          <w:noProof/>
        </w:rPr>
      </w:pPr>
      <w:bookmarkStart w:id="0" w:name="_GoBack"/>
      <w:bookmarkEnd w:id="0"/>
      <w:r w:rsidRPr="009D4B5F">
        <w:rPr>
          <w:noProof/>
        </w:rPr>
        <w:lastRenderedPageBreak/>
        <w:t>EXPUNERE DE MOTIVE</w:t>
      </w:r>
    </w:p>
    <w:p w:rsidR="00B73F96" w:rsidRPr="009D4B5F" w:rsidRDefault="00514E63" w:rsidP="00D042F7">
      <w:pPr>
        <w:pStyle w:val="ManualHeading1"/>
        <w:rPr>
          <w:noProof/>
        </w:rPr>
      </w:pPr>
      <w:r>
        <w:rPr>
          <w:noProof/>
        </w:rPr>
        <w:t>1.</w:t>
      </w:r>
      <w:r>
        <w:rPr>
          <w:noProof/>
        </w:rPr>
        <w:tab/>
      </w:r>
      <w:r w:rsidRPr="009D4B5F">
        <w:rPr>
          <w:noProof/>
        </w:rPr>
        <w:t>Obiectul propunerii</w:t>
      </w:r>
    </w:p>
    <w:p w:rsidR="00B73F96" w:rsidRPr="009D4B5F" w:rsidRDefault="00B73F96" w:rsidP="00291814">
      <w:pPr>
        <w:pStyle w:val="Text1"/>
        <w:rPr>
          <w:noProof/>
        </w:rPr>
      </w:pPr>
      <w:r w:rsidRPr="009D4B5F">
        <w:rPr>
          <w:noProof/>
        </w:rPr>
        <w:t>Prezenta propunere se referă la decizia de stabilire a poziției care urmează să fie luată în numele Uniunii în cadrul celei de-a treia sesiuni a Autorității de supraveghere instituite în temeiul articolului 17 din Convenția privind garanțiile internaționale în materie de echipamente mobile („Convenția de la Cape Town”) și al articolului XII din Protocolul la Convenția de la Cape Town referitor la aspecte specifice materialului feroviar rulant, adoptat la Luxemburg la 23 februarie 2007 („Protocolul de la Luxemburg”), în legătură cu:</w:t>
      </w:r>
    </w:p>
    <w:p w:rsidR="00B73F96" w:rsidRPr="009D4B5F" w:rsidRDefault="009D4B5F" w:rsidP="00D042F7">
      <w:pPr>
        <w:pStyle w:val="Point1"/>
        <w:rPr>
          <w:noProof/>
        </w:rPr>
      </w:pPr>
      <w:r>
        <w:rPr>
          <w:noProof/>
        </w:rPr>
        <w:t>(1)</w:t>
      </w:r>
      <w:r>
        <w:rPr>
          <w:noProof/>
        </w:rPr>
        <w:tab/>
      </w:r>
      <w:r w:rsidRPr="009D4B5F">
        <w:rPr>
          <w:noProof/>
        </w:rPr>
        <w:t>p</w:t>
      </w:r>
      <w:r w:rsidR="00BB31AC" w:rsidRPr="009D4B5F">
        <w:rPr>
          <w:noProof/>
        </w:rPr>
        <w:t>ropunerea de a lua act de o nouă versiune a normelor-tip privind identificarea permanentă a materialului feroviar rulant (denumite în continuare, de asemenea, „normele-tip”) și</w:t>
      </w:r>
    </w:p>
    <w:p w:rsidR="00B73F96" w:rsidRPr="009D4B5F" w:rsidRDefault="009D4B5F" w:rsidP="000D2A69">
      <w:pPr>
        <w:pStyle w:val="Point1"/>
        <w:rPr>
          <w:noProof/>
        </w:rPr>
      </w:pPr>
      <w:r>
        <w:rPr>
          <w:noProof/>
        </w:rPr>
        <w:t>(2)</w:t>
      </w:r>
      <w:r>
        <w:rPr>
          <w:noProof/>
        </w:rPr>
        <w:tab/>
      </w:r>
      <w:r w:rsidRPr="009D4B5F">
        <w:rPr>
          <w:noProof/>
        </w:rPr>
        <w:t>r</w:t>
      </w:r>
      <w:r w:rsidR="00514E63" w:rsidRPr="009D4B5F">
        <w:rPr>
          <w:noProof/>
        </w:rPr>
        <w:t>evizuirea Statutului și a Regulamentului de procedură ale Autorității de supraveghere.</w:t>
      </w:r>
    </w:p>
    <w:p w:rsidR="00B73F96" w:rsidRPr="009D4B5F" w:rsidRDefault="00B73F96" w:rsidP="008B3846">
      <w:pPr>
        <w:pStyle w:val="Text1"/>
        <w:rPr>
          <w:noProof/>
        </w:rPr>
      </w:pPr>
      <w:r w:rsidRPr="009D4B5F">
        <w:rPr>
          <w:noProof/>
        </w:rPr>
        <w:t>A treia sesiune a Autorității de supraveghere a Protocolului de la Luxemburg este programată să aibă loc la 14 aprilie 2026 la Berna, în Elveția.</w:t>
      </w:r>
    </w:p>
    <w:p w:rsidR="00514E63" w:rsidRPr="009D4B5F" w:rsidRDefault="00514E63" w:rsidP="007B322E">
      <w:pPr>
        <w:pStyle w:val="ManualHeading1"/>
        <w:rPr>
          <w:noProof/>
        </w:rPr>
      </w:pPr>
      <w:r>
        <w:rPr>
          <w:noProof/>
        </w:rPr>
        <w:t>2.</w:t>
      </w:r>
      <w:r>
        <w:rPr>
          <w:noProof/>
        </w:rPr>
        <w:tab/>
      </w:r>
      <w:r w:rsidRPr="009D4B5F">
        <w:rPr>
          <w:noProof/>
        </w:rPr>
        <w:t>Contextul propunerii</w:t>
      </w:r>
    </w:p>
    <w:p w:rsidR="00B73F96" w:rsidRPr="009D4B5F" w:rsidRDefault="00B73F96" w:rsidP="00C845BB">
      <w:pPr>
        <w:pStyle w:val="ManualHeading2"/>
        <w:rPr>
          <w:noProof/>
        </w:rPr>
      </w:pPr>
      <w:r>
        <w:rPr>
          <w:noProof/>
        </w:rPr>
        <w:t>2.1.</w:t>
      </w:r>
      <w:r>
        <w:rPr>
          <w:noProof/>
        </w:rPr>
        <w:tab/>
      </w:r>
      <w:r w:rsidRPr="009D4B5F">
        <w:rPr>
          <w:noProof/>
        </w:rPr>
        <w:t>Protocolul de la Luxemburg la Convenția de la Cape Town</w:t>
      </w:r>
    </w:p>
    <w:p w:rsidR="00B73F96" w:rsidRPr="009D4B5F" w:rsidRDefault="00B73F96" w:rsidP="00C845BB">
      <w:pPr>
        <w:pStyle w:val="ManualHeading3"/>
        <w:rPr>
          <w:noProof/>
        </w:rPr>
      </w:pPr>
      <w:r>
        <w:rPr>
          <w:noProof/>
        </w:rPr>
        <w:t>2.1.1.</w:t>
      </w:r>
      <w:r>
        <w:rPr>
          <w:noProof/>
        </w:rPr>
        <w:tab/>
      </w:r>
      <w:r w:rsidRPr="009D4B5F">
        <w:rPr>
          <w:noProof/>
        </w:rPr>
        <w:t>Istoricul dosarului</w:t>
      </w:r>
    </w:p>
    <w:p w:rsidR="00B73F96" w:rsidRPr="009D4B5F" w:rsidRDefault="00B73F96" w:rsidP="00B36E8E">
      <w:pPr>
        <w:pStyle w:val="Text1"/>
        <w:rPr>
          <w:noProof/>
        </w:rPr>
      </w:pPr>
      <w:r w:rsidRPr="009D4B5F">
        <w:rPr>
          <w:noProof/>
        </w:rPr>
        <w:t>Protocolul la Convenția privind garanțiile internaționale în materie de echipamente mobile referitor la aspecte specifice materialului feroviar rulant („Protocolul de la Luxemburg”) a fost adoptat de conferința diplomatică desfășurată la Luxemburg la 23 februarie 2007, sub auspiciile Institutului Internațional pentru Unificarea Dreptului Privat (UNIDROIT) și ale Organizației Interguvernamentale pentru Transporturile Internaționale Feroviare (OTIF). Acest decret a intrat în vigoare la 8 martie 2024.</w:t>
      </w:r>
    </w:p>
    <w:p w:rsidR="00B73F96" w:rsidRPr="009D4B5F" w:rsidRDefault="00B73F96" w:rsidP="00B36E8E">
      <w:pPr>
        <w:pStyle w:val="Text1"/>
        <w:rPr>
          <w:noProof/>
        </w:rPr>
      </w:pPr>
      <w:r w:rsidRPr="009D4B5F">
        <w:rPr>
          <w:noProof/>
        </w:rPr>
        <w:t>Protocolul de la Luxemburg stabilește un cadru juridic mondial pentru recunoașterea, prioritățile și executarea drepturilor creditorului și ale locatorului, care vor fi înregistrate într-un registru internațional, în conformitate cu articolul 16 din Convenția de la Cape Town.</w:t>
      </w:r>
    </w:p>
    <w:p w:rsidR="00B73F96" w:rsidRPr="009D4B5F" w:rsidRDefault="00B73F96" w:rsidP="00B36E8E">
      <w:pPr>
        <w:pStyle w:val="Text1"/>
        <w:rPr>
          <w:noProof/>
        </w:rPr>
      </w:pPr>
      <w:r w:rsidRPr="009D4B5F">
        <w:rPr>
          <w:noProof/>
        </w:rPr>
        <w:t>Este important de remarcat faptul că articolul XIV din Protocolul de la Luxemburg prevede instituirea unui sistem de alocare a numerelor de identificare de către operatorul de registru, care să permită identificarea unică a elementelor de material feroviar rulant.</w:t>
      </w:r>
    </w:p>
    <w:p w:rsidR="00B73F96" w:rsidRPr="009D4B5F" w:rsidRDefault="00B73F96" w:rsidP="00B36E8E">
      <w:pPr>
        <w:pStyle w:val="Text1"/>
        <w:rPr>
          <w:noProof/>
        </w:rPr>
      </w:pPr>
      <w:r w:rsidRPr="009D4B5F">
        <w:rPr>
          <w:noProof/>
        </w:rPr>
        <w:t>Protocolul creează, de asemenea, un sistem comun de repunere în posesie</w:t>
      </w:r>
      <w:r w:rsidRPr="009D4B5F">
        <w:rPr>
          <w:rStyle w:val="FootnoteReference"/>
          <w:noProof/>
        </w:rPr>
        <w:footnoteReference w:id="2"/>
      </w:r>
      <w:r w:rsidRPr="009D4B5F">
        <w:rPr>
          <w:noProof/>
        </w:rPr>
        <w:t xml:space="preserve"> a activului în caz de neîndeplinire a obligațiilor de plată sau de insolvență a debitorului, sub rezerva unor garanții de interes public. Acest lucru este util în ceea ce privește echipamentele mobile care traversează frontierele, evitându-se incertitudinile juridice actuale în cazul în care o lege în temeiul căreia a fost finanțat activul este contestată în fața instanțelor dintr-o altă jurisdicție, unde este situat activul. Prin reducerea </w:t>
      </w:r>
      <w:r w:rsidRPr="009D4B5F">
        <w:rPr>
          <w:noProof/>
        </w:rPr>
        <w:lastRenderedPageBreak/>
        <w:t>riscurilor pentru finanțatorii echipamentelor feroviare, Protocolul de la Luxemburg ar trebui să atragă mai mulți creditori privați, ceea ce ar duce la o finanțare cu costuri mai reduse și ar crea opțiuni pentru operatori în ceea ce privește costurile și tipurile de finanțare.</w:t>
      </w:r>
    </w:p>
    <w:p w:rsidR="00B73F96" w:rsidRPr="009D4B5F" w:rsidRDefault="00B73F96" w:rsidP="00B36E8E">
      <w:pPr>
        <w:pStyle w:val="Text1"/>
        <w:rPr>
          <w:noProof/>
        </w:rPr>
      </w:pPr>
      <w:r w:rsidRPr="009D4B5F">
        <w:rPr>
          <w:noProof/>
        </w:rPr>
        <w:t>De asemenea, ar trebui să încurajeze investițiile de capital, care, la rândul lor, stimulează producția de material rulant și facilitează închirierea de material rulant nou și modern. În concluziile sale din 3 iunie 2021</w:t>
      </w:r>
      <w:r w:rsidRPr="009D4B5F">
        <w:rPr>
          <w:rStyle w:val="FootnoteReference"/>
          <w:noProof/>
        </w:rPr>
        <w:footnoteReference w:id="3"/>
      </w:r>
      <w:r w:rsidRPr="009D4B5F">
        <w:rPr>
          <w:noProof/>
        </w:rPr>
        <w:t>, Consiliul Uniunii Europene a recunoscut că „sunt necesare investiții majore din partea sectorului în materialul rulant folosit în transportul internațional pe distanțe lungi” și că „este nevoie urgentă de investiții din partea sectorului privat”, reamintind „statelor membre de existența unor acorduri și tratate internaționale care facilitează investițiile private, cum ar fi Protocolul feroviar de la Luxemburg la Convenția de la Cape Town [privind garanțiile internaționale în materie de echipamente mobile]”.</w:t>
      </w:r>
    </w:p>
    <w:p w:rsidR="00B73F96" w:rsidRPr="009D4B5F" w:rsidRDefault="00B73F96" w:rsidP="00B36E8E">
      <w:pPr>
        <w:pStyle w:val="ManualHeading3"/>
        <w:rPr>
          <w:noProof/>
        </w:rPr>
      </w:pPr>
      <w:r>
        <w:rPr>
          <w:noProof/>
        </w:rPr>
        <w:t>2.1.2.</w:t>
      </w:r>
      <w:r>
        <w:rPr>
          <w:noProof/>
        </w:rPr>
        <w:tab/>
      </w:r>
      <w:r w:rsidRPr="009D4B5F">
        <w:rPr>
          <w:noProof/>
        </w:rPr>
        <w:t>Aderarea Uniunii Europene</w:t>
      </w:r>
    </w:p>
    <w:p w:rsidR="00B73F96" w:rsidRPr="009D4B5F" w:rsidRDefault="00B73F96" w:rsidP="00B36E8E">
      <w:pPr>
        <w:pStyle w:val="Text1"/>
        <w:rPr>
          <w:noProof/>
        </w:rPr>
      </w:pPr>
      <w:r w:rsidRPr="009D4B5F">
        <w:rPr>
          <w:noProof/>
        </w:rPr>
        <w:t>Uniunea Europeană, în ceea ce privește competențele sale, a aprobat Protocolul de la Luxemburg prin Decizia 2014/888/UE a Consiliului din 4 decembrie 2014 privind aprobarea, în numele Uniunii Europene, a Protocolului la Convenția privind garanțiile internaționale în materie de echipamente mobile referitor la aspecte specifice materialului feroviar rulant, adoptat la Luxemburg la 23 februarie 2007</w:t>
      </w:r>
      <w:r w:rsidRPr="009D4B5F">
        <w:rPr>
          <w:rStyle w:val="FootnoteReference"/>
          <w:noProof/>
        </w:rPr>
        <w:footnoteReference w:id="4"/>
      </w:r>
      <w:r w:rsidRPr="009D4B5F">
        <w:rPr>
          <w:noProof/>
        </w:rPr>
        <w:t>, cu statutul de organizație de integrare economică regională (în temeiul articolului XXII din Protocolul de la Luxemburg).</w:t>
      </w:r>
    </w:p>
    <w:p w:rsidR="00B73F96" w:rsidRPr="009D4B5F" w:rsidRDefault="00B73F96" w:rsidP="00B36E8E">
      <w:pPr>
        <w:pStyle w:val="Text1"/>
        <w:rPr>
          <w:noProof/>
        </w:rPr>
      </w:pPr>
      <w:r w:rsidRPr="009D4B5F">
        <w:rPr>
          <w:noProof/>
        </w:rPr>
        <w:t>Anexa la prezenta Decizia 2014/888/UE a Consiliului conține o declarație privind competența Uniunii Europene în chestiuni reglementate de Protocolul de la Luxemburg, cu privire la care statele membre și-au transferat competența Uniunii. Aceasta se referă la anumite domenii legate de competența judiciară, recunoașterea și executarea hotărârilor în materie civilă și comercială, la procedurile de insolvență și la legea aplicabilă obligațiilor contractuale, precum și la unele domenii ale acquis-ului în materie de transport feroviar, în special interoperabilitatea sistemului feroviar, funcționarea Agenției Uniunii Europene pentru Căile Ferate, sistemul de numerotare a materialului feroviar rulant și a vehiculelor înmatriculate în UE, reglementate de următoarele acte legislative ale Uniunii:</w:t>
      </w:r>
    </w:p>
    <w:p w:rsidR="00B73F96" w:rsidRPr="009D4B5F" w:rsidRDefault="00B73F96" w:rsidP="00D042F7">
      <w:pPr>
        <w:pStyle w:val="Tiret2"/>
        <w:numPr>
          <w:ilvl w:val="0"/>
          <w:numId w:val="8"/>
        </w:numPr>
        <w:rPr>
          <w:noProof/>
        </w:rPr>
      </w:pPr>
      <w:r w:rsidRPr="009D4B5F">
        <w:rPr>
          <w:noProof/>
        </w:rPr>
        <w:t>Directiva (UE) 2016/797 a Parlamentului European și a Consiliului din 11 mai 2016 privind interoperabilitatea sistemului feroviar în Uniunea Europeană</w:t>
      </w:r>
      <w:r w:rsidRPr="009D4B5F">
        <w:rPr>
          <w:rStyle w:val="FootnoteReference"/>
          <w:noProof/>
        </w:rPr>
        <w:footnoteReference w:id="5"/>
      </w:r>
      <w:r w:rsidRPr="009D4B5F">
        <w:rPr>
          <w:noProof/>
        </w:rPr>
        <w:t>;</w:t>
      </w:r>
    </w:p>
    <w:p w:rsidR="00B73F96" w:rsidRPr="009D4B5F" w:rsidRDefault="00B73F96" w:rsidP="005F0552">
      <w:pPr>
        <w:pStyle w:val="Tiret2"/>
        <w:rPr>
          <w:noProof/>
        </w:rPr>
      </w:pPr>
      <w:r w:rsidRPr="009D4B5F">
        <w:rPr>
          <w:noProof/>
        </w:rPr>
        <w:t>Regulamentul (UE) 2016/796 al Parlamentului European și al Consiliului din 11 mai 2016 privind Agenția Uniunii Europene pentru Căile Ferate</w:t>
      </w:r>
      <w:r w:rsidRPr="009D4B5F">
        <w:rPr>
          <w:rStyle w:val="FootnoteReference"/>
          <w:noProof/>
        </w:rPr>
        <w:footnoteReference w:id="6"/>
      </w:r>
      <w:r w:rsidRPr="009D4B5F">
        <w:rPr>
          <w:noProof/>
        </w:rPr>
        <w:t>;</w:t>
      </w:r>
    </w:p>
    <w:p w:rsidR="00B73F96" w:rsidRPr="009D4B5F" w:rsidRDefault="00B73F96" w:rsidP="005F0552">
      <w:pPr>
        <w:pStyle w:val="Tiret2"/>
        <w:rPr>
          <w:noProof/>
        </w:rPr>
      </w:pPr>
      <w:r w:rsidRPr="009D4B5F">
        <w:rPr>
          <w:noProof/>
        </w:rPr>
        <w:t xml:space="preserve">Regulamentul de punere în aplicare (UE) 2019/773 al Comisiei din 16 mai 2019 privind specificația tehnică de interoperabilitate referitoare la </w:t>
      </w:r>
      <w:r w:rsidRPr="009D4B5F">
        <w:rPr>
          <w:noProof/>
        </w:rPr>
        <w:lastRenderedPageBreak/>
        <w:t>subsistemul „exploatare și gestionarea traficului” al sistemului feroviar din Uniunea Europeană</w:t>
      </w:r>
      <w:r w:rsidRPr="009D4B5F">
        <w:rPr>
          <w:rStyle w:val="FootnoteReference"/>
          <w:noProof/>
        </w:rPr>
        <w:footnoteReference w:id="7"/>
      </w:r>
      <w:r w:rsidRPr="009D4B5F">
        <w:rPr>
          <w:noProof/>
        </w:rPr>
        <w:t>;</w:t>
      </w:r>
    </w:p>
    <w:p w:rsidR="00B73F96" w:rsidRPr="009D4B5F" w:rsidRDefault="00B73F96" w:rsidP="005F0552">
      <w:pPr>
        <w:pStyle w:val="Tiret2"/>
        <w:rPr>
          <w:noProof/>
        </w:rPr>
      </w:pPr>
      <w:r w:rsidRPr="009D4B5F">
        <w:rPr>
          <w:noProof/>
        </w:rPr>
        <w:t>Decizia de punere în aplicare (UE) 2018/1614 a Comisiei din 25 octombrie 2018 de stabilire a specificațiilor pentru registrele vehiculelor menționate la articolul 47 din Directiva (UE) 2016/797 a Parlamentului European și a Consiliului</w:t>
      </w:r>
      <w:r w:rsidRPr="009D4B5F">
        <w:rPr>
          <w:rStyle w:val="FootnoteReference"/>
          <w:noProof/>
        </w:rPr>
        <w:footnoteReference w:id="8"/>
      </w:r>
      <w:r w:rsidRPr="009D4B5F">
        <w:rPr>
          <w:noProof/>
        </w:rPr>
        <w:t>.</w:t>
      </w:r>
    </w:p>
    <w:p w:rsidR="00514E63" w:rsidRPr="009D4B5F" w:rsidRDefault="00B73F96" w:rsidP="00B36E8E">
      <w:pPr>
        <w:pStyle w:val="Text1"/>
        <w:rPr>
          <w:noProof/>
        </w:rPr>
      </w:pPr>
      <w:r w:rsidRPr="009D4B5F">
        <w:rPr>
          <w:noProof/>
        </w:rPr>
        <w:t>Până în prezent, pe lângă Uniunea Europeană, Luxemburg, Suedia și Spania sunt singurele state membre ale UE care sunt, în prezent, părți la Protocolul de la Luxemburg.</w:t>
      </w:r>
    </w:p>
    <w:p w:rsidR="00B73F96" w:rsidRPr="009D4B5F" w:rsidRDefault="00B73F96" w:rsidP="007B322E">
      <w:pPr>
        <w:pStyle w:val="ManualHeading2"/>
        <w:rPr>
          <w:noProof/>
        </w:rPr>
      </w:pPr>
      <w:r>
        <w:rPr>
          <w:noProof/>
        </w:rPr>
        <w:t>2.2.</w:t>
      </w:r>
      <w:r>
        <w:rPr>
          <w:noProof/>
        </w:rPr>
        <w:tab/>
      </w:r>
      <w:r w:rsidRPr="009D4B5F">
        <w:rPr>
          <w:noProof/>
        </w:rPr>
        <w:t>Autoritatea de supraveghere</w:t>
      </w:r>
    </w:p>
    <w:p w:rsidR="00B73F96" w:rsidRPr="009D4B5F" w:rsidRDefault="00B73F96" w:rsidP="008B3846">
      <w:pPr>
        <w:pStyle w:val="Text1"/>
        <w:rPr>
          <w:noProof/>
        </w:rPr>
      </w:pPr>
      <w:r w:rsidRPr="009D4B5F">
        <w:rPr>
          <w:noProof/>
        </w:rPr>
        <w:t>Autoritatea de supraveghere este instituită în temeiul articolului 17 din Convenția de la Cape Town și al articolului XII din Protocolul de la Luxemburg. Sarcinile și funcțiile acesteia, astfel cum decurg din dispozițiile Protocolului de la Luxemburg și ale articolului 17 alineatul (2) din Convenția de la Cape Town, sunt enumerate la articolul 5 din Statutul său</w:t>
      </w:r>
      <w:r w:rsidRPr="009D4B5F">
        <w:rPr>
          <w:rStyle w:val="FootnoteReference"/>
          <w:noProof/>
        </w:rPr>
        <w:footnoteReference w:id="9"/>
      </w:r>
      <w:r w:rsidRPr="009D4B5F">
        <w:rPr>
          <w:noProof/>
        </w:rPr>
        <w:t xml:space="preserve"> și constau în principal în sarcini administrative și operaționale.</w:t>
      </w:r>
    </w:p>
    <w:p w:rsidR="00B73F96" w:rsidRPr="009D4B5F" w:rsidRDefault="00B73F96" w:rsidP="008B3846">
      <w:pPr>
        <w:pStyle w:val="Text1"/>
        <w:rPr>
          <w:noProof/>
        </w:rPr>
      </w:pPr>
      <w:r w:rsidRPr="009D4B5F">
        <w:rPr>
          <w:noProof/>
        </w:rPr>
        <w:t>În cadrul celei de a 7-a adunări generale (desfășurată la Berna, în zilele de 23-24 noiembrie 2005) și al celei de a 12-a adunări generale (desfășurată la Berna, în zilele de 29-30 septembrie 2015)</w:t>
      </w:r>
      <w:r w:rsidRPr="009D4B5F">
        <w:rPr>
          <w:rStyle w:val="FootnoteReference"/>
          <w:noProof/>
        </w:rPr>
        <w:footnoteReference w:id="10"/>
      </w:r>
      <w:r w:rsidRPr="009D4B5F">
        <w:rPr>
          <w:noProof/>
        </w:rPr>
        <w:t>, OTIF a decis să își asume sarcinile secretariatului Autorității de supraveghere, în conformitate cu articolul XII alineatul (6) din Protocolul de la Luxemburg.</w:t>
      </w:r>
    </w:p>
    <w:p w:rsidR="00B73F96" w:rsidRPr="009D4B5F" w:rsidRDefault="00B73F96" w:rsidP="008B3846">
      <w:pPr>
        <w:pStyle w:val="Text1"/>
        <w:rPr>
          <w:noProof/>
        </w:rPr>
      </w:pPr>
      <w:r w:rsidRPr="009D4B5F">
        <w:rPr>
          <w:noProof/>
        </w:rPr>
        <w:t>Componența Autorității de supraveghere se stabilește în conformitate cu articolul XII alineatul (1) din Protocolul de la Luxemburg. La litera (a), se prevede că fiecare stat parte este membru, fiecare având posibilitatea de a numi un reprezentant. La literele (b) și (c), se prevede că UNIDROIT și, respectiv, OTIF pot desemna cel mult alte trei state fiecare, ale căror mandate expiră în termen de cel mult doi ani de la data intrării în vigoare a Protocolului de la Luxemburg.</w:t>
      </w:r>
    </w:p>
    <w:p w:rsidR="004E5250" w:rsidRPr="009D4B5F" w:rsidRDefault="004E5250" w:rsidP="004E5250">
      <w:pPr>
        <w:pStyle w:val="ManualHeading3"/>
        <w:rPr>
          <w:noProof/>
        </w:rPr>
      </w:pPr>
      <w:r>
        <w:rPr>
          <w:noProof/>
        </w:rPr>
        <w:t>2.2.1.</w:t>
      </w:r>
      <w:r>
        <w:rPr>
          <w:noProof/>
        </w:rPr>
        <w:tab/>
      </w:r>
      <w:r w:rsidRPr="009D4B5F">
        <w:rPr>
          <w:noProof/>
        </w:rPr>
        <w:t>Sesiunea inaugurală a Comisiei de experți</w:t>
      </w:r>
    </w:p>
    <w:p w:rsidR="004E5250" w:rsidRPr="009D4B5F" w:rsidRDefault="00157F5F" w:rsidP="00157F5F">
      <w:pPr>
        <w:pStyle w:val="Text1"/>
        <w:rPr>
          <w:noProof/>
        </w:rPr>
      </w:pPr>
      <w:r w:rsidRPr="009D4B5F">
        <w:rPr>
          <w:noProof/>
        </w:rPr>
        <w:t xml:space="preserve">În cadrul primei sale sesiuni, Autoritatea de supraveghere a înființat o comisie de experți care să o asiste în îndeplinirea funcțiilor sale, în conformitate cu articolul XII alineatul (5) litera (b) din Protocolul de la Luxemburg și cu articolul 6 din Statutul autorității de supraveghere. Comisia de experți este formată din persoane despre care Autoritatea de supraveghere consideră că au calificările, expertiza și experiența </w:t>
      </w:r>
      <w:r w:rsidRPr="009D4B5F">
        <w:rPr>
          <w:noProof/>
        </w:rPr>
        <w:lastRenderedPageBreak/>
        <w:t>necesare pentru o astfel de funcție. Aceștia sunt selectați dintre persoanele nominalizate de statele părți, statele semnatare și cele nominalizate de președinte.</w:t>
      </w:r>
    </w:p>
    <w:p w:rsidR="00D67E5B" w:rsidRPr="009D4B5F" w:rsidRDefault="00371B01" w:rsidP="00D67E5B">
      <w:pPr>
        <w:pStyle w:val="Text1"/>
        <w:rPr>
          <w:noProof/>
        </w:rPr>
      </w:pPr>
      <w:r w:rsidRPr="009D4B5F">
        <w:rPr>
          <w:noProof/>
        </w:rPr>
        <w:t>Sesiunea inaugurală a Comisiei de experți a avut loc în noiembrie 2025. În cursul acestei sesiuni au fost aleși președintele și cei doi vicepreședinți. Comisia de experți a discutat, de asemenea, cadrul său operațional, inclusiv mandatul și modalitățile sale de lucru, a revizuit regulamentele și procedurile privind Registrul internațional al intereselor în materie de material rulant și a luat în considerare sensibilizarea cu privire la Protocolul de la Luxemburg.</w:t>
      </w:r>
    </w:p>
    <w:p w:rsidR="00514E63" w:rsidRPr="009D4B5F" w:rsidRDefault="00514E63" w:rsidP="002346A4">
      <w:pPr>
        <w:pStyle w:val="Text1"/>
        <w:rPr>
          <w:noProof/>
        </w:rPr>
      </w:pPr>
      <w:r w:rsidRPr="009D4B5F">
        <w:rPr>
          <w:noProof/>
        </w:rPr>
        <w:t>În cursul sesiunii sale inaugurale, Comisia de experți a remarcat, de asemenea, că adoptarea revizuirii 3 a normelor-tip este voluntară și a convenit că revizuirea 3 a normelor-tip trebuie prezentată autorității de supraveghere pentru a lua act de aceasta, deoarece a considerat că nu sunt necesare măsuri formale din partea autorității de supraveghere în legătură cu această revizuire.</w:t>
      </w:r>
    </w:p>
    <w:p w:rsidR="00B73F96" w:rsidRPr="009D4B5F" w:rsidRDefault="00B73F96" w:rsidP="007B322E">
      <w:pPr>
        <w:pStyle w:val="ManualHeading2"/>
        <w:rPr>
          <w:noProof/>
        </w:rPr>
      </w:pPr>
      <w:r>
        <w:rPr>
          <w:noProof/>
        </w:rPr>
        <w:t>2.3.</w:t>
      </w:r>
      <w:r>
        <w:rPr>
          <w:noProof/>
        </w:rPr>
        <w:tab/>
      </w:r>
      <w:r w:rsidRPr="009D4B5F">
        <w:rPr>
          <w:noProof/>
        </w:rPr>
        <w:t>Actele avute în vedere ale Autorității de supraveghere</w:t>
      </w:r>
    </w:p>
    <w:p w:rsidR="00917A55" w:rsidRPr="009D4B5F" w:rsidRDefault="00524A2F" w:rsidP="00BB31AC">
      <w:pPr>
        <w:pStyle w:val="Text1"/>
        <w:rPr>
          <w:noProof/>
        </w:rPr>
      </w:pPr>
      <w:r w:rsidRPr="009D4B5F">
        <w:rPr>
          <w:noProof/>
        </w:rPr>
        <w:t>În cursul acestei a treia sesiuni și printre alte puncte de pe ordinea de zi, se așteaptă ca autoritatea de supraveghere să ia act de o nouă versiune a normelor-tip privind identificarea permanentă a materialului feroviar rulant (reviz</w:t>
      </w:r>
      <w:r w:rsidR="009D4B5F" w:rsidRPr="009D4B5F">
        <w:rPr>
          <w:noProof/>
        </w:rPr>
        <w:t>uirea</w:t>
      </w:r>
      <w:r w:rsidRPr="009D4B5F">
        <w:rPr>
          <w:noProof/>
        </w:rPr>
        <w:t xml:space="preserve"> 3) și să își revizuiască propriul Statut și propriul Regulament de procedură în conformitate cu articolul 12 din primul regulament și cu articolul 18 din cel de al doilea.</w:t>
      </w:r>
    </w:p>
    <w:p w:rsidR="0057491B" w:rsidRPr="009D4B5F" w:rsidRDefault="0057491B" w:rsidP="007B322E">
      <w:pPr>
        <w:pStyle w:val="ManualHeading3"/>
        <w:rPr>
          <w:noProof/>
        </w:rPr>
      </w:pPr>
      <w:r>
        <w:rPr>
          <w:noProof/>
        </w:rPr>
        <w:t>2.3.1.</w:t>
      </w:r>
      <w:r>
        <w:rPr>
          <w:noProof/>
        </w:rPr>
        <w:tab/>
      </w:r>
      <w:r w:rsidRPr="009D4B5F">
        <w:rPr>
          <w:noProof/>
        </w:rPr>
        <w:t>Norme-tip</w:t>
      </w:r>
    </w:p>
    <w:p w:rsidR="00E23063" w:rsidRPr="009D4B5F" w:rsidRDefault="00B73F96" w:rsidP="008B3846">
      <w:pPr>
        <w:pStyle w:val="Text1"/>
        <w:rPr>
          <w:noProof/>
        </w:rPr>
      </w:pPr>
      <w:r w:rsidRPr="009D4B5F">
        <w:rPr>
          <w:noProof/>
        </w:rPr>
        <w:t>Normele-tip privind identificarea permanentă a materialului feroviar rulant stabilesc metodele și responsabilitățile pentru aplicarea identificatorului sistemului unic de identificare unică a vehiculelor feroviare (URVIS) pe materialul feroviar rulant, astfel cum se prevede în Protocolul de la Luxemburg. Poziția Uniunii în ceea ce privește aprobarea acestora în versiunea lor inițială este prevăzută în Decizia (UE) 2024/851 a Consiliului</w:t>
      </w:r>
      <w:r w:rsidRPr="009D4B5F">
        <w:rPr>
          <w:rStyle w:val="FootnoteReference"/>
          <w:noProof/>
        </w:rPr>
        <w:footnoteReference w:id="11"/>
      </w:r>
      <w:r w:rsidRPr="009D4B5F">
        <w:rPr>
          <w:noProof/>
        </w:rPr>
        <w:t>, iar în ceea ce privește aprobarea acestora în cea de a doua versiune, în Decizia (UE) 2025/853 a Consiliului</w:t>
      </w:r>
      <w:r w:rsidRPr="009D4B5F">
        <w:rPr>
          <w:rStyle w:val="FootnoteReference"/>
          <w:noProof/>
        </w:rPr>
        <w:footnoteReference w:id="12"/>
      </w:r>
      <w:r w:rsidRPr="009D4B5F">
        <w:rPr>
          <w:noProof/>
        </w:rPr>
        <w:t xml:space="preserve">. </w:t>
      </w:r>
    </w:p>
    <w:p w:rsidR="00983274" w:rsidRPr="009D4B5F" w:rsidRDefault="00B73F96" w:rsidP="008B3846">
      <w:pPr>
        <w:pStyle w:val="Text1"/>
        <w:rPr>
          <w:noProof/>
        </w:rPr>
      </w:pPr>
      <w:r w:rsidRPr="009D4B5F">
        <w:rPr>
          <w:noProof/>
        </w:rPr>
        <w:t>Aceste norme sunt voluntare, cu excepția cazului în care legislația specifică impune aplicarea identificatorului; în orice caz, o parte trebuie să confirme respectarea prezentelor norme dacă dorește să înregistreze sau să fie beneficiarul oricărei garanții înregistrabile introduse în Registrul internațional al Protocolului de la Luxemburg. În conformitate cu punctul 4.2 din normele-tip, partea care dorește să își asume obligații în temeiul prezentului regulament trebuie să facă o declarație</w:t>
      </w:r>
      <w:r w:rsidRPr="009D4B5F">
        <w:rPr>
          <w:rStyle w:val="FootnoteReference"/>
          <w:noProof/>
        </w:rPr>
        <w:footnoteReference w:id="13"/>
      </w:r>
      <w:r w:rsidRPr="009D4B5F">
        <w:rPr>
          <w:noProof/>
        </w:rPr>
        <w:t xml:space="preserve"> și să îl informeze pe operatorul de registru cu privire la aceasta.</w:t>
      </w:r>
    </w:p>
    <w:p w:rsidR="001E634E" w:rsidRPr="009D4B5F" w:rsidRDefault="00917A4D" w:rsidP="00F005D4">
      <w:pPr>
        <w:pStyle w:val="Text1"/>
        <w:rPr>
          <w:noProof/>
        </w:rPr>
      </w:pPr>
      <w:r w:rsidRPr="009D4B5F">
        <w:rPr>
          <w:noProof/>
        </w:rPr>
        <w:lastRenderedPageBreak/>
        <w:t xml:space="preserve">Normele-tip sunt emise sub auspiciile Comisiei Economice pentru Europa a Organizației Națiunilor Unite (CEE-ONU) – SC.2 Grupul de lucru pentru transportul feroviar. În cadrul celei de a treia sesiuni (septembrie 2025), Comitetul de revizuire a normelor-tip a discutat și a convenit asupra adăugării unui nou apendice 3 privind </w:t>
      </w:r>
      <w:r w:rsidRPr="009D4B5F">
        <w:rPr>
          <w:i/>
          <w:iCs/>
          <w:noProof/>
        </w:rPr>
        <w:t>Aplicarea soluțiilor digitale la furnizarea de informații unui creditor cu privire la materialul feroviar rulant prin trimitere la identificatorul URVIS</w:t>
      </w:r>
      <w:r w:rsidRPr="009D4B5F">
        <w:rPr>
          <w:noProof/>
        </w:rPr>
        <w:t>. Ulterior, în cadrul celei de a șaptezeci și noua sesiuni (12-14 noiembrie 2025), Grupul de lucru SC.2 pentru transportul feroviar a adoptat modificările menționate mai sus și a convenit că modificările trebuie să intre în vigoare la momentul publicării raportului celei de a șaptezeci și noua sesiuni a SC.2 și a solicitat secretariatului să pregătească o revizuire</w:t>
      </w:r>
      <w:r w:rsidR="009D4B5F" w:rsidRPr="009D4B5F">
        <w:rPr>
          <w:noProof/>
        </w:rPr>
        <w:t> </w:t>
      </w:r>
      <w:r w:rsidRPr="009D4B5F">
        <w:rPr>
          <w:noProof/>
        </w:rPr>
        <w:t xml:space="preserve">3 consolidată, </w:t>
      </w:r>
      <w:r w:rsidRPr="009D4B5F">
        <w:rPr>
          <w:i/>
          <w:iCs/>
          <w:noProof/>
        </w:rPr>
        <w:t>încă neoficială</w:t>
      </w:r>
      <w:r w:rsidRPr="009D4B5F">
        <w:rPr>
          <w:noProof/>
        </w:rPr>
        <w:t>, a normelor-tip.</w:t>
      </w:r>
    </w:p>
    <w:p w:rsidR="00D134EA" w:rsidRPr="009D4B5F" w:rsidRDefault="003A0CA6" w:rsidP="001E634E">
      <w:pPr>
        <w:pStyle w:val="Text1"/>
        <w:rPr>
          <w:noProof/>
        </w:rPr>
      </w:pPr>
      <w:r w:rsidRPr="009D4B5F">
        <w:rPr>
          <w:noProof/>
        </w:rPr>
        <w:t>Secretariatul propune ca Autoritatea de supraveghere să ia act de astfel de modificări și să însărcineze organismul de înregistrare să publice revizuirea 3 a normelor-tip pe site-ul web al organismului de înregistrare, incluzând apoi atât revizuirea 2, cât și revizuirea 3.</w:t>
      </w:r>
    </w:p>
    <w:p w:rsidR="00B73F96" w:rsidRPr="009D4B5F" w:rsidRDefault="00B73F96" w:rsidP="008B3846">
      <w:pPr>
        <w:pStyle w:val="Text1"/>
        <w:rPr>
          <w:noProof/>
        </w:rPr>
      </w:pPr>
      <w:r w:rsidRPr="009D4B5F">
        <w:rPr>
          <w:noProof/>
        </w:rPr>
        <w:t>Această chestiune – marcarea materialului feroviar rulant – este reglementată la nivelul Uniunii prin Regulamentul de punere în aplicare (UE) 2019/773 al Comisiei, în special în apendicele H (</w:t>
      </w:r>
      <w:r w:rsidRPr="009D4B5F">
        <w:rPr>
          <w:i/>
          <w:iCs/>
          <w:noProof/>
        </w:rPr>
        <w:t>Numărul european de vehicul și marcajul alfabetic aferent de pe caroserie</w:t>
      </w:r>
      <w:r w:rsidRPr="009D4B5F">
        <w:rPr>
          <w:noProof/>
        </w:rPr>
        <w:t>). Prin urmare, aprobarea acestor norme-tip are vocația de a influența în mod decisiv conținutul legislației UE. Prin urmare, astfel cum se menționează în Decizia (UE) 2024/851 a Consiliului și în Decizia (UE) 2025/853 a Consiliului, Uniunea Europeană are competență exclusivă în ceea ce privește normele-tip, în temeiul articolului 3 alineatul (2) din TFUE.</w:t>
      </w:r>
    </w:p>
    <w:p w:rsidR="006009C3" w:rsidRPr="009D4B5F" w:rsidRDefault="006009C3" w:rsidP="00E15CA6">
      <w:pPr>
        <w:pStyle w:val="ManualHeading3"/>
        <w:rPr>
          <w:noProof/>
        </w:rPr>
      </w:pPr>
      <w:r>
        <w:rPr>
          <w:noProof/>
        </w:rPr>
        <w:t>2.3.2.</w:t>
      </w:r>
      <w:r>
        <w:rPr>
          <w:noProof/>
        </w:rPr>
        <w:tab/>
      </w:r>
      <w:r w:rsidRPr="009D4B5F">
        <w:rPr>
          <w:noProof/>
        </w:rPr>
        <w:t>Revizuirea Statutului Autorității de supraveghere</w:t>
      </w:r>
    </w:p>
    <w:p w:rsidR="008E61E1" w:rsidRPr="009D4B5F" w:rsidRDefault="005A5E6D" w:rsidP="005A5E6D">
      <w:pPr>
        <w:pStyle w:val="Text1"/>
        <w:rPr>
          <w:noProof/>
        </w:rPr>
      </w:pPr>
      <w:r w:rsidRPr="009D4B5F">
        <w:rPr>
          <w:noProof/>
        </w:rPr>
        <w:t xml:space="preserve">În cursul primei sale sesiuni, Comisia de experți a ajuns la acorduri cu privire la mandatul său și a solicitat secretariatului să prezinte această propunere autorității de supraveghere spre aprobare. De asemenea, Comisia a recomandat ca autoritatea de supraveghere să îi încredințeze autoritatea de a-și stabili propriul regulament de procedură, sub rezerva aprobării de către autoritatea de supraveghere a unor aspecte specifice, cum ar fi cvorumul, componența, procesele de vot și convocarea la reuniuni. </w:t>
      </w:r>
    </w:p>
    <w:p w:rsidR="005A5E6D" w:rsidRPr="009D4B5F" w:rsidRDefault="005A5E6D" w:rsidP="005A5E6D">
      <w:pPr>
        <w:pStyle w:val="Text1"/>
        <w:rPr>
          <w:noProof/>
        </w:rPr>
      </w:pPr>
      <w:r w:rsidRPr="009D4B5F">
        <w:rPr>
          <w:noProof/>
        </w:rPr>
        <w:t xml:space="preserve">Pentru a facilita punerea în aplicare a acestor recomandări, secretariatul a prezentat modificări ale Statutului autorității de supraveghere. Aceste modificări introduc un mandat cuprinzător pentru Comisia de experți în temeiul articolului 6, care necesită, de asemenea, definirea și includerea termenului </w:t>
      </w:r>
      <w:r w:rsidRPr="009D4B5F">
        <w:rPr>
          <w:i/>
          <w:iCs/>
          <w:noProof/>
        </w:rPr>
        <w:t>Proceduri pentru registru</w:t>
      </w:r>
      <w:r w:rsidRPr="009D4B5F">
        <w:rPr>
          <w:noProof/>
        </w:rPr>
        <w:t xml:space="preserve"> la articolul 1, pentru a asigura claritatea și modificarea termenului </w:t>
      </w:r>
      <w:r w:rsidRPr="009D4B5F">
        <w:rPr>
          <w:i/>
          <w:iCs/>
          <w:noProof/>
        </w:rPr>
        <w:t>Reglementări</w:t>
      </w:r>
      <w:r w:rsidRPr="009D4B5F">
        <w:rPr>
          <w:noProof/>
        </w:rPr>
        <w:t xml:space="preserve"> cu </w:t>
      </w:r>
      <w:r w:rsidRPr="009D4B5F">
        <w:rPr>
          <w:i/>
          <w:iCs/>
          <w:noProof/>
        </w:rPr>
        <w:t>Regulamente pentru registru</w:t>
      </w:r>
      <w:r w:rsidRPr="009D4B5F">
        <w:rPr>
          <w:noProof/>
        </w:rPr>
        <w:t xml:space="preserve"> în întregul Statut.</w:t>
      </w:r>
    </w:p>
    <w:p w:rsidR="00352596" w:rsidRPr="009D4B5F" w:rsidRDefault="00C944C7" w:rsidP="00793943">
      <w:pPr>
        <w:pStyle w:val="Text1"/>
        <w:rPr>
          <w:noProof/>
        </w:rPr>
      </w:pPr>
      <w:r w:rsidRPr="009D4B5F">
        <w:rPr>
          <w:noProof/>
        </w:rPr>
        <w:t xml:space="preserve">Articolul 6 din propunere definește mandatul Comisiei de experți, care </w:t>
      </w:r>
      <w:r w:rsidRPr="009D4B5F">
        <w:rPr>
          <w:i/>
          <w:iCs/>
          <w:noProof/>
        </w:rPr>
        <w:t>asistă [Autoritatea de supraveghere] în exercitarea funcțiilor sale, oferind consiliere și recomandări, inclusiv din proprie inițiativă</w:t>
      </w:r>
      <w:r w:rsidRPr="009D4B5F">
        <w:rPr>
          <w:noProof/>
        </w:rPr>
        <w:t xml:space="preserve">. Aceasta acoperă consilierea și recomandările în chestiuni precum plângerile referitoare la funcționarea registrului, acordurile dintre statele contractante, revizuirile normelor-tip, cu privire la </w:t>
      </w:r>
      <w:r w:rsidRPr="009D4B5F">
        <w:rPr>
          <w:i/>
          <w:iCs/>
          <w:noProof/>
        </w:rPr>
        <w:t>„orice alte aspecte pentru care autoritatea de supraveghere solicită consiliere”</w:t>
      </w:r>
      <w:r w:rsidRPr="009D4B5F">
        <w:rPr>
          <w:noProof/>
        </w:rPr>
        <w:t xml:space="preserve"> sau cu </w:t>
      </w:r>
      <w:r w:rsidRPr="009D4B5F">
        <w:rPr>
          <w:noProof/>
        </w:rPr>
        <w:lastRenderedPageBreak/>
        <w:t xml:space="preserve">privire la </w:t>
      </w:r>
      <w:r w:rsidRPr="009D4B5F">
        <w:rPr>
          <w:i/>
          <w:iCs/>
          <w:noProof/>
        </w:rPr>
        <w:t>„orice alte aspecte transmise Comisiei de către președinte [,] sau [cel puțin un sfert dintre membrii care acționează împreună]”</w:t>
      </w:r>
      <w:r w:rsidRPr="009D4B5F">
        <w:rPr>
          <w:noProof/>
        </w:rPr>
        <w:t>.</w:t>
      </w:r>
    </w:p>
    <w:p w:rsidR="00C944C7" w:rsidRPr="009D4B5F" w:rsidRDefault="00C944C7" w:rsidP="00C944C7">
      <w:pPr>
        <w:pStyle w:val="Text1"/>
        <w:rPr>
          <w:noProof/>
        </w:rPr>
      </w:pPr>
      <w:r w:rsidRPr="009D4B5F">
        <w:rPr>
          <w:noProof/>
        </w:rPr>
        <w:t>În ceea ce privește componența și funcționarea Comisiei, propunerea sugerează stabilirea unui număr minim de membri, format din cel puțin trei sau cinci membri, pentru a evita ca aceasta să cuprindă o singură persoană. Mai mult, Comisia are sarcina de a-și stabili propriul regulament de procedură, sub rezerva cerințelor statutare esențiale privind cvorumul, votul, notificările reuniunilor și raportarea. De asemenea, se adaugă dispoziții pentru a asigura reprezentarea secretariatului în cadrul sesiunilor și pentru a acorda statutul de observator operatorului de registru și depozitarului, promovând astfel o guvernanță cuprinzătoare și favorabilă incluziunii în cadrul Comisiei.</w:t>
      </w:r>
    </w:p>
    <w:p w:rsidR="009B6F9D" w:rsidRPr="009D4B5F" w:rsidRDefault="009B6F9D" w:rsidP="00C944C7">
      <w:pPr>
        <w:pStyle w:val="Text1"/>
        <w:rPr>
          <w:noProof/>
        </w:rPr>
      </w:pPr>
      <w:r w:rsidRPr="009D4B5F">
        <w:rPr>
          <w:noProof/>
        </w:rPr>
        <w:t>Propunerea include, de asemenea, alte câteva modificări minore, inclusiv modificări ale terminologiei, pentru a asigura coerența textului, precum și reformularea anumitor dispoziții în scopul clarificării.</w:t>
      </w:r>
    </w:p>
    <w:p w:rsidR="00683FB9" w:rsidRPr="009D4B5F" w:rsidRDefault="00683FB9" w:rsidP="002E4641">
      <w:pPr>
        <w:pStyle w:val="ManualHeading3"/>
        <w:rPr>
          <w:noProof/>
        </w:rPr>
      </w:pPr>
      <w:r>
        <w:rPr>
          <w:noProof/>
        </w:rPr>
        <w:t>2.3.3.</w:t>
      </w:r>
      <w:r>
        <w:rPr>
          <w:noProof/>
        </w:rPr>
        <w:tab/>
      </w:r>
      <w:r w:rsidRPr="009D4B5F">
        <w:rPr>
          <w:noProof/>
        </w:rPr>
        <w:t>Revizuirea Regulamentului de procedură al Autorității de supraveghere</w:t>
      </w:r>
    </w:p>
    <w:p w:rsidR="00576EAB" w:rsidRPr="009D4B5F" w:rsidRDefault="00576EAB" w:rsidP="00576EAB">
      <w:pPr>
        <w:pStyle w:val="Text1"/>
        <w:rPr>
          <w:noProof/>
        </w:rPr>
      </w:pPr>
      <w:r w:rsidRPr="009D4B5F">
        <w:rPr>
          <w:noProof/>
        </w:rPr>
        <w:t>La fel ca și în cazul Statutului, Regulamentul de procedură ale Autorității de supraveghere, obligatorii în temeiul dreptului internațional, se referă la întregul domeniu de activitate al Autorității de supraveghere, incluzând astfel aspecte pentru care Uniunea are competență exclusivă, în temeiul declarației făcute în anexa la Decizia 2014/888/UE a Consiliului, iar modificările aduse acestora vor afecta în mod direct participarea Uniunii în cadrul organismului respectiv.</w:t>
      </w:r>
    </w:p>
    <w:p w:rsidR="007D1663" w:rsidRPr="009D4B5F" w:rsidRDefault="00B8143C" w:rsidP="00B8143C">
      <w:pPr>
        <w:pStyle w:val="Text1"/>
        <w:rPr>
          <w:noProof/>
        </w:rPr>
      </w:pPr>
      <w:r w:rsidRPr="009D4B5F">
        <w:rPr>
          <w:noProof/>
        </w:rPr>
        <w:t>Cu acordul președintelui, secretariatul a prezentat anumite modificări ale Regulamentului de procedură, pentru a asigura respectarea obligațiilor contractuale existente și a procedurilor aplicabile și pentru a îmbunătăți aceste norme în lumina experienței acumulate de Autoritatea de supraveghere. Propunerea introduce o procedură scrisă, optimizând procesul de pregătire și aprobare a proceselor-verbale și a deciziilor și sporind eficiența și claritatea generală a metodelor de lucru ale Autorității de supraveghere.</w:t>
      </w:r>
    </w:p>
    <w:p w:rsidR="00361B0D" w:rsidRPr="009D4B5F" w:rsidRDefault="00655D25" w:rsidP="00361B0D">
      <w:pPr>
        <w:pStyle w:val="Text1"/>
        <w:rPr>
          <w:noProof/>
        </w:rPr>
      </w:pPr>
      <w:r w:rsidRPr="009D4B5F">
        <w:rPr>
          <w:noProof/>
        </w:rPr>
        <w:t>Printre modificările majore, propunerea de Regulament de procedură elimină definiția majorității calificate, care reprezintă o majoritate de două treimi din voturile deputaților prezenți și votanți, și reduce deciziile care fac obiectul acestei metode de vot, definind majoritatea simplă ca opțiune implicită. Se susține că cerința unei majorități calificate pentru fiecare decizie pare disproporționată și că trebuie simplificat cadrul decizional.</w:t>
      </w:r>
    </w:p>
    <w:p w:rsidR="001F04A6" w:rsidRPr="009D4B5F" w:rsidRDefault="001F04A6" w:rsidP="001F04A6">
      <w:pPr>
        <w:pStyle w:val="Text1"/>
        <w:rPr>
          <w:noProof/>
        </w:rPr>
      </w:pPr>
      <w:r w:rsidRPr="009D4B5F">
        <w:rPr>
          <w:noProof/>
        </w:rPr>
        <w:t xml:space="preserve">Articolul 3 (denumit anterior </w:t>
      </w:r>
      <w:r w:rsidRPr="009D4B5F">
        <w:rPr>
          <w:i/>
          <w:iCs/>
          <w:noProof/>
        </w:rPr>
        <w:t>Reuniuni</w:t>
      </w:r>
      <w:r w:rsidRPr="009D4B5F">
        <w:rPr>
          <w:noProof/>
        </w:rPr>
        <w:t xml:space="preserve"> și propus în prezent cu denumirea de </w:t>
      </w:r>
      <w:r w:rsidRPr="009D4B5F">
        <w:rPr>
          <w:i/>
          <w:iCs/>
          <w:noProof/>
        </w:rPr>
        <w:t>Sesiuni și convocări</w:t>
      </w:r>
      <w:r w:rsidRPr="009D4B5F">
        <w:rPr>
          <w:noProof/>
        </w:rPr>
        <w:t>) a fost reformulat în profunzime pentru a-l face mai clar.</w:t>
      </w:r>
    </w:p>
    <w:p w:rsidR="001F04A6" w:rsidRPr="009D4B5F" w:rsidRDefault="007263CC" w:rsidP="001F04A6">
      <w:pPr>
        <w:pStyle w:val="Text1"/>
        <w:rPr>
          <w:noProof/>
        </w:rPr>
      </w:pPr>
      <w:r w:rsidRPr="009D4B5F">
        <w:rPr>
          <w:noProof/>
        </w:rPr>
        <w:t>În ceea ce privește sesiunile extraordinare, textul revizuit clarifică faptul că astfel de sesiuni vor fi, în principiu, convocate cu aceleași perioade de preaviz ca sesiunile ordinare. În cazul în care o astfel de sesiune este urgentă, se pot aplica termene mai scurte. Rămâne la latitudinea președintelui să decidă dacă o chestiune este urgentă sau nu.</w:t>
      </w:r>
    </w:p>
    <w:p w:rsidR="001F04A6" w:rsidRPr="009D4B5F" w:rsidRDefault="00B579B7" w:rsidP="00B579B7">
      <w:pPr>
        <w:pStyle w:val="Text1"/>
        <w:rPr>
          <w:noProof/>
        </w:rPr>
      </w:pPr>
      <w:r w:rsidRPr="009D4B5F">
        <w:rPr>
          <w:noProof/>
        </w:rPr>
        <w:t xml:space="preserve">Deosebit de relevant pentru Uniune este articolul 4, </w:t>
      </w:r>
      <w:r w:rsidRPr="009D4B5F">
        <w:rPr>
          <w:i/>
          <w:iCs/>
          <w:noProof/>
        </w:rPr>
        <w:t>Reprezentarea membrilor</w:t>
      </w:r>
      <w:r w:rsidRPr="009D4B5F">
        <w:rPr>
          <w:noProof/>
        </w:rPr>
        <w:t>, în care alineatul privind drepturile de vot ale unei organizații regionale (și anume, UE) a fost transferat la articolul 14 și revizuit.</w:t>
      </w:r>
    </w:p>
    <w:p w:rsidR="005D14C7" w:rsidRPr="009D4B5F" w:rsidRDefault="00AF4820" w:rsidP="000A4F25">
      <w:pPr>
        <w:pStyle w:val="Text1"/>
        <w:rPr>
          <w:noProof/>
        </w:rPr>
      </w:pPr>
      <w:r w:rsidRPr="009D4B5F">
        <w:rPr>
          <w:noProof/>
        </w:rPr>
        <w:t>În ceea ce privește articolul 5 (</w:t>
      </w:r>
      <w:r w:rsidRPr="009D4B5F">
        <w:rPr>
          <w:i/>
          <w:iCs/>
          <w:noProof/>
        </w:rPr>
        <w:t>Observatori</w:t>
      </w:r>
      <w:r w:rsidRPr="009D4B5F">
        <w:rPr>
          <w:noProof/>
        </w:rPr>
        <w:t xml:space="preserve">), Secretariatul propune o categorie privilegiată de observatori, care cuprinde entități cu un rol specific în temeiul </w:t>
      </w:r>
      <w:r w:rsidRPr="009D4B5F">
        <w:rPr>
          <w:noProof/>
        </w:rPr>
        <w:lastRenderedPageBreak/>
        <w:t xml:space="preserve">Protocolului de la Luxemburg, cum ar fi operatorul de registru, depozitarul și Comisia de experți. Aceștia ar fi </w:t>
      </w:r>
      <w:r w:rsidRPr="009D4B5F">
        <w:rPr>
          <w:i/>
          <w:iCs/>
          <w:noProof/>
        </w:rPr>
        <w:t>observatori permanenți</w:t>
      </w:r>
      <w:r w:rsidRPr="009D4B5F">
        <w:rPr>
          <w:noProof/>
        </w:rPr>
        <w:t>, care ar avea capacitatea de a participa la toate reuniunile autorității de supraveghere, întotdeauna sub controlul președintelui.</w:t>
      </w:r>
    </w:p>
    <w:p w:rsidR="00223D5A" w:rsidRPr="009D4B5F" w:rsidRDefault="00D6009F" w:rsidP="00533AD7">
      <w:pPr>
        <w:pStyle w:val="Text1"/>
        <w:rPr>
          <w:noProof/>
        </w:rPr>
      </w:pPr>
      <w:r w:rsidRPr="009D4B5F">
        <w:rPr>
          <w:noProof/>
        </w:rPr>
        <w:t xml:space="preserve">În ceea ce privește responsabilii Autorității de supraveghere (președintele și doi vicepreședinți) (articolul 9), propunerea clarifică durata mandatului acestora și elimină cerința ca </w:t>
      </w:r>
      <w:r w:rsidRPr="009D4B5F">
        <w:rPr>
          <w:i/>
          <w:iCs/>
          <w:noProof/>
        </w:rPr>
        <w:t>nominalizările pentru posturile de ofițeri să fie detașate de un alt membru</w:t>
      </w:r>
      <w:r w:rsidRPr="009D4B5F">
        <w:rPr>
          <w:noProof/>
        </w:rPr>
        <w:t>, pentru a simplifica procedura de nominalizare.</w:t>
      </w:r>
    </w:p>
    <w:p w:rsidR="00E23658" w:rsidRPr="009D4B5F" w:rsidRDefault="001F04A6" w:rsidP="00880D7B">
      <w:pPr>
        <w:pStyle w:val="Text1"/>
        <w:rPr>
          <w:noProof/>
        </w:rPr>
      </w:pPr>
      <w:r w:rsidRPr="009D4B5F">
        <w:rPr>
          <w:noProof/>
        </w:rPr>
        <w:t xml:space="preserve">Articolul 14 din propunere se referă la </w:t>
      </w:r>
      <w:r w:rsidRPr="009D4B5F">
        <w:rPr>
          <w:i/>
          <w:iCs/>
          <w:noProof/>
        </w:rPr>
        <w:t>dreptul de vot</w:t>
      </w:r>
      <w:r w:rsidRPr="009D4B5F">
        <w:rPr>
          <w:noProof/>
        </w:rPr>
        <w:t>. Fiecare membru dispune de un vot. Pentru organizațiile regionale, cum ar fi Uniunea, se propune ca „</w:t>
      </w:r>
      <w:r w:rsidRPr="009D4B5F">
        <w:rPr>
          <w:i/>
          <w:iCs/>
          <w:noProof/>
        </w:rPr>
        <w:t>În domeniile care țin de competența sa, o organizație regională exercită un număr de voturi egal cu numărul statelor sale membre care sunt și membre.</w:t>
      </w:r>
      <w:r w:rsidRPr="009D4B5F">
        <w:rPr>
          <w:i/>
          <w:noProof/>
        </w:rPr>
        <w:t xml:space="preserve"> </w:t>
      </w:r>
      <w:r w:rsidRPr="009D4B5F">
        <w:rPr>
          <w:i/>
          <w:iCs/>
          <w:noProof/>
        </w:rPr>
        <w:t>Atunci când o organizație regională votează, statele sale membre nu votează și viceversa.</w:t>
      </w:r>
      <w:r w:rsidRPr="009D4B5F">
        <w:rPr>
          <w:noProof/>
        </w:rPr>
        <w:t>”</w:t>
      </w:r>
    </w:p>
    <w:p w:rsidR="005870BF" w:rsidRPr="009D4B5F" w:rsidRDefault="00604368" w:rsidP="007F043B">
      <w:pPr>
        <w:pStyle w:val="Text1"/>
        <w:rPr>
          <w:i/>
          <w:iCs/>
          <w:noProof/>
        </w:rPr>
      </w:pPr>
      <w:r w:rsidRPr="009D4B5F">
        <w:rPr>
          <w:noProof/>
        </w:rPr>
        <w:t xml:space="preserve">Modificările propuse pentru </w:t>
      </w:r>
      <w:r w:rsidRPr="009D4B5F">
        <w:rPr>
          <w:i/>
          <w:iCs/>
          <w:noProof/>
        </w:rPr>
        <w:t>cvorum</w:t>
      </w:r>
      <w:r w:rsidRPr="009D4B5F">
        <w:rPr>
          <w:noProof/>
        </w:rPr>
        <w:t xml:space="preserve"> (articolul 15) sunt legate de eliminarea definiției </w:t>
      </w:r>
      <w:r w:rsidRPr="009D4B5F">
        <w:rPr>
          <w:i/>
          <w:iCs/>
          <w:noProof/>
        </w:rPr>
        <w:t>Majorității calificate</w:t>
      </w:r>
      <w:r w:rsidRPr="009D4B5F">
        <w:rPr>
          <w:noProof/>
        </w:rPr>
        <w:t xml:space="preserve">. Conform propunerii, cvorumul este acum întrunit cu o majoritate simplă a membrilor, în loc de majoritate calificată. În plus, propunerea prevede, în special în ceea ce privește organizațiile regionale, că </w:t>
      </w:r>
      <w:r w:rsidRPr="009D4B5F">
        <w:rPr>
          <w:i/>
          <w:iCs/>
          <w:noProof/>
        </w:rPr>
        <w:t>„În scopul stabilirii cvorumului pentru chestiunile care țin de competența unei organizații regionale, organizația respectivă este numărată în funcție de numărul de voturi pe care are dreptul să le exprime în conformitate cu articolul 14 alineatul (2)”</w:t>
      </w:r>
      <w:r w:rsidRPr="009D4B5F">
        <w:rPr>
          <w:noProof/>
        </w:rPr>
        <w:t>.</w:t>
      </w:r>
    </w:p>
    <w:p w:rsidR="001F04A6" w:rsidRPr="009D4B5F" w:rsidRDefault="001F04A6" w:rsidP="001F04A6">
      <w:pPr>
        <w:pStyle w:val="Text1"/>
        <w:rPr>
          <w:noProof/>
        </w:rPr>
      </w:pPr>
      <w:r w:rsidRPr="009D4B5F">
        <w:rPr>
          <w:noProof/>
        </w:rPr>
        <w:t xml:space="preserve">Articolul 16, </w:t>
      </w:r>
      <w:r w:rsidRPr="009D4B5F">
        <w:rPr>
          <w:i/>
          <w:iCs/>
          <w:noProof/>
        </w:rPr>
        <w:t>Votarea și aprobarea tacită</w:t>
      </w:r>
      <w:r w:rsidRPr="009D4B5F">
        <w:rPr>
          <w:noProof/>
        </w:rPr>
        <w:t>, pune în aplicare, de asemenea, trecerea de la majoritatea calificată a membrilor prezenți și votanți la majoritatea simplă a membrilor prezenți și votanți</w:t>
      </w:r>
      <w:r w:rsidRPr="009D4B5F">
        <w:rPr>
          <w:rStyle w:val="FootnoteReference"/>
          <w:noProof/>
        </w:rPr>
        <w:footnoteReference w:id="14"/>
      </w:r>
      <w:r w:rsidRPr="009D4B5F">
        <w:rPr>
          <w:noProof/>
        </w:rPr>
        <w:t xml:space="preserve">. În plus, și de o importanță deosebită, articolul introduce o procedură detaliată de vot prin </w:t>
      </w:r>
      <w:r w:rsidRPr="009D4B5F">
        <w:rPr>
          <w:i/>
          <w:iCs/>
          <w:noProof/>
        </w:rPr>
        <w:t>procedură scrisă</w:t>
      </w:r>
      <w:r w:rsidRPr="009D4B5F">
        <w:rPr>
          <w:noProof/>
        </w:rPr>
        <w:t xml:space="preserve"> și </w:t>
      </w:r>
      <w:r w:rsidRPr="009D4B5F">
        <w:rPr>
          <w:i/>
          <w:iCs/>
          <w:noProof/>
        </w:rPr>
        <w:t>aprobare tacită</w:t>
      </w:r>
      <w:r w:rsidRPr="009D4B5F">
        <w:rPr>
          <w:noProof/>
        </w:rPr>
        <w:t xml:space="preserve">. Se susține că aceste mecanisme sporesc flexibilitatea și eficiența autorității de supraveghere. Procedura de aprobare tacită este legată de aprobarea proiectului de buget al operatorului de registru și de aprobarea facturii prezentate de secretariat pentru îndeplinirea funcțiilor de secretariat. Pentru ambele proceduri, termenul pentru furnizarea unui răspuns este </w:t>
      </w:r>
      <w:r w:rsidRPr="009D4B5F">
        <w:rPr>
          <w:i/>
          <w:iCs/>
          <w:noProof/>
        </w:rPr>
        <w:t>de cel puțin două săptămâni</w:t>
      </w:r>
      <w:r w:rsidRPr="009D4B5F">
        <w:rPr>
          <w:noProof/>
        </w:rPr>
        <w:t>. În ceea ce privește procedura scrisă, neîndeplinirea cvorumului privind numărul de răspunsuri ar duce la respingerea propunerii. În ceea ce privește aprobarea tacită, astfel cum îi spune numele, în cazul în care, până la sfârșitul termenului, nu există suficientă opoziție, propunerea ar fi considerată adoptată.</w:t>
      </w:r>
    </w:p>
    <w:p w:rsidR="00316339" w:rsidRPr="009D4B5F" w:rsidRDefault="00746859" w:rsidP="00AF01C8">
      <w:pPr>
        <w:pStyle w:val="Text1"/>
        <w:rPr>
          <w:noProof/>
        </w:rPr>
      </w:pPr>
      <w:r w:rsidRPr="009D4B5F">
        <w:rPr>
          <w:noProof/>
        </w:rPr>
        <w:t xml:space="preserve">Ultima modificare de fond inclusă în propunere este cea referitoare la modificarea Statutului și a Regulamentului de procedură al Autorității de supraveghere (articolul 21, </w:t>
      </w:r>
      <w:r w:rsidRPr="009D4B5F">
        <w:rPr>
          <w:i/>
          <w:iCs/>
          <w:noProof/>
        </w:rPr>
        <w:t>Modificarea statutului și a regulamentului de procedură</w:t>
      </w:r>
      <w:r w:rsidRPr="009D4B5F">
        <w:rPr>
          <w:noProof/>
        </w:rPr>
        <w:t>). În ceea ce privește modificarea acestor instrumente juridice de bază, se propune menținerea cerinței privind majoritatea calificată (</w:t>
      </w:r>
      <w:r w:rsidRPr="009D4B5F">
        <w:rPr>
          <w:i/>
          <w:iCs/>
          <w:noProof/>
        </w:rPr>
        <w:t>două treimi</w:t>
      </w:r>
      <w:r w:rsidRPr="009D4B5F">
        <w:rPr>
          <w:noProof/>
        </w:rPr>
        <w:t>).</w:t>
      </w:r>
    </w:p>
    <w:p w:rsidR="00B73F96" w:rsidRPr="009D4B5F" w:rsidRDefault="0021484F" w:rsidP="00AF01C8">
      <w:pPr>
        <w:pStyle w:val="Text1"/>
        <w:rPr>
          <w:noProof/>
        </w:rPr>
      </w:pPr>
      <w:r w:rsidRPr="009D4B5F">
        <w:rPr>
          <w:noProof/>
        </w:rPr>
        <w:t>Astfel cum se menționează în Decizia (UE) 2024/851 a Consiliului și în Decizia (UE) 2025/853 a Consiliului, Uniunea Europeană are competență exclusivă în ceea ce privește Statutul și Regulamentul de procedură al Autorității de supraveghere, în temeiul articolului 3 alineatul (2) din TFUE.</w:t>
      </w:r>
    </w:p>
    <w:p w:rsidR="00B73F96" w:rsidRPr="009D4B5F" w:rsidRDefault="00B73F96" w:rsidP="00AC6407">
      <w:pPr>
        <w:pStyle w:val="ManualHeading1"/>
        <w:rPr>
          <w:noProof/>
        </w:rPr>
      </w:pPr>
      <w:r>
        <w:rPr>
          <w:noProof/>
        </w:rPr>
        <w:lastRenderedPageBreak/>
        <w:t>3.</w:t>
      </w:r>
      <w:r>
        <w:rPr>
          <w:noProof/>
        </w:rPr>
        <w:tab/>
      </w:r>
      <w:r w:rsidRPr="009D4B5F">
        <w:rPr>
          <w:noProof/>
        </w:rPr>
        <w:t>Poziția care urmează să fie adoptată în numele Uniunii</w:t>
      </w:r>
    </w:p>
    <w:p w:rsidR="00B73F96" w:rsidRPr="009D4B5F" w:rsidRDefault="00560A2C" w:rsidP="00AC6407">
      <w:pPr>
        <w:pStyle w:val="ManualHeading2"/>
        <w:rPr>
          <w:noProof/>
        </w:rPr>
      </w:pPr>
      <w:r>
        <w:rPr>
          <w:noProof/>
        </w:rPr>
        <w:t>3.1.</w:t>
      </w:r>
      <w:r>
        <w:rPr>
          <w:noProof/>
        </w:rPr>
        <w:tab/>
      </w:r>
      <w:r w:rsidRPr="009D4B5F">
        <w:rPr>
          <w:noProof/>
        </w:rPr>
        <w:t>Privind cea mai recentă versiune a normelor-tip</w:t>
      </w:r>
    </w:p>
    <w:p w:rsidR="00B73F96" w:rsidRPr="009D4B5F" w:rsidRDefault="0003436D" w:rsidP="002D4392">
      <w:pPr>
        <w:pStyle w:val="Text1"/>
        <w:rPr>
          <w:noProof/>
        </w:rPr>
      </w:pPr>
      <w:r w:rsidRPr="009D4B5F">
        <w:rPr>
          <w:noProof/>
        </w:rPr>
        <w:t>Astfel cum s-a menționat anterior, Protocolul de la Luxemburg trebuie să se bazeze pe un sistem clar de identificare și marcare a materialului feroviar rulant, bazat pe standarde internaționale. Acest lucru este recunoscut la articolul XIV – Identificarea materialului feroviar rulant în vederea înregistrării din Protocolul de la Luxemburg, care, la rândul său, face trimitere la articolul 18 alineatul (1) litera (a) din Convenția de la Cape Town. Normele-tip privind identificarea permanentă a materialului feroviar rulant oferă un cadru pentru atribuirea identificatorului URVIS și pentru marcarea acestuia pe materialul feroviar rulant. Identificatorul URVIS și marcarea acestuia pe materialul feroviar rulant se adaugă la sistemele de numerotare existente aplicate în conformitate cu legislația în vigoare privind admiterea sau exploatarea materialului feroviar rulant și nu înlocuiesc registrele sau sistemele informatice existente utilizate în state sau în grupuri de state pentru exploatarea materialului feroviar rulant, cum ar fi, pentru Uniunea Europeană, Registrul european al vehiculelor („EVR”) și numărul european al vehiculului („NEV”), reglementate prin Decizia de punere în aplicare (UE) 2018/1614 a Comisiei.</w:t>
      </w:r>
    </w:p>
    <w:p w:rsidR="007249B0" w:rsidRPr="009D4B5F" w:rsidRDefault="007249B0" w:rsidP="007249B0">
      <w:pPr>
        <w:pStyle w:val="Text1"/>
        <w:rPr>
          <w:noProof/>
        </w:rPr>
      </w:pPr>
      <w:r w:rsidRPr="009D4B5F">
        <w:rPr>
          <w:noProof/>
        </w:rPr>
        <w:t xml:space="preserve">Modificările introduse în </w:t>
      </w:r>
      <w:r w:rsidRPr="009D4B5F">
        <w:rPr>
          <w:i/>
          <w:iCs/>
          <w:noProof/>
        </w:rPr>
        <w:t>revizuirea 3</w:t>
      </w:r>
      <w:r w:rsidRPr="009D4B5F">
        <w:rPr>
          <w:noProof/>
        </w:rPr>
        <w:t xml:space="preserve"> a normelor-tip introduc conceptul de </w:t>
      </w:r>
      <w:r w:rsidRPr="009D4B5F">
        <w:rPr>
          <w:i/>
          <w:iCs/>
          <w:noProof/>
        </w:rPr>
        <w:t>soluție digitală</w:t>
      </w:r>
      <w:r w:rsidRPr="009D4B5F">
        <w:rPr>
          <w:noProof/>
        </w:rPr>
        <w:t xml:space="preserve"> ca sistem opțional care permite creditorilor și debitorilor să încorporeze informațiile privind materialul rulant într-o soluție digitală, permițând accesul la informațiile respective. Scopul modificărilor este de a optimiza urmărirea activelor feroviare utilizând mijloace digitale. Aceste modificări nu au niciun impact asupra cadrului juridic în vigoare în Uniunea Europeană: ele stabilesc un cadru voluntar care poate fi obligatoriu pentru părțile private în acordurile lor încheiate în temeiul Protocolului de la Luxemburg, dacă decid astfel.</w:t>
      </w:r>
    </w:p>
    <w:p w:rsidR="00B73F96" w:rsidRPr="009D4B5F" w:rsidRDefault="00DF0420" w:rsidP="002D4392">
      <w:pPr>
        <w:pStyle w:val="Text1"/>
        <w:rPr>
          <w:noProof/>
        </w:rPr>
      </w:pPr>
      <w:r w:rsidRPr="009D4B5F">
        <w:rPr>
          <w:noProof/>
        </w:rPr>
        <w:t>Cu toate acestea, decizia propusă de secretariat pe această temă (</w:t>
      </w:r>
      <w:r w:rsidRPr="009D4B5F">
        <w:rPr>
          <w:i/>
          <w:noProof/>
        </w:rPr>
        <w:t>spre luare la cunoștință și publicare</w:t>
      </w:r>
      <w:r w:rsidRPr="009D4B5F">
        <w:rPr>
          <w:rStyle w:val="FootnoteReference"/>
          <w:noProof/>
        </w:rPr>
        <w:footnoteReference w:id="15"/>
      </w:r>
      <w:r w:rsidRPr="009D4B5F">
        <w:rPr>
          <w:noProof/>
        </w:rPr>
        <w:t>), nu este susținută de cadrul juridic aplicabil, deoarece articolul 5 alineatul (8) din Statut instruiește Autoritatea de supraveghere „</w:t>
      </w:r>
      <w:r w:rsidRPr="009D4B5F">
        <w:rPr>
          <w:i/>
          <w:iCs/>
          <w:noProof/>
        </w:rPr>
        <w:t>să aprobe normele-tip și modificările lor</w:t>
      </w:r>
      <w:r w:rsidRPr="009D4B5F">
        <w:rPr>
          <w:noProof/>
        </w:rPr>
        <w:t xml:space="preserve">.” Având în vedere că revizuirea 3 a normelor-tip disponibilă este încă </w:t>
      </w:r>
      <w:r w:rsidRPr="009D4B5F">
        <w:rPr>
          <w:i/>
          <w:iCs/>
          <w:noProof/>
        </w:rPr>
        <w:t>neoficială</w:t>
      </w:r>
      <w:r w:rsidRPr="009D4B5F">
        <w:rPr>
          <w:noProof/>
        </w:rPr>
        <w:t xml:space="preserve">, Uniunea Europeană trebuie să se opună propunerii de a publica normele-tip și, în schimb, să susțină doar </w:t>
      </w:r>
      <w:r w:rsidRPr="009D4B5F">
        <w:rPr>
          <w:i/>
          <w:iCs/>
          <w:noProof/>
        </w:rPr>
        <w:t>luarea la cunoștință a noii revizuiri 3</w:t>
      </w:r>
      <w:r w:rsidRPr="009D4B5F">
        <w:rPr>
          <w:noProof/>
        </w:rPr>
        <w:t xml:space="preserve">, precum și să propună amânarea oricăror măsuri până la intrarea în vigoare a revizuirii 3. Cu toate acestea, dacă revizuirea 3 a normelor-tip intră în vigoare până la desfășurarea celei de a treia sesiuni a autorității de supraveghere și corespunde versiunii neoficiale publicate pe site-ul </w:t>
      </w:r>
      <w:r w:rsidRPr="009D4B5F">
        <w:rPr>
          <w:i/>
          <w:iCs/>
          <w:noProof/>
        </w:rPr>
        <w:t>https://unece.org/sites/default/files/2026-02/ECE-TRANS-SC.2-337-Rev.3EFR_Unofficial.pdf</w:t>
      </w:r>
      <w:r w:rsidRPr="009D4B5F">
        <w:rPr>
          <w:noProof/>
        </w:rPr>
        <w:t xml:space="preserve">, Uniunea Europeană trebuie să propună adoptarea de către </w:t>
      </w:r>
      <w:r w:rsidRPr="009D4B5F">
        <w:rPr>
          <w:noProof/>
        </w:rPr>
        <w:lastRenderedPageBreak/>
        <w:t>Autoritatea de supraveghere a acestor norme-tip, în conformitate cu articolul 5 alineatul (8) din Statut.</w:t>
      </w:r>
    </w:p>
    <w:p w:rsidR="00B73F96" w:rsidRPr="009D4B5F" w:rsidRDefault="00B73F96" w:rsidP="00AC6407">
      <w:pPr>
        <w:pStyle w:val="ManualHeading2"/>
        <w:rPr>
          <w:noProof/>
        </w:rPr>
      </w:pPr>
      <w:r>
        <w:rPr>
          <w:noProof/>
        </w:rPr>
        <w:t>3.2.</w:t>
      </w:r>
      <w:r>
        <w:rPr>
          <w:noProof/>
        </w:rPr>
        <w:tab/>
      </w:r>
      <w:r w:rsidRPr="009D4B5F">
        <w:rPr>
          <w:noProof/>
        </w:rPr>
        <w:t>Revizuirea Statutului și a Regulamentului de procedură ale Autorității de supraveghere</w:t>
      </w:r>
    </w:p>
    <w:p w:rsidR="00B73F96" w:rsidRPr="009D4B5F" w:rsidRDefault="00B73F96" w:rsidP="002D4392">
      <w:pPr>
        <w:pStyle w:val="Text1"/>
        <w:rPr>
          <w:iCs/>
          <w:noProof/>
        </w:rPr>
      </w:pPr>
      <w:r w:rsidRPr="009D4B5F">
        <w:rPr>
          <w:noProof/>
        </w:rPr>
        <w:t>Modificările preconizate ale Statutului se limitează în cea mai mare parte la clarificarea activității Comisiei de experți, în calitate de organism consultativ al Autorității de supraveghere. Astfel de modificări sunt în interesul Uniunii Europene, deoarece clarifică rolul acestui organism și facilitează activitatea Autorității de supraveghere. Prin urmare, se propune sprijinirea acestor modificări.</w:t>
      </w:r>
    </w:p>
    <w:p w:rsidR="002F53E4" w:rsidRPr="009D4B5F" w:rsidRDefault="0062351F" w:rsidP="00095259">
      <w:pPr>
        <w:pStyle w:val="Text1"/>
        <w:rPr>
          <w:noProof/>
        </w:rPr>
      </w:pPr>
      <w:r w:rsidRPr="009D4B5F">
        <w:rPr>
          <w:noProof/>
        </w:rPr>
        <w:t xml:space="preserve">În ceea ce privește Regulamentul de procedură al Autorității de supraveghere, modificările propuse sunt numeroase și au efecte diferite. Printre modificările importante se numără eliminarea votului cu majoritate calificată în cadrul Autorității de supraveghere ca opțiune de vot implicită – inclusiv consecința acestuia asupra cvorumului –, eliminarea cerinței ca un funcționar al Biroului de supraveghere să fie secondat de cel puțin un alt membru, precum și transferul sistematic și clarificarea drepturilor de vot ale Uniunii. Majoritatea modificărilor avute în vedere par să aducă clarificări importante și să îmbunătățească procedurile de lucru ale Autorității de supraveghere și, prin urmare, pot fi sprijinite. </w:t>
      </w:r>
    </w:p>
    <w:p w:rsidR="00CE6150" w:rsidRPr="009D4B5F" w:rsidRDefault="00CE6150" w:rsidP="00C36763">
      <w:pPr>
        <w:pStyle w:val="Text1"/>
        <w:rPr>
          <w:noProof/>
        </w:rPr>
      </w:pPr>
      <w:r w:rsidRPr="009D4B5F">
        <w:rPr>
          <w:noProof/>
        </w:rPr>
        <w:t>Cu toate acestea, în ceea ce privește votul prin procedură scrisă și aprobarea tacită, termenele pentru furnizarea unui răspuns („</w:t>
      </w:r>
      <w:r w:rsidRPr="009D4B5F">
        <w:rPr>
          <w:i/>
          <w:iCs/>
          <w:noProof/>
        </w:rPr>
        <w:t>cel puțin două săptămâni</w:t>
      </w:r>
      <w:r w:rsidRPr="009D4B5F">
        <w:rPr>
          <w:noProof/>
        </w:rPr>
        <w:t xml:space="preserve">”) sunt insuficiente pentru ca Uniunea să urmeze procedurile interne necesare pentru adoptarea unei decizii. </w:t>
      </w:r>
    </w:p>
    <w:p w:rsidR="007A1014" w:rsidRPr="009D4B5F" w:rsidRDefault="009E5429" w:rsidP="00C36763">
      <w:pPr>
        <w:pStyle w:val="Text1"/>
        <w:rPr>
          <w:noProof/>
        </w:rPr>
      </w:pPr>
      <w:r w:rsidRPr="009D4B5F">
        <w:rPr>
          <w:noProof/>
        </w:rPr>
        <w:t xml:space="preserve">În măsura în care procedura tacită se limitează la </w:t>
      </w:r>
      <w:r w:rsidRPr="009D4B5F">
        <w:rPr>
          <w:i/>
          <w:iCs/>
          <w:noProof/>
        </w:rPr>
        <w:t>aprobarea proiectului de buget al operatorului de registru și a facturii referitoare la remunerarea pentru îndeplinirea funcțiilor de secretariat</w:t>
      </w:r>
      <w:r w:rsidRPr="009D4B5F">
        <w:rPr>
          <w:noProof/>
        </w:rPr>
        <w:t>, trebuie remarcat faptul că Uniunea nu este vizată de aspectele bugetare ale Autorității de supraveghere; prin urmare, această chestiune este considerată a fi de competența statelor membre. Pe de altă parte, în cazul în care propunerea de aprobare a deciziilor cu aprobare tacită menține expresia „</w:t>
      </w:r>
      <w:r w:rsidRPr="009D4B5F">
        <w:rPr>
          <w:i/>
          <w:iCs/>
          <w:noProof/>
        </w:rPr>
        <w:t>în cazul în care autoritatea de supraveghere decide astfel</w:t>
      </w:r>
      <w:r w:rsidRPr="009D4B5F">
        <w:rPr>
          <w:noProof/>
        </w:rPr>
        <w:t xml:space="preserve">”, Uniunea se poate confrunta cu decizii care intră în sfera sa de competență pe care nu a avut posibilitatea să le respingă; în plus, adoptarea deciziilor prin aprobare tacită trebuie să se limiteze la cazuri excepționale. </w:t>
      </w:r>
    </w:p>
    <w:p w:rsidR="005D7688" w:rsidRPr="009D4B5F" w:rsidRDefault="00424DEA" w:rsidP="00C36763">
      <w:pPr>
        <w:pStyle w:val="Text1"/>
        <w:rPr>
          <w:noProof/>
        </w:rPr>
      </w:pPr>
      <w:r w:rsidRPr="009D4B5F">
        <w:rPr>
          <w:noProof/>
        </w:rPr>
        <w:t>Din aceste motive, termenele pentru procedura scrisă trebuie modificate în „</w:t>
      </w:r>
      <w:r w:rsidRPr="009D4B5F">
        <w:rPr>
          <w:i/>
          <w:iCs/>
          <w:noProof/>
        </w:rPr>
        <w:t>cel puțin 10 săptămâni</w:t>
      </w:r>
      <w:r w:rsidRPr="009D4B5F">
        <w:rPr>
          <w:noProof/>
        </w:rPr>
        <w:t xml:space="preserve">”, iar posibilitățile de adoptare a deciziilor prin aprobare tacită ar trebui limitate la </w:t>
      </w:r>
      <w:r w:rsidRPr="009D4B5F">
        <w:rPr>
          <w:i/>
          <w:iCs/>
          <w:noProof/>
        </w:rPr>
        <w:t>aprobarea proiectului de buget al operatorului de registru și a facturii referitoare la remunerația pentru îndeplinirea funcțiilor de secretariat</w:t>
      </w:r>
      <w:r w:rsidRPr="009D4B5F">
        <w:rPr>
          <w:noProof/>
        </w:rPr>
        <w:t>.</w:t>
      </w:r>
    </w:p>
    <w:p w:rsidR="00B73F96" w:rsidRPr="009D4B5F" w:rsidRDefault="00B73F96" w:rsidP="002D4392">
      <w:pPr>
        <w:pStyle w:val="Text1"/>
        <w:rPr>
          <w:noProof/>
        </w:rPr>
      </w:pPr>
      <w:r w:rsidRPr="009D4B5F">
        <w:rPr>
          <w:noProof/>
        </w:rPr>
        <w:t>Prin urmare, se propune sprijinirea aprobării modificărilor aduse Statutului și Regulamentului de procedură ale Autorității de supraveghere, sub rezerva modificărilor descrise mai sus.</w:t>
      </w:r>
    </w:p>
    <w:p w:rsidR="00B73F96" w:rsidRPr="009D4B5F" w:rsidRDefault="00B73F96" w:rsidP="00B73F96">
      <w:pPr>
        <w:pStyle w:val="ManualHeading1"/>
        <w:rPr>
          <w:noProof/>
        </w:rPr>
      </w:pPr>
      <w:r>
        <w:rPr>
          <w:noProof/>
        </w:rPr>
        <w:t>4.</w:t>
      </w:r>
      <w:r>
        <w:rPr>
          <w:noProof/>
        </w:rPr>
        <w:tab/>
      </w:r>
      <w:r w:rsidRPr="009D4B5F">
        <w:rPr>
          <w:noProof/>
        </w:rPr>
        <w:t>TEMEI JURIDIC</w:t>
      </w:r>
    </w:p>
    <w:p w:rsidR="00B73F96" w:rsidRPr="009D4B5F" w:rsidRDefault="00B73F96" w:rsidP="00514E63">
      <w:pPr>
        <w:pStyle w:val="ManualHeading2"/>
        <w:rPr>
          <w:noProof/>
        </w:rPr>
      </w:pPr>
      <w:r>
        <w:rPr>
          <w:noProof/>
        </w:rPr>
        <w:t>4.1.</w:t>
      </w:r>
      <w:r>
        <w:rPr>
          <w:noProof/>
        </w:rPr>
        <w:tab/>
      </w:r>
      <w:r w:rsidRPr="009D4B5F">
        <w:rPr>
          <w:noProof/>
        </w:rPr>
        <w:t>Temeiul juridic procedural</w:t>
      </w:r>
    </w:p>
    <w:p w:rsidR="007A1014" w:rsidRPr="009D4B5F" w:rsidRDefault="007A1014" w:rsidP="007A1014">
      <w:pPr>
        <w:pStyle w:val="ManualHeading3"/>
        <w:rPr>
          <w:noProof/>
        </w:rPr>
      </w:pPr>
      <w:r>
        <w:rPr>
          <w:noProof/>
        </w:rPr>
        <w:t>4.1.1.</w:t>
      </w:r>
      <w:r>
        <w:rPr>
          <w:noProof/>
        </w:rPr>
        <w:tab/>
      </w:r>
      <w:r w:rsidRPr="009D4B5F">
        <w:rPr>
          <w:noProof/>
        </w:rPr>
        <w:t>Principii</w:t>
      </w:r>
    </w:p>
    <w:p w:rsidR="00B73F96" w:rsidRPr="009D4B5F" w:rsidRDefault="00B73F96" w:rsidP="0026621F">
      <w:pPr>
        <w:pStyle w:val="Text1"/>
        <w:rPr>
          <w:noProof/>
        </w:rPr>
      </w:pPr>
      <w:r w:rsidRPr="009D4B5F">
        <w:rPr>
          <w:noProof/>
        </w:rPr>
        <w:t xml:space="preserve">Articolul 218 alineatul (9) din Tratatul privind funcționarea Uniunii Europene (TFUE) prevede posibilitatea adoptării unor decizii de stabilire „a pozițiilor care trebuie adoptate în numele Uniunii în cadrul unui organism creat printr-un acord, în </w:t>
      </w:r>
      <w:r w:rsidRPr="009D4B5F">
        <w:rPr>
          <w:noProof/>
        </w:rPr>
        <w:lastRenderedPageBreak/>
        <w:t>cazul în care acest organism trebuie să adopte acte cu efecte juridice, cu excepția actelor care modifică sau completează cadrul instituțional al acordului.”</w:t>
      </w:r>
    </w:p>
    <w:p w:rsidR="00B73F96" w:rsidRPr="009D4B5F" w:rsidRDefault="00B73F96" w:rsidP="0026621F">
      <w:pPr>
        <w:pStyle w:val="Text1"/>
        <w:rPr>
          <w:noProof/>
        </w:rPr>
      </w:pPr>
      <w:r w:rsidRPr="009D4B5F">
        <w:rPr>
          <w:noProof/>
        </w:rPr>
        <w:t>Conceptul de „acte cu efecte juridice” include actele care au efecte juridice în temeiul normelor de drept internațional aplicabile organismului în cauză. Sunt, de asemenea, incluse instrumentele care nu au un caracter obligatoriu în temeiul dreptului internațional, dar care „au vocația de a influența în mod decisiv conținutul reglementării adoptate de legiuitorul Uniunii”</w:t>
      </w:r>
      <w:r w:rsidRPr="009D4B5F">
        <w:rPr>
          <w:rStyle w:val="FootnoteReference"/>
          <w:noProof/>
        </w:rPr>
        <w:footnoteReference w:id="16"/>
      </w:r>
      <w:r w:rsidRPr="009D4B5F">
        <w:rPr>
          <w:noProof/>
        </w:rPr>
        <w:t>.</w:t>
      </w:r>
    </w:p>
    <w:p w:rsidR="007A1014" w:rsidRPr="009D4B5F" w:rsidRDefault="007A1014" w:rsidP="00864227">
      <w:pPr>
        <w:pStyle w:val="ManualHeading3"/>
        <w:rPr>
          <w:noProof/>
        </w:rPr>
      </w:pPr>
      <w:r>
        <w:rPr>
          <w:noProof/>
        </w:rPr>
        <w:t>4.1.2.</w:t>
      </w:r>
      <w:r>
        <w:rPr>
          <w:noProof/>
        </w:rPr>
        <w:tab/>
      </w:r>
      <w:r w:rsidRPr="009D4B5F">
        <w:rPr>
          <w:noProof/>
        </w:rPr>
        <w:t>Aplicarea la cazul în discuție</w:t>
      </w:r>
    </w:p>
    <w:p w:rsidR="00766EF5" w:rsidRPr="009D4B5F" w:rsidRDefault="00B73F96" w:rsidP="0026621F">
      <w:pPr>
        <w:pStyle w:val="Text1"/>
        <w:rPr>
          <w:noProof/>
        </w:rPr>
      </w:pPr>
      <w:r w:rsidRPr="009D4B5F">
        <w:rPr>
          <w:noProof/>
        </w:rPr>
        <w:t xml:space="preserve">Autoritatea de supraveghere este un organism instituit printr-un acord, și anume Convenția de la Cape Town (articolul 17) și Protocolul de la Luxemburg, în conformitate cu articolul XII din acesta. </w:t>
      </w:r>
    </w:p>
    <w:p w:rsidR="00B73F96" w:rsidRPr="009D4B5F" w:rsidRDefault="00B73F96" w:rsidP="0026621F">
      <w:pPr>
        <w:pStyle w:val="Text1"/>
        <w:rPr>
          <w:noProof/>
        </w:rPr>
      </w:pPr>
      <w:r w:rsidRPr="009D4B5F">
        <w:rPr>
          <w:noProof/>
        </w:rPr>
        <w:t>Actele pe care Autoritatea de supraveghere este invitată să le adopte sunt acte cu efecte juridice. În primul rând, orice acțiune privind normele-tip are vocația de a influența în mod decisiv conținutul legislației UE, și anume Directiva (UE) 2016/797, Regulamentul de punere în aplicare (UE) 2019/773 al Comisiei și Decizia de punere în aplicare (UE) 2018/1614 a Comisiei. În al doilea rând, aprobarea Statutului și a Regulamentului de procedură revizuite ale Autorității de supraveghere va avea efecte juridice deoarece va influența în mod semnificativ participarea Uniunii la funcționarea Protocolului de la Luxemburg, care este acordată prin Decizia 2014/888/UE a Consiliului.</w:t>
      </w:r>
    </w:p>
    <w:p w:rsidR="00B73F96" w:rsidRPr="009D4B5F" w:rsidRDefault="00B73F96" w:rsidP="0026621F">
      <w:pPr>
        <w:pStyle w:val="Text1"/>
        <w:rPr>
          <w:noProof/>
        </w:rPr>
      </w:pPr>
      <w:r w:rsidRPr="009D4B5F">
        <w:rPr>
          <w:noProof/>
        </w:rPr>
        <w:t>Actele avute în vedere nu completează și nu aduc modificări cadrului instituțional al acordului.</w:t>
      </w:r>
    </w:p>
    <w:p w:rsidR="00B73F96" w:rsidRPr="009D4B5F" w:rsidRDefault="00B73F96" w:rsidP="0026621F">
      <w:pPr>
        <w:pStyle w:val="Text1"/>
        <w:rPr>
          <w:noProof/>
        </w:rPr>
      </w:pPr>
      <w:r w:rsidRPr="009D4B5F">
        <w:rPr>
          <w:noProof/>
        </w:rPr>
        <w:t>Prin urmare, temeiul juridic procedural al propunerii de decizie este articolul 218 alineatul (9) din TFUE.</w:t>
      </w:r>
    </w:p>
    <w:p w:rsidR="00B73F96" w:rsidRPr="009D4B5F" w:rsidRDefault="00B73F96" w:rsidP="00864227">
      <w:pPr>
        <w:pStyle w:val="ManualHeading2"/>
        <w:rPr>
          <w:noProof/>
        </w:rPr>
      </w:pPr>
      <w:r>
        <w:rPr>
          <w:noProof/>
        </w:rPr>
        <w:t>4.2.</w:t>
      </w:r>
      <w:r>
        <w:rPr>
          <w:noProof/>
        </w:rPr>
        <w:tab/>
      </w:r>
      <w:r w:rsidRPr="009D4B5F">
        <w:rPr>
          <w:noProof/>
        </w:rPr>
        <w:t>Temeiul juridic material</w:t>
      </w:r>
    </w:p>
    <w:p w:rsidR="007A1014" w:rsidRPr="009D4B5F" w:rsidRDefault="007A1014" w:rsidP="00864227">
      <w:pPr>
        <w:pStyle w:val="ManualHeading3"/>
        <w:rPr>
          <w:noProof/>
        </w:rPr>
      </w:pPr>
      <w:r>
        <w:rPr>
          <w:noProof/>
        </w:rPr>
        <w:t>4.2.1.</w:t>
      </w:r>
      <w:r>
        <w:rPr>
          <w:noProof/>
        </w:rPr>
        <w:tab/>
      </w:r>
      <w:r w:rsidRPr="009D4B5F">
        <w:rPr>
          <w:noProof/>
        </w:rPr>
        <w:t>Principii</w:t>
      </w:r>
    </w:p>
    <w:p w:rsidR="00B73F96" w:rsidRPr="009D4B5F" w:rsidRDefault="00B73F96" w:rsidP="0026621F">
      <w:pPr>
        <w:pStyle w:val="Text1"/>
        <w:rPr>
          <w:noProof/>
        </w:rPr>
      </w:pPr>
      <w:r w:rsidRPr="009D4B5F">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7A1014" w:rsidRPr="009D4B5F" w:rsidRDefault="007A1014" w:rsidP="00864227">
      <w:pPr>
        <w:pStyle w:val="ManualHeading3"/>
        <w:rPr>
          <w:noProof/>
        </w:rPr>
      </w:pPr>
      <w:r>
        <w:rPr>
          <w:noProof/>
        </w:rPr>
        <w:t>4.2.2.</w:t>
      </w:r>
      <w:r>
        <w:rPr>
          <w:noProof/>
        </w:rPr>
        <w:tab/>
      </w:r>
      <w:r w:rsidRPr="009D4B5F">
        <w:rPr>
          <w:noProof/>
        </w:rPr>
        <w:t>Aplicarea la cazul în discuție</w:t>
      </w:r>
    </w:p>
    <w:p w:rsidR="00B73F96" w:rsidRPr="009D4B5F" w:rsidRDefault="00B73F96" w:rsidP="0026621F">
      <w:pPr>
        <w:pStyle w:val="Text1"/>
        <w:rPr>
          <w:noProof/>
        </w:rPr>
      </w:pPr>
      <w:r w:rsidRPr="009D4B5F">
        <w:rPr>
          <w:noProof/>
        </w:rPr>
        <w:t>Obiectivele principale și conținutul actului preconizat se referă la transportul feroviar. Prin urmare, temeiul juridic material al deciziei propuse este articolul 91 din TFUE.</w:t>
      </w:r>
    </w:p>
    <w:p w:rsidR="00514E63" w:rsidRPr="009D4B5F" w:rsidRDefault="00514E63" w:rsidP="00864227">
      <w:pPr>
        <w:pStyle w:val="ManualHeading2"/>
        <w:rPr>
          <w:noProof/>
        </w:rPr>
      </w:pPr>
      <w:r>
        <w:rPr>
          <w:noProof/>
        </w:rPr>
        <w:lastRenderedPageBreak/>
        <w:t>4.3.</w:t>
      </w:r>
      <w:r>
        <w:rPr>
          <w:noProof/>
        </w:rPr>
        <w:tab/>
      </w:r>
      <w:r w:rsidRPr="009D4B5F">
        <w:rPr>
          <w:noProof/>
        </w:rPr>
        <w:t>Concluzie</w:t>
      </w:r>
    </w:p>
    <w:p w:rsidR="009547D3" w:rsidRPr="009D4B5F" w:rsidRDefault="00B73F96" w:rsidP="009547D3">
      <w:pPr>
        <w:pStyle w:val="Text1"/>
        <w:rPr>
          <w:iCs/>
          <w:noProof/>
        </w:rPr>
      </w:pPr>
      <w:r w:rsidRPr="009D4B5F">
        <w:rPr>
          <w:noProof/>
        </w:rPr>
        <w:t>Temeiul juridic al deciziei propuse trebuie să fie articolul 91 din TFUE coroborat cu articolul 218 alineatul (9) din TFUE.</w:t>
      </w:r>
    </w:p>
    <w:p w:rsidR="009B236F" w:rsidRPr="009D4B5F" w:rsidRDefault="009B236F" w:rsidP="00FD40BA">
      <w:pPr>
        <w:rPr>
          <w:iCs/>
          <w:noProof/>
        </w:rPr>
        <w:sectPr w:rsidR="009B236F" w:rsidRPr="009D4B5F" w:rsidSect="00542E2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0A4C75" w:rsidRDefault="000E78D0">
      <w:pPr>
        <w:pStyle w:val="Rfrenceinterinstitutionnelle"/>
        <w:rPr>
          <w:noProof/>
        </w:rPr>
      </w:pPr>
      <w:r>
        <w:rPr>
          <w:noProof/>
        </w:rPr>
        <w:lastRenderedPageBreak/>
        <w:t>2026/0071 (NLE)</w:t>
      </w:r>
    </w:p>
    <w:p w:rsidR="009B236F" w:rsidRPr="009D4B5F" w:rsidRDefault="00917199" w:rsidP="00917199">
      <w:pPr>
        <w:pStyle w:val="Statut"/>
        <w:rPr>
          <w:noProof/>
        </w:rPr>
      </w:pPr>
      <w:r w:rsidRPr="009D4B5F">
        <w:rPr>
          <w:noProof/>
        </w:rPr>
        <w:t>Propunere de</w:t>
      </w:r>
    </w:p>
    <w:p w:rsidR="009B236F" w:rsidRPr="009D4B5F" w:rsidRDefault="00917199" w:rsidP="00917199">
      <w:pPr>
        <w:pStyle w:val="Typedudocument"/>
        <w:rPr>
          <w:noProof/>
        </w:rPr>
      </w:pPr>
      <w:r w:rsidRPr="009D4B5F">
        <w:rPr>
          <w:noProof/>
        </w:rPr>
        <w:t>DECIZIE A CONSILIULUI</w:t>
      </w:r>
    </w:p>
    <w:p w:rsidR="009B236F" w:rsidRPr="009D4B5F" w:rsidRDefault="00917199" w:rsidP="00917199">
      <w:pPr>
        <w:pStyle w:val="Titreobjet"/>
        <w:rPr>
          <w:noProof/>
        </w:rPr>
      </w:pPr>
      <w:r w:rsidRPr="009D4B5F">
        <w:rPr>
          <w:noProof/>
        </w:rPr>
        <w:t>privind poziția care urmează să fie luată în numele Uniunii Europene în cadrul celei de a treia sesiuni a Autorității de supraveghere instituite în temeiul articolului XII din Protocolul de la Luxemburg la Convenția privind garanțiile internaționale în materie de echipamente mobile referitor la aspecte specifice materialului feroviar rulant</w:t>
      </w:r>
    </w:p>
    <w:p w:rsidR="009B236F" w:rsidRPr="009D4B5F" w:rsidRDefault="009B236F" w:rsidP="00BE7CB9">
      <w:pPr>
        <w:pStyle w:val="Institutionquiagit"/>
        <w:rPr>
          <w:noProof/>
        </w:rPr>
      </w:pPr>
      <w:r w:rsidRPr="009D4B5F">
        <w:rPr>
          <w:noProof/>
        </w:rPr>
        <w:t>CONSILIUL UNIUNII EUROPENE,</w:t>
      </w:r>
    </w:p>
    <w:p w:rsidR="00B73F96" w:rsidRPr="009D4B5F" w:rsidRDefault="00B73F96" w:rsidP="00B73F96">
      <w:pPr>
        <w:rPr>
          <w:noProof/>
        </w:rPr>
      </w:pPr>
      <w:r w:rsidRPr="009D4B5F">
        <w:rPr>
          <w:noProof/>
        </w:rPr>
        <w:t>având în vedere Tratatul privind funcționarea Uniunii Europene, în special articolul 91 coroborat cu articolul 218 alineatul (9),</w:t>
      </w:r>
    </w:p>
    <w:p w:rsidR="00B73F96" w:rsidRPr="009D4B5F" w:rsidRDefault="00B73F96" w:rsidP="00B73F96">
      <w:pPr>
        <w:rPr>
          <w:noProof/>
        </w:rPr>
      </w:pPr>
      <w:r w:rsidRPr="009D4B5F">
        <w:rPr>
          <w:noProof/>
        </w:rPr>
        <w:t>având în vedere propunerea Comisiei Europene,</w:t>
      </w:r>
    </w:p>
    <w:p w:rsidR="00B73F96" w:rsidRPr="009D4B5F" w:rsidRDefault="00B73F96" w:rsidP="00B73F96">
      <w:pPr>
        <w:rPr>
          <w:noProof/>
        </w:rPr>
      </w:pPr>
      <w:r w:rsidRPr="009D4B5F">
        <w:rPr>
          <w:noProof/>
        </w:rPr>
        <w:t>întrucât:</w:t>
      </w:r>
    </w:p>
    <w:p w:rsidR="00B73F96" w:rsidRPr="009D4B5F" w:rsidRDefault="00B73F96" w:rsidP="00CE221C">
      <w:pPr>
        <w:pStyle w:val="ManualConsidrant"/>
        <w:rPr>
          <w:noProof/>
        </w:rPr>
      </w:pPr>
      <w:r>
        <w:rPr>
          <w:noProof/>
        </w:rPr>
        <w:t>(1)</w:t>
      </w:r>
      <w:r>
        <w:rPr>
          <w:noProof/>
        </w:rPr>
        <w:tab/>
      </w:r>
      <w:r w:rsidRPr="009D4B5F">
        <w:rPr>
          <w:noProof/>
        </w:rPr>
        <w:t>Uniunea a aprobat Protocolul la Convenția privind garanțiile internaționale în materie de echipamente mobile referitor la aspecte specifice materialului feroviar rulant („Convenția de la Cape Town”), adoptat la Luxemburg la 23 februarie 2007 („Protocolul de la Luxemburg”), în temeiul Deciziei 2014/888/UE a Consiliului din 4 decembrie 2014</w:t>
      </w:r>
      <w:r w:rsidRPr="009D4B5F">
        <w:rPr>
          <w:rStyle w:val="FootnoteReference"/>
          <w:noProof/>
        </w:rPr>
        <w:footnoteReference w:customMarkFollows="1" w:id="17"/>
        <w:t>(1)</w:t>
      </w:r>
      <w:r w:rsidRPr="009D4B5F">
        <w:rPr>
          <w:noProof/>
        </w:rPr>
        <w:t>, și a dobândit statutul de organizație de integrare economică regională în temeiul protocolului respectiv.</w:t>
      </w:r>
    </w:p>
    <w:p w:rsidR="00733D2B" w:rsidRPr="009D4B5F" w:rsidRDefault="00733D2B" w:rsidP="00733D2B">
      <w:pPr>
        <w:pStyle w:val="ManualConsidrant"/>
        <w:rPr>
          <w:noProof/>
        </w:rPr>
      </w:pPr>
      <w:r>
        <w:rPr>
          <w:noProof/>
        </w:rPr>
        <w:t>(2)</w:t>
      </w:r>
      <w:r>
        <w:rPr>
          <w:noProof/>
        </w:rPr>
        <w:tab/>
      </w:r>
      <w:r w:rsidRPr="009D4B5F">
        <w:rPr>
          <w:noProof/>
        </w:rPr>
        <w:t>Autoritatea de supraveghere a Protocolului de la Luxemburg își poate revizui propriul Statut și Regulament de procedură, în conformitate cu articolul 12 din primul protocol și cu articolul 18 din cel de al doilea. Autoritatea de supraveghere trebuie, de asemenea, să adopte normele-tip privind identificarea permanentă a materialului feroviar rulant, în conformitate cu articolul 5 alineatul (8) din Statutul său.</w:t>
      </w:r>
    </w:p>
    <w:p w:rsidR="00B73F96" w:rsidRPr="009D4B5F" w:rsidRDefault="00B73F96" w:rsidP="00B73F96">
      <w:pPr>
        <w:pStyle w:val="ManualConsidrant"/>
        <w:rPr>
          <w:noProof/>
        </w:rPr>
      </w:pPr>
      <w:r>
        <w:rPr>
          <w:noProof/>
        </w:rPr>
        <w:t>(3)</w:t>
      </w:r>
      <w:r>
        <w:rPr>
          <w:noProof/>
        </w:rPr>
        <w:tab/>
      </w:r>
      <w:r w:rsidRPr="009D4B5F">
        <w:rPr>
          <w:noProof/>
        </w:rPr>
        <w:t>În cadrul celei de a treia sa sesiuni din 14 aprilie 2026, printre alte puncte de pe ordinea de zi, se preconizează că Autoritatea de supraveghere a Protocolului de la Luxemburg își va revizui statutul și regulamentul de procedură și va lua la cunoștință actualizarea normelor-tip (reviz</w:t>
      </w:r>
      <w:r w:rsidR="009D4B5F" w:rsidRPr="009D4B5F">
        <w:rPr>
          <w:noProof/>
        </w:rPr>
        <w:t>uirea</w:t>
      </w:r>
      <w:r w:rsidRPr="009D4B5F">
        <w:rPr>
          <w:noProof/>
        </w:rPr>
        <w:t xml:space="preserve"> 3) privind identificarea permanentă a materialului feroviar rulant, elaborate în cadrul Comisiei Economice pentru Europa a Organizației Națiunilor Unite (CEE-ONU) – SC.2 Grupul de lucru pentru transportul feroviar.</w:t>
      </w:r>
    </w:p>
    <w:p w:rsidR="00B73F96" w:rsidRPr="009D4B5F" w:rsidRDefault="00B73F96" w:rsidP="00B73F96">
      <w:pPr>
        <w:pStyle w:val="ManualConsidrant"/>
        <w:rPr>
          <w:noProof/>
        </w:rPr>
      </w:pPr>
      <w:r>
        <w:rPr>
          <w:noProof/>
        </w:rPr>
        <w:t>(4)</w:t>
      </w:r>
      <w:r>
        <w:rPr>
          <w:noProof/>
        </w:rPr>
        <w:tab/>
      </w:r>
      <w:r w:rsidRPr="009D4B5F">
        <w:rPr>
          <w:noProof/>
        </w:rPr>
        <w:t xml:space="preserve">Este oportun să se stabilească poziția care urmează să fie adoptată în numele Uniunii în cadrul Autorității de supraveghere, întrucât orice măsuri legate de Normele-tip privind identificarea permanentă a materialului feroviar rulant care urmează să fie adoptate de Autoritatea de supraveghere are vocația de a influența în mod decisiv conținutul dreptului Uniunii, și anume Directiva (UE) 2016/797 a Parlamentului European și a Consiliului din 11 mai 2016 privind interoperabilitatea sistemului </w:t>
      </w:r>
      <w:r w:rsidRPr="009D4B5F">
        <w:rPr>
          <w:noProof/>
        </w:rPr>
        <w:lastRenderedPageBreak/>
        <w:t>feroviar în Uniunea Europeană</w:t>
      </w:r>
      <w:r w:rsidRPr="009D4B5F">
        <w:rPr>
          <w:rStyle w:val="FootnoteReference"/>
          <w:noProof/>
        </w:rPr>
        <w:footnoteReference w:customMarkFollows="1" w:id="18"/>
        <w:t>(2)</w:t>
      </w:r>
      <w:r w:rsidRPr="009D4B5F">
        <w:rPr>
          <w:noProof/>
        </w:rPr>
        <w:t>, Regulamentul de punere în aplicare (UE) 2019/773 al Comisiei din 16 mai 2019 privind specificația tehnică de interoperabilitate referitoare la subsistemul „exploatare și gestionarea traficului” al sistemului feroviar din Uniunea Europeană</w:t>
      </w:r>
      <w:r w:rsidRPr="009D4B5F">
        <w:rPr>
          <w:rStyle w:val="FootnoteReference"/>
          <w:noProof/>
        </w:rPr>
        <w:footnoteReference w:customMarkFollows="1" w:id="19"/>
        <w:t>(3)</w:t>
      </w:r>
      <w:r w:rsidRPr="009D4B5F">
        <w:rPr>
          <w:noProof/>
        </w:rPr>
        <w:t xml:space="preserve"> și Decizia de punere în aplicare (UE) 2018/1614 a Comisiei din 25 octombrie 2018 de stabilire a specificațiilor pentru registrele vehiculelor menționate la articolul 47 din Directiva (UE) 2016/797 a Parlamentului European și a Consiliului</w:t>
      </w:r>
      <w:r w:rsidRPr="009D4B5F">
        <w:rPr>
          <w:rStyle w:val="FootnoteReference"/>
          <w:noProof/>
        </w:rPr>
        <w:footnoteReference w:customMarkFollows="1" w:id="20"/>
        <w:t>(4)</w:t>
      </w:r>
      <w:r w:rsidRPr="009D4B5F">
        <w:rPr>
          <w:noProof/>
        </w:rPr>
        <w:t>. În plus, modificările Statutului și ale Regulamentului de procedură care urmează să fie adoptate de Autoritatea de supraveghere pot influența în mod decisiv participarea Uniunii în cadrul organismului respectiv.</w:t>
      </w:r>
    </w:p>
    <w:p w:rsidR="0051085F" w:rsidRPr="009D4B5F" w:rsidRDefault="0051085F" w:rsidP="0051085F">
      <w:pPr>
        <w:pStyle w:val="ManualConsidrant"/>
        <w:rPr>
          <w:noProof/>
        </w:rPr>
      </w:pPr>
      <w:r>
        <w:rPr>
          <w:noProof/>
        </w:rPr>
        <w:t>(5)</w:t>
      </w:r>
      <w:r>
        <w:rPr>
          <w:noProof/>
        </w:rPr>
        <w:tab/>
      </w:r>
      <w:r w:rsidRPr="009D4B5F">
        <w:rPr>
          <w:noProof/>
        </w:rPr>
        <w:t>În ceea ce privește decizia propusă de secretariat de luare la cunoștință și publicare</w:t>
      </w:r>
      <w:r w:rsidRPr="009D4B5F">
        <w:rPr>
          <w:rStyle w:val="FootnoteReference"/>
          <w:noProof/>
        </w:rPr>
        <w:footnoteReference w:id="21"/>
      </w:r>
      <w:r w:rsidRPr="009D4B5F">
        <w:rPr>
          <w:noProof/>
        </w:rPr>
        <w:t xml:space="preserve"> a noii versiuni a Normelor-tip privind identificarea permanentă a materialului feroviar rulant, trebuie să se remarce că această propunere nu este susținută de cadrul juridic al Autorității de supraveghere, întrucât articolul 5 alineatul (8) din Statut solicită Autorității de supraveghere „</w:t>
      </w:r>
      <w:r w:rsidRPr="009D4B5F">
        <w:rPr>
          <w:i/>
          <w:iCs/>
          <w:noProof/>
        </w:rPr>
        <w:t>Aprobarea normelor-tip și a modificărilor acestora</w:t>
      </w:r>
      <w:r w:rsidRPr="009D4B5F">
        <w:rPr>
          <w:noProof/>
        </w:rPr>
        <w:t xml:space="preserve">.” Dat fiind că revizuirea 3 a normelor-tip nu a intrat încă în vigoare, propunerea de </w:t>
      </w:r>
      <w:r w:rsidRPr="009D4B5F">
        <w:rPr>
          <w:i/>
          <w:iCs/>
          <w:noProof/>
        </w:rPr>
        <w:t>a publica</w:t>
      </w:r>
      <w:r w:rsidRPr="009D4B5F">
        <w:rPr>
          <w:noProof/>
        </w:rPr>
        <w:t xml:space="preserve"> aceste norme-tip nu trebuie să se bucure de susținere. Uniunea Europeană ar trebui mai degrabă să susțină doar luarea la cunoștință a noii revizuiri 3 și să propună amânarea oricărei acțiuni până la intrarea în vigoare a revizuirii 3. În cazul în care revizuirea 3 a normelor-tip intră în vigoare până la cea de a treia sesiune a Autorității de supraveghere și corespunde versiunii neoficiale publicate pe site-ul CEE-ONU</w:t>
      </w:r>
      <w:r w:rsidRPr="009D4B5F">
        <w:rPr>
          <w:rStyle w:val="FootnoteReference"/>
          <w:noProof/>
        </w:rPr>
        <w:footnoteReference w:id="22"/>
      </w:r>
      <w:r w:rsidRPr="009D4B5F">
        <w:rPr>
          <w:noProof/>
        </w:rPr>
        <w:t>, Uniunea Europeană trebuie să propună adoptarea de către Autoritatea de supraveghere a acestor norme-tip.</w:t>
      </w:r>
    </w:p>
    <w:p w:rsidR="00B73F96" w:rsidRPr="009D4B5F" w:rsidRDefault="00774785" w:rsidP="00464260">
      <w:pPr>
        <w:pStyle w:val="ManualConsidrant"/>
        <w:rPr>
          <w:noProof/>
        </w:rPr>
      </w:pPr>
      <w:r>
        <w:rPr>
          <w:noProof/>
        </w:rPr>
        <w:t>(6)</w:t>
      </w:r>
      <w:r>
        <w:rPr>
          <w:noProof/>
        </w:rPr>
        <w:tab/>
      </w:r>
      <w:r w:rsidRPr="009D4B5F">
        <w:rPr>
          <w:noProof/>
        </w:rPr>
        <w:t>Modificările propuse la Statutul autorității de supraveghere se limitează în cea mai mare parte la clarificarea activității Comisiei de experți, în calitate de organism consultativ al Autorității de supraveghere. Astfel de modificări sunt în interesul Uniunii Europene, deoarece ele clarifică rolul acestui organism și facilitează activitatea Autorității de supraveghere și, prin urmare, trebuie susținute.</w:t>
      </w:r>
    </w:p>
    <w:p w:rsidR="00774785" w:rsidRPr="009D4B5F" w:rsidRDefault="00B73F96" w:rsidP="00615466">
      <w:pPr>
        <w:pStyle w:val="ManualConsidrant"/>
        <w:rPr>
          <w:noProof/>
        </w:rPr>
      </w:pPr>
      <w:r>
        <w:rPr>
          <w:noProof/>
        </w:rPr>
        <w:t>(7)</w:t>
      </w:r>
      <w:r>
        <w:rPr>
          <w:noProof/>
        </w:rPr>
        <w:tab/>
      </w:r>
      <w:r w:rsidRPr="009D4B5F">
        <w:rPr>
          <w:noProof/>
        </w:rPr>
        <w:t xml:space="preserve">Modificările propuse ale Regulamentului de procedură al Autorității de supraveghere sunt numeroase și au efecte diferite. Printre modificările importante se numără </w:t>
      </w:r>
      <w:r w:rsidRPr="009D4B5F">
        <w:rPr>
          <w:noProof/>
        </w:rPr>
        <w:lastRenderedPageBreak/>
        <w:t>eliminarea votului cu majoritate calificată în cadrul Autorității de supraveghere ca opțiune de vot implicită, inclusiv consecința acestuia asupra cvorumului, eliminarea cerinței ca un funcționar al Oficiului de supraveghere să fie secondat de cel puțin un alt membru, precum și transferul sistematic și clarificarea drepturilor de vot ale Uniunii. Majoritatea modificărilor avute în vedere aduc clarificări importante și îmbunătățesc procedurile de lucru ale Autorității de supraveghere. Cu toate acestea, normele privind votul prin procedură scrisă și aprobarea tacită stabilesc termene foarte scurte, în mod clar insuficiente pentru a înlesni procedurile interne necesare pentru adoptarea unei decizii, iar subiectele cu privire la care o decizie poate fi adoptată prin aprobare tacită trebuie să fie definite în mod clar și expres. Modificările aduse Regulamentului de procedură al Autorității de supraveghere trebuie, prin urmare, să fie sprijinite, sub rezerva anumitor modificări în ceea ce privește normele privind votul prin procedură scrisă și aprobarea tacită,</w:t>
      </w:r>
    </w:p>
    <w:p w:rsidR="009B236F" w:rsidRPr="009D4B5F" w:rsidRDefault="009B236F" w:rsidP="00BE7CB9">
      <w:pPr>
        <w:pStyle w:val="Formuledadoption"/>
        <w:rPr>
          <w:noProof/>
        </w:rPr>
      </w:pPr>
      <w:r w:rsidRPr="009D4B5F">
        <w:rPr>
          <w:noProof/>
        </w:rPr>
        <w:t>ADOPTĂ PREZENTA DECIZIE:</w:t>
      </w:r>
    </w:p>
    <w:p w:rsidR="009B236F" w:rsidRPr="009D4B5F" w:rsidRDefault="009B236F" w:rsidP="00BE7CB9">
      <w:pPr>
        <w:pStyle w:val="Titrearticle"/>
        <w:rPr>
          <w:noProof/>
        </w:rPr>
      </w:pPr>
      <w:r w:rsidRPr="009D4B5F">
        <w:rPr>
          <w:noProof/>
        </w:rPr>
        <w:t>Articolul 1</w:t>
      </w:r>
    </w:p>
    <w:p w:rsidR="00B73F96" w:rsidRPr="009D4B5F" w:rsidRDefault="00B73F96" w:rsidP="00B73F96">
      <w:pPr>
        <w:rPr>
          <w:noProof/>
        </w:rPr>
      </w:pPr>
      <w:r w:rsidRPr="009D4B5F">
        <w:rPr>
          <w:noProof/>
        </w:rPr>
        <w:t>Poziția care urmează să fie luată, în numele Uniunii, în cadrul celei de a treia sesiuni a Autorității de supraveghere a Protocolului la Convenția privind garanțiile internaționale în materie de echipamente mobile referitor la aspecte specifice materialului feroviar rulant, adoptat la Luxemburg la 23 februarie 2007, este prezentată în anexă.</w:t>
      </w:r>
    </w:p>
    <w:p w:rsidR="00B73F96" w:rsidRPr="009D4B5F" w:rsidRDefault="00B73F96" w:rsidP="00B73F96">
      <w:pPr>
        <w:rPr>
          <w:noProof/>
        </w:rPr>
      </w:pPr>
      <w:r w:rsidRPr="009D4B5F">
        <w:rPr>
          <w:noProof/>
        </w:rPr>
        <w:t>Reprezentanții Uniunii pot conveni, în cadrul reuniunii Autorității de supraveghere, asupra unor modificări minore ale pozițiilor exprimate în anexa la prezenta decizie, fără o altă decizie a Consiliului.</w:t>
      </w:r>
    </w:p>
    <w:p w:rsidR="009B236F" w:rsidRPr="009D4B5F" w:rsidRDefault="009B236F" w:rsidP="00C97CC8">
      <w:pPr>
        <w:pStyle w:val="Titrearticle"/>
        <w:rPr>
          <w:noProof/>
        </w:rPr>
      </w:pPr>
      <w:r w:rsidRPr="009D4B5F">
        <w:rPr>
          <w:noProof/>
        </w:rPr>
        <w:t>Articolul 2</w:t>
      </w:r>
    </w:p>
    <w:p w:rsidR="009B236F" w:rsidRPr="009D4B5F" w:rsidRDefault="009B236F" w:rsidP="00BE7CB9">
      <w:pPr>
        <w:rPr>
          <w:noProof/>
        </w:rPr>
      </w:pPr>
      <w:r w:rsidRPr="009D4B5F">
        <w:rPr>
          <w:noProof/>
        </w:rPr>
        <w:t>Prezenta decizie se adresează Comisiei.</w:t>
      </w:r>
    </w:p>
    <w:p w:rsidR="009B236F" w:rsidRPr="009D4B5F" w:rsidRDefault="00917199" w:rsidP="00C97CC8">
      <w:pPr>
        <w:pStyle w:val="Fait"/>
        <w:rPr>
          <w:noProof/>
        </w:rPr>
      </w:pPr>
      <w:r>
        <w:rPr>
          <w:noProof/>
        </w:rPr>
        <w:t>Adoptată la Bruxelles,</w:t>
      </w:r>
    </w:p>
    <w:p w:rsidR="009B236F" w:rsidRPr="009D4B5F" w:rsidRDefault="009B236F" w:rsidP="00C97CC8">
      <w:pPr>
        <w:pStyle w:val="Institutionquisigne"/>
        <w:rPr>
          <w:noProof/>
        </w:rPr>
      </w:pPr>
      <w:r w:rsidRPr="009D4B5F">
        <w:rPr>
          <w:noProof/>
        </w:rPr>
        <w:tab/>
        <w:t>Pentru Consiliu,</w:t>
      </w:r>
    </w:p>
    <w:p w:rsidR="009B236F" w:rsidRPr="009D4B5F" w:rsidRDefault="009B236F" w:rsidP="009B236F">
      <w:pPr>
        <w:pStyle w:val="Personnequisigne"/>
        <w:rPr>
          <w:noProof/>
        </w:rPr>
      </w:pPr>
      <w:r w:rsidRPr="009D4B5F">
        <w:rPr>
          <w:noProof/>
        </w:rPr>
        <w:tab/>
        <w:t>Președintele</w:t>
      </w:r>
    </w:p>
    <w:sectPr w:rsidR="009B236F" w:rsidRPr="009D4B5F" w:rsidSect="00542E2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084" w:rsidRPr="00E23063" w:rsidRDefault="00702084" w:rsidP="009B236F">
      <w:pPr>
        <w:spacing w:before="0" w:after="0"/>
      </w:pPr>
      <w:r>
        <w:separator/>
      </w:r>
    </w:p>
  </w:endnote>
  <w:endnote w:type="continuationSeparator" w:id="0">
    <w:p w:rsidR="00702084" w:rsidRPr="00E23063" w:rsidRDefault="00702084" w:rsidP="009B236F">
      <w:pPr>
        <w:spacing w:before="0" w:after="0"/>
      </w:pPr>
      <w:r>
        <w:continuationSeparator/>
      </w:r>
    </w:p>
  </w:endnote>
  <w:endnote w:type="continuationNotice" w:id="1">
    <w:p w:rsidR="00702084" w:rsidRPr="00E23063" w:rsidRDefault="007020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28" w:rsidRPr="00542E28" w:rsidRDefault="00542E28" w:rsidP="00542E28">
    <w:pPr>
      <w:pStyle w:val="Footer"/>
      <w:rPr>
        <w:rFonts w:ascii="Arial" w:hAnsi="Arial" w:cs="Arial"/>
        <w:b/>
        <w:sz w:val="48"/>
      </w:rPr>
    </w:pPr>
    <w:r w:rsidRPr="00542E28">
      <w:rPr>
        <w:rFonts w:ascii="Arial" w:hAnsi="Arial" w:cs="Arial"/>
        <w:b/>
        <w:sz w:val="48"/>
      </w:rPr>
      <w:t>RO</w:t>
    </w:r>
    <w:r w:rsidRPr="00542E28">
      <w:rPr>
        <w:rFonts w:ascii="Arial" w:hAnsi="Arial" w:cs="Arial"/>
        <w:b/>
        <w:sz w:val="48"/>
      </w:rPr>
      <w:tab/>
    </w:r>
    <w:r w:rsidRPr="00542E28">
      <w:rPr>
        <w:rFonts w:ascii="Arial" w:hAnsi="Arial" w:cs="Arial"/>
        <w:b/>
        <w:sz w:val="48"/>
      </w:rPr>
      <w:tab/>
    </w:r>
    <w:r w:rsidRPr="00542E28">
      <w:tab/>
    </w:r>
    <w:r w:rsidRPr="00542E2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28" w:rsidRPr="00542E28" w:rsidRDefault="00542E28" w:rsidP="00542E28">
    <w:pPr>
      <w:pStyle w:val="Footer"/>
      <w:rPr>
        <w:rFonts w:ascii="Arial" w:hAnsi="Arial" w:cs="Arial"/>
        <w:b/>
        <w:sz w:val="48"/>
      </w:rPr>
    </w:pPr>
    <w:r w:rsidRPr="00542E28">
      <w:rPr>
        <w:rFonts w:ascii="Arial" w:hAnsi="Arial" w:cs="Arial"/>
        <w:b/>
        <w:sz w:val="48"/>
      </w:rPr>
      <w:t>RO</w:t>
    </w:r>
    <w:r w:rsidRPr="00542E28">
      <w:rPr>
        <w:rFonts w:ascii="Arial" w:hAnsi="Arial" w:cs="Arial"/>
        <w:b/>
        <w:sz w:val="48"/>
      </w:rPr>
      <w:tab/>
    </w:r>
    <w:r w:rsidRPr="00542E28">
      <w:rPr>
        <w:rFonts w:ascii="Arial" w:hAnsi="Arial" w:cs="Arial"/>
        <w:b/>
        <w:sz w:val="48"/>
      </w:rPr>
      <w:tab/>
    </w:r>
    <w:r w:rsidRPr="00542E28">
      <w:tab/>
    </w:r>
    <w:r w:rsidRPr="00542E2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28" w:rsidRDefault="00542E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28" w:rsidRPr="00542E28" w:rsidRDefault="00542E28" w:rsidP="00542E28">
    <w:pPr>
      <w:pStyle w:val="Footer"/>
      <w:rPr>
        <w:rFonts w:ascii="Arial" w:hAnsi="Arial" w:cs="Arial"/>
        <w:b/>
        <w:sz w:val="48"/>
      </w:rPr>
    </w:pPr>
    <w:r w:rsidRPr="00542E28">
      <w:rPr>
        <w:rFonts w:ascii="Arial" w:hAnsi="Arial" w:cs="Arial"/>
        <w:b/>
        <w:sz w:val="48"/>
      </w:rPr>
      <w:t>RO</w:t>
    </w:r>
    <w:r w:rsidRPr="00542E28">
      <w:rPr>
        <w:rFonts w:ascii="Arial" w:hAnsi="Arial" w:cs="Arial"/>
        <w:b/>
        <w:sz w:val="48"/>
      </w:rPr>
      <w:tab/>
    </w:r>
    <w:r>
      <w:fldChar w:fldCharType="begin"/>
    </w:r>
    <w:r>
      <w:instrText xml:space="preserve"> PAGE  \* MERGEFORMAT </w:instrText>
    </w:r>
    <w:r>
      <w:fldChar w:fldCharType="separate"/>
    </w:r>
    <w:r w:rsidR="00C97CC8">
      <w:rPr>
        <w:noProof/>
      </w:rPr>
      <w:t>14</w:t>
    </w:r>
    <w:r>
      <w:fldChar w:fldCharType="end"/>
    </w:r>
    <w:r>
      <w:tab/>
    </w:r>
    <w:r w:rsidRPr="00542E28">
      <w:tab/>
    </w:r>
    <w:r w:rsidRPr="00542E2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28" w:rsidRDefault="00542E28" w:rsidP="00542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084" w:rsidRPr="00E23063" w:rsidRDefault="00702084" w:rsidP="009B236F">
      <w:pPr>
        <w:spacing w:before="0" w:after="0"/>
      </w:pPr>
      <w:r>
        <w:separator/>
      </w:r>
    </w:p>
  </w:footnote>
  <w:footnote w:type="continuationSeparator" w:id="0">
    <w:p w:rsidR="00702084" w:rsidRPr="00E23063" w:rsidRDefault="00702084" w:rsidP="009B236F">
      <w:pPr>
        <w:spacing w:before="0" w:after="0"/>
      </w:pPr>
      <w:r>
        <w:continuationSeparator/>
      </w:r>
    </w:p>
  </w:footnote>
  <w:footnote w:type="continuationNotice" w:id="1">
    <w:p w:rsidR="00702084" w:rsidRPr="00E23063" w:rsidRDefault="00702084">
      <w:pPr>
        <w:spacing w:before="0" w:after="0"/>
      </w:pPr>
    </w:p>
  </w:footnote>
  <w:footnote w:id="2">
    <w:p w:rsidR="00004436" w:rsidRPr="009D4B5F" w:rsidRDefault="00004436">
      <w:pPr>
        <w:pStyle w:val="FootnoteText"/>
      </w:pPr>
      <w:r w:rsidRPr="009D4B5F">
        <w:rPr>
          <w:rStyle w:val="FootnoteReference"/>
        </w:rPr>
        <w:footnoteRef/>
      </w:r>
      <w:r w:rsidRPr="009D4B5F">
        <w:tab/>
        <w:t>În conformitate cu capitolul III din Convenția de la Cape Town și cu capitolul II din Protocolul de la Luxemburg.</w:t>
      </w:r>
    </w:p>
  </w:footnote>
  <w:footnote w:id="3">
    <w:p w:rsidR="00B73F96" w:rsidRPr="009D4B5F" w:rsidRDefault="00B73F96" w:rsidP="00B73F96">
      <w:pPr>
        <w:pStyle w:val="FootnoteText"/>
      </w:pPr>
      <w:r w:rsidRPr="009D4B5F">
        <w:rPr>
          <w:rStyle w:val="FootnoteReference"/>
        </w:rPr>
        <w:footnoteRef/>
      </w:r>
      <w:r w:rsidRPr="009D4B5F">
        <w:tab/>
        <w:t>Consiliul Transporturi, Telecomunicații și Energie (Transporturi), 3 iunie 2021: „Transportul feroviar în avangarda mobilității inteligente și durabile” (ST 8790/21)</w:t>
      </w:r>
      <w:r w:rsidR="009D4B5F" w:rsidRPr="009D4B5F">
        <w:t>.</w:t>
      </w:r>
    </w:p>
  </w:footnote>
  <w:footnote w:id="4">
    <w:p w:rsidR="00B73F96" w:rsidRPr="009D4B5F" w:rsidRDefault="00B73F96" w:rsidP="00B73F96">
      <w:pPr>
        <w:pStyle w:val="FootnoteText"/>
      </w:pPr>
      <w:r w:rsidRPr="009D4B5F">
        <w:rPr>
          <w:rStyle w:val="FootnoteReference"/>
        </w:rPr>
        <w:footnoteRef/>
      </w:r>
      <w:r w:rsidRPr="009D4B5F">
        <w:tab/>
        <w:t>JO L 353, 10.12.2014, p. 9, ELI: </w:t>
      </w:r>
      <w:hyperlink r:id="rId1" w:tooltip="Oferă acces la acest document prin identificatorul uniform de resurse ELI." w:history="1">
        <w:r w:rsidRPr="009D4B5F">
          <w:rPr>
            <w:rStyle w:val="Hyperlink"/>
          </w:rPr>
          <w:t>http://data.europa.eu/eli/dec/2014/888/oj</w:t>
        </w:r>
      </w:hyperlink>
      <w:r w:rsidRPr="009D4B5F">
        <w:t>.</w:t>
      </w:r>
    </w:p>
  </w:footnote>
  <w:footnote w:id="5">
    <w:p w:rsidR="00B73F96" w:rsidRPr="009D4B5F" w:rsidRDefault="00B73F96" w:rsidP="00B73F96">
      <w:pPr>
        <w:pStyle w:val="FootnoteText"/>
      </w:pPr>
      <w:r w:rsidRPr="009D4B5F">
        <w:rPr>
          <w:rStyle w:val="FootnoteReference"/>
        </w:rPr>
        <w:footnoteRef/>
      </w:r>
      <w:r w:rsidRPr="009D4B5F">
        <w:tab/>
        <w:t xml:space="preserve">Directiva (UE) 2016/797 a Parlamentului European și a Consiliului din 11 mai 2016 privind interoperabilitatea sistemului feroviar în Uniunea Europeană (reformare) (JO L 138, 26.5.2016, p. 44, ELI: </w:t>
      </w:r>
      <w:hyperlink r:id="rId2" w:history="1">
        <w:r w:rsidRPr="009D4B5F">
          <w:rPr>
            <w:rStyle w:val="Hyperlink"/>
          </w:rPr>
          <w:t>http://data.europa.eu/eli/dir/2016/797/oj</w:t>
        </w:r>
      </w:hyperlink>
      <w:r w:rsidRPr="009D4B5F">
        <w:t>).</w:t>
      </w:r>
    </w:p>
  </w:footnote>
  <w:footnote w:id="6">
    <w:p w:rsidR="00B73F96" w:rsidRPr="009D4B5F" w:rsidRDefault="00B73F96" w:rsidP="00B73F96">
      <w:pPr>
        <w:pStyle w:val="FootnoteText"/>
      </w:pPr>
      <w:r w:rsidRPr="009D4B5F">
        <w:rPr>
          <w:rStyle w:val="FootnoteReference"/>
        </w:rPr>
        <w:footnoteRef/>
      </w:r>
      <w:r w:rsidRPr="009D4B5F">
        <w:tab/>
        <w:t xml:space="preserve">Regulamentul (UE) 2016/796 al Parlamentului European și al Consiliului din 11 mai 2016 privind Agenția Uniunii Europene pentru Căile Ferate și de abrogare a Regulamentului (CE) nr. 881/2004 (JO L 138, 26.5.2016, p. 1, ELI: </w:t>
      </w:r>
      <w:hyperlink r:id="rId3" w:tgtFrame="_blank" w:tooltip="Acces la URL" w:history="1">
        <w:r w:rsidRPr="009D4B5F">
          <w:rPr>
            <w:rStyle w:val="Hyperlink"/>
          </w:rPr>
          <w:t>http://data.europa.eu/eli/reg/2016/796/oj).</w:t>
        </w:r>
      </w:hyperlink>
    </w:p>
  </w:footnote>
  <w:footnote w:id="7">
    <w:p w:rsidR="00B73F96" w:rsidRPr="009D4B5F" w:rsidRDefault="00B73F96" w:rsidP="00B73F96">
      <w:pPr>
        <w:pStyle w:val="FootnoteText"/>
      </w:pPr>
      <w:r w:rsidRPr="009D4B5F">
        <w:rPr>
          <w:rStyle w:val="FootnoteReference"/>
        </w:rPr>
        <w:footnoteRef/>
      </w:r>
      <w:r w:rsidRPr="009D4B5F">
        <w:tab/>
        <w:t xml:space="preserve">Regulamentul de punere în aplicare (UE) 2019/773 al Comisiei din 16 mai 2019 privind specificația tehnică de interoperabilitate referitoare la subsistemul „exploatare și gestionarea traficului” al sistemului feroviar din Uniunea Europeană și de abrogare a Deciziei 2012/757/UE (JO L 139I, 27.5.2019, p. 5, ELI: </w:t>
      </w:r>
      <w:hyperlink r:id="rId4" w:history="1">
        <w:r w:rsidRPr="009D4B5F">
          <w:rPr>
            <w:rStyle w:val="Hyperlink"/>
          </w:rPr>
          <w:t>http://data.europa.eu/eli/reg_impl/2019/773/oj</w:t>
        </w:r>
      </w:hyperlink>
      <w:r w:rsidRPr="009D4B5F">
        <w:t>).</w:t>
      </w:r>
    </w:p>
  </w:footnote>
  <w:footnote w:id="8">
    <w:p w:rsidR="00B73F96" w:rsidRPr="009D4B5F" w:rsidRDefault="00B73F96" w:rsidP="00B73F96">
      <w:pPr>
        <w:pStyle w:val="FootnoteText"/>
      </w:pPr>
      <w:r w:rsidRPr="009D4B5F">
        <w:rPr>
          <w:rStyle w:val="FootnoteReference"/>
        </w:rPr>
        <w:footnoteRef/>
      </w:r>
      <w:r w:rsidRPr="009D4B5F">
        <w:tab/>
        <w:t xml:space="preserve">Decizia de punere în aplicare (UE) 2018/1614 a Comisiei din 25 octombrie 2018 de stabilire a specificațiilor pentru registrele vehiculelor menționate la articolul 47 din Directiva (UE) 2016/797 a Parlamentului European și a Consiliului și de modificare și abrogare a Deciziei 2007/756/CE a Comisiei (JO L 268, 26.10.2018, p. 53, ELI: </w:t>
      </w:r>
      <w:hyperlink r:id="rId5" w:history="1">
        <w:r w:rsidRPr="009D4B5F">
          <w:rPr>
            <w:rStyle w:val="Hyperlink"/>
          </w:rPr>
          <w:t>http://data.europa.eu/eli/dec_impl/2018/1614/oj</w:t>
        </w:r>
      </w:hyperlink>
      <w:r w:rsidRPr="009D4B5F">
        <w:t>).</w:t>
      </w:r>
    </w:p>
  </w:footnote>
  <w:footnote w:id="9">
    <w:p w:rsidR="00CF534E" w:rsidRPr="009D4B5F" w:rsidRDefault="00CF534E" w:rsidP="00951C64">
      <w:pPr>
        <w:pStyle w:val="FootnoteText"/>
      </w:pPr>
      <w:r w:rsidRPr="009D4B5F">
        <w:rPr>
          <w:rStyle w:val="FootnoteReference"/>
        </w:rPr>
        <w:footnoteRef/>
      </w:r>
      <w:r w:rsidRPr="009D4B5F">
        <w:tab/>
        <w:t xml:space="preserve">Statutul autorității de supraveghere (Protocolul de la Luxemburg) adoptat de Autoritatea de supraveghere în cadrul </w:t>
      </w:r>
      <w:r w:rsidR="00917199" w:rsidRPr="009D4B5F">
        <w:t>primei sesiuni</w:t>
      </w:r>
      <w:r w:rsidRPr="009D4B5F">
        <w:t xml:space="preserve"> a acesteia din 8 martie 2024.</w:t>
      </w:r>
    </w:p>
  </w:footnote>
  <w:footnote w:id="10">
    <w:p w:rsidR="00956490" w:rsidRPr="009D4B5F" w:rsidRDefault="00956490" w:rsidP="008D0A85">
      <w:pPr>
        <w:pStyle w:val="FootnoteText"/>
      </w:pPr>
      <w:r w:rsidRPr="009D4B5F">
        <w:rPr>
          <w:rStyle w:val="FootnoteReference"/>
        </w:rPr>
        <w:footnoteRef/>
      </w:r>
      <w:r w:rsidRPr="009D4B5F">
        <w:tab/>
        <w:t>Assemblée générale AG 12/21 30.09.2015 FINAL DOCUMENT – Point 7.5 (</w:t>
      </w:r>
      <w:hyperlink r:id="rId6" w:history="1">
        <w:r w:rsidRPr="009D4B5F">
          <w:rPr>
            <w:rStyle w:val="Hyperlink"/>
          </w:rPr>
          <w:t>https://otif.org/fileadmin/user_upload/otif_verlinkte_files/04_recht/02_Generalversammlung/AG_12_21_document_final_e____add_1-4_.pdf</w:t>
        </w:r>
      </w:hyperlink>
      <w:r w:rsidRPr="009D4B5F">
        <w:t>)</w:t>
      </w:r>
      <w:r w:rsidR="009D4B5F" w:rsidRPr="009D4B5F">
        <w:t>.</w:t>
      </w:r>
    </w:p>
  </w:footnote>
  <w:footnote w:id="11">
    <w:p w:rsidR="00BB31AC" w:rsidRPr="009D4B5F" w:rsidRDefault="00BB31AC" w:rsidP="00BB31AC">
      <w:pPr>
        <w:pStyle w:val="FootnoteText"/>
      </w:pPr>
      <w:r w:rsidRPr="009D4B5F">
        <w:rPr>
          <w:rStyle w:val="FootnoteReference"/>
        </w:rPr>
        <w:footnoteRef/>
      </w:r>
      <w:r w:rsidRPr="009D4B5F">
        <w:tab/>
        <w:t xml:space="preserve">Decizia (UE) 2024/851 a Consiliului din 4 martie 2024 privind poziția care urmează să fie adoptată în numele Uniunii Europene în cadrul celei de a 12-a sesiuni a Comisiei pregătitoare pentru înființarea Registrului internațional pentru materialul feroviar rulant și în cadrul primei sesiuni a autorității de supraveghere instituite în temeiul Protocolului de la Luxemburg la Convenția privind garanțiile internaționale în materie de echipamente mobile referitor la aspecte specifice materialului feroviar rulant (JO L, 2024/851, 11.3.2024, ELI: </w:t>
      </w:r>
      <w:hyperlink r:id="rId7" w:history="1">
        <w:r w:rsidRPr="009D4B5F">
          <w:rPr>
            <w:rStyle w:val="Hyperlink"/>
          </w:rPr>
          <w:t>http://data.europa.eu/eli/dec/2024/851/oj</w:t>
        </w:r>
      </w:hyperlink>
      <w:r w:rsidRPr="009D4B5F">
        <w:t>).</w:t>
      </w:r>
    </w:p>
  </w:footnote>
  <w:footnote w:id="12">
    <w:p w:rsidR="00E23063" w:rsidRPr="009D4B5F" w:rsidRDefault="00E23063" w:rsidP="00E23063">
      <w:pPr>
        <w:pStyle w:val="FootnoteText"/>
      </w:pPr>
      <w:r w:rsidRPr="009D4B5F">
        <w:rPr>
          <w:rStyle w:val="FootnoteReference"/>
        </w:rPr>
        <w:footnoteRef/>
      </w:r>
      <w:r w:rsidRPr="009D4B5F">
        <w:tab/>
        <w:t xml:space="preserve">Decizia (UE) 2025/853 a Consiliului din 14 aprilie 2025 privind poziția care urmează să fie adoptată în numele Uniunii Europene în cadrul celei de a doua sesiuni a Autorității de supraveghere creată în temeiul Protocolului de la Luxemburg la Convenția privind garanțiile internaționale în materie de echipamente mobile referitor la aspecte specifice materialului feroviar rulant (JO L, 2025/853, 5.5.2025, ELI: </w:t>
      </w:r>
      <w:hyperlink r:id="rId8" w:history="1">
        <w:r w:rsidRPr="009D4B5F">
          <w:rPr>
            <w:rStyle w:val="Hyperlink"/>
          </w:rPr>
          <w:t>http://data.europa.eu/eli/dec/2025/853/oj</w:t>
        </w:r>
      </w:hyperlink>
      <w:r w:rsidRPr="009D4B5F">
        <w:t>).</w:t>
      </w:r>
    </w:p>
  </w:footnote>
  <w:footnote w:id="13">
    <w:p w:rsidR="000E4385" w:rsidRPr="009D4B5F" w:rsidRDefault="000E4385">
      <w:pPr>
        <w:pStyle w:val="FootnoteText"/>
      </w:pPr>
      <w:r w:rsidRPr="009D4B5F">
        <w:rPr>
          <w:rStyle w:val="FootnoteReference"/>
        </w:rPr>
        <w:footnoteRef/>
      </w:r>
      <w:r w:rsidRPr="009D4B5F">
        <w:tab/>
        <w:t>Declarația în limba engleză: „</w:t>
      </w:r>
      <w:r w:rsidRPr="009D4B5F">
        <w:rPr>
          <w:i/>
          <w:iCs/>
        </w:rPr>
        <w:t>We hereby undertake to be bound by the Model Rules on the Permanent Identification of Railway Rolling Stock (English edition) as amended from time to time, issued under the auspices of the Working Party on Rail Transport, as at the date of this declaration</w:t>
      </w:r>
      <w:r w:rsidRPr="009D4B5F">
        <w:t>” [„Ne angajăm să ne asumăm obligația de a respecta normele-tip privind identificarea permanentă a materialului feroviar rulant (ediția în limba engleză), astfel cum au fost modificate periodic, emise sub auspiciile Grupului de lucru pentru transportul feroviar, la data prezentei declarații”].</w:t>
      </w:r>
    </w:p>
  </w:footnote>
  <w:footnote w:id="14">
    <w:p w:rsidR="00277A31" w:rsidRPr="009D4B5F" w:rsidRDefault="00277A31">
      <w:pPr>
        <w:pStyle w:val="FootnoteText"/>
      </w:pPr>
      <w:r w:rsidRPr="009D4B5F">
        <w:rPr>
          <w:rStyle w:val="FootnoteReference"/>
        </w:rPr>
        <w:footnoteRef/>
      </w:r>
      <w:r w:rsidRPr="009D4B5F">
        <w:tab/>
        <w:t>Există o excepție de la această regulă atunci când se adoptă un nou statut sau regulament de procedură, astfel cum se prevede la articolul 21.</w:t>
      </w:r>
    </w:p>
  </w:footnote>
  <w:footnote w:id="15">
    <w:p w:rsidR="000B7C53" w:rsidRPr="009D4B5F" w:rsidRDefault="000B7C53" w:rsidP="004E6FF6">
      <w:pPr>
        <w:pStyle w:val="FootnoteText"/>
      </w:pPr>
      <w:r w:rsidRPr="009D4B5F">
        <w:rPr>
          <w:rStyle w:val="FootnoteReference"/>
        </w:rPr>
        <w:footnoteRef/>
      </w:r>
      <w:r w:rsidRPr="009D4B5F">
        <w:tab/>
      </w:r>
      <w:r w:rsidRPr="009D4B5F">
        <w:rPr>
          <w:i/>
        </w:rPr>
        <w:t xml:space="preserve">Autoritatea de supraveghere: (1) ia act de modificările aduse normelor-tip privind identificarea permanentă a materialului feroviar rulant cuprinse în revizuirea 3 a acestor norme-tip și de faptul că aceste modificări nu au niciun impact asupra funcționării Registrului internațional al intereselor în materie de material rulant; </w:t>
      </w:r>
      <w:r w:rsidRPr="009D4B5F">
        <w:t xml:space="preserve">(2) </w:t>
      </w:r>
      <w:r w:rsidRPr="009D4B5F">
        <w:rPr>
          <w:i/>
          <w:iCs/>
        </w:rPr>
        <w:t>însărcinează operatorul de registru să publice pe site-ul său web trimiteri la cea de a doua și la cea de a treia versiune a Normelor-tip privind identificarea permanentă a materialului feroviar rulant, împreună cu o explicație care să indice că cea de a doua versiune a fost aprobată de Autoritatea de supraveghere în cadrul celei de a doua sesiuni și că cea de a treia versiune a fost luată în considerare în cadrul celei de a treia sesiuni, pe baza faptului că modificările adoptate în cea de a treia versiune nu au niciun impact asupra funcționării Registrului internațional al intereselor privind materialul rulant</w:t>
      </w:r>
      <w:r w:rsidRPr="009D4B5F">
        <w:t>.</w:t>
      </w:r>
    </w:p>
  </w:footnote>
  <w:footnote w:id="16">
    <w:p w:rsidR="00B73F96" w:rsidRPr="009D4B5F" w:rsidRDefault="00B73F96" w:rsidP="00B73F96">
      <w:pPr>
        <w:pStyle w:val="FootnoteText"/>
      </w:pPr>
      <w:r w:rsidRPr="009D4B5F">
        <w:rPr>
          <w:rStyle w:val="FootnoteReference"/>
        </w:rPr>
        <w:footnoteRef/>
      </w:r>
      <w:r w:rsidRPr="009D4B5F">
        <w:tab/>
        <w:t>Hotărârea Curții de Justiție din 7 octombrie 2014, Germania/Consiliu, C-399/12, ECLI:EU:C:2014:2258, punctele 61-64.</w:t>
      </w:r>
    </w:p>
  </w:footnote>
  <w:footnote w:id="17">
    <w:p w:rsidR="00B73F96" w:rsidRPr="009D4B5F" w:rsidRDefault="00B73F96" w:rsidP="00B73F96">
      <w:pPr>
        <w:pStyle w:val="FootnoteText"/>
      </w:pPr>
      <w:r w:rsidRPr="009D4B5F">
        <w:rPr>
          <w:rStyle w:val="FootnoteReference"/>
        </w:rPr>
        <w:t>(1)</w:t>
      </w:r>
      <w:r w:rsidRPr="009D4B5F">
        <w:tab/>
        <w:t>Decizia 2014/888/UE a Consiliului din 4 decembrie 2014 privind aprobarea, în numele Uniunii Europene, a Protocolului la Convenția privind garanțiile internaționale în materie de echipamente mobile referitor la aspecte specifice materialului feroviar rulant, adoptat la Luxemburg la 23 februarie 2007 (JO L 353, 10.12.2014, p. 9, ELI: </w:t>
      </w:r>
      <w:hyperlink r:id="rId9" w:tooltip="Oferă acces la acest document prin identificatorul uniform de resurse ELI." w:history="1">
        <w:r w:rsidRPr="009D4B5F">
          <w:rPr>
            <w:rStyle w:val="Hyperlink"/>
          </w:rPr>
          <w:t>http://data.europa.eu/eli/dec/2014/888/oj</w:t>
        </w:r>
      </w:hyperlink>
      <w:r w:rsidRPr="009D4B5F">
        <w:t>).</w:t>
      </w:r>
    </w:p>
  </w:footnote>
  <w:footnote w:id="18">
    <w:p w:rsidR="00B73F96" w:rsidRPr="009D4B5F" w:rsidRDefault="00B73F96" w:rsidP="00B73F96">
      <w:pPr>
        <w:pStyle w:val="FootnoteText"/>
      </w:pPr>
      <w:r w:rsidRPr="009D4B5F">
        <w:rPr>
          <w:rStyle w:val="FootnoteReference"/>
        </w:rPr>
        <w:t>(2)</w:t>
      </w:r>
      <w:r w:rsidRPr="009D4B5F">
        <w:tab/>
        <w:t xml:space="preserve">Directiva (UE) 2016/797 a Parlamentului European și a Consiliului din 11 mai 2016 privind interoperabilitatea sistemului feroviar în Uniunea Europeană (reformare) (JO L 138, 26.5.2016, p. 44, ELI: </w:t>
      </w:r>
      <w:hyperlink r:id="rId10" w:history="1">
        <w:r w:rsidRPr="009D4B5F">
          <w:rPr>
            <w:rStyle w:val="Hyperlink"/>
          </w:rPr>
          <w:t>http://data.europa.eu/eli/dir/2016/797/oj</w:t>
        </w:r>
      </w:hyperlink>
      <w:r w:rsidRPr="009D4B5F">
        <w:t>).</w:t>
      </w:r>
    </w:p>
  </w:footnote>
  <w:footnote w:id="19">
    <w:p w:rsidR="00B73F96" w:rsidRPr="009D4B5F" w:rsidRDefault="00B73F96" w:rsidP="00B73F96">
      <w:pPr>
        <w:pStyle w:val="FootnoteText"/>
      </w:pPr>
      <w:r w:rsidRPr="009D4B5F">
        <w:rPr>
          <w:rStyle w:val="FootnoteReference"/>
        </w:rPr>
        <w:t>(3)</w:t>
      </w:r>
      <w:r w:rsidRPr="009D4B5F">
        <w:tab/>
        <w:t xml:space="preserve">Regulamentul de punere în aplicare (UE) 2019/773 al Comisiei din 16 mai 2019 privind specificația tehnică de interoperabilitate referitoare la subsistemul „exploatare și gestionarea traficului” al sistemului feroviar din Uniunea Europeană și de abrogare a Deciziei 2012/757/UE (JO L 139I, 27.5.2019, p. 5, ELI: </w:t>
      </w:r>
      <w:hyperlink r:id="rId11" w:history="1">
        <w:r w:rsidRPr="009D4B5F">
          <w:rPr>
            <w:rStyle w:val="Hyperlink"/>
          </w:rPr>
          <w:t>http://data.europa.eu/eli/reg_impl/2019/773/oj</w:t>
        </w:r>
      </w:hyperlink>
      <w:r w:rsidRPr="009D4B5F">
        <w:t>).</w:t>
      </w:r>
    </w:p>
  </w:footnote>
  <w:footnote w:id="20">
    <w:p w:rsidR="00B73F96" w:rsidRPr="009D4B5F" w:rsidRDefault="00B73F96" w:rsidP="00B73F96">
      <w:pPr>
        <w:pStyle w:val="FootnoteText"/>
      </w:pPr>
      <w:r w:rsidRPr="009D4B5F">
        <w:rPr>
          <w:rStyle w:val="FootnoteReference"/>
        </w:rPr>
        <w:t>(4)</w:t>
      </w:r>
      <w:r w:rsidRPr="009D4B5F">
        <w:tab/>
        <w:t xml:space="preserve">Decizia de punere în aplicare (UE) 2018/1614 a Comisiei din 25 octombrie 2018 de stabilire a specificațiilor pentru registrele vehiculelor menționate la articolul 47 din Directiva (UE) 2016/797 a Parlamentului European și a Consiliului și de modificare și abrogare a Deciziei 2007/756/CE a Comisiei (JO L 268, 26.10.2018, p. 53, ELI: </w:t>
      </w:r>
      <w:hyperlink r:id="rId12" w:history="1">
        <w:r w:rsidRPr="009D4B5F">
          <w:rPr>
            <w:rStyle w:val="Hyperlink"/>
          </w:rPr>
          <w:t>http://data.europa.eu/eli/dec_impl/2018/1614/oj</w:t>
        </w:r>
      </w:hyperlink>
      <w:r w:rsidRPr="009D4B5F">
        <w:t>).</w:t>
      </w:r>
    </w:p>
  </w:footnote>
  <w:footnote w:id="21">
    <w:p w:rsidR="0051085F" w:rsidRPr="009D4B5F" w:rsidRDefault="0051085F" w:rsidP="0051085F">
      <w:pPr>
        <w:pStyle w:val="FootnoteText"/>
      </w:pPr>
      <w:r w:rsidRPr="009D4B5F">
        <w:rPr>
          <w:rStyle w:val="FootnoteReference"/>
        </w:rPr>
        <w:footnoteRef/>
      </w:r>
      <w:r w:rsidRPr="009D4B5F">
        <w:tab/>
      </w:r>
      <w:r w:rsidRPr="009D4B5F">
        <w:rPr>
          <w:i/>
        </w:rPr>
        <w:t xml:space="preserve">Autoritatea de supraveghere: (1) ia act de modificările aduse normelor-tip privind identificarea permanentă a materialului feroviar rulant cuprinse în revizuirea 3 a acestor norme-tip și de faptul că aceste modificări nu au niciun impact asupra funcționării Registrului internațional al intereselor în materie de material rulant; </w:t>
      </w:r>
      <w:r w:rsidRPr="009D4B5F">
        <w:t xml:space="preserve">(2) </w:t>
      </w:r>
      <w:r w:rsidRPr="009D4B5F">
        <w:rPr>
          <w:i/>
          <w:iCs/>
        </w:rPr>
        <w:t>însărcinează operatorul de registru să publice pe site-ul său web trimiteri la cea de a doua și la cea de a treia versiune a Normelor-tip privind identificarea permanentă a materialului feroviar rulant, împreună cu o explicație care să indice că cea de a doua versiune a fost aprobată de Autoritatea de supraveghere în cadrul celei de a doua sesiuni și că cea de a treia versiune a fost luată în considerare în cadrul celei de a treia sesiuni, pe baza faptului că modificările adoptate în cea de a treia versiune nu au niciun impact asupra funcționării Registrului internațional al intereselor privind materialul rulant</w:t>
      </w:r>
      <w:r w:rsidRPr="009D4B5F">
        <w:t>.</w:t>
      </w:r>
    </w:p>
  </w:footnote>
  <w:footnote w:id="22">
    <w:p w:rsidR="0065439A" w:rsidRPr="009D4B5F" w:rsidRDefault="0065439A">
      <w:pPr>
        <w:pStyle w:val="FootnoteText"/>
      </w:pPr>
      <w:r w:rsidRPr="009D4B5F">
        <w:rPr>
          <w:rStyle w:val="FootnoteReference"/>
        </w:rPr>
        <w:footnoteRef/>
      </w:r>
      <w:r w:rsidRPr="009D4B5F">
        <w:tab/>
      </w:r>
      <w:hyperlink r:id="rId13" w:history="1">
        <w:r w:rsidRPr="009D4B5F">
          <w:rPr>
            <w:rStyle w:val="Hyperlink"/>
          </w:rPr>
          <w:t>https://unece.org/sites/default/files/2026-02/ECE-TRANS-SC.2-337-Rev.3EFR_Unofficial.pdf</w:t>
        </w:r>
      </w:hyperlink>
      <w:r w:rsidR="009D4B5F" w:rsidRPr="009D4B5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28" w:rsidRDefault="00542E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28" w:rsidRDefault="00542E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2DAAAE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4D6D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2F85F5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D0281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3 16:47: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FF87E94-0476-4A71-8004-1A7627F53E4F"/>
    <w:docVar w:name="LW_COVERPAGE_TYPE" w:val="1"/>
    <w:docVar w:name="LW_CreatedUtc" w:val="2025-03-06T08:42:30.1409969Z"/>
    <w:docVar w:name="LW_CROSSREFERENCE" w:val="&lt;UNUSED&gt;"/>
    <w:docVar w:name="LW_DocType" w:val="COM"/>
    <w:docVar w:name="LW_EMISSION" w:val="9.3.2026"/>
    <w:docVar w:name="LW_EMISSION_ISODATE" w:val="2026-03-09"/>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71"/>
    <w:docVar w:name="LW_REF.II.NEW.CP_YEAR" w:val="2026"/>
    <w:docVar w:name="LW_REF.INST.NEW" w:val="COM"/>
    <w:docVar w:name="LW_REF.INST.NEW_ADOPTED" w:val="final"/>
    <w:docVar w:name="LW_REF.INST.NEW_TEXT" w:val="(2026) 1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elei de a treia sesiuni a Autorit\u259?\u539?ii de supraveghere instituite în temeiul articolului XII din Protocolul de la Luxemburg la Conven\u539?ia privind garan\u539?iile interna\u539?ionale în materie de echipamente mobile referitor la aspecte specifice materialului feroviar rulant"/>
    <w:docVar w:name="LW_TYPE.DOC.CP" w:val="DECIZIE A CONSILIULUI"/>
    <w:docVar w:name="LwApiVersions" w:val="LW4CoDe 1.24.5.0; LW 9.2, Build 20251112"/>
  </w:docVars>
  <w:rsids>
    <w:rsidRoot w:val="009B236F"/>
    <w:rsid w:val="0000247C"/>
    <w:rsid w:val="00003272"/>
    <w:rsid w:val="00004436"/>
    <w:rsid w:val="00007035"/>
    <w:rsid w:val="000101D0"/>
    <w:rsid w:val="00025830"/>
    <w:rsid w:val="00030547"/>
    <w:rsid w:val="000313BB"/>
    <w:rsid w:val="00032656"/>
    <w:rsid w:val="0003436D"/>
    <w:rsid w:val="00034B4D"/>
    <w:rsid w:val="00036BD3"/>
    <w:rsid w:val="000548C2"/>
    <w:rsid w:val="00055965"/>
    <w:rsid w:val="00060E43"/>
    <w:rsid w:val="00063583"/>
    <w:rsid w:val="00063E4E"/>
    <w:rsid w:val="00070B60"/>
    <w:rsid w:val="0007689B"/>
    <w:rsid w:val="00085056"/>
    <w:rsid w:val="00085282"/>
    <w:rsid w:val="000868EB"/>
    <w:rsid w:val="00095259"/>
    <w:rsid w:val="000A4C75"/>
    <w:rsid w:val="000A4F25"/>
    <w:rsid w:val="000A5DB4"/>
    <w:rsid w:val="000A6EFB"/>
    <w:rsid w:val="000A78BD"/>
    <w:rsid w:val="000B736A"/>
    <w:rsid w:val="000B7C53"/>
    <w:rsid w:val="000B7C5C"/>
    <w:rsid w:val="000C39C1"/>
    <w:rsid w:val="000C5D7E"/>
    <w:rsid w:val="000D1DCA"/>
    <w:rsid w:val="000D2A69"/>
    <w:rsid w:val="000D2DC7"/>
    <w:rsid w:val="000D4AF4"/>
    <w:rsid w:val="000E1E4D"/>
    <w:rsid w:val="000E2C3D"/>
    <w:rsid w:val="000E4385"/>
    <w:rsid w:val="000F2592"/>
    <w:rsid w:val="001065F5"/>
    <w:rsid w:val="001219ED"/>
    <w:rsid w:val="00122AE4"/>
    <w:rsid w:val="001238EF"/>
    <w:rsid w:val="00126F0F"/>
    <w:rsid w:val="00144800"/>
    <w:rsid w:val="00157F5F"/>
    <w:rsid w:val="00160790"/>
    <w:rsid w:val="00163E69"/>
    <w:rsid w:val="0016490B"/>
    <w:rsid w:val="001649B0"/>
    <w:rsid w:val="00165065"/>
    <w:rsid w:val="00165EFC"/>
    <w:rsid w:val="00171869"/>
    <w:rsid w:val="00191B62"/>
    <w:rsid w:val="00194CE4"/>
    <w:rsid w:val="00197613"/>
    <w:rsid w:val="001A1769"/>
    <w:rsid w:val="001A7E8C"/>
    <w:rsid w:val="001B38F3"/>
    <w:rsid w:val="001B5136"/>
    <w:rsid w:val="001C0E58"/>
    <w:rsid w:val="001C1AA2"/>
    <w:rsid w:val="001C759D"/>
    <w:rsid w:val="001D4EB1"/>
    <w:rsid w:val="001D6167"/>
    <w:rsid w:val="001E0274"/>
    <w:rsid w:val="001E130B"/>
    <w:rsid w:val="001E2D13"/>
    <w:rsid w:val="001E4FDC"/>
    <w:rsid w:val="001E634E"/>
    <w:rsid w:val="001F04A6"/>
    <w:rsid w:val="001F1C2F"/>
    <w:rsid w:val="001F70F0"/>
    <w:rsid w:val="002017A2"/>
    <w:rsid w:val="00203117"/>
    <w:rsid w:val="00210A81"/>
    <w:rsid w:val="0021195D"/>
    <w:rsid w:val="00213DF8"/>
    <w:rsid w:val="0021484F"/>
    <w:rsid w:val="00221EEE"/>
    <w:rsid w:val="00222DE1"/>
    <w:rsid w:val="00223D5A"/>
    <w:rsid w:val="002331C9"/>
    <w:rsid w:val="00233DC7"/>
    <w:rsid w:val="002346A4"/>
    <w:rsid w:val="0024585B"/>
    <w:rsid w:val="00247779"/>
    <w:rsid w:val="00262F77"/>
    <w:rsid w:val="0026621F"/>
    <w:rsid w:val="00275605"/>
    <w:rsid w:val="00277A31"/>
    <w:rsid w:val="00284D62"/>
    <w:rsid w:val="00285BEE"/>
    <w:rsid w:val="00291771"/>
    <w:rsid w:val="00291814"/>
    <w:rsid w:val="0029533F"/>
    <w:rsid w:val="002A25A7"/>
    <w:rsid w:val="002A46B7"/>
    <w:rsid w:val="002A4DA3"/>
    <w:rsid w:val="002B0584"/>
    <w:rsid w:val="002B30AF"/>
    <w:rsid w:val="002B758A"/>
    <w:rsid w:val="002B79F9"/>
    <w:rsid w:val="002C1FD2"/>
    <w:rsid w:val="002C4A09"/>
    <w:rsid w:val="002C7FC8"/>
    <w:rsid w:val="002D0264"/>
    <w:rsid w:val="002D4392"/>
    <w:rsid w:val="002D628D"/>
    <w:rsid w:val="002E28ED"/>
    <w:rsid w:val="002E4641"/>
    <w:rsid w:val="002E56D2"/>
    <w:rsid w:val="002E62CD"/>
    <w:rsid w:val="002F11B8"/>
    <w:rsid w:val="002F53E4"/>
    <w:rsid w:val="00310809"/>
    <w:rsid w:val="00312D34"/>
    <w:rsid w:val="00316339"/>
    <w:rsid w:val="003202E0"/>
    <w:rsid w:val="00324FE3"/>
    <w:rsid w:val="00327DE9"/>
    <w:rsid w:val="00330824"/>
    <w:rsid w:val="0033344A"/>
    <w:rsid w:val="00341A92"/>
    <w:rsid w:val="00352596"/>
    <w:rsid w:val="00357982"/>
    <w:rsid w:val="003611AF"/>
    <w:rsid w:val="00361B0D"/>
    <w:rsid w:val="00361BEF"/>
    <w:rsid w:val="00371B01"/>
    <w:rsid w:val="00371E9A"/>
    <w:rsid w:val="00372C33"/>
    <w:rsid w:val="0038575A"/>
    <w:rsid w:val="00391959"/>
    <w:rsid w:val="003955B4"/>
    <w:rsid w:val="003A0CA6"/>
    <w:rsid w:val="003A3FCD"/>
    <w:rsid w:val="003A78A8"/>
    <w:rsid w:val="003B4EC2"/>
    <w:rsid w:val="003B58A6"/>
    <w:rsid w:val="003B7439"/>
    <w:rsid w:val="003C11B2"/>
    <w:rsid w:val="003C201C"/>
    <w:rsid w:val="003C2115"/>
    <w:rsid w:val="003D6B84"/>
    <w:rsid w:val="00401CCE"/>
    <w:rsid w:val="00401E27"/>
    <w:rsid w:val="0040325A"/>
    <w:rsid w:val="004133A0"/>
    <w:rsid w:val="00424DEA"/>
    <w:rsid w:val="004250B0"/>
    <w:rsid w:val="0042648E"/>
    <w:rsid w:val="004334DC"/>
    <w:rsid w:val="00433EA5"/>
    <w:rsid w:val="00436DE4"/>
    <w:rsid w:val="00437766"/>
    <w:rsid w:val="00446296"/>
    <w:rsid w:val="00455C66"/>
    <w:rsid w:val="00467279"/>
    <w:rsid w:val="004703A3"/>
    <w:rsid w:val="004722F7"/>
    <w:rsid w:val="00475C49"/>
    <w:rsid w:val="004777CA"/>
    <w:rsid w:val="0048007E"/>
    <w:rsid w:val="004805DB"/>
    <w:rsid w:val="0048255D"/>
    <w:rsid w:val="00490C93"/>
    <w:rsid w:val="004936D2"/>
    <w:rsid w:val="004C071C"/>
    <w:rsid w:val="004C18C3"/>
    <w:rsid w:val="004C3227"/>
    <w:rsid w:val="004D68D4"/>
    <w:rsid w:val="004E4B76"/>
    <w:rsid w:val="004E5250"/>
    <w:rsid w:val="004E5612"/>
    <w:rsid w:val="004E6FF6"/>
    <w:rsid w:val="004F1233"/>
    <w:rsid w:val="00502028"/>
    <w:rsid w:val="00502FF1"/>
    <w:rsid w:val="0051085F"/>
    <w:rsid w:val="00513512"/>
    <w:rsid w:val="00514E63"/>
    <w:rsid w:val="005158C6"/>
    <w:rsid w:val="00521A32"/>
    <w:rsid w:val="00524A2F"/>
    <w:rsid w:val="00533AD7"/>
    <w:rsid w:val="005405EB"/>
    <w:rsid w:val="005414AF"/>
    <w:rsid w:val="00542E28"/>
    <w:rsid w:val="00543DEA"/>
    <w:rsid w:val="00546E72"/>
    <w:rsid w:val="00560A2C"/>
    <w:rsid w:val="00563BAD"/>
    <w:rsid w:val="00564ADD"/>
    <w:rsid w:val="00564FC1"/>
    <w:rsid w:val="00565763"/>
    <w:rsid w:val="0056629B"/>
    <w:rsid w:val="0057491B"/>
    <w:rsid w:val="00576EAB"/>
    <w:rsid w:val="005870BF"/>
    <w:rsid w:val="005879C4"/>
    <w:rsid w:val="005A3C24"/>
    <w:rsid w:val="005A5E6D"/>
    <w:rsid w:val="005A66EB"/>
    <w:rsid w:val="005B1EB6"/>
    <w:rsid w:val="005B51B4"/>
    <w:rsid w:val="005C02A1"/>
    <w:rsid w:val="005C21A6"/>
    <w:rsid w:val="005C34DC"/>
    <w:rsid w:val="005D00F7"/>
    <w:rsid w:val="005D14C7"/>
    <w:rsid w:val="005D2E83"/>
    <w:rsid w:val="005D7688"/>
    <w:rsid w:val="005E0337"/>
    <w:rsid w:val="005E1710"/>
    <w:rsid w:val="005E37C7"/>
    <w:rsid w:val="005F0552"/>
    <w:rsid w:val="005F3423"/>
    <w:rsid w:val="005F7594"/>
    <w:rsid w:val="006009C3"/>
    <w:rsid w:val="00604368"/>
    <w:rsid w:val="006069F2"/>
    <w:rsid w:val="00615C35"/>
    <w:rsid w:val="00622B73"/>
    <w:rsid w:val="0062351F"/>
    <w:rsid w:val="00627C24"/>
    <w:rsid w:val="00630DB6"/>
    <w:rsid w:val="00641470"/>
    <w:rsid w:val="00646790"/>
    <w:rsid w:val="00652267"/>
    <w:rsid w:val="0065439A"/>
    <w:rsid w:val="00655D25"/>
    <w:rsid w:val="0065603A"/>
    <w:rsid w:val="00661428"/>
    <w:rsid w:val="00683FB9"/>
    <w:rsid w:val="0068516E"/>
    <w:rsid w:val="00690468"/>
    <w:rsid w:val="00690BA6"/>
    <w:rsid w:val="00694FC3"/>
    <w:rsid w:val="006A68CF"/>
    <w:rsid w:val="006C5C54"/>
    <w:rsid w:val="006C60EA"/>
    <w:rsid w:val="006F2E4E"/>
    <w:rsid w:val="00702084"/>
    <w:rsid w:val="00702591"/>
    <w:rsid w:val="007048DE"/>
    <w:rsid w:val="00706DA3"/>
    <w:rsid w:val="007249B0"/>
    <w:rsid w:val="007263CC"/>
    <w:rsid w:val="00733D2B"/>
    <w:rsid w:val="00734D06"/>
    <w:rsid w:val="00735891"/>
    <w:rsid w:val="0073792A"/>
    <w:rsid w:val="00740082"/>
    <w:rsid w:val="007442B3"/>
    <w:rsid w:val="00746714"/>
    <w:rsid w:val="00746859"/>
    <w:rsid w:val="00747E57"/>
    <w:rsid w:val="007525C1"/>
    <w:rsid w:val="007560D5"/>
    <w:rsid w:val="00766C11"/>
    <w:rsid w:val="00766EF5"/>
    <w:rsid w:val="007728B0"/>
    <w:rsid w:val="00773331"/>
    <w:rsid w:val="00774785"/>
    <w:rsid w:val="00775F0A"/>
    <w:rsid w:val="00777983"/>
    <w:rsid w:val="00787C8B"/>
    <w:rsid w:val="007932EF"/>
    <w:rsid w:val="00793943"/>
    <w:rsid w:val="007A1014"/>
    <w:rsid w:val="007A688B"/>
    <w:rsid w:val="007A6A6A"/>
    <w:rsid w:val="007B322E"/>
    <w:rsid w:val="007B42F5"/>
    <w:rsid w:val="007C281E"/>
    <w:rsid w:val="007C4532"/>
    <w:rsid w:val="007D0825"/>
    <w:rsid w:val="007D1663"/>
    <w:rsid w:val="007D5743"/>
    <w:rsid w:val="007E05B0"/>
    <w:rsid w:val="007E2FE5"/>
    <w:rsid w:val="007F043B"/>
    <w:rsid w:val="00801DFB"/>
    <w:rsid w:val="0080451C"/>
    <w:rsid w:val="00804803"/>
    <w:rsid w:val="0083133B"/>
    <w:rsid w:val="008343CD"/>
    <w:rsid w:val="00835609"/>
    <w:rsid w:val="0085313D"/>
    <w:rsid w:val="008558E2"/>
    <w:rsid w:val="00863600"/>
    <w:rsid w:val="00864227"/>
    <w:rsid w:val="00871D1F"/>
    <w:rsid w:val="00874D22"/>
    <w:rsid w:val="00880D7B"/>
    <w:rsid w:val="0089482D"/>
    <w:rsid w:val="008A2914"/>
    <w:rsid w:val="008A5988"/>
    <w:rsid w:val="008B02B9"/>
    <w:rsid w:val="008B066D"/>
    <w:rsid w:val="008B3846"/>
    <w:rsid w:val="008C5BF4"/>
    <w:rsid w:val="008D0A85"/>
    <w:rsid w:val="008E18BC"/>
    <w:rsid w:val="008E4D8E"/>
    <w:rsid w:val="008E61E1"/>
    <w:rsid w:val="008F1449"/>
    <w:rsid w:val="008F4649"/>
    <w:rsid w:val="00900C4E"/>
    <w:rsid w:val="00903A9F"/>
    <w:rsid w:val="00907050"/>
    <w:rsid w:val="0090743A"/>
    <w:rsid w:val="00912F10"/>
    <w:rsid w:val="00916BE3"/>
    <w:rsid w:val="00917199"/>
    <w:rsid w:val="00917A4D"/>
    <w:rsid w:val="00917A55"/>
    <w:rsid w:val="00922534"/>
    <w:rsid w:val="0092522B"/>
    <w:rsid w:val="00927504"/>
    <w:rsid w:val="009413B6"/>
    <w:rsid w:val="00941F0A"/>
    <w:rsid w:val="009426E9"/>
    <w:rsid w:val="00951C64"/>
    <w:rsid w:val="009546DA"/>
    <w:rsid w:val="009547D3"/>
    <w:rsid w:val="00956490"/>
    <w:rsid w:val="00961A4E"/>
    <w:rsid w:val="00962D3D"/>
    <w:rsid w:val="009631F4"/>
    <w:rsid w:val="00972C21"/>
    <w:rsid w:val="00983274"/>
    <w:rsid w:val="0098607B"/>
    <w:rsid w:val="00995650"/>
    <w:rsid w:val="009A3A89"/>
    <w:rsid w:val="009B1877"/>
    <w:rsid w:val="009B236F"/>
    <w:rsid w:val="009B5C82"/>
    <w:rsid w:val="009B6F9D"/>
    <w:rsid w:val="009C10F8"/>
    <w:rsid w:val="009C76DF"/>
    <w:rsid w:val="009D220D"/>
    <w:rsid w:val="009D4B5F"/>
    <w:rsid w:val="009E5429"/>
    <w:rsid w:val="009E613A"/>
    <w:rsid w:val="00A01C43"/>
    <w:rsid w:val="00A117AF"/>
    <w:rsid w:val="00A2161A"/>
    <w:rsid w:val="00A513A5"/>
    <w:rsid w:val="00A64AA9"/>
    <w:rsid w:val="00A65E0D"/>
    <w:rsid w:val="00A67FDB"/>
    <w:rsid w:val="00A76E3D"/>
    <w:rsid w:val="00A81ECF"/>
    <w:rsid w:val="00A9519B"/>
    <w:rsid w:val="00AA0B1C"/>
    <w:rsid w:val="00AA3FA1"/>
    <w:rsid w:val="00AA5450"/>
    <w:rsid w:val="00AA5671"/>
    <w:rsid w:val="00AA6C7C"/>
    <w:rsid w:val="00AB4723"/>
    <w:rsid w:val="00AB60B3"/>
    <w:rsid w:val="00AC071D"/>
    <w:rsid w:val="00AC6407"/>
    <w:rsid w:val="00AE0B0D"/>
    <w:rsid w:val="00AF01C8"/>
    <w:rsid w:val="00AF1571"/>
    <w:rsid w:val="00AF3A1C"/>
    <w:rsid w:val="00AF4820"/>
    <w:rsid w:val="00B03058"/>
    <w:rsid w:val="00B12C00"/>
    <w:rsid w:val="00B36E8E"/>
    <w:rsid w:val="00B44799"/>
    <w:rsid w:val="00B50978"/>
    <w:rsid w:val="00B553DB"/>
    <w:rsid w:val="00B579B7"/>
    <w:rsid w:val="00B618B2"/>
    <w:rsid w:val="00B63300"/>
    <w:rsid w:val="00B674F0"/>
    <w:rsid w:val="00B734BE"/>
    <w:rsid w:val="00B73F96"/>
    <w:rsid w:val="00B8143C"/>
    <w:rsid w:val="00B8231D"/>
    <w:rsid w:val="00B82891"/>
    <w:rsid w:val="00B84B54"/>
    <w:rsid w:val="00B87A5B"/>
    <w:rsid w:val="00B92210"/>
    <w:rsid w:val="00B94219"/>
    <w:rsid w:val="00B973F5"/>
    <w:rsid w:val="00BA01C9"/>
    <w:rsid w:val="00BA080C"/>
    <w:rsid w:val="00BB2017"/>
    <w:rsid w:val="00BB31AC"/>
    <w:rsid w:val="00BB3948"/>
    <w:rsid w:val="00BC1411"/>
    <w:rsid w:val="00BC1F5C"/>
    <w:rsid w:val="00BC2F1C"/>
    <w:rsid w:val="00BC621E"/>
    <w:rsid w:val="00BD0271"/>
    <w:rsid w:val="00BD1930"/>
    <w:rsid w:val="00BD474E"/>
    <w:rsid w:val="00BE0F93"/>
    <w:rsid w:val="00BE12F0"/>
    <w:rsid w:val="00BE3437"/>
    <w:rsid w:val="00BE3D02"/>
    <w:rsid w:val="00BF3D87"/>
    <w:rsid w:val="00BF3DA1"/>
    <w:rsid w:val="00BF4A24"/>
    <w:rsid w:val="00C0187E"/>
    <w:rsid w:val="00C12301"/>
    <w:rsid w:val="00C173F3"/>
    <w:rsid w:val="00C266AA"/>
    <w:rsid w:val="00C36763"/>
    <w:rsid w:val="00C45E9F"/>
    <w:rsid w:val="00C5045A"/>
    <w:rsid w:val="00C51FB0"/>
    <w:rsid w:val="00C53A3F"/>
    <w:rsid w:val="00C569A9"/>
    <w:rsid w:val="00C602D2"/>
    <w:rsid w:val="00C6111C"/>
    <w:rsid w:val="00C74F5E"/>
    <w:rsid w:val="00C845BB"/>
    <w:rsid w:val="00C84F20"/>
    <w:rsid w:val="00C8679F"/>
    <w:rsid w:val="00C944C7"/>
    <w:rsid w:val="00C97CC8"/>
    <w:rsid w:val="00CB04E2"/>
    <w:rsid w:val="00CC567C"/>
    <w:rsid w:val="00CC6085"/>
    <w:rsid w:val="00CC7E71"/>
    <w:rsid w:val="00CD62A4"/>
    <w:rsid w:val="00CE221C"/>
    <w:rsid w:val="00CE6150"/>
    <w:rsid w:val="00CF1AED"/>
    <w:rsid w:val="00CF534E"/>
    <w:rsid w:val="00D042F7"/>
    <w:rsid w:val="00D055B6"/>
    <w:rsid w:val="00D11E4C"/>
    <w:rsid w:val="00D1265E"/>
    <w:rsid w:val="00D134EA"/>
    <w:rsid w:val="00D144C8"/>
    <w:rsid w:val="00D20381"/>
    <w:rsid w:val="00D214E4"/>
    <w:rsid w:val="00D24A4E"/>
    <w:rsid w:val="00D31786"/>
    <w:rsid w:val="00D3575B"/>
    <w:rsid w:val="00D42B77"/>
    <w:rsid w:val="00D43DCF"/>
    <w:rsid w:val="00D5470C"/>
    <w:rsid w:val="00D567A2"/>
    <w:rsid w:val="00D571C7"/>
    <w:rsid w:val="00D6009F"/>
    <w:rsid w:val="00D634CD"/>
    <w:rsid w:val="00D660B7"/>
    <w:rsid w:val="00D67E5B"/>
    <w:rsid w:val="00D74957"/>
    <w:rsid w:val="00D82B5E"/>
    <w:rsid w:val="00D8640A"/>
    <w:rsid w:val="00D876EA"/>
    <w:rsid w:val="00D9757B"/>
    <w:rsid w:val="00DA0CC7"/>
    <w:rsid w:val="00DA2D9F"/>
    <w:rsid w:val="00DB3A4F"/>
    <w:rsid w:val="00DB3C3C"/>
    <w:rsid w:val="00DC73D8"/>
    <w:rsid w:val="00DE0442"/>
    <w:rsid w:val="00DE356B"/>
    <w:rsid w:val="00DE36E8"/>
    <w:rsid w:val="00DF0420"/>
    <w:rsid w:val="00E0020B"/>
    <w:rsid w:val="00E0356A"/>
    <w:rsid w:val="00E15CA6"/>
    <w:rsid w:val="00E17904"/>
    <w:rsid w:val="00E219C7"/>
    <w:rsid w:val="00E23063"/>
    <w:rsid w:val="00E23658"/>
    <w:rsid w:val="00E24858"/>
    <w:rsid w:val="00E279E8"/>
    <w:rsid w:val="00E354C2"/>
    <w:rsid w:val="00E37A6F"/>
    <w:rsid w:val="00E5096F"/>
    <w:rsid w:val="00E536F6"/>
    <w:rsid w:val="00E56C48"/>
    <w:rsid w:val="00E57FA4"/>
    <w:rsid w:val="00E70078"/>
    <w:rsid w:val="00E83853"/>
    <w:rsid w:val="00EA5811"/>
    <w:rsid w:val="00EB0244"/>
    <w:rsid w:val="00EB477A"/>
    <w:rsid w:val="00EB5947"/>
    <w:rsid w:val="00EC23B4"/>
    <w:rsid w:val="00ED4A70"/>
    <w:rsid w:val="00ED7074"/>
    <w:rsid w:val="00EE7232"/>
    <w:rsid w:val="00EE7AF1"/>
    <w:rsid w:val="00EF0B3E"/>
    <w:rsid w:val="00EF1200"/>
    <w:rsid w:val="00EF36C6"/>
    <w:rsid w:val="00EF3BAB"/>
    <w:rsid w:val="00F005D4"/>
    <w:rsid w:val="00F06910"/>
    <w:rsid w:val="00F10FAB"/>
    <w:rsid w:val="00F15FD8"/>
    <w:rsid w:val="00F2127C"/>
    <w:rsid w:val="00F306A7"/>
    <w:rsid w:val="00F43E13"/>
    <w:rsid w:val="00F459D8"/>
    <w:rsid w:val="00F46BDC"/>
    <w:rsid w:val="00F50DE5"/>
    <w:rsid w:val="00F565C1"/>
    <w:rsid w:val="00F56B93"/>
    <w:rsid w:val="00F7025D"/>
    <w:rsid w:val="00F74E13"/>
    <w:rsid w:val="00F81F7A"/>
    <w:rsid w:val="00F855C0"/>
    <w:rsid w:val="00F977CC"/>
    <w:rsid w:val="00FB4D60"/>
    <w:rsid w:val="00FB62BC"/>
    <w:rsid w:val="00FC187A"/>
    <w:rsid w:val="00FC38F8"/>
    <w:rsid w:val="00FE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47F5165-C559-4D22-8519-6CD825A6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F96"/>
    <w:rPr>
      <w:color w:val="0000FF" w:themeColor="hyperlink"/>
      <w:u w:val="single"/>
    </w:rPr>
  </w:style>
  <w:style w:type="paragraph" w:styleId="Revision">
    <w:name w:val="Revision"/>
    <w:hidden/>
    <w:uiPriority w:val="99"/>
    <w:semiHidden/>
    <w:rsid w:val="008A5988"/>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26F0F"/>
    <w:rPr>
      <w:sz w:val="16"/>
      <w:szCs w:val="16"/>
    </w:rPr>
  </w:style>
  <w:style w:type="paragraph" w:styleId="CommentText">
    <w:name w:val="annotation text"/>
    <w:basedOn w:val="Normal"/>
    <w:link w:val="CommentTextChar"/>
    <w:uiPriority w:val="99"/>
    <w:unhideWhenUsed/>
    <w:rsid w:val="00126F0F"/>
    <w:rPr>
      <w:sz w:val="20"/>
      <w:szCs w:val="20"/>
    </w:rPr>
  </w:style>
  <w:style w:type="character" w:customStyle="1" w:styleId="CommentTextChar">
    <w:name w:val="Comment Text Char"/>
    <w:basedOn w:val="DefaultParagraphFont"/>
    <w:link w:val="CommentText"/>
    <w:uiPriority w:val="99"/>
    <w:rsid w:val="00126F0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26F0F"/>
    <w:rPr>
      <w:b/>
      <w:bCs/>
    </w:rPr>
  </w:style>
  <w:style w:type="character" w:customStyle="1" w:styleId="CommentSubjectChar">
    <w:name w:val="Comment Subject Char"/>
    <w:basedOn w:val="CommentTextChar"/>
    <w:link w:val="CommentSubject"/>
    <w:uiPriority w:val="99"/>
    <w:semiHidden/>
    <w:rsid w:val="00126F0F"/>
    <w:rPr>
      <w:rFonts w:ascii="Times New Roman" w:hAnsi="Times New Roman" w:cs="Times New Roman"/>
      <w:b/>
      <w:bCs/>
      <w:sz w:val="20"/>
      <w:szCs w:val="20"/>
      <w:lang w:val="ro-RO"/>
    </w:rPr>
  </w:style>
  <w:style w:type="paragraph" w:styleId="ListBullet">
    <w:name w:val="List Bullet"/>
    <w:basedOn w:val="Normal"/>
    <w:uiPriority w:val="99"/>
    <w:semiHidden/>
    <w:unhideWhenUsed/>
    <w:rsid w:val="00E279E8"/>
    <w:pPr>
      <w:numPr>
        <w:numId w:val="2"/>
      </w:numPr>
      <w:contextualSpacing/>
    </w:pPr>
  </w:style>
  <w:style w:type="paragraph" w:styleId="ListBullet2">
    <w:name w:val="List Bullet 2"/>
    <w:basedOn w:val="Normal"/>
    <w:uiPriority w:val="99"/>
    <w:semiHidden/>
    <w:unhideWhenUsed/>
    <w:rsid w:val="00E279E8"/>
    <w:pPr>
      <w:numPr>
        <w:numId w:val="3"/>
      </w:numPr>
      <w:contextualSpacing/>
    </w:pPr>
  </w:style>
  <w:style w:type="paragraph" w:styleId="ListBullet3">
    <w:name w:val="List Bullet 3"/>
    <w:basedOn w:val="Normal"/>
    <w:uiPriority w:val="99"/>
    <w:semiHidden/>
    <w:unhideWhenUsed/>
    <w:rsid w:val="00E279E8"/>
    <w:pPr>
      <w:numPr>
        <w:numId w:val="4"/>
      </w:numPr>
      <w:contextualSpacing/>
    </w:pPr>
  </w:style>
  <w:style w:type="paragraph" w:styleId="ListBullet4">
    <w:name w:val="List Bullet 4"/>
    <w:basedOn w:val="Normal"/>
    <w:uiPriority w:val="99"/>
    <w:semiHidden/>
    <w:unhideWhenUsed/>
    <w:rsid w:val="00E279E8"/>
    <w:pPr>
      <w:numPr>
        <w:numId w:val="5"/>
      </w:numPr>
      <w:contextualSpacing/>
    </w:pPr>
  </w:style>
  <w:style w:type="character" w:customStyle="1" w:styleId="UnresolvedMention">
    <w:name w:val="Unresolved Mention"/>
    <w:basedOn w:val="DefaultParagraphFont"/>
    <w:uiPriority w:val="99"/>
    <w:semiHidden/>
    <w:unhideWhenUsed/>
    <w:rsid w:val="007A6A6A"/>
    <w:rPr>
      <w:color w:val="605E5C"/>
      <w:shd w:val="clear" w:color="auto" w:fill="E1DFDD"/>
    </w:rPr>
  </w:style>
  <w:style w:type="character" w:styleId="FollowedHyperlink">
    <w:name w:val="FollowedHyperlink"/>
    <w:basedOn w:val="DefaultParagraphFont"/>
    <w:uiPriority w:val="99"/>
    <w:semiHidden/>
    <w:unhideWhenUsed/>
    <w:rsid w:val="001649B0"/>
    <w:rPr>
      <w:color w:val="800080" w:themeColor="followedHyperlink"/>
      <w:u w:val="single"/>
    </w:rPr>
  </w:style>
  <w:style w:type="character" w:customStyle="1" w:styleId="HeaderChar">
    <w:name w:val="Header Char"/>
    <w:basedOn w:val="DefaultParagraphFont"/>
    <w:link w:val="Header"/>
    <w:uiPriority w:val="99"/>
    <w:rsid w:val="00542E28"/>
    <w:rPr>
      <w:rFonts w:ascii="Times New Roman" w:hAnsi="Times New Roman" w:cs="Times New Roman"/>
      <w:sz w:val="24"/>
      <w:lang w:val="ro-RO"/>
    </w:rPr>
  </w:style>
  <w:style w:type="character" w:customStyle="1" w:styleId="FooterChar">
    <w:name w:val="Footer Char"/>
    <w:basedOn w:val="DefaultParagraphFont"/>
    <w:link w:val="Footer"/>
    <w:uiPriority w:val="99"/>
    <w:rsid w:val="00542E2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42E2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42E28"/>
    <w:pPr>
      <w:spacing w:before="0"/>
      <w:jc w:val="right"/>
    </w:pPr>
    <w:rPr>
      <w:sz w:val="28"/>
    </w:rPr>
  </w:style>
  <w:style w:type="paragraph" w:customStyle="1" w:styleId="FooterSensitivity">
    <w:name w:val="Footer Sensitivity"/>
    <w:basedOn w:val="Normal"/>
    <w:rsid w:val="00542E2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42E28"/>
    <w:pPr>
      <w:tabs>
        <w:tab w:val="center" w:pos="4535"/>
        <w:tab w:val="right" w:pos="9071"/>
      </w:tabs>
      <w:spacing w:before="0"/>
    </w:pPr>
  </w:style>
  <w:style w:type="paragraph" w:customStyle="1" w:styleId="HeaderLandscape">
    <w:name w:val="HeaderLandscape"/>
    <w:basedOn w:val="Normal"/>
    <w:rsid w:val="00542E28"/>
    <w:pPr>
      <w:tabs>
        <w:tab w:val="center" w:pos="7285"/>
        <w:tab w:val="right" w:pos="14003"/>
      </w:tabs>
      <w:spacing w:before="0"/>
    </w:pPr>
  </w:style>
  <w:style w:type="paragraph" w:styleId="Footer">
    <w:name w:val="footer"/>
    <w:basedOn w:val="Normal"/>
    <w:link w:val="FooterChar"/>
    <w:uiPriority w:val="99"/>
    <w:unhideWhenUsed/>
    <w:rsid w:val="00542E2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42E2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95533">
      <w:bodyDiv w:val="1"/>
      <w:marLeft w:val="0"/>
      <w:marRight w:val="0"/>
      <w:marTop w:val="0"/>
      <w:marBottom w:val="0"/>
      <w:divBdr>
        <w:top w:val="none" w:sz="0" w:space="0" w:color="auto"/>
        <w:left w:val="none" w:sz="0" w:space="0" w:color="auto"/>
        <w:bottom w:val="none" w:sz="0" w:space="0" w:color="auto"/>
        <w:right w:val="none" w:sz="0" w:space="0" w:color="auto"/>
      </w:divBdr>
    </w:div>
    <w:div w:id="428349726">
      <w:bodyDiv w:val="1"/>
      <w:marLeft w:val="0"/>
      <w:marRight w:val="0"/>
      <w:marTop w:val="0"/>
      <w:marBottom w:val="0"/>
      <w:divBdr>
        <w:top w:val="none" w:sz="0" w:space="0" w:color="auto"/>
        <w:left w:val="none" w:sz="0" w:space="0" w:color="auto"/>
        <w:bottom w:val="none" w:sz="0" w:space="0" w:color="auto"/>
        <w:right w:val="none" w:sz="0" w:space="0" w:color="auto"/>
      </w:divBdr>
    </w:div>
    <w:div w:id="1306205244">
      <w:bodyDiv w:val="1"/>
      <w:marLeft w:val="0"/>
      <w:marRight w:val="0"/>
      <w:marTop w:val="0"/>
      <w:marBottom w:val="0"/>
      <w:divBdr>
        <w:top w:val="none" w:sz="0" w:space="0" w:color="auto"/>
        <w:left w:val="none" w:sz="0" w:space="0" w:color="auto"/>
        <w:bottom w:val="none" w:sz="0" w:space="0" w:color="auto"/>
        <w:right w:val="none" w:sz="0" w:space="0" w:color="auto"/>
      </w:divBdr>
    </w:div>
    <w:div w:id="1350645101">
      <w:bodyDiv w:val="1"/>
      <w:marLeft w:val="0"/>
      <w:marRight w:val="0"/>
      <w:marTop w:val="0"/>
      <w:marBottom w:val="0"/>
      <w:divBdr>
        <w:top w:val="none" w:sz="0" w:space="0" w:color="auto"/>
        <w:left w:val="none" w:sz="0" w:space="0" w:color="auto"/>
        <w:bottom w:val="none" w:sz="0" w:space="0" w:color="auto"/>
        <w:right w:val="none" w:sz="0" w:space="0" w:color="auto"/>
      </w:divBdr>
    </w:div>
    <w:div w:id="1427380915">
      <w:bodyDiv w:val="1"/>
      <w:marLeft w:val="0"/>
      <w:marRight w:val="0"/>
      <w:marTop w:val="0"/>
      <w:marBottom w:val="0"/>
      <w:divBdr>
        <w:top w:val="none" w:sz="0" w:space="0" w:color="auto"/>
        <w:left w:val="none" w:sz="0" w:space="0" w:color="auto"/>
        <w:bottom w:val="none" w:sz="0" w:space="0" w:color="auto"/>
        <w:right w:val="none" w:sz="0" w:space="0" w:color="auto"/>
      </w:divBdr>
    </w:div>
    <w:div w:id="203564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853/oj" TargetMode="External"/><Relationship Id="rId13" Type="http://schemas.openxmlformats.org/officeDocument/2006/relationships/hyperlink" Target="https://unece.org/sites/default/files/2026-02/ECE-TRANS-SC.2-337-Rev.3EFR_Unofficial.pdf" TargetMode="External"/><Relationship Id="rId3" Type="http://schemas.openxmlformats.org/officeDocument/2006/relationships/hyperlink" Target="http://data.europa.eu/eli/reg/2016/796/oj)." TargetMode="External"/><Relationship Id="rId7" Type="http://schemas.openxmlformats.org/officeDocument/2006/relationships/hyperlink" Target="http://data.europa.eu/eli/dec/2024/851/oj" TargetMode="External"/><Relationship Id="rId12" Type="http://schemas.openxmlformats.org/officeDocument/2006/relationships/hyperlink" Target="http://data.europa.eu/eli/dec_impl/2018/1614/oj" TargetMode="External"/><Relationship Id="rId2" Type="http://schemas.openxmlformats.org/officeDocument/2006/relationships/hyperlink" Target="http://data.europa.eu/eli/dir/2016/797/oj" TargetMode="External"/><Relationship Id="rId1" Type="http://schemas.openxmlformats.org/officeDocument/2006/relationships/hyperlink" Target="http://data.europa.eu/eli/dec/2014/888/oj" TargetMode="External"/><Relationship Id="rId6" Type="http://schemas.openxmlformats.org/officeDocument/2006/relationships/hyperlink" Target="https://otif.org/fileadmin/user_upload/otif_verlinkte_files/04_recht/02_Generalversammlung/AG_12_21_document_final_e____add_1-4_.pdf" TargetMode="External"/><Relationship Id="rId11" Type="http://schemas.openxmlformats.org/officeDocument/2006/relationships/hyperlink" Target="http://data.europa.eu/eli/reg_impl/2019/773/oj" TargetMode="External"/><Relationship Id="rId5" Type="http://schemas.openxmlformats.org/officeDocument/2006/relationships/hyperlink" Target="http://data.europa.eu/eli/dec_impl/2018/1614/oj" TargetMode="External"/><Relationship Id="rId10" Type="http://schemas.openxmlformats.org/officeDocument/2006/relationships/hyperlink" Target="http://data.europa.eu/eli/dir/2016/797/oj" TargetMode="External"/><Relationship Id="rId4" Type="http://schemas.openxmlformats.org/officeDocument/2006/relationships/hyperlink" Target="http://data.europa.eu/eli/reg_impl/2019/773/oj" TargetMode="External"/><Relationship Id="rId9" Type="http://schemas.openxmlformats.org/officeDocument/2006/relationships/hyperlink" Target="http://data.europa.eu/eli/dec/2014/8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c60b09-739e-4693-8901-93c6edee2864" xsi:nil="true"/>
    <lcf76f155ced4ddcb4097134ff3c332f xmlns="d74c950a-78ac-4838-92ef-a1426a5f274c">
      <Terms xmlns="http://schemas.microsoft.com/office/infopath/2007/PartnerControls"/>
    </lcf76f155ced4ddcb4097134ff3c332f>
    <Contributor xmlns="d74c950a-78ac-4838-92ef-a1426a5f274c">
      <UserInfo>
        <DisplayName/>
        <AccountId xsi:nil="true"/>
        <AccountType/>
      </UserInfo>
    </Contributor>
    <Linktothefile xmlns="d74c950a-78ac-4838-92ef-a1426a5f274c">
      <Url xsi:nil="true"/>
      <Description xsi:nil="true"/>
    </Linktothefile>
    <EC_ARES_DATE_TRANSFERRED xmlns="17c60b09-739e-4693-8901-93c6edee2864" xsi:nil="true"/>
    <IconOverlay xmlns="http://schemas.microsoft.com/sharepoint/v4" xsi:nil="true"/>
    <EC_ARES_NUMBER xmlns="17c60b09-739e-4693-8901-93c6edee2864">
      <Url xsi:nil="true"/>
      <Description xsi:nil="true"/>
    </EC_ARES_NUMBER>
    <_Flow_SignoffStatus xmlns="d74c950a-78ac-4838-92ef-a1426a5f274c" xsi:nil="true"/>
    <EC_ARES_TRANSFERRED_BY xmlns="17c60b09-739e-4693-8901-93c6edee28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26" ma:contentTypeDescription="Create a new document." ma:contentTypeScope="" ma:versionID="dd9528d2855c38d07a9662548c405383">
  <xsd:schema xmlns:xsd="http://www.w3.org/2001/XMLSchema" xmlns:xs="http://www.w3.org/2001/XMLSchema" xmlns:p="http://schemas.microsoft.com/office/2006/metadata/properties" xmlns:ns1="http://schemas.microsoft.com/sharepoint/v3" xmlns:ns2="d74c950a-78ac-4838-92ef-a1426a5f274c" xmlns:ns3="17c60b09-739e-4693-8901-93c6edee2864" xmlns:ns4="http://schemas.microsoft.com/sharepoint/v4" targetNamespace="http://schemas.microsoft.com/office/2006/metadata/properties" ma:root="true" ma:fieldsID="143b99879e51226a9b86866e3a59b210" ns1:_="" ns2:_="" ns3:_="" ns4:_="">
    <xsd:import namespace="http://schemas.microsoft.com/sharepoint/v3"/>
    <xsd:import namespace="d74c950a-78ac-4838-92ef-a1426a5f274c"/>
    <xsd:import namespace="17c60b09-739e-4693-8901-93c6edee2864"/>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Contributor" minOccurs="0"/>
                <xsd:element ref="ns2:Linktothefile" minOccurs="0"/>
                <xsd:element ref="ns2:_Flow_SignoffStatu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8" nillable="true" ma:displayName="Hold and Record Status" ma:decimals="0" ma:hidden="true" ma:internalName="_vti_ItemHoldRecordStatus" ma:readOnly="true">
      <xsd:simpleType>
        <xsd:restriction base="dms:Unknown"/>
      </xsd:simpleType>
    </xsd:element>
    <xsd:element name="_vti_ItemDeclaredRecord" ma:index="30"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ntributor" ma:index="22" nillable="true" ma:displayName="Contributor" ma:format="Dropdown" ma:list="UserInfo" ma:SharePointGroup="0" ma:internalName="Contribu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thefile" ma:index="23" nillable="true" ma:displayName="Link to the file" ma:format="Hyperlink" ma:internalName="Linktothefile">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4" nillable="true" ma:displayName="Sign-off status" ma:internalName="_x0024_Resources_x003a_core_x002c_Signoff_Status">
      <xsd:simpleType>
        <xsd:restriction base="dms:Text"/>
      </xsd:simpleType>
    </xsd:element>
    <xsd:element name="MediaServiceLocation" ma:index="3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f648ecc-43ea-4bde-9c3e-1c8fecc211d7}"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9F19D-2462-4E9F-967C-5FA5171B040D}">
  <ds:schemaRefs>
    <ds:schemaRef ds:uri="http://schemas.microsoft.com/office/2006/metadata/properties"/>
    <ds:schemaRef ds:uri="http://schemas.microsoft.com/office/infopath/2007/PartnerControls"/>
    <ds:schemaRef ds:uri="17c60b09-739e-4693-8901-93c6edee2864"/>
    <ds:schemaRef ds:uri="d74c950a-78ac-4838-92ef-a1426a5f274c"/>
    <ds:schemaRef ds:uri="http://schemas.microsoft.com/sharepoint/v4"/>
  </ds:schemaRefs>
</ds:datastoreItem>
</file>

<file path=customXml/itemProps2.xml><?xml version="1.0" encoding="utf-8"?>
<ds:datastoreItem xmlns:ds="http://schemas.openxmlformats.org/officeDocument/2006/customXml" ds:itemID="{50D9A404-49F5-415C-8946-FE3921DB4FB2}">
  <ds:schemaRefs>
    <ds:schemaRef ds:uri="http://schemas.microsoft.com/sharepoint/v3/contenttype/forms"/>
  </ds:schemaRefs>
</ds:datastoreItem>
</file>

<file path=customXml/itemProps3.xml><?xml version="1.0" encoding="utf-8"?>
<ds:datastoreItem xmlns:ds="http://schemas.openxmlformats.org/officeDocument/2006/customXml" ds:itemID="{04B9C57E-86BF-477F-865E-DFB3E0F89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4c950a-78ac-4838-92ef-a1426a5f274c"/>
    <ds:schemaRef ds:uri="17c60b09-739e-4693-8901-93c6edee286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D263B6-F107-491B-AEC9-4E3429A52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60</TotalTime>
  <Pages>14</Pages>
  <Words>5364</Words>
  <Characters>30575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2026-02-23T08:36:00Z</dcterms:created>
  <dcterms:modified xsi:type="dcterms:W3CDTF">2026-03-13T15:47:00Z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2025-03-06T08:43:41Z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850b1af9-9613-4777-ae5b-25f3b3d130fa</vt:lpwstr>
  </property>
  <property fmtid="{D5CDD505-2E9C-101B-9397-08002B2CF9AE}" pid="16" name="MSIP_Label_6bd9ddd1-4d20-43f6-abfa-fc3c07406f94_ContentBits">
    <vt:lpwstr>0</vt:lpwstr>
  </property>
  <property fmtid="{D5CDD505-2E9C-101B-9397-08002B2CF9AE}" pid="17" name="ContentTypeId">
    <vt:lpwstr>0x010100F3DA1763E5DCF94383754B6D3E5E6622</vt:lpwstr>
  </property>
  <property fmtid="{D5CDD505-2E9C-101B-9397-08002B2CF9AE}" pid="18" name="MediaServiceImageTags">
    <vt:lpwstr/>
  </property>
  <property fmtid="{D5CDD505-2E9C-101B-9397-08002B2CF9AE}" pid="19" name="DQCStatus">
    <vt:lpwstr>Green (DQC version 03)</vt:lpwstr>
  </property>
</Properties>
</file>