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48871" w14:textId="03DFE0E4" w:rsidR="0029533F" w:rsidRDefault="00405887" w:rsidP="00405887">
      <w:pPr>
        <w:pStyle w:val="Pagedecouverture"/>
        <w:rPr>
          <w:noProof/>
        </w:rPr>
      </w:pPr>
      <w:r>
        <w:rPr>
          <w:noProof/>
        </w:rPr>
        <w:pict w14:anchorId="338794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5199FEBF-7131-45BE-82AA-527860A4838B" style="width:455.25pt;height:422.25pt">
            <v:imagedata r:id="rId10" o:title=""/>
          </v:shape>
        </w:pict>
      </w:r>
    </w:p>
    <w:p w14:paraId="1C0330BE" w14:textId="77777777" w:rsidR="00C30257" w:rsidRPr="00A179B5" w:rsidRDefault="00C30257">
      <w:pPr>
        <w:rPr>
          <w:noProof/>
        </w:rPr>
        <w:sectPr w:rsidR="00C30257" w:rsidRPr="00A179B5" w:rsidSect="00405887">
          <w:footerReference w:type="even" r:id="rId11"/>
          <w:footerReference w:type="default" r:id="rId12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0F6B32DE" w14:textId="64DEFBB7" w:rsidR="000C269C" w:rsidRDefault="000C269C" w:rsidP="000C269C">
      <w:pPr>
        <w:pStyle w:val="Rfrenceinterinstitutionnelle"/>
        <w:rPr>
          <w:noProof/>
        </w:rPr>
      </w:pPr>
      <w:bookmarkStart w:id="0" w:name="_GoBack"/>
      <w:bookmarkEnd w:id="0"/>
      <w:r>
        <w:rPr>
          <w:noProof/>
        </w:rPr>
        <w:lastRenderedPageBreak/>
        <w:t>2023/0112 (COD)</w:t>
      </w:r>
    </w:p>
    <w:p w14:paraId="4171ACC2" w14:textId="22B26A08" w:rsidR="00C30257" w:rsidRPr="00A179B5" w:rsidRDefault="000C269C" w:rsidP="000C269C">
      <w:pPr>
        <w:pStyle w:val="Typedudocument"/>
        <w:rPr>
          <w:noProof/>
        </w:rPr>
      </w:pPr>
      <w:r w:rsidRPr="000C269C">
        <w:rPr>
          <w:noProof/>
        </w:rPr>
        <w:t>COMMUNICATION FROM THE COMMISSION</w:t>
      </w:r>
      <w:r w:rsidRPr="000C269C">
        <w:rPr>
          <w:noProof/>
        </w:rPr>
        <w:br/>
        <w:t>TO THE EUROPEAN PARLIAMENT</w:t>
      </w:r>
      <w:r w:rsidRPr="000C269C">
        <w:rPr>
          <w:noProof/>
        </w:rPr>
        <w:br/>
      </w:r>
      <w:r w:rsidRPr="000C269C">
        <w:rPr>
          <w:noProof/>
        </w:rPr>
        <w:br/>
        <w:t>pursuant to Article 294(6) of the Treaty on the Functioning of the European Union</w:t>
      </w:r>
      <w:r w:rsidRPr="000C269C">
        <w:rPr>
          <w:noProof/>
        </w:rPr>
        <w:br/>
      </w:r>
      <w:r w:rsidRPr="000C269C">
        <w:rPr>
          <w:noProof/>
        </w:rPr>
        <w:br/>
        <w:t>concerning the</w:t>
      </w:r>
    </w:p>
    <w:p w14:paraId="40FD701C" w14:textId="1200A19C" w:rsidR="00C30257" w:rsidRPr="00A179B5" w:rsidRDefault="000C269C" w:rsidP="000C269C">
      <w:pPr>
        <w:pStyle w:val="Titreobjet"/>
        <w:rPr>
          <w:noProof/>
        </w:rPr>
      </w:pPr>
      <w:r w:rsidRPr="000C269C">
        <w:rPr>
          <w:noProof/>
        </w:rPr>
        <w:t>position of the Council on the adoption of a directive of the European Parliament and of the Council amending Directive 2014/59/EU as regards early intervention measures, conditions for resolution and funding of resolution action and Directive 2014/24/EU as regards valuation services in resolution</w:t>
      </w:r>
    </w:p>
    <w:p w14:paraId="55C2AFA6" w14:textId="0A5052AE" w:rsidR="00C30257" w:rsidRPr="00C30257" w:rsidRDefault="000C269C" w:rsidP="000C269C">
      <w:pPr>
        <w:pStyle w:val="IntrtEEE"/>
        <w:rPr>
          <w:noProof/>
        </w:rPr>
      </w:pPr>
      <w:r w:rsidRPr="000C269C">
        <w:rPr>
          <w:noProof/>
        </w:rPr>
        <w:t>(Text with EEA relevance)</w:t>
      </w:r>
    </w:p>
    <w:p w14:paraId="28D9461A" w14:textId="77777777" w:rsidR="00C30257" w:rsidRPr="00A179B5" w:rsidRDefault="00C30257" w:rsidP="001704B9">
      <w:pPr>
        <w:pStyle w:val="ManualHeading1"/>
        <w:rPr>
          <w:noProof/>
          <w:sz w:val="22"/>
        </w:rPr>
      </w:pPr>
      <w:r w:rsidRPr="00A179B5">
        <w:rPr>
          <w:noProof/>
        </w:rPr>
        <w:t>1.</w:t>
      </w:r>
      <w:r w:rsidRPr="00A179B5">
        <w:rPr>
          <w:noProof/>
        </w:rPr>
        <w:tab/>
        <w:t>Background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804"/>
        <w:gridCol w:w="2483"/>
      </w:tblGrid>
      <w:tr w:rsidR="00C30257" w:rsidRPr="00A179B5" w14:paraId="022A3244" w14:textId="77777777" w:rsidTr="00FC48CE">
        <w:tc>
          <w:tcPr>
            <w:tcW w:w="6804" w:type="dxa"/>
          </w:tcPr>
          <w:p w14:paraId="32632245" w14:textId="77777777" w:rsidR="00C30257" w:rsidRPr="00A92C7D" w:rsidRDefault="00C30257" w:rsidP="00FC48CE">
            <w:pPr>
              <w:jc w:val="left"/>
              <w:rPr>
                <w:noProof/>
              </w:rPr>
            </w:pPr>
            <w:r w:rsidRPr="00A92C7D">
              <w:rPr>
                <w:noProof/>
              </w:rPr>
              <w:t>Date of transmission of the proposal to the European Parliament and to the Council</w:t>
            </w:r>
            <w:r w:rsidRPr="00A92C7D">
              <w:rPr>
                <w:noProof/>
              </w:rPr>
              <w:br/>
              <w:t>(document COM</w:t>
            </w:r>
            <w:r w:rsidR="007C2F1C" w:rsidRPr="00A92C7D">
              <w:rPr>
                <w:noProof/>
              </w:rPr>
              <w:t>(2023</w:t>
            </w:r>
            <w:r w:rsidRPr="00A92C7D">
              <w:rPr>
                <w:noProof/>
              </w:rPr>
              <w:t xml:space="preserve">) </w:t>
            </w:r>
            <w:r w:rsidR="007C2F1C" w:rsidRPr="00A92C7D">
              <w:rPr>
                <w:noProof/>
              </w:rPr>
              <w:t xml:space="preserve">227 </w:t>
            </w:r>
            <w:r w:rsidRPr="00A92C7D">
              <w:rPr>
                <w:noProof/>
              </w:rPr>
              <w:t xml:space="preserve">final – </w:t>
            </w:r>
            <w:r w:rsidR="007C2F1C" w:rsidRPr="006613E7">
              <w:rPr>
                <w:noProof/>
              </w:rPr>
              <w:t>2023</w:t>
            </w:r>
            <w:r w:rsidRPr="00A92C7D">
              <w:rPr>
                <w:noProof/>
              </w:rPr>
              <w:t>/</w:t>
            </w:r>
            <w:r w:rsidR="007C2F1C" w:rsidRPr="006613E7">
              <w:rPr>
                <w:noProof/>
              </w:rPr>
              <w:t xml:space="preserve">0112 </w:t>
            </w:r>
            <w:r w:rsidRPr="00A92C7D">
              <w:rPr>
                <w:noProof/>
              </w:rPr>
              <w:t>COD):</w:t>
            </w:r>
          </w:p>
        </w:tc>
        <w:tc>
          <w:tcPr>
            <w:tcW w:w="2483" w:type="dxa"/>
          </w:tcPr>
          <w:p w14:paraId="20268E34" w14:textId="77777777" w:rsidR="00C30257" w:rsidRPr="00A92C7D" w:rsidRDefault="009F5CDB" w:rsidP="00FC48CE">
            <w:pPr>
              <w:jc w:val="left"/>
              <w:rPr>
                <w:noProof/>
              </w:rPr>
            </w:pPr>
            <w:r w:rsidRPr="006613E7">
              <w:rPr>
                <w:noProof/>
              </w:rPr>
              <w:t>19 April 2023</w:t>
            </w:r>
            <w:r w:rsidR="00C30257" w:rsidRPr="00A92C7D">
              <w:rPr>
                <w:noProof/>
              </w:rPr>
              <w:t>.</w:t>
            </w:r>
          </w:p>
        </w:tc>
      </w:tr>
      <w:tr w:rsidR="00C30257" w:rsidRPr="00A179B5" w14:paraId="16542959" w14:textId="77777777" w:rsidTr="00FC48CE">
        <w:tc>
          <w:tcPr>
            <w:tcW w:w="6804" w:type="dxa"/>
          </w:tcPr>
          <w:p w14:paraId="27D71839" w14:textId="77777777" w:rsidR="00C30257" w:rsidRPr="00A92C7D" w:rsidRDefault="00C30257" w:rsidP="00FC48CE">
            <w:pPr>
              <w:rPr>
                <w:noProof/>
              </w:rPr>
            </w:pPr>
            <w:r w:rsidRPr="00A92C7D">
              <w:rPr>
                <w:noProof/>
              </w:rPr>
              <w:t>Date of the opinion of the European Economic and Social Committee:</w:t>
            </w:r>
          </w:p>
        </w:tc>
        <w:tc>
          <w:tcPr>
            <w:tcW w:w="2483" w:type="dxa"/>
          </w:tcPr>
          <w:p w14:paraId="01C8FB0F" w14:textId="77777777" w:rsidR="00C30257" w:rsidRPr="00A92C7D" w:rsidRDefault="007C2F1C" w:rsidP="00FC48CE">
            <w:pPr>
              <w:jc w:val="left"/>
              <w:rPr>
                <w:noProof/>
              </w:rPr>
            </w:pPr>
            <w:r w:rsidRPr="006613E7">
              <w:rPr>
                <w:noProof/>
              </w:rPr>
              <w:t>13 July 2023</w:t>
            </w:r>
            <w:r w:rsidR="00C30257" w:rsidRPr="00A92C7D">
              <w:rPr>
                <w:noProof/>
              </w:rPr>
              <w:t>.</w:t>
            </w:r>
          </w:p>
        </w:tc>
      </w:tr>
      <w:tr w:rsidR="00C30257" w:rsidRPr="00A179B5" w14:paraId="5C9F8999" w14:textId="77777777" w:rsidTr="00FC48CE">
        <w:tc>
          <w:tcPr>
            <w:tcW w:w="6804" w:type="dxa"/>
          </w:tcPr>
          <w:p w14:paraId="35C2E5F8" w14:textId="77777777" w:rsidR="00C30257" w:rsidRPr="00A92C7D" w:rsidRDefault="00C30257" w:rsidP="00FC48CE">
            <w:pPr>
              <w:rPr>
                <w:noProof/>
              </w:rPr>
            </w:pPr>
            <w:r w:rsidRPr="00A92C7D">
              <w:rPr>
                <w:noProof/>
              </w:rPr>
              <w:t>Date of the position of the European Parliament, first reading:</w:t>
            </w:r>
          </w:p>
        </w:tc>
        <w:tc>
          <w:tcPr>
            <w:tcW w:w="2483" w:type="dxa"/>
          </w:tcPr>
          <w:p w14:paraId="10FD3323" w14:textId="77777777" w:rsidR="00C30257" w:rsidRPr="00A92C7D" w:rsidRDefault="007C2F1C" w:rsidP="00FC48CE">
            <w:pPr>
              <w:jc w:val="left"/>
              <w:rPr>
                <w:noProof/>
              </w:rPr>
            </w:pPr>
            <w:r w:rsidRPr="006613E7">
              <w:rPr>
                <w:noProof/>
              </w:rPr>
              <w:t>24 April 2024</w:t>
            </w:r>
            <w:r w:rsidR="00C30257" w:rsidRPr="00A92C7D">
              <w:rPr>
                <w:noProof/>
              </w:rPr>
              <w:t>.</w:t>
            </w:r>
          </w:p>
        </w:tc>
      </w:tr>
      <w:tr w:rsidR="00C30257" w:rsidRPr="00A179B5" w14:paraId="3DA47DF7" w14:textId="77777777" w:rsidTr="00FC48CE">
        <w:tc>
          <w:tcPr>
            <w:tcW w:w="6804" w:type="dxa"/>
          </w:tcPr>
          <w:p w14:paraId="6F6EA226" w14:textId="77777777" w:rsidR="00C30257" w:rsidRPr="00A92C7D" w:rsidRDefault="00C30257" w:rsidP="00FC48CE">
            <w:pPr>
              <w:rPr>
                <w:noProof/>
              </w:rPr>
            </w:pPr>
            <w:r w:rsidRPr="00A92C7D">
              <w:rPr>
                <w:noProof/>
              </w:rPr>
              <w:t>Date of transmission of the amended proposal:</w:t>
            </w:r>
          </w:p>
        </w:tc>
        <w:tc>
          <w:tcPr>
            <w:tcW w:w="2483" w:type="dxa"/>
          </w:tcPr>
          <w:p w14:paraId="024F7768" w14:textId="77777777" w:rsidR="00C30257" w:rsidRPr="00A92C7D" w:rsidRDefault="007C2F1C" w:rsidP="00FC48CE">
            <w:pPr>
              <w:jc w:val="left"/>
              <w:rPr>
                <w:noProof/>
              </w:rPr>
            </w:pPr>
            <w:r w:rsidRPr="006613E7">
              <w:rPr>
                <w:noProof/>
              </w:rPr>
              <w:t>N/A</w:t>
            </w:r>
            <w:r w:rsidR="00C30257" w:rsidRPr="00A92C7D">
              <w:rPr>
                <w:noProof/>
              </w:rPr>
              <w:t>.</w:t>
            </w:r>
          </w:p>
        </w:tc>
      </w:tr>
      <w:tr w:rsidR="00C30257" w:rsidRPr="00A179B5" w14:paraId="1A858828" w14:textId="77777777" w:rsidTr="00FC48CE">
        <w:tc>
          <w:tcPr>
            <w:tcW w:w="6804" w:type="dxa"/>
          </w:tcPr>
          <w:p w14:paraId="6A813483" w14:textId="77777777" w:rsidR="00C30257" w:rsidRPr="00A92C7D" w:rsidRDefault="00C30257" w:rsidP="00FC48CE">
            <w:pPr>
              <w:rPr>
                <w:noProof/>
              </w:rPr>
            </w:pPr>
            <w:r w:rsidRPr="00A92C7D">
              <w:rPr>
                <w:noProof/>
              </w:rPr>
              <w:t>Date of adoption of the position of the Council:</w:t>
            </w:r>
          </w:p>
        </w:tc>
        <w:tc>
          <w:tcPr>
            <w:tcW w:w="2483" w:type="dxa"/>
          </w:tcPr>
          <w:p w14:paraId="79C876E1" w14:textId="4A1CEE88" w:rsidR="00C30257" w:rsidRPr="00A92C7D" w:rsidRDefault="00C76827" w:rsidP="00FC48CE">
            <w:pPr>
              <w:jc w:val="left"/>
              <w:rPr>
                <w:noProof/>
              </w:rPr>
            </w:pPr>
            <w:r>
              <w:rPr>
                <w:noProof/>
              </w:rPr>
              <w:t>5 March 2026</w:t>
            </w:r>
            <w:r w:rsidR="00C30257" w:rsidRPr="00A92C7D">
              <w:rPr>
                <w:noProof/>
              </w:rPr>
              <w:t>.</w:t>
            </w:r>
          </w:p>
        </w:tc>
      </w:tr>
    </w:tbl>
    <w:p w14:paraId="0FC52819" w14:textId="77777777" w:rsidR="00C30257" w:rsidRPr="00090C0A" w:rsidRDefault="00C30257" w:rsidP="001704B9">
      <w:pPr>
        <w:pStyle w:val="ManualHeading1"/>
        <w:rPr>
          <w:noProof/>
        </w:rPr>
      </w:pPr>
      <w:r w:rsidRPr="00090C0A">
        <w:rPr>
          <w:noProof/>
        </w:rPr>
        <w:t>2.</w:t>
      </w:r>
      <w:r w:rsidRPr="00090C0A">
        <w:rPr>
          <w:noProof/>
        </w:rPr>
        <w:tab/>
        <w:t>Objective of the proposal from the Commission</w:t>
      </w:r>
    </w:p>
    <w:p w14:paraId="199FF816" w14:textId="77777777" w:rsidR="00E61FA7" w:rsidRDefault="00E61FA7" w:rsidP="001704B9">
      <w:pPr>
        <w:rPr>
          <w:rFonts w:eastAsia="Times New Roman"/>
          <w:noProof/>
          <w:szCs w:val="20"/>
        </w:rPr>
      </w:pPr>
      <w:r w:rsidRPr="008A3BE9">
        <w:rPr>
          <w:rFonts w:eastAsia="Times New Roman"/>
          <w:noProof/>
          <w:szCs w:val="20"/>
        </w:rPr>
        <w:t xml:space="preserve">The Commission proposed a package of </w:t>
      </w:r>
      <w:r>
        <w:rPr>
          <w:rFonts w:eastAsia="Times New Roman"/>
          <w:noProof/>
          <w:szCs w:val="20"/>
        </w:rPr>
        <w:t>four</w:t>
      </w:r>
      <w:r w:rsidRPr="008A3BE9">
        <w:rPr>
          <w:rFonts w:eastAsia="Times New Roman"/>
          <w:noProof/>
          <w:szCs w:val="20"/>
        </w:rPr>
        <w:t xml:space="preserve"> amending acts to reform the </w:t>
      </w:r>
      <w:r>
        <w:rPr>
          <w:rFonts w:eastAsia="Times New Roman"/>
          <w:noProof/>
          <w:szCs w:val="20"/>
        </w:rPr>
        <w:t xml:space="preserve">Crisis Management and Deposit Insurance (CMDI) framework. The proposed amendments to Directive 2014/59/EU </w:t>
      </w:r>
      <w:r w:rsidRPr="00E61FA7">
        <w:rPr>
          <w:rFonts w:eastAsia="Times New Roman"/>
          <w:noProof/>
          <w:szCs w:val="20"/>
        </w:rPr>
        <w:t>as regards certain aspects of the minimum requirement for own funds and eligible liabilities</w:t>
      </w:r>
      <w:r>
        <w:rPr>
          <w:rFonts w:eastAsia="Times New Roman"/>
          <w:noProof/>
          <w:szCs w:val="20"/>
        </w:rPr>
        <w:t xml:space="preserve"> (</w:t>
      </w:r>
      <w:r w:rsidRPr="00E61FA7">
        <w:rPr>
          <w:rFonts w:eastAsia="Times New Roman"/>
          <w:noProof/>
          <w:szCs w:val="20"/>
        </w:rPr>
        <w:t>COM/2023/229 final</w:t>
      </w:r>
      <w:r>
        <w:rPr>
          <w:rFonts w:eastAsia="Times New Roman"/>
          <w:noProof/>
          <w:szCs w:val="20"/>
        </w:rPr>
        <w:t xml:space="preserve">) were adopted separately by the co-legislators as </w:t>
      </w:r>
      <w:r w:rsidRPr="00E61FA7">
        <w:rPr>
          <w:rFonts w:eastAsia="Times New Roman"/>
          <w:noProof/>
          <w:szCs w:val="20"/>
        </w:rPr>
        <w:t>Directive (EU) 2024/1174</w:t>
      </w:r>
      <w:r>
        <w:rPr>
          <w:rFonts w:eastAsia="Times New Roman"/>
          <w:noProof/>
          <w:szCs w:val="20"/>
        </w:rPr>
        <w:t xml:space="preserve">. The remaining three acts </w:t>
      </w:r>
      <w:r w:rsidR="00F12307">
        <w:rPr>
          <w:rFonts w:eastAsia="Times New Roman"/>
          <w:noProof/>
          <w:szCs w:val="20"/>
        </w:rPr>
        <w:t>proposed amendments to</w:t>
      </w:r>
      <w:r>
        <w:rPr>
          <w:rFonts w:eastAsia="Times New Roman"/>
          <w:noProof/>
          <w:szCs w:val="20"/>
        </w:rPr>
        <w:t xml:space="preserve">, respectively, Directive 2014/59/EU, Regulation (EU) 806/2014, and Directive 2014/49/EU. </w:t>
      </w:r>
    </w:p>
    <w:p w14:paraId="28FD35E4" w14:textId="77777777" w:rsidR="00C30257" w:rsidRPr="00A179B5" w:rsidRDefault="00E61FA7" w:rsidP="00037473">
      <w:pPr>
        <w:rPr>
          <w:noProof/>
        </w:rPr>
      </w:pPr>
      <w:r>
        <w:rPr>
          <w:rFonts w:eastAsia="Times New Roman"/>
          <w:noProof/>
          <w:szCs w:val="20"/>
        </w:rPr>
        <w:t xml:space="preserve">The </w:t>
      </w:r>
      <w:r w:rsidR="00037473">
        <w:rPr>
          <w:rFonts w:eastAsia="Times New Roman"/>
          <w:noProof/>
          <w:szCs w:val="20"/>
        </w:rPr>
        <w:t xml:space="preserve">overarching </w:t>
      </w:r>
      <w:r>
        <w:rPr>
          <w:rFonts w:eastAsia="Times New Roman"/>
          <w:noProof/>
          <w:szCs w:val="20"/>
        </w:rPr>
        <w:t>objective</w:t>
      </w:r>
      <w:r w:rsidR="00037473">
        <w:rPr>
          <w:rFonts w:eastAsia="Times New Roman"/>
          <w:noProof/>
          <w:szCs w:val="20"/>
        </w:rPr>
        <w:t>s</w:t>
      </w:r>
      <w:r>
        <w:rPr>
          <w:rFonts w:eastAsia="Times New Roman"/>
          <w:noProof/>
          <w:szCs w:val="20"/>
        </w:rPr>
        <w:t xml:space="preserve"> of the CMDI proposal </w:t>
      </w:r>
      <w:r w:rsidR="00037473">
        <w:rPr>
          <w:rFonts w:eastAsia="Times New Roman"/>
          <w:noProof/>
          <w:szCs w:val="20"/>
        </w:rPr>
        <w:t xml:space="preserve">have </w:t>
      </w:r>
      <w:r>
        <w:rPr>
          <w:rFonts w:eastAsia="Times New Roman"/>
          <w:noProof/>
          <w:szCs w:val="20"/>
        </w:rPr>
        <w:t xml:space="preserve">been </w:t>
      </w:r>
      <w:r w:rsidRPr="00E61FA7">
        <w:rPr>
          <w:rFonts w:eastAsia="Times New Roman"/>
          <w:noProof/>
          <w:szCs w:val="20"/>
        </w:rPr>
        <w:t>to</w:t>
      </w:r>
      <w:r w:rsidR="00037473">
        <w:rPr>
          <w:rFonts w:eastAsia="Times New Roman"/>
          <w:noProof/>
          <w:szCs w:val="20"/>
        </w:rPr>
        <w:t xml:space="preserve"> better protect financial stability and taxpayers’ money, shield the real economy from the impact of bank failures and to further enhance depositor protection.</w:t>
      </w:r>
      <w:r w:rsidRPr="00E61FA7">
        <w:rPr>
          <w:rFonts w:eastAsia="Times New Roman"/>
          <w:noProof/>
          <w:szCs w:val="20"/>
        </w:rPr>
        <w:t xml:space="preserve"> </w:t>
      </w:r>
      <w:r w:rsidR="00037473">
        <w:rPr>
          <w:rFonts w:eastAsia="Times New Roman"/>
          <w:noProof/>
          <w:szCs w:val="20"/>
        </w:rPr>
        <w:t xml:space="preserve">The proposal aims to achieve those objectives by improving </w:t>
      </w:r>
      <w:r w:rsidRPr="00E61FA7">
        <w:rPr>
          <w:rFonts w:eastAsia="Times New Roman"/>
          <w:noProof/>
          <w:szCs w:val="20"/>
        </w:rPr>
        <w:t xml:space="preserve">the crisis </w:t>
      </w:r>
      <w:r>
        <w:rPr>
          <w:rFonts w:eastAsia="Times New Roman"/>
          <w:noProof/>
          <w:szCs w:val="20"/>
        </w:rPr>
        <w:t xml:space="preserve">management </w:t>
      </w:r>
      <w:r w:rsidRPr="00E61FA7">
        <w:rPr>
          <w:rFonts w:eastAsia="Times New Roman"/>
          <w:noProof/>
          <w:szCs w:val="20"/>
        </w:rPr>
        <w:t xml:space="preserve">tools used to manage the failure of </w:t>
      </w:r>
      <w:r w:rsidR="00037473">
        <w:rPr>
          <w:rFonts w:eastAsia="Times New Roman"/>
          <w:noProof/>
          <w:szCs w:val="20"/>
        </w:rPr>
        <w:t xml:space="preserve">smaller and </w:t>
      </w:r>
      <w:r w:rsidRPr="00E61FA7">
        <w:rPr>
          <w:rFonts w:eastAsia="Times New Roman"/>
          <w:noProof/>
          <w:szCs w:val="20"/>
        </w:rPr>
        <w:t xml:space="preserve">medium-sized </w:t>
      </w:r>
      <w:r w:rsidR="00037473">
        <w:rPr>
          <w:rFonts w:eastAsia="Times New Roman"/>
          <w:noProof/>
          <w:szCs w:val="20"/>
        </w:rPr>
        <w:t xml:space="preserve">banks. The main tool for achieving that goal is enabling resolution authorities to use funds from </w:t>
      </w:r>
      <w:r w:rsidR="00037473">
        <w:rPr>
          <w:rFonts w:eastAsia="Calibri"/>
          <w:noProof/>
          <w:szCs w:val="24"/>
        </w:rPr>
        <w:t>deposit guarantee schemes to finance the implementation of a transfer strategy in cases in which the internal loss-absorbing capacity of such a bank is not sufficient to access the resolution fund.</w:t>
      </w:r>
    </w:p>
    <w:p w14:paraId="150933C3" w14:textId="77777777" w:rsidR="00C30257" w:rsidRPr="00090C0A" w:rsidRDefault="00C30257" w:rsidP="001704B9">
      <w:pPr>
        <w:pStyle w:val="ManualHeading1"/>
        <w:rPr>
          <w:noProof/>
        </w:rPr>
      </w:pPr>
      <w:r w:rsidRPr="00090C0A">
        <w:rPr>
          <w:noProof/>
        </w:rPr>
        <w:lastRenderedPageBreak/>
        <w:t>3.</w:t>
      </w:r>
      <w:r w:rsidRPr="00090C0A">
        <w:rPr>
          <w:noProof/>
        </w:rPr>
        <w:tab/>
        <w:t>Comments on the position of the Council</w:t>
      </w:r>
    </w:p>
    <w:p w14:paraId="1D1381B4" w14:textId="77777777" w:rsidR="00C30257" w:rsidRDefault="00037473" w:rsidP="001704B9">
      <w:pPr>
        <w:widowControl w:val="0"/>
        <w:rPr>
          <w:noProof/>
        </w:rPr>
      </w:pPr>
      <w:bookmarkStart w:id="1" w:name="_Hlk221530109"/>
      <w:r w:rsidRPr="00037473">
        <w:rPr>
          <w:noProof/>
        </w:rPr>
        <w:t xml:space="preserve">The position of the Council </w:t>
      </w:r>
      <w:r w:rsidR="00F12307">
        <w:rPr>
          <w:noProof/>
        </w:rPr>
        <w:t xml:space="preserve">regarding the proposed amendments to Directive 2014/59/EU, </w:t>
      </w:r>
      <w:r w:rsidRPr="00037473">
        <w:rPr>
          <w:noProof/>
        </w:rPr>
        <w:t>as adopted at first reading</w:t>
      </w:r>
      <w:r w:rsidR="00F12307">
        <w:rPr>
          <w:noProof/>
        </w:rPr>
        <w:t>,</w:t>
      </w:r>
      <w:r w:rsidRPr="00037473">
        <w:rPr>
          <w:noProof/>
        </w:rPr>
        <w:t xml:space="preserve"> fully reflects the political agreement reached between the European Parliament and the Council on </w:t>
      </w:r>
      <w:r>
        <w:rPr>
          <w:noProof/>
        </w:rPr>
        <w:t>25</w:t>
      </w:r>
      <w:r w:rsidRPr="00037473">
        <w:rPr>
          <w:noProof/>
        </w:rPr>
        <w:t> </w:t>
      </w:r>
      <w:r>
        <w:rPr>
          <w:noProof/>
        </w:rPr>
        <w:t xml:space="preserve">June </w:t>
      </w:r>
      <w:r w:rsidRPr="00037473">
        <w:rPr>
          <w:noProof/>
        </w:rPr>
        <w:t>202</w:t>
      </w:r>
      <w:r>
        <w:rPr>
          <w:noProof/>
        </w:rPr>
        <w:t>5</w:t>
      </w:r>
      <w:r w:rsidRPr="00037473">
        <w:rPr>
          <w:noProof/>
        </w:rPr>
        <w:t xml:space="preserve">. The Commission supports this agreement. The main points of this agreement </w:t>
      </w:r>
      <w:r w:rsidR="00F12307">
        <w:rPr>
          <w:noProof/>
        </w:rPr>
        <w:t xml:space="preserve">regarding Directive 2014/59/EU </w:t>
      </w:r>
      <w:r w:rsidRPr="00037473">
        <w:rPr>
          <w:noProof/>
        </w:rPr>
        <w:t>are the following</w:t>
      </w:r>
      <w:bookmarkEnd w:id="1"/>
      <w:r w:rsidRPr="00037473">
        <w:rPr>
          <w:noProof/>
        </w:rPr>
        <w:t>:</w:t>
      </w:r>
    </w:p>
    <w:p w14:paraId="1063A345" w14:textId="77777777" w:rsidR="00A565F1" w:rsidRPr="00A565F1" w:rsidRDefault="00A565F1" w:rsidP="00C20AEC">
      <w:pPr>
        <w:pStyle w:val="Bullet0"/>
        <w:numPr>
          <w:ilvl w:val="0"/>
          <w:numId w:val="9"/>
        </w:numPr>
        <w:rPr>
          <w:noProof/>
        </w:rPr>
      </w:pPr>
      <w:r w:rsidRPr="00591D08">
        <w:rPr>
          <w:noProof/>
        </w:rPr>
        <w:t>T</w:t>
      </w:r>
      <w:r w:rsidRPr="00171662">
        <w:rPr>
          <w:noProof/>
        </w:rPr>
        <w:t xml:space="preserve">he </w:t>
      </w:r>
      <w:r>
        <w:rPr>
          <w:noProof/>
        </w:rPr>
        <w:t>p</w:t>
      </w:r>
      <w:r w:rsidRPr="00171662">
        <w:rPr>
          <w:noProof/>
        </w:rPr>
        <w:t xml:space="preserve">ublic </w:t>
      </w:r>
      <w:r>
        <w:rPr>
          <w:noProof/>
        </w:rPr>
        <w:t>i</w:t>
      </w:r>
      <w:r w:rsidRPr="00171662">
        <w:rPr>
          <w:noProof/>
        </w:rPr>
        <w:t xml:space="preserve">nterest </w:t>
      </w:r>
      <w:r>
        <w:rPr>
          <w:noProof/>
        </w:rPr>
        <w:t>a</w:t>
      </w:r>
      <w:r w:rsidRPr="00171662">
        <w:rPr>
          <w:noProof/>
        </w:rPr>
        <w:t xml:space="preserve">ssessment is </w:t>
      </w:r>
      <w:r>
        <w:rPr>
          <w:noProof/>
        </w:rPr>
        <w:t xml:space="preserve">amended </w:t>
      </w:r>
      <w:r w:rsidRPr="00171662">
        <w:rPr>
          <w:noProof/>
        </w:rPr>
        <w:t xml:space="preserve">by requiring </w:t>
      </w:r>
      <w:r>
        <w:rPr>
          <w:noProof/>
        </w:rPr>
        <w:t xml:space="preserve">the resolution authorities to resolve a bank if any of the resolution objectives is at risk and winding up the bank under normal insolvency proceedings would not achieve the resolution objectives more effectively. </w:t>
      </w:r>
    </w:p>
    <w:p w14:paraId="597B4F7A" w14:textId="77777777" w:rsidR="00A565F1" w:rsidRPr="00A565F1" w:rsidRDefault="00A565F1" w:rsidP="006613E7">
      <w:pPr>
        <w:pStyle w:val="Bullet0"/>
        <w:rPr>
          <w:noProof/>
        </w:rPr>
      </w:pPr>
      <w:r w:rsidRPr="00171662">
        <w:rPr>
          <w:noProof/>
        </w:rPr>
        <w:t xml:space="preserve">The </w:t>
      </w:r>
      <w:r>
        <w:rPr>
          <w:noProof/>
        </w:rPr>
        <w:t>l</w:t>
      </w:r>
      <w:r w:rsidRPr="00171662">
        <w:rPr>
          <w:noProof/>
        </w:rPr>
        <w:t xml:space="preserve">east </w:t>
      </w:r>
      <w:r>
        <w:rPr>
          <w:noProof/>
        </w:rPr>
        <w:t>c</w:t>
      </w:r>
      <w:r w:rsidRPr="00171662">
        <w:rPr>
          <w:noProof/>
        </w:rPr>
        <w:t xml:space="preserve">ost </w:t>
      </w:r>
      <w:r>
        <w:rPr>
          <w:noProof/>
        </w:rPr>
        <w:t>t</w:t>
      </w:r>
      <w:r w:rsidRPr="00171662">
        <w:rPr>
          <w:noProof/>
        </w:rPr>
        <w:t xml:space="preserve">est </w:t>
      </w:r>
      <w:r>
        <w:rPr>
          <w:noProof/>
        </w:rPr>
        <w:t xml:space="preserve">for use of deposit guarantee schemes (DGS) in resolution </w:t>
      </w:r>
      <w:r w:rsidRPr="00171662">
        <w:rPr>
          <w:noProof/>
        </w:rPr>
        <w:t>is simplified by capping DGS interventions at the gross amount of covered deposits, while the existing super</w:t>
      </w:r>
      <w:r w:rsidRPr="00171662">
        <w:rPr>
          <w:noProof/>
        </w:rPr>
        <w:noBreakHyphen/>
        <w:t xml:space="preserve">preference of covered deposits is preserved within a </w:t>
      </w:r>
      <w:r w:rsidR="00A92C7D">
        <w:rPr>
          <w:noProof/>
        </w:rPr>
        <w:t xml:space="preserve">simpler </w:t>
      </w:r>
      <w:r w:rsidRPr="00171662">
        <w:rPr>
          <w:noProof/>
        </w:rPr>
        <w:t>three</w:t>
      </w:r>
      <w:r w:rsidRPr="00171662">
        <w:rPr>
          <w:noProof/>
        </w:rPr>
        <w:noBreakHyphen/>
        <w:t xml:space="preserve">tier creditor hierarchy. </w:t>
      </w:r>
    </w:p>
    <w:p w14:paraId="6AA4EB1C" w14:textId="77777777" w:rsidR="00A565F1" w:rsidRPr="00A179B5" w:rsidRDefault="00D30031" w:rsidP="006613E7">
      <w:pPr>
        <w:pStyle w:val="Bullet0"/>
        <w:rPr>
          <w:noProof/>
        </w:rPr>
      </w:pPr>
      <w:r>
        <w:rPr>
          <w:noProof/>
        </w:rPr>
        <w:t>R</w:t>
      </w:r>
      <w:r w:rsidR="00A565F1">
        <w:rPr>
          <w:noProof/>
        </w:rPr>
        <w:t>ules on using</w:t>
      </w:r>
      <w:r w:rsidR="00A565F1" w:rsidRPr="00171662">
        <w:rPr>
          <w:noProof/>
        </w:rPr>
        <w:t xml:space="preserve"> </w:t>
      </w:r>
      <w:r>
        <w:rPr>
          <w:noProof/>
        </w:rPr>
        <w:t xml:space="preserve">DGS </w:t>
      </w:r>
      <w:r w:rsidR="00A565F1" w:rsidRPr="00171662">
        <w:rPr>
          <w:noProof/>
        </w:rPr>
        <w:t xml:space="preserve">for resolution </w:t>
      </w:r>
      <w:r w:rsidR="00F12307">
        <w:rPr>
          <w:noProof/>
        </w:rPr>
        <w:t>funding</w:t>
      </w:r>
      <w:r>
        <w:rPr>
          <w:noProof/>
        </w:rPr>
        <w:t xml:space="preserve"> are</w:t>
      </w:r>
      <w:r w:rsidR="00A565F1" w:rsidRPr="00171662">
        <w:rPr>
          <w:noProof/>
        </w:rPr>
        <w:t xml:space="preserve"> subject to explicit sequencing</w:t>
      </w:r>
      <w:r>
        <w:rPr>
          <w:noProof/>
        </w:rPr>
        <w:t xml:space="preserve">, </w:t>
      </w:r>
      <w:r w:rsidR="00A565F1" w:rsidRPr="00171662">
        <w:rPr>
          <w:noProof/>
        </w:rPr>
        <w:t>safeguards and burden</w:t>
      </w:r>
      <w:r w:rsidR="00A565F1" w:rsidRPr="00171662">
        <w:rPr>
          <w:noProof/>
        </w:rPr>
        <w:noBreakHyphen/>
        <w:t>sharing requirements</w:t>
      </w:r>
      <w:r>
        <w:rPr>
          <w:noProof/>
        </w:rPr>
        <w:t xml:space="preserve">, ensuring that banks’ internal loss absorbing capacity remains the first line of defence </w:t>
      </w:r>
      <w:r w:rsidR="00A565F1" w:rsidRPr="00171662">
        <w:rPr>
          <w:noProof/>
        </w:rPr>
        <w:t>and taxpayer</w:t>
      </w:r>
      <w:r>
        <w:rPr>
          <w:noProof/>
        </w:rPr>
        <w:t>s’ money</w:t>
      </w:r>
      <w:r w:rsidR="00A565F1" w:rsidRPr="00171662">
        <w:rPr>
          <w:noProof/>
        </w:rPr>
        <w:t xml:space="preserve"> is </w:t>
      </w:r>
      <w:r w:rsidR="00A92C7D">
        <w:rPr>
          <w:noProof/>
        </w:rPr>
        <w:t xml:space="preserve">well </w:t>
      </w:r>
      <w:r>
        <w:rPr>
          <w:noProof/>
        </w:rPr>
        <w:t>protected</w:t>
      </w:r>
      <w:r w:rsidR="00A565F1" w:rsidRPr="00171662">
        <w:rPr>
          <w:noProof/>
        </w:rPr>
        <w:t xml:space="preserve">. </w:t>
      </w:r>
    </w:p>
    <w:p w14:paraId="53DC91AC" w14:textId="77777777" w:rsidR="00C30257" w:rsidRPr="00090C0A" w:rsidRDefault="00C30257" w:rsidP="001704B9">
      <w:pPr>
        <w:pStyle w:val="ManualHeading1"/>
        <w:rPr>
          <w:noProof/>
        </w:rPr>
      </w:pPr>
      <w:r w:rsidRPr="00090C0A">
        <w:rPr>
          <w:noProof/>
        </w:rPr>
        <w:t>4.</w:t>
      </w:r>
      <w:r w:rsidRPr="00090C0A">
        <w:rPr>
          <w:noProof/>
        </w:rPr>
        <w:tab/>
        <w:t>Conclusion</w:t>
      </w:r>
    </w:p>
    <w:p w14:paraId="754FC15E" w14:textId="77777777" w:rsidR="006D5F57" w:rsidRDefault="00A92C7D" w:rsidP="001704B9">
      <w:pPr>
        <w:rPr>
          <w:noProof/>
        </w:rPr>
      </w:pPr>
      <w:r w:rsidRPr="00A92C7D">
        <w:rPr>
          <w:noProof/>
        </w:rPr>
        <w:t>The Commission supports the results of the interinstitutional negotiations and can therefore accept the Council’s position at first reading</w:t>
      </w:r>
      <w:r>
        <w:rPr>
          <w:noProof/>
        </w:rPr>
        <w:t>.</w:t>
      </w:r>
    </w:p>
    <w:p w14:paraId="4FCD6107" w14:textId="2F0BDDFB" w:rsidR="00C30257" w:rsidRPr="00A179B5" w:rsidRDefault="00C30257" w:rsidP="001704B9">
      <w:pPr>
        <w:rPr>
          <w:noProof/>
        </w:rPr>
      </w:pPr>
    </w:p>
    <w:sectPr w:rsidR="00C30257" w:rsidRPr="00A179B5" w:rsidSect="00405887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E8BD0" w14:textId="77777777" w:rsidR="00481A2E" w:rsidRDefault="00481A2E" w:rsidP="00C30257">
      <w:pPr>
        <w:spacing w:before="0" w:after="0"/>
      </w:pPr>
      <w:r>
        <w:separator/>
      </w:r>
    </w:p>
  </w:endnote>
  <w:endnote w:type="continuationSeparator" w:id="0">
    <w:p w14:paraId="52B3E023" w14:textId="77777777" w:rsidR="00481A2E" w:rsidRDefault="00481A2E" w:rsidP="00C3025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756B19" w14:textId="6EB4E667" w:rsidR="00405887" w:rsidRPr="00405887" w:rsidRDefault="00405887" w:rsidP="00405887">
    <w:pPr>
      <w:pStyle w:val="Footer"/>
      <w:rPr>
        <w:rFonts w:ascii="Arial" w:hAnsi="Arial" w:cs="Arial"/>
        <w:b/>
        <w:sz w:val="48"/>
      </w:rPr>
    </w:pPr>
    <w:r w:rsidRPr="00405887">
      <w:rPr>
        <w:rFonts w:ascii="Arial" w:hAnsi="Arial" w:cs="Arial"/>
        <w:b/>
        <w:sz w:val="48"/>
      </w:rPr>
      <w:t>EN</w:t>
    </w:r>
    <w:r w:rsidRPr="00405887">
      <w:rPr>
        <w:rFonts w:ascii="Arial" w:hAnsi="Arial" w:cs="Arial"/>
        <w:b/>
        <w:sz w:val="48"/>
      </w:rPr>
      <w:tab/>
    </w:r>
    <w:r w:rsidRPr="00405887">
      <w:rPr>
        <w:rFonts w:ascii="Arial" w:hAnsi="Arial" w:cs="Arial"/>
        <w:b/>
        <w:sz w:val="48"/>
      </w:rPr>
      <w:tab/>
    </w:r>
    <w:r w:rsidRPr="00405887">
      <w:tab/>
    </w:r>
    <w:r w:rsidRPr="00405887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0147F" w14:textId="4C4DE30D" w:rsidR="00405887" w:rsidRPr="00405887" w:rsidRDefault="00405887" w:rsidP="00405887">
    <w:pPr>
      <w:pStyle w:val="Footer"/>
      <w:rPr>
        <w:rFonts w:ascii="Arial" w:hAnsi="Arial" w:cs="Arial"/>
        <w:b/>
        <w:sz w:val="48"/>
      </w:rPr>
    </w:pPr>
    <w:r w:rsidRPr="00405887">
      <w:rPr>
        <w:rFonts w:ascii="Arial" w:hAnsi="Arial" w:cs="Arial"/>
        <w:b/>
        <w:sz w:val="48"/>
      </w:rPr>
      <w:t>EN</w:t>
    </w:r>
    <w:r w:rsidRPr="00405887">
      <w:rPr>
        <w:rFonts w:ascii="Arial" w:hAnsi="Arial" w:cs="Arial"/>
        <w:b/>
        <w:sz w:val="48"/>
      </w:rPr>
      <w:tab/>
    </w:r>
    <w:r w:rsidRPr="00405887">
      <w:rPr>
        <w:rFonts w:ascii="Arial" w:hAnsi="Arial" w:cs="Arial"/>
        <w:b/>
        <w:sz w:val="48"/>
      </w:rPr>
      <w:tab/>
    </w:r>
    <w:r w:rsidRPr="00405887">
      <w:tab/>
    </w:r>
    <w:r w:rsidRPr="00405887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201C0" w14:textId="77777777" w:rsidR="00405887" w:rsidRDefault="0040588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CABC5" w14:textId="3F176F4C" w:rsidR="00405887" w:rsidRPr="00405887" w:rsidRDefault="00405887" w:rsidP="00405887">
    <w:pPr>
      <w:pStyle w:val="Footer"/>
      <w:rPr>
        <w:rFonts w:ascii="Arial" w:hAnsi="Arial" w:cs="Arial"/>
        <w:b/>
        <w:sz w:val="48"/>
      </w:rPr>
    </w:pPr>
    <w:r w:rsidRPr="00405887">
      <w:rPr>
        <w:rFonts w:ascii="Arial" w:hAnsi="Arial" w:cs="Arial"/>
        <w:b/>
        <w:sz w:val="48"/>
      </w:rPr>
      <w:t>EN</w:t>
    </w:r>
    <w:r w:rsidRPr="00405887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6D5F57">
      <w:rPr>
        <w:noProof/>
      </w:rPr>
      <w:t>2</w:t>
    </w:r>
    <w:r>
      <w:fldChar w:fldCharType="end"/>
    </w:r>
    <w:r>
      <w:tab/>
    </w:r>
    <w:r w:rsidRPr="00405887">
      <w:tab/>
    </w:r>
    <w:r w:rsidRPr="00405887">
      <w:rPr>
        <w:rFonts w:ascii="Arial" w:hAnsi="Arial" w:cs="Arial"/>
        <w:b/>
        <w:sz w:val="48"/>
      </w:rPr>
      <w:t>EN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433ED" w14:textId="77777777" w:rsidR="00405887" w:rsidRDefault="00405887" w:rsidP="004058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829F14" w14:textId="77777777" w:rsidR="00481A2E" w:rsidRDefault="00481A2E" w:rsidP="00C30257">
      <w:pPr>
        <w:spacing w:before="0" w:after="0"/>
      </w:pPr>
      <w:r>
        <w:separator/>
      </w:r>
    </w:p>
  </w:footnote>
  <w:footnote w:type="continuationSeparator" w:id="0">
    <w:p w14:paraId="1514EAD9" w14:textId="77777777" w:rsidR="00481A2E" w:rsidRDefault="00481A2E" w:rsidP="00C3025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FB353" w14:textId="77777777" w:rsidR="00405887" w:rsidRDefault="004058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03F99" w14:textId="77777777" w:rsidR="00405887" w:rsidRDefault="004058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0D3ADD4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CEA0823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4F527C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120A51A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1B96A01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9912C6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E7E858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DE004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5"/>
    <w:lvlOverride w:ilvl="0">
      <w:startOverride w:val="1"/>
    </w:lvlOverride>
  </w:num>
  <w:num w:numId="10">
    <w:abstractNumId w:val="19"/>
  </w:num>
  <w:num w:numId="11">
    <w:abstractNumId w:val="12"/>
  </w:num>
  <w:num w:numId="12">
    <w:abstractNumId w:val="21"/>
  </w:num>
  <w:num w:numId="13">
    <w:abstractNumId w:val="11"/>
  </w:num>
  <w:num w:numId="14">
    <w:abstractNumId w:val="13"/>
  </w:num>
  <w:num w:numId="15">
    <w:abstractNumId w:val="14"/>
  </w:num>
  <w:num w:numId="16">
    <w:abstractNumId w:val="9"/>
  </w:num>
  <w:num w:numId="17">
    <w:abstractNumId w:val="20"/>
  </w:num>
  <w:num w:numId="18">
    <w:abstractNumId w:val="8"/>
  </w:num>
  <w:num w:numId="19">
    <w:abstractNumId w:val="15"/>
  </w:num>
  <w:num w:numId="20">
    <w:abstractNumId w:val="17"/>
  </w:num>
  <w:num w:numId="21">
    <w:abstractNumId w:val="18"/>
  </w:num>
  <w:num w:numId="22">
    <w:abstractNumId w:val="10"/>
  </w:num>
  <w:num w:numId="23">
    <w:abstractNumId w:val="16"/>
  </w:num>
  <w:num w:numId="24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6-03-04 16:59:29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0"/>
    <w:docVar w:name="DQCResult_UnknownFonts" w:val="0;0"/>
    <w:docVar w:name="DQCResult_UnknownStyles" w:val="0;0"/>
    <w:docVar w:name="DQCStatus" w:val="Green"/>
    <w:docVar w:name="DQCVersion" w:val="3"/>
    <w:docVar w:name="DQCWithWarnings" w:val="1"/>
    <w:docVar w:name="LW_CORRIGENDUM" w:val="&lt;UNUSED&gt;"/>
    <w:docVar w:name="LW_COVERPAGE_EXISTS" w:val="True"/>
    <w:docVar w:name="LW_COVERPAGE_GUID" w:val="5199FEBF-7131-45BE-82AA-527860A4838B"/>
    <w:docVar w:name="LW_COVERPAGE_TYPE" w:val="1"/>
    <w:docVar w:name="LW_CreatedUtc" w:val="2026-01-27T15:46:50.8574932Z"/>
    <w:docVar w:name="LW_CROSSREFERENCE" w:val="&lt;UNUSED&gt;"/>
    <w:docVar w:name="LW_DocType" w:val="COM"/>
    <w:docVar w:name="LW_EMISSION" w:val="6.3.2026"/>
    <w:docVar w:name="LW_EMISSION_ISODATE" w:val="2026-03-06"/>
    <w:docVar w:name="LW_EMISSION_LOCATION" w:val="BRX"/>
    <w:docVar w:name="LW_EMISSION_PREFIX" w:val="Brussels, "/>
    <w:docVar w:name="LW_EMISSION_SUFFIX" w:val=" "/>
    <w:docVar w:name="LW_ID_DOCMODEL" w:val="SJ-028"/>
    <w:docVar w:name="LW_ID_DOCSTRUCTURE" w:val="COM/PL/CODEC"/>
    <w:docVar w:name="LW_ID_DOCTYPE" w:val="SJ-028"/>
    <w:docVar w:name="LW_INTERETEEE.CP" w:val="(Text with EEA relevance)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PART_NBR" w:val="1"/>
    <w:docVar w:name="LW_PART_NBR_TOTAL" w:val="1"/>
    <w:docVar w:name="LW_REF.II.NEW.CP" w:val="COD"/>
    <w:docVar w:name="LW_REF.II.NEW.CP_NUMBER" w:val="0112"/>
    <w:docVar w:name="LW_REF.II.NEW.CP_YEAR" w:val="2023"/>
    <w:docVar w:name="LW_REF.INST.NEW" w:val="COM"/>
    <w:docVar w:name="LW_REF.INST.NEW_ADOPTED" w:val="final"/>
    <w:docVar w:name="LW_REF.INST.NEW_TEXT" w:val="(2026) 123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position of the Council on the adoption of a directive of the European Parliament and of the Council amending Directive 2014/59/EU as regards early intervention measures, conditions for resolution and funding of resolution action and Directive 2014/24/EU as regards valuation services in resolution"/>
    <w:docVar w:name="LW_TYPE.DOC.CP" w:val="COMMUNICATION FROM THE COMMISSION_x000b_TO THE EUROPEAN PARLIAMENT_x000b__x000b_pursuant to Article 294(6) of the Treaty on the Functioning of the European Union_x000b__x000b_concerning the"/>
    <w:docVar w:name="LwApiVersions" w:val="LW4CoDe 1.24.5.0; LW 9.2, Build 20251112"/>
  </w:docVars>
  <w:rsids>
    <w:rsidRoot w:val="00C30257"/>
    <w:rsid w:val="00037473"/>
    <w:rsid w:val="000471A2"/>
    <w:rsid w:val="000C269C"/>
    <w:rsid w:val="001065F5"/>
    <w:rsid w:val="001238EF"/>
    <w:rsid w:val="00197613"/>
    <w:rsid w:val="001A03CA"/>
    <w:rsid w:val="001B509E"/>
    <w:rsid w:val="00233D33"/>
    <w:rsid w:val="00233DC7"/>
    <w:rsid w:val="00247779"/>
    <w:rsid w:val="00285BEE"/>
    <w:rsid w:val="0029533F"/>
    <w:rsid w:val="002B30AF"/>
    <w:rsid w:val="0033344A"/>
    <w:rsid w:val="00336560"/>
    <w:rsid w:val="00405887"/>
    <w:rsid w:val="0042648E"/>
    <w:rsid w:val="00481A2E"/>
    <w:rsid w:val="00486956"/>
    <w:rsid w:val="004936D2"/>
    <w:rsid w:val="0049682A"/>
    <w:rsid w:val="005B1EB6"/>
    <w:rsid w:val="005D1F90"/>
    <w:rsid w:val="00620A5D"/>
    <w:rsid w:val="0065363A"/>
    <w:rsid w:val="006613E7"/>
    <w:rsid w:val="006768BC"/>
    <w:rsid w:val="006D5F57"/>
    <w:rsid w:val="006F215C"/>
    <w:rsid w:val="00703E6F"/>
    <w:rsid w:val="00707A6F"/>
    <w:rsid w:val="00707E61"/>
    <w:rsid w:val="0076226C"/>
    <w:rsid w:val="00763082"/>
    <w:rsid w:val="00773331"/>
    <w:rsid w:val="007932EF"/>
    <w:rsid w:val="007963CB"/>
    <w:rsid w:val="007B5BDF"/>
    <w:rsid w:val="007C2F1C"/>
    <w:rsid w:val="007D00D6"/>
    <w:rsid w:val="007E05B0"/>
    <w:rsid w:val="007F38A4"/>
    <w:rsid w:val="007F439B"/>
    <w:rsid w:val="008333E1"/>
    <w:rsid w:val="00863862"/>
    <w:rsid w:val="00874D22"/>
    <w:rsid w:val="00896320"/>
    <w:rsid w:val="008A2914"/>
    <w:rsid w:val="008E1701"/>
    <w:rsid w:val="008E4D8E"/>
    <w:rsid w:val="009F5CDB"/>
    <w:rsid w:val="00A52330"/>
    <w:rsid w:val="00A565F1"/>
    <w:rsid w:val="00A92C7D"/>
    <w:rsid w:val="00AA3A36"/>
    <w:rsid w:val="00BB21A0"/>
    <w:rsid w:val="00C12301"/>
    <w:rsid w:val="00C20AEC"/>
    <w:rsid w:val="00C30257"/>
    <w:rsid w:val="00C76827"/>
    <w:rsid w:val="00CC7A96"/>
    <w:rsid w:val="00D20381"/>
    <w:rsid w:val="00D244D9"/>
    <w:rsid w:val="00D30031"/>
    <w:rsid w:val="00D45AAC"/>
    <w:rsid w:val="00E01C38"/>
    <w:rsid w:val="00E40494"/>
    <w:rsid w:val="00E61FA7"/>
    <w:rsid w:val="00E664ED"/>
    <w:rsid w:val="00E86695"/>
    <w:rsid w:val="00EB5927"/>
    <w:rsid w:val="00F12307"/>
    <w:rsid w:val="00F961D6"/>
    <w:rsid w:val="00FC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B8A529A"/>
  <w15:docId w15:val="{F273538B-68EC-4972-8370-171A772E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7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7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7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7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17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17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17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rsid w:val="009F5CDB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F5CDB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F5CDB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F5CDB"/>
    <w:pPr>
      <w:numPr>
        <w:numId w:val="4"/>
      </w:numPr>
      <w:contextualSpacing/>
    </w:pPr>
  </w:style>
  <w:style w:type="paragraph" w:styleId="ListParagraph">
    <w:name w:val="List Paragraph"/>
    <w:basedOn w:val="Normal"/>
    <w:uiPriority w:val="34"/>
    <w:qFormat/>
    <w:rsid w:val="00A565F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86956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486956"/>
    <w:pPr>
      <w:spacing w:after="0"/>
    </w:pPr>
  </w:style>
  <w:style w:type="paragraph" w:styleId="ListNumber">
    <w:name w:val="List Number"/>
    <w:basedOn w:val="Normal"/>
    <w:uiPriority w:val="99"/>
    <w:semiHidden/>
    <w:unhideWhenUsed/>
    <w:rsid w:val="00486956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86956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86956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86956"/>
    <w:pPr>
      <w:numPr>
        <w:numId w:val="8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AA3A3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A3A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38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38A4"/>
    <w:rPr>
      <w:rFonts w:ascii="Times New Roman" w:hAnsi="Times New Roman" w:cs="Times New Roman"/>
      <w:b/>
      <w:bCs/>
      <w:sz w:val="20"/>
      <w:szCs w:val="20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F38A4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405887"/>
    <w:rPr>
      <w:rFonts w:ascii="Times New Roman" w:hAnsi="Times New Roman" w:cs="Times New Roman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405887"/>
    <w:rPr>
      <w:rFonts w:ascii="Times New Roman" w:hAnsi="Times New Roman" w:cs="Times New Roman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40588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405887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40588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10"/>
      </w:numPr>
    </w:pPr>
  </w:style>
  <w:style w:type="paragraph" w:customStyle="1" w:styleId="Tiret1">
    <w:name w:val="Tiret 1"/>
    <w:basedOn w:val="Point1"/>
    <w:pPr>
      <w:numPr>
        <w:numId w:val="11"/>
      </w:numPr>
    </w:pPr>
  </w:style>
  <w:style w:type="paragraph" w:customStyle="1" w:styleId="Tiret2">
    <w:name w:val="Tiret 2"/>
    <w:basedOn w:val="Point2"/>
    <w:pPr>
      <w:numPr>
        <w:numId w:val="12"/>
      </w:numPr>
    </w:pPr>
  </w:style>
  <w:style w:type="paragraph" w:customStyle="1" w:styleId="Tiret3">
    <w:name w:val="Tiret 3"/>
    <w:basedOn w:val="Point3"/>
    <w:pPr>
      <w:numPr>
        <w:numId w:val="13"/>
      </w:numPr>
    </w:pPr>
  </w:style>
  <w:style w:type="paragraph" w:customStyle="1" w:styleId="Tiret4">
    <w:name w:val="Tiret 4"/>
    <w:basedOn w:val="Point4"/>
    <w:pPr>
      <w:numPr>
        <w:numId w:val="14"/>
      </w:numPr>
    </w:pPr>
  </w:style>
  <w:style w:type="paragraph" w:customStyle="1" w:styleId="Tiret5">
    <w:name w:val="Tiret 5"/>
    <w:basedOn w:val="Point5"/>
    <w:pPr>
      <w:numPr>
        <w:numId w:val="15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6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6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6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6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16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16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16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18"/>
      </w:numPr>
    </w:pPr>
  </w:style>
  <w:style w:type="paragraph" w:customStyle="1" w:styleId="Point1number">
    <w:name w:val="Point 1 (number)"/>
    <w:basedOn w:val="Normal"/>
    <w:pPr>
      <w:numPr>
        <w:ilvl w:val="2"/>
        <w:numId w:val="18"/>
      </w:numPr>
    </w:pPr>
  </w:style>
  <w:style w:type="paragraph" w:customStyle="1" w:styleId="Point2number">
    <w:name w:val="Point 2 (number)"/>
    <w:basedOn w:val="Normal"/>
    <w:pPr>
      <w:numPr>
        <w:ilvl w:val="4"/>
        <w:numId w:val="18"/>
      </w:numPr>
    </w:pPr>
  </w:style>
  <w:style w:type="paragraph" w:customStyle="1" w:styleId="Point3number">
    <w:name w:val="Point 3 (number)"/>
    <w:basedOn w:val="Normal"/>
    <w:pPr>
      <w:numPr>
        <w:ilvl w:val="6"/>
        <w:numId w:val="18"/>
      </w:numPr>
    </w:pPr>
  </w:style>
  <w:style w:type="paragraph" w:customStyle="1" w:styleId="Point0letter">
    <w:name w:val="Point 0 (letter)"/>
    <w:basedOn w:val="Normal"/>
    <w:pPr>
      <w:numPr>
        <w:ilvl w:val="1"/>
        <w:numId w:val="18"/>
      </w:numPr>
    </w:pPr>
  </w:style>
  <w:style w:type="paragraph" w:customStyle="1" w:styleId="Point1letter">
    <w:name w:val="Point 1 (letter)"/>
    <w:basedOn w:val="Normal"/>
    <w:pPr>
      <w:numPr>
        <w:ilvl w:val="3"/>
        <w:numId w:val="18"/>
      </w:numPr>
    </w:pPr>
  </w:style>
  <w:style w:type="paragraph" w:customStyle="1" w:styleId="Point2letter">
    <w:name w:val="Point 2 (letter)"/>
    <w:basedOn w:val="Normal"/>
    <w:pPr>
      <w:numPr>
        <w:ilvl w:val="5"/>
        <w:numId w:val="18"/>
      </w:numPr>
    </w:pPr>
  </w:style>
  <w:style w:type="paragraph" w:customStyle="1" w:styleId="Point3letter">
    <w:name w:val="Point 3 (letter)"/>
    <w:basedOn w:val="Normal"/>
    <w:pPr>
      <w:numPr>
        <w:ilvl w:val="7"/>
        <w:numId w:val="18"/>
      </w:numPr>
    </w:pPr>
  </w:style>
  <w:style w:type="paragraph" w:customStyle="1" w:styleId="Point4letter">
    <w:name w:val="Point 4 (letter)"/>
    <w:basedOn w:val="Normal"/>
    <w:pPr>
      <w:numPr>
        <w:ilvl w:val="8"/>
        <w:numId w:val="18"/>
      </w:numPr>
    </w:pPr>
  </w:style>
  <w:style w:type="paragraph" w:customStyle="1" w:styleId="Bullet0">
    <w:name w:val="Bullet 0"/>
    <w:basedOn w:val="Normal"/>
    <w:pPr>
      <w:numPr>
        <w:numId w:val="19"/>
      </w:numPr>
    </w:pPr>
  </w:style>
  <w:style w:type="paragraph" w:customStyle="1" w:styleId="Bullet1">
    <w:name w:val="Bullet 1"/>
    <w:basedOn w:val="Normal"/>
    <w:pPr>
      <w:numPr>
        <w:numId w:val="20"/>
      </w:numPr>
    </w:pPr>
  </w:style>
  <w:style w:type="paragraph" w:customStyle="1" w:styleId="Bullet2">
    <w:name w:val="Bullet 2"/>
    <w:basedOn w:val="Normal"/>
    <w:pPr>
      <w:numPr>
        <w:numId w:val="21"/>
      </w:numPr>
    </w:pPr>
  </w:style>
  <w:style w:type="paragraph" w:customStyle="1" w:styleId="Bullet3">
    <w:name w:val="Bullet 3"/>
    <w:basedOn w:val="Normal"/>
    <w:pPr>
      <w:numPr>
        <w:numId w:val="22"/>
      </w:numPr>
    </w:pPr>
  </w:style>
  <w:style w:type="paragraph" w:customStyle="1" w:styleId="Bullet4">
    <w:name w:val="Bullet 4"/>
    <w:basedOn w:val="Normal"/>
    <w:pPr>
      <w:numPr>
        <w:numId w:val="23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4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E664ED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664ED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664ED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664ED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405887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405887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405887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405887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4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9637e9-1c11-4ee9-91b8-f060e3608fb2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  <Dateandtime xmlns="9a9637e9-1c11-4ee9-91b8-f060e3608fb2" xsi:nil="true"/>
    <Docstatus xmlns="9a9637e9-1c11-4ee9-91b8-f060e3608fb2" xsi:nil="true"/>
    <_Flow_SignoffStatus xmlns="9a9637e9-1c11-4ee9-91b8-f060e3608fb2" xsi:nil="true"/>
    <TaxCatchAll xmlns="4af8c89d-4332-4d32-84a3-abf4120a800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97B7BFF882854783B2AFEB81A9CCE9" ma:contentTypeVersion="15" ma:contentTypeDescription="Create a new document." ma:contentTypeScope="" ma:versionID="905ffd3218702aec8470642c758b8ec0">
  <xsd:schema xmlns:xsd="http://www.w3.org/2001/XMLSchema" xmlns:xs="http://www.w3.org/2001/XMLSchema" xmlns:p="http://schemas.microsoft.com/office/2006/metadata/properties" xmlns:ns2="9a9637e9-1c11-4ee9-91b8-f060e3608fb2" xmlns:ns3="4af8c89d-4332-4d32-84a3-abf4120a8008" targetNamespace="http://schemas.microsoft.com/office/2006/metadata/properties" ma:root="true" ma:fieldsID="928f83e650fb23223a23e4dac499116d" ns2:_="" ns3:_="">
    <xsd:import namespace="9a9637e9-1c11-4ee9-91b8-f060e3608fb2"/>
    <xsd:import namespace="4af8c89d-4332-4d32-84a3-abf4120a8008"/>
    <xsd:element name="properties">
      <xsd:complexType>
        <xsd:sequence>
          <xsd:element name="documentManagement">
            <xsd:complexType>
              <xsd:all>
                <xsd:element ref="ns2:Docstatus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Dateandtime" minOccurs="0"/>
                <xsd:element ref="ns2:MediaServiceSearchProperties" minOccurs="0"/>
                <xsd:element ref="ns2:_Flow_SignoffStatu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637e9-1c11-4ee9-91b8-f060e3608fb2" elementFormDefault="qualified">
    <xsd:import namespace="http://schemas.microsoft.com/office/2006/documentManagement/types"/>
    <xsd:import namespace="http://schemas.microsoft.com/office/infopath/2007/PartnerControls"/>
    <xsd:element name="Docstatus" ma:index="8" nillable="true" ma:displayName="Doc status" ma:format="Dropdown" ma:indexed="true" ma:internalName="Docstatus">
      <xsd:simpleType>
        <xsd:restriction base="dms:Choice">
          <xsd:enumeration value="Draft"/>
          <xsd:enumeration value="Final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andtime" ma:index="14" nillable="true" ma:displayName="Date and time" ma:format="DateTime" ma:internalName="Dateandtime">
      <xsd:simpleType>
        <xsd:restriction base="dms:DateTim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16" nillable="true" ma:displayName="Sign-off status" ma:internalName="Sign_x002d_off_x0020_status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8c89d-4332-4d32-84a3-abf4120a8008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2fb10d-7e3e-4655-ba20-a1b338523f72}" ma:internalName="TaxCatchAll" ma:showField="CatchAllData" ma:web="4af8c89d-4332-4d32-84a3-abf4120a80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1391D7-FD1F-406A-85C8-1B49EBD5AA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36779E-1F5B-49F1-B2A5-F1902663C756}">
  <ds:schemaRefs>
    <ds:schemaRef ds:uri="http://schemas.microsoft.com/office/2006/metadata/properties"/>
    <ds:schemaRef ds:uri="http://schemas.microsoft.com/office/infopath/2007/PartnerControls"/>
    <ds:schemaRef ds:uri="9a9637e9-1c11-4ee9-91b8-f060e3608fb2"/>
    <ds:schemaRef ds:uri="4af8c89d-4332-4d32-84a3-abf4120a8008"/>
  </ds:schemaRefs>
</ds:datastoreItem>
</file>

<file path=customXml/itemProps3.xml><?xml version="1.0" encoding="utf-8"?>
<ds:datastoreItem xmlns:ds="http://schemas.openxmlformats.org/officeDocument/2006/customXml" ds:itemID="{7B366B8A-3DD3-437E-8A54-705018CB4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637e9-1c11-4ee9-91b8-f060e3608fb2"/>
    <ds:schemaRef ds:uri="4af8c89d-4332-4d32-84a3-abf4120a80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15</TotalTime>
  <Pages>3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30</cp:revision>
  <dcterms:created xsi:type="dcterms:W3CDTF">2026-02-09T10:20:00Z</dcterms:created>
  <dcterms:modified xsi:type="dcterms:W3CDTF">2026-03-04T15:59:00Z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COM/PL/CODEC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9.2, Build 20250828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SJ-028</vt:lpwstr>
  </property>
  <property fmtid="{D5CDD505-2E9C-101B-9397-08002B2CF9AE}" pid="10" name="MSIP_Label_6bd9ddd1-4d20-43f6-abfa-fc3c07406f94_Enabled">
    <vt:lpwstr>true</vt:lpwstr>
  </property>
  <property fmtid="{D5CDD505-2E9C-101B-9397-08002B2CF9AE}" pid="11" name="MSIP_Label_6bd9ddd1-4d20-43f6-abfa-fc3c07406f94_SetDate">
    <vt:lpwstr>2026-01-27T15:47:36Z</vt:lpwstr>
  </property>
  <property fmtid="{D5CDD505-2E9C-101B-9397-08002B2CF9AE}" pid="12" name="MSIP_Label_6bd9ddd1-4d20-43f6-abfa-fc3c07406f94_Method">
    <vt:lpwstr>Standard</vt:lpwstr>
  </property>
  <property fmtid="{D5CDD505-2E9C-101B-9397-08002B2CF9AE}" pid="13" name="MSIP_Label_6bd9ddd1-4d20-43f6-abfa-fc3c07406f94_Name">
    <vt:lpwstr>Commission Use</vt:lpwstr>
  </property>
  <property fmtid="{D5CDD505-2E9C-101B-9397-08002B2CF9AE}" pid="14" name="MSIP_Label_6bd9ddd1-4d20-43f6-abfa-fc3c07406f94_SiteId">
    <vt:lpwstr>b24c8b06-522c-46fe-9080-70926f8dddb1</vt:lpwstr>
  </property>
  <property fmtid="{D5CDD505-2E9C-101B-9397-08002B2CF9AE}" pid="15" name="MSIP_Label_6bd9ddd1-4d20-43f6-abfa-fc3c07406f94_ActionId">
    <vt:lpwstr>9d55ec9c-e51e-4e32-a18a-207774231536</vt:lpwstr>
  </property>
  <property fmtid="{D5CDD505-2E9C-101B-9397-08002B2CF9AE}" pid="16" name="MSIP_Label_6bd9ddd1-4d20-43f6-abfa-fc3c07406f94_ContentBits">
    <vt:lpwstr>0</vt:lpwstr>
  </property>
  <property fmtid="{D5CDD505-2E9C-101B-9397-08002B2CF9AE}" pid="17" name="MSIP_Label_6bd9ddd1-4d20-43f6-abfa-fc3c07406f94_Tag">
    <vt:lpwstr>10, 3, 0, 1</vt:lpwstr>
  </property>
  <property fmtid="{D5CDD505-2E9C-101B-9397-08002B2CF9AE}" pid="18" name="ContentTypeId">
    <vt:lpwstr>0x0101007697B7BFF882854783B2AFEB81A9CCE9</vt:lpwstr>
  </property>
  <property fmtid="{D5CDD505-2E9C-101B-9397-08002B2CF9AE}" pid="19" name="DQCStatus">
    <vt:lpwstr>Green (DQC version 03)</vt:lpwstr>
  </property>
</Properties>
</file>