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1D6679" w14:textId="5DC0E903" w:rsidR="0029533F" w:rsidRDefault="00C017BC" w:rsidP="00C017BC">
      <w:pPr>
        <w:pStyle w:val="Pagedecouverture"/>
        <w:rPr>
          <w:noProof/>
        </w:rPr>
      </w:pPr>
      <w:r>
        <w:rPr>
          <w:noProof/>
        </w:rPr>
        <w:pict w14:anchorId="074A90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17F91BE-B362-4BBA-A8E4-0E755EFCE2C6" style="width:455.25pt;height:408.75pt">
            <v:imagedata r:id="rId11" o:title=""/>
          </v:shape>
        </w:pict>
      </w:r>
    </w:p>
    <w:p w14:paraId="38F0F38B" w14:textId="77777777" w:rsidR="00C30257" w:rsidRPr="00A179B5" w:rsidRDefault="00C30257">
      <w:pPr>
        <w:rPr>
          <w:noProof/>
        </w:rPr>
        <w:sectPr w:rsidR="00C30257" w:rsidRPr="00A179B5" w:rsidSect="00C017BC">
          <w:footerReference w:type="even" r:id="rId12"/>
          <w:footerReference w:type="default" r:id="rId13"/>
          <w:pgSz w:w="11907" w:h="16839"/>
          <w:pgMar w:top="1134" w:right="1417" w:bottom="1134" w:left="1417" w:header="709" w:footer="709" w:gutter="0"/>
          <w:pgNumType w:start="0"/>
          <w:cols w:space="720"/>
          <w:docGrid w:linePitch="360"/>
        </w:sectPr>
      </w:pPr>
    </w:p>
    <w:p w14:paraId="73546804" w14:textId="63DB5DA3" w:rsidR="00477354" w:rsidRDefault="00477354" w:rsidP="00477354">
      <w:pPr>
        <w:pStyle w:val="Rfrenceinterinstitutionnelle"/>
        <w:rPr>
          <w:noProof/>
        </w:rPr>
      </w:pPr>
      <w:bookmarkStart w:id="0" w:name="_GoBack"/>
      <w:bookmarkEnd w:id="0"/>
      <w:r>
        <w:rPr>
          <w:noProof/>
        </w:rPr>
        <w:lastRenderedPageBreak/>
        <w:t>2023/0115 (COD)</w:t>
      </w:r>
    </w:p>
    <w:p w14:paraId="0EBBEF32" w14:textId="20BE4A20" w:rsidR="00C30257" w:rsidRPr="00A179B5" w:rsidRDefault="00477354" w:rsidP="00477354">
      <w:pPr>
        <w:pStyle w:val="Typedudocument"/>
        <w:rPr>
          <w:noProof/>
        </w:rPr>
      </w:pPr>
      <w:r w:rsidRPr="00477354">
        <w:rPr>
          <w:noProof/>
        </w:rPr>
        <w:t>COMMUNICATION FROM THE COMMISSION</w:t>
      </w:r>
      <w:r w:rsidRPr="00477354">
        <w:rPr>
          <w:noProof/>
        </w:rPr>
        <w:br/>
        <w:t>TO THE EUROPEAN PARLIAMENT</w:t>
      </w:r>
      <w:r w:rsidRPr="00477354">
        <w:rPr>
          <w:noProof/>
        </w:rPr>
        <w:br/>
      </w:r>
      <w:r w:rsidRPr="00477354">
        <w:rPr>
          <w:noProof/>
        </w:rPr>
        <w:br/>
        <w:t>pursuant to Article 294(6) of the Treaty on the Functioning of the European Union</w:t>
      </w:r>
      <w:r w:rsidRPr="00477354">
        <w:rPr>
          <w:noProof/>
        </w:rPr>
        <w:br/>
      </w:r>
      <w:r w:rsidRPr="00477354">
        <w:rPr>
          <w:noProof/>
        </w:rPr>
        <w:br/>
        <w:t>concerning the</w:t>
      </w:r>
    </w:p>
    <w:p w14:paraId="5AD40084" w14:textId="13632D23" w:rsidR="00C30257" w:rsidRPr="00A179B5" w:rsidRDefault="00477354" w:rsidP="00477354">
      <w:pPr>
        <w:pStyle w:val="Titreobjet"/>
        <w:rPr>
          <w:noProof/>
        </w:rPr>
      </w:pPr>
      <w:r w:rsidRPr="00477354">
        <w:rPr>
          <w:noProof/>
        </w:rPr>
        <w:t>position of the Council on the adoption of a directive of the European Parliament and of the Council amending Directive 2014/49/EU as regards the scope of deposit protection, the use of deposit guarantee schemes funds, cross-border cooperation, and transparency</w:t>
      </w:r>
    </w:p>
    <w:p w14:paraId="1224C05E" w14:textId="229BBA6F" w:rsidR="00C30257" w:rsidRPr="00C30257" w:rsidRDefault="00477354" w:rsidP="00477354">
      <w:pPr>
        <w:pStyle w:val="IntrtEEE"/>
        <w:rPr>
          <w:noProof/>
        </w:rPr>
      </w:pPr>
      <w:r w:rsidRPr="00477354">
        <w:rPr>
          <w:noProof/>
        </w:rPr>
        <w:t>(Text with EEA relevance)</w:t>
      </w:r>
    </w:p>
    <w:p w14:paraId="26F485A8" w14:textId="77777777" w:rsidR="00C30257" w:rsidRPr="00A179B5" w:rsidRDefault="00C30257" w:rsidP="001704B9">
      <w:pPr>
        <w:pStyle w:val="ManualHeading1"/>
        <w:rPr>
          <w:noProof/>
          <w:sz w:val="22"/>
        </w:rPr>
      </w:pPr>
      <w:r w:rsidRPr="00A179B5">
        <w:rPr>
          <w:noProof/>
        </w:rPr>
        <w:t>1.</w:t>
      </w:r>
      <w:r w:rsidRPr="00A179B5">
        <w:rPr>
          <w:noProof/>
        </w:rPr>
        <w:tab/>
        <w:t>Background</w:t>
      </w:r>
    </w:p>
    <w:tbl>
      <w:tblPr>
        <w:tblW w:w="0" w:type="auto"/>
        <w:tblLayout w:type="fixed"/>
        <w:tblLook w:val="0000" w:firstRow="0" w:lastRow="0" w:firstColumn="0" w:lastColumn="0" w:noHBand="0" w:noVBand="0"/>
      </w:tblPr>
      <w:tblGrid>
        <w:gridCol w:w="6804"/>
        <w:gridCol w:w="2483"/>
      </w:tblGrid>
      <w:tr w:rsidR="00C30257" w:rsidRPr="00A179B5" w14:paraId="648C50FA" w14:textId="77777777" w:rsidTr="00FC48CE">
        <w:tc>
          <w:tcPr>
            <w:tcW w:w="6804" w:type="dxa"/>
          </w:tcPr>
          <w:p w14:paraId="0DB837A8" w14:textId="039ADC5B" w:rsidR="00C30257" w:rsidRPr="00A92C7D" w:rsidRDefault="00C30257" w:rsidP="00FC48CE">
            <w:pPr>
              <w:jc w:val="left"/>
              <w:rPr>
                <w:noProof/>
              </w:rPr>
            </w:pPr>
            <w:r w:rsidRPr="00A92C7D">
              <w:rPr>
                <w:noProof/>
              </w:rPr>
              <w:t>Date of transmission of the proposal to the European Parliament and to the Council</w:t>
            </w:r>
            <w:r w:rsidRPr="00A92C7D">
              <w:rPr>
                <w:noProof/>
              </w:rPr>
              <w:br/>
              <w:t>(document COM</w:t>
            </w:r>
            <w:r w:rsidR="007C2F1C" w:rsidRPr="00A92C7D">
              <w:rPr>
                <w:noProof/>
              </w:rPr>
              <w:t>(2023</w:t>
            </w:r>
            <w:r w:rsidRPr="00A92C7D">
              <w:rPr>
                <w:noProof/>
              </w:rPr>
              <w:t xml:space="preserve">) </w:t>
            </w:r>
            <w:r w:rsidR="007C2F1C" w:rsidRPr="00A92C7D">
              <w:rPr>
                <w:noProof/>
              </w:rPr>
              <w:t>22</w:t>
            </w:r>
            <w:r w:rsidR="004130F8">
              <w:rPr>
                <w:noProof/>
              </w:rPr>
              <w:t>8</w:t>
            </w:r>
            <w:r w:rsidR="007C2F1C" w:rsidRPr="00A92C7D">
              <w:rPr>
                <w:noProof/>
              </w:rPr>
              <w:t xml:space="preserve"> </w:t>
            </w:r>
            <w:r w:rsidRPr="00A92C7D">
              <w:rPr>
                <w:noProof/>
              </w:rPr>
              <w:t xml:space="preserve">final – </w:t>
            </w:r>
            <w:r w:rsidR="007C2F1C" w:rsidRPr="001B345F">
              <w:rPr>
                <w:noProof/>
              </w:rPr>
              <w:t>2023</w:t>
            </w:r>
            <w:r w:rsidRPr="00A92C7D">
              <w:rPr>
                <w:noProof/>
              </w:rPr>
              <w:t>/</w:t>
            </w:r>
            <w:r w:rsidR="007C2F1C" w:rsidRPr="001B345F">
              <w:rPr>
                <w:noProof/>
              </w:rPr>
              <w:t>011</w:t>
            </w:r>
            <w:r w:rsidR="004130F8">
              <w:rPr>
                <w:noProof/>
              </w:rPr>
              <w:t>5</w:t>
            </w:r>
            <w:r w:rsidR="007C2F1C" w:rsidRPr="001B345F">
              <w:rPr>
                <w:noProof/>
              </w:rPr>
              <w:t xml:space="preserve"> </w:t>
            </w:r>
            <w:r w:rsidRPr="00A92C7D">
              <w:rPr>
                <w:noProof/>
              </w:rPr>
              <w:t>COD):</w:t>
            </w:r>
          </w:p>
        </w:tc>
        <w:tc>
          <w:tcPr>
            <w:tcW w:w="2483" w:type="dxa"/>
          </w:tcPr>
          <w:p w14:paraId="6F3BCF4B" w14:textId="77777777" w:rsidR="00C30257" w:rsidRPr="00A92C7D" w:rsidRDefault="009F5CDB" w:rsidP="00FC48CE">
            <w:pPr>
              <w:jc w:val="left"/>
              <w:rPr>
                <w:noProof/>
              </w:rPr>
            </w:pPr>
            <w:r w:rsidRPr="001B345F">
              <w:rPr>
                <w:noProof/>
              </w:rPr>
              <w:t>19 April 2023</w:t>
            </w:r>
            <w:r w:rsidR="00C30257" w:rsidRPr="00A92C7D">
              <w:rPr>
                <w:noProof/>
              </w:rPr>
              <w:t>.</w:t>
            </w:r>
          </w:p>
        </w:tc>
      </w:tr>
      <w:tr w:rsidR="00C30257" w:rsidRPr="00A179B5" w14:paraId="1CA11ABA" w14:textId="77777777" w:rsidTr="00FC48CE">
        <w:tc>
          <w:tcPr>
            <w:tcW w:w="6804" w:type="dxa"/>
          </w:tcPr>
          <w:p w14:paraId="760B73D7" w14:textId="77777777" w:rsidR="00C30257" w:rsidRPr="00A92C7D" w:rsidRDefault="00C30257" w:rsidP="00FC48CE">
            <w:pPr>
              <w:rPr>
                <w:noProof/>
              </w:rPr>
            </w:pPr>
            <w:r w:rsidRPr="00A92C7D">
              <w:rPr>
                <w:noProof/>
              </w:rPr>
              <w:t>Date of the opinion of the European Economic and Social Committee:</w:t>
            </w:r>
          </w:p>
        </w:tc>
        <w:tc>
          <w:tcPr>
            <w:tcW w:w="2483" w:type="dxa"/>
          </w:tcPr>
          <w:p w14:paraId="3067E3F6" w14:textId="77777777" w:rsidR="00C30257" w:rsidRPr="00A92C7D" w:rsidRDefault="007C2F1C" w:rsidP="00FC48CE">
            <w:pPr>
              <w:jc w:val="left"/>
              <w:rPr>
                <w:noProof/>
              </w:rPr>
            </w:pPr>
            <w:r w:rsidRPr="001B345F">
              <w:rPr>
                <w:noProof/>
              </w:rPr>
              <w:t>13 July 2023</w:t>
            </w:r>
            <w:r w:rsidR="00C30257" w:rsidRPr="00A92C7D">
              <w:rPr>
                <w:noProof/>
              </w:rPr>
              <w:t>.</w:t>
            </w:r>
          </w:p>
        </w:tc>
      </w:tr>
      <w:tr w:rsidR="00C30257" w:rsidRPr="00A179B5" w14:paraId="099A15FF" w14:textId="77777777" w:rsidTr="00FC48CE">
        <w:tc>
          <w:tcPr>
            <w:tcW w:w="6804" w:type="dxa"/>
          </w:tcPr>
          <w:p w14:paraId="6B8B1A8C" w14:textId="77777777" w:rsidR="00C30257" w:rsidRPr="00A92C7D" w:rsidRDefault="00C30257" w:rsidP="00FC48CE">
            <w:pPr>
              <w:rPr>
                <w:noProof/>
              </w:rPr>
            </w:pPr>
            <w:r w:rsidRPr="00A92C7D">
              <w:rPr>
                <w:noProof/>
              </w:rPr>
              <w:t>Date of the position of the European Parliament, first reading:</w:t>
            </w:r>
          </w:p>
        </w:tc>
        <w:tc>
          <w:tcPr>
            <w:tcW w:w="2483" w:type="dxa"/>
          </w:tcPr>
          <w:p w14:paraId="528669EA" w14:textId="77777777" w:rsidR="00C30257" w:rsidRPr="00A92C7D" w:rsidRDefault="007C2F1C" w:rsidP="00FC48CE">
            <w:pPr>
              <w:jc w:val="left"/>
              <w:rPr>
                <w:noProof/>
              </w:rPr>
            </w:pPr>
            <w:r w:rsidRPr="001B345F">
              <w:rPr>
                <w:noProof/>
              </w:rPr>
              <w:t>24 April 2024</w:t>
            </w:r>
            <w:r w:rsidR="00C30257" w:rsidRPr="00A92C7D">
              <w:rPr>
                <w:noProof/>
              </w:rPr>
              <w:t>.</w:t>
            </w:r>
          </w:p>
        </w:tc>
      </w:tr>
      <w:tr w:rsidR="00C30257" w:rsidRPr="00A179B5" w14:paraId="2CDDC38B" w14:textId="77777777" w:rsidTr="00FC48CE">
        <w:tc>
          <w:tcPr>
            <w:tcW w:w="6804" w:type="dxa"/>
          </w:tcPr>
          <w:p w14:paraId="774A7EE5" w14:textId="77777777" w:rsidR="00C30257" w:rsidRPr="00A92C7D" w:rsidRDefault="00C30257" w:rsidP="00FC48CE">
            <w:pPr>
              <w:rPr>
                <w:noProof/>
              </w:rPr>
            </w:pPr>
            <w:r w:rsidRPr="00A92C7D">
              <w:rPr>
                <w:noProof/>
              </w:rPr>
              <w:t>Date of transmission of the amended proposal:</w:t>
            </w:r>
          </w:p>
        </w:tc>
        <w:tc>
          <w:tcPr>
            <w:tcW w:w="2483" w:type="dxa"/>
          </w:tcPr>
          <w:p w14:paraId="7FF31E49" w14:textId="77777777" w:rsidR="00C30257" w:rsidRPr="00A92C7D" w:rsidRDefault="007C2F1C" w:rsidP="00FC48CE">
            <w:pPr>
              <w:jc w:val="left"/>
              <w:rPr>
                <w:noProof/>
              </w:rPr>
            </w:pPr>
            <w:r w:rsidRPr="001B345F">
              <w:rPr>
                <w:noProof/>
              </w:rPr>
              <w:t>N/A</w:t>
            </w:r>
            <w:r w:rsidR="00C30257" w:rsidRPr="00A92C7D">
              <w:rPr>
                <w:noProof/>
              </w:rPr>
              <w:t>.</w:t>
            </w:r>
          </w:p>
        </w:tc>
      </w:tr>
      <w:tr w:rsidR="00C30257" w:rsidRPr="00A179B5" w14:paraId="4EB42B32" w14:textId="77777777" w:rsidTr="00FC48CE">
        <w:tc>
          <w:tcPr>
            <w:tcW w:w="6804" w:type="dxa"/>
          </w:tcPr>
          <w:p w14:paraId="52A36A0F" w14:textId="77777777" w:rsidR="00C30257" w:rsidRPr="00A92C7D" w:rsidRDefault="00C30257" w:rsidP="00FC48CE">
            <w:pPr>
              <w:rPr>
                <w:noProof/>
              </w:rPr>
            </w:pPr>
            <w:r w:rsidRPr="00A92C7D">
              <w:rPr>
                <w:noProof/>
              </w:rPr>
              <w:t>Date of adoption of the position of the Council:</w:t>
            </w:r>
          </w:p>
        </w:tc>
        <w:tc>
          <w:tcPr>
            <w:tcW w:w="2483" w:type="dxa"/>
          </w:tcPr>
          <w:p w14:paraId="6228B4FD" w14:textId="67AD87A2" w:rsidR="00C30257" w:rsidRPr="00A92C7D" w:rsidRDefault="004130F8" w:rsidP="00FC48CE">
            <w:pPr>
              <w:jc w:val="left"/>
              <w:rPr>
                <w:noProof/>
              </w:rPr>
            </w:pPr>
            <w:r>
              <w:rPr>
                <w:noProof/>
              </w:rPr>
              <w:t>5 March 2026</w:t>
            </w:r>
            <w:r w:rsidR="00C30257" w:rsidRPr="00A92C7D">
              <w:rPr>
                <w:noProof/>
              </w:rPr>
              <w:t>.</w:t>
            </w:r>
          </w:p>
        </w:tc>
      </w:tr>
    </w:tbl>
    <w:p w14:paraId="70E9FC78" w14:textId="77777777" w:rsidR="00C30257" w:rsidRPr="00090C0A" w:rsidRDefault="00C30257" w:rsidP="001704B9">
      <w:pPr>
        <w:pStyle w:val="ManualHeading1"/>
        <w:rPr>
          <w:noProof/>
        </w:rPr>
      </w:pPr>
      <w:r w:rsidRPr="00090C0A">
        <w:rPr>
          <w:noProof/>
        </w:rPr>
        <w:t>2.</w:t>
      </w:r>
      <w:r w:rsidRPr="00090C0A">
        <w:rPr>
          <w:noProof/>
        </w:rPr>
        <w:tab/>
        <w:t>Objective of the proposal from the Commission</w:t>
      </w:r>
    </w:p>
    <w:p w14:paraId="5B878998" w14:textId="77777777" w:rsidR="00E61FA7" w:rsidRDefault="00E61FA7" w:rsidP="001704B9">
      <w:pPr>
        <w:rPr>
          <w:rFonts w:eastAsia="Times New Roman"/>
          <w:noProof/>
          <w:szCs w:val="20"/>
        </w:rPr>
      </w:pPr>
      <w:bookmarkStart w:id="1" w:name="_Hlk221536680"/>
      <w:r w:rsidRPr="008A3BE9">
        <w:rPr>
          <w:rFonts w:eastAsia="Times New Roman"/>
          <w:noProof/>
          <w:szCs w:val="20"/>
        </w:rPr>
        <w:t xml:space="preserve">The Commission proposed a package of </w:t>
      </w:r>
      <w:r>
        <w:rPr>
          <w:rFonts w:eastAsia="Times New Roman"/>
          <w:noProof/>
          <w:szCs w:val="20"/>
        </w:rPr>
        <w:t>four</w:t>
      </w:r>
      <w:r w:rsidRPr="008A3BE9">
        <w:rPr>
          <w:rFonts w:eastAsia="Times New Roman"/>
          <w:noProof/>
          <w:szCs w:val="20"/>
        </w:rPr>
        <w:t xml:space="preserve"> amending acts to reform the </w:t>
      </w:r>
      <w:r>
        <w:rPr>
          <w:rFonts w:eastAsia="Times New Roman"/>
          <w:noProof/>
          <w:szCs w:val="20"/>
        </w:rPr>
        <w:t xml:space="preserve">Crisis Management and Deposit Insurance (CMDI) framework. The proposed amendments to Directive 2014/59/EU </w:t>
      </w:r>
      <w:r w:rsidRPr="00E61FA7">
        <w:rPr>
          <w:rFonts w:eastAsia="Times New Roman"/>
          <w:noProof/>
          <w:szCs w:val="20"/>
        </w:rPr>
        <w:t>as regards certain aspects of the minimum requirement for own funds and eligible liabilities</w:t>
      </w:r>
      <w:r>
        <w:rPr>
          <w:rFonts w:eastAsia="Times New Roman"/>
          <w:noProof/>
          <w:szCs w:val="20"/>
        </w:rPr>
        <w:t xml:space="preserve"> (</w:t>
      </w:r>
      <w:r w:rsidRPr="00E61FA7">
        <w:rPr>
          <w:rFonts w:eastAsia="Times New Roman"/>
          <w:noProof/>
          <w:szCs w:val="20"/>
        </w:rPr>
        <w:t>COM/2023/229 final</w:t>
      </w:r>
      <w:r>
        <w:rPr>
          <w:rFonts w:eastAsia="Times New Roman"/>
          <w:noProof/>
          <w:szCs w:val="20"/>
        </w:rPr>
        <w:t xml:space="preserve">) were adopted separately by the co-legislators as </w:t>
      </w:r>
      <w:r w:rsidRPr="00E61FA7">
        <w:rPr>
          <w:rFonts w:eastAsia="Times New Roman"/>
          <w:noProof/>
          <w:szCs w:val="20"/>
        </w:rPr>
        <w:t>Directive (EU) 2024/1174</w:t>
      </w:r>
      <w:r>
        <w:rPr>
          <w:rFonts w:eastAsia="Times New Roman"/>
          <w:noProof/>
          <w:szCs w:val="20"/>
        </w:rPr>
        <w:t xml:space="preserve">. The remaining three acts </w:t>
      </w:r>
      <w:r w:rsidR="00F12307">
        <w:rPr>
          <w:rFonts w:eastAsia="Times New Roman"/>
          <w:noProof/>
          <w:szCs w:val="20"/>
        </w:rPr>
        <w:t>proposed amendments to</w:t>
      </w:r>
      <w:r>
        <w:rPr>
          <w:rFonts w:eastAsia="Times New Roman"/>
          <w:noProof/>
          <w:szCs w:val="20"/>
        </w:rPr>
        <w:t>, respectively, Directive 2014/59/EU, Regulation (EU) 806/2014, and Directive 2014/49/EU</w:t>
      </w:r>
      <w:bookmarkEnd w:id="1"/>
      <w:r>
        <w:rPr>
          <w:rFonts w:eastAsia="Times New Roman"/>
          <w:noProof/>
          <w:szCs w:val="20"/>
        </w:rPr>
        <w:t xml:space="preserve">. </w:t>
      </w:r>
    </w:p>
    <w:p w14:paraId="79B66BC0" w14:textId="77777777" w:rsidR="00C30257" w:rsidRPr="00A179B5" w:rsidRDefault="00E61FA7" w:rsidP="00037473">
      <w:pPr>
        <w:rPr>
          <w:noProof/>
        </w:rPr>
      </w:pPr>
      <w:bookmarkStart w:id="2" w:name="_Hlk221536766"/>
      <w:r>
        <w:rPr>
          <w:rFonts w:eastAsia="Times New Roman"/>
          <w:noProof/>
          <w:szCs w:val="20"/>
        </w:rPr>
        <w:t xml:space="preserve">The </w:t>
      </w:r>
      <w:r w:rsidR="00037473">
        <w:rPr>
          <w:rFonts w:eastAsia="Times New Roman"/>
          <w:noProof/>
          <w:szCs w:val="20"/>
        </w:rPr>
        <w:t xml:space="preserve">overarching </w:t>
      </w:r>
      <w:r>
        <w:rPr>
          <w:rFonts w:eastAsia="Times New Roman"/>
          <w:noProof/>
          <w:szCs w:val="20"/>
        </w:rPr>
        <w:t>objective</w:t>
      </w:r>
      <w:r w:rsidR="00037473">
        <w:rPr>
          <w:rFonts w:eastAsia="Times New Roman"/>
          <w:noProof/>
          <w:szCs w:val="20"/>
        </w:rPr>
        <w:t>s</w:t>
      </w:r>
      <w:r>
        <w:rPr>
          <w:rFonts w:eastAsia="Times New Roman"/>
          <w:noProof/>
          <w:szCs w:val="20"/>
        </w:rPr>
        <w:t xml:space="preserve"> of the CMDI proposal </w:t>
      </w:r>
      <w:r w:rsidR="00037473">
        <w:rPr>
          <w:rFonts w:eastAsia="Times New Roman"/>
          <w:noProof/>
          <w:szCs w:val="20"/>
        </w:rPr>
        <w:t xml:space="preserve">have </w:t>
      </w:r>
      <w:r>
        <w:rPr>
          <w:rFonts w:eastAsia="Times New Roman"/>
          <w:noProof/>
          <w:szCs w:val="20"/>
        </w:rPr>
        <w:t xml:space="preserve">been </w:t>
      </w:r>
      <w:r w:rsidRPr="00E61FA7">
        <w:rPr>
          <w:rFonts w:eastAsia="Times New Roman"/>
          <w:noProof/>
          <w:szCs w:val="20"/>
        </w:rPr>
        <w:t>to</w:t>
      </w:r>
      <w:r w:rsidR="00037473">
        <w:rPr>
          <w:rFonts w:eastAsia="Times New Roman"/>
          <w:noProof/>
          <w:szCs w:val="20"/>
        </w:rPr>
        <w:t xml:space="preserve"> better protect financial stability and taxpayers’ money, shield the real economy from the impact of bank failures and to further enhance depositor protection.</w:t>
      </w:r>
      <w:r w:rsidRPr="00E61FA7">
        <w:rPr>
          <w:rFonts w:eastAsia="Times New Roman"/>
          <w:noProof/>
          <w:szCs w:val="20"/>
        </w:rPr>
        <w:t xml:space="preserve"> </w:t>
      </w:r>
      <w:r w:rsidR="00037473">
        <w:rPr>
          <w:rFonts w:eastAsia="Times New Roman"/>
          <w:noProof/>
          <w:szCs w:val="20"/>
        </w:rPr>
        <w:t xml:space="preserve">The proposal aims to achieve those objectives by improving </w:t>
      </w:r>
      <w:r w:rsidRPr="00E61FA7">
        <w:rPr>
          <w:rFonts w:eastAsia="Times New Roman"/>
          <w:noProof/>
          <w:szCs w:val="20"/>
        </w:rPr>
        <w:t xml:space="preserve">the crisis </w:t>
      </w:r>
      <w:r>
        <w:rPr>
          <w:rFonts w:eastAsia="Times New Roman"/>
          <w:noProof/>
          <w:szCs w:val="20"/>
        </w:rPr>
        <w:t xml:space="preserve">management </w:t>
      </w:r>
      <w:r w:rsidRPr="00E61FA7">
        <w:rPr>
          <w:rFonts w:eastAsia="Times New Roman"/>
          <w:noProof/>
          <w:szCs w:val="20"/>
        </w:rPr>
        <w:t xml:space="preserve">tools used to manage the failure of </w:t>
      </w:r>
      <w:r w:rsidR="00037473">
        <w:rPr>
          <w:rFonts w:eastAsia="Times New Roman"/>
          <w:noProof/>
          <w:szCs w:val="20"/>
        </w:rPr>
        <w:t xml:space="preserve">smaller and </w:t>
      </w:r>
      <w:r w:rsidRPr="00E61FA7">
        <w:rPr>
          <w:rFonts w:eastAsia="Times New Roman"/>
          <w:noProof/>
          <w:szCs w:val="20"/>
        </w:rPr>
        <w:t xml:space="preserve">medium-sized </w:t>
      </w:r>
      <w:r w:rsidR="00037473">
        <w:rPr>
          <w:rFonts w:eastAsia="Times New Roman"/>
          <w:noProof/>
          <w:szCs w:val="20"/>
        </w:rPr>
        <w:t xml:space="preserve">banks. The main tool for achieving that goal is enabling resolution authorities to use funds from </w:t>
      </w:r>
      <w:r w:rsidR="00037473">
        <w:rPr>
          <w:rFonts w:eastAsia="Calibri"/>
          <w:noProof/>
          <w:szCs w:val="24"/>
        </w:rPr>
        <w:t>deposit guarantee schemes to finance the implementation of a transfer strategy in cases in which the internal loss-absorbing capacity of such a bank is not sufficient to access the resolution fund</w:t>
      </w:r>
      <w:bookmarkEnd w:id="2"/>
      <w:r w:rsidR="00037473">
        <w:rPr>
          <w:rFonts w:eastAsia="Calibri"/>
          <w:noProof/>
          <w:szCs w:val="24"/>
        </w:rPr>
        <w:t>.</w:t>
      </w:r>
    </w:p>
    <w:p w14:paraId="6650954A" w14:textId="77777777" w:rsidR="00C30257" w:rsidRPr="00090C0A" w:rsidRDefault="00C30257" w:rsidP="001704B9">
      <w:pPr>
        <w:pStyle w:val="ManualHeading1"/>
        <w:rPr>
          <w:noProof/>
        </w:rPr>
      </w:pPr>
      <w:r w:rsidRPr="00090C0A">
        <w:rPr>
          <w:noProof/>
        </w:rPr>
        <w:t>3.</w:t>
      </w:r>
      <w:r w:rsidRPr="00090C0A">
        <w:rPr>
          <w:noProof/>
        </w:rPr>
        <w:tab/>
        <w:t>Comments on the position of the Council</w:t>
      </w:r>
    </w:p>
    <w:p w14:paraId="3C7C317E" w14:textId="77777777" w:rsidR="00C30257" w:rsidRDefault="00037473" w:rsidP="001704B9">
      <w:pPr>
        <w:widowControl w:val="0"/>
        <w:rPr>
          <w:noProof/>
        </w:rPr>
      </w:pPr>
      <w:bookmarkStart w:id="3" w:name="_Hlk221530109"/>
      <w:r w:rsidRPr="00037473">
        <w:rPr>
          <w:noProof/>
        </w:rPr>
        <w:t xml:space="preserve">The position of the Council </w:t>
      </w:r>
      <w:r w:rsidR="00F12307">
        <w:rPr>
          <w:noProof/>
        </w:rPr>
        <w:t>regarding the proposed amendments to Directive 2014/</w:t>
      </w:r>
      <w:r w:rsidR="00790858">
        <w:rPr>
          <w:noProof/>
        </w:rPr>
        <w:t>4</w:t>
      </w:r>
      <w:r w:rsidR="00F12307">
        <w:rPr>
          <w:noProof/>
        </w:rPr>
        <w:t xml:space="preserve">9/EU, </w:t>
      </w:r>
      <w:r w:rsidRPr="00037473">
        <w:rPr>
          <w:noProof/>
        </w:rPr>
        <w:t xml:space="preserve">as </w:t>
      </w:r>
      <w:r w:rsidRPr="00037473">
        <w:rPr>
          <w:noProof/>
        </w:rPr>
        <w:lastRenderedPageBreak/>
        <w:t>adopted at first reading</w:t>
      </w:r>
      <w:r w:rsidR="00F12307">
        <w:rPr>
          <w:noProof/>
        </w:rPr>
        <w:t>,</w:t>
      </w:r>
      <w:r w:rsidRPr="00037473">
        <w:rPr>
          <w:noProof/>
        </w:rPr>
        <w:t xml:space="preserve"> fully reflects the political agreement reached between the European Parliament and the Council on </w:t>
      </w:r>
      <w:r>
        <w:rPr>
          <w:noProof/>
        </w:rPr>
        <w:t>25</w:t>
      </w:r>
      <w:r w:rsidRPr="00037473">
        <w:rPr>
          <w:noProof/>
        </w:rPr>
        <w:t> </w:t>
      </w:r>
      <w:r>
        <w:rPr>
          <w:noProof/>
        </w:rPr>
        <w:t xml:space="preserve">June </w:t>
      </w:r>
      <w:r w:rsidRPr="00037473">
        <w:rPr>
          <w:noProof/>
        </w:rPr>
        <w:t>202</w:t>
      </w:r>
      <w:r>
        <w:rPr>
          <w:noProof/>
        </w:rPr>
        <w:t>5</w:t>
      </w:r>
      <w:r w:rsidRPr="00037473">
        <w:rPr>
          <w:noProof/>
        </w:rPr>
        <w:t xml:space="preserve">. The Commission supports this agreement. The main points of this agreement </w:t>
      </w:r>
      <w:r w:rsidR="00F12307">
        <w:rPr>
          <w:noProof/>
        </w:rPr>
        <w:t>regarding Directive 2014/</w:t>
      </w:r>
      <w:r w:rsidR="00790858">
        <w:rPr>
          <w:noProof/>
        </w:rPr>
        <w:t>4</w:t>
      </w:r>
      <w:r w:rsidR="00F12307">
        <w:rPr>
          <w:noProof/>
        </w:rPr>
        <w:t xml:space="preserve">9/EU </w:t>
      </w:r>
      <w:r w:rsidRPr="00037473">
        <w:rPr>
          <w:noProof/>
        </w:rPr>
        <w:t>are the following</w:t>
      </w:r>
      <w:bookmarkEnd w:id="3"/>
      <w:r w:rsidRPr="00037473">
        <w:rPr>
          <w:noProof/>
        </w:rPr>
        <w:t>:</w:t>
      </w:r>
    </w:p>
    <w:p w14:paraId="0383810C" w14:textId="77777777" w:rsidR="004D31EA" w:rsidRPr="004D31EA" w:rsidRDefault="00790858" w:rsidP="00D647A9">
      <w:pPr>
        <w:pStyle w:val="Bullet0"/>
        <w:numPr>
          <w:ilvl w:val="0"/>
          <w:numId w:val="9"/>
        </w:numPr>
        <w:rPr>
          <w:noProof/>
        </w:rPr>
      </w:pPr>
      <w:r>
        <w:rPr>
          <w:noProof/>
        </w:rPr>
        <w:t>The agreed amendments further frame the use of deposit guarantee schemes (DGS)</w:t>
      </w:r>
      <w:r w:rsidRPr="00790858">
        <w:rPr>
          <w:noProof/>
        </w:rPr>
        <w:t xml:space="preserve"> funds</w:t>
      </w:r>
      <w:r>
        <w:rPr>
          <w:noProof/>
        </w:rPr>
        <w:t xml:space="preserve"> outside of resolution.</w:t>
      </w:r>
      <w:r w:rsidR="004D31EA">
        <w:rPr>
          <w:noProof/>
        </w:rPr>
        <w:t xml:space="preserve"> </w:t>
      </w:r>
      <w:r w:rsidRPr="004D31EA">
        <w:rPr>
          <w:noProof/>
        </w:rPr>
        <w:t>The use of DGS funds for preventive measures remains optional for Member States but their use, becomes subject to additional conditions and safeguards</w:t>
      </w:r>
      <w:r w:rsidR="004D31EA" w:rsidRPr="004D31EA">
        <w:rPr>
          <w:noProof/>
        </w:rPr>
        <w:t>, in particular the least cost test (LCT) which is the same as for use of DGS funds in resolution, i.e. capping the intervention at the gross amount of covered deposits</w:t>
      </w:r>
      <w:r w:rsidRPr="004D31EA">
        <w:rPr>
          <w:noProof/>
        </w:rPr>
        <w:t xml:space="preserve">. </w:t>
      </w:r>
    </w:p>
    <w:p w14:paraId="66FA6DC4" w14:textId="77777777" w:rsidR="00790858" w:rsidRPr="00790858" w:rsidRDefault="004D31EA" w:rsidP="001B345F">
      <w:pPr>
        <w:pStyle w:val="Bullet0"/>
        <w:rPr>
          <w:noProof/>
        </w:rPr>
      </w:pPr>
      <w:r>
        <w:rPr>
          <w:noProof/>
        </w:rPr>
        <w:t>Similarly, the use of DGS funds for alternative measures in insolvency becomes subject to the same LCT and further rules governing what types of transfers from the failing bank can be financed by DGS as part of those measures.</w:t>
      </w:r>
    </w:p>
    <w:p w14:paraId="3051F230" w14:textId="497125CD" w:rsidR="00790858" w:rsidRPr="00790858" w:rsidRDefault="00793054" w:rsidP="001B345F">
      <w:pPr>
        <w:pStyle w:val="Bullet0"/>
        <w:rPr>
          <w:noProof/>
        </w:rPr>
      </w:pPr>
      <w:r w:rsidRPr="00793054">
        <w:rPr>
          <w:noProof/>
          <w:lang w:val="en-IE"/>
        </w:rPr>
        <w:t>Institutional protection schemes (IPS) recognised as DGS are required to maintain an ex-ante target level at 0.8% of covered deposits. They are allowed to temporarily transfer funds</w:t>
      </w:r>
      <w:r>
        <w:rPr>
          <w:noProof/>
          <w:lang w:val="en-IE"/>
        </w:rPr>
        <w:t xml:space="preserve"> </w:t>
      </w:r>
      <w:r w:rsidRPr="00793054">
        <w:rPr>
          <w:noProof/>
          <w:lang w:val="en-IE"/>
        </w:rPr>
        <w:t>for the purpose of supporting affiliated institutions’ liquidity and solvency up to a certain limit and subject to safeguards</w:t>
      </w:r>
      <w:r>
        <w:rPr>
          <w:noProof/>
          <w:lang w:val="en-IE"/>
        </w:rPr>
        <w:t xml:space="preserve">. </w:t>
      </w:r>
      <w:r w:rsidRPr="00793054">
        <w:rPr>
          <w:noProof/>
          <w:lang w:val="en-IE"/>
        </w:rPr>
        <w:t>Those funds should be repaid within 7 working days in case of payout or a contribution to the resolution of a credit institution affiliated to such</w:t>
      </w:r>
      <w:r>
        <w:rPr>
          <w:noProof/>
          <w:lang w:val="en-IE"/>
        </w:rPr>
        <w:t xml:space="preserve"> an</w:t>
      </w:r>
      <w:r w:rsidRPr="00793054">
        <w:rPr>
          <w:noProof/>
          <w:lang w:val="en-IE"/>
        </w:rPr>
        <w:t xml:space="preserve"> IPS recognised as DGS</w:t>
      </w:r>
      <w:r>
        <w:rPr>
          <w:noProof/>
          <w:lang w:val="en-IE"/>
        </w:rPr>
        <w:t>.</w:t>
      </w:r>
    </w:p>
    <w:p w14:paraId="52C4EA30" w14:textId="77777777" w:rsidR="00C30257" w:rsidRPr="00090C0A" w:rsidRDefault="00C30257" w:rsidP="001704B9">
      <w:pPr>
        <w:pStyle w:val="ManualHeading1"/>
        <w:rPr>
          <w:noProof/>
        </w:rPr>
      </w:pPr>
      <w:r w:rsidRPr="00090C0A">
        <w:rPr>
          <w:noProof/>
        </w:rPr>
        <w:t>4.</w:t>
      </w:r>
      <w:r w:rsidRPr="00090C0A">
        <w:rPr>
          <w:noProof/>
        </w:rPr>
        <w:tab/>
        <w:t>Conclusion</w:t>
      </w:r>
    </w:p>
    <w:p w14:paraId="12B618C4" w14:textId="77777777" w:rsidR="00C31206" w:rsidRDefault="00A92C7D" w:rsidP="001704B9">
      <w:pPr>
        <w:rPr>
          <w:noProof/>
        </w:rPr>
      </w:pPr>
      <w:r w:rsidRPr="00A92C7D">
        <w:rPr>
          <w:noProof/>
        </w:rPr>
        <w:t>The Commission supports the results of the interinstitutional negotiations and can therefore accept the Council’s position at first reading</w:t>
      </w:r>
      <w:r>
        <w:rPr>
          <w:noProof/>
        </w:rPr>
        <w:t>.</w:t>
      </w:r>
    </w:p>
    <w:p w14:paraId="6759099A" w14:textId="60B82025" w:rsidR="00C30257" w:rsidRPr="00A179B5" w:rsidRDefault="00C30257" w:rsidP="001704B9">
      <w:pPr>
        <w:rPr>
          <w:noProof/>
        </w:rPr>
      </w:pPr>
    </w:p>
    <w:sectPr w:rsidR="00C30257" w:rsidRPr="00A179B5" w:rsidSect="00C017B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5F2CEF" w14:textId="77777777" w:rsidR="00C30257" w:rsidRDefault="00C30257" w:rsidP="00C30257">
      <w:pPr>
        <w:spacing w:before="0" w:after="0"/>
      </w:pPr>
      <w:r>
        <w:separator/>
      </w:r>
    </w:p>
  </w:endnote>
  <w:endnote w:type="continuationSeparator" w:id="0">
    <w:p w14:paraId="2063062E" w14:textId="77777777" w:rsidR="00C30257" w:rsidRDefault="00C30257" w:rsidP="00C3025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30645" w14:textId="744A65F4" w:rsidR="00C017BC" w:rsidRPr="00C017BC" w:rsidRDefault="00C017BC" w:rsidP="00C017BC">
    <w:pPr>
      <w:pStyle w:val="Footer"/>
      <w:rPr>
        <w:rFonts w:ascii="Arial" w:hAnsi="Arial" w:cs="Arial"/>
        <w:b/>
        <w:sz w:val="48"/>
      </w:rPr>
    </w:pPr>
    <w:r w:rsidRPr="00C017BC">
      <w:rPr>
        <w:rFonts w:ascii="Arial" w:hAnsi="Arial" w:cs="Arial"/>
        <w:b/>
        <w:sz w:val="48"/>
      </w:rPr>
      <w:t>EN</w:t>
    </w:r>
    <w:r w:rsidRPr="00C017BC">
      <w:rPr>
        <w:rFonts w:ascii="Arial" w:hAnsi="Arial" w:cs="Arial"/>
        <w:b/>
        <w:sz w:val="48"/>
      </w:rPr>
      <w:tab/>
    </w:r>
    <w:r w:rsidRPr="00C017BC">
      <w:rPr>
        <w:rFonts w:ascii="Arial" w:hAnsi="Arial" w:cs="Arial"/>
        <w:b/>
        <w:sz w:val="48"/>
      </w:rPr>
      <w:tab/>
    </w:r>
    <w:r w:rsidRPr="00C017BC">
      <w:tab/>
    </w:r>
    <w:r w:rsidRPr="00C017B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31402" w14:textId="2FC5B8EB" w:rsidR="00C017BC" w:rsidRPr="00C017BC" w:rsidRDefault="00C017BC" w:rsidP="00C017BC">
    <w:pPr>
      <w:pStyle w:val="Footer"/>
      <w:rPr>
        <w:rFonts w:ascii="Arial" w:hAnsi="Arial" w:cs="Arial"/>
        <w:b/>
        <w:sz w:val="48"/>
      </w:rPr>
    </w:pPr>
    <w:r w:rsidRPr="00C017BC">
      <w:rPr>
        <w:rFonts w:ascii="Arial" w:hAnsi="Arial" w:cs="Arial"/>
        <w:b/>
        <w:sz w:val="48"/>
      </w:rPr>
      <w:t>EN</w:t>
    </w:r>
    <w:r w:rsidRPr="00C017BC">
      <w:rPr>
        <w:rFonts w:ascii="Arial" w:hAnsi="Arial" w:cs="Arial"/>
        <w:b/>
        <w:sz w:val="48"/>
      </w:rPr>
      <w:tab/>
    </w:r>
    <w:r w:rsidRPr="00C017BC">
      <w:rPr>
        <w:rFonts w:ascii="Arial" w:hAnsi="Arial" w:cs="Arial"/>
        <w:b/>
        <w:sz w:val="48"/>
      </w:rPr>
      <w:tab/>
    </w:r>
    <w:r w:rsidRPr="00C017BC">
      <w:tab/>
    </w:r>
    <w:r w:rsidRPr="00C017B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700C1" w14:textId="77777777" w:rsidR="00C017BC" w:rsidRDefault="00C017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C0410" w14:textId="4A06E6F0" w:rsidR="00C017BC" w:rsidRPr="00C017BC" w:rsidRDefault="00C017BC" w:rsidP="00C017BC">
    <w:pPr>
      <w:pStyle w:val="Footer"/>
      <w:rPr>
        <w:rFonts w:ascii="Arial" w:hAnsi="Arial" w:cs="Arial"/>
        <w:b/>
        <w:sz w:val="48"/>
      </w:rPr>
    </w:pPr>
    <w:r w:rsidRPr="00C017BC">
      <w:rPr>
        <w:rFonts w:ascii="Arial" w:hAnsi="Arial" w:cs="Arial"/>
        <w:b/>
        <w:sz w:val="48"/>
      </w:rPr>
      <w:t>EN</w:t>
    </w:r>
    <w:r w:rsidRPr="00C017BC">
      <w:rPr>
        <w:rFonts w:ascii="Arial" w:hAnsi="Arial" w:cs="Arial"/>
        <w:b/>
        <w:sz w:val="48"/>
      </w:rPr>
      <w:tab/>
    </w:r>
    <w:r>
      <w:fldChar w:fldCharType="begin"/>
    </w:r>
    <w:r>
      <w:instrText xml:space="preserve"> PAGE  \* MERGEFORMAT </w:instrText>
    </w:r>
    <w:r>
      <w:fldChar w:fldCharType="separate"/>
    </w:r>
    <w:r w:rsidR="00C31206">
      <w:rPr>
        <w:noProof/>
      </w:rPr>
      <w:t>2</w:t>
    </w:r>
    <w:r>
      <w:fldChar w:fldCharType="end"/>
    </w:r>
    <w:r>
      <w:tab/>
    </w:r>
    <w:r w:rsidRPr="00C017BC">
      <w:tab/>
    </w:r>
    <w:r w:rsidRPr="00C017B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6D357" w14:textId="77777777" w:rsidR="00C017BC" w:rsidRDefault="00C017BC" w:rsidP="00C01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80DF87" w14:textId="77777777" w:rsidR="00C30257" w:rsidRDefault="00C30257" w:rsidP="00C30257">
      <w:pPr>
        <w:spacing w:before="0" w:after="0"/>
      </w:pPr>
      <w:r>
        <w:separator/>
      </w:r>
    </w:p>
  </w:footnote>
  <w:footnote w:type="continuationSeparator" w:id="0">
    <w:p w14:paraId="1C52EFE0" w14:textId="77777777" w:rsidR="00C30257" w:rsidRDefault="00C30257" w:rsidP="00C3025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7980C" w14:textId="77777777" w:rsidR="00C017BC" w:rsidRDefault="00C017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9EC39" w14:textId="77777777" w:rsidR="00C017BC" w:rsidRDefault="00C017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BD292D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594E6D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16CF56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20A51A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96A01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12C6E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4A0A63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E004D3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4 16:21:32"/>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CORRIGENDUM" w:val="&lt;UNUSED&gt;"/>
    <w:docVar w:name="LW_COVERPAGE_EXISTS" w:val="True"/>
    <w:docVar w:name="LW_COVERPAGE_GUID" w:val="B17F91BE-B362-4BBA-A8E4-0E755EFCE2C6"/>
    <w:docVar w:name="LW_COVERPAGE_TYPE" w:val="1"/>
    <w:docVar w:name="LW_CreatedUtc" w:val="2026-01-27T15:46:50.8574932Z"/>
    <w:docVar w:name="LW_CROSSREFERENCE" w:val="&lt;UNUSED&gt;"/>
    <w:docVar w:name="LW_DocType" w:val="COM"/>
    <w:docVar w:name="LW_EMISSION" w:val="6.3.2026"/>
    <w:docVar w:name="LW_EMISSION_ISODATE" w:val="2026-03-06"/>
    <w:docVar w:name="LW_EMISSION_LOCATION" w:val="BRX"/>
    <w:docVar w:name="LW_EMISSION_PREFIX" w:val="Brussels, "/>
    <w:docVar w:name="LW_EMISSION_SUFFIX" w:val=" "/>
    <w:docVar w:name="LW_ID_DOCMODEL" w:val="SJ-028"/>
    <w:docVar w:name="LW_ID_DOCSTRUCTURE" w:val="COM/PL/CODEC"/>
    <w:docVar w:name="LW_ID_DOCTYPE" w:val="SJ-028"/>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15"/>
    <w:docVar w:name="LW_REF.II.NEW.CP_YEAR" w:val="2023"/>
    <w:docVar w:name="LW_REF.INST.NEW" w:val="COM"/>
    <w:docVar w:name="LW_REF.INST.NEW_ADOPTED" w:val="final"/>
    <w:docVar w:name="LW_REF.INST.NEW_TEXT" w:val="(2026) 1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of the Council on the adoption of a directive of the European Parliament and of the Council amending Directive 2014/49/EU as regards the scope of deposit protection, the use of deposit guarantee schemes funds, cross-border cooperation, and transparency"/>
    <w:docVar w:name="LW_TYPE.DOC.CP" w:val="COMMUNICATION FROM THE COMMISSION_x000b_TO THE EUROPEAN PARLIAMENT_x000b__x000b_pursuant to Article 294(6) of the Treaty on the Functioning of the European Union_x000b__x000b_concerning the"/>
    <w:docVar w:name="LwApiVersions" w:val="LW4CoDe 1.24.5.0; LW 9.2, Build 20251112"/>
  </w:docVars>
  <w:rsids>
    <w:rsidRoot w:val="00C30257"/>
    <w:rsid w:val="00025259"/>
    <w:rsid w:val="00037473"/>
    <w:rsid w:val="00042DF1"/>
    <w:rsid w:val="00093ECA"/>
    <w:rsid w:val="001065F5"/>
    <w:rsid w:val="001238EF"/>
    <w:rsid w:val="00197613"/>
    <w:rsid w:val="001A03CA"/>
    <w:rsid w:val="001B345F"/>
    <w:rsid w:val="00233DC7"/>
    <w:rsid w:val="00247779"/>
    <w:rsid w:val="00285BEE"/>
    <w:rsid w:val="00291B01"/>
    <w:rsid w:val="0029533F"/>
    <w:rsid w:val="002B30AF"/>
    <w:rsid w:val="002C2109"/>
    <w:rsid w:val="002C69EA"/>
    <w:rsid w:val="0033344A"/>
    <w:rsid w:val="00336560"/>
    <w:rsid w:val="00403E46"/>
    <w:rsid w:val="004130F8"/>
    <w:rsid w:val="0042648E"/>
    <w:rsid w:val="00455751"/>
    <w:rsid w:val="00477354"/>
    <w:rsid w:val="00487808"/>
    <w:rsid w:val="004936D2"/>
    <w:rsid w:val="004D31EA"/>
    <w:rsid w:val="004E68B1"/>
    <w:rsid w:val="005A1C43"/>
    <w:rsid w:val="005B1EB6"/>
    <w:rsid w:val="005D1F90"/>
    <w:rsid w:val="005E704F"/>
    <w:rsid w:val="0060746B"/>
    <w:rsid w:val="0065363A"/>
    <w:rsid w:val="00667C9E"/>
    <w:rsid w:val="006F2AB7"/>
    <w:rsid w:val="0076493E"/>
    <w:rsid w:val="00773331"/>
    <w:rsid w:val="00790858"/>
    <w:rsid w:val="00793054"/>
    <w:rsid w:val="007932EF"/>
    <w:rsid w:val="007A6946"/>
    <w:rsid w:val="007B5BDF"/>
    <w:rsid w:val="007C2F1C"/>
    <w:rsid w:val="007D04B6"/>
    <w:rsid w:val="007E05B0"/>
    <w:rsid w:val="007E1A34"/>
    <w:rsid w:val="007F2600"/>
    <w:rsid w:val="00863862"/>
    <w:rsid w:val="00867ABC"/>
    <w:rsid w:val="00874D22"/>
    <w:rsid w:val="008825CF"/>
    <w:rsid w:val="008A2914"/>
    <w:rsid w:val="008E4D8E"/>
    <w:rsid w:val="0093482F"/>
    <w:rsid w:val="00972EE5"/>
    <w:rsid w:val="009B1F61"/>
    <w:rsid w:val="009C1731"/>
    <w:rsid w:val="009F5CDB"/>
    <w:rsid w:val="00A565F1"/>
    <w:rsid w:val="00A92C7D"/>
    <w:rsid w:val="00B157ED"/>
    <w:rsid w:val="00B46F72"/>
    <w:rsid w:val="00C017BC"/>
    <w:rsid w:val="00C12301"/>
    <w:rsid w:val="00C30257"/>
    <w:rsid w:val="00C31206"/>
    <w:rsid w:val="00C40A44"/>
    <w:rsid w:val="00C6362A"/>
    <w:rsid w:val="00CB2725"/>
    <w:rsid w:val="00D20381"/>
    <w:rsid w:val="00D30031"/>
    <w:rsid w:val="00D4094D"/>
    <w:rsid w:val="00D647A9"/>
    <w:rsid w:val="00D835AB"/>
    <w:rsid w:val="00DC4506"/>
    <w:rsid w:val="00DD434E"/>
    <w:rsid w:val="00E21CD2"/>
    <w:rsid w:val="00E301C1"/>
    <w:rsid w:val="00E40494"/>
    <w:rsid w:val="00E61FA7"/>
    <w:rsid w:val="00E664ED"/>
    <w:rsid w:val="00E81950"/>
    <w:rsid w:val="00EF20D4"/>
    <w:rsid w:val="00F12307"/>
    <w:rsid w:val="00F524E2"/>
    <w:rsid w:val="00F775E8"/>
    <w:rsid w:val="00FC38F8"/>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ED66C7E"/>
  <w15:docId w15:val="{F273538B-68EC-4972-8370-171A772E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F5CDB"/>
    <w:pPr>
      <w:numPr>
        <w:numId w:val="1"/>
      </w:numPr>
      <w:contextualSpacing/>
    </w:pPr>
  </w:style>
  <w:style w:type="paragraph" w:styleId="ListBullet2">
    <w:name w:val="List Bullet 2"/>
    <w:basedOn w:val="Normal"/>
    <w:uiPriority w:val="99"/>
    <w:semiHidden/>
    <w:unhideWhenUsed/>
    <w:rsid w:val="009F5CDB"/>
    <w:pPr>
      <w:numPr>
        <w:numId w:val="2"/>
      </w:numPr>
      <w:contextualSpacing/>
    </w:pPr>
  </w:style>
  <w:style w:type="paragraph" w:styleId="ListBullet3">
    <w:name w:val="List Bullet 3"/>
    <w:basedOn w:val="Normal"/>
    <w:uiPriority w:val="99"/>
    <w:semiHidden/>
    <w:unhideWhenUsed/>
    <w:rsid w:val="009F5CDB"/>
    <w:pPr>
      <w:numPr>
        <w:numId w:val="3"/>
      </w:numPr>
      <w:contextualSpacing/>
    </w:pPr>
  </w:style>
  <w:style w:type="paragraph" w:styleId="ListBullet4">
    <w:name w:val="List Bullet 4"/>
    <w:basedOn w:val="Normal"/>
    <w:uiPriority w:val="99"/>
    <w:semiHidden/>
    <w:unhideWhenUsed/>
    <w:rsid w:val="009F5CDB"/>
    <w:pPr>
      <w:numPr>
        <w:numId w:val="4"/>
      </w:numPr>
      <w:contextualSpacing/>
    </w:pPr>
  </w:style>
  <w:style w:type="paragraph" w:styleId="ListParagraph">
    <w:name w:val="List Paragraph"/>
    <w:basedOn w:val="Normal"/>
    <w:uiPriority w:val="34"/>
    <w:qFormat/>
    <w:rsid w:val="00A565F1"/>
    <w:pPr>
      <w:ind w:left="720"/>
      <w:contextualSpacing/>
    </w:pPr>
  </w:style>
  <w:style w:type="paragraph" w:styleId="Caption">
    <w:name w:val="caption"/>
    <w:basedOn w:val="Normal"/>
    <w:next w:val="Normal"/>
    <w:uiPriority w:val="35"/>
    <w:semiHidden/>
    <w:unhideWhenUsed/>
    <w:qFormat/>
    <w:rsid w:val="00B46F7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B46F72"/>
    <w:pPr>
      <w:spacing w:after="0"/>
    </w:pPr>
  </w:style>
  <w:style w:type="paragraph" w:styleId="ListNumber">
    <w:name w:val="List Number"/>
    <w:basedOn w:val="Normal"/>
    <w:uiPriority w:val="99"/>
    <w:semiHidden/>
    <w:unhideWhenUsed/>
    <w:rsid w:val="00B46F72"/>
    <w:pPr>
      <w:numPr>
        <w:numId w:val="5"/>
      </w:numPr>
      <w:contextualSpacing/>
    </w:pPr>
  </w:style>
  <w:style w:type="paragraph" w:styleId="ListNumber2">
    <w:name w:val="List Number 2"/>
    <w:basedOn w:val="Normal"/>
    <w:uiPriority w:val="99"/>
    <w:semiHidden/>
    <w:unhideWhenUsed/>
    <w:rsid w:val="00B46F72"/>
    <w:pPr>
      <w:numPr>
        <w:numId w:val="6"/>
      </w:numPr>
      <w:contextualSpacing/>
    </w:pPr>
  </w:style>
  <w:style w:type="paragraph" w:styleId="ListNumber3">
    <w:name w:val="List Number 3"/>
    <w:basedOn w:val="Normal"/>
    <w:uiPriority w:val="99"/>
    <w:semiHidden/>
    <w:unhideWhenUsed/>
    <w:rsid w:val="00B46F72"/>
    <w:pPr>
      <w:numPr>
        <w:numId w:val="7"/>
      </w:numPr>
      <w:contextualSpacing/>
    </w:pPr>
  </w:style>
  <w:style w:type="paragraph" w:styleId="ListNumber4">
    <w:name w:val="List Number 4"/>
    <w:basedOn w:val="Normal"/>
    <w:uiPriority w:val="99"/>
    <w:semiHidden/>
    <w:unhideWhenUsed/>
    <w:rsid w:val="00B46F72"/>
    <w:pPr>
      <w:numPr>
        <w:numId w:val="8"/>
      </w:numPr>
      <w:contextualSpacing/>
    </w:pPr>
  </w:style>
  <w:style w:type="character" w:styleId="Hyperlink">
    <w:name w:val="Hyperlink"/>
    <w:basedOn w:val="DefaultParagraphFont"/>
    <w:uiPriority w:val="99"/>
    <w:unhideWhenUsed/>
    <w:rsid w:val="00667C9E"/>
    <w:rPr>
      <w:color w:val="0000FF" w:themeColor="hyperlink"/>
      <w:u w:val="single"/>
    </w:rPr>
  </w:style>
  <w:style w:type="character" w:styleId="CommentReference">
    <w:name w:val="annotation reference"/>
    <w:basedOn w:val="DefaultParagraphFont"/>
    <w:uiPriority w:val="99"/>
    <w:semiHidden/>
    <w:unhideWhenUsed/>
    <w:rsid w:val="00667C9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42DF1"/>
    <w:rPr>
      <w:b/>
      <w:bCs/>
    </w:rPr>
  </w:style>
  <w:style w:type="character" w:customStyle="1" w:styleId="CommentSubjectChar">
    <w:name w:val="Comment Subject Char"/>
    <w:basedOn w:val="CommentTextChar"/>
    <w:link w:val="CommentSubject"/>
    <w:uiPriority w:val="99"/>
    <w:semiHidden/>
    <w:rsid w:val="00042DF1"/>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042DF1"/>
    <w:rPr>
      <w:color w:val="605E5C"/>
      <w:shd w:val="clear" w:color="auto" w:fill="E1DFDD"/>
    </w:rPr>
  </w:style>
  <w:style w:type="character" w:customStyle="1" w:styleId="HeaderChar">
    <w:name w:val="Header Char"/>
    <w:basedOn w:val="DefaultParagraphFont"/>
    <w:link w:val="Header"/>
    <w:uiPriority w:val="99"/>
    <w:rsid w:val="00C017BC"/>
    <w:rPr>
      <w:rFonts w:ascii="Times New Roman" w:hAnsi="Times New Roman" w:cs="Times New Roman"/>
      <w:sz w:val="24"/>
      <w:lang w:val="en-GB"/>
    </w:rPr>
  </w:style>
  <w:style w:type="character" w:customStyle="1" w:styleId="FooterChar">
    <w:name w:val="Footer Char"/>
    <w:basedOn w:val="DefaultParagraphFont"/>
    <w:link w:val="Footer"/>
    <w:uiPriority w:val="99"/>
    <w:rsid w:val="00C017B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017B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017BC"/>
    <w:pPr>
      <w:spacing w:before="0"/>
      <w:jc w:val="right"/>
    </w:pPr>
    <w:rPr>
      <w:sz w:val="28"/>
    </w:rPr>
  </w:style>
  <w:style w:type="paragraph" w:customStyle="1" w:styleId="FooterSensitivity">
    <w:name w:val="Footer Sensitivity"/>
    <w:basedOn w:val="Normal"/>
    <w:rsid w:val="00C017B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017BC"/>
    <w:pPr>
      <w:tabs>
        <w:tab w:val="center" w:pos="4535"/>
        <w:tab w:val="right" w:pos="9071"/>
      </w:tabs>
      <w:spacing w:before="0"/>
    </w:pPr>
  </w:style>
  <w:style w:type="paragraph" w:customStyle="1" w:styleId="HeaderLandscape">
    <w:name w:val="HeaderLandscape"/>
    <w:basedOn w:val="Normal"/>
    <w:rsid w:val="00C017BC"/>
    <w:pPr>
      <w:tabs>
        <w:tab w:val="center" w:pos="7285"/>
        <w:tab w:val="right" w:pos="14003"/>
      </w:tabs>
      <w:spacing w:before="0"/>
    </w:pPr>
  </w:style>
  <w:style w:type="paragraph" w:styleId="Footer">
    <w:name w:val="footer"/>
    <w:basedOn w:val="Normal"/>
    <w:link w:val="FooterChar"/>
    <w:uiPriority w:val="99"/>
    <w:unhideWhenUsed/>
    <w:rsid w:val="00C017B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017B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9637e9-1c11-4ee9-91b8-f060e3608fb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ateandtime xmlns="9a9637e9-1c11-4ee9-91b8-f060e3608fb2" xsi:nil="true"/>
    <Docstatus xmlns="9a9637e9-1c11-4ee9-91b8-f060e3608fb2" xsi:nil="true"/>
    <_Flow_SignoffStatus xmlns="9a9637e9-1c11-4ee9-91b8-f060e3608fb2" xsi:nil="true"/>
    <TaxCatchAll xmlns="4af8c89d-4332-4d32-84a3-abf4120a800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15" ma:contentTypeDescription="Create a new document." ma:contentTypeScope="" ma:versionID="905ffd3218702aec8470642c758b8ec0">
  <xsd:schema xmlns:xsd="http://www.w3.org/2001/XMLSchema" xmlns:xs="http://www.w3.org/2001/XMLSchema" xmlns:p="http://schemas.microsoft.com/office/2006/metadata/properties" xmlns:ns2="9a9637e9-1c11-4ee9-91b8-f060e3608fb2" xmlns:ns3="4af8c89d-4332-4d32-84a3-abf4120a8008" targetNamespace="http://schemas.microsoft.com/office/2006/metadata/properties" ma:root="true" ma:fieldsID="928f83e650fb23223a23e4dac499116d" ns2:_="" ns3:_="">
    <xsd:import namespace="9a9637e9-1c11-4ee9-91b8-f060e3608fb2"/>
    <xsd:import namespace="4af8c89d-4332-4d32-84a3-abf4120a8008"/>
    <xsd:element name="properties">
      <xsd:complexType>
        <xsd:sequence>
          <xsd:element name="documentManagement">
            <xsd:complexType>
              <xsd:all>
                <xsd:element ref="ns2:Docstatus"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Dateandtime" minOccurs="0"/>
                <xsd:element ref="ns2:MediaServiceSearchProperties" minOccurs="0"/>
                <xsd:element ref="ns2:_Flow_SignoffStatu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Docstatus" ma:index="8" nillable="true" ma:displayName="Doc status" ma:format="Dropdown" ma:indexed="true" ma:internalName="Docstatus">
      <xsd:simpleType>
        <xsd:restriction base="dms:Choice">
          <xsd:enumeration value="Draft"/>
          <xsd:enumeration value="Final"/>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Dateandtime" ma:index="14" nillable="true" ma:displayName="Date and time" ma:format="DateTime" ma:internalName="Dateandtime">
      <xsd:simpleType>
        <xsd:restriction base="dms:DateTim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_Flow_SignoffStatus" ma:index="16" nillable="true" ma:displayName="Sign-off status" ma:internalName="Sign_x002d_off_x0020_status">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2fb10d-7e3e-4655-ba20-a1b338523f72}"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7C9F8-8FDB-4483-AAFF-A1F9696AFCC1}">
  <ds:schemaRefs>
    <ds:schemaRef ds:uri="http://schemas.microsoft.com/sharepoint/v3/contenttype/forms"/>
  </ds:schemaRefs>
</ds:datastoreItem>
</file>

<file path=customXml/itemProps2.xml><?xml version="1.0" encoding="utf-8"?>
<ds:datastoreItem xmlns:ds="http://schemas.openxmlformats.org/officeDocument/2006/customXml" ds:itemID="{A0639EC7-B83B-4BC7-B6D6-0D99B8568480}">
  <ds:schemaRefs>
    <ds:schemaRef ds:uri="http://schemas.microsoft.com/office/2006/metadata/properties"/>
    <ds:schemaRef ds:uri="http://schemas.microsoft.com/office/infopath/2007/PartnerControls"/>
    <ds:schemaRef ds:uri="9a9637e9-1c11-4ee9-91b8-f060e3608fb2"/>
    <ds:schemaRef ds:uri="4af8c89d-4332-4d32-84a3-abf4120a8008"/>
  </ds:schemaRefs>
</ds:datastoreItem>
</file>

<file path=customXml/itemProps3.xml><?xml version="1.0" encoding="utf-8"?>
<ds:datastoreItem xmlns:ds="http://schemas.openxmlformats.org/officeDocument/2006/customXml" ds:itemID="{56D4B4C6-BE83-42B8-AB7F-D9EEC997B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637e9-1c11-4ee9-91b8-f060e3608fb2"/>
    <ds:schemaRef ds:uri="4af8c89d-4332-4d32-84a3-abf4120a8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166E91-EE0C-4893-ABB8-E2B22B799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78</TotalTime>
  <Pages>3</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dcterms:created xsi:type="dcterms:W3CDTF">2026-02-09T11:02:00Z</dcterms:created>
  <dcterms:modified xsi:type="dcterms:W3CDTF">2026-03-04T15:21:00Z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2026-01-27T15:47:36Z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9d55ec9c-e51e-4e32-a18a-207774231536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0x0101007697B7BFF882854783B2AFEB81A9CCE9</vt:lpwstr>
  </property>
  <property fmtid="{D5CDD505-2E9C-101B-9397-08002B2CF9AE}" pid="19" name="DQCStatus">
    <vt:lpwstr>Green (DQC version 03)</vt:lpwstr>
  </property>
</Properties>
</file>