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C46" w:rsidRPr="008356C6" w:rsidRDefault="00271252" w:rsidP="0027125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39CAEF-B35A-4F5B-B877-FAAD98F15C78" style="width:455.25pt;height:496.5pt">
            <v:imagedata r:id="rId11" o:title=""/>
          </v:shape>
        </w:pict>
      </w:r>
    </w:p>
    <w:p w:rsidR="00545874" w:rsidRPr="008356C6" w:rsidRDefault="00545874" w:rsidP="00545874">
      <w:pPr>
        <w:rPr>
          <w:noProof/>
        </w:rPr>
        <w:sectPr w:rsidR="00545874" w:rsidRPr="008356C6" w:rsidSect="00271252">
          <w:footerReference w:type="even" r:id="rId12"/>
          <w:footerReference w:type="default" r:id="rId13"/>
          <w:pgSz w:w="11907" w:h="16839"/>
          <w:pgMar w:top="1134" w:right="1417" w:bottom="1134" w:left="1417" w:header="709" w:footer="709" w:gutter="0"/>
          <w:pgNumType w:start="0"/>
          <w:cols w:space="720"/>
          <w:docGrid w:linePitch="360"/>
        </w:sectPr>
      </w:pPr>
    </w:p>
    <w:p w:rsidR="00996C46" w:rsidRPr="008356C6" w:rsidRDefault="00996C46" w:rsidP="00991DDA">
      <w:pPr>
        <w:pStyle w:val="Exposdesmotifstitre"/>
        <w:rPr>
          <w:noProof/>
        </w:rPr>
      </w:pPr>
      <w:bookmarkStart w:id="0" w:name="_GoBack"/>
      <w:bookmarkEnd w:id="0"/>
      <w:r w:rsidRPr="008356C6">
        <w:rPr>
          <w:noProof/>
        </w:rPr>
        <w:lastRenderedPageBreak/>
        <w:t>EXPUNERE DE MOTIVE</w:t>
      </w:r>
    </w:p>
    <w:p w:rsidR="00996C46" w:rsidRPr="008356C6" w:rsidRDefault="00996C46" w:rsidP="00D72603">
      <w:pPr>
        <w:pStyle w:val="ManualHeading1"/>
        <w:spacing w:before="120"/>
        <w:rPr>
          <w:rFonts w:eastAsia="Arial Unicode MS"/>
          <w:noProof/>
        </w:rPr>
      </w:pPr>
      <w:r>
        <w:rPr>
          <w:noProof/>
        </w:rPr>
        <w:t>1.</w:t>
      </w:r>
      <w:r>
        <w:rPr>
          <w:noProof/>
        </w:rPr>
        <w:tab/>
      </w:r>
      <w:r w:rsidRPr="008356C6">
        <w:rPr>
          <w:noProof/>
        </w:rPr>
        <w:t>Obiectul propunerii</w:t>
      </w:r>
    </w:p>
    <w:p w:rsidR="0046361F" w:rsidRPr="008356C6" w:rsidRDefault="0046361F" w:rsidP="004A38D8">
      <w:pPr>
        <w:rPr>
          <w:rFonts w:eastAsia="Arial Unicode MS"/>
          <w:noProof/>
        </w:rPr>
      </w:pPr>
      <w:r w:rsidRPr="008356C6">
        <w:rPr>
          <w:noProof/>
        </w:rPr>
        <w:t xml:space="preserve">Prezenta propunere se referă la decizia de stabilire a poziției care trebuie adoptată în numele Uniunii </w:t>
      </w:r>
      <w:bookmarkStart w:id="1" w:name="_Hlk220302519"/>
      <w:r w:rsidRPr="008356C6">
        <w:rPr>
          <w:noProof/>
        </w:rPr>
        <w:t xml:space="preserve">cu ocazia celei de a </w:t>
      </w:r>
      <w:r w:rsidRPr="00DC27B2">
        <w:rPr>
          <w:noProof/>
        </w:rPr>
        <w:t>84</w:t>
      </w:r>
      <w:r w:rsidRPr="008356C6">
        <w:rPr>
          <w:noProof/>
        </w:rPr>
        <w:t xml:space="preserve">-a sesiuni a Comitetului pentru protecția mediului marin al Organizației Maritime Internaționale (MEPC </w:t>
      </w:r>
      <w:r w:rsidRPr="00DC27B2">
        <w:rPr>
          <w:noProof/>
        </w:rPr>
        <w:t>84</w:t>
      </w:r>
      <w:r w:rsidRPr="008356C6">
        <w:rPr>
          <w:noProof/>
        </w:rPr>
        <w:t xml:space="preserve">), programată să se desfășoare în perioada </w:t>
      </w:r>
      <w:r w:rsidRPr="00DC27B2">
        <w:rPr>
          <w:noProof/>
        </w:rPr>
        <w:t>27</w:t>
      </w:r>
      <w:r w:rsidRPr="008356C6">
        <w:rPr>
          <w:noProof/>
        </w:rPr>
        <w:t xml:space="preserve"> aprilie </w:t>
      </w:r>
      <w:r w:rsidR="008356C6" w:rsidRPr="008356C6">
        <w:rPr>
          <w:noProof/>
        </w:rPr>
        <w:t>–</w:t>
      </w:r>
      <w:r w:rsidRPr="008356C6">
        <w:rPr>
          <w:noProof/>
        </w:rPr>
        <w:t xml:space="preserve"> </w:t>
      </w:r>
      <w:r w:rsidRPr="00DC27B2">
        <w:rPr>
          <w:noProof/>
        </w:rPr>
        <w:t>1</w:t>
      </w:r>
      <w:r w:rsidRPr="008356C6">
        <w:rPr>
          <w:noProof/>
        </w:rPr>
        <w:t xml:space="preserve"> mai </w:t>
      </w:r>
      <w:r w:rsidRPr="00DC27B2">
        <w:rPr>
          <w:noProof/>
        </w:rPr>
        <w:t>2026</w:t>
      </w:r>
      <w:r w:rsidRPr="008356C6">
        <w:rPr>
          <w:noProof/>
        </w:rPr>
        <w:t xml:space="preserve">, și cu ocazia celei de a </w:t>
      </w:r>
      <w:r w:rsidRPr="00DC27B2">
        <w:rPr>
          <w:noProof/>
        </w:rPr>
        <w:t>111</w:t>
      </w:r>
      <w:r w:rsidRPr="008356C6">
        <w:rPr>
          <w:noProof/>
        </w:rPr>
        <w:t xml:space="preserve">-a sesiuni a Comitetului pentru siguranță maritimă al Organizației Maritime Internaționale (MSC </w:t>
      </w:r>
      <w:r w:rsidRPr="00DC27B2">
        <w:rPr>
          <w:noProof/>
        </w:rPr>
        <w:t>111</w:t>
      </w:r>
      <w:r w:rsidRPr="008356C6">
        <w:rPr>
          <w:noProof/>
        </w:rPr>
        <w:t xml:space="preserve">), programată să se desfășoare în perioada </w:t>
      </w:r>
      <w:r w:rsidRPr="00DC27B2">
        <w:rPr>
          <w:noProof/>
        </w:rPr>
        <w:t>13</w:t>
      </w:r>
      <w:r w:rsidRPr="008356C6">
        <w:rPr>
          <w:noProof/>
        </w:rPr>
        <w:t>-</w:t>
      </w:r>
      <w:r w:rsidRPr="00DC27B2">
        <w:rPr>
          <w:noProof/>
        </w:rPr>
        <w:t>22</w:t>
      </w:r>
      <w:r w:rsidRPr="008356C6">
        <w:rPr>
          <w:noProof/>
        </w:rPr>
        <w:t xml:space="preserve"> mai </w:t>
      </w:r>
      <w:r w:rsidRPr="00DC27B2">
        <w:rPr>
          <w:noProof/>
        </w:rPr>
        <w:t>2026</w:t>
      </w:r>
      <w:r w:rsidRPr="008356C6">
        <w:rPr>
          <w:noProof/>
        </w:rPr>
        <w:t xml:space="preserve">. </w:t>
      </w:r>
    </w:p>
    <w:p w:rsidR="00A263BE" w:rsidRPr="008356C6" w:rsidRDefault="00F86F16" w:rsidP="005A1939">
      <w:pPr>
        <w:pStyle w:val="Point0"/>
        <w:ind w:left="0" w:firstLine="0"/>
        <w:rPr>
          <w:rFonts w:eastAsia="Arial Unicode MS"/>
          <w:noProof/>
        </w:rPr>
      </w:pPr>
      <w:bookmarkStart w:id="2" w:name="_Hlk220302721"/>
      <w:bookmarkEnd w:id="1"/>
      <w:r w:rsidRPr="008356C6">
        <w:rPr>
          <w:noProof/>
        </w:rPr>
        <w:t xml:space="preserve">În cursul celei de a </w:t>
      </w:r>
      <w:r w:rsidRPr="00DC27B2">
        <w:rPr>
          <w:noProof/>
        </w:rPr>
        <w:t>84</w:t>
      </w:r>
      <w:r w:rsidRPr="008356C6">
        <w:rPr>
          <w:noProof/>
        </w:rPr>
        <w:t xml:space="preserve">-a sesiuni, MEPC urmează să adopte amendamente la </w:t>
      </w:r>
      <w:bookmarkStart w:id="3" w:name="_Hlk145513820"/>
      <w:bookmarkStart w:id="4" w:name="_Hlk149654301"/>
      <w:bookmarkStart w:id="5" w:name="_Hlk193728885"/>
      <w:r w:rsidRPr="008356C6">
        <w:rPr>
          <w:noProof/>
        </w:rPr>
        <w:t>anexa VI la Convenția internațională pentru prevenirea poluării de către nave (MARPOL).</w:t>
      </w:r>
    </w:p>
    <w:p w:rsidR="00603BAC" w:rsidRPr="008356C6" w:rsidRDefault="00603BAC" w:rsidP="005A1939">
      <w:pPr>
        <w:pStyle w:val="Point0"/>
        <w:ind w:left="0" w:firstLine="0"/>
        <w:rPr>
          <w:noProof/>
        </w:rPr>
      </w:pPr>
      <w:r w:rsidRPr="008356C6">
        <w:rPr>
          <w:noProof/>
        </w:rPr>
        <w:t xml:space="preserve">În cursul celei de a </w:t>
      </w:r>
      <w:r w:rsidRPr="00DC27B2">
        <w:rPr>
          <w:noProof/>
        </w:rPr>
        <w:t>111</w:t>
      </w:r>
      <w:r w:rsidRPr="008356C6">
        <w:rPr>
          <w:noProof/>
        </w:rPr>
        <w:t>-a sesiuni, MSC urmează să adopte amendamente la:</w:t>
      </w:r>
    </w:p>
    <w:p w:rsidR="00603BAC" w:rsidRPr="008356C6" w:rsidRDefault="00603BAC" w:rsidP="00EF7C8A">
      <w:pPr>
        <w:pStyle w:val="Point0"/>
        <w:rPr>
          <w:noProof/>
        </w:rPr>
      </w:pPr>
      <w:r>
        <w:rPr>
          <w:noProof/>
        </w:rPr>
        <w:t>(a)</w:t>
      </w:r>
      <w:r>
        <w:rPr>
          <w:noProof/>
        </w:rPr>
        <w:tab/>
      </w:r>
      <w:r w:rsidRPr="008356C6">
        <w:rPr>
          <w:noProof/>
        </w:rPr>
        <w:t xml:space="preserve">capitolele IV și V și apendicele (Certificate) la Convenția internațională pentru ocrotirea vieții omenești pe mare (SOLAS) din </w:t>
      </w:r>
      <w:r w:rsidRPr="00DC27B2">
        <w:rPr>
          <w:noProof/>
        </w:rPr>
        <w:t>1974</w:t>
      </w:r>
      <w:r w:rsidRPr="008356C6">
        <w:rPr>
          <w:noProof/>
        </w:rPr>
        <w:t xml:space="preserve">, </w:t>
      </w:r>
    </w:p>
    <w:p w:rsidR="00603BAC" w:rsidRPr="008356C6" w:rsidRDefault="00603BAC" w:rsidP="004179EA">
      <w:pPr>
        <w:pStyle w:val="Point0"/>
        <w:rPr>
          <w:noProof/>
        </w:rPr>
      </w:pPr>
      <w:r>
        <w:rPr>
          <w:noProof/>
        </w:rPr>
        <w:t>(b)</w:t>
      </w:r>
      <w:r>
        <w:rPr>
          <w:noProof/>
        </w:rPr>
        <w:tab/>
      </w:r>
      <w:r w:rsidRPr="008356C6">
        <w:rPr>
          <w:noProof/>
        </w:rPr>
        <w:t xml:space="preserve">Codul internațional din </w:t>
      </w:r>
      <w:r w:rsidRPr="00DC27B2">
        <w:rPr>
          <w:noProof/>
        </w:rPr>
        <w:t>1994</w:t>
      </w:r>
      <w:r w:rsidRPr="008356C6">
        <w:rPr>
          <w:noProof/>
        </w:rPr>
        <w:t xml:space="preserve"> privind siguranța ambarcațiunilor de mare viteză (Codul HSC din </w:t>
      </w:r>
      <w:r w:rsidRPr="00DC27B2">
        <w:rPr>
          <w:noProof/>
        </w:rPr>
        <w:t>1994</w:t>
      </w:r>
      <w:r w:rsidRPr="008356C6">
        <w:rPr>
          <w:noProof/>
        </w:rPr>
        <w:t xml:space="preserve">), </w:t>
      </w:r>
    </w:p>
    <w:p w:rsidR="00603BAC" w:rsidRPr="008356C6" w:rsidRDefault="00603BAC" w:rsidP="004179EA">
      <w:pPr>
        <w:pStyle w:val="Point0"/>
        <w:rPr>
          <w:noProof/>
        </w:rPr>
      </w:pPr>
      <w:r>
        <w:rPr>
          <w:noProof/>
        </w:rPr>
        <w:t>(c)</w:t>
      </w:r>
      <w:r>
        <w:rPr>
          <w:noProof/>
        </w:rPr>
        <w:tab/>
      </w:r>
      <w:r w:rsidRPr="008356C6">
        <w:rPr>
          <w:noProof/>
        </w:rPr>
        <w:t xml:space="preserve">Codul internațional din </w:t>
      </w:r>
      <w:r w:rsidRPr="00DC27B2">
        <w:rPr>
          <w:noProof/>
        </w:rPr>
        <w:t>2000</w:t>
      </w:r>
      <w:r w:rsidRPr="008356C6">
        <w:rPr>
          <w:noProof/>
        </w:rPr>
        <w:t xml:space="preserve"> privind siguranța ambarcațiunilor de mare viteză (Codul HSC din </w:t>
      </w:r>
      <w:r w:rsidRPr="00DC27B2">
        <w:rPr>
          <w:noProof/>
        </w:rPr>
        <w:t>2000</w:t>
      </w:r>
      <w:r w:rsidRPr="008356C6">
        <w:rPr>
          <w:noProof/>
        </w:rPr>
        <w:t xml:space="preserve">), </w:t>
      </w:r>
    </w:p>
    <w:p w:rsidR="00702CF4" w:rsidRPr="008356C6" w:rsidRDefault="00702CF4" w:rsidP="004179EA">
      <w:pPr>
        <w:pStyle w:val="Point0"/>
        <w:rPr>
          <w:noProof/>
        </w:rPr>
      </w:pPr>
      <w:r>
        <w:rPr>
          <w:noProof/>
        </w:rPr>
        <w:t>(d)</w:t>
      </w:r>
      <w:r>
        <w:rPr>
          <w:noProof/>
        </w:rPr>
        <w:tab/>
      </w:r>
      <w:r w:rsidRPr="008356C6">
        <w:rPr>
          <w:noProof/>
        </w:rPr>
        <w:t xml:space="preserve">Codul internațional din </w:t>
      </w:r>
      <w:r w:rsidRPr="00DC27B2">
        <w:rPr>
          <w:noProof/>
        </w:rPr>
        <w:t>2011</w:t>
      </w:r>
      <w:r w:rsidRPr="008356C6">
        <w:rPr>
          <w:noProof/>
        </w:rPr>
        <w:t xml:space="preserve"> privind programul intensificat de inspecții efectuate cu ocazia inspecțiilor la vrachiere și petroliere (Codul ESP </w:t>
      </w:r>
      <w:r w:rsidRPr="00DC27B2">
        <w:rPr>
          <w:noProof/>
        </w:rPr>
        <w:t>2011</w:t>
      </w:r>
      <w:r w:rsidRPr="008356C6">
        <w:rPr>
          <w:noProof/>
        </w:rPr>
        <w:t xml:space="preserve">), </w:t>
      </w:r>
    </w:p>
    <w:p w:rsidR="00603BAC" w:rsidRPr="008356C6" w:rsidRDefault="00603BAC" w:rsidP="004179EA">
      <w:pPr>
        <w:pStyle w:val="Point0"/>
        <w:rPr>
          <w:noProof/>
        </w:rPr>
      </w:pPr>
      <w:r>
        <w:rPr>
          <w:noProof/>
        </w:rPr>
        <w:t>(e)</w:t>
      </w:r>
      <w:r>
        <w:rPr>
          <w:noProof/>
        </w:rPr>
        <w:tab/>
      </w:r>
      <w:r w:rsidRPr="008356C6">
        <w:rPr>
          <w:noProof/>
        </w:rPr>
        <w:t xml:space="preserve">Codul internațional al mijloacelor de salvare (Codul LSA), </w:t>
      </w:r>
    </w:p>
    <w:p w:rsidR="00603BAC" w:rsidRPr="008356C6" w:rsidRDefault="00603BAC" w:rsidP="004179EA">
      <w:pPr>
        <w:pStyle w:val="Point0"/>
        <w:rPr>
          <w:noProof/>
        </w:rPr>
      </w:pPr>
      <w:r>
        <w:rPr>
          <w:noProof/>
        </w:rPr>
        <w:t>(f)</w:t>
      </w:r>
      <w:r>
        <w:rPr>
          <w:noProof/>
        </w:rPr>
        <w:tab/>
      </w:r>
      <w:r w:rsidRPr="008356C6">
        <w:rPr>
          <w:noProof/>
        </w:rPr>
        <w:t xml:space="preserve">Anexa B la Protocolul din </w:t>
      </w:r>
      <w:r w:rsidRPr="00DC27B2">
        <w:rPr>
          <w:noProof/>
        </w:rPr>
        <w:t>1988</w:t>
      </w:r>
      <w:r w:rsidRPr="008356C6">
        <w:rPr>
          <w:noProof/>
        </w:rPr>
        <w:t xml:space="preserve"> referitor la Convenția internațională din </w:t>
      </w:r>
      <w:r w:rsidRPr="00DC27B2">
        <w:rPr>
          <w:noProof/>
        </w:rPr>
        <w:t>1966</w:t>
      </w:r>
      <w:r w:rsidRPr="008356C6">
        <w:rPr>
          <w:noProof/>
        </w:rPr>
        <w:t xml:space="preserve"> asupra liniilor de încărcare (Protocolul din </w:t>
      </w:r>
      <w:r w:rsidRPr="00DC27B2">
        <w:rPr>
          <w:noProof/>
        </w:rPr>
        <w:t>1988</w:t>
      </w:r>
      <w:r w:rsidRPr="008356C6">
        <w:rPr>
          <w:noProof/>
        </w:rPr>
        <w:t xml:space="preserve"> privind liniile de încărcare).</w:t>
      </w:r>
    </w:p>
    <w:bookmarkEnd w:id="2"/>
    <w:bookmarkEnd w:id="3"/>
    <w:bookmarkEnd w:id="4"/>
    <w:bookmarkEnd w:id="5"/>
    <w:p w:rsidR="00996C46" w:rsidRPr="008356C6" w:rsidRDefault="00996C46" w:rsidP="004A38D8">
      <w:pPr>
        <w:pStyle w:val="ManualHeading1"/>
        <w:spacing w:before="120"/>
        <w:rPr>
          <w:noProof/>
        </w:rPr>
      </w:pPr>
      <w:r>
        <w:rPr>
          <w:noProof/>
        </w:rPr>
        <w:t>2.</w:t>
      </w:r>
      <w:r>
        <w:rPr>
          <w:noProof/>
        </w:rPr>
        <w:tab/>
      </w:r>
      <w:r w:rsidRPr="008356C6">
        <w:rPr>
          <w:noProof/>
        </w:rPr>
        <w:t>Contextul propunerii</w:t>
      </w:r>
    </w:p>
    <w:p w:rsidR="00996C46" w:rsidRPr="008356C6" w:rsidRDefault="00996C46" w:rsidP="004A38D8">
      <w:pPr>
        <w:pStyle w:val="ManualHeading2"/>
        <w:rPr>
          <w:noProof/>
        </w:rPr>
      </w:pPr>
      <w:r>
        <w:rPr>
          <w:noProof/>
        </w:rPr>
        <w:t>2.1.</w:t>
      </w:r>
      <w:r>
        <w:rPr>
          <w:noProof/>
        </w:rPr>
        <w:tab/>
      </w:r>
      <w:r w:rsidRPr="008356C6">
        <w:rPr>
          <w:noProof/>
        </w:rPr>
        <w:t>Convenția privind Organizația Maritimă Internațională, Convenția MARPOL și Convenția SOLAS</w:t>
      </w:r>
    </w:p>
    <w:p w:rsidR="00B10E8B" w:rsidRPr="008356C6" w:rsidRDefault="00B10E8B" w:rsidP="004A38D8">
      <w:pPr>
        <w:rPr>
          <w:rFonts w:eastAsia="Arial Unicode MS"/>
          <w:noProof/>
        </w:rPr>
      </w:pPr>
      <w:r w:rsidRPr="008356C6">
        <w:rPr>
          <w:noProof/>
        </w:rPr>
        <w:t>Convenția privind Organizația Maritimă Internațională (OMI) instituie OMI. Scopul OMI este de a pune la dispoziție un forum de cooperare în domeniul reglementării și al practicilor privind chestiunile tehnice de orice natură care au legătură cu transportul maritim din cadrul comerțului internațional. De asemenea, OMI urmărește să încurajeze adoptarea generală a celor mai înalte standarde posibile în materie de siguranță maritimă, de eficiență a navigației și de prevenire și control al poluării marine cauzate de nave, promovând condiții de concurență echitabile. Totodată, organizația abordează aspecte administrative și juridice conexe.</w:t>
      </w:r>
    </w:p>
    <w:p w:rsidR="00B10E8B" w:rsidRPr="008356C6" w:rsidRDefault="00B10E8B" w:rsidP="004A38D8">
      <w:pPr>
        <w:rPr>
          <w:rFonts w:eastAsia="Arial Unicode MS"/>
          <w:noProof/>
        </w:rPr>
      </w:pPr>
      <w:r w:rsidRPr="008356C6">
        <w:rPr>
          <w:noProof/>
        </w:rPr>
        <w:t xml:space="preserve">Convenția a intrat în vigoare la </w:t>
      </w:r>
      <w:r w:rsidRPr="00DC27B2">
        <w:rPr>
          <w:noProof/>
        </w:rPr>
        <w:t>17</w:t>
      </w:r>
      <w:r w:rsidRPr="008356C6">
        <w:rPr>
          <w:noProof/>
        </w:rPr>
        <w:t xml:space="preserve"> martie </w:t>
      </w:r>
      <w:r w:rsidRPr="00DC27B2">
        <w:rPr>
          <w:noProof/>
        </w:rPr>
        <w:t>1958</w:t>
      </w:r>
      <w:r w:rsidRPr="008356C6">
        <w:rPr>
          <w:noProof/>
        </w:rPr>
        <w:t>.</w:t>
      </w:r>
    </w:p>
    <w:p w:rsidR="00B10E8B" w:rsidRPr="008356C6" w:rsidRDefault="00B10E8B" w:rsidP="004A38D8">
      <w:pPr>
        <w:rPr>
          <w:rFonts w:eastAsia="Arial Unicode MS"/>
          <w:noProof/>
        </w:rPr>
      </w:pPr>
      <w:r w:rsidRPr="008356C6">
        <w:rPr>
          <w:noProof/>
        </w:rPr>
        <w:t>Toate statele membre sunt părți la convenție. Uniunea nu este parte la convenție.</w:t>
      </w:r>
    </w:p>
    <w:p w:rsidR="00923A0D" w:rsidRPr="008356C6" w:rsidRDefault="00923A0D" w:rsidP="00923A0D">
      <w:pPr>
        <w:rPr>
          <w:rFonts w:eastAsia="Arial Unicode MS"/>
          <w:noProof/>
        </w:rPr>
      </w:pPr>
      <w:r w:rsidRPr="008356C6">
        <w:rPr>
          <w:noProof/>
        </w:rPr>
        <w:t xml:space="preserve">Convenția internațională pentru prevenirea poluării de către nave (Convenția MARPOL), încheiată în </w:t>
      </w:r>
      <w:r w:rsidRPr="00DC27B2">
        <w:rPr>
          <w:noProof/>
        </w:rPr>
        <w:t>1973</w:t>
      </w:r>
      <w:r w:rsidRPr="008356C6">
        <w:rPr>
          <w:noProof/>
        </w:rPr>
        <w:t xml:space="preserve">, este o convenție a OMI care a intrat în vigoare la </w:t>
      </w:r>
      <w:r w:rsidRPr="00DC27B2">
        <w:rPr>
          <w:noProof/>
        </w:rPr>
        <w:t>2</w:t>
      </w:r>
      <w:r w:rsidRPr="008356C6">
        <w:rPr>
          <w:noProof/>
        </w:rPr>
        <w:t xml:space="preserve"> octombrie </w:t>
      </w:r>
      <w:r w:rsidRPr="00DC27B2">
        <w:rPr>
          <w:noProof/>
        </w:rPr>
        <w:t>1983</w:t>
      </w:r>
      <w:r w:rsidRPr="008356C6">
        <w:rPr>
          <w:noProof/>
        </w:rPr>
        <w:t xml:space="preserve">. Toate statele membre sunt părți la MARPOL, iar </w:t>
      </w:r>
      <w:r w:rsidRPr="00DC27B2">
        <w:rPr>
          <w:noProof/>
        </w:rPr>
        <w:t>25</w:t>
      </w:r>
      <w:r w:rsidRPr="008356C6">
        <w:rPr>
          <w:noProof/>
        </w:rPr>
        <w:t xml:space="preserve"> de state membre sunt de asemenea părți la anexa VI</w:t>
      </w:r>
      <w:r w:rsidRPr="008356C6">
        <w:rPr>
          <w:rStyle w:val="FootnoteReference"/>
          <w:noProof/>
        </w:rPr>
        <w:footnoteReference w:id="2"/>
      </w:r>
      <w:r w:rsidRPr="008356C6">
        <w:rPr>
          <w:noProof/>
        </w:rPr>
        <w:t xml:space="preserve">, care a intrat în vigoare la </w:t>
      </w:r>
      <w:r w:rsidRPr="00DC27B2">
        <w:rPr>
          <w:noProof/>
        </w:rPr>
        <w:t>18</w:t>
      </w:r>
      <w:r w:rsidRPr="008356C6">
        <w:rPr>
          <w:noProof/>
        </w:rPr>
        <w:t xml:space="preserve"> mai </w:t>
      </w:r>
      <w:r w:rsidRPr="00DC27B2">
        <w:rPr>
          <w:noProof/>
        </w:rPr>
        <w:t>2005</w:t>
      </w:r>
      <w:r w:rsidRPr="008356C6">
        <w:rPr>
          <w:noProof/>
        </w:rPr>
        <w:t xml:space="preserve">. Uniunea nu este parte la MARPOL. </w:t>
      </w:r>
    </w:p>
    <w:p w:rsidR="00603BAC" w:rsidRPr="008356C6" w:rsidRDefault="00603BAC" w:rsidP="00923A0D">
      <w:pPr>
        <w:rPr>
          <w:rFonts w:eastAsia="Arial Unicode MS"/>
          <w:noProof/>
        </w:rPr>
      </w:pPr>
      <w:r w:rsidRPr="008356C6">
        <w:rPr>
          <w:noProof/>
        </w:rPr>
        <w:lastRenderedPageBreak/>
        <w:t xml:space="preserve">Toate statele membre sunt părți la Convenția internațională din </w:t>
      </w:r>
      <w:r w:rsidRPr="00DC27B2">
        <w:rPr>
          <w:noProof/>
        </w:rPr>
        <w:t>1974</w:t>
      </w:r>
      <w:r w:rsidRPr="008356C6">
        <w:rPr>
          <w:noProof/>
        </w:rPr>
        <w:t xml:space="preserve"> pentru ocrotirea vieții omenești pe mare („SOLAS”), care a intrat în vigoare la </w:t>
      </w:r>
      <w:r w:rsidRPr="00DC27B2">
        <w:rPr>
          <w:noProof/>
        </w:rPr>
        <w:t>25</w:t>
      </w:r>
      <w:r w:rsidRPr="008356C6">
        <w:rPr>
          <w:noProof/>
        </w:rPr>
        <w:t xml:space="preserve"> mai </w:t>
      </w:r>
      <w:r w:rsidRPr="00DC27B2">
        <w:rPr>
          <w:noProof/>
        </w:rPr>
        <w:t>1980</w:t>
      </w:r>
      <w:r w:rsidRPr="008356C6">
        <w:rPr>
          <w:noProof/>
        </w:rPr>
        <w:t>. Uniunea nu este parte la SOLAS.</w:t>
      </w:r>
    </w:p>
    <w:p w:rsidR="00996C46" w:rsidRPr="008356C6" w:rsidRDefault="00996C46" w:rsidP="004A38D8">
      <w:pPr>
        <w:pStyle w:val="ManualHeading2"/>
        <w:rPr>
          <w:noProof/>
        </w:rPr>
      </w:pPr>
      <w:r>
        <w:rPr>
          <w:noProof/>
        </w:rPr>
        <w:t>2.2.</w:t>
      </w:r>
      <w:r>
        <w:rPr>
          <w:noProof/>
        </w:rPr>
        <w:tab/>
      </w:r>
      <w:r w:rsidRPr="008356C6">
        <w:rPr>
          <w:noProof/>
        </w:rPr>
        <w:t xml:space="preserve">Organizația Maritimă Internațională </w:t>
      </w:r>
    </w:p>
    <w:p w:rsidR="00B10E8B" w:rsidRPr="008356C6" w:rsidRDefault="00B10E8B" w:rsidP="004A38D8">
      <w:pPr>
        <w:rPr>
          <w:rFonts w:eastAsia="Arial Unicode MS"/>
          <w:noProof/>
        </w:rPr>
      </w:pPr>
      <w:r w:rsidRPr="008356C6">
        <w:rPr>
          <w:noProof/>
        </w:rPr>
        <w:t xml:space="preserve">Organizația Maritimă Internațională (OMI) este agenția specializată a Organizației Națiunilor Unite responsabilă cu siguranța și securitatea transportului maritim și cu prevenirea poluării marine de către nave. Aceasta este autoritatea care stabilește standardele la nivel mondial în ceea ce privește siguranța, securitatea și performanța de mediu a transportului maritim internațional. Rolul său principal constă în crearea unui cadru de reglementare echitabil și eficace pentru industria transportului maritim, care să fie adoptat și pus în aplicare la nivel mondial. </w:t>
      </w:r>
    </w:p>
    <w:p w:rsidR="00923A0D" w:rsidRPr="008356C6" w:rsidRDefault="00923A0D" w:rsidP="00923A0D">
      <w:pPr>
        <w:rPr>
          <w:rFonts w:eastAsia="Arial Unicode MS"/>
          <w:noProof/>
        </w:rPr>
      </w:pPr>
      <w:r w:rsidRPr="008356C6">
        <w:rPr>
          <w:noProof/>
        </w:rPr>
        <w:t>Doar statele pot fi membre ale OMI. Toate statele membre ale UE sunt membre ale OMI. Deși UE nu are calitate de membru, relațiile Comisiei Europene cu OMI se bazează astăzi pe Rezoluția A.</w:t>
      </w:r>
      <w:r w:rsidRPr="00DC27B2">
        <w:rPr>
          <w:noProof/>
        </w:rPr>
        <w:t>1168</w:t>
      </w:r>
      <w:r w:rsidRPr="008356C6">
        <w:rPr>
          <w:noProof/>
        </w:rPr>
        <w:t xml:space="preserve"> (</w:t>
      </w:r>
      <w:r w:rsidRPr="00DC27B2">
        <w:rPr>
          <w:noProof/>
        </w:rPr>
        <w:t>32</w:t>
      </w:r>
      <w:r w:rsidRPr="008356C6">
        <w:rPr>
          <w:noProof/>
        </w:rPr>
        <w:t xml:space="preserve">) a OMI, care stabilește procedurile și condițiile pentru cooperarea dintre OMI și organizațiile interguvernamentale. Pe baza acestei rezoluții a OMI și a altor dispoziții adoptate începând din </w:t>
      </w:r>
      <w:r w:rsidRPr="00DC27B2">
        <w:rPr>
          <w:noProof/>
        </w:rPr>
        <w:t>1974</w:t>
      </w:r>
      <w:r w:rsidRPr="008356C6">
        <w:rPr>
          <w:noProof/>
        </w:rPr>
        <w:t>, Comisia Europeană participă în calitate de observator la toate reuniunile comitetelor și subcomitetelor OMI.</w:t>
      </w:r>
    </w:p>
    <w:p w:rsidR="004223F5" w:rsidRPr="008356C6" w:rsidRDefault="004223F5" w:rsidP="004A38D8">
      <w:pPr>
        <w:rPr>
          <w:rFonts w:eastAsia="Arial Unicode MS"/>
          <w:noProof/>
        </w:rPr>
      </w:pPr>
      <w:r w:rsidRPr="008356C6">
        <w:rPr>
          <w:noProof/>
        </w:rPr>
        <w:t>Comitetul pentru protecția mediului marin al OMI (MEPC) este alcătuit din toți membrii OMI și se întrunește cel puțin o dată pe an. Acesta abordează aspectele de mediu care intră în sfera de competență a organizației cu privire la controlul și prevenirea poluării de către nave care face obiectul tratatului MARPOL, cum ar fi poluarea cu petrol, produse chimice transportate în vrac, ape uzate, deșeuri și emisii generate de nave în aer, inclusiv poluanți atmosferici și emisii de gaze cu efect de seră. Alte chestiuni abordate sunt gestionarea apei de balast, sistemele antivegetative, reciclarea navelor, pregătirea și răspunsul în caz de poluare și identificarea zonelor speciale și a zonelor maritime deosebit de sensibile.</w:t>
      </w:r>
    </w:p>
    <w:p w:rsidR="004223F5" w:rsidRPr="008356C6" w:rsidRDefault="00AB2DF3" w:rsidP="004A38D8">
      <w:pPr>
        <w:rPr>
          <w:rFonts w:eastAsia="Arial Unicode MS"/>
          <w:noProof/>
        </w:rPr>
      </w:pPr>
      <w:r w:rsidRPr="008356C6">
        <w:rPr>
          <w:noProof/>
        </w:rPr>
        <w:t xml:space="preserve">În temeiul articolului </w:t>
      </w:r>
      <w:r w:rsidRPr="00DC27B2">
        <w:rPr>
          <w:noProof/>
        </w:rPr>
        <w:t>38</w:t>
      </w:r>
      <w:r w:rsidRPr="008356C6">
        <w:rPr>
          <w:noProof/>
        </w:rPr>
        <w:t xml:space="preserve"> litera (a) din Convenția OMI, Comitetul pentru protecția mediului marin îndeplinește orice fel de sarcini care îi sunt atribuite de Convenția OMI, de Adunarea OMI sau de Consiliul OMI sau orice sarcină din domeniul de aplicare sus-menționat care ar putea să-i fie atribuită de către orice alt instrument internațional sau în temeiul acestuia și care a fost acceptată de OMI. Deciziile Comitetului pentru protecția mediului marin și ale organismelor sale subsidiare sunt adoptate cu o majoritate a voturilor membrilor. </w:t>
      </w:r>
    </w:p>
    <w:p w:rsidR="00660C46" w:rsidRPr="008356C6" w:rsidRDefault="00660C46" w:rsidP="005F48DC">
      <w:pPr>
        <w:rPr>
          <w:rFonts w:eastAsia="Arial Unicode MS"/>
          <w:noProof/>
        </w:rPr>
      </w:pPr>
      <w:bookmarkStart w:id="6" w:name="_Hlk201757303"/>
      <w:r w:rsidRPr="008356C6">
        <w:rPr>
          <w:noProof/>
        </w:rPr>
        <w:t>MEPC </w:t>
      </w:r>
      <w:r w:rsidRPr="00DC27B2">
        <w:rPr>
          <w:noProof/>
        </w:rPr>
        <w:t>84</w:t>
      </w:r>
      <w:r w:rsidRPr="008356C6">
        <w:rPr>
          <w:noProof/>
        </w:rPr>
        <w:t xml:space="preserve"> va adopta o serie de amendamente la Convenția MARPOL, în conformitate cu articolul </w:t>
      </w:r>
      <w:r w:rsidRPr="00DC27B2">
        <w:rPr>
          <w:noProof/>
        </w:rPr>
        <w:t>16</w:t>
      </w:r>
      <w:r w:rsidRPr="008356C6">
        <w:rPr>
          <w:noProof/>
        </w:rPr>
        <w:t xml:space="preserve"> alineatul (</w:t>
      </w:r>
      <w:r w:rsidRPr="00DC27B2">
        <w:rPr>
          <w:noProof/>
        </w:rPr>
        <w:t>2</w:t>
      </w:r>
      <w:r w:rsidRPr="008356C6">
        <w:rPr>
          <w:noProof/>
        </w:rPr>
        <w:t xml:space="preserve">) literele (b), (c) și (d) din convenție. </w:t>
      </w:r>
      <w:bookmarkEnd w:id="6"/>
    </w:p>
    <w:p w:rsidR="00B277D2" w:rsidRPr="008356C6" w:rsidRDefault="00B277D2" w:rsidP="00B277D2">
      <w:pPr>
        <w:rPr>
          <w:rFonts w:eastAsia="Arial Unicode MS"/>
          <w:noProof/>
        </w:rPr>
      </w:pPr>
      <w:r w:rsidRPr="008356C6">
        <w:rPr>
          <w:noProof/>
        </w:rPr>
        <w:t>Comitetul pentru siguranță maritimă al OMI (MSC) este alcătuit din toți membrii OMI și se întrunește cel puțin o dată pe an. Acesta examinează toate chestiunile care intră în sfera de competență a organizației cu privire la mijloacele de asigurare a navigației, construirea și echiparea navelor, dotarea cu echipaj, în măsura în care aceasta are un impact asupra siguranței, normele pentru prevenirea coliziunilor, manipularea încărcăturilor periculoase, procedurile și cerințele referitoare la siguranța maritimă, informațiile hidrografice, jurnalele de bord și registrele de navigație, anchetele privind accidentele maritime, salvarea de bunuri și de persoane, precum și orice alte chestiuni care afectează în mod direct siguranța maritimă.</w:t>
      </w:r>
    </w:p>
    <w:p w:rsidR="004F05C1" w:rsidRPr="008356C6" w:rsidRDefault="004F05C1" w:rsidP="004F05C1">
      <w:pPr>
        <w:rPr>
          <w:rFonts w:eastAsia="Arial Unicode MS"/>
          <w:noProof/>
        </w:rPr>
      </w:pPr>
      <w:r w:rsidRPr="008356C6">
        <w:rPr>
          <w:noProof/>
        </w:rPr>
        <w:t xml:space="preserve">În conformitate cu articolul </w:t>
      </w:r>
      <w:r w:rsidRPr="00DC27B2">
        <w:rPr>
          <w:noProof/>
        </w:rPr>
        <w:t>28</w:t>
      </w:r>
      <w:r w:rsidRPr="008356C6">
        <w:rPr>
          <w:noProof/>
        </w:rPr>
        <w:t xml:space="preserve"> litera (b) din Convenția privind OMI, Comitetul pentru siguranță maritimă al OMI prevede mecanismele necesare pentru îndeplinirea oricăror sarcini care i-au fost atribuite de Convenția OMI, de Adunarea OMI sau de Consiliul OMI sau a oricărei sarcini din domeniul sus-menționat care ar putea să-i fie atribuită de către sau în cadrul oricărui alt instrument internațional și care a fost acceptată de OMI. Deciziile </w:t>
      </w:r>
      <w:r w:rsidRPr="008356C6">
        <w:rPr>
          <w:noProof/>
        </w:rPr>
        <w:lastRenderedPageBreak/>
        <w:t xml:space="preserve">Comitetului pentru siguranță maritimă, precum și ale organismelor subsidiare, se adoptă cu votul majorității membrilor acestora. </w:t>
      </w:r>
    </w:p>
    <w:p w:rsidR="006F5033" w:rsidRPr="008356C6" w:rsidRDefault="006F5033" w:rsidP="004F05C1">
      <w:pPr>
        <w:rPr>
          <w:rFonts w:eastAsia="Arial Unicode MS"/>
          <w:noProof/>
        </w:rPr>
      </w:pPr>
      <w:r w:rsidRPr="008356C6">
        <w:rPr>
          <w:noProof/>
        </w:rPr>
        <w:t xml:space="preserve">MSC </w:t>
      </w:r>
      <w:r w:rsidRPr="00DC27B2">
        <w:rPr>
          <w:noProof/>
        </w:rPr>
        <w:t>111</w:t>
      </w:r>
      <w:r w:rsidRPr="008356C6">
        <w:rPr>
          <w:noProof/>
        </w:rPr>
        <w:t xml:space="preserve"> va adopta amendamente în conformitate cu articolul VIII litera (b) punctul (iv) din Convenția SOLAS și cu articolul VI alineatul (</w:t>
      </w:r>
      <w:r w:rsidRPr="00DC27B2">
        <w:rPr>
          <w:noProof/>
        </w:rPr>
        <w:t>2</w:t>
      </w:r>
      <w:r w:rsidRPr="008356C6">
        <w:rPr>
          <w:noProof/>
        </w:rPr>
        <w:t xml:space="preserve">) litera (d) din Protocolul din </w:t>
      </w:r>
      <w:r w:rsidRPr="00DC27B2">
        <w:rPr>
          <w:noProof/>
        </w:rPr>
        <w:t>1988</w:t>
      </w:r>
      <w:r w:rsidRPr="008356C6">
        <w:rPr>
          <w:noProof/>
        </w:rPr>
        <w:t xml:space="preserve"> privind liniile de încărcare. </w:t>
      </w:r>
    </w:p>
    <w:p w:rsidR="00660C46" w:rsidRPr="008356C6" w:rsidRDefault="00660C46" w:rsidP="00660C46">
      <w:pPr>
        <w:rPr>
          <w:rFonts w:eastAsia="Arial Unicode MS"/>
          <w:noProof/>
        </w:rPr>
      </w:pPr>
    </w:p>
    <w:p w:rsidR="006E28E5" w:rsidRPr="008356C6" w:rsidRDefault="006E28E5" w:rsidP="004A38D8">
      <w:pPr>
        <w:pStyle w:val="ManualHeading2"/>
        <w:rPr>
          <w:noProof/>
        </w:rPr>
      </w:pPr>
      <w:r>
        <w:rPr>
          <w:noProof/>
        </w:rPr>
        <w:t>2.3.</w:t>
      </w:r>
      <w:r>
        <w:rPr>
          <w:noProof/>
        </w:rPr>
        <w:tab/>
      </w:r>
      <w:bookmarkStart w:id="7" w:name="_Hlk145513897"/>
      <w:r w:rsidRPr="008356C6">
        <w:rPr>
          <w:noProof/>
        </w:rPr>
        <w:t xml:space="preserve">Actul avut în vedere de Comitetul pentru protecția mediului marin al OMI </w:t>
      </w:r>
    </w:p>
    <w:p w:rsidR="00BA490A" w:rsidRPr="008356C6" w:rsidRDefault="00702CF4" w:rsidP="004A38D8">
      <w:pPr>
        <w:pStyle w:val="Point0"/>
        <w:ind w:left="0" w:firstLine="0"/>
        <w:rPr>
          <w:rFonts w:eastAsia="Arial Unicode MS"/>
          <w:noProof/>
        </w:rPr>
      </w:pPr>
      <w:r w:rsidRPr="008356C6">
        <w:rPr>
          <w:noProof/>
        </w:rPr>
        <w:t xml:space="preserve">În cadrul celei de a </w:t>
      </w:r>
      <w:r w:rsidRPr="00DC27B2">
        <w:rPr>
          <w:noProof/>
        </w:rPr>
        <w:t>84</w:t>
      </w:r>
      <w:r w:rsidRPr="008356C6">
        <w:rPr>
          <w:noProof/>
        </w:rPr>
        <w:t>-a sesiuni, MEPC urmează să adopte amendamente la anexa VI la MARPOL, referitoare la:</w:t>
      </w:r>
    </w:p>
    <w:p w:rsidR="00BA490A" w:rsidRPr="008356C6" w:rsidRDefault="00BA490A" w:rsidP="00EF7C8A">
      <w:pPr>
        <w:pStyle w:val="Tiret0"/>
        <w:numPr>
          <w:ilvl w:val="0"/>
          <w:numId w:val="19"/>
        </w:numPr>
        <w:rPr>
          <w:noProof/>
        </w:rPr>
      </w:pPr>
      <w:r w:rsidRPr="008356C6">
        <w:rPr>
          <w:noProof/>
        </w:rPr>
        <w:t xml:space="preserve">desemnarea Atlanticului de Nord-Est ca nouă zonă de control al emisiilor (ECA) (regulile </w:t>
      </w:r>
      <w:r w:rsidRPr="00DC27B2">
        <w:rPr>
          <w:noProof/>
        </w:rPr>
        <w:t>13</w:t>
      </w:r>
      <w:r w:rsidRPr="008356C6">
        <w:rPr>
          <w:noProof/>
        </w:rPr>
        <w:t xml:space="preserve"> și </w:t>
      </w:r>
      <w:r w:rsidRPr="00DC27B2">
        <w:rPr>
          <w:noProof/>
        </w:rPr>
        <w:t>14</w:t>
      </w:r>
      <w:r w:rsidRPr="008356C6">
        <w:rPr>
          <w:noProof/>
        </w:rPr>
        <w:t xml:space="preserve"> și apendicele VII la anexa VI la MARPOL); </w:t>
      </w:r>
    </w:p>
    <w:p w:rsidR="00BA490A" w:rsidRPr="008356C6" w:rsidRDefault="00BA490A" w:rsidP="004179EA">
      <w:pPr>
        <w:pStyle w:val="Tiret0"/>
        <w:rPr>
          <w:noProof/>
        </w:rPr>
      </w:pPr>
      <w:r w:rsidRPr="008356C6">
        <w:rPr>
          <w:noProof/>
        </w:rPr>
        <w:t xml:space="preserve">accesibilitatea bazei de date a OMI privind consumul de păcură al navelor (DCS a OMI) și clauza de revizuire a măsurii pe termen scurt de reducere a GES (regulile </w:t>
      </w:r>
      <w:r w:rsidRPr="00DC27B2">
        <w:rPr>
          <w:noProof/>
        </w:rPr>
        <w:t>20</w:t>
      </w:r>
      <w:r w:rsidRPr="008356C6">
        <w:rPr>
          <w:noProof/>
        </w:rPr>
        <w:t xml:space="preserve">, </w:t>
      </w:r>
      <w:r w:rsidRPr="00DC27B2">
        <w:rPr>
          <w:noProof/>
        </w:rPr>
        <w:t>25</w:t>
      </w:r>
      <w:r w:rsidRPr="008356C6">
        <w:rPr>
          <w:noProof/>
        </w:rPr>
        <w:t xml:space="preserve">, </w:t>
      </w:r>
      <w:r w:rsidRPr="00DC27B2">
        <w:rPr>
          <w:noProof/>
        </w:rPr>
        <w:t>27</w:t>
      </w:r>
      <w:r w:rsidRPr="008356C6">
        <w:rPr>
          <w:noProof/>
        </w:rPr>
        <w:t xml:space="preserve"> și </w:t>
      </w:r>
      <w:r w:rsidRPr="00DC27B2">
        <w:rPr>
          <w:noProof/>
        </w:rPr>
        <w:t>28</w:t>
      </w:r>
      <w:r w:rsidRPr="008356C6">
        <w:rPr>
          <w:noProof/>
        </w:rPr>
        <w:t>).</w:t>
      </w:r>
    </w:p>
    <w:p w:rsidR="00C34AED" w:rsidRPr="008356C6" w:rsidRDefault="00660C46" w:rsidP="00660C46">
      <w:pPr>
        <w:pStyle w:val="Point0"/>
        <w:ind w:left="0" w:firstLine="0"/>
        <w:rPr>
          <w:rFonts w:eastAsia="Arial Unicode MS"/>
          <w:noProof/>
        </w:rPr>
      </w:pPr>
      <w:r w:rsidRPr="008356C6">
        <w:rPr>
          <w:noProof/>
        </w:rPr>
        <w:t xml:space="preserve">Se preconiza ca aceste amendamente să fie adoptate în cadrul celei de a doua sesiuni extraordinare a MEPC, care a avut loc în perioada </w:t>
      </w:r>
      <w:r w:rsidRPr="00DC27B2">
        <w:rPr>
          <w:noProof/>
        </w:rPr>
        <w:t>14</w:t>
      </w:r>
      <w:r w:rsidRPr="008356C6">
        <w:rPr>
          <w:noProof/>
        </w:rPr>
        <w:t>-</w:t>
      </w:r>
      <w:r w:rsidRPr="00DC27B2">
        <w:rPr>
          <w:noProof/>
        </w:rPr>
        <w:t>17</w:t>
      </w:r>
      <w:r w:rsidRPr="008356C6">
        <w:rPr>
          <w:noProof/>
        </w:rPr>
        <w:t xml:space="preserve"> octombrie </w:t>
      </w:r>
      <w:r w:rsidRPr="00DC27B2">
        <w:rPr>
          <w:noProof/>
        </w:rPr>
        <w:t>2025</w:t>
      </w:r>
      <w:r w:rsidRPr="008356C6">
        <w:rPr>
          <w:noProof/>
        </w:rPr>
        <w:t xml:space="preserve">. </w:t>
      </w:r>
    </w:p>
    <w:p w:rsidR="00C34AED" w:rsidRPr="008356C6" w:rsidRDefault="00C34AED" w:rsidP="00C34AED">
      <w:pPr>
        <w:pStyle w:val="Point0"/>
        <w:ind w:left="0" w:firstLine="0"/>
        <w:rPr>
          <w:rFonts w:eastAsia="Arial Unicode MS"/>
          <w:noProof/>
        </w:rPr>
      </w:pPr>
      <w:r w:rsidRPr="008356C6">
        <w:rPr>
          <w:noProof/>
        </w:rPr>
        <w:t>În pregătirea MEPC/ES.</w:t>
      </w:r>
      <w:r w:rsidRPr="00DC27B2">
        <w:rPr>
          <w:noProof/>
        </w:rPr>
        <w:t>2</w:t>
      </w:r>
      <w:r w:rsidRPr="008356C6">
        <w:rPr>
          <w:noProof/>
        </w:rPr>
        <w:t xml:space="preserve">, Consiliul Uniunii Europene a adoptat Decizia (UE) </w:t>
      </w:r>
      <w:r w:rsidRPr="00DC27B2">
        <w:rPr>
          <w:noProof/>
        </w:rPr>
        <w:t>2025</w:t>
      </w:r>
      <w:r w:rsidRPr="008356C6">
        <w:rPr>
          <w:noProof/>
        </w:rPr>
        <w:t>/</w:t>
      </w:r>
      <w:r w:rsidRPr="00DC27B2">
        <w:rPr>
          <w:noProof/>
        </w:rPr>
        <w:t>2093</w:t>
      </w:r>
      <w:r w:rsidRPr="008356C6">
        <w:rPr>
          <w:noProof/>
        </w:rPr>
        <w:t xml:space="preserve"> a Consiliului din </w:t>
      </w:r>
      <w:r w:rsidRPr="00DC27B2">
        <w:rPr>
          <w:noProof/>
        </w:rPr>
        <w:t>10</w:t>
      </w:r>
      <w:r w:rsidRPr="008356C6">
        <w:rPr>
          <w:noProof/>
        </w:rPr>
        <w:t xml:space="preserve"> octombrie </w:t>
      </w:r>
      <w:r w:rsidRPr="00DC27B2">
        <w:rPr>
          <w:noProof/>
        </w:rPr>
        <w:t>2025</w:t>
      </w:r>
      <w:r w:rsidRPr="008356C6">
        <w:rPr>
          <w:noProof/>
        </w:rPr>
        <w:t xml:space="preserve"> privind poziția care urmează să fie adoptată în numele Uniunii Europene în cadrul Comitetului pentru protecția mediului marin al Organizației Maritime Internaționale, cu ocazia celei de-a doua sesiuni extraordinare a acestuia, cu privire la adoptarea unor amendamente la Convenția internațională pentru prevenirea poluării de către nave (MARPOL)(</w:t>
      </w:r>
      <w:r w:rsidRPr="008356C6">
        <w:rPr>
          <w:rStyle w:val="FootnoteReference"/>
          <w:noProof/>
        </w:rPr>
        <w:footnoteReference w:id="3"/>
      </w:r>
      <w:r w:rsidRPr="008356C6">
        <w:rPr>
          <w:noProof/>
        </w:rPr>
        <w:t>).</w:t>
      </w:r>
    </w:p>
    <w:p w:rsidR="00C34AED" w:rsidRPr="008356C6" w:rsidRDefault="00C34AED" w:rsidP="00C34AED">
      <w:pPr>
        <w:pStyle w:val="Point0"/>
        <w:ind w:left="0" w:firstLine="0"/>
        <w:rPr>
          <w:rFonts w:eastAsia="Arial Unicode MS"/>
          <w:noProof/>
        </w:rPr>
      </w:pPr>
      <w:r w:rsidRPr="008356C6">
        <w:rPr>
          <w:noProof/>
        </w:rPr>
        <w:t xml:space="preserve">Potrivit Deciziei </w:t>
      </w:r>
      <w:r w:rsidRPr="00DC27B2">
        <w:rPr>
          <w:noProof/>
        </w:rPr>
        <w:t>2025</w:t>
      </w:r>
      <w:r w:rsidRPr="008356C6">
        <w:rPr>
          <w:noProof/>
        </w:rPr>
        <w:t>/</w:t>
      </w:r>
      <w:r w:rsidRPr="00DC27B2">
        <w:rPr>
          <w:noProof/>
        </w:rPr>
        <w:t>2093</w:t>
      </w:r>
      <w:r w:rsidRPr="008356C6">
        <w:rPr>
          <w:noProof/>
        </w:rPr>
        <w:t xml:space="preserve"> a Consiliului, poziția Uniunii în cadrul MEPC/ES.</w:t>
      </w:r>
      <w:r w:rsidRPr="00DC27B2">
        <w:rPr>
          <w:noProof/>
        </w:rPr>
        <w:t>2</w:t>
      </w:r>
      <w:r w:rsidRPr="008356C6">
        <w:rPr>
          <w:noProof/>
        </w:rPr>
        <w:t xml:space="preserve"> este de a-și da acordul cu privire la: </w:t>
      </w:r>
    </w:p>
    <w:p w:rsidR="00C34AED" w:rsidRPr="008356C6" w:rsidRDefault="00C34AED" w:rsidP="008810CE">
      <w:pPr>
        <w:pStyle w:val="Point0"/>
        <w:rPr>
          <w:noProof/>
        </w:rPr>
      </w:pPr>
      <w:r>
        <w:rPr>
          <w:noProof/>
        </w:rPr>
        <w:t>(a)</w:t>
      </w:r>
      <w:r>
        <w:rPr>
          <w:noProof/>
        </w:rPr>
        <w:tab/>
      </w:r>
      <w:r w:rsidRPr="008356C6">
        <w:rPr>
          <w:noProof/>
        </w:rPr>
        <w:t xml:space="preserve">adoptarea amendamentelor aduse regulilor </w:t>
      </w:r>
      <w:r w:rsidRPr="00DC27B2">
        <w:rPr>
          <w:noProof/>
        </w:rPr>
        <w:t>13</w:t>
      </w:r>
      <w:r w:rsidRPr="008356C6">
        <w:rPr>
          <w:noProof/>
        </w:rPr>
        <w:t xml:space="preserve"> și </w:t>
      </w:r>
      <w:r w:rsidRPr="00DC27B2">
        <w:rPr>
          <w:noProof/>
        </w:rPr>
        <w:t>14</w:t>
      </w:r>
      <w:r w:rsidRPr="008356C6">
        <w:rPr>
          <w:noProof/>
        </w:rPr>
        <w:t xml:space="preserve"> și apendicelui VII din anexa VI la MARPOL, referitoare la desemnarea Atlanticului de Nord-Est ca nouă zonă de control al emisiilor (ECA),</w:t>
      </w:r>
    </w:p>
    <w:p w:rsidR="00C34AED" w:rsidRPr="008356C6" w:rsidRDefault="00C34AED" w:rsidP="008C46E7">
      <w:pPr>
        <w:pStyle w:val="Point0"/>
        <w:rPr>
          <w:noProof/>
        </w:rPr>
      </w:pPr>
      <w:r>
        <w:rPr>
          <w:noProof/>
        </w:rPr>
        <w:t>(b)</w:t>
      </w:r>
      <w:r>
        <w:rPr>
          <w:noProof/>
        </w:rPr>
        <w:tab/>
      </w:r>
      <w:r w:rsidRPr="008356C6">
        <w:rPr>
          <w:noProof/>
        </w:rPr>
        <w:t xml:space="preserve">adoptarea amendamentelor aduse regulilor </w:t>
      </w:r>
      <w:r w:rsidRPr="00DC27B2">
        <w:rPr>
          <w:noProof/>
        </w:rPr>
        <w:t>20</w:t>
      </w:r>
      <w:r w:rsidRPr="008356C6">
        <w:rPr>
          <w:noProof/>
        </w:rPr>
        <w:t xml:space="preserve">, </w:t>
      </w:r>
      <w:r w:rsidRPr="00DC27B2">
        <w:rPr>
          <w:noProof/>
        </w:rPr>
        <w:t>25</w:t>
      </w:r>
      <w:r w:rsidRPr="008356C6">
        <w:rPr>
          <w:noProof/>
        </w:rPr>
        <w:t xml:space="preserve">, </w:t>
      </w:r>
      <w:r w:rsidRPr="00DC27B2">
        <w:rPr>
          <w:noProof/>
        </w:rPr>
        <w:t>27</w:t>
      </w:r>
      <w:r w:rsidRPr="008356C6">
        <w:rPr>
          <w:noProof/>
        </w:rPr>
        <w:t xml:space="preserve"> și </w:t>
      </w:r>
      <w:r w:rsidRPr="00DC27B2">
        <w:rPr>
          <w:noProof/>
        </w:rPr>
        <w:t>28</w:t>
      </w:r>
      <w:r w:rsidRPr="008356C6">
        <w:rPr>
          <w:noProof/>
        </w:rPr>
        <w:t xml:space="preserve"> din anexa VI la MARPOL, referitoare la accesibilitatea bazei de date a OMI privind consumul de păcură al navelor (DCS a OMI) și </w:t>
      </w:r>
    </w:p>
    <w:p w:rsidR="00C34AED" w:rsidRPr="008356C6" w:rsidRDefault="00C34AED" w:rsidP="008C46E7">
      <w:pPr>
        <w:pStyle w:val="Point0"/>
        <w:rPr>
          <w:noProof/>
        </w:rPr>
      </w:pPr>
      <w:r>
        <w:rPr>
          <w:noProof/>
        </w:rPr>
        <w:t>(c)</w:t>
      </w:r>
      <w:r>
        <w:rPr>
          <w:noProof/>
        </w:rPr>
        <w:tab/>
      </w:r>
      <w:r w:rsidRPr="008356C6">
        <w:rPr>
          <w:noProof/>
        </w:rPr>
        <w:t xml:space="preserve">introducerea unui nou capitol </w:t>
      </w:r>
      <w:r w:rsidRPr="00DC27B2">
        <w:rPr>
          <w:noProof/>
        </w:rPr>
        <w:t>5</w:t>
      </w:r>
      <w:r w:rsidRPr="008356C6">
        <w:rPr>
          <w:noProof/>
        </w:rPr>
        <w:t xml:space="preserve"> în anexa VI la Convenția Marpol cu privire la cadrul OMI „zero net”.</w:t>
      </w:r>
    </w:p>
    <w:p w:rsidR="00C34AED" w:rsidRPr="008356C6" w:rsidRDefault="00C34AED" w:rsidP="00C34AED">
      <w:pPr>
        <w:pStyle w:val="Point0"/>
        <w:ind w:left="0" w:firstLine="0"/>
        <w:rPr>
          <w:rFonts w:eastAsia="Arial Unicode MS"/>
          <w:noProof/>
        </w:rPr>
      </w:pPr>
      <w:r w:rsidRPr="008356C6">
        <w:rPr>
          <w:noProof/>
        </w:rPr>
        <w:t>Întrucât reuniunea MEPC/ES.</w:t>
      </w:r>
      <w:r w:rsidRPr="00DC27B2">
        <w:rPr>
          <w:noProof/>
        </w:rPr>
        <w:t>2</w:t>
      </w:r>
      <w:r w:rsidRPr="008356C6">
        <w:rPr>
          <w:noProof/>
        </w:rPr>
        <w:t xml:space="preserve"> a fost suspendată pentru un an, OMI a transmis MEPC amendamentele sus-menționate la anexa VI la MARPOL de la literele (a) și (b) în vederea adoptării în cadrul celei de a </w:t>
      </w:r>
      <w:r w:rsidRPr="00DC27B2">
        <w:rPr>
          <w:noProof/>
        </w:rPr>
        <w:t>84</w:t>
      </w:r>
      <w:r w:rsidRPr="008356C6">
        <w:rPr>
          <w:noProof/>
        </w:rPr>
        <w:t xml:space="preserve">-a sesiuni. În acest sens, se înaintează prezenta propunere. </w:t>
      </w:r>
    </w:p>
    <w:p w:rsidR="00660C46" w:rsidRPr="008356C6" w:rsidRDefault="00C34AED" w:rsidP="00C34AED">
      <w:pPr>
        <w:pStyle w:val="Point0"/>
        <w:ind w:left="0" w:firstLine="0"/>
        <w:rPr>
          <w:rFonts w:eastAsia="Arial Unicode MS"/>
          <w:noProof/>
        </w:rPr>
      </w:pPr>
      <w:r w:rsidRPr="008356C6">
        <w:rPr>
          <w:noProof/>
        </w:rPr>
        <w:t xml:space="preserve">În paralel, adoptarea unui nou capitol </w:t>
      </w:r>
      <w:r w:rsidRPr="00DC27B2">
        <w:rPr>
          <w:noProof/>
        </w:rPr>
        <w:t>5</w:t>
      </w:r>
      <w:r w:rsidRPr="008356C6">
        <w:rPr>
          <w:noProof/>
        </w:rPr>
        <w:t xml:space="preserve"> din anexa VI la MARPOL cu privire la cadrul OMI „zero net” de la litera (c) a fost amânată împreună cu MEPC/ES.</w:t>
      </w:r>
      <w:r w:rsidRPr="00DC27B2">
        <w:rPr>
          <w:noProof/>
        </w:rPr>
        <w:t>2</w:t>
      </w:r>
      <w:r w:rsidRPr="008356C6">
        <w:rPr>
          <w:noProof/>
        </w:rPr>
        <w:t>.</w:t>
      </w:r>
    </w:p>
    <w:p w:rsidR="00660C46" w:rsidRPr="008356C6" w:rsidRDefault="00660C46" w:rsidP="00660C46">
      <w:pPr>
        <w:pStyle w:val="Point0"/>
        <w:ind w:left="0" w:firstLine="0"/>
        <w:rPr>
          <w:rFonts w:eastAsia="Arial Unicode MS"/>
          <w:noProof/>
        </w:rPr>
      </w:pPr>
    </w:p>
    <w:p w:rsidR="00702CF4" w:rsidRPr="008356C6" w:rsidRDefault="00702CF4" w:rsidP="00702CF4">
      <w:pPr>
        <w:pStyle w:val="ManualHeading2"/>
        <w:rPr>
          <w:noProof/>
        </w:rPr>
      </w:pPr>
      <w:r>
        <w:rPr>
          <w:noProof/>
        </w:rPr>
        <w:t>2.4.</w:t>
      </w:r>
      <w:r>
        <w:rPr>
          <w:noProof/>
        </w:rPr>
        <w:tab/>
      </w:r>
      <w:r w:rsidRPr="008356C6">
        <w:rPr>
          <w:noProof/>
        </w:rPr>
        <w:t xml:space="preserve">Actul avut în vedere al Comitetului pentru siguranță maritimă al OMI </w:t>
      </w:r>
    </w:p>
    <w:p w:rsidR="00702CF4" w:rsidRPr="008356C6" w:rsidRDefault="00702CF4" w:rsidP="00702CF4">
      <w:pPr>
        <w:pStyle w:val="Point0"/>
        <w:rPr>
          <w:rFonts w:eastAsia="Arial Unicode MS"/>
          <w:noProof/>
        </w:rPr>
      </w:pPr>
      <w:r w:rsidRPr="008356C6">
        <w:rPr>
          <w:noProof/>
        </w:rPr>
        <w:t xml:space="preserve">În cursul celei de-a </w:t>
      </w:r>
      <w:r w:rsidRPr="00DC27B2">
        <w:rPr>
          <w:noProof/>
        </w:rPr>
        <w:t>111</w:t>
      </w:r>
      <w:r w:rsidRPr="008356C6">
        <w:rPr>
          <w:noProof/>
        </w:rPr>
        <w:t>-a sesiuni, MSC urmează să adopte amendamente la:</w:t>
      </w:r>
    </w:p>
    <w:p w:rsidR="00702CF4" w:rsidRPr="008356C6" w:rsidRDefault="00702CF4" w:rsidP="00EF7C8A">
      <w:pPr>
        <w:pStyle w:val="Point0"/>
        <w:rPr>
          <w:noProof/>
        </w:rPr>
      </w:pPr>
      <w:r>
        <w:rPr>
          <w:noProof/>
        </w:rPr>
        <w:lastRenderedPageBreak/>
        <w:t>(a)</w:t>
      </w:r>
      <w:r>
        <w:rPr>
          <w:noProof/>
        </w:rPr>
        <w:tab/>
      </w:r>
      <w:r w:rsidRPr="008356C6">
        <w:rPr>
          <w:noProof/>
        </w:rPr>
        <w:t xml:space="preserve">capitolele IV și V și apendicele (Certificate) la Convenția internațională pentru ocrotirea vieții omenești pe mare (SOLAS) din </w:t>
      </w:r>
      <w:r w:rsidRPr="00DC27B2">
        <w:rPr>
          <w:noProof/>
        </w:rPr>
        <w:t>1974</w:t>
      </w:r>
      <w:r w:rsidRPr="008356C6">
        <w:rPr>
          <w:noProof/>
        </w:rPr>
        <w:t xml:space="preserve">, </w:t>
      </w:r>
    </w:p>
    <w:p w:rsidR="00702CF4" w:rsidRPr="008356C6" w:rsidRDefault="00702CF4" w:rsidP="004179EA">
      <w:pPr>
        <w:pStyle w:val="Point0"/>
        <w:rPr>
          <w:noProof/>
        </w:rPr>
      </w:pPr>
      <w:r>
        <w:rPr>
          <w:noProof/>
        </w:rPr>
        <w:t>(b)</w:t>
      </w:r>
      <w:r>
        <w:rPr>
          <w:noProof/>
        </w:rPr>
        <w:tab/>
      </w:r>
      <w:r w:rsidRPr="008356C6">
        <w:rPr>
          <w:noProof/>
        </w:rPr>
        <w:t xml:space="preserve">Codul internațional din </w:t>
      </w:r>
      <w:r w:rsidRPr="00DC27B2">
        <w:rPr>
          <w:noProof/>
        </w:rPr>
        <w:t>1994</w:t>
      </w:r>
      <w:r w:rsidRPr="008356C6">
        <w:rPr>
          <w:noProof/>
        </w:rPr>
        <w:t xml:space="preserve"> privind siguranța ambarcațiunilor de mare viteză (Codul HSC din </w:t>
      </w:r>
      <w:r w:rsidRPr="00DC27B2">
        <w:rPr>
          <w:noProof/>
        </w:rPr>
        <w:t>1994</w:t>
      </w:r>
      <w:r w:rsidRPr="008356C6">
        <w:rPr>
          <w:noProof/>
        </w:rPr>
        <w:t xml:space="preserve">), </w:t>
      </w:r>
    </w:p>
    <w:p w:rsidR="00702CF4" w:rsidRPr="008356C6" w:rsidRDefault="00702CF4" w:rsidP="004179EA">
      <w:pPr>
        <w:pStyle w:val="Point0"/>
        <w:rPr>
          <w:noProof/>
        </w:rPr>
      </w:pPr>
      <w:r>
        <w:rPr>
          <w:noProof/>
        </w:rPr>
        <w:t>(c)</w:t>
      </w:r>
      <w:r>
        <w:rPr>
          <w:noProof/>
        </w:rPr>
        <w:tab/>
      </w:r>
      <w:r w:rsidRPr="008356C6">
        <w:rPr>
          <w:noProof/>
        </w:rPr>
        <w:t xml:space="preserve">Codul internațional din </w:t>
      </w:r>
      <w:r w:rsidRPr="00DC27B2">
        <w:rPr>
          <w:noProof/>
        </w:rPr>
        <w:t>2000</w:t>
      </w:r>
      <w:r w:rsidRPr="008356C6">
        <w:rPr>
          <w:noProof/>
        </w:rPr>
        <w:t xml:space="preserve"> privind siguranța ambarcațiunilor de mare viteză (Codul HSC din </w:t>
      </w:r>
      <w:r w:rsidRPr="00DC27B2">
        <w:rPr>
          <w:noProof/>
        </w:rPr>
        <w:t>2000</w:t>
      </w:r>
      <w:r w:rsidRPr="008356C6">
        <w:rPr>
          <w:noProof/>
        </w:rPr>
        <w:t xml:space="preserve">), </w:t>
      </w:r>
    </w:p>
    <w:p w:rsidR="00702CF4" w:rsidRPr="008356C6" w:rsidRDefault="00702CF4" w:rsidP="004179EA">
      <w:pPr>
        <w:pStyle w:val="Point0"/>
        <w:rPr>
          <w:noProof/>
        </w:rPr>
      </w:pPr>
      <w:r>
        <w:rPr>
          <w:noProof/>
        </w:rPr>
        <w:t>(d)</w:t>
      </w:r>
      <w:r>
        <w:rPr>
          <w:noProof/>
        </w:rPr>
        <w:tab/>
      </w:r>
      <w:r w:rsidRPr="008356C6">
        <w:rPr>
          <w:noProof/>
        </w:rPr>
        <w:t xml:space="preserve">Codul internațional din </w:t>
      </w:r>
      <w:r w:rsidRPr="00DC27B2">
        <w:rPr>
          <w:noProof/>
        </w:rPr>
        <w:t>2011</w:t>
      </w:r>
      <w:r w:rsidRPr="008356C6">
        <w:rPr>
          <w:noProof/>
        </w:rPr>
        <w:t xml:space="preserve"> privind programul intensificat de inspecții efectuate cu ocazia inspecțiilor la vrachiere și petroliere (Codul ESP </w:t>
      </w:r>
      <w:r w:rsidRPr="00DC27B2">
        <w:rPr>
          <w:noProof/>
        </w:rPr>
        <w:t>2011</w:t>
      </w:r>
      <w:r w:rsidRPr="008356C6">
        <w:rPr>
          <w:noProof/>
        </w:rPr>
        <w:t xml:space="preserve">), </w:t>
      </w:r>
    </w:p>
    <w:p w:rsidR="00702CF4" w:rsidRPr="008356C6" w:rsidRDefault="00702CF4" w:rsidP="004179EA">
      <w:pPr>
        <w:pStyle w:val="Point0"/>
        <w:rPr>
          <w:noProof/>
        </w:rPr>
      </w:pPr>
      <w:r>
        <w:rPr>
          <w:noProof/>
        </w:rPr>
        <w:t>(e)</w:t>
      </w:r>
      <w:r>
        <w:rPr>
          <w:noProof/>
        </w:rPr>
        <w:tab/>
      </w:r>
      <w:r w:rsidRPr="008356C6">
        <w:rPr>
          <w:noProof/>
        </w:rPr>
        <w:t xml:space="preserve">Codul internațional al mijloacelor de salvare (Codul LSA), </w:t>
      </w:r>
    </w:p>
    <w:p w:rsidR="00702CF4" w:rsidRPr="008356C6" w:rsidRDefault="00702CF4" w:rsidP="004179EA">
      <w:pPr>
        <w:pStyle w:val="Point0"/>
        <w:rPr>
          <w:noProof/>
        </w:rPr>
      </w:pPr>
      <w:r>
        <w:rPr>
          <w:noProof/>
        </w:rPr>
        <w:t>(f)</w:t>
      </w:r>
      <w:r>
        <w:rPr>
          <w:noProof/>
        </w:rPr>
        <w:tab/>
      </w:r>
      <w:r w:rsidRPr="008356C6">
        <w:rPr>
          <w:noProof/>
        </w:rPr>
        <w:t xml:space="preserve">Anexa B la Protocolul din </w:t>
      </w:r>
      <w:r w:rsidRPr="00DC27B2">
        <w:rPr>
          <w:noProof/>
        </w:rPr>
        <w:t>1988</w:t>
      </w:r>
      <w:r w:rsidRPr="008356C6">
        <w:rPr>
          <w:noProof/>
        </w:rPr>
        <w:t xml:space="preserve"> referitor la Convenția internațională din </w:t>
      </w:r>
      <w:r w:rsidRPr="00DC27B2">
        <w:rPr>
          <w:noProof/>
        </w:rPr>
        <w:t>1966</w:t>
      </w:r>
      <w:r w:rsidRPr="008356C6">
        <w:rPr>
          <w:noProof/>
        </w:rPr>
        <w:t xml:space="preserve"> asupra liniilor de încărcare (Protocolul din </w:t>
      </w:r>
      <w:r w:rsidRPr="00DC27B2">
        <w:rPr>
          <w:noProof/>
        </w:rPr>
        <w:t>1988</w:t>
      </w:r>
      <w:r w:rsidRPr="008356C6">
        <w:rPr>
          <w:noProof/>
        </w:rPr>
        <w:t xml:space="preserve"> privind liniile de încărcare).</w:t>
      </w:r>
    </w:p>
    <w:p w:rsidR="00702CF4" w:rsidRPr="008356C6" w:rsidRDefault="00702CF4" w:rsidP="00702CF4">
      <w:pPr>
        <w:pStyle w:val="Point0"/>
        <w:ind w:left="720" w:firstLine="0"/>
        <w:rPr>
          <w:rFonts w:eastAsia="Arial Unicode MS"/>
          <w:noProof/>
        </w:rPr>
      </w:pPr>
    </w:p>
    <w:p w:rsidR="00103E24" w:rsidRPr="008356C6" w:rsidRDefault="00103E24" w:rsidP="004A38D8">
      <w:pPr>
        <w:pStyle w:val="ManualHeading1"/>
        <w:spacing w:before="120"/>
        <w:rPr>
          <w:noProof/>
        </w:rPr>
      </w:pPr>
      <w:r>
        <w:rPr>
          <w:noProof/>
        </w:rPr>
        <w:t>3.</w:t>
      </w:r>
      <w:r>
        <w:rPr>
          <w:noProof/>
        </w:rPr>
        <w:tab/>
      </w:r>
      <w:bookmarkStart w:id="8" w:name="_Hlk145337231"/>
      <w:bookmarkEnd w:id="7"/>
      <w:r w:rsidRPr="008356C6">
        <w:rPr>
          <w:noProof/>
        </w:rPr>
        <w:t xml:space="preserve">Poziția care urmează să fie luată în numele Uniunii Europene în cadrul MEPC </w:t>
      </w:r>
      <w:r w:rsidRPr="00DC27B2">
        <w:rPr>
          <w:noProof/>
        </w:rPr>
        <w:t>84</w:t>
      </w:r>
      <w:r w:rsidRPr="008356C6">
        <w:rPr>
          <w:noProof/>
        </w:rPr>
        <w:t xml:space="preserve"> </w:t>
      </w:r>
    </w:p>
    <w:p w:rsidR="00B933B7" w:rsidRPr="008356C6" w:rsidRDefault="005F2DE4" w:rsidP="004A38D8">
      <w:pPr>
        <w:pStyle w:val="ManualHeading2"/>
        <w:rPr>
          <w:b w:val="0"/>
          <w:noProof/>
        </w:rPr>
      </w:pPr>
      <w:r>
        <w:rPr>
          <w:noProof/>
        </w:rPr>
        <w:t>3.1.</w:t>
      </w:r>
      <w:r>
        <w:rPr>
          <w:noProof/>
        </w:rPr>
        <w:tab/>
      </w:r>
      <w:bookmarkStart w:id="9" w:name="_Hlk145442971"/>
      <w:bookmarkEnd w:id="8"/>
      <w:r w:rsidRPr="008356C6">
        <w:rPr>
          <w:b w:val="0"/>
          <w:noProof/>
        </w:rPr>
        <w:t xml:space="preserve">Amendamente aduse regulilor </w:t>
      </w:r>
      <w:r w:rsidRPr="00DC27B2">
        <w:rPr>
          <w:b w:val="0"/>
          <w:noProof/>
        </w:rPr>
        <w:t>13</w:t>
      </w:r>
      <w:r w:rsidRPr="008356C6">
        <w:rPr>
          <w:b w:val="0"/>
          <w:noProof/>
        </w:rPr>
        <w:t xml:space="preserve"> și </w:t>
      </w:r>
      <w:r w:rsidRPr="00DC27B2">
        <w:rPr>
          <w:b w:val="0"/>
          <w:noProof/>
        </w:rPr>
        <w:t>14</w:t>
      </w:r>
      <w:r w:rsidRPr="008356C6">
        <w:rPr>
          <w:b w:val="0"/>
          <w:noProof/>
        </w:rPr>
        <w:t xml:space="preserve"> și apendicelui VII la anexa VI la MARPOL </w:t>
      </w:r>
    </w:p>
    <w:bookmarkEnd w:id="9"/>
    <w:p w:rsidR="000E7D55" w:rsidRPr="008356C6" w:rsidRDefault="00447EB4" w:rsidP="004A38D8">
      <w:pPr>
        <w:pStyle w:val="Text1"/>
        <w:ind w:left="0"/>
        <w:rPr>
          <w:noProof/>
        </w:rPr>
      </w:pPr>
      <w:r w:rsidRPr="008356C6">
        <w:rPr>
          <w:noProof/>
        </w:rPr>
        <w:t xml:space="preserve">Statele membre ale UE și Comisia Europeană, împreună cu Regatul Unit, Islanda, Danemarca (Groenlanda) și Insulele Feroe, au trimis MEPC </w:t>
      </w:r>
      <w:r w:rsidRPr="00DC27B2">
        <w:rPr>
          <w:noProof/>
        </w:rPr>
        <w:t>83</w:t>
      </w:r>
      <w:r w:rsidRPr="008356C6">
        <w:rPr>
          <w:noProof/>
        </w:rPr>
        <w:t xml:space="preserve"> un document în care propun desemnarea Atlanticului de Nord-Est ca zonă de control al emisiilor de SOx, de particule în suspensie și de monoxizi de azot, în temeiul anexei VI la MARPOL. Comisia a participat activ la lucrările pregătitoare, împreună cu statele riverane, sub coordonarea delegației Portugaliei. </w:t>
      </w:r>
    </w:p>
    <w:p w:rsidR="00C00CA7" w:rsidRPr="008356C6" w:rsidRDefault="000E7D55" w:rsidP="004A38D8">
      <w:pPr>
        <w:pStyle w:val="Text1"/>
        <w:ind w:left="0"/>
        <w:rPr>
          <w:noProof/>
          <w:highlight w:val="yellow"/>
        </w:rPr>
      </w:pPr>
      <w:r w:rsidRPr="008356C6">
        <w:rPr>
          <w:noProof/>
        </w:rPr>
        <w:t xml:space="preserve">Grupul tehnic privind desemnarea zonelor maritime deosebit de sensibile (PSSA) și a ariilor speciale a stabilit că ECA propusă îndeplinește criteriile prevăzute în secțiunea </w:t>
      </w:r>
      <w:r w:rsidRPr="00DC27B2">
        <w:rPr>
          <w:noProof/>
        </w:rPr>
        <w:t>3</w:t>
      </w:r>
      <w:r w:rsidRPr="008356C6">
        <w:rPr>
          <w:noProof/>
        </w:rPr>
        <w:t xml:space="preserve"> din apendicele III la anexa VI la MARPOL. După ce a luat notă de rezultatele discuțiilor grupului tehnic, MEPC </w:t>
      </w:r>
      <w:r w:rsidRPr="00DC27B2">
        <w:rPr>
          <w:noProof/>
        </w:rPr>
        <w:t>83</w:t>
      </w:r>
      <w:r w:rsidRPr="008356C6">
        <w:rPr>
          <w:noProof/>
        </w:rPr>
        <w:t xml:space="preserve"> a aprobat desemnarea unei ECA pentru controlul SOx, PM și NOx pentru Oceanul Atlantic de Nord-Est, în vederea adoptării la următoarea sesiune MEPC. Aceste modificări au fost distribuite de către secretariatul OMI prin circulara OMI nr. </w:t>
      </w:r>
      <w:r w:rsidRPr="00DC27B2">
        <w:rPr>
          <w:noProof/>
        </w:rPr>
        <w:t>5085</w:t>
      </w:r>
      <w:r w:rsidRPr="008356C6">
        <w:rPr>
          <w:noProof/>
        </w:rPr>
        <w:t xml:space="preserve"> din </w:t>
      </w:r>
      <w:r w:rsidRPr="00DC27B2">
        <w:rPr>
          <w:noProof/>
        </w:rPr>
        <w:t>24</w:t>
      </w:r>
      <w:r w:rsidRPr="008356C6">
        <w:rPr>
          <w:noProof/>
        </w:rPr>
        <w:t xml:space="preserve"> octombrie </w:t>
      </w:r>
      <w:r w:rsidRPr="00DC27B2">
        <w:rPr>
          <w:noProof/>
        </w:rPr>
        <w:t>2025</w:t>
      </w:r>
      <w:r w:rsidRPr="008356C6">
        <w:rPr>
          <w:noProof/>
        </w:rPr>
        <w:t>.</w:t>
      </w:r>
    </w:p>
    <w:p w:rsidR="00566D8E" w:rsidRPr="008356C6" w:rsidRDefault="00C00CA7" w:rsidP="004A38D8">
      <w:pPr>
        <w:tabs>
          <w:tab w:val="left" w:pos="851"/>
        </w:tabs>
        <w:rPr>
          <w:noProof/>
        </w:rPr>
      </w:pPr>
      <w:r w:rsidRPr="008356C6">
        <w:rPr>
          <w:noProof/>
        </w:rPr>
        <w:t>Uniunea trebuie să sprijine propunerea stabilită în proiectul de modificări revizuit, de desemnare a Oceanului Atlantic de Nord-Est ca zonă de control al emisiilor de SOx, de particule în suspensie și de monoxizi de azot, în temeiul anexei VI la MARPOL, deoarece desemnarea va contribui la prevenirea, reducerea și controlul emisiilor de NO</w:t>
      </w:r>
      <w:r w:rsidRPr="008356C6">
        <w:rPr>
          <w:noProof/>
          <w:vertAlign w:val="subscript"/>
        </w:rPr>
        <w:t>x</w:t>
      </w:r>
      <w:r w:rsidRPr="008356C6">
        <w:rPr>
          <w:noProof/>
        </w:rPr>
        <w:t>, SO</w:t>
      </w:r>
      <w:r w:rsidRPr="008356C6">
        <w:rPr>
          <w:noProof/>
          <w:vertAlign w:val="subscript"/>
        </w:rPr>
        <w:t>x</w:t>
      </w:r>
      <w:r w:rsidRPr="008356C6">
        <w:rPr>
          <w:noProof/>
        </w:rPr>
        <w:t xml:space="preserve"> și particule în suspensie generate de nave, în scopul obținerii unor beneficii conexe în domeniul sănătății și al mediului, fiind menținut totodată la un nivel gestionabil impactul economic asupra sectorului maritim. </w:t>
      </w:r>
    </w:p>
    <w:p w:rsidR="00D13F5B" w:rsidRPr="008356C6" w:rsidRDefault="00812396" w:rsidP="004A38D8">
      <w:pPr>
        <w:pStyle w:val="ManualHeading2"/>
        <w:rPr>
          <w:b w:val="0"/>
          <w:noProof/>
        </w:rPr>
      </w:pPr>
      <w:r>
        <w:rPr>
          <w:noProof/>
        </w:rPr>
        <w:t>3.2.</w:t>
      </w:r>
      <w:r>
        <w:rPr>
          <w:noProof/>
        </w:rPr>
        <w:tab/>
      </w:r>
      <w:r w:rsidRPr="008356C6">
        <w:rPr>
          <w:b w:val="0"/>
          <w:noProof/>
        </w:rPr>
        <w:t xml:space="preserve">Modificările aduse regulilor </w:t>
      </w:r>
      <w:r w:rsidRPr="00DC27B2">
        <w:rPr>
          <w:b w:val="0"/>
          <w:noProof/>
        </w:rPr>
        <w:t>20</w:t>
      </w:r>
      <w:r w:rsidRPr="008356C6">
        <w:rPr>
          <w:b w:val="0"/>
          <w:noProof/>
        </w:rPr>
        <w:t xml:space="preserve">, </w:t>
      </w:r>
      <w:r w:rsidRPr="00DC27B2">
        <w:rPr>
          <w:b w:val="0"/>
          <w:noProof/>
        </w:rPr>
        <w:t>25</w:t>
      </w:r>
      <w:r w:rsidRPr="008356C6">
        <w:rPr>
          <w:b w:val="0"/>
          <w:noProof/>
        </w:rPr>
        <w:t xml:space="preserve">, </w:t>
      </w:r>
      <w:r w:rsidRPr="00DC27B2">
        <w:rPr>
          <w:b w:val="0"/>
          <w:noProof/>
        </w:rPr>
        <w:t>27</w:t>
      </w:r>
      <w:r w:rsidRPr="008356C6">
        <w:rPr>
          <w:b w:val="0"/>
          <w:noProof/>
        </w:rPr>
        <w:t xml:space="preserve"> și </w:t>
      </w:r>
      <w:r w:rsidRPr="00DC27B2">
        <w:rPr>
          <w:b w:val="0"/>
          <w:noProof/>
        </w:rPr>
        <w:t>28</w:t>
      </w:r>
      <w:r w:rsidRPr="008356C6">
        <w:rPr>
          <w:b w:val="0"/>
          <w:noProof/>
        </w:rPr>
        <w:t xml:space="preserve"> din anexa VI la MARPOL</w:t>
      </w:r>
    </w:p>
    <w:p w:rsidR="007E7DC9" w:rsidRPr="008356C6" w:rsidRDefault="007E7DC9" w:rsidP="004A38D8">
      <w:pPr>
        <w:rPr>
          <w:noProof/>
        </w:rPr>
      </w:pPr>
      <w:r w:rsidRPr="008356C6">
        <w:rPr>
          <w:noProof/>
        </w:rPr>
        <w:t xml:space="preserve">MEPC </w:t>
      </w:r>
      <w:r w:rsidRPr="00DC27B2">
        <w:rPr>
          <w:noProof/>
        </w:rPr>
        <w:t>82</w:t>
      </w:r>
      <w:r w:rsidRPr="008356C6">
        <w:rPr>
          <w:noProof/>
        </w:rPr>
        <w:t xml:space="preserve"> a stabilit Grupul de corespondență privind revizuirea măsurii pe termen scurt de reducere a GES, sub coordonarea comună a Braziliei, Japoniei și Comisiei Europene. </w:t>
      </w:r>
    </w:p>
    <w:p w:rsidR="007E7DC9" w:rsidRPr="008356C6" w:rsidRDefault="007E7DC9" w:rsidP="004A38D8">
      <w:pPr>
        <w:rPr>
          <w:noProof/>
        </w:rPr>
      </w:pPr>
      <w:r w:rsidRPr="008356C6">
        <w:rPr>
          <w:noProof/>
        </w:rPr>
        <w:t xml:space="preserve">În cadrul primei sale reuniuni, Grupul de lucru intersesional privind poluarea atmosferică și eficiența energetică (ISWG-APEE </w:t>
      </w:r>
      <w:r w:rsidRPr="00DC27B2">
        <w:rPr>
          <w:noProof/>
        </w:rPr>
        <w:t>1</w:t>
      </w:r>
      <w:r w:rsidRPr="008356C6">
        <w:rPr>
          <w:noProof/>
        </w:rPr>
        <w:t xml:space="preserve">) a luat în discuție, printre alte subiecte, accesibilitatea datelor din baza de date a OMI privind consumul de păcură al navelor (DCS a OMI) în scopuri de analiză și clauza de revizuire a măsurii pe termen scurt de reducere a GES. </w:t>
      </w:r>
    </w:p>
    <w:p w:rsidR="000B6AF2" w:rsidRPr="008356C6" w:rsidRDefault="000B6AF2" w:rsidP="004A38D8">
      <w:pPr>
        <w:rPr>
          <w:noProof/>
        </w:rPr>
      </w:pPr>
      <w:r w:rsidRPr="008356C6">
        <w:rPr>
          <w:noProof/>
        </w:rPr>
        <w:t xml:space="preserve">În privința accesibilității datelor din DCS a OMI, ISWG-APEE </w:t>
      </w:r>
      <w:r w:rsidRPr="00DC27B2">
        <w:rPr>
          <w:noProof/>
        </w:rPr>
        <w:t>1</w:t>
      </w:r>
      <w:r w:rsidRPr="008356C6">
        <w:rPr>
          <w:noProof/>
        </w:rPr>
        <w:t xml:space="preserve"> a analizat raportul Grupului de corespondență, care a fost de acord să îmbunătățească accesibilitatea datelor din DCS a </w:t>
      </w:r>
      <w:r w:rsidRPr="008356C6">
        <w:rPr>
          <w:noProof/>
        </w:rPr>
        <w:lastRenderedPageBreak/>
        <w:t xml:space="preserve">OMI în faza </w:t>
      </w:r>
      <w:r w:rsidRPr="00DC27B2">
        <w:rPr>
          <w:noProof/>
        </w:rPr>
        <w:t>1</w:t>
      </w:r>
      <w:r w:rsidRPr="008356C6">
        <w:rPr>
          <w:noProof/>
        </w:rPr>
        <w:t xml:space="preserve">. În urma analizei, grupul a pregătit proiectul de modificări privind regula </w:t>
      </w:r>
      <w:r w:rsidRPr="00DC27B2">
        <w:rPr>
          <w:noProof/>
        </w:rPr>
        <w:t>27</w:t>
      </w:r>
      <w:r w:rsidRPr="008356C6">
        <w:rPr>
          <w:noProof/>
        </w:rPr>
        <w:t xml:space="preserve"> din anexa VI la MARPOL. </w:t>
      </w:r>
    </w:p>
    <w:p w:rsidR="001A38FB" w:rsidRPr="008356C6" w:rsidRDefault="001A38FB" w:rsidP="004A38D8">
      <w:pPr>
        <w:rPr>
          <w:noProof/>
        </w:rPr>
      </w:pPr>
      <w:r w:rsidRPr="008356C6">
        <w:rPr>
          <w:noProof/>
        </w:rPr>
        <w:t xml:space="preserve">MEPC </w:t>
      </w:r>
      <w:r w:rsidRPr="00DC27B2">
        <w:rPr>
          <w:noProof/>
        </w:rPr>
        <w:t>83</w:t>
      </w:r>
      <w:r w:rsidRPr="008356C6">
        <w:rPr>
          <w:noProof/>
        </w:rPr>
        <w:t xml:space="preserve"> a solicitat Grupului de lucru APEE, printre altele, să finalizeze proiectul de modificări privind anexa VI la MARPOL și orientările conexe referitoare la accesibilitatea DCS a OMI.</w:t>
      </w:r>
    </w:p>
    <w:p w:rsidR="001A38FB" w:rsidRPr="008356C6" w:rsidRDefault="14FA6B85" w:rsidP="004A38D8">
      <w:pPr>
        <w:rPr>
          <w:noProof/>
        </w:rPr>
      </w:pPr>
      <w:r w:rsidRPr="008356C6">
        <w:rPr>
          <w:noProof/>
        </w:rPr>
        <w:t xml:space="preserve">Luând notă de faptul că Grupul de lucru a analizat suplimentar proiectul de modificări privind regula </w:t>
      </w:r>
      <w:r w:rsidRPr="00DC27B2">
        <w:rPr>
          <w:noProof/>
        </w:rPr>
        <w:t>27</w:t>
      </w:r>
      <w:r w:rsidRPr="008356C6">
        <w:rPr>
          <w:noProof/>
        </w:rPr>
        <w:t xml:space="preserve"> din anexa VI la MARPOL și orientările conexe referitoare la accesibilitatea DCS a OMI pregătit de ISWG-APEE </w:t>
      </w:r>
      <w:r w:rsidRPr="00DC27B2">
        <w:rPr>
          <w:noProof/>
        </w:rPr>
        <w:t>1</w:t>
      </w:r>
      <w:r w:rsidRPr="008356C6">
        <w:rPr>
          <w:noProof/>
        </w:rPr>
        <w:t xml:space="preserve">, MEPC </w:t>
      </w:r>
      <w:r w:rsidRPr="00DC27B2">
        <w:rPr>
          <w:noProof/>
        </w:rPr>
        <w:t>83</w:t>
      </w:r>
      <w:r w:rsidRPr="008356C6">
        <w:rPr>
          <w:noProof/>
        </w:rPr>
        <w:t xml:space="preserve"> a aprobat proiectul de modificări privind regula </w:t>
      </w:r>
      <w:r w:rsidRPr="00DC27B2">
        <w:rPr>
          <w:noProof/>
        </w:rPr>
        <w:t>27</w:t>
      </w:r>
      <w:r w:rsidRPr="008356C6">
        <w:rPr>
          <w:noProof/>
        </w:rPr>
        <w:t xml:space="preserve"> din anexa VI la MARPOL privind accesibilitatea DCS a OMI, în vederea adoptării în cadrul următoarei sesiuni MEPC. Aceste modificări au fost distribuite de către secretariatul OMI prin circulara OMI nr. </w:t>
      </w:r>
      <w:r w:rsidRPr="00DC27B2">
        <w:rPr>
          <w:noProof/>
        </w:rPr>
        <w:t>5005</w:t>
      </w:r>
      <w:r w:rsidRPr="008356C6">
        <w:rPr>
          <w:noProof/>
        </w:rPr>
        <w:t xml:space="preserve"> din </w:t>
      </w:r>
      <w:r w:rsidRPr="00DC27B2">
        <w:rPr>
          <w:noProof/>
        </w:rPr>
        <w:t>11</w:t>
      </w:r>
      <w:r w:rsidRPr="008356C6">
        <w:rPr>
          <w:noProof/>
        </w:rPr>
        <w:t xml:space="preserve"> aprilie </w:t>
      </w:r>
      <w:r w:rsidRPr="00DC27B2">
        <w:rPr>
          <w:noProof/>
        </w:rPr>
        <w:t>2025</w:t>
      </w:r>
      <w:r w:rsidRPr="008356C6">
        <w:rPr>
          <w:noProof/>
        </w:rPr>
        <w:t>.</w:t>
      </w:r>
    </w:p>
    <w:p w:rsidR="00AF3121" w:rsidRPr="008356C6" w:rsidRDefault="00AF3121" w:rsidP="004A38D8">
      <w:pPr>
        <w:rPr>
          <w:noProof/>
        </w:rPr>
      </w:pPr>
      <w:r w:rsidRPr="008356C6">
        <w:rPr>
          <w:noProof/>
        </w:rPr>
        <w:t xml:space="preserve">Uniunea a prezentat o propunere în această privință (ISWG-GHG </w:t>
      </w:r>
      <w:r w:rsidRPr="00DC27B2">
        <w:rPr>
          <w:noProof/>
        </w:rPr>
        <w:t>13</w:t>
      </w:r>
      <w:r w:rsidRPr="008356C6">
        <w:rPr>
          <w:noProof/>
        </w:rPr>
        <w:t>/</w:t>
      </w:r>
      <w:r w:rsidRPr="00DC27B2">
        <w:rPr>
          <w:noProof/>
        </w:rPr>
        <w:t>7</w:t>
      </w:r>
      <w:r w:rsidRPr="008356C6">
        <w:rPr>
          <w:noProof/>
        </w:rPr>
        <w:t xml:space="preserve">), prin care a solicitat modificarea DCS în ceea ce privește granularitatea datelor, datele suplimentare și accesibilitatea. Proiectul de modificări este coerent cu ISWG-GHG </w:t>
      </w:r>
      <w:r w:rsidRPr="00DC27B2">
        <w:rPr>
          <w:noProof/>
        </w:rPr>
        <w:t>13</w:t>
      </w:r>
      <w:r w:rsidRPr="008356C6">
        <w:rPr>
          <w:noProof/>
        </w:rPr>
        <w:t>/</w:t>
      </w:r>
      <w:r w:rsidRPr="00DC27B2">
        <w:rPr>
          <w:noProof/>
        </w:rPr>
        <w:t>7</w:t>
      </w:r>
      <w:r w:rsidRPr="008356C6">
        <w:rPr>
          <w:noProof/>
        </w:rPr>
        <w:t xml:space="preserve"> în legătură cu accesibilitatea sporită.</w:t>
      </w:r>
    </w:p>
    <w:p w:rsidR="007E7DC9" w:rsidRPr="008356C6" w:rsidRDefault="007E7DC9" w:rsidP="004A38D8">
      <w:pPr>
        <w:rPr>
          <w:noProof/>
        </w:rPr>
      </w:pPr>
      <w:r w:rsidRPr="008356C6">
        <w:rPr>
          <w:noProof/>
        </w:rPr>
        <w:t xml:space="preserve">Poziția Uniunii în cadrul ISWG-APEE </w:t>
      </w:r>
      <w:r w:rsidRPr="00DC27B2">
        <w:rPr>
          <w:noProof/>
        </w:rPr>
        <w:t>1</w:t>
      </w:r>
      <w:r w:rsidRPr="008356C6">
        <w:rPr>
          <w:noProof/>
        </w:rPr>
        <w:t xml:space="preserve"> și MEPC </w:t>
      </w:r>
      <w:r w:rsidRPr="00DC27B2">
        <w:rPr>
          <w:noProof/>
        </w:rPr>
        <w:t>83</w:t>
      </w:r>
      <w:r w:rsidRPr="008356C6">
        <w:rPr>
          <w:noProof/>
        </w:rPr>
        <w:t xml:space="preserve"> a fost de a sprijin proiectul de modificări privind regula </w:t>
      </w:r>
      <w:r w:rsidRPr="00DC27B2">
        <w:rPr>
          <w:noProof/>
        </w:rPr>
        <w:t>27</w:t>
      </w:r>
      <w:r w:rsidRPr="008356C6">
        <w:rPr>
          <w:noProof/>
        </w:rPr>
        <w:t>.</w:t>
      </w:r>
    </w:p>
    <w:p w:rsidR="00EB5B26" w:rsidRPr="008356C6" w:rsidRDefault="00EB5B26" w:rsidP="00EB5B26">
      <w:pPr>
        <w:rPr>
          <w:noProof/>
        </w:rPr>
      </w:pPr>
      <w:r w:rsidRPr="008356C6">
        <w:rPr>
          <w:noProof/>
        </w:rPr>
        <w:t>Uniunea trebuie să sprijine modificările respective deoarece acestea vor spori și mai mult accesibilitatea datelor din DCS a OMI, în scopul de a se asigura punerea în aplicare solidă a cadrului CII și de a se facilita revizuirea sa.</w:t>
      </w:r>
    </w:p>
    <w:p w:rsidR="00324D68" w:rsidRPr="008356C6" w:rsidRDefault="000B6AF2" w:rsidP="004A38D8">
      <w:pPr>
        <w:rPr>
          <w:noProof/>
        </w:rPr>
      </w:pPr>
      <w:r w:rsidRPr="008356C6">
        <w:rPr>
          <w:noProof/>
        </w:rPr>
        <w:t xml:space="preserve">Referitor la clauzele de revizuire a măsurii pe termen scurt, ISWG-APEE </w:t>
      </w:r>
      <w:r w:rsidRPr="00DC27B2">
        <w:rPr>
          <w:noProof/>
        </w:rPr>
        <w:t>1</w:t>
      </w:r>
      <w:r w:rsidRPr="008356C6">
        <w:rPr>
          <w:noProof/>
        </w:rPr>
        <w:t xml:space="preserve"> a pregătit un proiect de modificări privind regulile </w:t>
      </w:r>
      <w:r w:rsidRPr="00DC27B2">
        <w:rPr>
          <w:noProof/>
        </w:rPr>
        <w:t>20</w:t>
      </w:r>
      <w:r w:rsidRPr="008356C6">
        <w:rPr>
          <w:noProof/>
        </w:rPr>
        <w:t xml:space="preserve">, </w:t>
      </w:r>
      <w:r w:rsidRPr="00DC27B2">
        <w:rPr>
          <w:noProof/>
        </w:rPr>
        <w:t>25</w:t>
      </w:r>
      <w:r w:rsidRPr="008356C6">
        <w:rPr>
          <w:noProof/>
        </w:rPr>
        <w:t xml:space="preserve"> și </w:t>
      </w:r>
      <w:r w:rsidRPr="00DC27B2">
        <w:rPr>
          <w:noProof/>
        </w:rPr>
        <w:t>28</w:t>
      </w:r>
      <w:r w:rsidRPr="008356C6">
        <w:rPr>
          <w:noProof/>
        </w:rPr>
        <w:t xml:space="preserve"> din anexa VI la MARPOL, utilizând ca bază anexa la documentul MEPC </w:t>
      </w:r>
      <w:r w:rsidRPr="00DC27B2">
        <w:rPr>
          <w:noProof/>
        </w:rPr>
        <w:t>83</w:t>
      </w:r>
      <w:r w:rsidRPr="008356C6">
        <w:rPr>
          <w:noProof/>
        </w:rPr>
        <w:t>/</w:t>
      </w:r>
      <w:r w:rsidRPr="00DC27B2">
        <w:rPr>
          <w:noProof/>
        </w:rPr>
        <w:t>6</w:t>
      </w:r>
      <w:r w:rsidRPr="008356C6">
        <w:rPr>
          <w:noProof/>
        </w:rPr>
        <w:t>/</w:t>
      </w:r>
      <w:r w:rsidRPr="00DC27B2">
        <w:rPr>
          <w:noProof/>
        </w:rPr>
        <w:t>11</w:t>
      </w:r>
      <w:r w:rsidRPr="008356C6">
        <w:rPr>
          <w:noProof/>
        </w:rPr>
        <w:t>, pregătită de Grupul de corespondență cu privire la o actualizare a trimiterii la Strategia OMI și la Revizuirea măsurii pe termen scurt a reducerii GES.</w:t>
      </w:r>
    </w:p>
    <w:p w:rsidR="00324D68" w:rsidRPr="008356C6" w:rsidRDefault="007E7DC9" w:rsidP="004A38D8">
      <w:pPr>
        <w:rPr>
          <w:noProof/>
        </w:rPr>
      </w:pPr>
      <w:r w:rsidRPr="008356C6">
        <w:rPr>
          <w:noProof/>
        </w:rPr>
        <w:t xml:space="preserve">MEPC </w:t>
      </w:r>
      <w:r w:rsidRPr="00DC27B2">
        <w:rPr>
          <w:noProof/>
        </w:rPr>
        <w:t>83</w:t>
      </w:r>
      <w:r w:rsidRPr="008356C6">
        <w:rPr>
          <w:noProof/>
        </w:rPr>
        <w:t xml:space="preserve"> a aprobat proiectul de modificări privind regulile </w:t>
      </w:r>
      <w:r w:rsidRPr="00DC27B2">
        <w:rPr>
          <w:noProof/>
        </w:rPr>
        <w:t>20</w:t>
      </w:r>
      <w:r w:rsidRPr="008356C6">
        <w:rPr>
          <w:noProof/>
        </w:rPr>
        <w:t xml:space="preserve">, </w:t>
      </w:r>
      <w:r w:rsidRPr="00DC27B2">
        <w:rPr>
          <w:noProof/>
        </w:rPr>
        <w:t>25</w:t>
      </w:r>
      <w:r w:rsidRPr="008356C6">
        <w:rPr>
          <w:noProof/>
        </w:rPr>
        <w:t xml:space="preserve"> și </w:t>
      </w:r>
      <w:r w:rsidRPr="00DC27B2">
        <w:rPr>
          <w:noProof/>
        </w:rPr>
        <w:t>28</w:t>
      </w:r>
      <w:r w:rsidRPr="008356C6">
        <w:rPr>
          <w:noProof/>
        </w:rPr>
        <w:t xml:space="preserve"> din anexa VI la MARPOL, în vederea adoptării în cadrul următoarei sesiuni a MEPC. Aceste modificări au fost distribuite de către secretariatul OMI prin circulara OMI nr. </w:t>
      </w:r>
      <w:r w:rsidRPr="00DC27B2">
        <w:rPr>
          <w:noProof/>
        </w:rPr>
        <w:t>5085</w:t>
      </w:r>
      <w:r w:rsidRPr="008356C6">
        <w:rPr>
          <w:noProof/>
        </w:rPr>
        <w:t xml:space="preserve"> din </w:t>
      </w:r>
      <w:r w:rsidRPr="00DC27B2">
        <w:rPr>
          <w:noProof/>
        </w:rPr>
        <w:t>24</w:t>
      </w:r>
      <w:r w:rsidRPr="008356C6">
        <w:rPr>
          <w:noProof/>
        </w:rPr>
        <w:t xml:space="preserve"> octombrie </w:t>
      </w:r>
      <w:r w:rsidRPr="00DC27B2">
        <w:rPr>
          <w:noProof/>
        </w:rPr>
        <w:t>2025</w:t>
      </w:r>
      <w:r w:rsidRPr="008356C6">
        <w:rPr>
          <w:noProof/>
        </w:rPr>
        <w:t>.</w:t>
      </w:r>
    </w:p>
    <w:p w:rsidR="007E7DC9" w:rsidRPr="008356C6" w:rsidRDefault="007E7DC9" w:rsidP="004A38D8">
      <w:pPr>
        <w:rPr>
          <w:noProof/>
        </w:rPr>
      </w:pPr>
      <w:r w:rsidRPr="008356C6">
        <w:rPr>
          <w:noProof/>
        </w:rPr>
        <w:t xml:space="preserve">Poziția Uniunii în cadrul ISWG-APEE </w:t>
      </w:r>
      <w:r w:rsidRPr="00DC27B2">
        <w:rPr>
          <w:noProof/>
        </w:rPr>
        <w:t>1</w:t>
      </w:r>
      <w:r w:rsidRPr="008356C6">
        <w:rPr>
          <w:noProof/>
        </w:rPr>
        <w:t xml:space="preserve"> și MEPC </w:t>
      </w:r>
      <w:r w:rsidRPr="00DC27B2">
        <w:rPr>
          <w:noProof/>
        </w:rPr>
        <w:t>83</w:t>
      </w:r>
      <w:r w:rsidRPr="008356C6">
        <w:rPr>
          <w:noProof/>
        </w:rPr>
        <w:t xml:space="preserve"> a fost de a sprijini proiectul de modificări prezentat în MEPC </w:t>
      </w:r>
      <w:r w:rsidRPr="00DC27B2">
        <w:rPr>
          <w:noProof/>
        </w:rPr>
        <w:t>83</w:t>
      </w:r>
      <w:r w:rsidRPr="008356C6">
        <w:rPr>
          <w:noProof/>
        </w:rPr>
        <w:t>/</w:t>
      </w:r>
      <w:r w:rsidRPr="00DC27B2">
        <w:rPr>
          <w:noProof/>
        </w:rPr>
        <w:t>6</w:t>
      </w:r>
      <w:r w:rsidRPr="008356C6">
        <w:rPr>
          <w:noProof/>
        </w:rPr>
        <w:t>/</w:t>
      </w:r>
      <w:r w:rsidRPr="00DC27B2">
        <w:rPr>
          <w:noProof/>
        </w:rPr>
        <w:t>11</w:t>
      </w:r>
      <w:r w:rsidRPr="008356C6">
        <w:rPr>
          <w:noProof/>
        </w:rPr>
        <w:t>.</w:t>
      </w:r>
    </w:p>
    <w:p w:rsidR="0045518D" w:rsidRPr="008356C6" w:rsidRDefault="0045518D" w:rsidP="004A38D8">
      <w:pPr>
        <w:rPr>
          <w:noProof/>
        </w:rPr>
      </w:pPr>
      <w:r w:rsidRPr="008356C6">
        <w:rPr>
          <w:noProof/>
        </w:rPr>
        <w:t xml:space="preserve">Uniunea trebuie să sprijine modificările respective deoarece acestea vin în urma adoptării Strategiei OMI din </w:t>
      </w:r>
      <w:r w:rsidRPr="00DC27B2">
        <w:rPr>
          <w:noProof/>
        </w:rPr>
        <w:t>2023</w:t>
      </w:r>
      <w:r w:rsidRPr="008356C6">
        <w:rPr>
          <w:noProof/>
        </w:rPr>
        <w:t xml:space="preserve"> referitoare la GES și a finalizării revizuirii măsurilor pe termen scurt de către OMI, permițând revizuirea suplimentară a acestor reguli.</w:t>
      </w:r>
    </w:p>
    <w:p w:rsidR="00CC15B0" w:rsidRPr="008356C6" w:rsidRDefault="2481F3B1" w:rsidP="004A38D8">
      <w:pPr>
        <w:pStyle w:val="Text1"/>
        <w:ind w:left="0"/>
        <w:rPr>
          <w:noProof/>
        </w:rPr>
      </w:pPr>
      <w:r w:rsidRPr="008356C6">
        <w:rPr>
          <w:noProof/>
        </w:rPr>
        <w:t xml:space="preserve"> </w:t>
      </w:r>
    </w:p>
    <w:p w:rsidR="00702CF4" w:rsidRPr="008356C6" w:rsidRDefault="00702CF4" w:rsidP="00702CF4">
      <w:pPr>
        <w:pStyle w:val="ManualHeading1"/>
        <w:spacing w:before="120"/>
        <w:rPr>
          <w:noProof/>
        </w:rPr>
      </w:pPr>
      <w:r>
        <w:rPr>
          <w:noProof/>
        </w:rPr>
        <w:t>4.</w:t>
      </w:r>
      <w:r>
        <w:rPr>
          <w:noProof/>
        </w:rPr>
        <w:tab/>
      </w:r>
      <w:r w:rsidRPr="008356C6">
        <w:rPr>
          <w:noProof/>
        </w:rPr>
        <w:t xml:space="preserve">Poziția care urmează să fie luată în numele Uniunii în cadrul MEPC </w:t>
      </w:r>
      <w:r w:rsidRPr="00DC27B2">
        <w:rPr>
          <w:noProof/>
        </w:rPr>
        <w:t>111</w:t>
      </w:r>
      <w:r w:rsidRPr="008356C6">
        <w:rPr>
          <w:noProof/>
        </w:rPr>
        <w:t xml:space="preserve"> </w:t>
      </w:r>
    </w:p>
    <w:p w:rsidR="00702CF4" w:rsidRPr="008356C6" w:rsidRDefault="00702CF4" w:rsidP="0026554C">
      <w:pPr>
        <w:pStyle w:val="ManualHeading2"/>
        <w:rPr>
          <w:b w:val="0"/>
          <w:noProof/>
        </w:rPr>
      </w:pPr>
      <w:r>
        <w:rPr>
          <w:noProof/>
        </w:rPr>
        <w:t>4.1.</w:t>
      </w:r>
      <w:r>
        <w:rPr>
          <w:noProof/>
        </w:rPr>
        <w:tab/>
      </w:r>
      <w:r w:rsidRPr="008356C6">
        <w:rPr>
          <w:b w:val="0"/>
          <w:noProof/>
        </w:rPr>
        <w:t xml:space="preserve">Amendamente la capitolele IV și V și la apendicele (Certificate) la SOLAS și amendamente la Codul HSC din </w:t>
      </w:r>
      <w:r w:rsidRPr="00DC27B2">
        <w:rPr>
          <w:b w:val="0"/>
          <w:noProof/>
        </w:rPr>
        <w:t>1994</w:t>
      </w:r>
      <w:r w:rsidRPr="008356C6">
        <w:rPr>
          <w:b w:val="0"/>
          <w:noProof/>
        </w:rPr>
        <w:t xml:space="preserve"> și la Codul HSC din </w:t>
      </w:r>
      <w:r w:rsidRPr="00DC27B2">
        <w:rPr>
          <w:b w:val="0"/>
          <w:noProof/>
        </w:rPr>
        <w:t>2000</w:t>
      </w:r>
    </w:p>
    <w:p w:rsidR="009172AE" w:rsidRPr="008356C6" w:rsidRDefault="009172AE" w:rsidP="00702CF4">
      <w:pPr>
        <w:pStyle w:val="Text1"/>
        <w:ind w:left="0"/>
        <w:rPr>
          <w:noProof/>
        </w:rPr>
      </w:pPr>
      <w:r w:rsidRPr="008356C6">
        <w:rPr>
          <w:noProof/>
        </w:rPr>
        <w:t xml:space="preserve">MSC </w:t>
      </w:r>
      <w:r w:rsidRPr="00DC27B2">
        <w:rPr>
          <w:noProof/>
        </w:rPr>
        <w:t>103</w:t>
      </w:r>
      <w:r w:rsidRPr="008356C6">
        <w:rPr>
          <w:noProof/>
        </w:rPr>
        <w:t xml:space="preserve"> a încredințat Subcomitetului pentru navigație, comunicații și căutare și salvare (NCSR) activitatea de elaborare a unor amendamente la capitolele IV și V din Convenția SOLAS și a unor standarde de performanță și orientări în materie, în vederea introducerii sistemului VHF de schimb de date (VDES). </w:t>
      </w:r>
    </w:p>
    <w:p w:rsidR="009172AE" w:rsidRPr="008356C6" w:rsidRDefault="009172AE" w:rsidP="00702CF4">
      <w:pPr>
        <w:pStyle w:val="Text1"/>
        <w:ind w:left="0"/>
        <w:rPr>
          <w:noProof/>
        </w:rPr>
      </w:pPr>
      <w:r w:rsidRPr="008356C6">
        <w:rPr>
          <w:noProof/>
        </w:rPr>
        <w:t xml:space="preserve">NCSR </w:t>
      </w:r>
      <w:r w:rsidRPr="00DC27B2">
        <w:rPr>
          <w:noProof/>
        </w:rPr>
        <w:t>10</w:t>
      </w:r>
      <w:r w:rsidRPr="008356C6">
        <w:rPr>
          <w:noProof/>
        </w:rPr>
        <w:t xml:space="preserve"> și-a început activitatea prin a analiza dacă se poate lua în considerare introducerea VDES în capitolul IV din Convenția SOLAS, în afară de introducerea acestuia în capitolul V. </w:t>
      </w:r>
      <w:r w:rsidRPr="008356C6">
        <w:rPr>
          <w:noProof/>
        </w:rPr>
        <w:lastRenderedPageBreak/>
        <w:t xml:space="preserve">Poziția Uniunii a fost de a sublinia că este important să se aibă în vederea introducerea VDES în capitolul IV, dar că subcomitetul poate acorda prioritate introducerii VDES în capitolul V. </w:t>
      </w:r>
    </w:p>
    <w:p w:rsidR="00702CF4" w:rsidRPr="008356C6" w:rsidRDefault="009172AE" w:rsidP="00702CF4">
      <w:pPr>
        <w:pStyle w:val="Text1"/>
        <w:ind w:left="0"/>
        <w:rPr>
          <w:noProof/>
        </w:rPr>
      </w:pPr>
      <w:r w:rsidRPr="008356C6">
        <w:rPr>
          <w:noProof/>
        </w:rPr>
        <w:t xml:space="preserve">Subcomitetul a convenit să instituie un grup de corespondență, sub coordonarea Japoniei, în vederea efectuării unei analize tehnice, reglementare și operaționale a VDES, inclusiv a componentei sale de comunicații și a costurilor aferente, a elaborării proiectelor de standarde de performanță și a proiectelor de amendamente necesare la capitolele IV și V din Convenția SOLAS, precum și a identificării oricăror amendamente subsecvente ale altor instrumente. </w:t>
      </w:r>
    </w:p>
    <w:p w:rsidR="009172AE" w:rsidRPr="008356C6" w:rsidRDefault="009172AE" w:rsidP="00702CF4">
      <w:pPr>
        <w:pStyle w:val="Text1"/>
        <w:ind w:left="0"/>
        <w:rPr>
          <w:noProof/>
        </w:rPr>
      </w:pPr>
      <w:r w:rsidRPr="008356C6">
        <w:rPr>
          <w:noProof/>
        </w:rPr>
        <w:t xml:space="preserve">NCSR </w:t>
      </w:r>
      <w:r w:rsidRPr="00DC27B2">
        <w:rPr>
          <w:noProof/>
        </w:rPr>
        <w:t>11</w:t>
      </w:r>
      <w:r w:rsidRPr="008356C6">
        <w:rPr>
          <w:noProof/>
        </w:rPr>
        <w:t xml:space="preserve"> a continuat să discute dacă și cum să includă VDES în capitolele IV și V din Convenția SOLAS, luând în considerare opțiunile elaborate de grupul de corespondență. NCSR </w:t>
      </w:r>
      <w:r w:rsidRPr="00DC27B2">
        <w:rPr>
          <w:noProof/>
        </w:rPr>
        <w:t>11</w:t>
      </w:r>
      <w:r w:rsidRPr="008356C6">
        <w:rPr>
          <w:noProof/>
        </w:rPr>
        <w:t xml:space="preserve"> a reinstituit Grupul de corespondență privind sistemul de schimb de date VHF (VDES), sub coordonarea Japoniei, în vederea finalizării proiectelor de amendamente la SOLAS, inclusiv a amendamentele subsecvente. Poziția Uniunii în cadrul NCSR </w:t>
      </w:r>
      <w:r w:rsidRPr="00DC27B2">
        <w:rPr>
          <w:noProof/>
        </w:rPr>
        <w:t>11</w:t>
      </w:r>
      <w:r w:rsidRPr="008356C6">
        <w:rPr>
          <w:noProof/>
        </w:rPr>
        <w:t xml:space="preserve"> a fost de a sprijini instituirea Grupului de lucru pentru navigație pentru a continua discutarea amendamentelor la SOLAS și de a susține reinstituirea grupului de corespondență, permițând continuarea lucrărilor necesare între sesiuni.</w:t>
      </w:r>
    </w:p>
    <w:p w:rsidR="005330FF" w:rsidRPr="008356C6" w:rsidRDefault="005330FF" w:rsidP="00702CF4">
      <w:pPr>
        <w:pStyle w:val="Text1"/>
        <w:ind w:left="0"/>
        <w:rPr>
          <w:noProof/>
        </w:rPr>
      </w:pPr>
      <w:r w:rsidRPr="008356C6">
        <w:rPr>
          <w:noProof/>
        </w:rPr>
        <w:t xml:space="preserve">NSCR </w:t>
      </w:r>
      <w:r w:rsidRPr="00DC27B2">
        <w:rPr>
          <w:noProof/>
        </w:rPr>
        <w:t>12</w:t>
      </w:r>
      <w:r w:rsidRPr="008356C6">
        <w:rPr>
          <w:noProof/>
        </w:rPr>
        <w:t xml:space="preserve"> a analizat raportul Grupului de corespondență privind proiectele de amendamente la Convenția SOLAS, inclusiv modificările subsecvente ale instrumentelor obligatorii și neobligatorii, convenind să înainteze aceste lucrări unui grup de lucru în vederea finalizării acestor lucrări. În urma examinării raportului grupului de lucru, subcomitetul a fost de acord cu proiectele de amendamente la capitolul V din Convenția SOLAS și la apendice. Subcomitetul a convenit, de asemenea, asupra proiectelor de modificări subsecvente ale codurilor HSC din </w:t>
      </w:r>
      <w:r w:rsidRPr="00DC27B2">
        <w:rPr>
          <w:noProof/>
        </w:rPr>
        <w:t>1994</w:t>
      </w:r>
      <w:r w:rsidRPr="008356C6">
        <w:rPr>
          <w:noProof/>
        </w:rPr>
        <w:t xml:space="preserve"> și </w:t>
      </w:r>
      <w:r w:rsidRPr="00DC27B2">
        <w:rPr>
          <w:noProof/>
        </w:rPr>
        <w:t>2000</w:t>
      </w:r>
      <w:r w:rsidRPr="008356C6">
        <w:rPr>
          <w:noProof/>
        </w:rPr>
        <w:t xml:space="preserve">. După examinarea evaluării grupului de lucru privind aprobarea proiectelor de amendamente la Convenția SOLAS menționate anterior, subcomitetul a convenit să invite MSC </w:t>
      </w:r>
      <w:r w:rsidRPr="00DC27B2">
        <w:rPr>
          <w:noProof/>
        </w:rPr>
        <w:t>110</w:t>
      </w:r>
      <w:r w:rsidRPr="008356C6">
        <w:rPr>
          <w:noProof/>
        </w:rPr>
        <w:t xml:space="preserve"> să le aprobe, în regim de urgență, în vederea adoptării de către MSC </w:t>
      </w:r>
      <w:r w:rsidRPr="00DC27B2">
        <w:rPr>
          <w:noProof/>
        </w:rPr>
        <w:t>111</w:t>
      </w:r>
      <w:r w:rsidRPr="008356C6">
        <w:rPr>
          <w:noProof/>
        </w:rPr>
        <w:t xml:space="preserve"> și a intrării în vigoare la </w:t>
      </w:r>
      <w:r w:rsidRPr="00DC27B2">
        <w:rPr>
          <w:noProof/>
        </w:rPr>
        <w:t>1</w:t>
      </w:r>
      <w:r w:rsidRPr="008356C6">
        <w:rPr>
          <w:noProof/>
        </w:rPr>
        <w:t xml:space="preserve"> ianuarie </w:t>
      </w:r>
      <w:r w:rsidRPr="00DC27B2">
        <w:rPr>
          <w:noProof/>
        </w:rPr>
        <w:t>2028</w:t>
      </w:r>
      <w:r w:rsidRPr="008356C6">
        <w:rPr>
          <w:noProof/>
        </w:rPr>
        <w:t xml:space="preserve">. Poziția Uniunii în cadrul NCSR </w:t>
      </w:r>
      <w:r w:rsidRPr="00DC27B2">
        <w:rPr>
          <w:noProof/>
        </w:rPr>
        <w:t>12</w:t>
      </w:r>
      <w:r w:rsidRPr="008356C6">
        <w:rPr>
          <w:noProof/>
        </w:rPr>
        <w:t xml:space="preserve"> a fost de a sprijini activitatea Grupului de corespondență și de a propune ca raportul acestuia să fie transmis unui grup de lucru în vederea unei examinări suplimentare. </w:t>
      </w:r>
    </w:p>
    <w:p w:rsidR="00906E9E" w:rsidRPr="008356C6" w:rsidRDefault="0026554C" w:rsidP="00906E9E">
      <w:pPr>
        <w:rPr>
          <w:noProof/>
        </w:rPr>
      </w:pPr>
      <w:r w:rsidRPr="008356C6">
        <w:rPr>
          <w:noProof/>
        </w:rPr>
        <w:t xml:space="preserve">MSC </w:t>
      </w:r>
      <w:r w:rsidRPr="00DC27B2">
        <w:rPr>
          <w:noProof/>
        </w:rPr>
        <w:t>110</w:t>
      </w:r>
      <w:r w:rsidRPr="008356C6">
        <w:rPr>
          <w:noProof/>
        </w:rPr>
        <w:t xml:space="preserve"> a aprobat proiectele de amendamente la capitolul V din Convenția SOLAS și la apendice în vederea introducerii sistemului de schimb de date VHF (VDES), în vederea adoptării ulterioare în cadrul MSC </w:t>
      </w:r>
      <w:r w:rsidRPr="00DC27B2">
        <w:rPr>
          <w:noProof/>
        </w:rPr>
        <w:t>111</w:t>
      </w:r>
      <w:r w:rsidRPr="008356C6">
        <w:rPr>
          <w:noProof/>
        </w:rPr>
        <w:t xml:space="preserve">. Comitetul a aprobat, de asemenea, proiectele de amendamente subsecvente aferente la Codurile HSC din </w:t>
      </w:r>
      <w:r w:rsidRPr="00DC27B2">
        <w:rPr>
          <w:noProof/>
        </w:rPr>
        <w:t>1994</w:t>
      </w:r>
      <w:r w:rsidRPr="008356C6">
        <w:rPr>
          <w:noProof/>
        </w:rPr>
        <w:t xml:space="preserve"> și </w:t>
      </w:r>
      <w:r w:rsidRPr="00DC27B2">
        <w:rPr>
          <w:noProof/>
        </w:rPr>
        <w:t>2000</w:t>
      </w:r>
      <w:r w:rsidRPr="008356C6">
        <w:rPr>
          <w:noProof/>
        </w:rPr>
        <w:t xml:space="preserve">, în vederea adoptării ulterioare în cadrul MSC </w:t>
      </w:r>
      <w:r w:rsidRPr="00DC27B2">
        <w:rPr>
          <w:noProof/>
        </w:rPr>
        <w:t>111</w:t>
      </w:r>
      <w:r w:rsidRPr="008356C6">
        <w:rPr>
          <w:noProof/>
        </w:rPr>
        <w:t xml:space="preserve">, în conformitate cu proiectele de amendamente la SOLAS menționate anterior. Aceste amendamente au fost distribuite de către secretariatul OMI prin circulara OMI nr. </w:t>
      </w:r>
      <w:r w:rsidRPr="00DC27B2">
        <w:rPr>
          <w:noProof/>
        </w:rPr>
        <w:t>5063</w:t>
      </w:r>
      <w:r w:rsidRPr="008356C6">
        <w:rPr>
          <w:noProof/>
        </w:rPr>
        <w:t xml:space="preserve"> din </w:t>
      </w:r>
      <w:r w:rsidRPr="00DC27B2">
        <w:rPr>
          <w:noProof/>
        </w:rPr>
        <w:t>29</w:t>
      </w:r>
      <w:r w:rsidRPr="008356C6">
        <w:rPr>
          <w:noProof/>
        </w:rPr>
        <w:t xml:space="preserve"> septembrie </w:t>
      </w:r>
      <w:r w:rsidRPr="00DC27B2">
        <w:rPr>
          <w:noProof/>
        </w:rPr>
        <w:t>2025</w:t>
      </w:r>
      <w:r w:rsidRPr="008356C6">
        <w:rPr>
          <w:noProof/>
        </w:rPr>
        <w:t>.</w:t>
      </w:r>
    </w:p>
    <w:p w:rsidR="0026554C" w:rsidRPr="008356C6" w:rsidRDefault="0026554C" w:rsidP="00702CF4">
      <w:pPr>
        <w:pStyle w:val="Text1"/>
        <w:ind w:left="0"/>
        <w:rPr>
          <w:noProof/>
        </w:rPr>
      </w:pPr>
      <w:r w:rsidRPr="008356C6">
        <w:rPr>
          <w:noProof/>
        </w:rPr>
        <w:t xml:space="preserve">Poziția Uniunii în cadrul MSC </w:t>
      </w:r>
      <w:r w:rsidRPr="00DC27B2">
        <w:rPr>
          <w:noProof/>
        </w:rPr>
        <w:t>110</w:t>
      </w:r>
      <w:r w:rsidRPr="008356C6">
        <w:rPr>
          <w:noProof/>
        </w:rPr>
        <w:t xml:space="preserve"> a fost de a sprijini proiectele de amendamente. </w:t>
      </w:r>
    </w:p>
    <w:p w:rsidR="00906E9E" w:rsidRPr="008356C6" w:rsidRDefault="00906E9E" w:rsidP="00702CF4">
      <w:pPr>
        <w:pStyle w:val="Text1"/>
        <w:ind w:left="0"/>
        <w:rPr>
          <w:noProof/>
        </w:rPr>
      </w:pPr>
      <w:r w:rsidRPr="008356C6">
        <w:rPr>
          <w:noProof/>
        </w:rPr>
        <w:t>Uniunea ar trebui să sprijine aceste modificări deoarece este mai eficient să se utilizeze canale dedicate pentru mesajele specifice aplicațiilor (ASM) ale VDES, iar VDES are o capacitate suplimentară pentru schimbul mai multor date digitale și, prin urmare, ar putea răspunde creșterii viitoare a cererii de utilizare a datelor digitale în radiocomunicațiile maritime. În plus, schimbul de date digitale aduce numeroase beneficii nu numai pentru siguranță și conștientizare a situației, ci și pentru securitate, eficiența navigației, protecția mediului marin și reducerea sarcinii navigatorilor. VDES oferă o îmbunătățire semnificativă a beneficiilor obținute prin intermediul AIS și este considerat un factor determinant al navigației electronice. Capacitatea de a face schimb de ASM și de alte informații între nave și autoritățile de la țărm este îmbunătățită în mod semnificativ prin implementarea VDES.</w:t>
      </w:r>
    </w:p>
    <w:p w:rsidR="005330FF" w:rsidRPr="008356C6" w:rsidRDefault="001E6AD4" w:rsidP="00702CF4">
      <w:pPr>
        <w:pStyle w:val="Text1"/>
        <w:ind w:left="0"/>
        <w:rPr>
          <w:noProof/>
        </w:rPr>
      </w:pPr>
      <w:r w:rsidRPr="008356C6">
        <w:rPr>
          <w:noProof/>
        </w:rPr>
        <w:t>În ceea ce privește amendamentele aduse regulilor IV/</w:t>
      </w:r>
      <w:r w:rsidRPr="00DC27B2">
        <w:rPr>
          <w:noProof/>
        </w:rPr>
        <w:t>5</w:t>
      </w:r>
      <w:r w:rsidRPr="008356C6">
        <w:rPr>
          <w:noProof/>
        </w:rPr>
        <w:t>, V/</w:t>
      </w:r>
      <w:r w:rsidRPr="00DC27B2">
        <w:rPr>
          <w:noProof/>
        </w:rPr>
        <w:t>4</w:t>
      </w:r>
      <w:r w:rsidRPr="008356C6">
        <w:rPr>
          <w:noProof/>
        </w:rPr>
        <w:t xml:space="preserve"> și V/</w:t>
      </w:r>
      <w:r w:rsidRPr="00DC27B2">
        <w:rPr>
          <w:noProof/>
        </w:rPr>
        <w:t>5</w:t>
      </w:r>
      <w:r w:rsidRPr="008356C6">
        <w:rPr>
          <w:noProof/>
        </w:rPr>
        <w:t xml:space="preserve"> din Convenția SOLAS, NCSR </w:t>
      </w:r>
      <w:r w:rsidRPr="00DC27B2">
        <w:rPr>
          <w:noProof/>
        </w:rPr>
        <w:t>12</w:t>
      </w:r>
      <w:r w:rsidRPr="008356C6">
        <w:rPr>
          <w:noProof/>
        </w:rPr>
        <w:t xml:space="preserve"> a luat act de considerațiile Grupului mixt de experți OMI/UIT privind elaborarea </w:t>
      </w:r>
      <w:r w:rsidRPr="008356C6">
        <w:rPr>
          <w:noProof/>
        </w:rPr>
        <w:lastRenderedPageBreak/>
        <w:t xml:space="preserve">proiectelor de amendamente la Convenția SOLAS. Acesta a analizat, de asemenea, opțiunile de modificare a Convenției SOLAS, elaborate de Grupul mixt de experți al OMI/UIT, ținând seama de documente, inclusiv de contribuția Uniunii la NCSR </w:t>
      </w:r>
      <w:r w:rsidRPr="00DC27B2">
        <w:rPr>
          <w:noProof/>
        </w:rPr>
        <w:t>12</w:t>
      </w:r>
      <w:r w:rsidRPr="008356C6">
        <w:rPr>
          <w:noProof/>
        </w:rPr>
        <w:t xml:space="preserve">, care a prezentat observații cu privire la opțiunile prezentate de Grupul mixt de experți al OMI/UIT. NCSR </w:t>
      </w:r>
      <w:r w:rsidRPr="00DC27B2">
        <w:rPr>
          <w:noProof/>
        </w:rPr>
        <w:t>12</w:t>
      </w:r>
      <w:r w:rsidRPr="008356C6">
        <w:rPr>
          <w:noProof/>
        </w:rPr>
        <w:t xml:space="preserve"> a sesizat grupul de lucru cu privire la aceste chestiuni în vederea revizuirii și finalizării ulterioare a amendamentelor la Convenția SOLAS. NCSR </w:t>
      </w:r>
      <w:r w:rsidRPr="00DC27B2">
        <w:rPr>
          <w:noProof/>
        </w:rPr>
        <w:t>12</w:t>
      </w:r>
      <w:r w:rsidRPr="008356C6">
        <w:rPr>
          <w:noProof/>
        </w:rPr>
        <w:t xml:space="preserve"> a fost de acord cu proiectele de amendamente la regulile IV/</w:t>
      </w:r>
      <w:r w:rsidRPr="00DC27B2">
        <w:rPr>
          <w:noProof/>
        </w:rPr>
        <w:t>5</w:t>
      </w:r>
      <w:r w:rsidRPr="008356C6">
        <w:rPr>
          <w:noProof/>
        </w:rPr>
        <w:t>, V/</w:t>
      </w:r>
      <w:r w:rsidRPr="00DC27B2">
        <w:rPr>
          <w:noProof/>
        </w:rPr>
        <w:t>4</w:t>
      </w:r>
      <w:r w:rsidRPr="008356C6">
        <w:rPr>
          <w:noProof/>
        </w:rPr>
        <w:t xml:space="preserve"> și V/</w:t>
      </w:r>
      <w:r w:rsidRPr="00DC27B2">
        <w:rPr>
          <w:noProof/>
        </w:rPr>
        <w:t>5</w:t>
      </w:r>
      <w:r w:rsidRPr="008356C6">
        <w:rPr>
          <w:noProof/>
        </w:rPr>
        <w:t xml:space="preserve"> din Convenția SOLAS privind cerința de diseminare a informațiilor referitoare la siguranța maritimă (MSI) și a informațiilor legate de căutare și salvare (SAR) prin intermediul tuturor serviciilor mobile de comunicații prin satelit (RMS) operaționale recunoscute și a aprobat justificarea transmiterii proiectelor de amendamente sus-menționate către MSC </w:t>
      </w:r>
      <w:r w:rsidRPr="00DC27B2">
        <w:rPr>
          <w:noProof/>
        </w:rPr>
        <w:t>110</w:t>
      </w:r>
      <w:r w:rsidRPr="008356C6">
        <w:rPr>
          <w:noProof/>
        </w:rPr>
        <w:t xml:space="preserve"> spre aprobare, în vederea adoptării de către MSC </w:t>
      </w:r>
      <w:r w:rsidRPr="00DC27B2">
        <w:rPr>
          <w:noProof/>
        </w:rPr>
        <w:t>111</w:t>
      </w:r>
      <w:r w:rsidRPr="008356C6">
        <w:rPr>
          <w:noProof/>
        </w:rPr>
        <w:t xml:space="preserve"> și a intrării în vigoare la </w:t>
      </w:r>
      <w:r w:rsidRPr="00DC27B2">
        <w:rPr>
          <w:noProof/>
        </w:rPr>
        <w:t>1</w:t>
      </w:r>
      <w:r w:rsidRPr="008356C6">
        <w:rPr>
          <w:noProof/>
        </w:rPr>
        <w:t xml:space="preserve"> ianuarie </w:t>
      </w:r>
      <w:r w:rsidRPr="00DC27B2">
        <w:rPr>
          <w:noProof/>
        </w:rPr>
        <w:t>2028</w:t>
      </w:r>
      <w:r w:rsidRPr="008356C6">
        <w:rPr>
          <w:noProof/>
        </w:rPr>
        <w:t xml:space="preserve">. Poziția Uniunii în cadrul NCSR </w:t>
      </w:r>
      <w:r w:rsidRPr="00DC27B2">
        <w:rPr>
          <w:noProof/>
        </w:rPr>
        <w:t>12</w:t>
      </w:r>
      <w:r w:rsidRPr="008356C6">
        <w:rPr>
          <w:noProof/>
        </w:rPr>
        <w:t xml:space="preserve"> a fost de a sprijini contribuția Uniunii prin care se propun proiecte de amendamente la SOLAS în ceea ce privește diseminarea informațiilor legate de MSI și SAR prin intermediul tuturor serviciilor mobile de comunicații prin satelit operaționale recunoscute.</w:t>
      </w:r>
    </w:p>
    <w:p w:rsidR="001E6AD4" w:rsidRPr="008356C6" w:rsidRDefault="001E6AD4" w:rsidP="00702CF4">
      <w:pPr>
        <w:pStyle w:val="Text1"/>
        <w:ind w:left="0"/>
        <w:rPr>
          <w:noProof/>
        </w:rPr>
      </w:pPr>
      <w:r w:rsidRPr="008356C6">
        <w:rPr>
          <w:noProof/>
        </w:rPr>
        <w:t xml:space="preserve">MSC </w:t>
      </w:r>
      <w:r w:rsidRPr="00DC27B2">
        <w:rPr>
          <w:noProof/>
        </w:rPr>
        <w:t>110</w:t>
      </w:r>
      <w:r w:rsidRPr="008356C6">
        <w:rPr>
          <w:noProof/>
        </w:rPr>
        <w:t xml:space="preserve"> a aprobat proiectele de amendamente la regulile IV/</w:t>
      </w:r>
      <w:r w:rsidRPr="00DC27B2">
        <w:rPr>
          <w:noProof/>
        </w:rPr>
        <w:t>5</w:t>
      </w:r>
      <w:r w:rsidRPr="008356C6">
        <w:rPr>
          <w:noProof/>
        </w:rPr>
        <w:t>, V/</w:t>
      </w:r>
      <w:r w:rsidRPr="00DC27B2">
        <w:rPr>
          <w:noProof/>
        </w:rPr>
        <w:t>4</w:t>
      </w:r>
      <w:r w:rsidRPr="008356C6">
        <w:rPr>
          <w:noProof/>
        </w:rPr>
        <w:t xml:space="preserve"> și V/</w:t>
      </w:r>
      <w:r w:rsidRPr="00DC27B2">
        <w:rPr>
          <w:noProof/>
        </w:rPr>
        <w:t>5</w:t>
      </w:r>
      <w:r w:rsidRPr="008356C6">
        <w:rPr>
          <w:noProof/>
        </w:rPr>
        <w:t xml:space="preserve"> din Convenția SOLAS privind cerința de diseminare a informațiilor referitoare la siguranța maritimă (MSI) și a informațiilor legate de SAR prin intermediul tuturor serviciilor mobile operaționale prin satelit recunoscute de organizație pentru utilizare în Sistemul mondial pentru caz de sinistru și pentru siguranța navigației pe mare (GMDSS), în vederea adoptării ulterioare în cadrul MSC </w:t>
      </w:r>
      <w:r w:rsidRPr="00DC27B2">
        <w:rPr>
          <w:noProof/>
        </w:rPr>
        <w:t>111</w:t>
      </w:r>
      <w:r w:rsidRPr="008356C6">
        <w:rPr>
          <w:noProof/>
        </w:rPr>
        <w:t xml:space="preserve">. Aceste amendamente au fost distribuite de către secretariatul OMI prin circulara OMI nr. </w:t>
      </w:r>
      <w:r w:rsidRPr="00DC27B2">
        <w:rPr>
          <w:noProof/>
        </w:rPr>
        <w:t>5063</w:t>
      </w:r>
      <w:r w:rsidRPr="008356C6">
        <w:rPr>
          <w:noProof/>
        </w:rPr>
        <w:t xml:space="preserve"> din </w:t>
      </w:r>
      <w:r w:rsidRPr="00DC27B2">
        <w:rPr>
          <w:noProof/>
        </w:rPr>
        <w:t>29</w:t>
      </w:r>
      <w:r w:rsidRPr="008356C6">
        <w:rPr>
          <w:noProof/>
        </w:rPr>
        <w:t xml:space="preserve"> septembrie </w:t>
      </w:r>
      <w:r w:rsidRPr="00DC27B2">
        <w:rPr>
          <w:noProof/>
        </w:rPr>
        <w:t>2025</w:t>
      </w:r>
      <w:r w:rsidRPr="008356C6">
        <w:rPr>
          <w:noProof/>
        </w:rPr>
        <w:t>.</w:t>
      </w:r>
    </w:p>
    <w:p w:rsidR="001E6AD4" w:rsidRPr="008356C6" w:rsidRDefault="001E6AD4" w:rsidP="001E6AD4">
      <w:pPr>
        <w:pStyle w:val="Text1"/>
        <w:ind w:left="0"/>
        <w:rPr>
          <w:noProof/>
        </w:rPr>
      </w:pPr>
      <w:r w:rsidRPr="008356C6">
        <w:rPr>
          <w:noProof/>
        </w:rPr>
        <w:t xml:space="preserve">Poziția Uniunii în cadrul MSC </w:t>
      </w:r>
      <w:r w:rsidRPr="00DC27B2">
        <w:rPr>
          <w:noProof/>
        </w:rPr>
        <w:t>110</w:t>
      </w:r>
      <w:r w:rsidRPr="008356C6">
        <w:rPr>
          <w:noProof/>
        </w:rPr>
        <w:t xml:space="preserve"> a fost de a sprijini proiectele de amendamente. </w:t>
      </w:r>
    </w:p>
    <w:p w:rsidR="00702CF4" w:rsidRPr="008356C6" w:rsidRDefault="001E6AD4" w:rsidP="00702CF4">
      <w:pPr>
        <w:pStyle w:val="Text1"/>
        <w:ind w:left="0"/>
        <w:rPr>
          <w:noProof/>
        </w:rPr>
      </w:pPr>
      <w:r w:rsidRPr="008356C6">
        <w:rPr>
          <w:noProof/>
        </w:rPr>
        <w:t>Uniunea ar trebui să sprijine aceste amendamente deoarece, prin introducerea unor noi servicii mobile de comunicații prin satelit recunoscute, trebuie să precizeze în mod clar cerința de diseminare a informațiilor privind siguranța maritimă și a informațiilor legate de căutare și salvare prin intermediul tuturor serviciilor mobile de comunicații prin satelit recunoscute și operaționale.</w:t>
      </w:r>
    </w:p>
    <w:p w:rsidR="00EB703C" w:rsidRPr="008356C6" w:rsidRDefault="00EB703C" w:rsidP="00702CF4">
      <w:pPr>
        <w:pStyle w:val="Text1"/>
        <w:ind w:left="0"/>
        <w:rPr>
          <w:noProof/>
        </w:rPr>
      </w:pPr>
    </w:p>
    <w:p w:rsidR="00702CF4" w:rsidRPr="008356C6" w:rsidRDefault="00702CF4" w:rsidP="00702CF4">
      <w:pPr>
        <w:pStyle w:val="ManualHeading2"/>
        <w:rPr>
          <w:b w:val="0"/>
          <w:noProof/>
        </w:rPr>
      </w:pPr>
      <w:r>
        <w:rPr>
          <w:noProof/>
        </w:rPr>
        <w:t>4.2.</w:t>
      </w:r>
      <w:r>
        <w:rPr>
          <w:noProof/>
        </w:rPr>
        <w:tab/>
      </w:r>
      <w:r w:rsidRPr="008356C6">
        <w:rPr>
          <w:b w:val="0"/>
          <w:noProof/>
        </w:rPr>
        <w:t xml:space="preserve">Amendamentele la Codul ESP </w:t>
      </w:r>
      <w:r w:rsidRPr="00DC27B2">
        <w:rPr>
          <w:b w:val="0"/>
          <w:noProof/>
        </w:rPr>
        <w:t>2011</w:t>
      </w:r>
    </w:p>
    <w:p w:rsidR="00CB0DD6" w:rsidRPr="008356C6" w:rsidRDefault="007A7E48" w:rsidP="00CB0DD6">
      <w:pPr>
        <w:pStyle w:val="Text1"/>
        <w:ind w:left="0"/>
        <w:rPr>
          <w:noProof/>
        </w:rPr>
      </w:pPr>
      <w:r w:rsidRPr="008356C6">
        <w:rPr>
          <w:noProof/>
        </w:rPr>
        <w:t xml:space="preserve">Subcomitetul pentru proiectarea și construcția navelor din cadrul celei de a </w:t>
      </w:r>
      <w:r w:rsidRPr="00DC27B2">
        <w:rPr>
          <w:noProof/>
        </w:rPr>
        <w:t>10</w:t>
      </w:r>
      <w:r w:rsidRPr="008356C6">
        <w:rPr>
          <w:noProof/>
        </w:rPr>
        <w:t xml:space="preserve">-a sesiuni (SDC </w:t>
      </w:r>
      <w:r w:rsidRPr="00DC27B2">
        <w:rPr>
          <w:noProof/>
        </w:rPr>
        <w:t>10</w:t>
      </w:r>
      <w:r w:rsidRPr="008356C6">
        <w:rPr>
          <w:noProof/>
        </w:rPr>
        <w:t xml:space="preserve">) a discutat amendamentele la Codul ESP </w:t>
      </w:r>
      <w:r w:rsidRPr="00DC27B2">
        <w:rPr>
          <w:noProof/>
        </w:rPr>
        <w:t>2011</w:t>
      </w:r>
      <w:r w:rsidRPr="008356C6">
        <w:rPr>
          <w:noProof/>
        </w:rPr>
        <w:t xml:space="preserve"> și a convenit că lucrările ar trebui să se desfășoare între sesiuni, în cadrul unui grup de corespondență care ar trebui să aibă sarcina de a examina propunerea de amendamente la Codul ESP. Poziția Uniunii în cadrul SDC </w:t>
      </w:r>
      <w:r w:rsidRPr="00DC27B2">
        <w:rPr>
          <w:noProof/>
        </w:rPr>
        <w:t>10</w:t>
      </w:r>
      <w:r w:rsidRPr="008356C6">
        <w:rPr>
          <w:noProof/>
        </w:rPr>
        <w:t xml:space="preserve"> a fost de a propune ca amendamentele propuse la Codul ESP să fie ori discutate în cadrul unui grup de corespondență, ori amânate pentru un grup de lucru care urmează să fie instituit în cadrul SDC </w:t>
      </w:r>
      <w:r w:rsidRPr="00DC27B2">
        <w:rPr>
          <w:noProof/>
        </w:rPr>
        <w:t>11</w:t>
      </w:r>
      <w:r w:rsidRPr="008356C6">
        <w:rPr>
          <w:noProof/>
        </w:rPr>
        <w:t>.</w:t>
      </w:r>
    </w:p>
    <w:p w:rsidR="007A7E48" w:rsidRPr="008356C6" w:rsidRDefault="007A7E48" w:rsidP="00CB0DD6">
      <w:pPr>
        <w:pStyle w:val="Text1"/>
        <w:ind w:left="0"/>
        <w:rPr>
          <w:noProof/>
        </w:rPr>
      </w:pPr>
      <w:r w:rsidRPr="008356C6">
        <w:rPr>
          <w:noProof/>
        </w:rPr>
        <w:t xml:space="preserve">SDC </w:t>
      </w:r>
      <w:r w:rsidRPr="00DC27B2">
        <w:rPr>
          <w:noProof/>
        </w:rPr>
        <w:t>11</w:t>
      </w:r>
      <w:r w:rsidRPr="008356C6">
        <w:rPr>
          <w:noProof/>
        </w:rPr>
        <w:t xml:space="preserve"> a examinat raportul Grupului de corespondență privind amendamentele la Codul ESP </w:t>
      </w:r>
      <w:r w:rsidRPr="00DC27B2">
        <w:rPr>
          <w:noProof/>
        </w:rPr>
        <w:t>2011</w:t>
      </w:r>
      <w:r w:rsidRPr="008356C6">
        <w:rPr>
          <w:noProof/>
        </w:rPr>
        <w:t xml:space="preserve"> pentru a permite utilizarea tehnicilor de inspecție la distanță (RIT) și a înaintat unui grup de lucru această chestiune. După examinarea raportului grupului de lucru, SDC </w:t>
      </w:r>
      <w:r w:rsidRPr="00DC27B2">
        <w:rPr>
          <w:noProof/>
        </w:rPr>
        <w:t>11</w:t>
      </w:r>
      <w:r w:rsidRPr="008356C6">
        <w:rPr>
          <w:noProof/>
        </w:rPr>
        <w:t xml:space="preserve"> a aprobat proiectele de amendamente la Codul ESP </w:t>
      </w:r>
      <w:r w:rsidRPr="00DC27B2">
        <w:rPr>
          <w:noProof/>
        </w:rPr>
        <w:t>2011</w:t>
      </w:r>
      <w:r w:rsidRPr="008356C6">
        <w:rPr>
          <w:noProof/>
        </w:rPr>
        <w:t xml:space="preserve"> pentru a încorpora RIT, în vederea aprobării în cadrul MSC </w:t>
      </w:r>
      <w:r w:rsidRPr="00DC27B2">
        <w:rPr>
          <w:noProof/>
        </w:rPr>
        <w:t>110</w:t>
      </w:r>
      <w:r w:rsidRPr="008356C6">
        <w:rPr>
          <w:noProof/>
        </w:rPr>
        <w:t xml:space="preserve"> și a adoptării ulterioare în cadrul MSC </w:t>
      </w:r>
      <w:r w:rsidRPr="00DC27B2">
        <w:rPr>
          <w:noProof/>
        </w:rPr>
        <w:t>111</w:t>
      </w:r>
      <w:r w:rsidRPr="008356C6">
        <w:rPr>
          <w:noProof/>
        </w:rPr>
        <w:t xml:space="preserve">. Poziția Uniunii în cadrul SDC </w:t>
      </w:r>
      <w:r w:rsidRPr="00DC27B2">
        <w:rPr>
          <w:noProof/>
        </w:rPr>
        <w:t>11</w:t>
      </w:r>
      <w:r w:rsidRPr="008356C6">
        <w:rPr>
          <w:noProof/>
        </w:rPr>
        <w:t xml:space="preserve"> a fost de a sprijini raportul grupului de corespondență privind utilizarea tehnicilor de inspecție la distanță și înaintarea acestuia către un grup de lucru.</w:t>
      </w:r>
    </w:p>
    <w:p w:rsidR="00165FA1" w:rsidRPr="008356C6" w:rsidRDefault="00CB0DD6" w:rsidP="00CB0DD6">
      <w:pPr>
        <w:pStyle w:val="Text1"/>
        <w:ind w:left="0"/>
        <w:rPr>
          <w:noProof/>
        </w:rPr>
      </w:pPr>
      <w:r w:rsidRPr="008356C6">
        <w:rPr>
          <w:noProof/>
        </w:rPr>
        <w:t xml:space="preserve">MSC </w:t>
      </w:r>
      <w:r w:rsidRPr="00DC27B2">
        <w:rPr>
          <w:noProof/>
        </w:rPr>
        <w:t>110</w:t>
      </w:r>
      <w:r w:rsidRPr="008356C6">
        <w:rPr>
          <w:noProof/>
        </w:rPr>
        <w:t xml:space="preserve"> a aprobat proiectele de amendamente la Codul ESP </w:t>
      </w:r>
      <w:r w:rsidRPr="00DC27B2">
        <w:rPr>
          <w:noProof/>
        </w:rPr>
        <w:t>2011</w:t>
      </w:r>
      <w:r w:rsidRPr="008356C6">
        <w:rPr>
          <w:noProof/>
        </w:rPr>
        <w:t xml:space="preserve">, pentru a permite utilizarea RIT, în vederea adoptării în cadrul MSC </w:t>
      </w:r>
      <w:r w:rsidRPr="00DC27B2">
        <w:rPr>
          <w:noProof/>
        </w:rPr>
        <w:t>111</w:t>
      </w:r>
      <w:r w:rsidRPr="008356C6">
        <w:rPr>
          <w:noProof/>
        </w:rPr>
        <w:t xml:space="preserve"> și a intrării în vigoare la </w:t>
      </w:r>
      <w:r w:rsidRPr="00DC27B2">
        <w:rPr>
          <w:noProof/>
        </w:rPr>
        <w:t>1</w:t>
      </w:r>
      <w:r w:rsidRPr="008356C6">
        <w:rPr>
          <w:noProof/>
        </w:rPr>
        <w:t xml:space="preserve"> ianuarie </w:t>
      </w:r>
      <w:r w:rsidRPr="00DC27B2">
        <w:rPr>
          <w:noProof/>
        </w:rPr>
        <w:lastRenderedPageBreak/>
        <w:t>2028</w:t>
      </w:r>
      <w:r w:rsidRPr="008356C6">
        <w:rPr>
          <w:noProof/>
        </w:rPr>
        <w:t xml:space="preserve">. Aceste amendamente au fost distribuite de către secretariatul OMI prin circulara OMI nr. </w:t>
      </w:r>
      <w:r w:rsidRPr="00DC27B2">
        <w:rPr>
          <w:noProof/>
        </w:rPr>
        <w:t>5063</w:t>
      </w:r>
      <w:r w:rsidRPr="008356C6">
        <w:rPr>
          <w:noProof/>
        </w:rPr>
        <w:t xml:space="preserve"> din </w:t>
      </w:r>
      <w:r w:rsidRPr="00DC27B2">
        <w:rPr>
          <w:noProof/>
        </w:rPr>
        <w:t>29</w:t>
      </w:r>
      <w:r w:rsidRPr="008356C6">
        <w:rPr>
          <w:noProof/>
        </w:rPr>
        <w:t xml:space="preserve"> septembrie </w:t>
      </w:r>
      <w:r w:rsidRPr="00DC27B2">
        <w:rPr>
          <w:noProof/>
        </w:rPr>
        <w:t>2025</w:t>
      </w:r>
      <w:r w:rsidRPr="008356C6">
        <w:rPr>
          <w:noProof/>
        </w:rPr>
        <w:t>.</w:t>
      </w:r>
    </w:p>
    <w:p w:rsidR="00CB0DD6" w:rsidRPr="008356C6" w:rsidRDefault="00CB0DD6" w:rsidP="00CB0DD6">
      <w:pPr>
        <w:pStyle w:val="Text1"/>
        <w:ind w:left="0"/>
        <w:rPr>
          <w:noProof/>
        </w:rPr>
      </w:pPr>
      <w:r w:rsidRPr="008356C6">
        <w:rPr>
          <w:noProof/>
        </w:rPr>
        <w:t xml:space="preserve">Poziția Uniunii în cadrul MSC </w:t>
      </w:r>
      <w:r w:rsidRPr="00DC27B2">
        <w:rPr>
          <w:noProof/>
        </w:rPr>
        <w:t>110</w:t>
      </w:r>
      <w:r w:rsidRPr="008356C6">
        <w:rPr>
          <w:noProof/>
        </w:rPr>
        <w:t xml:space="preserve"> a fost de a sprijini proiectele de amendamente.</w:t>
      </w:r>
    </w:p>
    <w:p w:rsidR="00CB0DD6" w:rsidRPr="008356C6" w:rsidRDefault="00CB0DD6" w:rsidP="00CB0DD6">
      <w:pPr>
        <w:pStyle w:val="Text1"/>
        <w:ind w:left="0"/>
        <w:rPr>
          <w:noProof/>
        </w:rPr>
      </w:pPr>
      <w:r w:rsidRPr="008356C6">
        <w:rPr>
          <w:noProof/>
        </w:rPr>
        <w:t>Uniunea ar trebui să sprijine aceste amendamente, deoarece aceste tehnici oferă o mai mare eficiență, o mai mare flexibilitate și o mai mare fiabilitate în activitățile zilnice de control și inspecție, fără a afecta rezultatul acestor controale.</w:t>
      </w:r>
    </w:p>
    <w:p w:rsidR="00EB703C" w:rsidRPr="008356C6" w:rsidRDefault="00EB703C" w:rsidP="00CB0DD6">
      <w:pPr>
        <w:pStyle w:val="Text1"/>
        <w:ind w:left="0"/>
        <w:rPr>
          <w:noProof/>
        </w:rPr>
      </w:pPr>
    </w:p>
    <w:p w:rsidR="00702CF4" w:rsidRPr="008356C6" w:rsidRDefault="00702CF4" w:rsidP="0091566B">
      <w:pPr>
        <w:pStyle w:val="ManualHeading2"/>
        <w:rPr>
          <w:b w:val="0"/>
          <w:noProof/>
        </w:rPr>
      </w:pPr>
      <w:r>
        <w:rPr>
          <w:noProof/>
        </w:rPr>
        <w:t>4.3.</w:t>
      </w:r>
      <w:r>
        <w:rPr>
          <w:noProof/>
        </w:rPr>
        <w:tab/>
      </w:r>
      <w:r w:rsidRPr="008356C6">
        <w:rPr>
          <w:b w:val="0"/>
          <w:noProof/>
        </w:rPr>
        <w:t>Amendamentele la Codul LSA</w:t>
      </w:r>
    </w:p>
    <w:p w:rsidR="00EB703C" w:rsidRPr="008356C6" w:rsidRDefault="00EB703C" w:rsidP="00EB703C">
      <w:pPr>
        <w:pStyle w:val="Text1"/>
        <w:ind w:left="0"/>
        <w:rPr>
          <w:noProof/>
        </w:rPr>
      </w:pPr>
      <w:r w:rsidRPr="008356C6">
        <w:rPr>
          <w:noProof/>
        </w:rPr>
        <w:t xml:space="preserve">În cadrul celei de a </w:t>
      </w:r>
      <w:r w:rsidRPr="00DC27B2">
        <w:rPr>
          <w:noProof/>
        </w:rPr>
        <w:t>10</w:t>
      </w:r>
      <w:r w:rsidRPr="008356C6">
        <w:rPr>
          <w:noProof/>
        </w:rPr>
        <w:t xml:space="preserve">-a sesiuni, Subcomitetul pentru sisteme și echipamente navale (SSE </w:t>
      </w:r>
      <w:r w:rsidRPr="00DC27B2">
        <w:rPr>
          <w:noProof/>
        </w:rPr>
        <w:t>10</w:t>
      </w:r>
      <w:r w:rsidRPr="008356C6">
        <w:rPr>
          <w:noProof/>
        </w:rPr>
        <w:t xml:space="preserve">) a convenit, în principiu, să elaboreze amendamente la Codul LSA în ceea ce privește cerințele de proiectare și de testare a prototipurilor pentru măsurile utilizate în testarea operațională a sistemelor de decuplare a bărcilor de salvare lansate la apă prin cădere liberă fără lansarea bărcilor de salvare, în vederea finalizării de către SSE </w:t>
      </w:r>
      <w:r w:rsidRPr="00DC27B2">
        <w:rPr>
          <w:noProof/>
        </w:rPr>
        <w:t>11</w:t>
      </w:r>
      <w:r w:rsidRPr="008356C6">
        <w:rPr>
          <w:noProof/>
        </w:rPr>
        <w:t xml:space="preserve">, și a însărcinat Grupul de corespondență LSA să finalizeze proiectele de amendamente. Poziția Uniunii în cadrul SSE </w:t>
      </w:r>
      <w:r w:rsidRPr="00DC27B2">
        <w:rPr>
          <w:noProof/>
        </w:rPr>
        <w:t>10</w:t>
      </w:r>
      <w:r w:rsidRPr="008356C6">
        <w:rPr>
          <w:noProof/>
        </w:rPr>
        <w:t xml:space="preserve"> a fost de a sprijini ca discuția să fie transmisă grupului de lucru. </w:t>
      </w:r>
    </w:p>
    <w:p w:rsidR="009D268B" w:rsidRPr="008356C6" w:rsidRDefault="009D268B" w:rsidP="00EB703C">
      <w:pPr>
        <w:pStyle w:val="Text1"/>
        <w:ind w:left="0"/>
        <w:rPr>
          <w:noProof/>
        </w:rPr>
      </w:pPr>
      <w:r w:rsidRPr="008356C6">
        <w:rPr>
          <w:noProof/>
        </w:rPr>
        <w:t xml:space="preserve">După ce a aprobat lucrările grupului de corespondență, SSE </w:t>
      </w:r>
      <w:r w:rsidRPr="00DC27B2">
        <w:rPr>
          <w:noProof/>
        </w:rPr>
        <w:t>11</w:t>
      </w:r>
      <w:r w:rsidRPr="008356C6">
        <w:rPr>
          <w:noProof/>
        </w:rPr>
        <w:t xml:space="preserve"> a examinat proiectele de amendamente și a însărcinat grupul de lucru să le finalizeze. SSE </w:t>
      </w:r>
      <w:r w:rsidRPr="00DC27B2">
        <w:rPr>
          <w:noProof/>
        </w:rPr>
        <w:t>10</w:t>
      </w:r>
      <w:r w:rsidRPr="008356C6">
        <w:rPr>
          <w:noProof/>
        </w:rPr>
        <w:t xml:space="preserve"> a fost de acord cu proiectele de amendamente la Codul LSA, în vederea aprobării de către MSC </w:t>
      </w:r>
      <w:r w:rsidRPr="00DC27B2">
        <w:rPr>
          <w:noProof/>
        </w:rPr>
        <w:t>110</w:t>
      </w:r>
      <w:r w:rsidRPr="008356C6">
        <w:rPr>
          <w:noProof/>
        </w:rPr>
        <w:t xml:space="preserve"> și a adoptării de către MSC </w:t>
      </w:r>
      <w:r w:rsidRPr="00DC27B2">
        <w:rPr>
          <w:noProof/>
        </w:rPr>
        <w:t>111</w:t>
      </w:r>
      <w:r w:rsidRPr="008356C6">
        <w:rPr>
          <w:noProof/>
        </w:rPr>
        <w:t xml:space="preserve">. Poziția Uniunii în cadrul SSE </w:t>
      </w:r>
      <w:r w:rsidRPr="00DC27B2">
        <w:rPr>
          <w:noProof/>
        </w:rPr>
        <w:t>11</w:t>
      </w:r>
      <w:r w:rsidRPr="008356C6">
        <w:rPr>
          <w:noProof/>
        </w:rPr>
        <w:t xml:space="preserve"> a fost de a sprijini raportul grupului de corespondență și de a institui un grup de lucru privind mijloacele de salvare pentru a finaliza, în cadrul acestei sesiuni, proiectele de amendamente la Codul LSA. </w:t>
      </w:r>
    </w:p>
    <w:p w:rsidR="00165FA1" w:rsidRPr="008356C6" w:rsidRDefault="00165FA1" w:rsidP="00165FA1">
      <w:pPr>
        <w:pStyle w:val="Text1"/>
        <w:ind w:left="0"/>
        <w:rPr>
          <w:noProof/>
        </w:rPr>
      </w:pPr>
      <w:r w:rsidRPr="008356C6">
        <w:rPr>
          <w:noProof/>
        </w:rPr>
        <w:t xml:space="preserve">După ce a examinat proiectele de amendamente la Codul LSA, MSC </w:t>
      </w:r>
      <w:r w:rsidRPr="00DC27B2">
        <w:rPr>
          <w:noProof/>
        </w:rPr>
        <w:t>110</w:t>
      </w:r>
      <w:r w:rsidRPr="008356C6">
        <w:rPr>
          <w:noProof/>
        </w:rPr>
        <w:t xml:space="preserve"> le-a aprobat în vederea adoptării în cadrul MSC </w:t>
      </w:r>
      <w:r w:rsidRPr="00DC27B2">
        <w:rPr>
          <w:noProof/>
        </w:rPr>
        <w:t>111</w:t>
      </w:r>
      <w:r w:rsidRPr="008356C6">
        <w:rPr>
          <w:noProof/>
        </w:rPr>
        <w:t xml:space="preserve">. Aceste amendamente au fost distribuite de către secretariatul OMI prin circulara OMI nr. </w:t>
      </w:r>
      <w:r w:rsidRPr="00DC27B2">
        <w:rPr>
          <w:noProof/>
        </w:rPr>
        <w:t>5063</w:t>
      </w:r>
      <w:r w:rsidRPr="008356C6">
        <w:rPr>
          <w:noProof/>
        </w:rPr>
        <w:t xml:space="preserve"> din </w:t>
      </w:r>
      <w:r w:rsidRPr="00DC27B2">
        <w:rPr>
          <w:noProof/>
        </w:rPr>
        <w:t>29</w:t>
      </w:r>
      <w:r w:rsidRPr="008356C6">
        <w:rPr>
          <w:noProof/>
        </w:rPr>
        <w:t xml:space="preserve"> septembrie </w:t>
      </w:r>
      <w:r w:rsidRPr="00DC27B2">
        <w:rPr>
          <w:noProof/>
        </w:rPr>
        <w:t>2025</w:t>
      </w:r>
      <w:r w:rsidRPr="008356C6">
        <w:rPr>
          <w:noProof/>
        </w:rPr>
        <w:t>.</w:t>
      </w:r>
    </w:p>
    <w:p w:rsidR="00165FA1" w:rsidRPr="008356C6" w:rsidRDefault="00165FA1" w:rsidP="00165FA1">
      <w:pPr>
        <w:pStyle w:val="Text1"/>
        <w:ind w:left="0"/>
        <w:rPr>
          <w:noProof/>
        </w:rPr>
      </w:pPr>
      <w:r w:rsidRPr="008356C6">
        <w:rPr>
          <w:noProof/>
        </w:rPr>
        <w:t xml:space="preserve">Poziția Uniunii în cadrul MSC </w:t>
      </w:r>
      <w:r w:rsidRPr="00DC27B2">
        <w:rPr>
          <w:noProof/>
        </w:rPr>
        <w:t>110</w:t>
      </w:r>
      <w:r w:rsidRPr="008356C6">
        <w:rPr>
          <w:noProof/>
        </w:rPr>
        <w:t xml:space="preserve"> a fost de a sprijini proiectele de amendamente.</w:t>
      </w:r>
    </w:p>
    <w:p w:rsidR="009D268B" w:rsidRPr="008356C6" w:rsidRDefault="00165FA1" w:rsidP="00EB703C">
      <w:pPr>
        <w:pStyle w:val="Text1"/>
        <w:ind w:left="0"/>
        <w:rPr>
          <w:noProof/>
        </w:rPr>
      </w:pPr>
      <w:r w:rsidRPr="008356C6">
        <w:rPr>
          <w:noProof/>
        </w:rPr>
        <w:t>Uniunea ar trebui să sprijine aceste amendamente care vor facilita siguranța vieții pe mare prin creșterea încrederii în funcționarea eficace și eficientă a bărcilor de salvare lansate la apă prin cădere liberă în cazul abandonării navei.</w:t>
      </w:r>
    </w:p>
    <w:p w:rsidR="00863377" w:rsidRPr="008356C6" w:rsidRDefault="00863377" w:rsidP="00EB703C">
      <w:pPr>
        <w:pStyle w:val="Text1"/>
        <w:ind w:left="0"/>
        <w:rPr>
          <w:noProof/>
        </w:rPr>
      </w:pPr>
    </w:p>
    <w:p w:rsidR="00702CF4" w:rsidRPr="008356C6" w:rsidRDefault="00702CF4" w:rsidP="0091566B">
      <w:pPr>
        <w:pStyle w:val="ManualHeading2"/>
        <w:rPr>
          <w:b w:val="0"/>
          <w:noProof/>
        </w:rPr>
      </w:pPr>
      <w:r>
        <w:rPr>
          <w:noProof/>
        </w:rPr>
        <w:t>4.4.</w:t>
      </w:r>
      <w:r>
        <w:rPr>
          <w:noProof/>
        </w:rPr>
        <w:tab/>
      </w:r>
      <w:r w:rsidRPr="008356C6">
        <w:rPr>
          <w:b w:val="0"/>
          <w:noProof/>
        </w:rPr>
        <w:t xml:space="preserve">Amendamente la Protocolul din </w:t>
      </w:r>
      <w:r w:rsidRPr="00DC27B2">
        <w:rPr>
          <w:b w:val="0"/>
          <w:noProof/>
        </w:rPr>
        <w:t>1988</w:t>
      </w:r>
      <w:r w:rsidRPr="008356C6">
        <w:rPr>
          <w:b w:val="0"/>
          <w:noProof/>
        </w:rPr>
        <w:t xml:space="preserve"> privind liniile de încărcare</w:t>
      </w:r>
    </w:p>
    <w:p w:rsidR="00BB6C76" w:rsidRPr="008356C6" w:rsidRDefault="00863377" w:rsidP="00BB6C76">
      <w:pPr>
        <w:pStyle w:val="Text1"/>
        <w:ind w:left="0"/>
        <w:rPr>
          <w:noProof/>
        </w:rPr>
      </w:pPr>
      <w:r w:rsidRPr="008356C6">
        <w:rPr>
          <w:noProof/>
        </w:rPr>
        <w:t xml:space="preserve">MSC </w:t>
      </w:r>
      <w:r w:rsidRPr="00DC27B2">
        <w:rPr>
          <w:noProof/>
        </w:rPr>
        <w:t>107</w:t>
      </w:r>
      <w:r w:rsidRPr="008356C6">
        <w:rPr>
          <w:noProof/>
        </w:rPr>
        <w:t xml:space="preserve"> a aprobat adăugarea unor noi lucrări pentru modificarea Protocolului din </w:t>
      </w:r>
      <w:r w:rsidRPr="00DC27B2">
        <w:rPr>
          <w:noProof/>
        </w:rPr>
        <w:t>1988</w:t>
      </w:r>
      <w:r w:rsidRPr="008356C6">
        <w:rPr>
          <w:noProof/>
        </w:rPr>
        <w:t xml:space="preserve"> privind liniile de încărcare, astfel încât să se definească cerința privind fixarea de balustrade pe structura punții pentru a reduce la minimum riscurile în materie de siguranță. Comitetul a aprobat aceste noi lucrări. Poziția Uniunii în cadrul MSC </w:t>
      </w:r>
      <w:r w:rsidRPr="00DC27B2">
        <w:rPr>
          <w:noProof/>
        </w:rPr>
        <w:t>107</w:t>
      </w:r>
      <w:r w:rsidRPr="008356C6">
        <w:rPr>
          <w:noProof/>
        </w:rPr>
        <w:t xml:space="preserve"> a fost de a sprijini aceste noi lucrări. </w:t>
      </w:r>
    </w:p>
    <w:p w:rsidR="00863377" w:rsidRPr="008356C6" w:rsidRDefault="00863377" w:rsidP="00BB6C76">
      <w:pPr>
        <w:pStyle w:val="Text1"/>
        <w:ind w:left="0"/>
        <w:rPr>
          <w:noProof/>
        </w:rPr>
      </w:pPr>
      <w:r w:rsidRPr="008356C6">
        <w:rPr>
          <w:noProof/>
        </w:rPr>
        <w:t xml:space="preserve">SDC </w:t>
      </w:r>
      <w:r w:rsidRPr="00DC27B2">
        <w:rPr>
          <w:noProof/>
        </w:rPr>
        <w:t>10</w:t>
      </w:r>
      <w:r w:rsidRPr="008356C6">
        <w:rPr>
          <w:noProof/>
        </w:rPr>
        <w:t xml:space="preserve">, deși a fost de acord, în principiu, cu proiectele de amendamente la regula </w:t>
      </w:r>
      <w:r w:rsidRPr="00DC27B2">
        <w:rPr>
          <w:noProof/>
        </w:rPr>
        <w:t>25</w:t>
      </w:r>
      <w:r w:rsidRPr="008356C6">
        <w:rPr>
          <w:noProof/>
        </w:rPr>
        <w:t xml:space="preserve"> din Protocolul din </w:t>
      </w:r>
      <w:r w:rsidRPr="00DC27B2">
        <w:rPr>
          <w:noProof/>
        </w:rPr>
        <w:t>1988</w:t>
      </w:r>
      <w:r w:rsidRPr="008356C6">
        <w:rPr>
          <w:noProof/>
        </w:rPr>
        <w:t xml:space="preserve"> privind liniile de încărcare, a luat act de faptul că sunt necesare lucrări suplimentare pentru finalizare și a convenit să solicite comitetului să prelungească până în </w:t>
      </w:r>
      <w:r w:rsidRPr="00DC27B2">
        <w:rPr>
          <w:noProof/>
        </w:rPr>
        <w:t>2025</w:t>
      </w:r>
      <w:r w:rsidRPr="008356C6">
        <w:rPr>
          <w:noProof/>
        </w:rPr>
        <w:t xml:space="preserve"> anul-țintă de finalizare a lucrărilor și să mențină punctul de pe ordinea de zi provizorie a SDC </w:t>
      </w:r>
      <w:r w:rsidRPr="00DC27B2">
        <w:rPr>
          <w:noProof/>
        </w:rPr>
        <w:t>11</w:t>
      </w:r>
      <w:r w:rsidRPr="008356C6">
        <w:rPr>
          <w:noProof/>
        </w:rPr>
        <w:t xml:space="preserve">. Poziția Uniunii în cadrul SDC </w:t>
      </w:r>
      <w:r w:rsidRPr="00DC27B2">
        <w:rPr>
          <w:noProof/>
        </w:rPr>
        <w:t>10</w:t>
      </w:r>
      <w:r w:rsidRPr="008356C6">
        <w:rPr>
          <w:noProof/>
        </w:rPr>
        <w:t xml:space="preserve"> a fost de a sprijini propunerea de amendamente la regula </w:t>
      </w:r>
      <w:r w:rsidRPr="00DC27B2">
        <w:rPr>
          <w:noProof/>
        </w:rPr>
        <w:t>25</w:t>
      </w:r>
      <w:r w:rsidRPr="008356C6">
        <w:rPr>
          <w:noProof/>
        </w:rPr>
        <w:t xml:space="preserve"> din Protocolul din </w:t>
      </w:r>
      <w:r w:rsidRPr="00DC27B2">
        <w:rPr>
          <w:noProof/>
        </w:rPr>
        <w:t>1988</w:t>
      </w:r>
      <w:r w:rsidRPr="008356C6">
        <w:rPr>
          <w:noProof/>
        </w:rPr>
        <w:t xml:space="preserve"> privind liniile de încărcare.</w:t>
      </w:r>
    </w:p>
    <w:p w:rsidR="00E47237" w:rsidRPr="008356C6" w:rsidRDefault="00E47237" w:rsidP="00E47237">
      <w:pPr>
        <w:pStyle w:val="Text1"/>
        <w:ind w:left="0"/>
        <w:rPr>
          <w:noProof/>
        </w:rPr>
      </w:pPr>
      <w:r w:rsidRPr="008356C6">
        <w:rPr>
          <w:noProof/>
        </w:rPr>
        <w:t xml:space="preserve">SDC </w:t>
      </w:r>
      <w:r w:rsidRPr="00DC27B2">
        <w:rPr>
          <w:noProof/>
        </w:rPr>
        <w:t>11</w:t>
      </w:r>
      <w:r w:rsidRPr="008356C6">
        <w:rPr>
          <w:noProof/>
        </w:rPr>
        <w:t xml:space="preserve"> a fost de acord cu proiectele de amendamente la regula </w:t>
      </w:r>
      <w:r w:rsidRPr="00DC27B2">
        <w:rPr>
          <w:noProof/>
        </w:rPr>
        <w:t>25</w:t>
      </w:r>
      <w:r w:rsidRPr="008356C6">
        <w:rPr>
          <w:noProof/>
        </w:rPr>
        <w:t xml:space="preserve"> din Protocolul privind liniile de încărcare din </w:t>
      </w:r>
      <w:r w:rsidRPr="00DC27B2">
        <w:rPr>
          <w:noProof/>
        </w:rPr>
        <w:t>1988</w:t>
      </w:r>
      <w:r w:rsidRPr="008356C6">
        <w:rPr>
          <w:noProof/>
        </w:rPr>
        <w:t xml:space="preserve"> în vederea aprobării în cadrul MSC </w:t>
      </w:r>
      <w:r w:rsidRPr="00DC27B2">
        <w:rPr>
          <w:noProof/>
        </w:rPr>
        <w:t>110</w:t>
      </w:r>
      <w:r w:rsidRPr="008356C6">
        <w:rPr>
          <w:noProof/>
        </w:rPr>
        <w:t xml:space="preserve"> și a adoptării ulterioare în cadrul MSC </w:t>
      </w:r>
      <w:r w:rsidRPr="00DC27B2">
        <w:rPr>
          <w:noProof/>
        </w:rPr>
        <w:t>111</w:t>
      </w:r>
      <w:r w:rsidRPr="008356C6">
        <w:rPr>
          <w:noProof/>
        </w:rPr>
        <w:t xml:space="preserve">, cu intrarea în vigoare preconizată la </w:t>
      </w:r>
      <w:r w:rsidRPr="00DC27B2">
        <w:rPr>
          <w:noProof/>
        </w:rPr>
        <w:t>1</w:t>
      </w:r>
      <w:r w:rsidRPr="008356C6">
        <w:rPr>
          <w:noProof/>
        </w:rPr>
        <w:t xml:space="preserve"> ianuarie </w:t>
      </w:r>
      <w:r w:rsidRPr="00DC27B2">
        <w:rPr>
          <w:noProof/>
        </w:rPr>
        <w:t>2028</w:t>
      </w:r>
      <w:r w:rsidRPr="008356C6">
        <w:rPr>
          <w:noProof/>
        </w:rPr>
        <w:t xml:space="preserve">. Poziția Uniunii în </w:t>
      </w:r>
      <w:r w:rsidRPr="008356C6">
        <w:rPr>
          <w:noProof/>
        </w:rPr>
        <w:lastRenderedPageBreak/>
        <w:t xml:space="preserve">cadrul SDC </w:t>
      </w:r>
      <w:r w:rsidRPr="00DC27B2">
        <w:rPr>
          <w:noProof/>
        </w:rPr>
        <w:t>11</w:t>
      </w:r>
      <w:r w:rsidRPr="008356C6">
        <w:rPr>
          <w:noProof/>
        </w:rPr>
        <w:t xml:space="preserve"> a fost de a sprijini propunerea de amendamente la regula </w:t>
      </w:r>
      <w:r w:rsidRPr="00DC27B2">
        <w:rPr>
          <w:noProof/>
        </w:rPr>
        <w:t>25</w:t>
      </w:r>
      <w:r w:rsidRPr="008356C6">
        <w:rPr>
          <w:noProof/>
        </w:rPr>
        <w:t xml:space="preserve"> din Protocolul din </w:t>
      </w:r>
      <w:r w:rsidRPr="00DC27B2">
        <w:rPr>
          <w:noProof/>
        </w:rPr>
        <w:t>1988</w:t>
      </w:r>
      <w:r w:rsidRPr="008356C6">
        <w:rPr>
          <w:noProof/>
        </w:rPr>
        <w:t xml:space="preserve"> privind liniile de încărcare. </w:t>
      </w:r>
    </w:p>
    <w:p w:rsidR="00E47237" w:rsidRPr="008356C6" w:rsidRDefault="00E47237" w:rsidP="00E47237">
      <w:pPr>
        <w:pStyle w:val="Text1"/>
        <w:ind w:left="0"/>
        <w:rPr>
          <w:noProof/>
        </w:rPr>
      </w:pPr>
      <w:r w:rsidRPr="008356C6">
        <w:rPr>
          <w:noProof/>
        </w:rPr>
        <w:t xml:space="preserve">MSC </w:t>
      </w:r>
      <w:r w:rsidRPr="00DC27B2">
        <w:rPr>
          <w:noProof/>
        </w:rPr>
        <w:t>110</w:t>
      </w:r>
      <w:r w:rsidRPr="008356C6">
        <w:rPr>
          <w:noProof/>
        </w:rPr>
        <w:t xml:space="preserve"> a aprobat proiectele de amendamente la regula </w:t>
      </w:r>
      <w:r w:rsidRPr="00DC27B2">
        <w:rPr>
          <w:noProof/>
        </w:rPr>
        <w:t>25</w:t>
      </w:r>
      <w:r w:rsidRPr="008356C6">
        <w:rPr>
          <w:noProof/>
        </w:rPr>
        <w:t xml:space="preserve"> din Protocolul din </w:t>
      </w:r>
      <w:r w:rsidRPr="00DC27B2">
        <w:rPr>
          <w:noProof/>
        </w:rPr>
        <w:t>1988</w:t>
      </w:r>
      <w:r w:rsidRPr="008356C6">
        <w:rPr>
          <w:noProof/>
        </w:rPr>
        <w:t xml:space="preserve"> privind liniile de încărcare, referitoare la cerința privind fixarea de balustrade pe structura punții, în vederea adoptării în cadrul MSC </w:t>
      </w:r>
      <w:r w:rsidRPr="00DC27B2">
        <w:rPr>
          <w:noProof/>
        </w:rPr>
        <w:t>111</w:t>
      </w:r>
      <w:r w:rsidRPr="008356C6">
        <w:rPr>
          <w:noProof/>
        </w:rPr>
        <w:t xml:space="preserve">. Aceste amendamente au fost distribuite de către secretariatul OMI prin circulara OMI nr. </w:t>
      </w:r>
      <w:r w:rsidRPr="00DC27B2">
        <w:rPr>
          <w:noProof/>
        </w:rPr>
        <w:t>5063</w:t>
      </w:r>
      <w:r w:rsidRPr="008356C6">
        <w:rPr>
          <w:noProof/>
        </w:rPr>
        <w:t xml:space="preserve"> din </w:t>
      </w:r>
      <w:r w:rsidRPr="00DC27B2">
        <w:rPr>
          <w:noProof/>
        </w:rPr>
        <w:t>29</w:t>
      </w:r>
      <w:r w:rsidRPr="008356C6">
        <w:rPr>
          <w:noProof/>
        </w:rPr>
        <w:t xml:space="preserve"> septembrie </w:t>
      </w:r>
      <w:r w:rsidRPr="00DC27B2">
        <w:rPr>
          <w:noProof/>
        </w:rPr>
        <w:t>2025</w:t>
      </w:r>
      <w:r w:rsidRPr="008356C6">
        <w:rPr>
          <w:noProof/>
        </w:rPr>
        <w:t>.</w:t>
      </w:r>
    </w:p>
    <w:p w:rsidR="00E47237" w:rsidRPr="008356C6" w:rsidRDefault="00E47237" w:rsidP="00E47237">
      <w:pPr>
        <w:pStyle w:val="Text1"/>
        <w:ind w:left="0"/>
        <w:rPr>
          <w:noProof/>
        </w:rPr>
      </w:pPr>
      <w:r w:rsidRPr="008356C6">
        <w:rPr>
          <w:noProof/>
        </w:rPr>
        <w:t xml:space="preserve">Poziția Uniunii în cadrul MSC </w:t>
      </w:r>
      <w:r w:rsidRPr="00DC27B2">
        <w:rPr>
          <w:noProof/>
        </w:rPr>
        <w:t>110</w:t>
      </w:r>
      <w:r w:rsidRPr="008356C6">
        <w:rPr>
          <w:noProof/>
        </w:rPr>
        <w:t xml:space="preserve"> a fost de a sprijini proiectele de amendamente.</w:t>
      </w:r>
    </w:p>
    <w:p w:rsidR="00E47237" w:rsidRPr="008356C6" w:rsidRDefault="00E47237" w:rsidP="00E47237">
      <w:pPr>
        <w:pStyle w:val="Text1"/>
        <w:ind w:left="0"/>
        <w:rPr>
          <w:noProof/>
        </w:rPr>
      </w:pPr>
      <w:r w:rsidRPr="008356C6">
        <w:rPr>
          <w:noProof/>
        </w:rPr>
        <w:t>Uniunea ar trebui să sprijine aceste amendamente, deoarece instalarea unor balustrade cu trei gărzi pe structura punții poate spori în mod eficace protecția echipajului, poate reduce riscul de cădere peste bord și de rănire a echipajului și poate îmbunătăți siguranța navelor cu costuri economice minime.</w:t>
      </w:r>
    </w:p>
    <w:p w:rsidR="005A3E73" w:rsidRPr="008356C6" w:rsidRDefault="008E4DFC" w:rsidP="005A3E73">
      <w:pPr>
        <w:pStyle w:val="ManualHeading1"/>
        <w:rPr>
          <w:noProof/>
        </w:rPr>
      </w:pPr>
      <w:r>
        <w:rPr>
          <w:noProof/>
        </w:rPr>
        <w:t>5.</w:t>
      </w:r>
      <w:r>
        <w:rPr>
          <w:noProof/>
        </w:rPr>
        <w:tab/>
      </w:r>
      <w:r w:rsidRPr="008356C6">
        <w:rPr>
          <w:noProof/>
        </w:rPr>
        <w:t>Legislația și competența UE în domeniu</w:t>
      </w:r>
    </w:p>
    <w:p w:rsidR="00705550" w:rsidRPr="008356C6" w:rsidRDefault="00702CF4" w:rsidP="00705550">
      <w:pPr>
        <w:pStyle w:val="Text1"/>
        <w:ind w:left="0"/>
        <w:rPr>
          <w:noProof/>
        </w:rPr>
      </w:pPr>
      <w:r w:rsidRPr="00DC27B2">
        <w:rPr>
          <w:noProof/>
        </w:rPr>
        <w:t>5</w:t>
      </w:r>
      <w:r w:rsidRPr="008356C6">
        <w:rPr>
          <w:noProof/>
        </w:rPr>
        <w:t>.</w:t>
      </w:r>
      <w:r w:rsidRPr="00DC27B2">
        <w:rPr>
          <w:noProof/>
        </w:rPr>
        <w:t>1</w:t>
      </w:r>
      <w:r w:rsidRPr="008356C6">
        <w:rPr>
          <w:noProof/>
        </w:rPr>
        <w:t xml:space="preserve">. Legislația UE aplicabilă </w:t>
      </w:r>
    </w:p>
    <w:p w:rsidR="008115E3" w:rsidRPr="008356C6" w:rsidRDefault="008115E3" w:rsidP="006C2C12">
      <w:pPr>
        <w:pStyle w:val="ManualHeading3"/>
        <w:rPr>
          <w:noProof/>
        </w:rPr>
      </w:pPr>
      <w:r>
        <w:rPr>
          <w:noProof/>
        </w:rPr>
        <w:t>5.1.1.</w:t>
      </w:r>
      <w:r>
        <w:rPr>
          <w:noProof/>
        </w:rPr>
        <w:tab/>
      </w:r>
      <w:r w:rsidRPr="008356C6">
        <w:rPr>
          <w:noProof/>
        </w:rPr>
        <w:t xml:space="preserve">Amendamente aduse regulilor </w:t>
      </w:r>
      <w:r w:rsidRPr="00DC27B2">
        <w:rPr>
          <w:noProof/>
        </w:rPr>
        <w:t>13</w:t>
      </w:r>
      <w:r w:rsidRPr="008356C6">
        <w:rPr>
          <w:noProof/>
        </w:rPr>
        <w:t xml:space="preserve"> și </w:t>
      </w:r>
      <w:r w:rsidRPr="00DC27B2">
        <w:rPr>
          <w:noProof/>
        </w:rPr>
        <w:t>14</w:t>
      </w:r>
      <w:r w:rsidRPr="008356C6">
        <w:rPr>
          <w:noProof/>
        </w:rPr>
        <w:t xml:space="preserve"> și apendicelui VII la anexa VI la MARPOL </w:t>
      </w:r>
    </w:p>
    <w:p w:rsidR="004536C5" w:rsidRPr="008356C6" w:rsidRDefault="004536C5" w:rsidP="004536C5">
      <w:pPr>
        <w:rPr>
          <w:i/>
          <w:iCs/>
          <w:noProof/>
        </w:rPr>
      </w:pPr>
      <w:r w:rsidRPr="008356C6">
        <w:rPr>
          <w:noProof/>
        </w:rPr>
        <w:t xml:space="preserve">Directiva (UE) </w:t>
      </w:r>
      <w:r w:rsidRPr="00DC27B2">
        <w:rPr>
          <w:noProof/>
        </w:rPr>
        <w:t>2016</w:t>
      </w:r>
      <w:r w:rsidRPr="008356C6">
        <w:rPr>
          <w:noProof/>
        </w:rPr>
        <w:t>/</w:t>
      </w:r>
      <w:r w:rsidRPr="00DC27B2">
        <w:rPr>
          <w:noProof/>
        </w:rPr>
        <w:t>802</w:t>
      </w:r>
      <w:r w:rsidRPr="008356C6">
        <w:rPr>
          <w:noProof/>
        </w:rPr>
        <w:t xml:space="preserve"> are ca scop reducerea emisiilor de dioxid de sulf din anumiți combustibili lichizi</w:t>
      </w:r>
      <w:r w:rsidRPr="008356C6">
        <w:rPr>
          <w:rStyle w:val="FootnoteReference"/>
          <w:noProof/>
        </w:rPr>
        <w:footnoteReference w:id="4"/>
      </w:r>
      <w:r w:rsidRPr="008356C6">
        <w:rPr>
          <w:noProof/>
        </w:rPr>
        <w:t xml:space="preserve">. Directiva urmărește prevenirea și controlul poluării atmosferice produse de emisii nocive rezultate din arderea combustibililor lichizi cu conținut ridicat de sulf, care dăunează sănătății umane și mediului și contribuie la depunerile de acizi. Articolul </w:t>
      </w:r>
      <w:r w:rsidRPr="00DC27B2">
        <w:rPr>
          <w:noProof/>
        </w:rPr>
        <w:t>6</w:t>
      </w:r>
      <w:r w:rsidRPr="008356C6">
        <w:rPr>
          <w:noProof/>
        </w:rPr>
        <w:t xml:space="preserve"> și articolul </w:t>
      </w:r>
      <w:r w:rsidRPr="00DC27B2">
        <w:rPr>
          <w:noProof/>
        </w:rPr>
        <w:t>13</w:t>
      </w:r>
      <w:r w:rsidRPr="008356C6">
        <w:rPr>
          <w:noProof/>
        </w:rPr>
        <w:t>, precum și anexa I se referă la regulile prevăzute în anexa VI la MARPOL privind conținutul maxim de sulf al combustibililor navelor și emisiile de SOx generate de nave în apele UE.</w:t>
      </w:r>
    </w:p>
    <w:p w:rsidR="004536C5" w:rsidRPr="008356C6" w:rsidRDefault="004536C5" w:rsidP="004536C5">
      <w:pPr>
        <w:rPr>
          <w:noProof/>
        </w:rPr>
      </w:pPr>
      <w:r w:rsidRPr="008356C6">
        <w:rPr>
          <w:noProof/>
        </w:rPr>
        <w:t>Directiva-cadru „Strategia pentru mediul marin”</w:t>
      </w:r>
      <w:r w:rsidRPr="008356C6">
        <w:rPr>
          <w:rStyle w:val="FootnoteReference"/>
          <w:noProof/>
        </w:rPr>
        <w:footnoteReference w:id="5"/>
      </w:r>
      <w:r w:rsidRPr="008356C6">
        <w:rPr>
          <w:noProof/>
        </w:rPr>
        <w:t xml:space="preserve"> prevede obligația statelor membre de a lua măsurile necesare pentru a obține sau a menține „o stare ecologică bună” a mediului marin până cel târziu în </w:t>
      </w:r>
      <w:r w:rsidRPr="00DC27B2">
        <w:rPr>
          <w:noProof/>
        </w:rPr>
        <w:t>2020</w:t>
      </w:r>
      <w:r w:rsidRPr="008356C6">
        <w:rPr>
          <w:noProof/>
        </w:rPr>
        <w:t>. O „stare ecologică bună” înseamnă „starea ecologică a apelor marine care se definește prin diversitatea ecologică și dinamica oceanelor și a mărilor, care sunt curate, în bună stare sanitară și productive în cadrul condițiilor lor intrinseci și printr-o utilizare durabilă a mediului marin, salvgardându-se astfel potențialul acestuia pentru utilizările și activitățile generațiilor actuale și viitoare” [articolul </w:t>
      </w:r>
      <w:r w:rsidRPr="00DC27B2">
        <w:rPr>
          <w:noProof/>
        </w:rPr>
        <w:t>3</w:t>
      </w:r>
      <w:r w:rsidRPr="008356C6">
        <w:rPr>
          <w:noProof/>
        </w:rPr>
        <w:t xml:space="preserve"> alineatul (</w:t>
      </w:r>
      <w:r w:rsidRPr="00DC27B2">
        <w:rPr>
          <w:noProof/>
        </w:rPr>
        <w:t>5</w:t>
      </w:r>
      <w:r w:rsidRPr="008356C6">
        <w:rPr>
          <w:noProof/>
        </w:rPr>
        <w:t xml:space="preserve">) din Directiva-cadru „Strategia pentru mediul marin”]. Pentru determinarea unei stări ecologice bune este necesar, printre altele, ca eutrofizarea rezultată din activități umane, în special efectele sale nefaste cum ar fi pierderi ale biodiversității, degradarea ecosistemelor, proliferarea algelor toxice și dezoxigenarea apelor profunde, să fie redusă la minimum. Reducerea aporturilor de azot generate de transportul maritim prin aplicarea cerințelor de nivelul III rezultate din desemnarea Atlanticului de Nord-Est ca NECA va ajuta statele membre ale UE limitrofe acestor ape să obțină o „stare ecologică bună” în conformitate cu Directiva-cadru „Strategia pentru mediul marin”. </w:t>
      </w:r>
    </w:p>
    <w:p w:rsidR="004536C5" w:rsidRPr="008356C6" w:rsidRDefault="004536C5" w:rsidP="004536C5">
      <w:pPr>
        <w:rPr>
          <w:noProof/>
        </w:rPr>
      </w:pPr>
      <w:r w:rsidRPr="008356C6">
        <w:rPr>
          <w:noProof/>
        </w:rPr>
        <w:lastRenderedPageBreak/>
        <w:t>Directiva privind calitatea aerului înconjurător</w:t>
      </w:r>
      <w:r w:rsidRPr="008356C6">
        <w:rPr>
          <w:rStyle w:val="FootnoteReference"/>
          <w:noProof/>
        </w:rPr>
        <w:footnoteReference w:id="6"/>
      </w:r>
      <w:r w:rsidRPr="008356C6">
        <w:rPr>
          <w:noProof/>
        </w:rPr>
        <w:t xml:space="preserve"> (revizuită în </w:t>
      </w:r>
      <w:r w:rsidRPr="00DC27B2">
        <w:rPr>
          <w:noProof/>
        </w:rPr>
        <w:t>2024</w:t>
      </w:r>
      <w:r w:rsidRPr="008356C6">
        <w:rPr>
          <w:noProof/>
        </w:rPr>
        <w:t>) stabilește, printre altele, valorile-limită pentru NO</w:t>
      </w:r>
      <w:r w:rsidRPr="00DC27B2">
        <w:rPr>
          <w:noProof/>
          <w:vertAlign w:val="subscript"/>
        </w:rPr>
        <w:t>2</w:t>
      </w:r>
      <w:r w:rsidRPr="008356C6">
        <w:rPr>
          <w:noProof/>
        </w:rPr>
        <w:t xml:space="preserve"> cu scopul de a se evita, a se preveni sau a se reduce efectele dăunătoare asupra sănătății umane și/sau a mediului ale poluării atmosferice. Directiva privind calitatea aerului înconjurător recunoaște că, în scopul îndeplinirii obiectivelor stabilite în directiva respectivă, este deosebit de importantă combaterea la sursă a emisiilor de poluanți, în special prin măsuri care să limiteze emisiile de gaze de eșapament ale motoarelor diverselor surse mobile și staționare prin intermediul standardelor calitative privind motoarele sau combustibilii. Uniunea Europeană a adoptat diferite acte legislative care reglementează emisiile prin intermediul standardelor privind motoarele utilizate în diferite moduri de transport rutier (autoturisme, camioane și camionete, prin intermediul normelor Euro</w:t>
      </w:r>
      <w:r w:rsidRPr="008356C6">
        <w:rPr>
          <w:rStyle w:val="FootnoteReference"/>
          <w:noProof/>
        </w:rPr>
        <w:footnoteReference w:id="7"/>
      </w:r>
      <w:r w:rsidRPr="008356C6">
        <w:rPr>
          <w:noProof/>
        </w:rPr>
        <w:t>) și privind echipamentele mobile fără destinație rutieră (nave pentru căile navigabile interioare și locomotive, prin Directiva privind echipamentele mobile fără destinație rutieră)</w:t>
      </w:r>
      <w:r w:rsidRPr="008356C6">
        <w:rPr>
          <w:rStyle w:val="FootnoteReference"/>
          <w:noProof/>
        </w:rPr>
        <w:footnoteReference w:id="8"/>
      </w:r>
      <w:r w:rsidRPr="008356C6">
        <w:rPr>
          <w:noProof/>
        </w:rPr>
        <w:t xml:space="preserve">. </w:t>
      </w:r>
    </w:p>
    <w:p w:rsidR="00C72813" w:rsidRPr="008356C6" w:rsidRDefault="00B36E74" w:rsidP="00B36E74">
      <w:pPr>
        <w:pStyle w:val="Text1"/>
        <w:ind w:left="0"/>
        <w:rPr>
          <w:noProof/>
        </w:rPr>
      </w:pPr>
      <w:r w:rsidRPr="008356C6">
        <w:rPr>
          <w:noProof/>
        </w:rPr>
        <w:t xml:space="preserve">Prin urmare, </w:t>
      </w:r>
      <w:bookmarkStart w:id="10" w:name="_Hlk147741357"/>
      <w:r w:rsidRPr="008356C6">
        <w:rPr>
          <w:noProof/>
        </w:rPr>
        <w:t xml:space="preserve">amendamentele aduse regulilor </w:t>
      </w:r>
      <w:r w:rsidRPr="00DC27B2">
        <w:rPr>
          <w:noProof/>
        </w:rPr>
        <w:t>13</w:t>
      </w:r>
      <w:r w:rsidRPr="008356C6">
        <w:rPr>
          <w:noProof/>
        </w:rPr>
        <w:t xml:space="preserve"> și </w:t>
      </w:r>
      <w:r w:rsidRPr="00DC27B2">
        <w:rPr>
          <w:noProof/>
        </w:rPr>
        <w:t>14</w:t>
      </w:r>
      <w:r w:rsidRPr="008356C6">
        <w:rPr>
          <w:noProof/>
        </w:rPr>
        <w:t xml:space="preserve"> și apendicelui VII la anexa VI la MARPOL referitoare la adoptarea unei zone de control al emisiilor pot avea efecte semnificative asupra conținutului Directivei (UE) </w:t>
      </w:r>
      <w:r w:rsidRPr="00DC27B2">
        <w:rPr>
          <w:noProof/>
        </w:rPr>
        <w:t>2016</w:t>
      </w:r>
      <w:r w:rsidRPr="008356C6">
        <w:rPr>
          <w:noProof/>
        </w:rPr>
        <w:t>/</w:t>
      </w:r>
      <w:r w:rsidRPr="00DC27B2">
        <w:rPr>
          <w:noProof/>
        </w:rPr>
        <w:t>802</w:t>
      </w:r>
      <w:bookmarkEnd w:id="10"/>
      <w:r w:rsidRPr="008356C6">
        <w:rPr>
          <w:noProof/>
        </w:rPr>
        <w:t xml:space="preserve">. Motivul este acela că stabilirea unei zone de control al emisiilor în statele membre ale UE ar avea efecte asupra aplicării acestei directive, deoarece articolele </w:t>
      </w:r>
      <w:r w:rsidRPr="00DC27B2">
        <w:rPr>
          <w:noProof/>
        </w:rPr>
        <w:t>6</w:t>
      </w:r>
      <w:r w:rsidRPr="008356C6">
        <w:rPr>
          <w:noProof/>
        </w:rPr>
        <w:t xml:space="preserve"> și </w:t>
      </w:r>
      <w:r w:rsidRPr="00DC27B2">
        <w:rPr>
          <w:noProof/>
        </w:rPr>
        <w:t>13</w:t>
      </w:r>
      <w:r w:rsidRPr="008356C6">
        <w:rPr>
          <w:noProof/>
        </w:rPr>
        <w:t xml:space="preserve"> și anexa sa I se referă la regulile prevăzute în anexa VI la MARPOL privind conținutul maxim de sulf al combustibililor navelor și emisiile de SOx generate de nave în apele UE.</w:t>
      </w:r>
    </w:p>
    <w:p w:rsidR="00442269" w:rsidRPr="008356C6" w:rsidRDefault="00442269" w:rsidP="002408A0">
      <w:pPr>
        <w:pStyle w:val="ManualHeading3"/>
        <w:rPr>
          <w:noProof/>
        </w:rPr>
      </w:pPr>
      <w:r>
        <w:rPr>
          <w:noProof/>
        </w:rPr>
        <w:t>5.1.2.</w:t>
      </w:r>
      <w:r>
        <w:rPr>
          <w:noProof/>
        </w:rPr>
        <w:tab/>
      </w:r>
      <w:r w:rsidRPr="008356C6">
        <w:rPr>
          <w:noProof/>
        </w:rPr>
        <w:t xml:space="preserve">Amendamentele aduse regulilor </w:t>
      </w:r>
      <w:r w:rsidRPr="00DC27B2">
        <w:rPr>
          <w:noProof/>
        </w:rPr>
        <w:t>20</w:t>
      </w:r>
      <w:r w:rsidRPr="008356C6">
        <w:rPr>
          <w:noProof/>
        </w:rPr>
        <w:t xml:space="preserve">, </w:t>
      </w:r>
      <w:r w:rsidRPr="00DC27B2">
        <w:rPr>
          <w:noProof/>
        </w:rPr>
        <w:t>25</w:t>
      </w:r>
      <w:r w:rsidRPr="008356C6">
        <w:rPr>
          <w:noProof/>
        </w:rPr>
        <w:t xml:space="preserve">, </w:t>
      </w:r>
      <w:r w:rsidRPr="00DC27B2">
        <w:rPr>
          <w:noProof/>
        </w:rPr>
        <w:t>27</w:t>
      </w:r>
      <w:r w:rsidRPr="008356C6">
        <w:rPr>
          <w:noProof/>
        </w:rPr>
        <w:t xml:space="preserve"> și </w:t>
      </w:r>
      <w:r w:rsidRPr="00DC27B2">
        <w:rPr>
          <w:noProof/>
        </w:rPr>
        <w:t>28</w:t>
      </w:r>
      <w:r w:rsidRPr="008356C6">
        <w:rPr>
          <w:noProof/>
        </w:rPr>
        <w:t xml:space="preserve"> din anexa VI la MARPOL</w:t>
      </w:r>
    </w:p>
    <w:p w:rsidR="00705550" w:rsidRPr="008356C6" w:rsidRDefault="25D64843" w:rsidP="00705550">
      <w:pPr>
        <w:rPr>
          <w:noProof/>
        </w:rPr>
      </w:pPr>
      <w:bookmarkStart w:id="11" w:name="_Hlk153384043"/>
      <w:r w:rsidRPr="008356C6">
        <w:rPr>
          <w:noProof/>
        </w:rPr>
        <w:t xml:space="preserve">Regulamentul (UE) </w:t>
      </w:r>
      <w:r w:rsidRPr="00DC27B2">
        <w:rPr>
          <w:noProof/>
        </w:rPr>
        <w:t>2015</w:t>
      </w:r>
      <w:r w:rsidRPr="008356C6">
        <w:rPr>
          <w:noProof/>
        </w:rPr>
        <w:t>/</w:t>
      </w:r>
      <w:r w:rsidRPr="00DC27B2">
        <w:rPr>
          <w:noProof/>
        </w:rPr>
        <w:t>757</w:t>
      </w:r>
      <w:r w:rsidRPr="008356C6">
        <w:rPr>
          <w:noProof/>
        </w:rPr>
        <w:t xml:space="preserve"> privind monitorizarea, raportarea și verificarea emisiilor de dioxid de carbon generate de transportul maritim</w:t>
      </w:r>
      <w:r w:rsidRPr="008356C6">
        <w:rPr>
          <w:rStyle w:val="FootnoteReference"/>
          <w:noProof/>
        </w:rPr>
        <w:footnoteReference w:id="9"/>
      </w:r>
      <w:r w:rsidRPr="008356C6">
        <w:rPr>
          <w:noProof/>
        </w:rPr>
        <w:t xml:space="preserve"> (Regulamentul UE privind MRV) stabilește cadrul juridic al unui sistem al UE de monitorizare, raportare și verificare (MRV) a emisiilor de GES. </w:t>
      </w:r>
      <w:bookmarkEnd w:id="11"/>
      <w:r w:rsidRPr="008356C6">
        <w:rPr>
          <w:noProof/>
        </w:rPr>
        <w:t xml:space="preserve">Regulamentul are ca scop furnizarea de date solide și verificabile privind emisiile de GES și de indicatori privind eficiența energetică, informarea responsabililor de elaborarea politicilor și stimularea adoptării de către piață a unor tehnologii și comportamente eficiente din punct de vedere energetic. În acest scop, regulamentul vizează eliminarea barierelor existente pe piață, cum ar fi lipsa informațiilor. Regulamentul a intrat în vigoare la </w:t>
      </w:r>
      <w:r w:rsidRPr="00DC27B2">
        <w:rPr>
          <w:noProof/>
        </w:rPr>
        <w:t>1</w:t>
      </w:r>
      <w:r w:rsidRPr="008356C6">
        <w:rPr>
          <w:noProof/>
        </w:rPr>
        <w:t xml:space="preserve"> iulie </w:t>
      </w:r>
      <w:r w:rsidRPr="00DC27B2">
        <w:rPr>
          <w:noProof/>
        </w:rPr>
        <w:t>2015</w:t>
      </w:r>
      <w:r w:rsidRPr="008356C6">
        <w:rPr>
          <w:noProof/>
        </w:rPr>
        <w:t xml:space="preserve">. Îmbunătățirea accesibilității bazei de date a OMI privind consumul de păcură al navelor (DCS a OMI) pentru publicul larg și introducerea clauzei de revizuire a măsurii pe termen scurt de reducere a GES urmăresc diminuarea intensității carbonului aferente transportului </w:t>
      </w:r>
      <w:r w:rsidRPr="008356C6">
        <w:rPr>
          <w:noProof/>
        </w:rPr>
        <w:lastRenderedPageBreak/>
        <w:t>maritim internațional într-un mod compatibil cu nivelul de ambiție stabilit în Strategia OMI privind reducerea emisiilor de GES generate de nave. Ameliorarea coerenței/calității datelor raportate în DCS a OMI și extinderea accesului la date la publicul larg are implicații asupra colectării și raportării datelor referitoare la consumul de păcură al navelor și ar putea, în consecință, să aibă efecte asupra monitorizării, verificării și raportării emisiilor de GES generate de transportul maritim în temeiul Regulamentului UE privind MRV.</w:t>
      </w:r>
    </w:p>
    <w:p w:rsidR="004536C5" w:rsidRPr="008356C6" w:rsidRDefault="004536C5" w:rsidP="004536C5">
      <w:pPr>
        <w:rPr>
          <w:noProof/>
        </w:rPr>
      </w:pPr>
      <w:r w:rsidRPr="008356C6">
        <w:rPr>
          <w:noProof/>
        </w:rPr>
        <w:t>Legea europeană a climei</w:t>
      </w:r>
      <w:r w:rsidRPr="008356C6">
        <w:rPr>
          <w:rStyle w:val="FootnoteReference"/>
          <w:noProof/>
        </w:rPr>
        <w:footnoteReference w:id="10"/>
      </w:r>
      <w:r w:rsidRPr="008356C6">
        <w:rPr>
          <w:noProof/>
        </w:rPr>
        <w:t xml:space="preserve"> stabilește un obiectiv climatic obligatoriu al Uniunii (în raport cu </w:t>
      </w:r>
      <w:r w:rsidRPr="00DC27B2">
        <w:rPr>
          <w:noProof/>
        </w:rPr>
        <w:t>1990</w:t>
      </w:r>
      <w:r w:rsidRPr="008356C6">
        <w:rPr>
          <w:noProof/>
        </w:rPr>
        <w:t xml:space="preserve">), de reducere a emisiilor nete de gaze cu efect de seră — emisii după deducerea absorbțiilor — cu cel puțin </w:t>
      </w:r>
      <w:r w:rsidRPr="00DC27B2">
        <w:rPr>
          <w:noProof/>
        </w:rPr>
        <w:t>55</w:t>
      </w:r>
      <w:r w:rsidRPr="008356C6">
        <w:rPr>
          <w:noProof/>
        </w:rPr>
        <w:t xml:space="preserve"> % până cel târziu în </w:t>
      </w:r>
      <w:r w:rsidRPr="00DC27B2">
        <w:rPr>
          <w:noProof/>
        </w:rPr>
        <w:t>2030</w:t>
      </w:r>
      <w:r w:rsidRPr="008356C6">
        <w:rPr>
          <w:noProof/>
        </w:rPr>
        <w:t xml:space="preserve"> și cu </w:t>
      </w:r>
      <w:r w:rsidRPr="00DC27B2">
        <w:rPr>
          <w:noProof/>
        </w:rPr>
        <w:t>90</w:t>
      </w:r>
      <w:r w:rsidRPr="008356C6">
        <w:rPr>
          <w:noProof/>
        </w:rPr>
        <w:t xml:space="preserve"> % până cel târziu în </w:t>
      </w:r>
      <w:r w:rsidRPr="00DC27B2">
        <w:rPr>
          <w:noProof/>
        </w:rPr>
        <w:t>2040</w:t>
      </w:r>
      <w:r w:rsidRPr="008356C6">
        <w:rPr>
          <w:noProof/>
        </w:rPr>
        <w:t xml:space="preserve"> (propunerea Comisiei).</w:t>
      </w:r>
      <w:r w:rsidRPr="008356C6">
        <w:rPr>
          <w:noProof/>
          <w:vertAlign w:val="superscript"/>
        </w:rPr>
        <w:t xml:space="preserve"> </w:t>
      </w:r>
      <w:r w:rsidRPr="008356C6">
        <w:rPr>
          <w:noProof/>
        </w:rPr>
        <w:t xml:space="preserve">Regulamentul mai prevede și obiectivul neutralității climatice, care trebuie realizat până cel târziu în </w:t>
      </w:r>
      <w:r w:rsidRPr="00DC27B2">
        <w:rPr>
          <w:noProof/>
        </w:rPr>
        <w:t>2050</w:t>
      </w:r>
      <w:r w:rsidRPr="008356C6">
        <w:rPr>
          <w:noProof/>
        </w:rPr>
        <w:t xml:space="preserve">, precum și un obiectiv ambițios privind emisiile nete negative după această dată. </w:t>
      </w:r>
    </w:p>
    <w:p w:rsidR="00705550" w:rsidRPr="008356C6" w:rsidRDefault="00705550" w:rsidP="00705550">
      <w:pPr>
        <w:rPr>
          <w:iCs/>
          <w:noProof/>
        </w:rPr>
      </w:pPr>
      <w:r w:rsidRPr="008356C6">
        <w:rPr>
          <w:noProof/>
        </w:rPr>
        <w:t xml:space="preserve">Pe baza propunerilor Comisiei de reducere a emisiilor de GES cuprinse în pachetul „Pregătiți pentru </w:t>
      </w:r>
      <w:r w:rsidRPr="00DC27B2">
        <w:rPr>
          <w:noProof/>
        </w:rPr>
        <w:t>55</w:t>
      </w:r>
      <w:r w:rsidRPr="008356C6">
        <w:rPr>
          <w:noProof/>
        </w:rPr>
        <w:t xml:space="preserve">”, legiuitorii UE au adoptat următoarele acte juridice care vizează în mod specific emisiile de GES din sectorul transportului maritim: </w:t>
      </w:r>
    </w:p>
    <w:p w:rsidR="00141773" w:rsidRPr="008356C6" w:rsidRDefault="00141773" w:rsidP="00EF7C8A">
      <w:pPr>
        <w:pStyle w:val="Bullet1"/>
        <w:numPr>
          <w:ilvl w:val="0"/>
          <w:numId w:val="15"/>
        </w:numPr>
        <w:rPr>
          <w:noProof/>
        </w:rPr>
      </w:pPr>
      <w:r w:rsidRPr="008356C6">
        <w:rPr>
          <w:noProof/>
        </w:rPr>
        <w:t xml:space="preserve">revizuirea Directivei </w:t>
      </w:r>
      <w:r w:rsidRPr="00DC27B2">
        <w:rPr>
          <w:noProof/>
        </w:rPr>
        <w:t>2003</w:t>
      </w:r>
      <w:r w:rsidRPr="008356C6">
        <w:rPr>
          <w:noProof/>
        </w:rPr>
        <w:t>/</w:t>
      </w:r>
      <w:r w:rsidRPr="00DC27B2">
        <w:rPr>
          <w:noProof/>
        </w:rPr>
        <w:t>87</w:t>
      </w:r>
      <w:r w:rsidRPr="008356C6">
        <w:rPr>
          <w:noProof/>
        </w:rPr>
        <w:t>/CE</w:t>
      </w:r>
      <w:r w:rsidRPr="008356C6">
        <w:rPr>
          <w:rStyle w:val="FootnoteReference"/>
          <w:noProof/>
        </w:rPr>
        <w:footnoteReference w:id="11"/>
      </w:r>
      <w:r w:rsidRPr="008356C6">
        <w:rPr>
          <w:noProof/>
        </w:rPr>
        <w:t xml:space="preserve"> de stabilire a unei scheme de comercializare a certificatelor de emisii de gaze cu efect de seră în cadrul Uniunii prin Directiva (UE) </w:t>
      </w:r>
      <w:r w:rsidRPr="00DC27B2">
        <w:rPr>
          <w:noProof/>
        </w:rPr>
        <w:t>2023</w:t>
      </w:r>
      <w:r w:rsidRPr="008356C6">
        <w:rPr>
          <w:noProof/>
        </w:rPr>
        <w:t>/</w:t>
      </w:r>
      <w:r w:rsidRPr="00DC27B2">
        <w:rPr>
          <w:noProof/>
        </w:rPr>
        <w:t>959</w:t>
      </w:r>
      <w:r w:rsidRPr="008356C6">
        <w:rPr>
          <w:rStyle w:val="FootnoteReference"/>
          <w:noProof/>
        </w:rPr>
        <w:footnoteReference w:id="12"/>
      </w:r>
      <w:r w:rsidRPr="008356C6">
        <w:rPr>
          <w:noProof/>
        </w:rPr>
        <w:t xml:space="preserve">, pentru extinderea schemei UE de comercializare a certificatelor de emisii la sectorul transportului maritim, care urma să se aplice de la </w:t>
      </w:r>
      <w:r w:rsidRPr="00DC27B2">
        <w:rPr>
          <w:noProof/>
        </w:rPr>
        <w:t>1</w:t>
      </w:r>
      <w:r w:rsidRPr="008356C6">
        <w:rPr>
          <w:noProof/>
        </w:rPr>
        <w:t xml:space="preserve"> ianuarie </w:t>
      </w:r>
      <w:r w:rsidRPr="00DC27B2">
        <w:rPr>
          <w:noProof/>
        </w:rPr>
        <w:t>2024</w:t>
      </w:r>
      <w:r w:rsidRPr="008356C6">
        <w:rPr>
          <w:noProof/>
        </w:rPr>
        <w:t xml:space="preserve"> (împreună cu modificările necesare ale Regulamentului UE privind MRV</w:t>
      </w:r>
      <w:r w:rsidRPr="008356C6">
        <w:rPr>
          <w:rStyle w:val="FootnoteReference"/>
          <w:noProof/>
        </w:rPr>
        <w:footnoteReference w:id="13"/>
      </w:r>
      <w:r w:rsidRPr="008356C6">
        <w:rPr>
          <w:noProof/>
        </w:rPr>
        <w:t>, pentru revizuirea normelor de monitorizare și raportare, și prin revizuirea actelor relevante de punere în aplicare și delegate).</w:t>
      </w:r>
    </w:p>
    <w:p w:rsidR="00705550" w:rsidRPr="008356C6" w:rsidRDefault="00705550" w:rsidP="00705550">
      <w:pPr>
        <w:pStyle w:val="Bullet1"/>
        <w:rPr>
          <w:noProof/>
        </w:rPr>
      </w:pPr>
      <w:r w:rsidRPr="008356C6">
        <w:rPr>
          <w:noProof/>
        </w:rPr>
        <w:t xml:space="preserve">Regulamentul (UE) </w:t>
      </w:r>
      <w:r w:rsidRPr="00DC27B2">
        <w:rPr>
          <w:noProof/>
        </w:rPr>
        <w:t>2023</w:t>
      </w:r>
      <w:r w:rsidRPr="008356C6">
        <w:rPr>
          <w:noProof/>
        </w:rPr>
        <w:t>/</w:t>
      </w:r>
      <w:r w:rsidRPr="00DC27B2">
        <w:rPr>
          <w:noProof/>
        </w:rPr>
        <w:t>1805</w:t>
      </w:r>
      <w:r w:rsidRPr="008356C6">
        <w:rPr>
          <w:noProof/>
        </w:rPr>
        <w:t xml:space="preserve"> pune accentul pe utilizarea combustibililor din surse regenerabile și cu emisii scăzute de carbon în sectorul maritim</w:t>
      </w:r>
      <w:r w:rsidRPr="008356C6">
        <w:rPr>
          <w:rStyle w:val="FootnoteReference"/>
          <w:noProof/>
        </w:rPr>
        <w:footnoteReference w:id="14"/>
      </w:r>
      <w:r w:rsidRPr="008356C6">
        <w:rPr>
          <w:noProof/>
        </w:rPr>
        <w:t xml:space="preserve"> (Regulamentul „FuelEU în domeniul maritim”) și impune adoptarea acestora de către navele care fac escală în porturile UE începând de la </w:t>
      </w:r>
      <w:r w:rsidRPr="00DC27B2">
        <w:rPr>
          <w:noProof/>
        </w:rPr>
        <w:t>1</w:t>
      </w:r>
      <w:r w:rsidRPr="008356C6">
        <w:rPr>
          <w:noProof/>
        </w:rPr>
        <w:t xml:space="preserve"> ianuarie </w:t>
      </w:r>
      <w:r w:rsidRPr="00DC27B2">
        <w:rPr>
          <w:noProof/>
        </w:rPr>
        <w:t>2025</w:t>
      </w:r>
      <w:r w:rsidRPr="008356C6">
        <w:rPr>
          <w:noProof/>
        </w:rPr>
        <w:t>.</w:t>
      </w:r>
    </w:p>
    <w:p w:rsidR="00705550" w:rsidRPr="008356C6" w:rsidRDefault="00705550" w:rsidP="00705550">
      <w:pPr>
        <w:rPr>
          <w:noProof/>
        </w:rPr>
      </w:pPr>
      <w:bookmarkStart w:id="12" w:name="_Hlk153384346"/>
      <w:r w:rsidRPr="008356C6">
        <w:rPr>
          <w:noProof/>
        </w:rPr>
        <w:t xml:space="preserve">Respectarea noilor obligații care decurg din extinderea la transportul maritim a schemei UE de comercializare a certificatelor de emisii (EU ETS) și din Regulamentul „FuelEU în </w:t>
      </w:r>
      <w:r w:rsidRPr="008356C6">
        <w:rPr>
          <w:noProof/>
        </w:rPr>
        <w:lastRenderedPageBreak/>
        <w:t xml:space="preserve">domeniul maritim” se va baza pe sistemul de monitorizare, raportare și verificare instituit prin Regulamentul UE privind MRV. </w:t>
      </w:r>
    </w:p>
    <w:p w:rsidR="00705550" w:rsidRPr="008356C6" w:rsidRDefault="25D64843" w:rsidP="00705550">
      <w:pPr>
        <w:rPr>
          <w:noProof/>
        </w:rPr>
      </w:pPr>
      <w:r w:rsidRPr="008356C6">
        <w:rPr>
          <w:noProof/>
        </w:rPr>
        <w:t xml:space="preserve">Aceste acte ale UE sunt, la rândul lor, strâns legate de măsurile OMI referitoare la GES, cum ar fi sistemul OMI de colectare a datelor, indicele de eficiență energetică al navelor existente (EEXI) și indicatorul de intensitate a carbonului (CII), care vizează colectarea și publicarea de informații cu privire la consumul de combustibili și la eficiența energetică tehnică și operațională a navelor pentru fiecare navă. </w:t>
      </w:r>
    </w:p>
    <w:bookmarkEnd w:id="12"/>
    <w:p w:rsidR="00705550" w:rsidRPr="008356C6" w:rsidRDefault="00705550" w:rsidP="00705550">
      <w:pPr>
        <w:rPr>
          <w:noProof/>
        </w:rPr>
      </w:pPr>
      <w:r w:rsidRPr="008356C6">
        <w:rPr>
          <w:noProof/>
        </w:rPr>
        <w:t xml:space="preserve">Orice măsură a OMI privind aspectele legate de GES care va necesita monitorizarea, verificarea și raportarea emisiilor de GES generate de transportul maritim ar putea avea efecte asupra Regulamentului UE privind MRV, precum și asupra Directivei EU ETS și Regulamentului „FuelEU în domeniul maritim”. </w:t>
      </w:r>
    </w:p>
    <w:p w:rsidR="00141773" w:rsidRPr="008356C6" w:rsidRDefault="00705550" w:rsidP="00141773">
      <w:pPr>
        <w:rPr>
          <w:noProof/>
        </w:rPr>
      </w:pPr>
      <w:r w:rsidRPr="008356C6">
        <w:rPr>
          <w:noProof/>
        </w:rPr>
        <w:t xml:space="preserve">Prin urmare, amendamentele aduse regulilor </w:t>
      </w:r>
      <w:r w:rsidRPr="00DC27B2">
        <w:rPr>
          <w:noProof/>
        </w:rPr>
        <w:t>20</w:t>
      </w:r>
      <w:r w:rsidRPr="008356C6">
        <w:rPr>
          <w:noProof/>
        </w:rPr>
        <w:t xml:space="preserve">, </w:t>
      </w:r>
      <w:r w:rsidRPr="00DC27B2">
        <w:rPr>
          <w:noProof/>
        </w:rPr>
        <w:t>25</w:t>
      </w:r>
      <w:r w:rsidRPr="008356C6">
        <w:rPr>
          <w:noProof/>
        </w:rPr>
        <w:t xml:space="preserve">, </w:t>
      </w:r>
      <w:r w:rsidRPr="00DC27B2">
        <w:rPr>
          <w:noProof/>
        </w:rPr>
        <w:t>27</w:t>
      </w:r>
      <w:r w:rsidRPr="008356C6">
        <w:rPr>
          <w:noProof/>
        </w:rPr>
        <w:t xml:space="preserve"> și </w:t>
      </w:r>
      <w:r w:rsidRPr="00DC27B2">
        <w:rPr>
          <w:noProof/>
        </w:rPr>
        <w:t>28</w:t>
      </w:r>
      <w:r w:rsidRPr="008356C6">
        <w:rPr>
          <w:noProof/>
        </w:rPr>
        <w:t xml:space="preserve"> din anexa VI la MARPOL, referitoare la </w:t>
      </w:r>
      <w:r w:rsidRPr="008356C6">
        <w:rPr>
          <w:noProof/>
          <w:color w:val="000000"/>
        </w:rPr>
        <w:t>accesibilitatea bazei de date a OMI privind consumul de păcură al navelor (DCS a OMI) și la clauza de revizuire a măsurii pe termen scurt de reducere a GES</w:t>
      </w:r>
      <w:r w:rsidRPr="008356C6">
        <w:rPr>
          <w:noProof/>
        </w:rPr>
        <w:t xml:space="preserve"> pot avea efecte semnificative asupra cerințelor aplicabile în temeiul Regulamentului (UE) </w:t>
      </w:r>
      <w:r w:rsidRPr="00DC27B2">
        <w:rPr>
          <w:noProof/>
        </w:rPr>
        <w:t>2015</w:t>
      </w:r>
      <w:r w:rsidRPr="008356C6">
        <w:rPr>
          <w:noProof/>
        </w:rPr>
        <w:t>/</w:t>
      </w:r>
      <w:r w:rsidRPr="00DC27B2">
        <w:rPr>
          <w:noProof/>
        </w:rPr>
        <w:t>757</w:t>
      </w:r>
      <w:r w:rsidRPr="008356C6">
        <w:rPr>
          <w:noProof/>
        </w:rPr>
        <w:t xml:space="preserve">, al Regulamentului (UE) </w:t>
      </w:r>
      <w:r w:rsidRPr="00DC27B2">
        <w:rPr>
          <w:noProof/>
        </w:rPr>
        <w:t>2023</w:t>
      </w:r>
      <w:r w:rsidRPr="008356C6">
        <w:rPr>
          <w:noProof/>
        </w:rPr>
        <w:t>/</w:t>
      </w:r>
      <w:r w:rsidRPr="00DC27B2">
        <w:rPr>
          <w:noProof/>
        </w:rPr>
        <w:t>1805</w:t>
      </w:r>
      <w:r w:rsidRPr="008356C6">
        <w:rPr>
          <w:noProof/>
        </w:rPr>
        <w:t xml:space="preserve"> și al Directivei (UE) </w:t>
      </w:r>
      <w:r w:rsidRPr="00DC27B2">
        <w:rPr>
          <w:noProof/>
        </w:rPr>
        <w:t>2023</w:t>
      </w:r>
      <w:r w:rsidRPr="008356C6">
        <w:rPr>
          <w:noProof/>
        </w:rPr>
        <w:t>/</w:t>
      </w:r>
      <w:r w:rsidRPr="00DC27B2">
        <w:rPr>
          <w:noProof/>
        </w:rPr>
        <w:t>959</w:t>
      </w:r>
      <w:r w:rsidRPr="008356C6">
        <w:rPr>
          <w:noProof/>
        </w:rPr>
        <w:t xml:space="preserve">. </w:t>
      </w:r>
    </w:p>
    <w:p w:rsidR="00CB0DD6" w:rsidRPr="008356C6" w:rsidRDefault="00CB0DD6" w:rsidP="00CB0DD6">
      <w:pPr>
        <w:pStyle w:val="ManualHeading3"/>
        <w:rPr>
          <w:noProof/>
        </w:rPr>
      </w:pPr>
      <w:r>
        <w:rPr>
          <w:noProof/>
        </w:rPr>
        <w:t>5.1.3.</w:t>
      </w:r>
      <w:r>
        <w:rPr>
          <w:noProof/>
        </w:rPr>
        <w:tab/>
      </w:r>
      <w:r w:rsidRPr="008356C6">
        <w:rPr>
          <w:noProof/>
        </w:rPr>
        <w:t xml:space="preserve">Amendamente la capitolele IV și V și la apendicele (Certificate) la SOLAS și amendamente la Codul HSC din </w:t>
      </w:r>
      <w:r w:rsidRPr="00DC27B2">
        <w:rPr>
          <w:noProof/>
        </w:rPr>
        <w:t>1994</w:t>
      </w:r>
      <w:r w:rsidRPr="008356C6">
        <w:rPr>
          <w:noProof/>
        </w:rPr>
        <w:t xml:space="preserve"> &amp; la Codul HSC din </w:t>
      </w:r>
      <w:r w:rsidRPr="00DC27B2">
        <w:rPr>
          <w:noProof/>
        </w:rPr>
        <w:t>2000</w:t>
      </w:r>
    </w:p>
    <w:p w:rsidR="00B218CD" w:rsidRPr="008356C6" w:rsidRDefault="00B218CD" w:rsidP="00B218CD">
      <w:pPr>
        <w:tabs>
          <w:tab w:val="left" w:pos="851"/>
        </w:tabs>
        <w:rPr>
          <w:rFonts w:eastAsia="MS Mincho"/>
          <w:noProof/>
        </w:rPr>
      </w:pPr>
      <w:r w:rsidRPr="008356C6">
        <w:rPr>
          <w:noProof/>
        </w:rPr>
        <w:t>Articolul </w:t>
      </w:r>
      <w:r w:rsidRPr="00DC27B2">
        <w:rPr>
          <w:noProof/>
        </w:rPr>
        <w:t>6</w:t>
      </w:r>
      <w:r w:rsidRPr="008356C6">
        <w:rPr>
          <w:noProof/>
        </w:rPr>
        <w:t xml:space="preserve"> din Directiva </w:t>
      </w:r>
      <w:r w:rsidRPr="00DC27B2">
        <w:rPr>
          <w:noProof/>
        </w:rPr>
        <w:t>2002</w:t>
      </w:r>
      <w:r w:rsidRPr="008356C6">
        <w:rPr>
          <w:noProof/>
        </w:rPr>
        <w:t>/</w:t>
      </w:r>
      <w:r w:rsidRPr="00DC27B2">
        <w:rPr>
          <w:noProof/>
        </w:rPr>
        <w:t>59</w:t>
      </w:r>
      <w:r w:rsidRPr="008356C6">
        <w:rPr>
          <w:noProof/>
        </w:rPr>
        <w:t>/CE de instituire a unui sistem comunitar de monitorizare și informare privind traficul navelor maritime</w:t>
      </w:r>
      <w:r w:rsidRPr="008356C6">
        <w:rPr>
          <w:rStyle w:val="FootnoteReference"/>
          <w:noProof/>
        </w:rPr>
        <w:footnoteReference w:id="15"/>
      </w:r>
      <w:r w:rsidRPr="008356C6">
        <w:rPr>
          <w:noProof/>
        </w:rPr>
        <w:t xml:space="preserve"> prevede că orice navă care face escală într-un port al unui stat membru trebuie să fie echipată cu un sistem de identificare automată care să satisfacă standardele de performanță elaborate de OMI. </w:t>
      </w:r>
    </w:p>
    <w:p w:rsidR="00B218CD" w:rsidRPr="008356C6" w:rsidRDefault="00B218CD" w:rsidP="00B218CD">
      <w:pPr>
        <w:tabs>
          <w:tab w:val="left" w:pos="851"/>
        </w:tabs>
        <w:rPr>
          <w:rFonts w:eastAsia="MS Mincho"/>
          <w:noProof/>
        </w:rPr>
      </w:pPr>
      <w:r w:rsidRPr="008356C6">
        <w:rPr>
          <w:noProof/>
        </w:rPr>
        <w:t xml:space="preserve">Regulamentul (UE) </w:t>
      </w:r>
      <w:r w:rsidRPr="00DC27B2">
        <w:rPr>
          <w:noProof/>
        </w:rPr>
        <w:t>2019</w:t>
      </w:r>
      <w:r w:rsidRPr="008356C6">
        <w:rPr>
          <w:noProof/>
        </w:rPr>
        <w:t>/</w:t>
      </w:r>
      <w:r w:rsidRPr="00DC27B2">
        <w:rPr>
          <w:noProof/>
        </w:rPr>
        <w:t>1239</w:t>
      </w:r>
      <w:r w:rsidRPr="008356C6">
        <w:rPr>
          <w:noProof/>
        </w:rPr>
        <w:t xml:space="preserve"> instituie un mediu aferent ghișeului unic european în domeniul maritim</w:t>
      </w:r>
      <w:r w:rsidRPr="008356C6">
        <w:rPr>
          <w:rStyle w:val="FootnoteReference"/>
          <w:rFonts w:eastAsia="MS Mincho"/>
          <w:noProof/>
          <w:lang w:eastAsia="en-GB"/>
        </w:rPr>
        <w:footnoteReference w:id="16"/>
      </w:r>
      <w:r w:rsidRPr="008356C6">
        <w:rPr>
          <w:noProof/>
        </w:rPr>
        <w:t xml:space="preserve">. Există posibilitatea de a utiliza VDES pentru transmiterea formalităților de raportare prevăzute de regulament. </w:t>
      </w:r>
    </w:p>
    <w:p w:rsidR="00B218CD" w:rsidRPr="008356C6" w:rsidRDefault="00B218CD" w:rsidP="00B218CD">
      <w:pPr>
        <w:tabs>
          <w:tab w:val="left" w:pos="851"/>
        </w:tabs>
        <w:rPr>
          <w:rFonts w:eastAsia="MS Mincho"/>
          <w:noProof/>
        </w:rPr>
      </w:pPr>
      <w:r w:rsidRPr="008356C6">
        <w:rPr>
          <w:noProof/>
        </w:rPr>
        <w:t xml:space="preserve">Echipamentele de radiocomunicații sunt enumerate în secțiunea </w:t>
      </w:r>
      <w:r w:rsidRPr="00DC27B2">
        <w:rPr>
          <w:noProof/>
        </w:rPr>
        <w:t>5</w:t>
      </w:r>
      <w:r w:rsidRPr="008356C6">
        <w:rPr>
          <w:noProof/>
        </w:rPr>
        <w:t xml:space="preserve"> din Regulamentul de punere în aplicare (UE) </w:t>
      </w:r>
      <w:r w:rsidRPr="00DC27B2">
        <w:rPr>
          <w:noProof/>
        </w:rPr>
        <w:t>2025</w:t>
      </w:r>
      <w:r w:rsidRPr="008356C6">
        <w:rPr>
          <w:noProof/>
        </w:rPr>
        <w:t>/</w:t>
      </w:r>
      <w:r w:rsidRPr="00DC27B2">
        <w:rPr>
          <w:noProof/>
        </w:rPr>
        <w:t>1533</w:t>
      </w:r>
      <w:r w:rsidRPr="008356C6">
        <w:rPr>
          <w:noProof/>
        </w:rPr>
        <w:t xml:space="preserve"> al Comisiei</w:t>
      </w:r>
      <w:r w:rsidRPr="008356C6">
        <w:rPr>
          <w:rStyle w:val="FootnoteReference"/>
          <w:noProof/>
        </w:rPr>
        <w:footnoteReference w:id="17"/>
      </w:r>
      <w:r w:rsidRPr="008356C6">
        <w:rPr>
          <w:noProof/>
        </w:rPr>
        <w:t xml:space="preserve">. Regulamentul de punere în aplicare conține cerințe de proiectare, construcție și performanță, precum și standarde de încercare pentru echipamentele maritime. Acesta se bazează pe împuternicirea Comisiei de a indica, prin acte de punere în aplicare, cerințele de proiectare, construcție și performanță, precum și standardele de încercare pentru echipamentele maritime care intră în domeniul de aplicare al Directivei </w:t>
      </w:r>
      <w:r w:rsidRPr="00DC27B2">
        <w:rPr>
          <w:noProof/>
        </w:rPr>
        <w:t>2014</w:t>
      </w:r>
      <w:r w:rsidRPr="008356C6">
        <w:rPr>
          <w:noProof/>
        </w:rPr>
        <w:t>/</w:t>
      </w:r>
      <w:r w:rsidRPr="00DC27B2">
        <w:rPr>
          <w:noProof/>
        </w:rPr>
        <w:t>90</w:t>
      </w:r>
      <w:r w:rsidRPr="008356C6">
        <w:rPr>
          <w:noProof/>
        </w:rPr>
        <w:t>/UE privind echipamentele maritime</w:t>
      </w:r>
      <w:r w:rsidRPr="008356C6">
        <w:rPr>
          <w:rStyle w:val="FootnoteReference"/>
          <w:noProof/>
        </w:rPr>
        <w:footnoteReference w:id="18"/>
      </w:r>
      <w:r w:rsidRPr="008356C6">
        <w:rPr>
          <w:noProof/>
        </w:rPr>
        <w:t xml:space="preserve">, în conformitate cu articolul </w:t>
      </w:r>
      <w:r w:rsidRPr="00DC27B2">
        <w:rPr>
          <w:noProof/>
        </w:rPr>
        <w:t>35</w:t>
      </w:r>
      <w:r w:rsidRPr="008356C6">
        <w:rPr>
          <w:noProof/>
        </w:rPr>
        <w:t xml:space="preserve"> alineatul (</w:t>
      </w:r>
      <w:r w:rsidRPr="00DC27B2">
        <w:rPr>
          <w:noProof/>
        </w:rPr>
        <w:t>2</w:t>
      </w:r>
      <w:r w:rsidRPr="008356C6">
        <w:rPr>
          <w:noProof/>
        </w:rPr>
        <w:t xml:space="preserve">) din aceasta. </w:t>
      </w:r>
    </w:p>
    <w:p w:rsidR="00B218CD" w:rsidRPr="008356C6" w:rsidRDefault="00B218CD" w:rsidP="00B218CD">
      <w:pPr>
        <w:tabs>
          <w:tab w:val="left" w:pos="851"/>
        </w:tabs>
        <w:rPr>
          <w:rFonts w:eastAsia="MS Mincho"/>
          <w:noProof/>
        </w:rPr>
      </w:pPr>
      <w:r w:rsidRPr="008356C6">
        <w:rPr>
          <w:noProof/>
        </w:rPr>
        <w:lastRenderedPageBreak/>
        <w:t xml:space="preserve">Articolul </w:t>
      </w:r>
      <w:r w:rsidRPr="00DC27B2">
        <w:rPr>
          <w:noProof/>
        </w:rPr>
        <w:t>6</w:t>
      </w:r>
      <w:r w:rsidRPr="008356C6">
        <w:rPr>
          <w:noProof/>
        </w:rPr>
        <w:t xml:space="preserve"> alineatul (</w:t>
      </w:r>
      <w:r w:rsidRPr="00DC27B2">
        <w:rPr>
          <w:noProof/>
        </w:rPr>
        <w:t>2</w:t>
      </w:r>
      <w:r w:rsidRPr="008356C6">
        <w:rPr>
          <w:noProof/>
        </w:rPr>
        <w:t xml:space="preserve">) litera (a) punctul (i) din Directiva </w:t>
      </w:r>
      <w:r w:rsidRPr="00DC27B2">
        <w:rPr>
          <w:noProof/>
        </w:rPr>
        <w:t>2009</w:t>
      </w:r>
      <w:r w:rsidRPr="008356C6">
        <w:rPr>
          <w:noProof/>
        </w:rPr>
        <w:t>/</w:t>
      </w:r>
      <w:r w:rsidRPr="00DC27B2">
        <w:rPr>
          <w:noProof/>
        </w:rPr>
        <w:t>45</w:t>
      </w:r>
      <w:r w:rsidRPr="008356C6">
        <w:rPr>
          <w:noProof/>
        </w:rPr>
        <w:t>/CE privind normele și standardele de siguranță pentru navele de pasageri</w:t>
      </w:r>
      <w:r w:rsidRPr="008356C6">
        <w:rPr>
          <w:rStyle w:val="FootnoteReference"/>
          <w:rFonts w:eastAsia="MS Mincho"/>
          <w:noProof/>
          <w:lang w:eastAsia="en-GB"/>
        </w:rPr>
        <w:footnoteReference w:id="19"/>
      </w:r>
      <w:r w:rsidRPr="008356C6">
        <w:rPr>
          <w:noProof/>
        </w:rPr>
        <w:t xml:space="preserve"> prevede că navele noi de pasageri din clasa A angajate în curse interne în interiorul UE trebuie să respecte integral cerințele Convenției SOLAS din </w:t>
      </w:r>
      <w:r w:rsidRPr="00DC27B2">
        <w:rPr>
          <w:noProof/>
        </w:rPr>
        <w:t>1974</w:t>
      </w:r>
      <w:r w:rsidRPr="008356C6">
        <w:rPr>
          <w:noProof/>
        </w:rPr>
        <w:t>, astfel cum a fost modificată. Prin urmare, orice modificare a regulilor SOLAS ar afecta normele comune ale Uniunii prevăzute în directivă.</w:t>
      </w:r>
    </w:p>
    <w:p w:rsidR="00497237" w:rsidRPr="008356C6" w:rsidRDefault="00497237" w:rsidP="00497237">
      <w:pPr>
        <w:rPr>
          <w:noProof/>
        </w:rPr>
      </w:pPr>
      <w:r w:rsidRPr="008356C6">
        <w:rPr>
          <w:noProof/>
        </w:rPr>
        <w:t xml:space="preserve">Prin urmare, amendamentele la capitolele IV și V și la apendicele (Certificate) la SOLAS, precum și amendamentele la Codul HSC din </w:t>
      </w:r>
      <w:r w:rsidRPr="00DC27B2">
        <w:rPr>
          <w:noProof/>
        </w:rPr>
        <w:t>1994</w:t>
      </w:r>
      <w:r w:rsidRPr="008356C6">
        <w:rPr>
          <w:noProof/>
        </w:rPr>
        <w:t xml:space="preserve"> și la Codul HSC din </w:t>
      </w:r>
      <w:r w:rsidRPr="00DC27B2">
        <w:rPr>
          <w:noProof/>
        </w:rPr>
        <w:t>2000</w:t>
      </w:r>
      <w:r w:rsidRPr="008356C6">
        <w:rPr>
          <w:noProof/>
        </w:rPr>
        <w:t xml:space="preserve"> pot afecta în mod decisiv cerințele aplicabile în temeiul Directivei </w:t>
      </w:r>
      <w:r w:rsidRPr="00DC27B2">
        <w:rPr>
          <w:noProof/>
        </w:rPr>
        <w:t>2002</w:t>
      </w:r>
      <w:r w:rsidRPr="008356C6">
        <w:rPr>
          <w:noProof/>
        </w:rPr>
        <w:t>/</w:t>
      </w:r>
      <w:r w:rsidRPr="00DC27B2">
        <w:rPr>
          <w:noProof/>
        </w:rPr>
        <w:t>59</w:t>
      </w:r>
      <w:r w:rsidRPr="008356C6">
        <w:rPr>
          <w:noProof/>
        </w:rPr>
        <w:t xml:space="preserve">/CE, al Directivei </w:t>
      </w:r>
      <w:r w:rsidRPr="00DC27B2">
        <w:rPr>
          <w:noProof/>
        </w:rPr>
        <w:t>2014</w:t>
      </w:r>
      <w:r w:rsidRPr="008356C6">
        <w:rPr>
          <w:noProof/>
        </w:rPr>
        <w:t>/</w:t>
      </w:r>
      <w:r w:rsidRPr="00DC27B2">
        <w:rPr>
          <w:noProof/>
        </w:rPr>
        <w:t>90</w:t>
      </w:r>
      <w:r w:rsidRPr="008356C6">
        <w:rPr>
          <w:noProof/>
        </w:rPr>
        <w:t xml:space="preserve">/UE și al Directivei </w:t>
      </w:r>
      <w:r w:rsidRPr="00DC27B2">
        <w:rPr>
          <w:noProof/>
        </w:rPr>
        <w:t>2009</w:t>
      </w:r>
      <w:r w:rsidRPr="008356C6">
        <w:rPr>
          <w:noProof/>
        </w:rPr>
        <w:t>/</w:t>
      </w:r>
      <w:r w:rsidRPr="00DC27B2">
        <w:rPr>
          <w:noProof/>
        </w:rPr>
        <w:t>45</w:t>
      </w:r>
      <w:r w:rsidRPr="008356C6">
        <w:rPr>
          <w:noProof/>
        </w:rPr>
        <w:t xml:space="preserve">/CE. </w:t>
      </w:r>
    </w:p>
    <w:p w:rsidR="00CB0DD6" w:rsidRPr="008356C6" w:rsidRDefault="00CB0DD6" w:rsidP="00CB0DD6">
      <w:pPr>
        <w:pStyle w:val="ManualHeading3"/>
        <w:rPr>
          <w:noProof/>
        </w:rPr>
      </w:pPr>
      <w:r>
        <w:rPr>
          <w:noProof/>
        </w:rPr>
        <w:t>5.1.4.</w:t>
      </w:r>
      <w:r>
        <w:rPr>
          <w:noProof/>
        </w:rPr>
        <w:tab/>
      </w:r>
      <w:r w:rsidRPr="008356C6">
        <w:rPr>
          <w:noProof/>
        </w:rPr>
        <w:t xml:space="preserve">Amendamentele la Codul ESP </w:t>
      </w:r>
      <w:r w:rsidRPr="00DC27B2">
        <w:rPr>
          <w:noProof/>
        </w:rPr>
        <w:t>2011</w:t>
      </w:r>
    </w:p>
    <w:p w:rsidR="00497237" w:rsidRPr="008356C6" w:rsidRDefault="00497237" w:rsidP="00497237">
      <w:pPr>
        <w:rPr>
          <w:i/>
          <w:noProof/>
        </w:rPr>
      </w:pPr>
      <w:r w:rsidRPr="008356C6">
        <w:rPr>
          <w:noProof/>
        </w:rPr>
        <w:t>Regulamentul (UE) nr. </w:t>
      </w:r>
      <w:r w:rsidRPr="00DC27B2">
        <w:rPr>
          <w:noProof/>
        </w:rPr>
        <w:t>530</w:t>
      </w:r>
      <w:r w:rsidRPr="008356C6">
        <w:rPr>
          <w:noProof/>
        </w:rPr>
        <w:t>/</w:t>
      </w:r>
      <w:r w:rsidRPr="00DC27B2">
        <w:rPr>
          <w:noProof/>
        </w:rPr>
        <w:t>2012</w:t>
      </w:r>
      <w:r w:rsidRPr="008356C6">
        <w:rPr>
          <w:noProof/>
        </w:rPr>
        <w:t xml:space="preserve"> privind accelerarea introducerii cerințelor referitoare la coca dublă sau a unor standarde de proiectare echivalente pentru petrolierele cu cocă simplă</w:t>
      </w:r>
      <w:r w:rsidRPr="008356C6">
        <w:rPr>
          <w:rStyle w:val="FootnoteReference"/>
          <w:iCs/>
          <w:noProof/>
        </w:rPr>
        <w:footnoteReference w:id="20"/>
      </w:r>
      <w:r w:rsidRPr="008356C6">
        <w:rPr>
          <w:noProof/>
        </w:rPr>
        <w:t xml:space="preserve"> prevede obligația aplicării sistemului OMI de evaluare a stării tehnice (CAS) în cazul petrolierelor cu cocă simplă a căror vârstă depășește </w:t>
      </w:r>
      <w:r w:rsidRPr="00DC27B2">
        <w:rPr>
          <w:noProof/>
        </w:rPr>
        <w:t>15</w:t>
      </w:r>
      <w:r w:rsidRPr="008356C6">
        <w:rPr>
          <w:noProof/>
        </w:rPr>
        <w:t xml:space="preserve"> ani. Modul în care trebuie realizată această evaluare intensificată este specificat în Programul de inspecții intensificate efectuate cu ocazia inspecțiilor la vrachiere și petroliere, denumit pe scurt Programul de inspecții intensificate (ESP). Întrucât CAS folosește ESP drept instrument pentru atingerea obiectivului său, orice modificare adusă inspecțiilor ESP, cum sunt amendamentele actuale referitoare la concentrarea inspecțiilor în mod exclusiv asupra zonelor suspectate atunci când se efectuează măsurători ale grosimii tablei petrolierelor cu cocă dublă cu ocazia primei inspecții de reînnoire, va fi aplicabilă automat prin intermediul Regulamentului (UE) nr. </w:t>
      </w:r>
      <w:r w:rsidRPr="00DC27B2">
        <w:rPr>
          <w:noProof/>
        </w:rPr>
        <w:t>530</w:t>
      </w:r>
      <w:r w:rsidRPr="008356C6">
        <w:rPr>
          <w:noProof/>
        </w:rPr>
        <w:t>/</w:t>
      </w:r>
      <w:r w:rsidRPr="00DC27B2">
        <w:rPr>
          <w:noProof/>
        </w:rPr>
        <w:t>2012</w:t>
      </w:r>
      <w:r w:rsidRPr="008356C6">
        <w:rPr>
          <w:noProof/>
        </w:rPr>
        <w:t>.</w:t>
      </w:r>
    </w:p>
    <w:p w:rsidR="007A7E48" w:rsidRPr="008356C6" w:rsidRDefault="00497237" w:rsidP="00497237">
      <w:pPr>
        <w:pStyle w:val="Text1"/>
        <w:ind w:left="0"/>
        <w:rPr>
          <w:noProof/>
        </w:rPr>
      </w:pPr>
      <w:r w:rsidRPr="008356C6">
        <w:rPr>
          <w:noProof/>
        </w:rPr>
        <w:t xml:space="preserve">Prin urmare, amendamentele aduse Codului internațional din </w:t>
      </w:r>
      <w:r w:rsidRPr="00DC27B2">
        <w:rPr>
          <w:noProof/>
        </w:rPr>
        <w:t>2011</w:t>
      </w:r>
      <w:r w:rsidRPr="008356C6">
        <w:rPr>
          <w:noProof/>
        </w:rPr>
        <w:t xml:space="preserve"> privind programul de inspecții intensificate efectuate cu ocazia inspecțiilor la vrachiere și petroliere (Codul ESP </w:t>
      </w:r>
      <w:r w:rsidRPr="00DC27B2">
        <w:rPr>
          <w:noProof/>
        </w:rPr>
        <w:t>2011</w:t>
      </w:r>
      <w:r w:rsidRPr="008356C6">
        <w:rPr>
          <w:noProof/>
        </w:rPr>
        <w:t>) au vocația de a influența în mod decisiv aplicarea Regulamentului (UE) nr. </w:t>
      </w:r>
      <w:r w:rsidRPr="00DC27B2">
        <w:rPr>
          <w:noProof/>
        </w:rPr>
        <w:t>530</w:t>
      </w:r>
      <w:r w:rsidRPr="008356C6">
        <w:rPr>
          <w:noProof/>
        </w:rPr>
        <w:t>/</w:t>
      </w:r>
      <w:r w:rsidRPr="00DC27B2">
        <w:rPr>
          <w:noProof/>
        </w:rPr>
        <w:t>2012</w:t>
      </w:r>
      <w:r w:rsidRPr="008356C6">
        <w:rPr>
          <w:noProof/>
        </w:rPr>
        <w:t>.</w:t>
      </w:r>
    </w:p>
    <w:p w:rsidR="00CB0DD6" w:rsidRPr="008356C6" w:rsidRDefault="00CB0DD6" w:rsidP="00CB0DD6">
      <w:pPr>
        <w:pStyle w:val="ManualHeading3"/>
        <w:rPr>
          <w:noProof/>
        </w:rPr>
      </w:pPr>
      <w:r>
        <w:rPr>
          <w:noProof/>
        </w:rPr>
        <w:t>5.1.5.</w:t>
      </w:r>
      <w:r>
        <w:rPr>
          <w:noProof/>
        </w:rPr>
        <w:tab/>
      </w:r>
      <w:r w:rsidRPr="008356C6">
        <w:rPr>
          <w:noProof/>
        </w:rPr>
        <w:t>Amendamentele la Codul LSA</w:t>
      </w:r>
    </w:p>
    <w:p w:rsidR="0085236A" w:rsidRPr="008356C6" w:rsidRDefault="00EB703C" w:rsidP="0085236A">
      <w:pPr>
        <w:tabs>
          <w:tab w:val="left" w:pos="851"/>
        </w:tabs>
        <w:rPr>
          <w:rFonts w:eastAsia="MS Mincho"/>
          <w:noProof/>
        </w:rPr>
      </w:pPr>
      <w:r w:rsidRPr="008356C6">
        <w:rPr>
          <w:noProof/>
        </w:rPr>
        <w:t xml:space="preserve">Standardele pentru bărcile de salvare și plutele de salvare, precum și pentru instalațiile de lansare la apă și vinciuri sunt reglementate de Regulamentul de punere în aplicare (UE) </w:t>
      </w:r>
      <w:r w:rsidRPr="00DC27B2">
        <w:rPr>
          <w:noProof/>
        </w:rPr>
        <w:t>2025</w:t>
      </w:r>
      <w:r w:rsidRPr="008356C6">
        <w:rPr>
          <w:noProof/>
        </w:rPr>
        <w:t>/</w:t>
      </w:r>
      <w:r w:rsidRPr="00DC27B2">
        <w:rPr>
          <w:noProof/>
        </w:rPr>
        <w:t>1533</w:t>
      </w:r>
      <w:r w:rsidRPr="008356C6">
        <w:rPr>
          <w:noProof/>
        </w:rPr>
        <w:t xml:space="preserve">, în care se fac trimiteri la Codul LSA. Regulamentul de punere în aplicare conține cerințe de proiectare, construcție și performanță, precum și standarde de încercare pentru echipamentele maritime. Aceasta se bazează pe împuternicirea Comisiei de a indica, prin acte de punere în aplicare, cerințele de proiectare, construcție și performanță, precum și standardele de încercare pentru echipamentele maritime care intră în domeniul de aplicare al Directivei </w:t>
      </w:r>
      <w:r w:rsidRPr="00DC27B2">
        <w:rPr>
          <w:noProof/>
        </w:rPr>
        <w:t>2014</w:t>
      </w:r>
      <w:r w:rsidRPr="008356C6">
        <w:rPr>
          <w:noProof/>
        </w:rPr>
        <w:t>/</w:t>
      </w:r>
      <w:r w:rsidRPr="00DC27B2">
        <w:rPr>
          <w:noProof/>
        </w:rPr>
        <w:t>90</w:t>
      </w:r>
      <w:r w:rsidRPr="008356C6">
        <w:rPr>
          <w:noProof/>
        </w:rPr>
        <w:t xml:space="preserve">/UE privind echipamentele maritime, în conformitate cu articolul </w:t>
      </w:r>
      <w:r w:rsidRPr="00DC27B2">
        <w:rPr>
          <w:noProof/>
        </w:rPr>
        <w:t>35</w:t>
      </w:r>
      <w:r w:rsidRPr="008356C6">
        <w:rPr>
          <w:noProof/>
        </w:rPr>
        <w:t xml:space="preserve"> alineatul (</w:t>
      </w:r>
      <w:r w:rsidRPr="00DC27B2">
        <w:rPr>
          <w:noProof/>
        </w:rPr>
        <w:t>2</w:t>
      </w:r>
      <w:r w:rsidRPr="008356C6">
        <w:rPr>
          <w:noProof/>
        </w:rPr>
        <w:t xml:space="preserve">) din aceasta. </w:t>
      </w:r>
    </w:p>
    <w:p w:rsidR="009D268B" w:rsidRPr="008356C6" w:rsidRDefault="009D268B" w:rsidP="00EB703C">
      <w:pPr>
        <w:pStyle w:val="Text1"/>
        <w:ind w:left="0"/>
        <w:rPr>
          <w:noProof/>
        </w:rPr>
      </w:pPr>
      <w:r w:rsidRPr="008356C6">
        <w:rPr>
          <w:noProof/>
        </w:rPr>
        <w:t xml:space="preserve">În Directiva </w:t>
      </w:r>
      <w:r w:rsidRPr="00DC27B2">
        <w:rPr>
          <w:noProof/>
        </w:rPr>
        <w:t>2009</w:t>
      </w:r>
      <w:r w:rsidRPr="008356C6">
        <w:rPr>
          <w:noProof/>
        </w:rPr>
        <w:t>/</w:t>
      </w:r>
      <w:r w:rsidRPr="00DC27B2">
        <w:rPr>
          <w:noProof/>
        </w:rPr>
        <w:t>45</w:t>
      </w:r>
      <w:r w:rsidRPr="008356C6">
        <w:rPr>
          <w:noProof/>
        </w:rPr>
        <w:t>/CE privind normele și standardele de siguranță pentru navele de pasageri, articolul </w:t>
      </w:r>
      <w:r w:rsidRPr="00DC27B2">
        <w:rPr>
          <w:noProof/>
        </w:rPr>
        <w:t>6</w:t>
      </w:r>
      <w:r w:rsidRPr="008356C6">
        <w:rPr>
          <w:noProof/>
        </w:rPr>
        <w:t xml:space="preserve"> alineatul (</w:t>
      </w:r>
      <w:r w:rsidRPr="00DC27B2">
        <w:rPr>
          <w:noProof/>
        </w:rPr>
        <w:t>2</w:t>
      </w:r>
      <w:r w:rsidRPr="008356C6">
        <w:rPr>
          <w:noProof/>
        </w:rPr>
        <w:t xml:space="preserve">) litera (a) punctul (i) aplică Convenția SOLAS, astfel cum a fost modificată, precum și codurile relevante, inclusiv Codul LSA, navelor de pasageri din clasa A, în timp ce capitolul III din anexa I, „Aparatura de salvare”, stabilește cerințe diverse și cuprinzătoare pentru navele de pasageri din clasele B, C și D angajate în curse interne, </w:t>
      </w:r>
      <w:r w:rsidRPr="008356C6">
        <w:rPr>
          <w:noProof/>
        </w:rPr>
        <w:lastRenderedPageBreak/>
        <w:t>inclusiv în ceea ce privește plutele de salvare și bărcile de salvare, prin aplicarea Codului LSA.</w:t>
      </w:r>
    </w:p>
    <w:p w:rsidR="00497237" w:rsidRPr="008356C6" w:rsidRDefault="00497237" w:rsidP="00EB703C">
      <w:pPr>
        <w:pStyle w:val="Text1"/>
        <w:ind w:left="0"/>
        <w:rPr>
          <w:noProof/>
        </w:rPr>
      </w:pPr>
      <w:r w:rsidRPr="008356C6">
        <w:rPr>
          <w:noProof/>
        </w:rPr>
        <w:t xml:space="preserve">Prin urmare, amendamentele aduse Codului internațional al mijloacelor de salvare (Codul LSA) au vocația de a influența în mod decisiv aplicarea Directivei </w:t>
      </w:r>
      <w:r w:rsidRPr="00DC27B2">
        <w:rPr>
          <w:noProof/>
        </w:rPr>
        <w:t>2014</w:t>
      </w:r>
      <w:r w:rsidRPr="008356C6">
        <w:rPr>
          <w:noProof/>
        </w:rPr>
        <w:t>/</w:t>
      </w:r>
      <w:r w:rsidRPr="00DC27B2">
        <w:rPr>
          <w:noProof/>
        </w:rPr>
        <w:t>90</w:t>
      </w:r>
      <w:r w:rsidRPr="008356C6">
        <w:rPr>
          <w:noProof/>
        </w:rPr>
        <w:t xml:space="preserve">/UE și a Directivei </w:t>
      </w:r>
      <w:r w:rsidRPr="00DC27B2">
        <w:rPr>
          <w:noProof/>
        </w:rPr>
        <w:t>2009</w:t>
      </w:r>
      <w:r w:rsidRPr="008356C6">
        <w:rPr>
          <w:noProof/>
        </w:rPr>
        <w:t>/</w:t>
      </w:r>
      <w:r w:rsidRPr="00DC27B2">
        <w:rPr>
          <w:noProof/>
        </w:rPr>
        <w:t>45</w:t>
      </w:r>
      <w:r w:rsidRPr="008356C6">
        <w:rPr>
          <w:noProof/>
        </w:rPr>
        <w:t>/CE.</w:t>
      </w:r>
    </w:p>
    <w:p w:rsidR="00CB0DD6" w:rsidRPr="008356C6" w:rsidRDefault="00CB0DD6" w:rsidP="00CB0DD6">
      <w:pPr>
        <w:pStyle w:val="ManualHeading3"/>
        <w:rPr>
          <w:noProof/>
        </w:rPr>
      </w:pPr>
      <w:r>
        <w:rPr>
          <w:noProof/>
        </w:rPr>
        <w:t>5.1.6.</w:t>
      </w:r>
      <w:r>
        <w:rPr>
          <w:noProof/>
        </w:rPr>
        <w:tab/>
      </w:r>
      <w:r w:rsidRPr="008356C6">
        <w:rPr>
          <w:noProof/>
        </w:rPr>
        <w:t xml:space="preserve">Amendamente la Protocolul din </w:t>
      </w:r>
      <w:r w:rsidRPr="00DC27B2">
        <w:rPr>
          <w:noProof/>
        </w:rPr>
        <w:t>1988</w:t>
      </w:r>
      <w:r w:rsidRPr="008356C6">
        <w:rPr>
          <w:noProof/>
        </w:rPr>
        <w:t xml:space="preserve"> privind liniile de încărcare</w:t>
      </w:r>
    </w:p>
    <w:p w:rsidR="00CB0DD6" w:rsidRPr="008356C6" w:rsidRDefault="00863377" w:rsidP="00141773">
      <w:pPr>
        <w:rPr>
          <w:noProof/>
        </w:rPr>
      </w:pPr>
      <w:r w:rsidRPr="008356C6">
        <w:rPr>
          <w:noProof/>
        </w:rPr>
        <w:t xml:space="preserve">Termenul „convenții internaționale” definit Directiva </w:t>
      </w:r>
      <w:r w:rsidRPr="00DC27B2">
        <w:rPr>
          <w:noProof/>
        </w:rPr>
        <w:t>2009</w:t>
      </w:r>
      <w:r w:rsidRPr="008356C6">
        <w:rPr>
          <w:noProof/>
        </w:rPr>
        <w:t>/</w:t>
      </w:r>
      <w:r w:rsidRPr="00DC27B2">
        <w:rPr>
          <w:noProof/>
        </w:rPr>
        <w:t>45</w:t>
      </w:r>
      <w:r w:rsidRPr="008356C6">
        <w:rPr>
          <w:noProof/>
        </w:rPr>
        <w:t>/CE privind normele și standardele de siguranță pentru navele de pasageri [articolul </w:t>
      </w:r>
      <w:r w:rsidRPr="00DC27B2">
        <w:rPr>
          <w:noProof/>
        </w:rPr>
        <w:t>2</w:t>
      </w:r>
      <w:r w:rsidRPr="008356C6">
        <w:rPr>
          <w:noProof/>
        </w:rPr>
        <w:t xml:space="preserve"> litera a)] include Convenția privind liniile de încărcare, împreună cu protocoalele și amendamentele aduse acesteia, precum și codurile asociate cu aplicare obligatorie, în versiunea lor actualizată. În plus, articolul </w:t>
      </w:r>
      <w:r w:rsidRPr="00DC27B2">
        <w:rPr>
          <w:noProof/>
        </w:rPr>
        <w:t>6</w:t>
      </w:r>
      <w:r w:rsidRPr="008356C6">
        <w:rPr>
          <w:noProof/>
        </w:rPr>
        <w:t xml:space="preserve"> alineatul (</w:t>
      </w:r>
      <w:r w:rsidRPr="00DC27B2">
        <w:rPr>
          <w:noProof/>
        </w:rPr>
        <w:t>2</w:t>
      </w:r>
      <w:r w:rsidRPr="008356C6">
        <w:rPr>
          <w:noProof/>
        </w:rPr>
        <w:t xml:space="preserve">) litera (b) din respectiva directivă prevede că „toate navele noi de pasageri cu lungimea de </w:t>
      </w:r>
      <w:r w:rsidRPr="00DC27B2">
        <w:rPr>
          <w:noProof/>
        </w:rPr>
        <w:t>24</w:t>
      </w:r>
      <w:r w:rsidRPr="008356C6">
        <w:rPr>
          <w:noProof/>
        </w:rPr>
        <w:t xml:space="preserve"> de metri sau mai mare trebuie să respecte cerințele Convenției internaționale din </w:t>
      </w:r>
      <w:r w:rsidRPr="00DC27B2">
        <w:rPr>
          <w:noProof/>
        </w:rPr>
        <w:t>1966</w:t>
      </w:r>
      <w:r w:rsidRPr="008356C6">
        <w:rPr>
          <w:noProof/>
        </w:rPr>
        <w:t xml:space="preserve"> privind liniile de încărcare”.</w:t>
      </w:r>
    </w:p>
    <w:p w:rsidR="00863377" w:rsidRPr="008356C6" w:rsidRDefault="00081FFB" w:rsidP="00141773">
      <w:pPr>
        <w:rPr>
          <w:noProof/>
        </w:rPr>
      </w:pPr>
      <w:r w:rsidRPr="008356C6">
        <w:rPr>
          <w:noProof/>
        </w:rPr>
        <w:t xml:space="preserve">Prin urmare, amendamentele la Protocolul din </w:t>
      </w:r>
      <w:r w:rsidRPr="00DC27B2">
        <w:rPr>
          <w:noProof/>
        </w:rPr>
        <w:t>1988</w:t>
      </w:r>
      <w:r w:rsidRPr="008356C6">
        <w:rPr>
          <w:noProof/>
        </w:rPr>
        <w:t xml:space="preserve"> privind liniile de încărcare au vocația de a influența în mod decisiv aplicarea Directivei </w:t>
      </w:r>
      <w:r w:rsidRPr="00DC27B2">
        <w:rPr>
          <w:noProof/>
        </w:rPr>
        <w:t>2009</w:t>
      </w:r>
      <w:r w:rsidRPr="008356C6">
        <w:rPr>
          <w:noProof/>
        </w:rPr>
        <w:t>/</w:t>
      </w:r>
      <w:r w:rsidRPr="00DC27B2">
        <w:rPr>
          <w:noProof/>
        </w:rPr>
        <w:t>45</w:t>
      </w:r>
      <w:r w:rsidRPr="008356C6">
        <w:rPr>
          <w:noProof/>
        </w:rPr>
        <w:t>/CE.</w:t>
      </w:r>
    </w:p>
    <w:p w:rsidR="008E4DFC" w:rsidRPr="008356C6" w:rsidRDefault="008E4DFC" w:rsidP="005A3E73">
      <w:pPr>
        <w:pStyle w:val="ManualHeading2"/>
        <w:rPr>
          <w:b w:val="0"/>
          <w:noProof/>
        </w:rPr>
      </w:pPr>
      <w:r>
        <w:rPr>
          <w:noProof/>
        </w:rPr>
        <w:t>5.2.</w:t>
      </w:r>
      <w:r>
        <w:rPr>
          <w:noProof/>
        </w:rPr>
        <w:tab/>
      </w:r>
      <w:r w:rsidRPr="008356C6">
        <w:rPr>
          <w:b w:val="0"/>
          <w:noProof/>
        </w:rPr>
        <w:t>Competența UE</w:t>
      </w:r>
    </w:p>
    <w:p w:rsidR="00F33B59" w:rsidRPr="008356C6" w:rsidRDefault="00F33B59" w:rsidP="00F33B59">
      <w:pPr>
        <w:rPr>
          <w:noProof/>
        </w:rPr>
      </w:pPr>
      <w:r w:rsidRPr="008356C6">
        <w:rPr>
          <w:noProof/>
        </w:rPr>
        <w:t xml:space="preserve">Obiectul actelor avute în vedere se referă la domenii reglementate în mare măsură de legislația secundară a Uniunii, astfel cum se explică în secțiunea </w:t>
      </w:r>
      <w:r w:rsidRPr="00DC27B2">
        <w:rPr>
          <w:noProof/>
        </w:rPr>
        <w:t>5</w:t>
      </w:r>
      <w:r w:rsidRPr="008356C6">
        <w:rPr>
          <w:noProof/>
        </w:rPr>
        <w:t>.</w:t>
      </w:r>
      <w:r w:rsidRPr="00DC27B2">
        <w:rPr>
          <w:noProof/>
        </w:rPr>
        <w:t>1</w:t>
      </w:r>
      <w:r w:rsidRPr="008356C6">
        <w:rPr>
          <w:noProof/>
        </w:rPr>
        <w:t xml:space="preserve">. Prin urmare, Uniunea are competență externă exclusivă în temeiul articolului </w:t>
      </w:r>
      <w:r w:rsidRPr="00DC27B2">
        <w:rPr>
          <w:noProof/>
        </w:rPr>
        <w:t>3</w:t>
      </w:r>
      <w:r w:rsidRPr="008356C6">
        <w:rPr>
          <w:noProof/>
        </w:rPr>
        <w:t xml:space="preserve"> alineatul (</w:t>
      </w:r>
      <w:r w:rsidRPr="00DC27B2">
        <w:rPr>
          <w:noProof/>
        </w:rPr>
        <w:t>2</w:t>
      </w:r>
      <w:r w:rsidRPr="008356C6">
        <w:rPr>
          <w:noProof/>
        </w:rPr>
        <w:t>) ultima parte din TFUE, întrucât actele avute în vedere „ar putea aduce atingere normelor comune sau ar putea modifica domeniul de aplicare al acestora”. Actele avute în vedere au vocația de a influența în mod decisiv conținutul următoarelor acte legislative ale UE și în special:</w:t>
      </w:r>
    </w:p>
    <w:p w:rsidR="00F44DB2" w:rsidRPr="008356C6" w:rsidRDefault="00541598" w:rsidP="007C08E9">
      <w:pPr>
        <w:pStyle w:val="Tiret0"/>
        <w:numPr>
          <w:ilvl w:val="0"/>
          <w:numId w:val="14"/>
        </w:numPr>
        <w:rPr>
          <w:noProof/>
        </w:rPr>
      </w:pPr>
      <w:r w:rsidRPr="008356C6">
        <w:rPr>
          <w:noProof/>
        </w:rPr>
        <w:t xml:space="preserve">Directiva (UE) </w:t>
      </w:r>
      <w:r w:rsidRPr="00DC27B2">
        <w:rPr>
          <w:noProof/>
        </w:rPr>
        <w:t>2016</w:t>
      </w:r>
      <w:r w:rsidRPr="008356C6">
        <w:rPr>
          <w:noProof/>
        </w:rPr>
        <w:t>/</w:t>
      </w:r>
      <w:r w:rsidRPr="00DC27B2">
        <w:rPr>
          <w:noProof/>
        </w:rPr>
        <w:t>802</w:t>
      </w:r>
      <w:r w:rsidRPr="008356C6">
        <w:rPr>
          <w:noProof/>
        </w:rPr>
        <w:t xml:space="preserve">. Motivul este acela că stabilirea unei zone de control al emisiilor în statele membre ale UE ar avea efecte asupra aplicării acestei directive, deoarece articolele </w:t>
      </w:r>
      <w:r w:rsidRPr="00DC27B2">
        <w:rPr>
          <w:noProof/>
        </w:rPr>
        <w:t>6</w:t>
      </w:r>
      <w:r w:rsidRPr="008356C6">
        <w:rPr>
          <w:noProof/>
        </w:rPr>
        <w:t xml:space="preserve"> și </w:t>
      </w:r>
      <w:r w:rsidRPr="00DC27B2">
        <w:rPr>
          <w:noProof/>
        </w:rPr>
        <w:t>13</w:t>
      </w:r>
      <w:r w:rsidRPr="008356C6">
        <w:rPr>
          <w:noProof/>
        </w:rPr>
        <w:t xml:space="preserve"> și anexa sa I se referă la regulile prevăzute în anexa VI la MARPOL privind conținutul maxim de sulf al combustibililor navelor și emisiile de SOx generate de nave în apele UE.</w:t>
      </w:r>
    </w:p>
    <w:p w:rsidR="00F44DB2" w:rsidRPr="008356C6" w:rsidRDefault="00F44DB2" w:rsidP="007C08E9">
      <w:pPr>
        <w:pStyle w:val="Tiret0"/>
        <w:numPr>
          <w:ilvl w:val="0"/>
          <w:numId w:val="14"/>
        </w:numPr>
        <w:rPr>
          <w:noProof/>
        </w:rPr>
      </w:pPr>
      <w:r w:rsidRPr="008356C6">
        <w:rPr>
          <w:noProof/>
        </w:rPr>
        <w:t xml:space="preserve">Regulamentul (UE) </w:t>
      </w:r>
      <w:r w:rsidRPr="00DC27B2">
        <w:rPr>
          <w:noProof/>
        </w:rPr>
        <w:t>2015</w:t>
      </w:r>
      <w:r w:rsidRPr="008356C6">
        <w:rPr>
          <w:noProof/>
        </w:rPr>
        <w:t>/</w:t>
      </w:r>
      <w:r w:rsidRPr="00DC27B2">
        <w:rPr>
          <w:noProof/>
        </w:rPr>
        <w:t>757</w:t>
      </w:r>
      <w:r w:rsidRPr="008356C6">
        <w:rPr>
          <w:noProof/>
        </w:rPr>
        <w:t>. Motivul este că regulamentul stabilește cadrul juridic al unui sistem al UE de monitorizare, raportare și verificare (MRV) a emisiilor de GES. Respectarea noilor obligații care decurg din extinderea la transportul maritim a schemei EU ETS și din Regulamentul „FuelEU în domeniul maritim” se va baza pe sistemul de monitorizare, raportare și verificare instituit prin Regulamentul UE privind MRV.</w:t>
      </w:r>
    </w:p>
    <w:p w:rsidR="00F44DB2" w:rsidRPr="008356C6" w:rsidRDefault="00F44DB2" w:rsidP="007C08E9">
      <w:pPr>
        <w:pStyle w:val="Tiret0"/>
        <w:numPr>
          <w:ilvl w:val="0"/>
          <w:numId w:val="14"/>
        </w:numPr>
        <w:rPr>
          <w:noProof/>
        </w:rPr>
      </w:pPr>
      <w:r w:rsidRPr="008356C6">
        <w:rPr>
          <w:noProof/>
        </w:rPr>
        <w:t xml:space="preserve">Directiva </w:t>
      </w:r>
      <w:r w:rsidRPr="00DC27B2">
        <w:rPr>
          <w:noProof/>
        </w:rPr>
        <w:t>2003</w:t>
      </w:r>
      <w:r w:rsidRPr="008356C6">
        <w:rPr>
          <w:noProof/>
        </w:rPr>
        <w:t>/</w:t>
      </w:r>
      <w:r w:rsidRPr="00DC27B2">
        <w:rPr>
          <w:noProof/>
        </w:rPr>
        <w:t>87</w:t>
      </w:r>
      <w:r w:rsidRPr="008356C6">
        <w:rPr>
          <w:noProof/>
        </w:rPr>
        <w:t xml:space="preserve">/CE revizuită prin Directiva (UE) </w:t>
      </w:r>
      <w:r w:rsidRPr="00DC27B2">
        <w:rPr>
          <w:noProof/>
        </w:rPr>
        <w:t>2023</w:t>
      </w:r>
      <w:r w:rsidRPr="008356C6">
        <w:rPr>
          <w:noProof/>
        </w:rPr>
        <w:t>/</w:t>
      </w:r>
      <w:r w:rsidRPr="00DC27B2">
        <w:rPr>
          <w:noProof/>
        </w:rPr>
        <w:t>959</w:t>
      </w:r>
      <w:r w:rsidRPr="008356C6">
        <w:rPr>
          <w:noProof/>
        </w:rPr>
        <w:t xml:space="preserve"> pentru a extinde EU ETS la sectorul transportului maritim. Motivul este că regulamentul este strâns legat de măsurile OMI referitoare la GES, cum ar fi sistemul OMI de colectare a datelor, indicele de eficiență energetică al navelor existente (EEXI) și indicatorul de intensitate a carbonului (CII), care vizează colectarea și publicarea de informații cu privire la eficiența energetică tehnică și operațională a navelor pentru fiecare navă.</w:t>
      </w:r>
    </w:p>
    <w:p w:rsidR="00F44DB2" w:rsidRPr="008356C6" w:rsidRDefault="00F44DB2" w:rsidP="007C08E9">
      <w:pPr>
        <w:pStyle w:val="Tiret0"/>
        <w:numPr>
          <w:ilvl w:val="0"/>
          <w:numId w:val="14"/>
        </w:numPr>
        <w:rPr>
          <w:noProof/>
        </w:rPr>
      </w:pPr>
      <w:r w:rsidRPr="008356C6">
        <w:rPr>
          <w:noProof/>
        </w:rPr>
        <w:t xml:space="preserve">Regulamentul (UE) </w:t>
      </w:r>
      <w:r w:rsidRPr="00DC27B2">
        <w:rPr>
          <w:noProof/>
        </w:rPr>
        <w:t>2023</w:t>
      </w:r>
      <w:r w:rsidRPr="008356C6">
        <w:rPr>
          <w:noProof/>
        </w:rPr>
        <w:t>/</w:t>
      </w:r>
      <w:r w:rsidRPr="00DC27B2">
        <w:rPr>
          <w:noProof/>
        </w:rPr>
        <w:t>1805</w:t>
      </w:r>
      <w:r w:rsidRPr="008356C6">
        <w:rPr>
          <w:noProof/>
        </w:rPr>
        <w:t>. Motivul este că regulamentul este strâns legat de măsurile OMI referitoare la GES, cum ar fi sistemul OMI de colectare a datelor, indicele de eficiență energetică al navelor existente (EEXI) și indicatorul de intensitate a carbonului (CII), care vizează colectarea și publicarea de informații cu privire la eficiența energetică tehnică și operațională a navelor pentru fiecare navă.</w:t>
      </w:r>
    </w:p>
    <w:p w:rsidR="00F44DB2" w:rsidRPr="008356C6" w:rsidRDefault="00F44DB2" w:rsidP="007C08E9">
      <w:pPr>
        <w:pStyle w:val="Tiret0"/>
        <w:numPr>
          <w:ilvl w:val="0"/>
          <w:numId w:val="14"/>
        </w:numPr>
        <w:tabs>
          <w:tab w:val="clear" w:pos="850"/>
          <w:tab w:val="left" w:pos="851"/>
        </w:tabs>
        <w:rPr>
          <w:rFonts w:eastAsia="MS Mincho"/>
          <w:noProof/>
        </w:rPr>
      </w:pPr>
      <w:r w:rsidRPr="008356C6">
        <w:rPr>
          <w:noProof/>
        </w:rPr>
        <w:lastRenderedPageBreak/>
        <w:t xml:space="preserve">Directiva </w:t>
      </w:r>
      <w:r w:rsidRPr="00DC27B2">
        <w:rPr>
          <w:noProof/>
        </w:rPr>
        <w:t>2002</w:t>
      </w:r>
      <w:r w:rsidRPr="008356C6">
        <w:rPr>
          <w:noProof/>
        </w:rPr>
        <w:t>/</w:t>
      </w:r>
      <w:r w:rsidRPr="00DC27B2">
        <w:rPr>
          <w:noProof/>
        </w:rPr>
        <w:t>59</w:t>
      </w:r>
      <w:r w:rsidRPr="008356C6">
        <w:rPr>
          <w:noProof/>
        </w:rPr>
        <w:t>/CE. Acest lucru se datorează faptului că articolul </w:t>
      </w:r>
      <w:r w:rsidRPr="00DC27B2">
        <w:rPr>
          <w:noProof/>
        </w:rPr>
        <w:t>6</w:t>
      </w:r>
      <w:r w:rsidRPr="008356C6">
        <w:rPr>
          <w:noProof/>
        </w:rPr>
        <w:t xml:space="preserve"> prevede că orice navă care face escală într-un port al unui stat membru trebuie să fie echipată cu un AIS care respectă standardele de performanță elaborate de OMI. </w:t>
      </w:r>
    </w:p>
    <w:p w:rsidR="00F44DB2" w:rsidRPr="008356C6" w:rsidRDefault="00F44DB2" w:rsidP="007C08E9">
      <w:pPr>
        <w:pStyle w:val="Tiret0"/>
        <w:numPr>
          <w:ilvl w:val="0"/>
          <w:numId w:val="14"/>
        </w:numPr>
        <w:tabs>
          <w:tab w:val="clear" w:pos="850"/>
          <w:tab w:val="left" w:pos="851"/>
        </w:tabs>
        <w:rPr>
          <w:rFonts w:eastAsia="MS Mincho"/>
          <w:noProof/>
        </w:rPr>
      </w:pPr>
      <w:r w:rsidRPr="008356C6">
        <w:rPr>
          <w:noProof/>
        </w:rPr>
        <w:t xml:space="preserve">Regulamentul (UE) </w:t>
      </w:r>
      <w:r w:rsidRPr="00DC27B2">
        <w:rPr>
          <w:noProof/>
        </w:rPr>
        <w:t>2019</w:t>
      </w:r>
      <w:r w:rsidRPr="008356C6">
        <w:rPr>
          <w:noProof/>
        </w:rPr>
        <w:t>/</w:t>
      </w:r>
      <w:r w:rsidRPr="00DC27B2">
        <w:rPr>
          <w:noProof/>
        </w:rPr>
        <w:t>1239</w:t>
      </w:r>
      <w:r w:rsidRPr="008356C6">
        <w:rPr>
          <w:noProof/>
        </w:rPr>
        <w:t xml:space="preserve">. Acest lucru se datorează faptului că există posibilitatea de a utiliza VDES pentru transmiterea formalităților de raportare prevăzute de regulament. </w:t>
      </w:r>
    </w:p>
    <w:p w:rsidR="00F44DB2" w:rsidRPr="008356C6" w:rsidRDefault="00F44DB2" w:rsidP="007C08E9">
      <w:pPr>
        <w:pStyle w:val="Tiret0"/>
        <w:numPr>
          <w:ilvl w:val="0"/>
          <w:numId w:val="14"/>
        </w:numPr>
        <w:rPr>
          <w:noProof/>
        </w:rPr>
      </w:pPr>
      <w:r w:rsidRPr="008356C6">
        <w:rPr>
          <w:noProof/>
        </w:rPr>
        <w:t xml:space="preserve">Directiva </w:t>
      </w:r>
      <w:r w:rsidRPr="00DC27B2">
        <w:rPr>
          <w:noProof/>
        </w:rPr>
        <w:t>2014</w:t>
      </w:r>
      <w:r w:rsidRPr="008356C6">
        <w:rPr>
          <w:noProof/>
        </w:rPr>
        <w:t>/</w:t>
      </w:r>
      <w:r w:rsidRPr="00DC27B2">
        <w:rPr>
          <w:noProof/>
        </w:rPr>
        <w:t>90</w:t>
      </w:r>
      <w:r w:rsidRPr="008356C6">
        <w:rPr>
          <w:noProof/>
        </w:rPr>
        <w:t>/UE și Regulamentul de punere în aplicare (UE) nr. </w:t>
      </w:r>
      <w:r w:rsidRPr="00DC27B2">
        <w:rPr>
          <w:noProof/>
        </w:rPr>
        <w:t>2025</w:t>
      </w:r>
      <w:r w:rsidRPr="008356C6">
        <w:rPr>
          <w:noProof/>
        </w:rPr>
        <w:t>/</w:t>
      </w:r>
      <w:r w:rsidRPr="00DC27B2">
        <w:rPr>
          <w:noProof/>
        </w:rPr>
        <w:t>1533</w:t>
      </w:r>
      <w:r w:rsidRPr="008356C6">
        <w:rPr>
          <w:noProof/>
        </w:rPr>
        <w:t xml:space="preserve"> al Comisiei. Acest lucru se datorează faptului că echipamentele de radiocomunicații sunt enumerate în secțiunea </w:t>
      </w:r>
      <w:r w:rsidRPr="00DC27B2">
        <w:rPr>
          <w:noProof/>
        </w:rPr>
        <w:t>5</w:t>
      </w:r>
      <w:r w:rsidRPr="008356C6">
        <w:rPr>
          <w:noProof/>
        </w:rPr>
        <w:t xml:space="preserve"> din regulamentul de punere în aplicare. În plus, standardele pentru bărcile de salvare și plutele de salvare, precum și pentru instalațiile de lansare la apă și vinciuri sunt reglementate de regulamentul de punere în aplicare, în care se fac trimiteri la Codul LSA.</w:t>
      </w:r>
    </w:p>
    <w:p w:rsidR="0091563C" w:rsidRPr="008356C6" w:rsidRDefault="0091563C" w:rsidP="007C08E9">
      <w:pPr>
        <w:pStyle w:val="Tiret0"/>
        <w:numPr>
          <w:ilvl w:val="0"/>
          <w:numId w:val="14"/>
        </w:numPr>
        <w:rPr>
          <w:noProof/>
        </w:rPr>
      </w:pPr>
      <w:r w:rsidRPr="008356C6">
        <w:rPr>
          <w:noProof/>
        </w:rPr>
        <w:t xml:space="preserve">Directiva </w:t>
      </w:r>
      <w:r w:rsidRPr="00DC27B2">
        <w:rPr>
          <w:noProof/>
        </w:rPr>
        <w:t>2009</w:t>
      </w:r>
      <w:r w:rsidRPr="008356C6">
        <w:rPr>
          <w:noProof/>
        </w:rPr>
        <w:t>/</w:t>
      </w:r>
      <w:r w:rsidRPr="00DC27B2">
        <w:rPr>
          <w:noProof/>
        </w:rPr>
        <w:t>45</w:t>
      </w:r>
      <w:r w:rsidRPr="008356C6">
        <w:rPr>
          <w:noProof/>
        </w:rPr>
        <w:t>/CE. Acest lucru se datorează faptului că articolul </w:t>
      </w:r>
      <w:r w:rsidRPr="00DC27B2">
        <w:rPr>
          <w:noProof/>
        </w:rPr>
        <w:t>6</w:t>
      </w:r>
      <w:r w:rsidRPr="008356C6">
        <w:rPr>
          <w:noProof/>
        </w:rPr>
        <w:t xml:space="preserve"> alineatul (</w:t>
      </w:r>
      <w:r w:rsidRPr="00DC27B2">
        <w:rPr>
          <w:noProof/>
        </w:rPr>
        <w:t>2</w:t>
      </w:r>
      <w:r w:rsidRPr="008356C6">
        <w:rPr>
          <w:noProof/>
        </w:rPr>
        <w:t xml:space="preserve">) litera (a) punctul (i) prevede că navele noi de pasageri din clasa A trebuie să respecte integral cerințele Convenției SOLAS din </w:t>
      </w:r>
      <w:r w:rsidRPr="00DC27B2">
        <w:rPr>
          <w:noProof/>
        </w:rPr>
        <w:t>1974</w:t>
      </w:r>
      <w:r w:rsidRPr="008356C6">
        <w:rPr>
          <w:noProof/>
        </w:rPr>
        <w:t xml:space="preserve">, astfel cum a fost modificată, precum și codurile relevante, inclusiv Codul LSA pentru navele de pasageri din clasa A. Articolul </w:t>
      </w:r>
      <w:r w:rsidRPr="00DC27B2">
        <w:rPr>
          <w:noProof/>
        </w:rPr>
        <w:t>6</w:t>
      </w:r>
      <w:r w:rsidRPr="008356C6">
        <w:rPr>
          <w:noProof/>
        </w:rPr>
        <w:t xml:space="preserve"> alineatul (</w:t>
      </w:r>
      <w:r w:rsidRPr="00DC27B2">
        <w:rPr>
          <w:noProof/>
        </w:rPr>
        <w:t>4</w:t>
      </w:r>
      <w:r w:rsidRPr="008356C6">
        <w:rPr>
          <w:noProof/>
        </w:rPr>
        <w:t xml:space="preserve">) prevede că navele de mare viteză pentru pasageri angajate în curse interne, construite sau care fac obiectul unor reparații, modificări și transformări de amploare la </w:t>
      </w:r>
      <w:r w:rsidRPr="00DC27B2">
        <w:rPr>
          <w:noProof/>
        </w:rPr>
        <w:t>1</w:t>
      </w:r>
      <w:r w:rsidRPr="008356C6">
        <w:rPr>
          <w:noProof/>
        </w:rPr>
        <w:t xml:space="preserve"> ianuarie </w:t>
      </w:r>
      <w:r w:rsidRPr="00DC27B2">
        <w:rPr>
          <w:noProof/>
        </w:rPr>
        <w:t>1996</w:t>
      </w:r>
      <w:r w:rsidRPr="008356C6">
        <w:rPr>
          <w:noProof/>
        </w:rPr>
        <w:t xml:space="preserve"> sau după această dată, trebuie să respecte cerințele aferente regulii X/</w:t>
      </w:r>
      <w:r w:rsidRPr="00DC27B2">
        <w:rPr>
          <w:noProof/>
        </w:rPr>
        <w:t>2</w:t>
      </w:r>
      <w:r w:rsidRPr="008356C6">
        <w:rPr>
          <w:noProof/>
        </w:rPr>
        <w:t xml:space="preserve"> și X/</w:t>
      </w:r>
      <w:r w:rsidRPr="00DC27B2">
        <w:rPr>
          <w:noProof/>
        </w:rPr>
        <w:t>3</w:t>
      </w:r>
      <w:r w:rsidRPr="008356C6">
        <w:rPr>
          <w:noProof/>
        </w:rPr>
        <w:t xml:space="preserve"> a Convenției SOLAS din </w:t>
      </w:r>
      <w:r w:rsidRPr="00DC27B2">
        <w:rPr>
          <w:noProof/>
        </w:rPr>
        <w:t>1974</w:t>
      </w:r>
      <w:r w:rsidRPr="008356C6">
        <w:rPr>
          <w:noProof/>
        </w:rPr>
        <w:t>, care prevăd aplicarea „Codului pentru navele de mare viteză”. Capitolul III din anexa I la acesta, intitulat „Aparatura de salvare”, stabilește cerințe diverse și cuprinzătoare pentru navele de pasageri din clasele B, C și D angajate în curse interne, inclusiv în ceea ce privește plutele de salvare și bărcile de salvare, prin aplicarea Codului LSA. În plus, termenul „convenții internaționale” definit la articolul </w:t>
      </w:r>
      <w:r w:rsidRPr="00DC27B2">
        <w:rPr>
          <w:noProof/>
        </w:rPr>
        <w:t>2</w:t>
      </w:r>
      <w:r w:rsidRPr="008356C6">
        <w:rPr>
          <w:noProof/>
        </w:rPr>
        <w:t xml:space="preserve"> litera (a) include Convenția privind liniile de încărcare, împreună cu protocoalele și amendamentele la aceasta, precum și codurile aferente de aplicare obligatorie, în versiunea lor actualizată. În plus, articolul </w:t>
      </w:r>
      <w:r w:rsidRPr="00DC27B2">
        <w:rPr>
          <w:noProof/>
        </w:rPr>
        <w:t>6</w:t>
      </w:r>
      <w:r w:rsidRPr="008356C6">
        <w:rPr>
          <w:noProof/>
        </w:rPr>
        <w:t xml:space="preserve"> alineatul (</w:t>
      </w:r>
      <w:r w:rsidRPr="00DC27B2">
        <w:rPr>
          <w:noProof/>
        </w:rPr>
        <w:t>2</w:t>
      </w:r>
      <w:r w:rsidRPr="008356C6">
        <w:rPr>
          <w:noProof/>
        </w:rPr>
        <w:t xml:space="preserve">) litera (b) din respectiva directivă prevede că „toate navele noi de pasageri cu lungimea de </w:t>
      </w:r>
      <w:r w:rsidRPr="00DC27B2">
        <w:rPr>
          <w:noProof/>
        </w:rPr>
        <w:t>24</w:t>
      </w:r>
      <w:r w:rsidRPr="008356C6">
        <w:rPr>
          <w:noProof/>
        </w:rPr>
        <w:t xml:space="preserve"> metri sau mai mare trebuie să respecte cerințele Convenției internaționale din </w:t>
      </w:r>
      <w:r w:rsidRPr="00DC27B2">
        <w:rPr>
          <w:noProof/>
        </w:rPr>
        <w:t>1966</w:t>
      </w:r>
      <w:r w:rsidRPr="008356C6">
        <w:rPr>
          <w:noProof/>
        </w:rPr>
        <w:t xml:space="preserve"> privind liniile de încărcare”.</w:t>
      </w:r>
    </w:p>
    <w:p w:rsidR="003F16D4" w:rsidRPr="008356C6" w:rsidRDefault="00F44DB2" w:rsidP="007C08E9">
      <w:pPr>
        <w:pStyle w:val="Tiret0"/>
        <w:numPr>
          <w:ilvl w:val="0"/>
          <w:numId w:val="14"/>
        </w:numPr>
        <w:rPr>
          <w:noProof/>
        </w:rPr>
      </w:pPr>
      <w:r w:rsidRPr="008356C6">
        <w:rPr>
          <w:noProof/>
        </w:rPr>
        <w:t>Regulamentul (UE) nr. </w:t>
      </w:r>
      <w:r w:rsidRPr="00DC27B2">
        <w:rPr>
          <w:noProof/>
        </w:rPr>
        <w:t>530</w:t>
      </w:r>
      <w:r w:rsidRPr="008356C6">
        <w:rPr>
          <w:noProof/>
        </w:rPr>
        <w:t>/</w:t>
      </w:r>
      <w:r w:rsidRPr="00DC27B2">
        <w:rPr>
          <w:noProof/>
        </w:rPr>
        <w:t>2012</w:t>
      </w:r>
      <w:r w:rsidRPr="008356C6">
        <w:rPr>
          <w:noProof/>
        </w:rPr>
        <w:t xml:space="preserve">. Motivul este că acest regulament impune aplicarea schemei OMI de evaluare a stării (CAS) la petrolierele cu cocă simplă mai vechi de </w:t>
      </w:r>
      <w:r w:rsidRPr="00DC27B2">
        <w:rPr>
          <w:noProof/>
        </w:rPr>
        <w:t>15</w:t>
      </w:r>
      <w:r w:rsidRPr="008356C6">
        <w:rPr>
          <w:noProof/>
        </w:rPr>
        <w:t xml:space="preserve"> ani. Modul în care trebuie realizată această evaluare intensificată este specificat în Programul de inspecții intensificate efectuate cu ocazia inspecțiilor la vrachiere și petroliere, denumit pe scurt Programul de inspecții intensificate (ESP). Întrucât CAS folosește ESP drept instrument pentru atingerea obiectivului său, orice modificare adusă inspecțiilor ESP, cum sunt amendamentele actuale referitoare la concentrarea inspecțiilor în mod exclusiv asupra zonelor suspectate atunci când se efectuează măsurători ale grosimii tablei petrolierelor cu cocă dublă cu ocazia primei inspecții de reînnoire, va fi aplicabilă automat prin intermediul Regulamentului (UE) nr. </w:t>
      </w:r>
      <w:r w:rsidRPr="00DC27B2">
        <w:rPr>
          <w:noProof/>
        </w:rPr>
        <w:t>530</w:t>
      </w:r>
      <w:r w:rsidRPr="008356C6">
        <w:rPr>
          <w:noProof/>
        </w:rPr>
        <w:t>/</w:t>
      </w:r>
      <w:r w:rsidRPr="00DC27B2">
        <w:rPr>
          <w:noProof/>
        </w:rPr>
        <w:t>2012</w:t>
      </w:r>
      <w:r w:rsidRPr="008356C6">
        <w:rPr>
          <w:noProof/>
        </w:rPr>
        <w:t>.</w:t>
      </w:r>
    </w:p>
    <w:p w:rsidR="00996C46" w:rsidRPr="008356C6" w:rsidRDefault="00996C46" w:rsidP="00991DDA">
      <w:pPr>
        <w:pStyle w:val="ManualHeading1"/>
        <w:rPr>
          <w:noProof/>
        </w:rPr>
      </w:pPr>
      <w:r>
        <w:rPr>
          <w:noProof/>
        </w:rPr>
        <w:t>6.</w:t>
      </w:r>
      <w:r>
        <w:rPr>
          <w:noProof/>
        </w:rPr>
        <w:tab/>
      </w:r>
      <w:r w:rsidRPr="008356C6">
        <w:rPr>
          <w:noProof/>
        </w:rPr>
        <w:t>Temei juridic</w:t>
      </w:r>
    </w:p>
    <w:p w:rsidR="00996C46" w:rsidRPr="008356C6" w:rsidRDefault="00996C46" w:rsidP="00991DDA">
      <w:pPr>
        <w:pStyle w:val="ManualHeading2"/>
        <w:rPr>
          <w:noProof/>
        </w:rPr>
      </w:pPr>
      <w:r>
        <w:rPr>
          <w:noProof/>
        </w:rPr>
        <w:t>6.1.</w:t>
      </w:r>
      <w:r>
        <w:rPr>
          <w:noProof/>
        </w:rPr>
        <w:tab/>
      </w:r>
      <w:r w:rsidRPr="008356C6">
        <w:rPr>
          <w:noProof/>
        </w:rPr>
        <w:t>Temei juridic procedural</w:t>
      </w:r>
    </w:p>
    <w:p w:rsidR="00996C46" w:rsidRPr="008356C6" w:rsidRDefault="00996C46" w:rsidP="00991DDA">
      <w:pPr>
        <w:pStyle w:val="ManualHeading3"/>
        <w:rPr>
          <w:noProof/>
        </w:rPr>
      </w:pPr>
      <w:r>
        <w:rPr>
          <w:noProof/>
        </w:rPr>
        <w:t>6.1.1.</w:t>
      </w:r>
      <w:r>
        <w:rPr>
          <w:noProof/>
        </w:rPr>
        <w:tab/>
      </w:r>
      <w:r w:rsidRPr="008356C6">
        <w:rPr>
          <w:noProof/>
        </w:rPr>
        <w:t>Principii</w:t>
      </w:r>
    </w:p>
    <w:p w:rsidR="008C3B61" w:rsidRPr="008356C6" w:rsidRDefault="008C3B61" w:rsidP="008C3B61">
      <w:pPr>
        <w:rPr>
          <w:noProof/>
        </w:rPr>
      </w:pPr>
      <w:r w:rsidRPr="008356C6">
        <w:rPr>
          <w:noProof/>
        </w:rPr>
        <w:t xml:space="preserve">Articolul </w:t>
      </w:r>
      <w:r w:rsidRPr="00DC27B2">
        <w:rPr>
          <w:noProof/>
        </w:rPr>
        <w:t>218</w:t>
      </w:r>
      <w:r w:rsidRPr="008356C6">
        <w:rPr>
          <w:noProof/>
        </w:rPr>
        <w:t xml:space="preserve"> alineatul (</w:t>
      </w:r>
      <w:r w:rsidRPr="00DC27B2">
        <w:rPr>
          <w:noProof/>
        </w:rPr>
        <w:t>9</w:t>
      </w:r>
      <w:r w:rsidRPr="008356C6">
        <w:rPr>
          <w:noProof/>
        </w:rPr>
        <w:t xml:space="preserve">) din Tratatul privind funcționarea Uniunii Europene (TFUE) prevede posibilitatea adoptării unor decizii de stabilire „a pozițiilor care trebuie adoptate în </w:t>
      </w:r>
      <w:r w:rsidRPr="008356C6">
        <w:rPr>
          <w:noProof/>
        </w:rPr>
        <w:lastRenderedPageBreak/>
        <w:t>numele Uniunii în cadrul unui organism creat printr-un acord, în cazul în care acest organism trebuie să adopte acte cu efecte juridice, cu excepția actelor care modifică sau completează cadrul instituțional al acordului.”</w:t>
      </w:r>
    </w:p>
    <w:p w:rsidR="008C3B61" w:rsidRPr="008356C6" w:rsidRDefault="008C3B61" w:rsidP="008C3B61">
      <w:pPr>
        <w:rPr>
          <w:noProof/>
        </w:rPr>
      </w:pPr>
      <w:r w:rsidRPr="008356C6">
        <w:rPr>
          <w:noProof/>
        </w:rPr>
        <w:t xml:space="preserve">Articolul </w:t>
      </w:r>
      <w:r w:rsidRPr="00DC27B2">
        <w:rPr>
          <w:noProof/>
        </w:rPr>
        <w:t>218</w:t>
      </w:r>
      <w:r w:rsidRPr="008356C6">
        <w:rPr>
          <w:noProof/>
        </w:rPr>
        <w:t xml:space="preserve"> alineatul (</w:t>
      </w:r>
      <w:r w:rsidRPr="00DC27B2">
        <w:rPr>
          <w:noProof/>
        </w:rPr>
        <w:t>9</w:t>
      </w:r>
      <w:r w:rsidRPr="008356C6">
        <w:rPr>
          <w:noProof/>
        </w:rPr>
        <w:t>) din TFUE se aplică indiferent dacă Uniunea este sau nu membră a organismului în cauză sau parte la acordul respectiv</w:t>
      </w:r>
      <w:r w:rsidRPr="008356C6">
        <w:rPr>
          <w:rStyle w:val="FootnoteReference"/>
          <w:noProof/>
        </w:rPr>
        <w:footnoteReference w:id="21"/>
      </w:r>
      <w:r w:rsidRPr="008356C6">
        <w:rPr>
          <w:noProof/>
        </w:rPr>
        <w:t>.</w:t>
      </w:r>
    </w:p>
    <w:p w:rsidR="00923A0D" w:rsidRPr="008356C6" w:rsidRDefault="00923A0D" w:rsidP="00923A0D">
      <w:pPr>
        <w:rPr>
          <w:noProof/>
        </w:rPr>
      </w:pPr>
      <w:r w:rsidRPr="008356C6">
        <w:rPr>
          <w:noProof/>
        </w:rPr>
        <w:t>Noțiunea de „acte cu efecte juridice” include actele care au efecte juridice în temeiul normelor de drept internațional aplicabile organismului în cauză. Aceasta se referă, în special, la situația în care acordul internațional care instituie organismul prevede că deciziile sale sunt obligatorii pentru părți. Este, de exemplu, cazul în care un acord internațional conferă organismului competența de a modifica anumite aspecte ale acordului sau anexele la acesta.</w:t>
      </w:r>
    </w:p>
    <w:p w:rsidR="00923A0D" w:rsidRPr="008356C6" w:rsidRDefault="00923A0D" w:rsidP="00086417">
      <w:pPr>
        <w:pStyle w:val="ManualHeading3"/>
        <w:rPr>
          <w:noProof/>
        </w:rPr>
      </w:pPr>
      <w:r>
        <w:rPr>
          <w:noProof/>
        </w:rPr>
        <w:t>6.1.2.</w:t>
      </w:r>
      <w:r>
        <w:rPr>
          <w:noProof/>
        </w:rPr>
        <w:tab/>
      </w:r>
      <w:r w:rsidRPr="008356C6">
        <w:rPr>
          <w:noProof/>
        </w:rPr>
        <w:t>Aplicarea la cazul în discuție</w:t>
      </w:r>
    </w:p>
    <w:p w:rsidR="005C359E" w:rsidRPr="008356C6" w:rsidRDefault="005C359E" w:rsidP="005C359E">
      <w:pPr>
        <w:rPr>
          <w:noProof/>
        </w:rPr>
      </w:pPr>
      <w:r w:rsidRPr="008356C6">
        <w:rPr>
          <w:noProof/>
        </w:rPr>
        <w:t xml:space="preserve">Comitetul pentru protecția mediului marin și Comitetul pentru siguranță maritimă ale OMI sunt organisme create printr-un acord, și anume Convenția privind Organizația Maritimă Internațională. </w:t>
      </w:r>
    </w:p>
    <w:p w:rsidR="00923A0D" w:rsidRPr="008356C6" w:rsidRDefault="00923A0D" w:rsidP="008C3B61">
      <w:pPr>
        <w:rPr>
          <w:noProof/>
        </w:rPr>
      </w:pPr>
      <w:r w:rsidRPr="008356C6">
        <w:rPr>
          <w:noProof/>
        </w:rPr>
        <w:t xml:space="preserve">Actele avute în vedere pe care MEPC </w:t>
      </w:r>
      <w:r w:rsidRPr="00DC27B2">
        <w:rPr>
          <w:noProof/>
        </w:rPr>
        <w:t>84</w:t>
      </w:r>
      <w:r w:rsidRPr="008356C6">
        <w:rPr>
          <w:noProof/>
        </w:rPr>
        <w:t xml:space="preserve"> al OMI este invitat să le adopte constituie acte cu efecte juridice, deoarece au vocația de a influența în mod decisiv conținutul legislației UE, astfel cum se subliniază în secțiunile </w:t>
      </w:r>
      <w:r w:rsidRPr="00DC27B2">
        <w:rPr>
          <w:noProof/>
        </w:rPr>
        <w:t>5</w:t>
      </w:r>
      <w:r w:rsidRPr="008356C6">
        <w:rPr>
          <w:noProof/>
        </w:rPr>
        <w:t>.</w:t>
      </w:r>
      <w:r w:rsidRPr="00DC27B2">
        <w:rPr>
          <w:noProof/>
        </w:rPr>
        <w:t>1</w:t>
      </w:r>
      <w:r w:rsidRPr="008356C6">
        <w:rPr>
          <w:noProof/>
        </w:rPr>
        <w:t xml:space="preserve"> și </w:t>
      </w:r>
      <w:r w:rsidRPr="00DC27B2">
        <w:rPr>
          <w:noProof/>
        </w:rPr>
        <w:t>5</w:t>
      </w:r>
      <w:r w:rsidRPr="008356C6">
        <w:rPr>
          <w:noProof/>
        </w:rPr>
        <w:t>.</w:t>
      </w:r>
      <w:r w:rsidRPr="00DC27B2">
        <w:rPr>
          <w:noProof/>
        </w:rPr>
        <w:t>2</w:t>
      </w:r>
      <w:r w:rsidRPr="008356C6">
        <w:rPr>
          <w:noProof/>
        </w:rPr>
        <w:t xml:space="preserve"> de mai sus.</w:t>
      </w:r>
    </w:p>
    <w:p w:rsidR="00081FFB" w:rsidRPr="008356C6" w:rsidRDefault="00081FFB" w:rsidP="008C3B61">
      <w:pPr>
        <w:rPr>
          <w:noProof/>
        </w:rPr>
      </w:pPr>
      <w:r w:rsidRPr="008356C6">
        <w:rPr>
          <w:noProof/>
        </w:rPr>
        <w:t xml:space="preserve">Actele avute în vedere, pe care MSC </w:t>
      </w:r>
      <w:r w:rsidRPr="00DC27B2">
        <w:rPr>
          <w:noProof/>
        </w:rPr>
        <w:t>111</w:t>
      </w:r>
      <w:r w:rsidRPr="008356C6">
        <w:rPr>
          <w:noProof/>
        </w:rPr>
        <w:t xml:space="preserve"> al OMI este invitat să le adopte constituie acte cu efecte juridice, deoarece au vocația de a influența în mod decisiv conținutul legislației UE, astfel cum se subliniază în secțiunea </w:t>
      </w:r>
      <w:r w:rsidRPr="00DC27B2">
        <w:rPr>
          <w:noProof/>
        </w:rPr>
        <w:t>5</w:t>
      </w:r>
      <w:r w:rsidRPr="008356C6">
        <w:rPr>
          <w:noProof/>
        </w:rPr>
        <w:t>.</w:t>
      </w:r>
      <w:r w:rsidRPr="00DC27B2">
        <w:rPr>
          <w:noProof/>
        </w:rPr>
        <w:t>1</w:t>
      </w:r>
      <w:r w:rsidRPr="008356C6">
        <w:rPr>
          <w:noProof/>
        </w:rPr>
        <w:t xml:space="preserve"> de mai sus.</w:t>
      </w:r>
    </w:p>
    <w:p w:rsidR="00996C46" w:rsidRPr="008356C6" w:rsidRDefault="00996C46" w:rsidP="004179EA">
      <w:pPr>
        <w:rPr>
          <w:noProof/>
        </w:rPr>
      </w:pPr>
      <w:r w:rsidRPr="008356C6">
        <w:rPr>
          <w:noProof/>
        </w:rPr>
        <w:t>Actele avute în vedere nu completează și nu aduc modificări cadrului instituțional al acordului.</w:t>
      </w:r>
    </w:p>
    <w:p w:rsidR="00996C46" w:rsidRPr="008356C6" w:rsidRDefault="00996C46" w:rsidP="00991DDA">
      <w:pPr>
        <w:rPr>
          <w:noProof/>
        </w:rPr>
      </w:pPr>
      <w:r w:rsidRPr="008356C6">
        <w:rPr>
          <w:noProof/>
        </w:rPr>
        <w:t xml:space="preserve">Prin urmare, temeiul juridic procedural al deciziei propuse este articolul </w:t>
      </w:r>
      <w:r w:rsidRPr="00DC27B2">
        <w:rPr>
          <w:noProof/>
        </w:rPr>
        <w:t>218</w:t>
      </w:r>
      <w:r w:rsidRPr="008356C6">
        <w:rPr>
          <w:noProof/>
        </w:rPr>
        <w:t xml:space="preserve"> alineatul (</w:t>
      </w:r>
      <w:r w:rsidRPr="00DC27B2">
        <w:rPr>
          <w:noProof/>
        </w:rPr>
        <w:t>9</w:t>
      </w:r>
      <w:r w:rsidRPr="008356C6">
        <w:rPr>
          <w:noProof/>
        </w:rPr>
        <w:t>) din TFUE.</w:t>
      </w:r>
    </w:p>
    <w:p w:rsidR="00996C46" w:rsidRPr="008356C6" w:rsidRDefault="00996C46" w:rsidP="00991DDA">
      <w:pPr>
        <w:pStyle w:val="ManualHeading2"/>
        <w:rPr>
          <w:noProof/>
        </w:rPr>
      </w:pPr>
      <w:r>
        <w:rPr>
          <w:noProof/>
        </w:rPr>
        <w:t>6.2.</w:t>
      </w:r>
      <w:r>
        <w:rPr>
          <w:noProof/>
        </w:rPr>
        <w:tab/>
      </w:r>
      <w:r w:rsidRPr="008356C6">
        <w:rPr>
          <w:noProof/>
        </w:rPr>
        <w:t>Temei juridic material</w:t>
      </w:r>
    </w:p>
    <w:p w:rsidR="00996C46" w:rsidRPr="008356C6" w:rsidRDefault="00996C46" w:rsidP="00991DDA">
      <w:pPr>
        <w:pStyle w:val="ManualHeading3"/>
        <w:rPr>
          <w:noProof/>
        </w:rPr>
      </w:pPr>
      <w:r>
        <w:rPr>
          <w:noProof/>
        </w:rPr>
        <w:t>6.2.1.</w:t>
      </w:r>
      <w:r>
        <w:rPr>
          <w:noProof/>
        </w:rPr>
        <w:tab/>
      </w:r>
      <w:r w:rsidRPr="008356C6">
        <w:rPr>
          <w:noProof/>
        </w:rPr>
        <w:t>Principii</w:t>
      </w:r>
    </w:p>
    <w:p w:rsidR="00984E3D" w:rsidRPr="008356C6" w:rsidRDefault="00984E3D" w:rsidP="00984E3D">
      <w:pPr>
        <w:rPr>
          <w:noProof/>
        </w:rPr>
      </w:pPr>
      <w:r w:rsidRPr="008356C6">
        <w:rPr>
          <w:noProof/>
        </w:rPr>
        <w:t xml:space="preserve">Temeiul juridic material al unei decizii adoptate în temeiul articolului </w:t>
      </w:r>
      <w:r w:rsidRPr="00DC27B2">
        <w:rPr>
          <w:noProof/>
        </w:rPr>
        <w:t>218</w:t>
      </w:r>
      <w:r w:rsidRPr="008356C6">
        <w:rPr>
          <w:noProof/>
        </w:rPr>
        <w:t xml:space="preserve"> alineatul (</w:t>
      </w:r>
      <w:r w:rsidRPr="00DC27B2">
        <w:rPr>
          <w:noProof/>
        </w:rPr>
        <w:t>9</w:t>
      </w:r>
      <w:r w:rsidRPr="008356C6">
        <w:rPr>
          <w:noProof/>
        </w:rPr>
        <w:t xml:space="preserve">)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w:t>
      </w:r>
      <w:r w:rsidRPr="00DC27B2">
        <w:rPr>
          <w:noProof/>
        </w:rPr>
        <w:t>218</w:t>
      </w:r>
      <w:r w:rsidRPr="008356C6">
        <w:rPr>
          <w:noProof/>
        </w:rPr>
        <w:t xml:space="preserve"> alineatul (</w:t>
      </w:r>
      <w:r w:rsidRPr="00DC27B2">
        <w:rPr>
          <w:noProof/>
        </w:rPr>
        <w:t>9</w:t>
      </w:r>
      <w:r w:rsidRPr="008356C6">
        <w:rPr>
          <w:noProof/>
        </w:rPr>
        <w:t>) din TFUE trebuie să se întemeieze pe un singur temei juridic material, respectiv cel impus de obiectivul sau de elementul principal sau predominant.</w:t>
      </w:r>
    </w:p>
    <w:p w:rsidR="00996C46" w:rsidRPr="008356C6" w:rsidRDefault="00996C46" w:rsidP="00991DDA">
      <w:pPr>
        <w:pStyle w:val="ManualHeading3"/>
        <w:rPr>
          <w:noProof/>
        </w:rPr>
      </w:pPr>
      <w:r>
        <w:rPr>
          <w:noProof/>
        </w:rPr>
        <w:t>6.2.2.</w:t>
      </w:r>
      <w:r>
        <w:rPr>
          <w:noProof/>
        </w:rPr>
        <w:tab/>
      </w:r>
      <w:r w:rsidRPr="008356C6">
        <w:rPr>
          <w:noProof/>
        </w:rPr>
        <w:t>Aplicarea la cazul în discuție</w:t>
      </w:r>
    </w:p>
    <w:p w:rsidR="00923A0D" w:rsidRPr="008356C6" w:rsidRDefault="005C359E" w:rsidP="00923A0D">
      <w:pPr>
        <w:rPr>
          <w:noProof/>
          <w:color w:val="0000FF"/>
        </w:rPr>
      </w:pPr>
      <w:r w:rsidRPr="008356C6">
        <w:rPr>
          <w:noProof/>
        </w:rPr>
        <w:t>Deși obiectivul principal și conținutul actului avut în vedere se referă la transportul maritim, câteva dintre amendamentele avute în vedere se referă la aspecte de mediu.</w:t>
      </w:r>
      <w:r w:rsidRPr="008356C6">
        <w:rPr>
          <w:noProof/>
          <w:color w:val="000000"/>
        </w:rPr>
        <w:t xml:space="preserve"> </w:t>
      </w:r>
      <w:r w:rsidRPr="008356C6">
        <w:rPr>
          <w:noProof/>
        </w:rPr>
        <w:t xml:space="preserve">Prin urmare, temeiul juridic material al propunerii de decizie este articolul </w:t>
      </w:r>
      <w:r w:rsidRPr="00DC27B2">
        <w:rPr>
          <w:noProof/>
        </w:rPr>
        <w:t>100</w:t>
      </w:r>
      <w:r w:rsidRPr="008356C6">
        <w:rPr>
          <w:noProof/>
        </w:rPr>
        <w:t xml:space="preserve"> alineatul (</w:t>
      </w:r>
      <w:r w:rsidRPr="00DC27B2">
        <w:rPr>
          <w:noProof/>
        </w:rPr>
        <w:t>2</w:t>
      </w:r>
      <w:r w:rsidRPr="008356C6">
        <w:rPr>
          <w:noProof/>
        </w:rPr>
        <w:t>) din TFUE.</w:t>
      </w:r>
    </w:p>
    <w:p w:rsidR="00996C46" w:rsidRPr="008356C6" w:rsidRDefault="00996C46" w:rsidP="00991DDA">
      <w:pPr>
        <w:pStyle w:val="ManualHeading2"/>
        <w:rPr>
          <w:noProof/>
        </w:rPr>
      </w:pPr>
      <w:r>
        <w:rPr>
          <w:noProof/>
        </w:rPr>
        <w:t>6.3.</w:t>
      </w:r>
      <w:r>
        <w:rPr>
          <w:noProof/>
        </w:rPr>
        <w:tab/>
      </w:r>
      <w:r w:rsidRPr="008356C6">
        <w:rPr>
          <w:noProof/>
        </w:rPr>
        <w:t>Concluzie</w:t>
      </w:r>
    </w:p>
    <w:p w:rsidR="00984E3D" w:rsidRPr="008356C6" w:rsidRDefault="00984E3D" w:rsidP="00984E3D">
      <w:pPr>
        <w:rPr>
          <w:noProof/>
        </w:rPr>
      </w:pPr>
      <w:r w:rsidRPr="008356C6">
        <w:rPr>
          <w:noProof/>
        </w:rPr>
        <w:t xml:space="preserve">Temeiul juridic al deciziei propuse trebuie să fie articolul </w:t>
      </w:r>
      <w:r w:rsidRPr="00DC27B2">
        <w:rPr>
          <w:noProof/>
        </w:rPr>
        <w:t>100</w:t>
      </w:r>
      <w:r w:rsidRPr="008356C6">
        <w:rPr>
          <w:noProof/>
        </w:rPr>
        <w:t xml:space="preserve"> alineatul (</w:t>
      </w:r>
      <w:r w:rsidRPr="00DC27B2">
        <w:rPr>
          <w:noProof/>
        </w:rPr>
        <w:t>2</w:t>
      </w:r>
      <w:r w:rsidRPr="008356C6">
        <w:rPr>
          <w:noProof/>
        </w:rPr>
        <w:t xml:space="preserve">) din TFUE, coroborat cu articolul </w:t>
      </w:r>
      <w:r w:rsidRPr="00DC27B2">
        <w:rPr>
          <w:noProof/>
        </w:rPr>
        <w:t>218</w:t>
      </w:r>
      <w:r w:rsidRPr="008356C6">
        <w:rPr>
          <w:noProof/>
        </w:rPr>
        <w:t xml:space="preserve"> alineatul (</w:t>
      </w:r>
      <w:r w:rsidRPr="00DC27B2">
        <w:rPr>
          <w:noProof/>
        </w:rPr>
        <w:t>9</w:t>
      </w:r>
      <w:r w:rsidRPr="008356C6">
        <w:rPr>
          <w:noProof/>
        </w:rPr>
        <w:t>) din TFUE.</w:t>
      </w:r>
    </w:p>
    <w:p w:rsidR="00996C46" w:rsidRPr="008356C6" w:rsidRDefault="00996C46" w:rsidP="00991DDA">
      <w:pPr>
        <w:rPr>
          <w:noProof/>
        </w:rPr>
        <w:sectPr w:rsidR="00996C46" w:rsidRPr="008356C6" w:rsidSect="0027125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A500AF" w:rsidRDefault="00D06A37">
      <w:pPr>
        <w:pStyle w:val="Rfrenceinterinstitutionnelle"/>
        <w:rPr>
          <w:noProof/>
        </w:rPr>
      </w:pPr>
      <w:r>
        <w:rPr>
          <w:noProof/>
        </w:rPr>
        <w:lastRenderedPageBreak/>
        <w:t>2026/0073 (NLE)</w:t>
      </w:r>
    </w:p>
    <w:p w:rsidR="00B218CD" w:rsidRPr="008356C6" w:rsidRDefault="00810B07" w:rsidP="00810B07">
      <w:pPr>
        <w:pStyle w:val="Statut"/>
        <w:rPr>
          <w:noProof/>
        </w:rPr>
      </w:pPr>
      <w:r w:rsidRPr="008356C6">
        <w:rPr>
          <w:noProof/>
        </w:rPr>
        <w:t>Propunere de</w:t>
      </w:r>
    </w:p>
    <w:p w:rsidR="00B218CD" w:rsidRPr="008356C6" w:rsidRDefault="00810B07" w:rsidP="00810B07">
      <w:pPr>
        <w:pStyle w:val="Typedudocument"/>
        <w:rPr>
          <w:noProof/>
        </w:rPr>
      </w:pPr>
      <w:r w:rsidRPr="008356C6">
        <w:rPr>
          <w:noProof/>
        </w:rPr>
        <w:t>DECIZIE A CONSILIULUI</w:t>
      </w:r>
    </w:p>
    <w:p w:rsidR="00B218CD" w:rsidRPr="008356C6" w:rsidRDefault="00810B07" w:rsidP="00810B07">
      <w:pPr>
        <w:pStyle w:val="Titreobjet"/>
        <w:rPr>
          <w:noProof/>
        </w:rPr>
      </w:pPr>
      <w:r w:rsidRPr="008356C6">
        <w:rPr>
          <w:noProof/>
        </w:rPr>
        <w:t xml:space="preserve">privind poziția care urmează să fie adoptată în numele Uniunii Europene în cadrul Organizației Maritime Internaționale cu ocazia celei de a </w:t>
      </w:r>
      <w:r w:rsidRPr="00DC27B2">
        <w:rPr>
          <w:noProof/>
        </w:rPr>
        <w:t>84</w:t>
      </w:r>
      <w:r w:rsidRPr="008356C6">
        <w:rPr>
          <w:noProof/>
        </w:rPr>
        <w:t xml:space="preserve">-a sesiuni a Comitetului pentru protecția mediului marin în ceea ce privește adoptarea unor amendamente la Convenția internațională pentru prevenirea poluării de către nave (MARPOL) și cu ocazia celei de a </w:t>
      </w:r>
      <w:r w:rsidRPr="00DC27B2">
        <w:rPr>
          <w:noProof/>
        </w:rPr>
        <w:t>111</w:t>
      </w:r>
      <w:r w:rsidRPr="008356C6">
        <w:rPr>
          <w:noProof/>
        </w:rPr>
        <w:t xml:space="preserve">-a sesiuni a Comitetului pentru siguranță maritimă în ceea ce privește adoptarea unor amendamente la Convenția internațională pentru ocrotirea vieții omenești pe mare (SOLAS) din </w:t>
      </w:r>
      <w:r w:rsidRPr="00DC27B2">
        <w:rPr>
          <w:noProof/>
        </w:rPr>
        <w:t>1974</w:t>
      </w:r>
      <w:r w:rsidRPr="008356C6">
        <w:rPr>
          <w:noProof/>
        </w:rPr>
        <w:t xml:space="preserve">, la Codul internațional din </w:t>
      </w:r>
      <w:r w:rsidRPr="00DC27B2">
        <w:rPr>
          <w:noProof/>
        </w:rPr>
        <w:t>1994</w:t>
      </w:r>
      <w:r w:rsidRPr="008356C6">
        <w:rPr>
          <w:noProof/>
        </w:rPr>
        <w:t xml:space="preserve"> pentru siguranța navelor de mare viteză (Codul HSC din </w:t>
      </w:r>
      <w:r w:rsidRPr="00DC27B2">
        <w:rPr>
          <w:noProof/>
        </w:rPr>
        <w:t>1994</w:t>
      </w:r>
      <w:r w:rsidRPr="008356C6">
        <w:rPr>
          <w:noProof/>
        </w:rPr>
        <w:t xml:space="preserve">), la Codul internațional din </w:t>
      </w:r>
      <w:r w:rsidRPr="00DC27B2">
        <w:rPr>
          <w:noProof/>
        </w:rPr>
        <w:t>2000</w:t>
      </w:r>
      <w:r w:rsidRPr="008356C6">
        <w:rPr>
          <w:noProof/>
        </w:rPr>
        <w:t xml:space="preserve"> pentru siguranța navelor de mare viteză (Codul HSC din </w:t>
      </w:r>
      <w:r w:rsidRPr="00DC27B2">
        <w:rPr>
          <w:noProof/>
        </w:rPr>
        <w:t>2000</w:t>
      </w:r>
      <w:r w:rsidRPr="008356C6">
        <w:rPr>
          <w:noProof/>
        </w:rPr>
        <w:t xml:space="preserve">), la Codul internațional din </w:t>
      </w:r>
      <w:r w:rsidRPr="00DC27B2">
        <w:rPr>
          <w:noProof/>
        </w:rPr>
        <w:t>2011</w:t>
      </w:r>
      <w:r w:rsidRPr="008356C6">
        <w:rPr>
          <w:noProof/>
        </w:rPr>
        <w:t xml:space="preserve"> privind programul intensificat de inspecții efectuate cu ocazia inspecțiilor la vrachiere și petroliere (Codul ESP din </w:t>
      </w:r>
      <w:r w:rsidRPr="00DC27B2">
        <w:rPr>
          <w:noProof/>
        </w:rPr>
        <w:t>2011</w:t>
      </w:r>
      <w:r w:rsidRPr="008356C6">
        <w:rPr>
          <w:noProof/>
        </w:rPr>
        <w:t xml:space="preserve">), la Codul internațional al mijloacelor de salvare (Codul LSA) și la Protocolul din </w:t>
      </w:r>
      <w:r w:rsidRPr="00DC27B2">
        <w:rPr>
          <w:noProof/>
        </w:rPr>
        <w:t>1988</w:t>
      </w:r>
      <w:r w:rsidRPr="008356C6">
        <w:rPr>
          <w:noProof/>
        </w:rPr>
        <w:t xml:space="preserve"> referitor la Convenția internațională din </w:t>
      </w:r>
      <w:r w:rsidRPr="00DC27B2">
        <w:rPr>
          <w:noProof/>
        </w:rPr>
        <w:t>1966</w:t>
      </w:r>
      <w:r w:rsidRPr="008356C6">
        <w:rPr>
          <w:noProof/>
        </w:rPr>
        <w:t xml:space="preserve"> privind liniile de încărcare (Protocolul din </w:t>
      </w:r>
      <w:r w:rsidRPr="00DC27B2">
        <w:rPr>
          <w:noProof/>
        </w:rPr>
        <w:t>1988</w:t>
      </w:r>
      <w:r w:rsidRPr="008356C6">
        <w:rPr>
          <w:noProof/>
        </w:rPr>
        <w:t xml:space="preserve"> privind liniile de încărcare)</w:t>
      </w:r>
    </w:p>
    <w:p w:rsidR="00996C46" w:rsidRPr="008356C6" w:rsidRDefault="00996C46" w:rsidP="00991DDA">
      <w:pPr>
        <w:pStyle w:val="Institutionquiagit"/>
        <w:rPr>
          <w:noProof/>
        </w:rPr>
      </w:pPr>
      <w:r w:rsidRPr="008356C6">
        <w:rPr>
          <w:noProof/>
        </w:rPr>
        <w:t>CONSILIUL UNIUNII EUROPENE,</w:t>
      </w:r>
    </w:p>
    <w:p w:rsidR="00996C46" w:rsidRPr="008356C6" w:rsidRDefault="00996C46" w:rsidP="00991DDA">
      <w:pPr>
        <w:rPr>
          <w:noProof/>
        </w:rPr>
      </w:pPr>
      <w:r w:rsidRPr="008356C6">
        <w:rPr>
          <w:noProof/>
        </w:rPr>
        <w:t xml:space="preserve">având în vedere Tratatul privind funcționarea Uniunii Europene, în special articolul </w:t>
      </w:r>
      <w:r w:rsidRPr="00DC27B2">
        <w:rPr>
          <w:noProof/>
        </w:rPr>
        <w:t>100</w:t>
      </w:r>
      <w:r w:rsidRPr="008356C6">
        <w:rPr>
          <w:noProof/>
        </w:rPr>
        <w:t xml:space="preserve"> alineatul (</w:t>
      </w:r>
      <w:r w:rsidRPr="00DC27B2">
        <w:rPr>
          <w:noProof/>
        </w:rPr>
        <w:t>2</w:t>
      </w:r>
      <w:r w:rsidRPr="008356C6">
        <w:rPr>
          <w:noProof/>
        </w:rPr>
        <w:t xml:space="preserve">), coroborat cu articolul </w:t>
      </w:r>
      <w:r w:rsidRPr="00DC27B2">
        <w:rPr>
          <w:noProof/>
        </w:rPr>
        <w:t>218</w:t>
      </w:r>
      <w:r w:rsidRPr="008356C6">
        <w:rPr>
          <w:noProof/>
        </w:rPr>
        <w:t xml:space="preserve"> alineatul (</w:t>
      </w:r>
      <w:r w:rsidRPr="00DC27B2">
        <w:rPr>
          <w:noProof/>
        </w:rPr>
        <w:t>9</w:t>
      </w:r>
      <w:r w:rsidRPr="008356C6">
        <w:rPr>
          <w:noProof/>
        </w:rPr>
        <w:t>),</w:t>
      </w:r>
    </w:p>
    <w:p w:rsidR="002D4C70" w:rsidRPr="008356C6" w:rsidRDefault="00996C46" w:rsidP="00991DDA">
      <w:pPr>
        <w:rPr>
          <w:noProof/>
        </w:rPr>
      </w:pPr>
      <w:r w:rsidRPr="008356C6">
        <w:rPr>
          <w:noProof/>
        </w:rPr>
        <w:t xml:space="preserve">având în vedere propunerea Comisiei Europene, </w:t>
      </w:r>
    </w:p>
    <w:p w:rsidR="00996C46" w:rsidRPr="008356C6" w:rsidRDefault="22E48372" w:rsidP="00991DDA">
      <w:pPr>
        <w:rPr>
          <w:noProof/>
        </w:rPr>
      </w:pPr>
      <w:r w:rsidRPr="008356C6">
        <w:rPr>
          <w:noProof/>
        </w:rPr>
        <w:t>întrucât:</w:t>
      </w:r>
    </w:p>
    <w:p w:rsidR="00D81A07" w:rsidRPr="008356C6" w:rsidRDefault="00D81A07" w:rsidP="00D72603">
      <w:pPr>
        <w:pStyle w:val="ManualConsidrant"/>
        <w:rPr>
          <w:noProof/>
        </w:rPr>
      </w:pPr>
      <w:r>
        <w:rPr>
          <w:noProof/>
        </w:rPr>
        <w:t>(1)</w:t>
      </w:r>
      <w:r>
        <w:rPr>
          <w:noProof/>
        </w:rPr>
        <w:tab/>
      </w:r>
      <w:r w:rsidRPr="008356C6">
        <w:rPr>
          <w:noProof/>
        </w:rPr>
        <w:t xml:space="preserve">Convenția privind Organizația Maritimă Internațională („OMI”) a intrat în vigoare la </w:t>
      </w:r>
      <w:r w:rsidRPr="00DC27B2">
        <w:rPr>
          <w:noProof/>
        </w:rPr>
        <w:t>17</w:t>
      </w:r>
      <w:r w:rsidRPr="008356C6">
        <w:rPr>
          <w:noProof/>
        </w:rPr>
        <w:t> martie </w:t>
      </w:r>
      <w:r w:rsidRPr="00DC27B2">
        <w:rPr>
          <w:noProof/>
        </w:rPr>
        <w:t>1958</w:t>
      </w:r>
      <w:r w:rsidRPr="008356C6">
        <w:rPr>
          <w:noProof/>
        </w:rPr>
        <w:t xml:space="preserve">. </w:t>
      </w:r>
    </w:p>
    <w:p w:rsidR="00D81A07" w:rsidRPr="008356C6" w:rsidRDefault="3ABE34CB" w:rsidP="0055690C">
      <w:pPr>
        <w:pStyle w:val="ManualConsidrant"/>
        <w:rPr>
          <w:noProof/>
        </w:rPr>
      </w:pPr>
      <w:r>
        <w:rPr>
          <w:noProof/>
        </w:rPr>
        <w:t>(2)</w:t>
      </w:r>
      <w:r>
        <w:rPr>
          <w:noProof/>
        </w:rPr>
        <w:tab/>
      </w:r>
      <w:r w:rsidRPr="008356C6">
        <w:rPr>
          <w:noProof/>
        </w:rPr>
        <w:t>OMI este agenția specializată a Organizației Națiunilor Unite responsabilă cu siguranța și securitatea transportului maritim și cu prevenirea poluării marine și atmosferice de către nave. Toate statele membre ale Uniunii sunt membre ale OMI. Uniunea nu este membră a OMI.</w:t>
      </w:r>
    </w:p>
    <w:p w:rsidR="00400C9D" w:rsidRPr="008356C6" w:rsidRDefault="35547F42" w:rsidP="00400C9D">
      <w:pPr>
        <w:pStyle w:val="ManualConsidrant"/>
        <w:rPr>
          <w:noProof/>
        </w:rPr>
      </w:pPr>
      <w:r>
        <w:rPr>
          <w:noProof/>
        </w:rPr>
        <w:t>(3)</w:t>
      </w:r>
      <w:r>
        <w:rPr>
          <w:noProof/>
        </w:rPr>
        <w:tab/>
      </w:r>
      <w:r w:rsidRPr="008356C6">
        <w:rPr>
          <w:noProof/>
        </w:rPr>
        <w:t xml:space="preserve">În temeiul articolului </w:t>
      </w:r>
      <w:r w:rsidRPr="00DC27B2">
        <w:rPr>
          <w:noProof/>
        </w:rPr>
        <w:t>38</w:t>
      </w:r>
      <w:r w:rsidRPr="008356C6">
        <w:rPr>
          <w:noProof/>
        </w:rPr>
        <w:t xml:space="preserve"> litera (a) din Convenția privind OMI, Comitetul pentru protecția mediului marin (MEPC) îndeplinește funcțiile care îi sunt sau i-ar putea fi încredințate de OMI prin intermediul sau în baza unor convenții internaționale pentru prevenirea și controlul poluării maritime de către nave, în special în ceea ce privește adoptarea și modificarea regulilor sau a altor dispoziții. În cadrul celei de a </w:t>
      </w:r>
      <w:r w:rsidRPr="00DC27B2">
        <w:rPr>
          <w:noProof/>
        </w:rPr>
        <w:t>84</w:t>
      </w:r>
      <w:r w:rsidRPr="008356C6">
        <w:rPr>
          <w:noProof/>
        </w:rPr>
        <w:t xml:space="preserve">-a sesiuni, MEPC va adopta o serie de amendamente la MARPOL, în conformitate cu articolul </w:t>
      </w:r>
      <w:r w:rsidRPr="00DC27B2">
        <w:rPr>
          <w:noProof/>
        </w:rPr>
        <w:t>16</w:t>
      </w:r>
      <w:r w:rsidRPr="008356C6">
        <w:rPr>
          <w:noProof/>
        </w:rPr>
        <w:t xml:space="preserve"> alineatul (</w:t>
      </w:r>
      <w:r w:rsidRPr="00DC27B2">
        <w:rPr>
          <w:noProof/>
        </w:rPr>
        <w:t>2</w:t>
      </w:r>
      <w:r w:rsidRPr="008356C6">
        <w:rPr>
          <w:noProof/>
        </w:rPr>
        <w:t xml:space="preserve">) literele (b), (c) și (d). </w:t>
      </w:r>
    </w:p>
    <w:p w:rsidR="004F05C1" w:rsidRPr="008356C6" w:rsidRDefault="004F05C1" w:rsidP="004F05C1">
      <w:pPr>
        <w:pStyle w:val="ManualConsidrant"/>
        <w:rPr>
          <w:noProof/>
        </w:rPr>
      </w:pPr>
      <w:r>
        <w:rPr>
          <w:noProof/>
        </w:rPr>
        <w:t>(4)</w:t>
      </w:r>
      <w:r>
        <w:rPr>
          <w:noProof/>
        </w:rPr>
        <w:tab/>
      </w:r>
      <w:r w:rsidRPr="008356C6">
        <w:rPr>
          <w:noProof/>
        </w:rPr>
        <w:t xml:space="preserve">În conformitate cu articolul </w:t>
      </w:r>
      <w:r w:rsidRPr="00DC27B2">
        <w:rPr>
          <w:noProof/>
        </w:rPr>
        <w:t>28</w:t>
      </w:r>
      <w:r w:rsidRPr="008356C6">
        <w:rPr>
          <w:noProof/>
        </w:rPr>
        <w:t xml:space="preserve"> litera (b) din Convenția privind OMI, Comitetul pentru siguranță maritimă prevede mecanismele necesare pentru îndeplinirea oricăror sarcini care i-au fost atribuite conform convenției respective, de către Adunarea OMI sau de către Consiliul OMI, sau a oricăror sarcini în cadrul domeniului de aplicare al articolului respectiv care pot fi atribuite Comitetului pentru siguranță maritimă în temeiul oricărui alt instrument internațional și care sunt acceptate de către OMI. În cadrul celei de a </w:t>
      </w:r>
      <w:r w:rsidRPr="00DC27B2">
        <w:rPr>
          <w:noProof/>
        </w:rPr>
        <w:t>111</w:t>
      </w:r>
      <w:r w:rsidRPr="008356C6">
        <w:rPr>
          <w:noProof/>
        </w:rPr>
        <w:t xml:space="preserve">-a sesiuni, MSC va adopta amendamente în conformitate cu </w:t>
      </w:r>
      <w:r w:rsidRPr="008356C6">
        <w:rPr>
          <w:noProof/>
        </w:rPr>
        <w:lastRenderedPageBreak/>
        <w:t>articolul VIII litera (b) punctul (iv) din Convenția SOLAS și cu articolul VI alineatul (</w:t>
      </w:r>
      <w:r w:rsidRPr="00DC27B2">
        <w:rPr>
          <w:noProof/>
        </w:rPr>
        <w:t>2</w:t>
      </w:r>
      <w:r w:rsidRPr="008356C6">
        <w:rPr>
          <w:noProof/>
        </w:rPr>
        <w:t xml:space="preserve">) litera (d) din Protocolul din </w:t>
      </w:r>
      <w:r w:rsidRPr="00DC27B2">
        <w:rPr>
          <w:noProof/>
        </w:rPr>
        <w:t>1988</w:t>
      </w:r>
      <w:r w:rsidRPr="008356C6">
        <w:rPr>
          <w:noProof/>
        </w:rPr>
        <w:t xml:space="preserve"> privind liniile de încărcare.</w:t>
      </w:r>
    </w:p>
    <w:p w:rsidR="00B9192D" w:rsidRPr="008356C6" w:rsidRDefault="00B9192D" w:rsidP="00D72603">
      <w:pPr>
        <w:pStyle w:val="ManualConsidrant"/>
        <w:rPr>
          <w:noProof/>
        </w:rPr>
      </w:pPr>
      <w:r>
        <w:rPr>
          <w:noProof/>
        </w:rPr>
        <w:t>(5)</w:t>
      </w:r>
      <w:r>
        <w:rPr>
          <w:noProof/>
        </w:rPr>
        <w:tab/>
      </w:r>
      <w:r w:rsidRPr="008356C6">
        <w:rPr>
          <w:noProof/>
        </w:rPr>
        <w:t xml:space="preserve">Comitetul pentru protecția mediului marin al OMI urmează să adopte, în cadrul celei de a </w:t>
      </w:r>
      <w:r w:rsidRPr="00DC27B2">
        <w:rPr>
          <w:noProof/>
        </w:rPr>
        <w:t>84</w:t>
      </w:r>
      <w:r w:rsidRPr="008356C6">
        <w:rPr>
          <w:noProof/>
        </w:rPr>
        <w:t xml:space="preserve">-a sesiuni extraordinare din perioada </w:t>
      </w:r>
      <w:r w:rsidRPr="00DC27B2">
        <w:rPr>
          <w:noProof/>
        </w:rPr>
        <w:t>27</w:t>
      </w:r>
      <w:r w:rsidRPr="008356C6">
        <w:rPr>
          <w:noProof/>
        </w:rPr>
        <w:t xml:space="preserve"> aprilie - </w:t>
      </w:r>
      <w:r w:rsidRPr="00DC27B2">
        <w:rPr>
          <w:noProof/>
        </w:rPr>
        <w:t>1</w:t>
      </w:r>
      <w:r w:rsidRPr="008356C6">
        <w:rPr>
          <w:noProof/>
        </w:rPr>
        <w:t xml:space="preserve"> mai </w:t>
      </w:r>
      <w:r w:rsidRPr="00DC27B2">
        <w:rPr>
          <w:noProof/>
        </w:rPr>
        <w:t>2026</w:t>
      </w:r>
      <w:r w:rsidRPr="008356C6">
        <w:rPr>
          <w:noProof/>
        </w:rPr>
        <w:t>, amendamente la anexa VI la Convenția internațională pentru prevenirea poluării de către nave (MARPOL)</w:t>
      </w:r>
      <w:bookmarkStart w:id="13" w:name="_Hlk153445366"/>
      <w:r w:rsidRPr="008356C6">
        <w:rPr>
          <w:noProof/>
        </w:rPr>
        <w:t xml:space="preserve"> referitoare la desemnarea Atlanticului de Nord-Est ca nouă zonă de control al emisiilor (regulile </w:t>
      </w:r>
      <w:r w:rsidRPr="00DC27B2">
        <w:rPr>
          <w:noProof/>
        </w:rPr>
        <w:t>13</w:t>
      </w:r>
      <w:r w:rsidRPr="008356C6">
        <w:rPr>
          <w:noProof/>
        </w:rPr>
        <w:t xml:space="preserve"> și </w:t>
      </w:r>
      <w:r w:rsidRPr="00DC27B2">
        <w:rPr>
          <w:noProof/>
        </w:rPr>
        <w:t>14</w:t>
      </w:r>
      <w:r w:rsidRPr="008356C6">
        <w:rPr>
          <w:noProof/>
        </w:rPr>
        <w:t xml:space="preserve"> și apendicele VII), la accesibilitatea bazei de date a OMI privind consumul de păcură al navelor (DCS a OMI) și la clauza de revizuire a măsurii pe termen scurt de reducere a GES (regulile </w:t>
      </w:r>
      <w:r w:rsidRPr="00DC27B2">
        <w:rPr>
          <w:noProof/>
        </w:rPr>
        <w:t>20</w:t>
      </w:r>
      <w:r w:rsidRPr="008356C6">
        <w:rPr>
          <w:noProof/>
        </w:rPr>
        <w:t xml:space="preserve">, </w:t>
      </w:r>
      <w:r w:rsidRPr="00DC27B2">
        <w:rPr>
          <w:noProof/>
        </w:rPr>
        <w:t>25</w:t>
      </w:r>
      <w:r w:rsidRPr="008356C6">
        <w:rPr>
          <w:noProof/>
        </w:rPr>
        <w:t xml:space="preserve">, </w:t>
      </w:r>
      <w:r w:rsidRPr="00DC27B2">
        <w:rPr>
          <w:noProof/>
        </w:rPr>
        <w:t>27</w:t>
      </w:r>
      <w:r w:rsidRPr="008356C6">
        <w:rPr>
          <w:noProof/>
        </w:rPr>
        <w:t xml:space="preserve"> și </w:t>
      </w:r>
      <w:r w:rsidRPr="00DC27B2">
        <w:rPr>
          <w:noProof/>
        </w:rPr>
        <w:t>28</w:t>
      </w:r>
      <w:r w:rsidRPr="008356C6">
        <w:rPr>
          <w:noProof/>
        </w:rPr>
        <w:t>).</w:t>
      </w:r>
    </w:p>
    <w:p w:rsidR="005C359E" w:rsidRPr="008356C6" w:rsidRDefault="005C359E" w:rsidP="0089299A">
      <w:pPr>
        <w:pStyle w:val="ManualConsidrant"/>
        <w:rPr>
          <w:noProof/>
        </w:rPr>
      </w:pPr>
      <w:r>
        <w:rPr>
          <w:noProof/>
        </w:rPr>
        <w:t>(6)</w:t>
      </w:r>
      <w:r>
        <w:rPr>
          <w:noProof/>
        </w:rPr>
        <w:tab/>
      </w:r>
      <w:r w:rsidRPr="008356C6">
        <w:rPr>
          <w:noProof/>
        </w:rPr>
        <w:t xml:space="preserve">În cadrul celei de a </w:t>
      </w:r>
      <w:r w:rsidRPr="00DC27B2">
        <w:rPr>
          <w:noProof/>
        </w:rPr>
        <w:t>111</w:t>
      </w:r>
      <w:r w:rsidRPr="008356C6">
        <w:rPr>
          <w:noProof/>
        </w:rPr>
        <w:t xml:space="preserve">-a sesiuni, care va avea loc în perioada </w:t>
      </w:r>
      <w:r w:rsidRPr="00DC27B2">
        <w:rPr>
          <w:noProof/>
        </w:rPr>
        <w:t>13</w:t>
      </w:r>
      <w:r w:rsidRPr="008356C6">
        <w:rPr>
          <w:noProof/>
        </w:rPr>
        <w:t>-</w:t>
      </w:r>
      <w:r w:rsidRPr="00DC27B2">
        <w:rPr>
          <w:noProof/>
        </w:rPr>
        <w:t>22</w:t>
      </w:r>
      <w:r w:rsidRPr="008356C6">
        <w:rPr>
          <w:noProof/>
        </w:rPr>
        <w:t xml:space="preserve"> mai </w:t>
      </w:r>
      <w:r w:rsidRPr="00DC27B2">
        <w:rPr>
          <w:noProof/>
        </w:rPr>
        <w:t>2026</w:t>
      </w:r>
      <w:r w:rsidRPr="008356C6">
        <w:rPr>
          <w:noProof/>
        </w:rPr>
        <w:t xml:space="preserve">, Comitetul pentru siguranță maritimă al OMI urmează să adopte amendamente la capitolele IV și V și la apendicele (Certificate) la Convenția internațională pentru ocrotirea vieții omenești pe mare (SOLAS) din </w:t>
      </w:r>
      <w:r w:rsidRPr="00DC27B2">
        <w:rPr>
          <w:noProof/>
        </w:rPr>
        <w:t>1974</w:t>
      </w:r>
      <w:r w:rsidRPr="008356C6">
        <w:rPr>
          <w:noProof/>
        </w:rPr>
        <w:t xml:space="preserve">, la Codul internațional pentru siguranța navelor de mare viteză din </w:t>
      </w:r>
      <w:r w:rsidRPr="00DC27B2">
        <w:rPr>
          <w:noProof/>
        </w:rPr>
        <w:t>1994</w:t>
      </w:r>
      <w:r w:rsidRPr="008356C6">
        <w:rPr>
          <w:noProof/>
        </w:rPr>
        <w:t xml:space="preserve"> (Codul HSC din </w:t>
      </w:r>
      <w:r w:rsidRPr="00DC27B2">
        <w:rPr>
          <w:noProof/>
        </w:rPr>
        <w:t>1994</w:t>
      </w:r>
      <w:r w:rsidRPr="008356C6">
        <w:rPr>
          <w:noProof/>
        </w:rPr>
        <w:t xml:space="preserve">), la Codul internațional pentru siguranța navelor de mare viteză din </w:t>
      </w:r>
      <w:r w:rsidRPr="00DC27B2">
        <w:rPr>
          <w:noProof/>
        </w:rPr>
        <w:t>2000</w:t>
      </w:r>
      <w:r w:rsidRPr="008356C6">
        <w:rPr>
          <w:noProof/>
        </w:rPr>
        <w:t xml:space="preserve"> (Codul HSC din </w:t>
      </w:r>
      <w:r w:rsidRPr="00DC27B2">
        <w:rPr>
          <w:noProof/>
        </w:rPr>
        <w:t>2000</w:t>
      </w:r>
      <w:r w:rsidRPr="008356C6">
        <w:rPr>
          <w:noProof/>
        </w:rPr>
        <w:t xml:space="preserve">), la Codul internațional din </w:t>
      </w:r>
      <w:r w:rsidRPr="00DC27B2">
        <w:rPr>
          <w:noProof/>
        </w:rPr>
        <w:t>2011</w:t>
      </w:r>
      <w:r w:rsidRPr="008356C6">
        <w:rPr>
          <w:noProof/>
        </w:rPr>
        <w:t xml:space="preserve"> privind programul intensificat de inspecții efectuate cu ocazia inspecțiilor la vrachiere și petroliere (Codul ESP din </w:t>
      </w:r>
      <w:r w:rsidRPr="00DC27B2">
        <w:rPr>
          <w:noProof/>
        </w:rPr>
        <w:t>2011</w:t>
      </w:r>
      <w:r w:rsidRPr="008356C6">
        <w:rPr>
          <w:noProof/>
        </w:rPr>
        <w:t xml:space="preserve">), la Codul internațional al mijloacelor de salvare (Codul LSA) și la anexa B la Protocolul din </w:t>
      </w:r>
      <w:r w:rsidRPr="00DC27B2">
        <w:rPr>
          <w:noProof/>
        </w:rPr>
        <w:t>1988</w:t>
      </w:r>
      <w:r w:rsidRPr="008356C6">
        <w:rPr>
          <w:noProof/>
        </w:rPr>
        <w:t xml:space="preserve"> referitor la Convenția internațională din </w:t>
      </w:r>
      <w:r w:rsidRPr="00DC27B2">
        <w:rPr>
          <w:noProof/>
        </w:rPr>
        <w:t>1966</w:t>
      </w:r>
      <w:r w:rsidRPr="008356C6">
        <w:rPr>
          <w:noProof/>
        </w:rPr>
        <w:t xml:space="preserve"> privind liniile de încărcare (Protocolul din </w:t>
      </w:r>
      <w:r w:rsidRPr="00DC27B2">
        <w:rPr>
          <w:noProof/>
        </w:rPr>
        <w:t>1988</w:t>
      </w:r>
      <w:r w:rsidRPr="008356C6">
        <w:rPr>
          <w:noProof/>
        </w:rPr>
        <w:t xml:space="preserve"> privind liniile de încărcare).</w:t>
      </w:r>
    </w:p>
    <w:p w:rsidR="00923A0D" w:rsidRPr="008356C6" w:rsidRDefault="00923A0D" w:rsidP="00D72603">
      <w:pPr>
        <w:pStyle w:val="ManualConsidrant"/>
        <w:rPr>
          <w:noProof/>
        </w:rPr>
      </w:pPr>
      <w:r>
        <w:rPr>
          <w:noProof/>
        </w:rPr>
        <w:t>(7)</w:t>
      </w:r>
      <w:r>
        <w:rPr>
          <w:noProof/>
        </w:rPr>
        <w:tab/>
      </w:r>
      <w:r w:rsidRPr="008356C6">
        <w:rPr>
          <w:noProof/>
        </w:rPr>
        <w:t>Actele avute în vedere ale MEPC și MSC vor avea efecte juridice.</w:t>
      </w:r>
    </w:p>
    <w:bookmarkEnd w:id="13"/>
    <w:p w:rsidR="006D5741" w:rsidRPr="008356C6" w:rsidRDefault="006178B3">
      <w:pPr>
        <w:pStyle w:val="ManualConsidrant"/>
        <w:rPr>
          <w:noProof/>
        </w:rPr>
      </w:pPr>
      <w:r>
        <w:rPr>
          <w:noProof/>
        </w:rPr>
        <w:t>(8)</w:t>
      </w:r>
      <w:r>
        <w:rPr>
          <w:noProof/>
        </w:rPr>
        <w:tab/>
      </w:r>
      <w:r w:rsidRPr="008356C6">
        <w:rPr>
          <w:noProof/>
        </w:rPr>
        <w:tab/>
        <w:t xml:space="preserve">Prin urmare, este necesar să se stabilească poziția care trebuie adoptată în numele Uniunii în cadrul MEPC </w:t>
      </w:r>
      <w:r w:rsidRPr="00DC27B2">
        <w:rPr>
          <w:noProof/>
        </w:rPr>
        <w:t>84</w:t>
      </w:r>
      <w:r w:rsidRPr="008356C6">
        <w:rPr>
          <w:noProof/>
        </w:rPr>
        <w:t xml:space="preserve">, întrucât actele avute în vedere pot influența în mod semnificativ conținutul dreptului Uniunii, și anume Directiva (UE) </w:t>
      </w:r>
      <w:r w:rsidRPr="00DC27B2">
        <w:rPr>
          <w:noProof/>
        </w:rPr>
        <w:t>2016</w:t>
      </w:r>
      <w:r w:rsidRPr="008356C6">
        <w:rPr>
          <w:noProof/>
        </w:rPr>
        <w:t>/</w:t>
      </w:r>
      <w:r w:rsidRPr="00DC27B2">
        <w:rPr>
          <w:noProof/>
        </w:rPr>
        <w:t>802</w:t>
      </w:r>
      <w:r w:rsidRPr="008356C6">
        <w:rPr>
          <w:noProof/>
        </w:rPr>
        <w:t xml:space="preserve"> privind reducerea conținutului de sulf din anumiți combustibili lichizi</w:t>
      </w:r>
      <w:r w:rsidRPr="008356C6">
        <w:rPr>
          <w:rStyle w:val="FootnoteReference"/>
          <w:noProof/>
        </w:rPr>
        <w:footnoteReference w:id="22"/>
      </w:r>
      <w:r w:rsidRPr="008356C6">
        <w:rPr>
          <w:noProof/>
        </w:rPr>
        <w:t xml:space="preserve">, Regulamentul (UE) </w:t>
      </w:r>
      <w:r w:rsidRPr="00DC27B2">
        <w:rPr>
          <w:noProof/>
        </w:rPr>
        <w:t>2015</w:t>
      </w:r>
      <w:r w:rsidRPr="008356C6">
        <w:rPr>
          <w:noProof/>
        </w:rPr>
        <w:t>/</w:t>
      </w:r>
      <w:r w:rsidRPr="00DC27B2">
        <w:rPr>
          <w:noProof/>
        </w:rPr>
        <w:t>757</w:t>
      </w:r>
      <w:r w:rsidRPr="008356C6">
        <w:rPr>
          <w:noProof/>
        </w:rPr>
        <w:t xml:space="preserve"> privind monitorizarea, raportarea și verificarea emisiilor de dioxid de carbon generate de transportul maritim</w:t>
      </w:r>
      <w:r w:rsidRPr="008356C6">
        <w:rPr>
          <w:rStyle w:val="FootnoteReference"/>
          <w:noProof/>
        </w:rPr>
        <w:footnoteReference w:id="23"/>
      </w:r>
      <w:r w:rsidRPr="008356C6">
        <w:rPr>
          <w:noProof/>
        </w:rPr>
        <w:t xml:space="preserve">, Directiva (UE) </w:t>
      </w:r>
      <w:r w:rsidRPr="00DC27B2">
        <w:rPr>
          <w:noProof/>
        </w:rPr>
        <w:t>2023</w:t>
      </w:r>
      <w:r w:rsidRPr="008356C6">
        <w:rPr>
          <w:noProof/>
        </w:rPr>
        <w:t>/</w:t>
      </w:r>
      <w:r w:rsidRPr="00DC27B2">
        <w:rPr>
          <w:noProof/>
        </w:rPr>
        <w:t>959</w:t>
      </w:r>
      <w:r w:rsidRPr="008356C6">
        <w:rPr>
          <w:noProof/>
        </w:rPr>
        <w:t xml:space="preserve"> de modificare a Directivei </w:t>
      </w:r>
      <w:r w:rsidRPr="00DC27B2">
        <w:rPr>
          <w:noProof/>
        </w:rPr>
        <w:t>2003</w:t>
      </w:r>
      <w:r w:rsidRPr="008356C6">
        <w:rPr>
          <w:noProof/>
        </w:rPr>
        <w:t>/</w:t>
      </w:r>
      <w:r w:rsidRPr="00DC27B2">
        <w:rPr>
          <w:noProof/>
        </w:rPr>
        <w:t>87</w:t>
      </w:r>
      <w:r w:rsidRPr="008356C6">
        <w:rPr>
          <w:noProof/>
        </w:rPr>
        <w:t xml:space="preserve">/CE de stabilire a unui sistem de comercializare a cotelor de emisie de gaze cu efect de seră în cadrul Uniunii și a Deciziei (UE) </w:t>
      </w:r>
      <w:r w:rsidRPr="00DC27B2">
        <w:rPr>
          <w:noProof/>
        </w:rPr>
        <w:t>2015</w:t>
      </w:r>
      <w:r w:rsidRPr="008356C6">
        <w:rPr>
          <w:noProof/>
        </w:rPr>
        <w:t>/</w:t>
      </w:r>
      <w:r w:rsidRPr="00DC27B2">
        <w:rPr>
          <w:noProof/>
        </w:rPr>
        <w:t>1814</w:t>
      </w:r>
      <w:r w:rsidRPr="008356C6">
        <w:rPr>
          <w:noProof/>
        </w:rPr>
        <w:t xml:space="preserve"> privind înființarea și funcționarea unei rezerve pentru stabilitatea pieței aferentă schemei UE de comercializare a certificatelor de emisii de gaze cu efect de seră</w:t>
      </w:r>
      <w:r w:rsidRPr="008356C6">
        <w:rPr>
          <w:rStyle w:val="FootnoteReference"/>
          <w:noProof/>
        </w:rPr>
        <w:footnoteReference w:id="24"/>
      </w:r>
      <w:r w:rsidRPr="008356C6">
        <w:rPr>
          <w:noProof/>
        </w:rPr>
        <w:t xml:space="preserve">, Regulamentul (UE) </w:t>
      </w:r>
      <w:r w:rsidRPr="00DC27B2">
        <w:rPr>
          <w:noProof/>
        </w:rPr>
        <w:t>2023</w:t>
      </w:r>
      <w:r w:rsidRPr="008356C6">
        <w:rPr>
          <w:noProof/>
        </w:rPr>
        <w:t>/</w:t>
      </w:r>
      <w:r w:rsidRPr="00DC27B2">
        <w:rPr>
          <w:noProof/>
        </w:rPr>
        <w:t>1805</w:t>
      </w:r>
      <w:r w:rsidRPr="008356C6">
        <w:rPr>
          <w:noProof/>
        </w:rPr>
        <w:t xml:space="preserve"> privind utilizarea combustibililor din surse regenerabile și cu emisii scăzute de carbon în transportul maritim</w:t>
      </w:r>
      <w:r w:rsidRPr="008356C6">
        <w:rPr>
          <w:rStyle w:val="FootnoteReference"/>
          <w:noProof/>
        </w:rPr>
        <w:footnoteReference w:id="25"/>
      </w:r>
      <w:r w:rsidRPr="008356C6">
        <w:rPr>
          <w:noProof/>
        </w:rPr>
        <w:t>.</w:t>
      </w:r>
    </w:p>
    <w:p w:rsidR="00B277D2" w:rsidRPr="008356C6" w:rsidRDefault="5B5E6DB3" w:rsidP="24306BE2">
      <w:pPr>
        <w:pStyle w:val="ManualConsidrant"/>
        <w:rPr>
          <w:noProof/>
        </w:rPr>
      </w:pPr>
      <w:r>
        <w:rPr>
          <w:noProof/>
        </w:rPr>
        <w:t>(9)</w:t>
      </w:r>
      <w:r>
        <w:rPr>
          <w:noProof/>
        </w:rPr>
        <w:tab/>
      </w:r>
      <w:r w:rsidRPr="008356C6">
        <w:rPr>
          <w:noProof/>
        </w:rPr>
        <w:t>Prin urmare, Uniunea ar trebui să sprijine amendamentele aduse regulilor </w:t>
      </w:r>
      <w:r w:rsidRPr="00DC27B2">
        <w:rPr>
          <w:noProof/>
        </w:rPr>
        <w:t>13</w:t>
      </w:r>
      <w:r w:rsidRPr="008356C6">
        <w:rPr>
          <w:noProof/>
        </w:rPr>
        <w:t xml:space="preserve"> și </w:t>
      </w:r>
      <w:r w:rsidRPr="00DC27B2">
        <w:rPr>
          <w:noProof/>
        </w:rPr>
        <w:t>14</w:t>
      </w:r>
      <w:r w:rsidRPr="008356C6">
        <w:rPr>
          <w:noProof/>
        </w:rPr>
        <w:t xml:space="preserve"> și apendicelui VII la anexa VI la MARPOL, deoarece acestea vor contribui la prevenirea, reducerea și controlul emisiilor de poluanți atmosferici generate de nave, pentru a obține efecte benefice conexe pentru sănătate, mediu și economie. </w:t>
      </w:r>
    </w:p>
    <w:p w:rsidR="00B277D2" w:rsidRPr="008356C6" w:rsidRDefault="5B5E6DB3" w:rsidP="24306BE2">
      <w:pPr>
        <w:pStyle w:val="ManualConsidrant"/>
        <w:rPr>
          <w:noProof/>
        </w:rPr>
      </w:pPr>
      <w:r>
        <w:rPr>
          <w:noProof/>
        </w:rPr>
        <w:t>(10)</w:t>
      </w:r>
      <w:r>
        <w:rPr>
          <w:noProof/>
        </w:rPr>
        <w:tab/>
      </w:r>
      <w:r w:rsidRPr="008356C6">
        <w:rPr>
          <w:noProof/>
        </w:rPr>
        <w:t xml:space="preserve">Uniunea trebuie, de asemenea, să sprijine amendamentele la regula </w:t>
      </w:r>
      <w:r w:rsidRPr="00DC27B2">
        <w:rPr>
          <w:noProof/>
        </w:rPr>
        <w:t>27</w:t>
      </w:r>
      <w:r w:rsidRPr="008356C6">
        <w:rPr>
          <w:noProof/>
        </w:rPr>
        <w:t xml:space="preserve"> din anexa VI la MARPOL, deoarece acestea vor spori și mai mult accesibilitatea datelor din DCS a OMI, în scopul de a se asigura punerea în aplicare solidă a cadrului CII și de a se facilita revizuirea sa. </w:t>
      </w:r>
    </w:p>
    <w:p w:rsidR="00352615" w:rsidRPr="008356C6" w:rsidRDefault="0D1FD573" w:rsidP="24306BE2">
      <w:pPr>
        <w:pStyle w:val="ManualConsidrant"/>
        <w:rPr>
          <w:noProof/>
        </w:rPr>
      </w:pPr>
      <w:r>
        <w:rPr>
          <w:noProof/>
        </w:rPr>
        <w:lastRenderedPageBreak/>
        <w:t>(11)</w:t>
      </w:r>
      <w:r>
        <w:rPr>
          <w:noProof/>
        </w:rPr>
        <w:tab/>
      </w:r>
      <w:r w:rsidRPr="008356C6">
        <w:rPr>
          <w:noProof/>
        </w:rPr>
        <w:t xml:space="preserve">Uniunea trebuie să sprijine amendamentele aduse regulilor </w:t>
      </w:r>
      <w:r w:rsidRPr="00DC27B2">
        <w:rPr>
          <w:noProof/>
        </w:rPr>
        <w:t>20</w:t>
      </w:r>
      <w:r w:rsidRPr="008356C6">
        <w:rPr>
          <w:noProof/>
        </w:rPr>
        <w:t xml:space="preserve">, </w:t>
      </w:r>
      <w:r w:rsidRPr="00DC27B2">
        <w:rPr>
          <w:noProof/>
        </w:rPr>
        <w:t>25</w:t>
      </w:r>
      <w:r w:rsidRPr="008356C6">
        <w:rPr>
          <w:noProof/>
        </w:rPr>
        <w:t xml:space="preserve">, </w:t>
      </w:r>
      <w:r w:rsidRPr="00DC27B2">
        <w:rPr>
          <w:noProof/>
        </w:rPr>
        <w:t>27</w:t>
      </w:r>
      <w:r w:rsidRPr="008356C6">
        <w:rPr>
          <w:noProof/>
        </w:rPr>
        <w:t xml:space="preserve"> și </w:t>
      </w:r>
      <w:r w:rsidRPr="00DC27B2">
        <w:rPr>
          <w:noProof/>
        </w:rPr>
        <w:t>28</w:t>
      </w:r>
      <w:r w:rsidRPr="008356C6">
        <w:rPr>
          <w:noProof/>
        </w:rPr>
        <w:t xml:space="preserve"> din anexa VI la MARPOL deoarece acestea vin în urma adoptării Strategiei OMI din </w:t>
      </w:r>
      <w:r w:rsidRPr="00DC27B2">
        <w:rPr>
          <w:noProof/>
        </w:rPr>
        <w:t>2023</w:t>
      </w:r>
      <w:r w:rsidRPr="008356C6">
        <w:rPr>
          <w:noProof/>
        </w:rPr>
        <w:t xml:space="preserve"> referitoare la GES și a finalizării revizuirii măsurilor pe termen scurt de către OMI, permițând revizuirea ulterioară a acestor reguli. </w:t>
      </w:r>
    </w:p>
    <w:p w:rsidR="005C359E" w:rsidRPr="008356C6" w:rsidRDefault="005C359E" w:rsidP="24306BE2">
      <w:pPr>
        <w:pStyle w:val="ManualConsidrant"/>
        <w:rPr>
          <w:noProof/>
        </w:rPr>
      </w:pPr>
      <w:r>
        <w:rPr>
          <w:noProof/>
        </w:rPr>
        <w:t>(12)</w:t>
      </w:r>
      <w:r>
        <w:rPr>
          <w:noProof/>
        </w:rPr>
        <w:tab/>
      </w:r>
      <w:r w:rsidRPr="008356C6">
        <w:rPr>
          <w:noProof/>
        </w:rPr>
        <w:t xml:space="preserve">Este oportun să se stabilească poziția care urmează să fie adoptată în numele Uniunii în cadrul celei de a </w:t>
      </w:r>
      <w:r w:rsidRPr="00DC27B2">
        <w:rPr>
          <w:noProof/>
        </w:rPr>
        <w:t>111</w:t>
      </w:r>
      <w:r w:rsidRPr="008356C6">
        <w:rPr>
          <w:noProof/>
        </w:rPr>
        <w:t xml:space="preserve">-a sesiuni a MSC, întrucât actele preconizate au vocația de a influența în mod decisiv conținutul dreptului Uniunii, și anume Directiva </w:t>
      </w:r>
      <w:r w:rsidRPr="00DC27B2">
        <w:rPr>
          <w:noProof/>
        </w:rPr>
        <w:t>2009</w:t>
      </w:r>
      <w:r w:rsidRPr="008356C6">
        <w:rPr>
          <w:noProof/>
        </w:rPr>
        <w:t>/</w:t>
      </w:r>
      <w:r w:rsidRPr="00DC27B2">
        <w:rPr>
          <w:noProof/>
        </w:rPr>
        <w:t>45</w:t>
      </w:r>
      <w:r w:rsidRPr="008356C6">
        <w:rPr>
          <w:noProof/>
        </w:rPr>
        <w:t>/CE privind normele și standardele de siguranță pentru navele de pasageri</w:t>
      </w:r>
      <w:r w:rsidRPr="008356C6">
        <w:rPr>
          <w:rStyle w:val="FootnoteReference"/>
          <w:noProof/>
        </w:rPr>
        <w:footnoteReference w:id="26"/>
      </w:r>
      <w:r w:rsidRPr="008356C6">
        <w:rPr>
          <w:noProof/>
        </w:rPr>
        <w:t xml:space="preserve">, Directiva </w:t>
      </w:r>
      <w:r w:rsidRPr="00DC27B2">
        <w:rPr>
          <w:noProof/>
        </w:rPr>
        <w:t>2002</w:t>
      </w:r>
      <w:r w:rsidRPr="008356C6">
        <w:rPr>
          <w:noProof/>
        </w:rPr>
        <w:t>/</w:t>
      </w:r>
      <w:r w:rsidRPr="00DC27B2">
        <w:rPr>
          <w:noProof/>
        </w:rPr>
        <w:t>59</w:t>
      </w:r>
      <w:r w:rsidRPr="008356C6">
        <w:rPr>
          <w:noProof/>
        </w:rPr>
        <w:t>/CE de instituire a unui sistem comunitar de monitorizare și informare privind traficul navelor maritime</w:t>
      </w:r>
      <w:r w:rsidRPr="008356C6">
        <w:rPr>
          <w:rStyle w:val="FootnoteReference"/>
          <w:noProof/>
        </w:rPr>
        <w:footnoteReference w:id="27"/>
      </w:r>
      <w:r w:rsidRPr="008356C6">
        <w:rPr>
          <w:noProof/>
        </w:rPr>
        <w:t>, Regulamentul (UE) nr. </w:t>
      </w:r>
      <w:r w:rsidRPr="00DC27B2">
        <w:rPr>
          <w:noProof/>
        </w:rPr>
        <w:t>530</w:t>
      </w:r>
      <w:r w:rsidRPr="008356C6">
        <w:rPr>
          <w:noProof/>
        </w:rPr>
        <w:t>/</w:t>
      </w:r>
      <w:r w:rsidRPr="00DC27B2">
        <w:rPr>
          <w:noProof/>
        </w:rPr>
        <w:t>2012</w:t>
      </w:r>
      <w:r w:rsidRPr="008356C6">
        <w:rPr>
          <w:noProof/>
        </w:rPr>
        <w:t xml:space="preserve"> privind accelerarea introducerii cerințelor referitoare la coca dublă sau a unor standarde de proiectare echivalente pentru petrolierele cu cocă simplă</w:t>
      </w:r>
      <w:r w:rsidRPr="008356C6">
        <w:rPr>
          <w:rStyle w:val="FootnoteReference"/>
          <w:noProof/>
        </w:rPr>
        <w:footnoteReference w:id="28"/>
      </w:r>
      <w:r w:rsidRPr="008356C6">
        <w:rPr>
          <w:noProof/>
        </w:rPr>
        <w:t xml:space="preserve"> și Directiva </w:t>
      </w:r>
      <w:r w:rsidRPr="00DC27B2">
        <w:rPr>
          <w:noProof/>
        </w:rPr>
        <w:t>2014</w:t>
      </w:r>
      <w:r w:rsidRPr="008356C6">
        <w:rPr>
          <w:noProof/>
        </w:rPr>
        <w:t>/</w:t>
      </w:r>
      <w:r w:rsidRPr="00DC27B2">
        <w:rPr>
          <w:noProof/>
        </w:rPr>
        <w:t>90</w:t>
      </w:r>
      <w:r w:rsidRPr="008356C6">
        <w:rPr>
          <w:noProof/>
        </w:rPr>
        <w:t>/UE privind echipamentele maritime</w:t>
      </w:r>
      <w:r w:rsidRPr="008356C6">
        <w:rPr>
          <w:rStyle w:val="FootnoteReference"/>
          <w:noProof/>
        </w:rPr>
        <w:footnoteReference w:id="29"/>
      </w:r>
      <w:r w:rsidRPr="008356C6">
        <w:rPr>
          <w:noProof/>
        </w:rPr>
        <w:t>.</w:t>
      </w:r>
    </w:p>
    <w:p w:rsidR="00D72603" w:rsidRPr="008356C6" w:rsidRDefault="00D72603" w:rsidP="00F92FBC">
      <w:pPr>
        <w:pStyle w:val="ManualConsidrant"/>
        <w:rPr>
          <w:noProof/>
        </w:rPr>
      </w:pPr>
      <w:r>
        <w:rPr>
          <w:noProof/>
        </w:rPr>
        <w:t>(13)</w:t>
      </w:r>
      <w:r>
        <w:rPr>
          <w:noProof/>
        </w:rPr>
        <w:tab/>
      </w:r>
      <w:r w:rsidRPr="008356C6">
        <w:rPr>
          <w:noProof/>
        </w:rPr>
        <w:t xml:space="preserve">Prin urmare, Uniunea ar trebui să sprijine amendamentele la capitolele IV și V și la apendicele (Certificate) la SOLAS, la Codul HSC din </w:t>
      </w:r>
      <w:r w:rsidRPr="00DC27B2">
        <w:rPr>
          <w:noProof/>
        </w:rPr>
        <w:t>1994</w:t>
      </w:r>
      <w:r w:rsidRPr="008356C6">
        <w:rPr>
          <w:noProof/>
        </w:rPr>
        <w:t xml:space="preserve"> și la Codul HSC din </w:t>
      </w:r>
      <w:r w:rsidRPr="00DC27B2">
        <w:rPr>
          <w:noProof/>
        </w:rPr>
        <w:t>2000</w:t>
      </w:r>
      <w:r w:rsidRPr="008356C6">
        <w:rPr>
          <w:noProof/>
        </w:rPr>
        <w:t>, deoarece este mai eficient să se utilizeze canale dedicate pentru mesajul specific aplicației (ASM) al VDES, iar VDES are o capacitate suplimentară pentru schimbul mai multor date digitale și, prin urmare, ar putea răspunde creșterii viitoare a cererii de utilizare a datelor digitale în radiocomunicațiile maritime. În plus, schimbul de date digitale aduce numeroase beneficii nu numai pentru siguranță și conștientizare a situației, ci și pentru securitate, eficiența navigației, protecția mediului marin și reducerea sarcinii navigatorilor. VDES oferă o îmbunătățire semnificativă a beneficiilor obținute prin intermediul AIS și este considerat un factor determinant al navigației electronice. Capacitatea de a face schimb de ASM și de alte informații între nave și autoritățile de la țărm este îmbunătățită în mod semnificativ prin implementarea VDES. Uniunea ar trebui să sprijine în egală măsură aceste amendamente deoarece, prin introducerea unor noi servicii mobile de comunicații prin satelit recunoscute, trebuie să precizeze în mod clar cerința de diseminare a informațiilor privind siguranța maritimă și a informațiilor legate de căutare și salvare prin intermediul tuturor serviciilor mobile de comunicații prin satelit recunoscute și operaționale.</w:t>
      </w:r>
    </w:p>
    <w:p w:rsidR="00D72603" w:rsidRPr="008356C6" w:rsidRDefault="00D72603" w:rsidP="00D72603">
      <w:pPr>
        <w:pStyle w:val="ManualConsidrant"/>
        <w:rPr>
          <w:noProof/>
        </w:rPr>
      </w:pPr>
      <w:r>
        <w:rPr>
          <w:noProof/>
        </w:rPr>
        <w:t>(14)</w:t>
      </w:r>
      <w:r>
        <w:rPr>
          <w:noProof/>
        </w:rPr>
        <w:tab/>
      </w:r>
      <w:r w:rsidRPr="008356C6">
        <w:rPr>
          <w:noProof/>
        </w:rPr>
        <w:t xml:space="preserve">Uniunea ar trebui să sprijine amendamentele la Codul ESP </w:t>
      </w:r>
      <w:r w:rsidRPr="00DC27B2">
        <w:rPr>
          <w:noProof/>
        </w:rPr>
        <w:t>2011</w:t>
      </w:r>
      <w:r w:rsidRPr="008356C6">
        <w:rPr>
          <w:noProof/>
        </w:rPr>
        <w:t>, deoarece aceste tehnici oferă o mai mare eficiență, o mai mare flexibilitate și o mai mare fiabilitate în activitățile cotidiene de control și inspecție, fără a afecta rezultatul acestor controale.</w:t>
      </w:r>
    </w:p>
    <w:p w:rsidR="00D72603" w:rsidRPr="008356C6" w:rsidRDefault="00D72603" w:rsidP="00D72603">
      <w:pPr>
        <w:pStyle w:val="ManualConsidrant"/>
        <w:rPr>
          <w:noProof/>
        </w:rPr>
      </w:pPr>
      <w:r>
        <w:rPr>
          <w:noProof/>
        </w:rPr>
        <w:t>(15)</w:t>
      </w:r>
      <w:r>
        <w:rPr>
          <w:noProof/>
        </w:rPr>
        <w:tab/>
      </w:r>
      <w:r w:rsidRPr="008356C6">
        <w:rPr>
          <w:noProof/>
        </w:rPr>
        <w:t>Uniunea ar trebui să sprijine amendamentele la Codul LSA, care vor facilita siguranța vieții pe mare prin creșterea încrederii în funcționarea eficace și eficientă a bărcilor de salvare lansate la apă prin cădere liberă în cazul abandonării navei.</w:t>
      </w:r>
    </w:p>
    <w:p w:rsidR="00D72603" w:rsidRPr="008356C6" w:rsidRDefault="00D72603" w:rsidP="00D72603">
      <w:pPr>
        <w:pStyle w:val="ManualConsidrant"/>
        <w:rPr>
          <w:noProof/>
        </w:rPr>
      </w:pPr>
      <w:r>
        <w:rPr>
          <w:noProof/>
        </w:rPr>
        <w:t>(16)</w:t>
      </w:r>
      <w:r>
        <w:rPr>
          <w:noProof/>
        </w:rPr>
        <w:tab/>
      </w:r>
      <w:r w:rsidRPr="008356C6">
        <w:rPr>
          <w:noProof/>
        </w:rPr>
        <w:t xml:space="preserve">Uniunea ar trebui să sprijine amendamentele la Protocolul din </w:t>
      </w:r>
      <w:r w:rsidRPr="00DC27B2">
        <w:rPr>
          <w:noProof/>
        </w:rPr>
        <w:t>1988</w:t>
      </w:r>
      <w:r w:rsidRPr="008356C6">
        <w:rPr>
          <w:noProof/>
        </w:rPr>
        <w:t xml:space="preserve"> privind liniile de încărcare, deoarece instalarea unor balustrade cu trei gărzi pe structura punții poate spori în mod eficace protecția echipajului, poate reduce riscul de cădere peste bord și de rănire a echipajului și poate îmbunătăți siguranța navelor cu costuri economice minime.</w:t>
      </w:r>
    </w:p>
    <w:p w:rsidR="00AB3E6A" w:rsidRPr="008356C6" w:rsidRDefault="00AB3E6A" w:rsidP="00D72603">
      <w:pPr>
        <w:pStyle w:val="ManualConsidrant"/>
        <w:rPr>
          <w:noProof/>
        </w:rPr>
      </w:pPr>
      <w:r>
        <w:rPr>
          <w:noProof/>
        </w:rPr>
        <w:lastRenderedPageBreak/>
        <w:t>(17)</w:t>
      </w:r>
      <w:r>
        <w:rPr>
          <w:noProof/>
        </w:rPr>
        <w:tab/>
      </w:r>
      <w:r w:rsidRPr="008356C6">
        <w:rPr>
          <w:noProof/>
        </w:rPr>
        <w:t>Poziția Uniunii urmează să fie exprimată de statele membre ale Uniunii care sunt membre ale OMI, acționând împreună în interesul Uniunii Europene,</w:t>
      </w:r>
    </w:p>
    <w:p w:rsidR="00E80E10" w:rsidRPr="008356C6" w:rsidRDefault="00E80E10" w:rsidP="00693B9D">
      <w:pPr>
        <w:rPr>
          <w:noProof/>
        </w:rPr>
      </w:pPr>
    </w:p>
    <w:p w:rsidR="009833E7" w:rsidRPr="008356C6" w:rsidRDefault="00E80E10" w:rsidP="00693B9D">
      <w:pPr>
        <w:pStyle w:val="Formuledadoption"/>
        <w:rPr>
          <w:noProof/>
        </w:rPr>
      </w:pPr>
      <w:r w:rsidRPr="008356C6">
        <w:rPr>
          <w:noProof/>
        </w:rPr>
        <w:t xml:space="preserve">ADOPTĂ PREZENTA DECIZIE: </w:t>
      </w:r>
    </w:p>
    <w:p w:rsidR="00AF53A3" w:rsidRPr="008356C6" w:rsidRDefault="00AF53A3" w:rsidP="00AF53A3">
      <w:pPr>
        <w:pStyle w:val="Titrearticle"/>
        <w:ind w:left="720"/>
        <w:rPr>
          <w:noProof/>
        </w:rPr>
      </w:pPr>
      <w:r w:rsidRPr="008356C6">
        <w:rPr>
          <w:noProof/>
          <w:color w:val="000000"/>
        </w:rPr>
        <w:t xml:space="preserve">Articolul </w:t>
      </w:r>
      <w:r w:rsidRPr="00DC27B2">
        <w:rPr>
          <w:noProof/>
          <w:color w:val="000000"/>
        </w:rPr>
        <w:t>1</w:t>
      </w:r>
    </w:p>
    <w:p w:rsidR="007C0CCE" w:rsidRPr="008356C6" w:rsidRDefault="007C0CCE" w:rsidP="007C0CCE">
      <w:pPr>
        <w:rPr>
          <w:noProof/>
        </w:rPr>
      </w:pPr>
      <w:bookmarkStart w:id="14" w:name="_Hlk153448389"/>
      <w:r w:rsidRPr="008356C6">
        <w:rPr>
          <w:noProof/>
        </w:rPr>
        <w:t xml:space="preserve">Poziția care urmează să fie adoptată în numele Uniunii cu ocazia celei de a </w:t>
      </w:r>
      <w:r w:rsidRPr="00DC27B2">
        <w:rPr>
          <w:noProof/>
        </w:rPr>
        <w:t>84</w:t>
      </w:r>
      <w:r w:rsidRPr="008356C6">
        <w:rPr>
          <w:noProof/>
        </w:rPr>
        <w:t xml:space="preserve">-a sesiuni a Comitetului pentru protecția mediului marin al Organizației Maritime Internaționale („OMI”) sau în cadrul oricărei sesiuni ulterioare este de a-și da acordul cu privire la: </w:t>
      </w:r>
    </w:p>
    <w:p w:rsidR="007C0CCE" w:rsidRPr="008356C6" w:rsidRDefault="009944F7" w:rsidP="00EF7C8A">
      <w:pPr>
        <w:pStyle w:val="Point0"/>
        <w:rPr>
          <w:noProof/>
        </w:rPr>
      </w:pPr>
      <w:r>
        <w:rPr>
          <w:noProof/>
        </w:rPr>
        <w:t>(a)</w:t>
      </w:r>
      <w:r>
        <w:rPr>
          <w:noProof/>
        </w:rPr>
        <w:tab/>
      </w:r>
      <w:r w:rsidRPr="008356C6">
        <w:rPr>
          <w:noProof/>
        </w:rPr>
        <w:t xml:space="preserve">amendamentele aduse regulilor </w:t>
      </w:r>
      <w:r w:rsidRPr="00DC27B2">
        <w:rPr>
          <w:noProof/>
        </w:rPr>
        <w:t>13</w:t>
      </w:r>
      <w:r w:rsidRPr="008356C6">
        <w:rPr>
          <w:noProof/>
        </w:rPr>
        <w:t xml:space="preserve"> și </w:t>
      </w:r>
      <w:r w:rsidRPr="00DC27B2">
        <w:rPr>
          <w:noProof/>
        </w:rPr>
        <w:t>14</w:t>
      </w:r>
      <w:r w:rsidRPr="008356C6">
        <w:rPr>
          <w:noProof/>
        </w:rPr>
        <w:t xml:space="preserve"> și apendicelui VII la anexa VI la MARPOL, referitoare la desemnarea Atlanticului de Nord-Est ca nouă zonă de control al emisiilor (ECA) și </w:t>
      </w:r>
    </w:p>
    <w:p w:rsidR="007C0CCE" w:rsidRPr="008356C6" w:rsidRDefault="009944F7" w:rsidP="007C0CCE">
      <w:pPr>
        <w:pStyle w:val="Point0"/>
        <w:rPr>
          <w:noProof/>
        </w:rPr>
      </w:pPr>
      <w:r>
        <w:rPr>
          <w:noProof/>
        </w:rPr>
        <w:t>(b)</w:t>
      </w:r>
      <w:r>
        <w:rPr>
          <w:noProof/>
        </w:rPr>
        <w:tab/>
      </w:r>
      <w:r w:rsidRPr="008356C6">
        <w:rPr>
          <w:noProof/>
        </w:rPr>
        <w:t xml:space="preserve">amendamentele aduse regulilor </w:t>
      </w:r>
      <w:r w:rsidRPr="00DC27B2">
        <w:rPr>
          <w:noProof/>
        </w:rPr>
        <w:t>20</w:t>
      </w:r>
      <w:r w:rsidRPr="008356C6">
        <w:rPr>
          <w:noProof/>
        </w:rPr>
        <w:t xml:space="preserve">, </w:t>
      </w:r>
      <w:r w:rsidRPr="00DC27B2">
        <w:rPr>
          <w:noProof/>
        </w:rPr>
        <w:t>25</w:t>
      </w:r>
      <w:r w:rsidRPr="008356C6">
        <w:rPr>
          <w:noProof/>
        </w:rPr>
        <w:t xml:space="preserve">, </w:t>
      </w:r>
      <w:r w:rsidRPr="00DC27B2">
        <w:rPr>
          <w:noProof/>
        </w:rPr>
        <w:t>27</w:t>
      </w:r>
      <w:r w:rsidRPr="008356C6">
        <w:rPr>
          <w:noProof/>
        </w:rPr>
        <w:t xml:space="preserve"> și </w:t>
      </w:r>
      <w:r w:rsidRPr="00DC27B2">
        <w:rPr>
          <w:noProof/>
        </w:rPr>
        <w:t>28</w:t>
      </w:r>
      <w:r w:rsidRPr="008356C6">
        <w:rPr>
          <w:noProof/>
        </w:rPr>
        <w:t xml:space="preserve"> din anexa VI la MARPOL, referitoare la accesibilitatea bazei de date a OMI privind consumul de păcură al navelor (DCS a OMI) și la clauza de revizuire a măsurii pe termen scurt de reducere a GES. </w:t>
      </w:r>
    </w:p>
    <w:bookmarkEnd w:id="14"/>
    <w:p w:rsidR="00D72603" w:rsidRPr="008356C6" w:rsidRDefault="00D72603" w:rsidP="00D72603">
      <w:pPr>
        <w:pStyle w:val="Titrearticle"/>
        <w:rPr>
          <w:noProof/>
          <w:color w:val="000000"/>
        </w:rPr>
      </w:pPr>
      <w:r w:rsidRPr="008356C6">
        <w:rPr>
          <w:noProof/>
          <w:color w:val="000000"/>
        </w:rPr>
        <w:t xml:space="preserve">Articolul </w:t>
      </w:r>
      <w:r w:rsidRPr="00DC27B2">
        <w:rPr>
          <w:noProof/>
          <w:color w:val="000000"/>
        </w:rPr>
        <w:t>2</w:t>
      </w:r>
    </w:p>
    <w:p w:rsidR="00D72603" w:rsidRPr="008356C6" w:rsidRDefault="00D72603" w:rsidP="00D72603">
      <w:pPr>
        <w:rPr>
          <w:noProof/>
        </w:rPr>
      </w:pPr>
      <w:r w:rsidRPr="008356C6">
        <w:rPr>
          <w:noProof/>
        </w:rPr>
        <w:t xml:space="preserve">Poziția care urmează să fie adoptată în numele Uniunii cu ocazia celei de a </w:t>
      </w:r>
      <w:r w:rsidRPr="00DC27B2">
        <w:rPr>
          <w:noProof/>
        </w:rPr>
        <w:t>111</w:t>
      </w:r>
      <w:r w:rsidRPr="008356C6">
        <w:rPr>
          <w:noProof/>
        </w:rPr>
        <w:t>-a sesiuni a Comitetului pentru protecția mediului marin al Organizației Maritime Internaționale („OMI”) sau în cadrul oricărei sesiuni ulterioare este de a-și da acordul cu privire la:</w:t>
      </w:r>
    </w:p>
    <w:p w:rsidR="00D72603" w:rsidRPr="008356C6" w:rsidRDefault="00D72603" w:rsidP="007C08E9">
      <w:pPr>
        <w:pStyle w:val="Point0"/>
        <w:rPr>
          <w:noProof/>
        </w:rPr>
      </w:pPr>
      <w:r>
        <w:rPr>
          <w:noProof/>
        </w:rPr>
        <w:t>(a)</w:t>
      </w:r>
      <w:r>
        <w:rPr>
          <w:noProof/>
        </w:rPr>
        <w:tab/>
      </w:r>
      <w:r w:rsidRPr="008356C6">
        <w:rPr>
          <w:noProof/>
        </w:rPr>
        <w:t xml:space="preserve">amendamentele aduse capitolelor IV și V și apendicelui (Certificate) la Convenția internațională pentru ocrotirea vieții omenești pe mare (SOLAS) din </w:t>
      </w:r>
      <w:r w:rsidRPr="00DC27B2">
        <w:rPr>
          <w:noProof/>
        </w:rPr>
        <w:t>1974</w:t>
      </w:r>
      <w:r w:rsidRPr="008356C6">
        <w:rPr>
          <w:noProof/>
        </w:rPr>
        <w:t xml:space="preserve">, </w:t>
      </w:r>
    </w:p>
    <w:p w:rsidR="00D72603" w:rsidRPr="008356C6" w:rsidRDefault="00D72603" w:rsidP="00D72603">
      <w:pPr>
        <w:pStyle w:val="Point0"/>
        <w:rPr>
          <w:noProof/>
        </w:rPr>
      </w:pPr>
      <w:r>
        <w:rPr>
          <w:noProof/>
        </w:rPr>
        <w:t>(b)</w:t>
      </w:r>
      <w:r>
        <w:rPr>
          <w:noProof/>
        </w:rPr>
        <w:tab/>
      </w:r>
      <w:r w:rsidRPr="008356C6">
        <w:rPr>
          <w:noProof/>
        </w:rPr>
        <w:t xml:space="preserve">amendamentele aduse Codului internațional din </w:t>
      </w:r>
      <w:r w:rsidRPr="00DC27B2">
        <w:rPr>
          <w:noProof/>
        </w:rPr>
        <w:t>1994</w:t>
      </w:r>
      <w:r w:rsidRPr="008356C6">
        <w:rPr>
          <w:noProof/>
        </w:rPr>
        <w:t xml:space="preserve"> privind siguranța ambarcațiunilor de mare viteză (Codul HSC din </w:t>
      </w:r>
      <w:r w:rsidRPr="00DC27B2">
        <w:rPr>
          <w:noProof/>
        </w:rPr>
        <w:t>1994</w:t>
      </w:r>
      <w:r w:rsidRPr="008356C6">
        <w:rPr>
          <w:noProof/>
        </w:rPr>
        <w:t xml:space="preserve">), </w:t>
      </w:r>
    </w:p>
    <w:p w:rsidR="00D72603" w:rsidRPr="008356C6" w:rsidRDefault="00D72603" w:rsidP="00D72603">
      <w:pPr>
        <w:pStyle w:val="Point0"/>
        <w:rPr>
          <w:noProof/>
        </w:rPr>
      </w:pPr>
      <w:r>
        <w:rPr>
          <w:noProof/>
        </w:rPr>
        <w:t>(c)</w:t>
      </w:r>
      <w:r>
        <w:rPr>
          <w:noProof/>
        </w:rPr>
        <w:tab/>
      </w:r>
      <w:r w:rsidRPr="008356C6">
        <w:rPr>
          <w:noProof/>
        </w:rPr>
        <w:t xml:space="preserve">amendamentele aduse Codului internațional din </w:t>
      </w:r>
      <w:r w:rsidRPr="00DC27B2">
        <w:rPr>
          <w:noProof/>
        </w:rPr>
        <w:t>2000</w:t>
      </w:r>
      <w:r w:rsidRPr="008356C6">
        <w:rPr>
          <w:noProof/>
        </w:rPr>
        <w:t xml:space="preserve"> privind siguranța ambarcațiunilor de mare viteză (Codul HSC din </w:t>
      </w:r>
      <w:r w:rsidRPr="00DC27B2">
        <w:rPr>
          <w:noProof/>
        </w:rPr>
        <w:t>2000</w:t>
      </w:r>
      <w:r w:rsidRPr="008356C6">
        <w:rPr>
          <w:noProof/>
        </w:rPr>
        <w:t xml:space="preserve">), </w:t>
      </w:r>
    </w:p>
    <w:p w:rsidR="00D72603" w:rsidRPr="008356C6" w:rsidRDefault="00D72603" w:rsidP="00D72603">
      <w:pPr>
        <w:pStyle w:val="Point0"/>
        <w:rPr>
          <w:noProof/>
        </w:rPr>
      </w:pPr>
      <w:r>
        <w:rPr>
          <w:noProof/>
        </w:rPr>
        <w:t>(d)</w:t>
      </w:r>
      <w:r>
        <w:rPr>
          <w:noProof/>
        </w:rPr>
        <w:tab/>
      </w:r>
      <w:r w:rsidRPr="008356C6">
        <w:rPr>
          <w:noProof/>
        </w:rPr>
        <w:t xml:space="preserve">amendamentele aduse Codului internațional din </w:t>
      </w:r>
      <w:r w:rsidRPr="00DC27B2">
        <w:rPr>
          <w:noProof/>
        </w:rPr>
        <w:t>2011</w:t>
      </w:r>
      <w:r w:rsidRPr="008356C6">
        <w:rPr>
          <w:noProof/>
        </w:rPr>
        <w:t xml:space="preserve"> privind programul intensificat de inspecții efectuate cu ocazia inspecțiilor la vrachiere și petroliere (Codul ESP </w:t>
      </w:r>
      <w:r w:rsidRPr="00DC27B2">
        <w:rPr>
          <w:noProof/>
        </w:rPr>
        <w:t>2011</w:t>
      </w:r>
      <w:r w:rsidRPr="008356C6">
        <w:rPr>
          <w:noProof/>
        </w:rPr>
        <w:t xml:space="preserve">), </w:t>
      </w:r>
    </w:p>
    <w:p w:rsidR="00D72603" w:rsidRPr="008356C6" w:rsidRDefault="00D72603" w:rsidP="00D72603">
      <w:pPr>
        <w:pStyle w:val="Point0"/>
        <w:rPr>
          <w:noProof/>
        </w:rPr>
      </w:pPr>
      <w:r>
        <w:rPr>
          <w:noProof/>
        </w:rPr>
        <w:t>(e)</w:t>
      </w:r>
      <w:r>
        <w:rPr>
          <w:noProof/>
        </w:rPr>
        <w:tab/>
      </w:r>
      <w:r w:rsidRPr="008356C6">
        <w:rPr>
          <w:noProof/>
        </w:rPr>
        <w:t xml:space="preserve">amendamentele aduse Codului internațional al mijloacelor de salvare (Codul LSA), </w:t>
      </w:r>
    </w:p>
    <w:p w:rsidR="00D72603" w:rsidRPr="008356C6" w:rsidRDefault="00D72603" w:rsidP="00D72603">
      <w:pPr>
        <w:pStyle w:val="Point0"/>
        <w:rPr>
          <w:noProof/>
        </w:rPr>
      </w:pPr>
      <w:r>
        <w:rPr>
          <w:noProof/>
        </w:rPr>
        <w:t>(f)</w:t>
      </w:r>
      <w:r>
        <w:rPr>
          <w:noProof/>
        </w:rPr>
        <w:tab/>
      </w:r>
      <w:r w:rsidRPr="008356C6">
        <w:rPr>
          <w:noProof/>
        </w:rPr>
        <w:t xml:space="preserve">amendamentele aduse Anexei B la Protocolul din </w:t>
      </w:r>
      <w:r w:rsidRPr="00DC27B2">
        <w:rPr>
          <w:noProof/>
        </w:rPr>
        <w:t>1988</w:t>
      </w:r>
      <w:r w:rsidRPr="008356C6">
        <w:rPr>
          <w:noProof/>
        </w:rPr>
        <w:t xml:space="preserve"> referitor la Convenția internațională din </w:t>
      </w:r>
      <w:r w:rsidRPr="00DC27B2">
        <w:rPr>
          <w:noProof/>
        </w:rPr>
        <w:t>1966</w:t>
      </w:r>
      <w:r w:rsidRPr="008356C6">
        <w:rPr>
          <w:noProof/>
        </w:rPr>
        <w:t xml:space="preserve"> asupra liniilor de încărcare (Protocolul din </w:t>
      </w:r>
      <w:r w:rsidRPr="00DC27B2">
        <w:rPr>
          <w:noProof/>
        </w:rPr>
        <w:t>1988</w:t>
      </w:r>
      <w:r w:rsidRPr="008356C6">
        <w:rPr>
          <w:noProof/>
        </w:rPr>
        <w:t xml:space="preserve"> privind liniile de încărcare).</w:t>
      </w:r>
    </w:p>
    <w:p w:rsidR="00810B8F" w:rsidRPr="008356C6" w:rsidRDefault="00810B8F" w:rsidP="007C59B9">
      <w:pPr>
        <w:pStyle w:val="Titrearticle"/>
        <w:rPr>
          <w:noProof/>
        </w:rPr>
      </w:pPr>
      <w:r w:rsidRPr="008356C6">
        <w:rPr>
          <w:noProof/>
        </w:rPr>
        <w:t xml:space="preserve">Articolul </w:t>
      </w:r>
      <w:r w:rsidRPr="00DC27B2">
        <w:rPr>
          <w:noProof/>
        </w:rPr>
        <w:t>3</w:t>
      </w:r>
    </w:p>
    <w:p w:rsidR="007C0CCE" w:rsidRPr="008356C6" w:rsidRDefault="007C0CCE" w:rsidP="004179EA">
      <w:pPr>
        <w:pStyle w:val="Point0"/>
        <w:rPr>
          <w:noProof/>
        </w:rPr>
      </w:pPr>
      <w:r>
        <w:rPr>
          <w:noProof/>
        </w:rPr>
        <w:t>(g)</w:t>
      </w:r>
      <w:r>
        <w:rPr>
          <w:noProof/>
        </w:rPr>
        <w:tab/>
      </w:r>
      <w:r w:rsidRPr="008356C6">
        <w:rPr>
          <w:noProof/>
        </w:rPr>
        <w:t xml:space="preserve">Poziția menționată la articolul </w:t>
      </w:r>
      <w:r w:rsidRPr="00DC27B2">
        <w:rPr>
          <w:noProof/>
        </w:rPr>
        <w:t>1</w:t>
      </w:r>
      <w:r w:rsidRPr="008356C6">
        <w:rPr>
          <w:noProof/>
        </w:rPr>
        <w:t xml:space="preserve"> se exprimă de către statele membre ale Uniunii care sunt membre ale Comitetului pentru protecția mediului marin al OMI, acționând împreună în interesul Uniunii.</w:t>
      </w:r>
    </w:p>
    <w:p w:rsidR="003F16D4" w:rsidRPr="008356C6" w:rsidRDefault="003F16D4" w:rsidP="00375F7D">
      <w:pPr>
        <w:pStyle w:val="ListParagraph"/>
        <w:rPr>
          <w:iCs/>
          <w:noProof/>
        </w:rPr>
      </w:pPr>
    </w:p>
    <w:p w:rsidR="00D72603" w:rsidRPr="008356C6" w:rsidRDefault="00D72603" w:rsidP="004179EA">
      <w:pPr>
        <w:pStyle w:val="Point0"/>
        <w:rPr>
          <w:noProof/>
        </w:rPr>
      </w:pPr>
      <w:r>
        <w:rPr>
          <w:noProof/>
        </w:rPr>
        <w:t>(h)</w:t>
      </w:r>
      <w:r>
        <w:rPr>
          <w:noProof/>
        </w:rPr>
        <w:tab/>
      </w:r>
      <w:r w:rsidRPr="008356C6">
        <w:rPr>
          <w:noProof/>
        </w:rPr>
        <w:t xml:space="preserve">Poziția menționată la articolul </w:t>
      </w:r>
      <w:r w:rsidRPr="00DC27B2">
        <w:rPr>
          <w:noProof/>
        </w:rPr>
        <w:t>2</w:t>
      </w:r>
      <w:r w:rsidRPr="008356C6">
        <w:rPr>
          <w:noProof/>
        </w:rPr>
        <w:t xml:space="preserve"> se exprimă de către statele membre ale Uniunii care sunt membre ale Comitetului pentru siguranță maritimă al OMI, acționând împreună în interesul Uniunii.</w:t>
      </w:r>
    </w:p>
    <w:p w:rsidR="00836BCC" w:rsidRPr="008356C6" w:rsidRDefault="007C59B9" w:rsidP="00700E7E">
      <w:pPr>
        <w:pStyle w:val="Titrearticle"/>
        <w:rPr>
          <w:noProof/>
        </w:rPr>
      </w:pPr>
      <w:r w:rsidRPr="008356C6">
        <w:rPr>
          <w:noProof/>
        </w:rPr>
        <w:lastRenderedPageBreak/>
        <w:t xml:space="preserve">Articolul </w:t>
      </w:r>
      <w:r w:rsidRPr="00DC27B2">
        <w:rPr>
          <w:noProof/>
        </w:rPr>
        <w:t>4</w:t>
      </w:r>
    </w:p>
    <w:p w:rsidR="00836BCC" w:rsidRPr="008356C6" w:rsidRDefault="00836BCC" w:rsidP="00836BCC">
      <w:pPr>
        <w:rPr>
          <w:noProof/>
          <w:color w:val="000000"/>
        </w:rPr>
      </w:pPr>
      <w:bookmarkStart w:id="15" w:name="_Hlk222326606"/>
      <w:r w:rsidRPr="008356C6">
        <w:rPr>
          <w:noProof/>
          <w:color w:val="000000"/>
        </w:rPr>
        <w:t xml:space="preserve">Prezenta decizie se adresează statelor membre. </w:t>
      </w:r>
    </w:p>
    <w:bookmarkEnd w:id="15"/>
    <w:p w:rsidR="00836BCC" w:rsidRPr="008356C6" w:rsidRDefault="00836BCC" w:rsidP="00810B8F">
      <w:pPr>
        <w:rPr>
          <w:noProof/>
          <w:color w:val="000000"/>
        </w:rPr>
      </w:pPr>
    </w:p>
    <w:p w:rsidR="00836BCC" w:rsidRPr="008356C6" w:rsidRDefault="00836BCC" w:rsidP="00810B8F">
      <w:pPr>
        <w:rPr>
          <w:noProof/>
          <w:color w:val="000000"/>
        </w:rPr>
      </w:pPr>
    </w:p>
    <w:p w:rsidR="00996C46" w:rsidRPr="008356C6" w:rsidRDefault="00810B07" w:rsidP="009F541C">
      <w:pPr>
        <w:pStyle w:val="Fait"/>
        <w:rPr>
          <w:noProof/>
        </w:rPr>
      </w:pPr>
      <w:r>
        <w:rPr>
          <w:noProof/>
        </w:rPr>
        <w:t>Adoptată la Bruxelles,</w:t>
      </w:r>
    </w:p>
    <w:p w:rsidR="00996C46" w:rsidRPr="008356C6" w:rsidRDefault="00996C46" w:rsidP="009F541C">
      <w:pPr>
        <w:pStyle w:val="Institutionquisigne"/>
        <w:rPr>
          <w:noProof/>
        </w:rPr>
      </w:pPr>
      <w:r w:rsidRPr="008356C6">
        <w:rPr>
          <w:noProof/>
        </w:rPr>
        <w:tab/>
        <w:t>Pentru Consiliu</w:t>
      </w:r>
    </w:p>
    <w:p w:rsidR="00996C46" w:rsidRPr="008356C6" w:rsidRDefault="00996C46" w:rsidP="00996C46">
      <w:pPr>
        <w:pStyle w:val="Personnequisigne"/>
        <w:rPr>
          <w:noProof/>
        </w:rPr>
      </w:pPr>
      <w:r w:rsidRPr="008356C6">
        <w:rPr>
          <w:noProof/>
        </w:rPr>
        <w:tab/>
        <w:t>Președintele</w:t>
      </w:r>
    </w:p>
    <w:sectPr w:rsidR="00996C46" w:rsidRPr="008356C6" w:rsidSect="00271252">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E74" w:rsidRDefault="006E3E74" w:rsidP="00996C46">
      <w:pPr>
        <w:spacing w:before="0" w:after="0"/>
      </w:pPr>
      <w:r>
        <w:separator/>
      </w:r>
    </w:p>
  </w:endnote>
  <w:endnote w:type="continuationSeparator" w:id="0">
    <w:p w:rsidR="006E3E74" w:rsidRDefault="006E3E74" w:rsidP="00996C46">
      <w:pPr>
        <w:spacing w:before="0" w:after="0"/>
      </w:pPr>
      <w:r>
        <w:continuationSeparator/>
      </w:r>
    </w:p>
  </w:endnote>
  <w:endnote w:type="continuationNotice" w:id="1">
    <w:p w:rsidR="006E3E74" w:rsidRDefault="006E3E7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252" w:rsidRPr="00271252" w:rsidRDefault="00271252" w:rsidP="00271252">
    <w:pPr>
      <w:pStyle w:val="Footer"/>
      <w:rPr>
        <w:rFonts w:ascii="Arial" w:hAnsi="Arial" w:cs="Arial"/>
        <w:b/>
        <w:sz w:val="48"/>
      </w:rPr>
    </w:pPr>
    <w:r w:rsidRPr="00271252">
      <w:rPr>
        <w:rFonts w:ascii="Arial" w:hAnsi="Arial" w:cs="Arial"/>
        <w:b/>
        <w:sz w:val="48"/>
      </w:rPr>
      <w:t>RO</w:t>
    </w:r>
    <w:r w:rsidRPr="00271252">
      <w:rPr>
        <w:rFonts w:ascii="Arial" w:hAnsi="Arial" w:cs="Arial"/>
        <w:b/>
        <w:sz w:val="48"/>
      </w:rPr>
      <w:tab/>
    </w:r>
    <w:r w:rsidRPr="00271252">
      <w:rPr>
        <w:rFonts w:ascii="Arial" w:hAnsi="Arial" w:cs="Arial"/>
        <w:b/>
        <w:sz w:val="48"/>
      </w:rPr>
      <w:tab/>
    </w:r>
    <w:r w:rsidRPr="00271252">
      <w:tab/>
    </w:r>
    <w:r w:rsidRPr="0027125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252" w:rsidRPr="00271252" w:rsidRDefault="00271252" w:rsidP="00271252">
    <w:pPr>
      <w:pStyle w:val="Footer"/>
      <w:rPr>
        <w:rFonts w:ascii="Arial" w:hAnsi="Arial" w:cs="Arial"/>
        <w:b/>
        <w:sz w:val="48"/>
      </w:rPr>
    </w:pPr>
    <w:r w:rsidRPr="00271252">
      <w:rPr>
        <w:rFonts w:ascii="Arial" w:hAnsi="Arial" w:cs="Arial"/>
        <w:b/>
        <w:sz w:val="48"/>
      </w:rPr>
      <w:t>RO</w:t>
    </w:r>
    <w:r w:rsidRPr="00271252">
      <w:rPr>
        <w:rFonts w:ascii="Arial" w:hAnsi="Arial" w:cs="Arial"/>
        <w:b/>
        <w:sz w:val="48"/>
      </w:rPr>
      <w:tab/>
    </w:r>
    <w:r w:rsidRPr="00271252">
      <w:rPr>
        <w:rFonts w:ascii="Arial" w:hAnsi="Arial" w:cs="Arial"/>
        <w:b/>
        <w:sz w:val="48"/>
      </w:rPr>
      <w:tab/>
    </w:r>
    <w:r w:rsidRPr="00271252">
      <w:tab/>
    </w:r>
    <w:r w:rsidRPr="0027125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252" w:rsidRDefault="002712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252" w:rsidRPr="00271252" w:rsidRDefault="00271252" w:rsidP="00271252">
    <w:pPr>
      <w:pStyle w:val="Footer"/>
      <w:rPr>
        <w:rFonts w:ascii="Arial" w:hAnsi="Arial" w:cs="Arial"/>
        <w:b/>
        <w:sz w:val="48"/>
      </w:rPr>
    </w:pPr>
    <w:r w:rsidRPr="00271252">
      <w:rPr>
        <w:rFonts w:ascii="Arial" w:hAnsi="Arial" w:cs="Arial"/>
        <w:b/>
        <w:sz w:val="48"/>
      </w:rPr>
      <w:t>RO</w:t>
    </w:r>
    <w:r w:rsidRPr="00271252">
      <w:rPr>
        <w:rFonts w:ascii="Arial" w:hAnsi="Arial" w:cs="Arial"/>
        <w:b/>
        <w:sz w:val="48"/>
      </w:rPr>
      <w:tab/>
    </w:r>
    <w:r>
      <w:fldChar w:fldCharType="begin"/>
    </w:r>
    <w:r>
      <w:instrText xml:space="preserve"> PAGE  \* MERGEFORMAT </w:instrText>
    </w:r>
    <w:r>
      <w:fldChar w:fldCharType="separate"/>
    </w:r>
    <w:r w:rsidR="00D06A37">
      <w:rPr>
        <w:noProof/>
      </w:rPr>
      <w:t>1</w:t>
    </w:r>
    <w:r>
      <w:fldChar w:fldCharType="end"/>
    </w:r>
    <w:r>
      <w:tab/>
    </w:r>
    <w:r w:rsidRPr="00271252">
      <w:tab/>
    </w:r>
    <w:r w:rsidRPr="0027125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252" w:rsidRDefault="00271252" w:rsidP="002712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E74" w:rsidRDefault="006E3E74" w:rsidP="00996C46">
      <w:pPr>
        <w:spacing w:before="0" w:after="0"/>
      </w:pPr>
      <w:r>
        <w:separator/>
      </w:r>
    </w:p>
  </w:footnote>
  <w:footnote w:type="continuationSeparator" w:id="0">
    <w:p w:rsidR="006E3E74" w:rsidRDefault="006E3E74" w:rsidP="00996C46">
      <w:pPr>
        <w:spacing w:before="0" w:after="0"/>
      </w:pPr>
      <w:r>
        <w:continuationSeparator/>
      </w:r>
    </w:p>
  </w:footnote>
  <w:footnote w:type="continuationNotice" w:id="1">
    <w:p w:rsidR="006E3E74" w:rsidRDefault="006E3E74">
      <w:pPr>
        <w:spacing w:before="0" w:after="0"/>
      </w:pPr>
    </w:p>
  </w:footnote>
  <w:footnote w:id="2">
    <w:p w:rsidR="00923A0D" w:rsidRPr="008356C6" w:rsidRDefault="00923A0D" w:rsidP="00923A0D">
      <w:pPr>
        <w:pStyle w:val="FootnoteText"/>
      </w:pPr>
      <w:r w:rsidRPr="008356C6">
        <w:rPr>
          <w:rStyle w:val="FootnoteReference"/>
        </w:rPr>
        <w:footnoteRef/>
      </w:r>
      <w:r w:rsidRPr="008356C6">
        <w:tab/>
        <w:t>Austria și Ungaria nu au ratificat încă anexa VI la MARPOL.</w:t>
      </w:r>
    </w:p>
  </w:footnote>
  <w:footnote w:id="3">
    <w:p w:rsidR="00C34AED" w:rsidRPr="008356C6" w:rsidRDefault="00C34AED" w:rsidP="00C34AED">
      <w:pPr>
        <w:pStyle w:val="FootnoteText"/>
        <w:rPr>
          <w:iCs/>
        </w:rPr>
      </w:pPr>
      <w:r w:rsidRPr="008356C6">
        <w:rPr>
          <w:rStyle w:val="FootnoteReference"/>
        </w:rPr>
        <w:footnoteRef/>
      </w:r>
      <w:r w:rsidRPr="008356C6">
        <w:tab/>
        <w:t xml:space="preserve">JO L, </w:t>
      </w:r>
      <w:r w:rsidRPr="00DC27B2">
        <w:t>2025</w:t>
      </w:r>
      <w:r w:rsidRPr="008356C6">
        <w:t>/</w:t>
      </w:r>
      <w:r w:rsidRPr="00DC27B2">
        <w:t>2093</w:t>
      </w:r>
      <w:r w:rsidRPr="008356C6">
        <w:t xml:space="preserve">, </w:t>
      </w:r>
      <w:r w:rsidRPr="00DC27B2">
        <w:t>16</w:t>
      </w:r>
      <w:r w:rsidRPr="008356C6">
        <w:t>.</w:t>
      </w:r>
      <w:r w:rsidRPr="00DC27B2">
        <w:t>10</w:t>
      </w:r>
      <w:r w:rsidRPr="008356C6">
        <w:t>.</w:t>
      </w:r>
      <w:r w:rsidRPr="00DC27B2">
        <w:t>2025</w:t>
      </w:r>
      <w:r w:rsidRPr="008356C6">
        <w:t xml:space="preserve">, ELI: </w:t>
      </w:r>
      <w:hyperlink r:id="rId1" w:history="1">
        <w:r w:rsidRPr="008356C6">
          <w:rPr>
            <w:rStyle w:val="Hyperlink"/>
          </w:rPr>
          <w:t>http://data.europa.eu/eli/dec/</w:t>
        </w:r>
        <w:r w:rsidRPr="00DC27B2">
          <w:rPr>
            <w:rStyle w:val="Hyperlink"/>
          </w:rPr>
          <w:t>2025</w:t>
        </w:r>
        <w:r w:rsidRPr="008356C6">
          <w:rPr>
            <w:rStyle w:val="Hyperlink"/>
          </w:rPr>
          <w:t>/</w:t>
        </w:r>
        <w:r w:rsidRPr="00DC27B2">
          <w:rPr>
            <w:rStyle w:val="Hyperlink"/>
          </w:rPr>
          <w:t>2093</w:t>
        </w:r>
        <w:r w:rsidRPr="008356C6">
          <w:rPr>
            <w:rStyle w:val="Hyperlink"/>
          </w:rPr>
          <w:t>/oj</w:t>
        </w:r>
      </w:hyperlink>
      <w:r w:rsidR="008356C6" w:rsidRPr="008356C6">
        <w:rPr>
          <w:iCs/>
        </w:rPr>
        <w:t>.</w:t>
      </w:r>
    </w:p>
  </w:footnote>
  <w:footnote w:id="4">
    <w:p w:rsidR="0091563C" w:rsidRPr="008356C6" w:rsidRDefault="004536C5" w:rsidP="0091563C">
      <w:pPr>
        <w:pStyle w:val="FootnoteText"/>
        <w:ind w:left="0" w:firstLine="0"/>
        <w:jc w:val="left"/>
      </w:pPr>
      <w:r w:rsidRPr="008356C6">
        <w:rPr>
          <w:rStyle w:val="FootnoteReference"/>
        </w:rPr>
        <w:footnoteRef/>
      </w:r>
      <w:r w:rsidRPr="008356C6">
        <w:tab/>
        <w:t xml:space="preserve">Directiva (UE) </w:t>
      </w:r>
      <w:r w:rsidRPr="00DC27B2">
        <w:t>2016</w:t>
      </w:r>
      <w:r w:rsidRPr="008356C6">
        <w:t>/</w:t>
      </w:r>
      <w:r w:rsidRPr="00DC27B2">
        <w:t>802</w:t>
      </w:r>
      <w:r w:rsidRPr="008356C6">
        <w:t xml:space="preserve"> a Parlamentului European și a Consiliului din </w:t>
      </w:r>
      <w:r w:rsidRPr="00DC27B2">
        <w:t>11</w:t>
      </w:r>
      <w:r w:rsidRPr="008356C6">
        <w:t xml:space="preserve"> mai </w:t>
      </w:r>
      <w:r w:rsidRPr="00DC27B2">
        <w:t>2016</w:t>
      </w:r>
      <w:r w:rsidRPr="008356C6">
        <w:t xml:space="preserve"> privind reducerea conținutului de sulf din anumiți combustibili lichizi JO L </w:t>
      </w:r>
      <w:r w:rsidRPr="00DC27B2">
        <w:t>132</w:t>
      </w:r>
      <w:r w:rsidRPr="008356C6">
        <w:t xml:space="preserve">, </w:t>
      </w:r>
      <w:r w:rsidRPr="00DC27B2">
        <w:t>21</w:t>
      </w:r>
      <w:r w:rsidRPr="008356C6">
        <w:t>.</w:t>
      </w:r>
      <w:r w:rsidRPr="00DC27B2">
        <w:t>5</w:t>
      </w:r>
      <w:r w:rsidRPr="008356C6">
        <w:t>.</w:t>
      </w:r>
      <w:r w:rsidRPr="00DC27B2">
        <w:t>2016</w:t>
      </w:r>
      <w:r w:rsidRPr="008356C6">
        <w:t xml:space="preserve">, </w:t>
      </w:r>
      <w:r w:rsidR="00DC27B2">
        <w:t xml:space="preserve">p. </w:t>
      </w:r>
      <w:r w:rsidRPr="00DC27B2">
        <w:t>58</w:t>
      </w:r>
      <w:r w:rsidRPr="008356C6">
        <w:t xml:space="preserve">. </w:t>
      </w:r>
    </w:p>
    <w:p w:rsidR="004536C5" w:rsidRPr="008356C6" w:rsidRDefault="00D06A37" w:rsidP="0091563C">
      <w:pPr>
        <w:pStyle w:val="FootnoteText"/>
        <w:ind w:left="0" w:firstLine="0"/>
        <w:jc w:val="left"/>
      </w:pPr>
      <w:hyperlink r:id="rId2" w:tooltip="Oferă acces la acest document prin identificatorul său uniform de resurse ELI." w:history="1">
        <w:r w:rsidR="0091563C" w:rsidRPr="008356C6">
          <w:rPr>
            <w:color w:val="0E47CB"/>
            <w:u w:val="single"/>
            <w:shd w:val="clear" w:color="auto" w:fill="FFFFFF"/>
          </w:rPr>
          <w:t>http://data.europa.eu/eli/dir/</w:t>
        </w:r>
        <w:r w:rsidR="0091563C" w:rsidRPr="00DC27B2">
          <w:rPr>
            <w:color w:val="0E47CB"/>
            <w:u w:val="single"/>
            <w:shd w:val="clear" w:color="auto" w:fill="FFFFFF"/>
          </w:rPr>
          <w:t>2016</w:t>
        </w:r>
        <w:r w:rsidR="0091563C" w:rsidRPr="008356C6">
          <w:rPr>
            <w:color w:val="0E47CB"/>
            <w:u w:val="single"/>
            <w:shd w:val="clear" w:color="auto" w:fill="FFFFFF"/>
          </w:rPr>
          <w:t>/</w:t>
        </w:r>
        <w:r w:rsidR="0091563C" w:rsidRPr="00DC27B2">
          <w:rPr>
            <w:color w:val="0E47CB"/>
            <w:u w:val="single"/>
            <w:shd w:val="clear" w:color="auto" w:fill="FFFFFF"/>
          </w:rPr>
          <w:t>802</w:t>
        </w:r>
        <w:r w:rsidR="0091563C" w:rsidRPr="008356C6">
          <w:rPr>
            <w:color w:val="0E47CB"/>
            <w:u w:val="single"/>
            <w:shd w:val="clear" w:color="auto" w:fill="FFFFFF"/>
          </w:rPr>
          <w:t>/oj</w:t>
        </w:r>
      </w:hyperlink>
      <w:r w:rsidR="008356C6" w:rsidRPr="008356C6">
        <w:t>.</w:t>
      </w:r>
    </w:p>
  </w:footnote>
  <w:footnote w:id="5">
    <w:p w:rsidR="004536C5" w:rsidRPr="008356C6" w:rsidRDefault="004536C5" w:rsidP="00375F7D">
      <w:pPr>
        <w:pStyle w:val="FootnoteText"/>
        <w:ind w:left="0" w:firstLine="0"/>
      </w:pPr>
      <w:r w:rsidRPr="008356C6">
        <w:rPr>
          <w:rStyle w:val="FootnoteReference"/>
        </w:rPr>
        <w:footnoteRef/>
      </w:r>
      <w:r w:rsidRPr="008356C6">
        <w:tab/>
        <w:t xml:space="preserve">Directiva </w:t>
      </w:r>
      <w:r w:rsidRPr="00DC27B2">
        <w:t>2008</w:t>
      </w:r>
      <w:r w:rsidRPr="008356C6">
        <w:t>/</w:t>
      </w:r>
      <w:r w:rsidRPr="00DC27B2">
        <w:t>56</w:t>
      </w:r>
      <w:r w:rsidRPr="008356C6">
        <w:t xml:space="preserve">/CE a Parlamentului European și a Consiliului din </w:t>
      </w:r>
      <w:r w:rsidRPr="00DC27B2">
        <w:t>17</w:t>
      </w:r>
      <w:r w:rsidRPr="008356C6">
        <w:t xml:space="preserve"> iunie </w:t>
      </w:r>
      <w:r w:rsidRPr="00DC27B2">
        <w:t>2008</w:t>
      </w:r>
      <w:r w:rsidRPr="008356C6">
        <w:t xml:space="preserve"> de instituire a unui cadru de acțiune comunitară în domeniul politicii privind mediul marin (Directiva-cadru „Strategia pentru mediul marin”) JO L </w:t>
      </w:r>
      <w:r w:rsidRPr="00DC27B2">
        <w:t>164</w:t>
      </w:r>
      <w:r w:rsidRPr="008356C6">
        <w:t xml:space="preserve">, </w:t>
      </w:r>
      <w:r w:rsidRPr="00DC27B2">
        <w:t>25</w:t>
      </w:r>
      <w:r w:rsidRPr="008356C6">
        <w:t>.</w:t>
      </w:r>
      <w:r w:rsidRPr="00DC27B2">
        <w:t>6</w:t>
      </w:r>
      <w:r w:rsidRPr="008356C6">
        <w:t>.</w:t>
      </w:r>
      <w:r w:rsidRPr="00DC27B2">
        <w:t>2008</w:t>
      </w:r>
      <w:r w:rsidRPr="008356C6">
        <w:t>, p. </w:t>
      </w:r>
      <w:r w:rsidRPr="00DC27B2">
        <w:t>19</w:t>
      </w:r>
      <w:r w:rsidRPr="008356C6">
        <w:t xml:space="preserve">. </w:t>
      </w:r>
      <w:hyperlink r:id="rId3" w:tooltip="Oferă acces la acest document prin identificatorul său uniform de resurse ELI." w:history="1">
        <w:r w:rsidRPr="008356C6">
          <w:rPr>
            <w:color w:val="0E47CB"/>
            <w:u w:val="single"/>
            <w:shd w:val="clear" w:color="auto" w:fill="FFFFFF"/>
          </w:rPr>
          <w:t>http://data.europa.eu/eli/dir/</w:t>
        </w:r>
        <w:r w:rsidRPr="00DC27B2">
          <w:rPr>
            <w:color w:val="0E47CB"/>
            <w:u w:val="single"/>
            <w:shd w:val="clear" w:color="auto" w:fill="FFFFFF"/>
          </w:rPr>
          <w:t>2008</w:t>
        </w:r>
        <w:r w:rsidRPr="008356C6">
          <w:rPr>
            <w:color w:val="0E47CB"/>
            <w:u w:val="single"/>
            <w:shd w:val="clear" w:color="auto" w:fill="FFFFFF"/>
          </w:rPr>
          <w:t>/</w:t>
        </w:r>
        <w:r w:rsidRPr="00DC27B2">
          <w:rPr>
            <w:color w:val="0E47CB"/>
            <w:u w:val="single"/>
            <w:shd w:val="clear" w:color="auto" w:fill="FFFFFF"/>
          </w:rPr>
          <w:t>56</w:t>
        </w:r>
        <w:r w:rsidRPr="008356C6">
          <w:rPr>
            <w:color w:val="0E47CB"/>
            <w:u w:val="single"/>
            <w:shd w:val="clear" w:color="auto" w:fill="FFFFFF"/>
          </w:rPr>
          <w:t>/oj</w:t>
        </w:r>
      </w:hyperlink>
      <w:r w:rsidR="008356C6" w:rsidRPr="008356C6">
        <w:t>.</w:t>
      </w:r>
    </w:p>
  </w:footnote>
  <w:footnote w:id="6">
    <w:p w:rsidR="004536C5" w:rsidRPr="008356C6" w:rsidRDefault="004536C5" w:rsidP="00375F7D">
      <w:pPr>
        <w:pStyle w:val="FootnoteText"/>
        <w:ind w:left="0" w:firstLine="0"/>
      </w:pPr>
      <w:r w:rsidRPr="008356C6">
        <w:rPr>
          <w:rStyle w:val="FootnoteReference"/>
        </w:rPr>
        <w:footnoteRef/>
      </w:r>
      <w:r w:rsidRPr="008356C6">
        <w:tab/>
        <w:t xml:space="preserve">Directiva </w:t>
      </w:r>
      <w:r w:rsidRPr="00DC27B2">
        <w:t>2008</w:t>
      </w:r>
      <w:r w:rsidRPr="008356C6">
        <w:t>/</w:t>
      </w:r>
      <w:r w:rsidRPr="00DC27B2">
        <w:t>50</w:t>
      </w:r>
      <w:r w:rsidRPr="008356C6">
        <w:t xml:space="preserve">/CE a Parlamentului European și a Consiliului din </w:t>
      </w:r>
      <w:r w:rsidRPr="00DC27B2">
        <w:t>21</w:t>
      </w:r>
      <w:r w:rsidRPr="008356C6">
        <w:t xml:space="preserve"> mai </w:t>
      </w:r>
      <w:r w:rsidRPr="00DC27B2">
        <w:t>2008</w:t>
      </w:r>
      <w:r w:rsidRPr="008356C6">
        <w:t xml:space="preserve"> privind calitatea aerului înconjurător și un aer mai curat pentru Europa JO L </w:t>
      </w:r>
      <w:r w:rsidRPr="00DC27B2">
        <w:t>152</w:t>
      </w:r>
      <w:r w:rsidRPr="008356C6">
        <w:t xml:space="preserve">, </w:t>
      </w:r>
      <w:r w:rsidRPr="00DC27B2">
        <w:t>11</w:t>
      </w:r>
      <w:r w:rsidRPr="008356C6">
        <w:t>.</w:t>
      </w:r>
      <w:r w:rsidRPr="00DC27B2">
        <w:t>6</w:t>
      </w:r>
      <w:r w:rsidRPr="008356C6">
        <w:t>.</w:t>
      </w:r>
      <w:r w:rsidRPr="00DC27B2">
        <w:t>2008</w:t>
      </w:r>
      <w:r w:rsidRPr="008356C6">
        <w:t>, p. </w:t>
      </w:r>
      <w:r w:rsidRPr="00DC27B2">
        <w:t>1</w:t>
      </w:r>
      <w:r w:rsidRPr="008356C6">
        <w:t xml:space="preserve">. </w:t>
      </w:r>
      <w:hyperlink r:id="rId4" w:tooltip="Oferă acces la acest document prin identificatorul său uniform de resurse ELI." w:history="1">
        <w:r w:rsidRPr="008356C6">
          <w:rPr>
            <w:color w:val="0E47CB"/>
            <w:sz w:val="21"/>
            <w:u w:val="single"/>
            <w:shd w:val="clear" w:color="auto" w:fill="FFFFFF"/>
          </w:rPr>
          <w:t>http://data.europa.eu/eli/dir/</w:t>
        </w:r>
        <w:r w:rsidRPr="00DC27B2">
          <w:rPr>
            <w:color w:val="0E47CB"/>
            <w:sz w:val="21"/>
            <w:u w:val="single"/>
            <w:shd w:val="clear" w:color="auto" w:fill="FFFFFF"/>
          </w:rPr>
          <w:t>2008</w:t>
        </w:r>
        <w:r w:rsidRPr="008356C6">
          <w:rPr>
            <w:color w:val="0E47CB"/>
            <w:sz w:val="21"/>
            <w:u w:val="single"/>
            <w:shd w:val="clear" w:color="auto" w:fill="FFFFFF"/>
          </w:rPr>
          <w:t>/</w:t>
        </w:r>
        <w:r w:rsidRPr="00DC27B2">
          <w:rPr>
            <w:color w:val="0E47CB"/>
            <w:sz w:val="21"/>
            <w:u w:val="single"/>
            <w:shd w:val="clear" w:color="auto" w:fill="FFFFFF"/>
          </w:rPr>
          <w:t>50</w:t>
        </w:r>
        <w:r w:rsidRPr="008356C6">
          <w:rPr>
            <w:color w:val="0E47CB"/>
            <w:sz w:val="21"/>
            <w:u w:val="single"/>
            <w:shd w:val="clear" w:color="auto" w:fill="FFFFFF"/>
          </w:rPr>
          <w:t>/oj</w:t>
        </w:r>
      </w:hyperlink>
      <w:r w:rsidR="008356C6" w:rsidRPr="008356C6">
        <w:t>.</w:t>
      </w:r>
    </w:p>
  </w:footnote>
  <w:footnote w:id="7">
    <w:p w:rsidR="00C54035" w:rsidRPr="008356C6" w:rsidRDefault="004536C5" w:rsidP="004536C5">
      <w:pPr>
        <w:pStyle w:val="FootnoteText"/>
        <w:ind w:left="0" w:firstLine="0"/>
      </w:pPr>
      <w:r w:rsidRPr="008356C6">
        <w:rPr>
          <w:rStyle w:val="FootnoteReference"/>
        </w:rPr>
        <w:footnoteRef/>
      </w:r>
      <w:r w:rsidRPr="008356C6">
        <w:tab/>
        <w:t xml:space="preserve">Regulamentul (CE) nr. </w:t>
      </w:r>
      <w:r w:rsidRPr="00DC27B2">
        <w:t>715</w:t>
      </w:r>
      <w:r w:rsidRPr="008356C6">
        <w:t>/</w:t>
      </w:r>
      <w:r w:rsidRPr="00DC27B2">
        <w:t>2007</w:t>
      </w:r>
      <w:r w:rsidRPr="008356C6">
        <w:t xml:space="preserve"> al Parlamentului European și al Consiliului din </w:t>
      </w:r>
      <w:r w:rsidRPr="00DC27B2">
        <w:t>20</w:t>
      </w:r>
      <w:r w:rsidRPr="008356C6">
        <w:t xml:space="preserve"> iunie </w:t>
      </w:r>
      <w:r w:rsidRPr="00DC27B2">
        <w:t>2007</w:t>
      </w:r>
      <w:r w:rsidRPr="008356C6">
        <w:t xml:space="preserve"> privind omologarea de tip a autovehiculelor în ceea ce privește emisiile provenind de la vehiculele ușoare pentru pasageri și de la vehiculele ușoare comerciale (Euro </w:t>
      </w:r>
      <w:r w:rsidRPr="00DC27B2">
        <w:t>5</w:t>
      </w:r>
      <w:r w:rsidRPr="008356C6">
        <w:t xml:space="preserve"> și Euro </w:t>
      </w:r>
      <w:r w:rsidRPr="00DC27B2">
        <w:t>6</w:t>
      </w:r>
      <w:r w:rsidRPr="008356C6">
        <w:t>) și privind accesul la informațiile referitoare la repararea și întreținerea vehiculelor. JO L </w:t>
      </w:r>
      <w:r w:rsidRPr="00DC27B2">
        <w:t>171</w:t>
      </w:r>
      <w:r w:rsidRPr="008356C6">
        <w:t xml:space="preserve">, </w:t>
      </w:r>
      <w:r w:rsidRPr="00DC27B2">
        <w:t>29</w:t>
      </w:r>
      <w:r w:rsidRPr="008356C6">
        <w:t>.</w:t>
      </w:r>
      <w:r w:rsidRPr="00DC27B2">
        <w:t>6</w:t>
      </w:r>
      <w:r w:rsidRPr="008356C6">
        <w:t>.</w:t>
      </w:r>
      <w:r w:rsidRPr="00DC27B2">
        <w:t>2007</w:t>
      </w:r>
      <w:r w:rsidRPr="008356C6">
        <w:t>, p. </w:t>
      </w:r>
      <w:r w:rsidRPr="00DC27B2">
        <w:t>1</w:t>
      </w:r>
      <w:r w:rsidRPr="008356C6">
        <w:t xml:space="preserve">. </w:t>
      </w:r>
      <w:hyperlink r:id="rId5" w:tooltip="Oferă acces la acest document prin identificatorul său uniform de resurse ELI." w:history="1">
        <w:r w:rsidRPr="008356C6">
          <w:rPr>
            <w:rStyle w:val="Hyperlink"/>
          </w:rPr>
          <w:t>http://data.europa.eu/eli/reg/</w:t>
        </w:r>
        <w:r w:rsidRPr="00DC27B2">
          <w:rPr>
            <w:rStyle w:val="Hyperlink"/>
          </w:rPr>
          <w:t>2007</w:t>
        </w:r>
        <w:r w:rsidRPr="008356C6">
          <w:rPr>
            <w:rStyle w:val="Hyperlink"/>
          </w:rPr>
          <w:t>/</w:t>
        </w:r>
        <w:r w:rsidRPr="00DC27B2">
          <w:rPr>
            <w:rStyle w:val="Hyperlink"/>
          </w:rPr>
          <w:t>715</w:t>
        </w:r>
        <w:r w:rsidRPr="008356C6">
          <w:rPr>
            <w:rStyle w:val="Hyperlink"/>
          </w:rPr>
          <w:t>/oj</w:t>
        </w:r>
      </w:hyperlink>
      <w:r w:rsidR="008356C6" w:rsidRPr="008356C6">
        <w:t>.</w:t>
      </w:r>
    </w:p>
    <w:p w:rsidR="004536C5" w:rsidRPr="008356C6" w:rsidRDefault="004536C5" w:rsidP="004536C5">
      <w:pPr>
        <w:pStyle w:val="FootnoteText"/>
        <w:ind w:left="0" w:firstLine="0"/>
      </w:pPr>
      <w:r w:rsidRPr="008356C6">
        <w:t xml:space="preserve">Regulamentul (CE) nr. </w:t>
      </w:r>
      <w:r w:rsidRPr="00DC27B2">
        <w:t>595</w:t>
      </w:r>
      <w:r w:rsidRPr="008356C6">
        <w:t>/</w:t>
      </w:r>
      <w:r w:rsidRPr="00DC27B2">
        <w:t>2009</w:t>
      </w:r>
      <w:r w:rsidRPr="008356C6">
        <w:t xml:space="preserve"> al Parlamentului European și al Consiliului din </w:t>
      </w:r>
      <w:r w:rsidRPr="00DC27B2">
        <w:t>18</w:t>
      </w:r>
      <w:r w:rsidRPr="008356C6">
        <w:t xml:space="preserve"> iunie </w:t>
      </w:r>
      <w:r w:rsidRPr="00DC27B2">
        <w:t>2009</w:t>
      </w:r>
      <w:r w:rsidRPr="008356C6">
        <w:t xml:space="preserve"> privind omologarea de tip a autovehiculelor și a motoarelor cu privire la emisiile provenite de la vehicule grele (Euro VI) și accesul la informații privind repararea și întreținerea vehiculelor JO L </w:t>
      </w:r>
      <w:r w:rsidRPr="00DC27B2">
        <w:t>188</w:t>
      </w:r>
      <w:r w:rsidRPr="008356C6">
        <w:t xml:space="preserve">, </w:t>
      </w:r>
      <w:r w:rsidRPr="00DC27B2">
        <w:t>18</w:t>
      </w:r>
      <w:r w:rsidRPr="008356C6">
        <w:t>.</w:t>
      </w:r>
      <w:r w:rsidRPr="00DC27B2">
        <w:t>7</w:t>
      </w:r>
      <w:r w:rsidRPr="008356C6">
        <w:t>.</w:t>
      </w:r>
      <w:r w:rsidRPr="00DC27B2">
        <w:t>2009</w:t>
      </w:r>
      <w:r w:rsidRPr="008356C6">
        <w:t>, p. </w:t>
      </w:r>
      <w:r w:rsidRPr="00DC27B2">
        <w:t>1</w:t>
      </w:r>
      <w:r w:rsidRPr="008356C6">
        <w:t xml:space="preserve">. </w:t>
      </w:r>
      <w:hyperlink r:id="rId6" w:tooltip="Oferă acces la acest document prin identificatorul său uniform de resurse ELI." w:history="1">
        <w:r w:rsidRPr="008356C6">
          <w:rPr>
            <w:rStyle w:val="Hyperlink"/>
          </w:rPr>
          <w:t>http://data.europa.eu/eli/reg/</w:t>
        </w:r>
        <w:r w:rsidRPr="00DC27B2">
          <w:rPr>
            <w:rStyle w:val="Hyperlink"/>
          </w:rPr>
          <w:t>2009</w:t>
        </w:r>
        <w:r w:rsidRPr="008356C6">
          <w:rPr>
            <w:rStyle w:val="Hyperlink"/>
          </w:rPr>
          <w:t>/</w:t>
        </w:r>
        <w:r w:rsidRPr="00DC27B2">
          <w:rPr>
            <w:rStyle w:val="Hyperlink"/>
          </w:rPr>
          <w:t>595</w:t>
        </w:r>
        <w:r w:rsidRPr="008356C6">
          <w:rPr>
            <w:rStyle w:val="Hyperlink"/>
          </w:rPr>
          <w:t>/oj</w:t>
        </w:r>
      </w:hyperlink>
      <w:r w:rsidR="008356C6" w:rsidRPr="008356C6">
        <w:t>.</w:t>
      </w:r>
    </w:p>
  </w:footnote>
  <w:footnote w:id="8">
    <w:p w:rsidR="004536C5" w:rsidRPr="008356C6" w:rsidRDefault="004536C5" w:rsidP="00375F7D">
      <w:pPr>
        <w:pStyle w:val="FootnoteText"/>
        <w:ind w:left="0" w:firstLine="0"/>
      </w:pPr>
      <w:r w:rsidRPr="008356C6">
        <w:rPr>
          <w:rStyle w:val="FootnoteReference"/>
        </w:rPr>
        <w:footnoteRef/>
      </w:r>
      <w:r w:rsidRPr="008356C6">
        <w:tab/>
        <w:t xml:space="preserve">Regulamentul (UE) </w:t>
      </w:r>
      <w:r w:rsidRPr="00DC27B2">
        <w:t>2016</w:t>
      </w:r>
      <w:r w:rsidRPr="008356C6">
        <w:t>/</w:t>
      </w:r>
      <w:r w:rsidRPr="00DC27B2">
        <w:t>1628</w:t>
      </w:r>
      <w:r w:rsidRPr="008356C6">
        <w:t xml:space="preserve"> al Parlamentului European și al Consiliului din </w:t>
      </w:r>
      <w:r w:rsidRPr="00DC27B2">
        <w:t>14</w:t>
      </w:r>
      <w:r w:rsidRPr="008356C6">
        <w:t xml:space="preserve"> septembrie </w:t>
      </w:r>
      <w:r w:rsidRPr="00DC27B2">
        <w:t>2016</w:t>
      </w:r>
      <w:r w:rsidRPr="008356C6">
        <w:t xml:space="preserve"> privind cerințele referitoare la limitele emisiilor de poluanți gazoși și de particule poluante și omologarea de tip pentru motoarele cu ardere internă pentru echipamentele mobile fără destinație rutieră, de modificare a Regulamentelor (UE) nr. </w:t>
      </w:r>
      <w:r w:rsidRPr="00DC27B2">
        <w:t>1024</w:t>
      </w:r>
      <w:r w:rsidRPr="008356C6">
        <w:t>/</w:t>
      </w:r>
      <w:r w:rsidRPr="00DC27B2">
        <w:t>2012</w:t>
      </w:r>
      <w:r w:rsidRPr="008356C6">
        <w:t xml:space="preserve"> și (UE) nr. </w:t>
      </w:r>
      <w:r w:rsidRPr="00DC27B2">
        <w:t>167</w:t>
      </w:r>
      <w:r w:rsidRPr="008356C6">
        <w:t>/</w:t>
      </w:r>
      <w:r w:rsidRPr="00DC27B2">
        <w:t>2013</w:t>
      </w:r>
      <w:r w:rsidRPr="008356C6">
        <w:t xml:space="preserve"> și de modificare și abrogare a Directivei </w:t>
      </w:r>
      <w:r w:rsidRPr="00DC27B2">
        <w:t>97</w:t>
      </w:r>
      <w:r w:rsidRPr="008356C6">
        <w:t>/</w:t>
      </w:r>
      <w:r w:rsidRPr="00DC27B2">
        <w:t>68</w:t>
      </w:r>
      <w:r w:rsidRPr="008356C6">
        <w:t>/CE. JO L </w:t>
      </w:r>
      <w:r w:rsidRPr="00DC27B2">
        <w:t>252</w:t>
      </w:r>
      <w:r w:rsidRPr="008356C6">
        <w:t xml:space="preserve">, </w:t>
      </w:r>
      <w:r w:rsidRPr="00DC27B2">
        <w:t>16</w:t>
      </w:r>
      <w:r w:rsidRPr="008356C6">
        <w:t>.</w:t>
      </w:r>
      <w:r w:rsidRPr="00DC27B2">
        <w:t>9</w:t>
      </w:r>
      <w:r w:rsidRPr="008356C6">
        <w:t>.</w:t>
      </w:r>
      <w:r w:rsidRPr="00DC27B2">
        <w:t>2016</w:t>
      </w:r>
      <w:r w:rsidRPr="008356C6">
        <w:t>, p. </w:t>
      </w:r>
      <w:r w:rsidRPr="00DC27B2">
        <w:t>53</w:t>
      </w:r>
      <w:r w:rsidRPr="008356C6">
        <w:t xml:space="preserve">. </w:t>
      </w:r>
      <w:hyperlink r:id="rId7" w:tooltip="Oferă acces la acest document prin identificatorul său uniform de resurse ELI." w:history="1">
        <w:r w:rsidRPr="008356C6">
          <w:rPr>
            <w:rStyle w:val="Hyperlink"/>
          </w:rPr>
          <w:t>http://data.europa.eu/eli/reg/</w:t>
        </w:r>
        <w:r w:rsidRPr="00DC27B2">
          <w:rPr>
            <w:rStyle w:val="Hyperlink"/>
          </w:rPr>
          <w:t>2016</w:t>
        </w:r>
        <w:r w:rsidRPr="008356C6">
          <w:rPr>
            <w:rStyle w:val="Hyperlink"/>
          </w:rPr>
          <w:t>/</w:t>
        </w:r>
        <w:r w:rsidRPr="00DC27B2">
          <w:rPr>
            <w:rStyle w:val="Hyperlink"/>
          </w:rPr>
          <w:t>1628</w:t>
        </w:r>
        <w:r w:rsidRPr="008356C6">
          <w:rPr>
            <w:rStyle w:val="Hyperlink"/>
          </w:rPr>
          <w:t>/oj</w:t>
        </w:r>
      </w:hyperlink>
      <w:r w:rsidR="008356C6" w:rsidRPr="008356C6">
        <w:t>.</w:t>
      </w:r>
    </w:p>
  </w:footnote>
  <w:footnote w:id="9">
    <w:p w:rsidR="00705550" w:rsidRPr="008356C6" w:rsidRDefault="00705550" w:rsidP="004536C5">
      <w:pPr>
        <w:pStyle w:val="FootnoteText"/>
        <w:ind w:left="0" w:firstLine="0"/>
      </w:pPr>
      <w:r w:rsidRPr="008356C6">
        <w:rPr>
          <w:rStyle w:val="FootnoteReference"/>
        </w:rPr>
        <w:footnoteRef/>
      </w:r>
      <w:r w:rsidRPr="008356C6">
        <w:tab/>
        <w:t xml:space="preserve">Regulamentul (UE) </w:t>
      </w:r>
      <w:r w:rsidRPr="00DC27B2">
        <w:t>2015</w:t>
      </w:r>
      <w:r w:rsidRPr="008356C6">
        <w:t>/</w:t>
      </w:r>
      <w:r w:rsidRPr="00DC27B2">
        <w:t>757</w:t>
      </w:r>
      <w:r w:rsidRPr="008356C6">
        <w:t xml:space="preserve"> al Parlamentului European și al Consiliului din </w:t>
      </w:r>
      <w:r w:rsidRPr="00DC27B2">
        <w:t>29</w:t>
      </w:r>
      <w:r w:rsidRPr="008356C6">
        <w:t xml:space="preserve"> aprilie </w:t>
      </w:r>
      <w:r w:rsidRPr="00DC27B2">
        <w:t>2015</w:t>
      </w:r>
      <w:r w:rsidRPr="008356C6">
        <w:t xml:space="preserve"> privind monitorizarea, raportarea și verificarea emisiilor de dioxid de carbon generate de transportul maritim și de modificare a Directivei </w:t>
      </w:r>
      <w:r w:rsidRPr="00DC27B2">
        <w:t>2009</w:t>
      </w:r>
      <w:r w:rsidRPr="008356C6">
        <w:t>/</w:t>
      </w:r>
      <w:r w:rsidRPr="00DC27B2">
        <w:t>16</w:t>
      </w:r>
      <w:r w:rsidRPr="008356C6">
        <w:t>/CE. JO L </w:t>
      </w:r>
      <w:r w:rsidRPr="00DC27B2">
        <w:t>123</w:t>
      </w:r>
      <w:r w:rsidRPr="008356C6">
        <w:t xml:space="preserve">, </w:t>
      </w:r>
      <w:r w:rsidRPr="00DC27B2">
        <w:t>19</w:t>
      </w:r>
      <w:r w:rsidRPr="008356C6">
        <w:t>.</w:t>
      </w:r>
      <w:r w:rsidRPr="00DC27B2">
        <w:t>5</w:t>
      </w:r>
      <w:r w:rsidRPr="008356C6">
        <w:t>.</w:t>
      </w:r>
      <w:r w:rsidRPr="00DC27B2">
        <w:t>2015</w:t>
      </w:r>
      <w:r w:rsidRPr="008356C6">
        <w:t>, p. </w:t>
      </w:r>
      <w:r w:rsidRPr="00DC27B2">
        <w:t>55</w:t>
      </w:r>
      <w:r w:rsidRPr="008356C6">
        <w:t xml:space="preserve">. </w:t>
      </w:r>
      <w:hyperlink r:id="rId8" w:tooltip="Oferă acces la acest document prin identificatorul său uniform de resurse ELI." w:history="1">
        <w:r w:rsidRPr="008356C6">
          <w:rPr>
            <w:rStyle w:val="Hyperlink"/>
          </w:rPr>
          <w:t>http://data.europa.eu/eli/reg/</w:t>
        </w:r>
        <w:r w:rsidRPr="00DC27B2">
          <w:rPr>
            <w:rStyle w:val="Hyperlink"/>
          </w:rPr>
          <w:t>2015</w:t>
        </w:r>
        <w:r w:rsidRPr="008356C6">
          <w:rPr>
            <w:rStyle w:val="Hyperlink"/>
          </w:rPr>
          <w:t>/</w:t>
        </w:r>
        <w:r w:rsidRPr="00DC27B2">
          <w:rPr>
            <w:rStyle w:val="Hyperlink"/>
          </w:rPr>
          <w:t>757</w:t>
        </w:r>
        <w:r w:rsidRPr="008356C6">
          <w:rPr>
            <w:rStyle w:val="Hyperlink"/>
          </w:rPr>
          <w:t>/oj</w:t>
        </w:r>
      </w:hyperlink>
      <w:r w:rsidR="008356C6" w:rsidRPr="008356C6">
        <w:t>.</w:t>
      </w:r>
    </w:p>
  </w:footnote>
  <w:footnote w:id="10">
    <w:p w:rsidR="004536C5" w:rsidRPr="008356C6" w:rsidRDefault="004536C5" w:rsidP="00086417">
      <w:pPr>
        <w:pStyle w:val="FootnoteText"/>
        <w:ind w:left="0" w:firstLine="0"/>
      </w:pPr>
      <w:r w:rsidRPr="008356C6">
        <w:rPr>
          <w:rStyle w:val="FootnoteReference"/>
        </w:rPr>
        <w:footnoteRef/>
      </w:r>
      <w:r w:rsidRPr="008356C6">
        <w:tab/>
        <w:t xml:space="preserve">Regulamentul (UE) </w:t>
      </w:r>
      <w:r w:rsidRPr="00DC27B2">
        <w:t>2021</w:t>
      </w:r>
      <w:r w:rsidRPr="008356C6">
        <w:t>/</w:t>
      </w:r>
      <w:r w:rsidRPr="00DC27B2">
        <w:t>1119</w:t>
      </w:r>
      <w:r w:rsidRPr="008356C6">
        <w:t xml:space="preserve"> al Parlamentului European și al Consiliului din </w:t>
      </w:r>
      <w:r w:rsidRPr="00DC27B2">
        <w:t>30</w:t>
      </w:r>
      <w:r w:rsidRPr="008356C6">
        <w:t xml:space="preserve"> iunie </w:t>
      </w:r>
      <w:r w:rsidRPr="00DC27B2">
        <w:t>2021</w:t>
      </w:r>
      <w:r w:rsidRPr="008356C6">
        <w:t xml:space="preserve"> de instituire a cadrului pentru realizarea neutralității climatice și de modificare a Regulamentelor (CE) nr. </w:t>
      </w:r>
      <w:r w:rsidRPr="00DC27B2">
        <w:t>401</w:t>
      </w:r>
      <w:r w:rsidRPr="008356C6">
        <w:t>/</w:t>
      </w:r>
      <w:r w:rsidRPr="00DC27B2">
        <w:t>2009</w:t>
      </w:r>
      <w:r w:rsidRPr="008356C6">
        <w:t xml:space="preserve"> și (UE) </w:t>
      </w:r>
      <w:r w:rsidRPr="00DC27B2">
        <w:t>2018</w:t>
      </w:r>
      <w:r w:rsidRPr="008356C6">
        <w:t>/</w:t>
      </w:r>
      <w:r w:rsidRPr="00DC27B2">
        <w:t>1999</w:t>
      </w:r>
      <w:r w:rsidRPr="008356C6">
        <w:t xml:space="preserve"> („Legea europeană a climei”); JO L </w:t>
      </w:r>
      <w:r w:rsidRPr="00DC27B2">
        <w:t>243</w:t>
      </w:r>
      <w:r w:rsidRPr="008356C6">
        <w:t xml:space="preserve">, </w:t>
      </w:r>
      <w:r w:rsidRPr="00DC27B2">
        <w:t>9</w:t>
      </w:r>
      <w:r w:rsidRPr="008356C6">
        <w:t>.</w:t>
      </w:r>
      <w:r w:rsidRPr="00DC27B2">
        <w:t>7</w:t>
      </w:r>
      <w:r w:rsidRPr="008356C6">
        <w:t>.</w:t>
      </w:r>
      <w:r w:rsidRPr="00DC27B2">
        <w:t>2021</w:t>
      </w:r>
      <w:r w:rsidRPr="008356C6">
        <w:t>, p. </w:t>
      </w:r>
      <w:r w:rsidRPr="00DC27B2">
        <w:t>1</w:t>
      </w:r>
      <w:r w:rsidRPr="008356C6">
        <w:t xml:space="preserve">. </w:t>
      </w:r>
      <w:hyperlink r:id="rId9" w:tooltip="Oferă acces la acest document prin identificatorul său uniform de resurse ELI." w:history="1">
        <w:r w:rsidRPr="008356C6">
          <w:rPr>
            <w:rStyle w:val="Hyperlink"/>
          </w:rPr>
          <w:t>http://data.europa.eu/eli/reg/</w:t>
        </w:r>
        <w:r w:rsidRPr="00DC27B2">
          <w:rPr>
            <w:rStyle w:val="Hyperlink"/>
          </w:rPr>
          <w:t>2021</w:t>
        </w:r>
        <w:r w:rsidRPr="008356C6">
          <w:rPr>
            <w:rStyle w:val="Hyperlink"/>
          </w:rPr>
          <w:t>/</w:t>
        </w:r>
        <w:r w:rsidRPr="00DC27B2">
          <w:rPr>
            <w:rStyle w:val="Hyperlink"/>
          </w:rPr>
          <w:t>1119</w:t>
        </w:r>
        <w:r w:rsidRPr="008356C6">
          <w:rPr>
            <w:rStyle w:val="Hyperlink"/>
          </w:rPr>
          <w:t>/oj</w:t>
        </w:r>
      </w:hyperlink>
      <w:r w:rsidR="008356C6" w:rsidRPr="008356C6">
        <w:t>.</w:t>
      </w:r>
    </w:p>
  </w:footnote>
  <w:footnote w:id="11">
    <w:p w:rsidR="00086417" w:rsidRPr="008356C6" w:rsidRDefault="00086417" w:rsidP="00086417">
      <w:pPr>
        <w:pStyle w:val="FootnoteText"/>
        <w:ind w:left="0" w:firstLine="0"/>
      </w:pPr>
      <w:r w:rsidRPr="008356C6">
        <w:rPr>
          <w:rStyle w:val="FootnoteReference"/>
        </w:rPr>
        <w:footnoteRef/>
      </w:r>
      <w:r w:rsidRPr="008356C6">
        <w:tab/>
        <w:t>Directiva </w:t>
      </w:r>
      <w:r w:rsidRPr="00DC27B2">
        <w:t>2003</w:t>
      </w:r>
      <w:r w:rsidRPr="008356C6">
        <w:t>/</w:t>
      </w:r>
      <w:r w:rsidRPr="00DC27B2">
        <w:t>87</w:t>
      </w:r>
      <w:r w:rsidRPr="008356C6">
        <w:t xml:space="preserve">/CE a Parlamentului European și a Consiliului din </w:t>
      </w:r>
      <w:r w:rsidRPr="00DC27B2">
        <w:t>13</w:t>
      </w:r>
      <w:r w:rsidRPr="008356C6">
        <w:t> octombrie </w:t>
      </w:r>
      <w:r w:rsidRPr="00DC27B2">
        <w:t>2003</w:t>
      </w:r>
      <w:r w:rsidRPr="008356C6">
        <w:t xml:space="preserve"> de stabilire a unei scheme de comercializare a certificatelor de emisii de gaze cu efect de seră în cadrul Uniunii și de modificare a Directivei </w:t>
      </w:r>
      <w:r w:rsidRPr="00DC27B2">
        <w:t>96</w:t>
      </w:r>
      <w:r w:rsidRPr="008356C6">
        <w:t>/</w:t>
      </w:r>
      <w:r w:rsidRPr="00DC27B2">
        <w:t>61</w:t>
      </w:r>
      <w:r w:rsidRPr="008356C6">
        <w:t xml:space="preserve">/CE a Consiliului (Text cu relevanță pentru SEE) JO L </w:t>
      </w:r>
      <w:r w:rsidRPr="00DC27B2">
        <w:t>275</w:t>
      </w:r>
      <w:r w:rsidRPr="008356C6">
        <w:t xml:space="preserve">, </w:t>
      </w:r>
      <w:r w:rsidRPr="00DC27B2">
        <w:t>25</w:t>
      </w:r>
      <w:r w:rsidRPr="008356C6">
        <w:t>.</w:t>
      </w:r>
      <w:r w:rsidRPr="00DC27B2">
        <w:t>10</w:t>
      </w:r>
      <w:r w:rsidRPr="008356C6">
        <w:t>.</w:t>
      </w:r>
      <w:r w:rsidRPr="00DC27B2">
        <w:t>2003</w:t>
      </w:r>
      <w:r w:rsidRPr="008356C6">
        <w:t xml:space="preserve">, p. </w:t>
      </w:r>
      <w:r w:rsidRPr="00DC27B2">
        <w:t>32</w:t>
      </w:r>
      <w:r w:rsidRPr="008356C6">
        <w:t xml:space="preserve">. </w:t>
      </w:r>
      <w:hyperlink r:id="rId10" w:tooltip="Oferă acces la acest document prin identificatorul său uniform de resurse ELI." w:history="1">
        <w:r w:rsidRPr="008356C6">
          <w:rPr>
            <w:rStyle w:val="Hyperlink"/>
          </w:rPr>
          <w:t>http://data.europa.eu/eli/dir/</w:t>
        </w:r>
        <w:r w:rsidRPr="00DC27B2">
          <w:rPr>
            <w:rStyle w:val="Hyperlink"/>
          </w:rPr>
          <w:t>2003</w:t>
        </w:r>
        <w:r w:rsidRPr="008356C6">
          <w:rPr>
            <w:rStyle w:val="Hyperlink"/>
          </w:rPr>
          <w:t>/</w:t>
        </w:r>
        <w:r w:rsidRPr="00DC27B2">
          <w:rPr>
            <w:rStyle w:val="Hyperlink"/>
          </w:rPr>
          <w:t>87</w:t>
        </w:r>
        <w:r w:rsidRPr="008356C6">
          <w:rPr>
            <w:rStyle w:val="Hyperlink"/>
          </w:rPr>
          <w:t>/oj</w:t>
        </w:r>
      </w:hyperlink>
      <w:r w:rsidR="008356C6" w:rsidRPr="008356C6">
        <w:t>.</w:t>
      </w:r>
    </w:p>
  </w:footnote>
  <w:footnote w:id="12">
    <w:p w:rsidR="00086417" w:rsidRPr="008356C6" w:rsidRDefault="00086417" w:rsidP="00086417">
      <w:pPr>
        <w:pStyle w:val="FootnoteText"/>
        <w:ind w:left="0" w:firstLine="0"/>
      </w:pPr>
      <w:r w:rsidRPr="008356C6">
        <w:rPr>
          <w:rStyle w:val="FootnoteReference"/>
        </w:rPr>
        <w:footnoteRef/>
      </w:r>
      <w:r w:rsidRPr="008356C6">
        <w:tab/>
        <w:t>Directiva (UE) </w:t>
      </w:r>
      <w:r w:rsidRPr="00DC27B2">
        <w:t>2023</w:t>
      </w:r>
      <w:r w:rsidRPr="008356C6">
        <w:t>/</w:t>
      </w:r>
      <w:r w:rsidRPr="00DC27B2">
        <w:t>959</w:t>
      </w:r>
      <w:r w:rsidRPr="008356C6">
        <w:t xml:space="preserve"> a Parlamentului European și a Consiliului din </w:t>
      </w:r>
      <w:r w:rsidRPr="00DC27B2">
        <w:t>10</w:t>
      </w:r>
      <w:r w:rsidRPr="008356C6">
        <w:t xml:space="preserve"> mai </w:t>
      </w:r>
      <w:r w:rsidRPr="00DC27B2">
        <w:t>2023</w:t>
      </w:r>
      <w:r w:rsidRPr="008356C6">
        <w:t xml:space="preserve"> de modificare a Directivei </w:t>
      </w:r>
      <w:r w:rsidRPr="00DC27B2">
        <w:t>2003</w:t>
      </w:r>
      <w:r w:rsidRPr="008356C6">
        <w:t>/</w:t>
      </w:r>
      <w:r w:rsidRPr="00DC27B2">
        <w:t>87</w:t>
      </w:r>
      <w:r w:rsidRPr="008356C6">
        <w:t xml:space="preserve">/CE de stabilire a unui sistem de comercializare a cotelor de emisie de gaze cu efect de seră în cadrul Uniunii și a Deciziei (UE) </w:t>
      </w:r>
      <w:r w:rsidRPr="00DC27B2">
        <w:t>2015</w:t>
      </w:r>
      <w:r w:rsidRPr="008356C6">
        <w:t>/</w:t>
      </w:r>
      <w:r w:rsidRPr="00DC27B2">
        <w:t>1814</w:t>
      </w:r>
      <w:r w:rsidRPr="008356C6">
        <w:t xml:space="preserve"> privind înființarea și funcționarea unei rezerve pentru stabilitatea pieței aferentă schemei UE de comercializare a certificatelor de emisii de gaze cu efect de seră, JO L </w:t>
      </w:r>
      <w:r w:rsidRPr="00DC27B2">
        <w:t>130</w:t>
      </w:r>
      <w:r w:rsidRPr="008356C6">
        <w:t xml:space="preserve">, </w:t>
      </w:r>
      <w:r w:rsidRPr="00DC27B2">
        <w:t>16</w:t>
      </w:r>
      <w:r w:rsidRPr="008356C6">
        <w:t>.</w:t>
      </w:r>
      <w:r w:rsidRPr="00DC27B2">
        <w:t>5</w:t>
      </w:r>
      <w:r w:rsidRPr="008356C6">
        <w:t>.</w:t>
      </w:r>
      <w:r w:rsidRPr="00DC27B2">
        <w:t>2023</w:t>
      </w:r>
      <w:r w:rsidRPr="008356C6">
        <w:t xml:space="preserve">, p. </w:t>
      </w:r>
      <w:r w:rsidRPr="00DC27B2">
        <w:t>134</w:t>
      </w:r>
      <w:r w:rsidRPr="008356C6">
        <w:t xml:space="preserve">. </w:t>
      </w:r>
      <w:hyperlink r:id="rId11" w:tooltip="Oferă acces la acest document prin identificatorul său uniform de resurse ELI." w:history="1">
        <w:r w:rsidRPr="008356C6">
          <w:rPr>
            <w:rStyle w:val="Hyperlink"/>
          </w:rPr>
          <w:t>http://data.europa.eu/eli/dir/</w:t>
        </w:r>
        <w:r w:rsidRPr="00DC27B2">
          <w:rPr>
            <w:rStyle w:val="Hyperlink"/>
          </w:rPr>
          <w:t>2023</w:t>
        </w:r>
        <w:r w:rsidRPr="008356C6">
          <w:rPr>
            <w:rStyle w:val="Hyperlink"/>
          </w:rPr>
          <w:t>/</w:t>
        </w:r>
        <w:r w:rsidRPr="00DC27B2">
          <w:rPr>
            <w:rStyle w:val="Hyperlink"/>
          </w:rPr>
          <w:t>959</w:t>
        </w:r>
        <w:r w:rsidRPr="008356C6">
          <w:rPr>
            <w:rStyle w:val="Hyperlink"/>
          </w:rPr>
          <w:t>/oj</w:t>
        </w:r>
      </w:hyperlink>
      <w:r w:rsidR="008356C6" w:rsidRPr="008356C6">
        <w:t>.</w:t>
      </w:r>
    </w:p>
  </w:footnote>
  <w:footnote w:id="13">
    <w:p w:rsidR="00086417" w:rsidRPr="008356C6" w:rsidRDefault="00086417" w:rsidP="00086417">
      <w:pPr>
        <w:pStyle w:val="FootnoteText"/>
        <w:ind w:left="0" w:firstLine="0"/>
      </w:pPr>
      <w:r w:rsidRPr="008356C6">
        <w:rPr>
          <w:rStyle w:val="FootnoteReference"/>
        </w:rPr>
        <w:footnoteRef/>
      </w:r>
      <w:r w:rsidRPr="008356C6">
        <w:tab/>
        <w:t>Regulamentul (UE) </w:t>
      </w:r>
      <w:r w:rsidRPr="00DC27B2">
        <w:t>2023</w:t>
      </w:r>
      <w:r w:rsidRPr="008356C6">
        <w:t>/</w:t>
      </w:r>
      <w:r w:rsidRPr="00DC27B2">
        <w:t>957</w:t>
      </w:r>
      <w:r w:rsidRPr="008356C6">
        <w:t xml:space="preserve"> al Parlamentului European și al Consiliului din </w:t>
      </w:r>
      <w:r w:rsidRPr="00DC27B2">
        <w:t>10</w:t>
      </w:r>
      <w:r w:rsidRPr="008356C6">
        <w:t xml:space="preserve"> mai </w:t>
      </w:r>
      <w:r w:rsidRPr="00DC27B2">
        <w:t>2023</w:t>
      </w:r>
      <w:r w:rsidRPr="008356C6">
        <w:t xml:space="preserve"> de modificare a Regulamentului (UE) </w:t>
      </w:r>
      <w:r w:rsidRPr="00DC27B2">
        <w:t>2015</w:t>
      </w:r>
      <w:r w:rsidRPr="008356C6">
        <w:t>/</w:t>
      </w:r>
      <w:r w:rsidRPr="00DC27B2">
        <w:t>757</w:t>
      </w:r>
      <w:r w:rsidRPr="008356C6">
        <w:t xml:space="preserve"> pentru includerea activităților de transport maritim în schema UE de comercializare a certificatelor de emisii și pentru monitorizarea, raportarea și verificarea emisiilor de gaze cu efect de seră suplimentare și a emisiilor de la alte tipuri de nave, JO L </w:t>
      </w:r>
      <w:r w:rsidRPr="00DC27B2">
        <w:t>130</w:t>
      </w:r>
      <w:r w:rsidRPr="008356C6">
        <w:t xml:space="preserve">, </w:t>
      </w:r>
      <w:r w:rsidRPr="00DC27B2">
        <w:t>16</w:t>
      </w:r>
      <w:r w:rsidRPr="008356C6">
        <w:t>.</w:t>
      </w:r>
      <w:r w:rsidRPr="00DC27B2">
        <w:t>5</w:t>
      </w:r>
      <w:r w:rsidRPr="008356C6">
        <w:t>.</w:t>
      </w:r>
      <w:r w:rsidRPr="00DC27B2">
        <w:t>2023</w:t>
      </w:r>
      <w:r w:rsidRPr="008356C6">
        <w:t xml:space="preserve">, p. </w:t>
      </w:r>
      <w:r w:rsidRPr="00DC27B2">
        <w:t>105</w:t>
      </w:r>
      <w:r w:rsidRPr="008356C6">
        <w:t>.</w:t>
      </w:r>
      <w:r w:rsidRPr="008356C6">
        <w:rPr>
          <w:i/>
        </w:rPr>
        <w:t xml:space="preserve"> </w:t>
      </w:r>
      <w:hyperlink r:id="rId12" w:history="1">
        <w:r w:rsidR="008356C6" w:rsidRPr="008356C6">
          <w:rPr>
            <w:rStyle w:val="Hyperlink"/>
          </w:rPr>
          <w:t>http://data.europa.eu/eli/reg/</w:t>
        </w:r>
        <w:r w:rsidR="008356C6" w:rsidRPr="00DC27B2">
          <w:rPr>
            <w:rStyle w:val="Hyperlink"/>
          </w:rPr>
          <w:t>2023</w:t>
        </w:r>
        <w:r w:rsidR="008356C6" w:rsidRPr="008356C6">
          <w:rPr>
            <w:rStyle w:val="Hyperlink"/>
          </w:rPr>
          <w:t>/</w:t>
        </w:r>
        <w:r w:rsidR="008356C6" w:rsidRPr="00DC27B2">
          <w:rPr>
            <w:rStyle w:val="Hyperlink"/>
          </w:rPr>
          <w:t>957</w:t>
        </w:r>
        <w:r w:rsidR="008356C6" w:rsidRPr="008356C6">
          <w:rPr>
            <w:rStyle w:val="Hyperlink"/>
          </w:rPr>
          <w:t>/oj</w:t>
        </w:r>
      </w:hyperlink>
      <w:r w:rsidR="008356C6" w:rsidRPr="008356C6">
        <w:t>.</w:t>
      </w:r>
    </w:p>
  </w:footnote>
  <w:footnote w:id="14">
    <w:p w:rsidR="00705550" w:rsidRPr="008356C6" w:rsidRDefault="00705550" w:rsidP="00086417">
      <w:pPr>
        <w:pStyle w:val="FootnoteText"/>
        <w:ind w:left="0" w:firstLine="0"/>
      </w:pPr>
      <w:r w:rsidRPr="008356C6">
        <w:rPr>
          <w:rStyle w:val="FootnoteReference"/>
        </w:rPr>
        <w:footnoteRef/>
      </w:r>
      <w:r w:rsidRPr="008356C6">
        <w:tab/>
        <w:t xml:space="preserve">Regulamentul (UE) </w:t>
      </w:r>
      <w:r w:rsidRPr="00DC27B2">
        <w:t>2023</w:t>
      </w:r>
      <w:r w:rsidRPr="008356C6">
        <w:t>/</w:t>
      </w:r>
      <w:r w:rsidRPr="00DC27B2">
        <w:t>1805</w:t>
      </w:r>
      <w:r w:rsidRPr="008356C6">
        <w:t xml:space="preserve"> al Parlamentului European și al Consiliului din </w:t>
      </w:r>
      <w:r w:rsidRPr="00DC27B2">
        <w:t>13</w:t>
      </w:r>
      <w:r w:rsidRPr="008356C6">
        <w:t xml:space="preserve"> septembrie </w:t>
      </w:r>
      <w:r w:rsidRPr="00DC27B2">
        <w:t>2023</w:t>
      </w:r>
      <w:r w:rsidRPr="008356C6">
        <w:t xml:space="preserve"> privind utilizarea combustibililor din surse regenerabile și cu emisii scăzute de carbon în transportul maritim și de modificare a Directivei </w:t>
      </w:r>
      <w:r w:rsidRPr="00DC27B2">
        <w:t>2009</w:t>
      </w:r>
      <w:r w:rsidRPr="008356C6">
        <w:t>/</w:t>
      </w:r>
      <w:r w:rsidRPr="00DC27B2">
        <w:t>16</w:t>
      </w:r>
      <w:r w:rsidRPr="008356C6">
        <w:t>/CE. JO L </w:t>
      </w:r>
      <w:r w:rsidRPr="00DC27B2">
        <w:t>234</w:t>
      </w:r>
      <w:r w:rsidRPr="008356C6">
        <w:t xml:space="preserve">, </w:t>
      </w:r>
      <w:r w:rsidRPr="00DC27B2">
        <w:t>22</w:t>
      </w:r>
      <w:r w:rsidRPr="008356C6">
        <w:t>.</w:t>
      </w:r>
      <w:r w:rsidRPr="00DC27B2">
        <w:t>9</w:t>
      </w:r>
      <w:r w:rsidRPr="008356C6">
        <w:t>.</w:t>
      </w:r>
      <w:r w:rsidRPr="00DC27B2">
        <w:t>2023</w:t>
      </w:r>
      <w:r w:rsidRPr="008356C6">
        <w:t>, p. </w:t>
      </w:r>
      <w:r w:rsidRPr="00DC27B2">
        <w:t>48</w:t>
      </w:r>
      <w:r w:rsidRPr="008356C6">
        <w:t xml:space="preserve">. </w:t>
      </w:r>
      <w:hyperlink r:id="rId13" w:tooltip="Oferă acces la acest document prin identificatorul său uniform de resurse ELI." w:history="1">
        <w:r w:rsidRPr="008356C6">
          <w:rPr>
            <w:rStyle w:val="Hyperlink"/>
          </w:rPr>
          <w:t>http://data.europa.eu/eli/reg/</w:t>
        </w:r>
        <w:r w:rsidRPr="00DC27B2">
          <w:rPr>
            <w:rStyle w:val="Hyperlink"/>
          </w:rPr>
          <w:t>2023</w:t>
        </w:r>
        <w:r w:rsidRPr="008356C6">
          <w:rPr>
            <w:rStyle w:val="Hyperlink"/>
          </w:rPr>
          <w:t>/</w:t>
        </w:r>
        <w:r w:rsidRPr="00DC27B2">
          <w:rPr>
            <w:rStyle w:val="Hyperlink"/>
          </w:rPr>
          <w:t>1805</w:t>
        </w:r>
        <w:r w:rsidRPr="008356C6">
          <w:rPr>
            <w:rStyle w:val="Hyperlink"/>
          </w:rPr>
          <w:t>/oj</w:t>
        </w:r>
      </w:hyperlink>
      <w:r w:rsidR="008356C6" w:rsidRPr="008356C6">
        <w:t>.</w:t>
      </w:r>
    </w:p>
  </w:footnote>
  <w:footnote w:id="15">
    <w:p w:rsidR="00B218CD" w:rsidRPr="008356C6" w:rsidRDefault="00B218CD" w:rsidP="00375F7D">
      <w:pPr>
        <w:pStyle w:val="FootnoteText"/>
        <w:ind w:left="0" w:firstLine="0"/>
      </w:pPr>
      <w:r w:rsidRPr="008356C6">
        <w:rPr>
          <w:rStyle w:val="FootnoteReference"/>
        </w:rPr>
        <w:footnoteRef/>
      </w:r>
      <w:r w:rsidRPr="008356C6">
        <w:tab/>
        <w:t xml:space="preserve">Directiva </w:t>
      </w:r>
      <w:r w:rsidRPr="00DC27B2">
        <w:t>2002</w:t>
      </w:r>
      <w:r w:rsidRPr="008356C6">
        <w:t>/</w:t>
      </w:r>
      <w:r w:rsidRPr="00DC27B2">
        <w:t>59</w:t>
      </w:r>
      <w:r w:rsidRPr="008356C6">
        <w:t xml:space="preserve">/CE a Parlamentului European și a Consiliului din </w:t>
      </w:r>
      <w:r w:rsidRPr="00DC27B2">
        <w:t>27</w:t>
      </w:r>
      <w:r w:rsidRPr="008356C6">
        <w:t xml:space="preserve"> iunie </w:t>
      </w:r>
      <w:r w:rsidRPr="00DC27B2">
        <w:t>2002</w:t>
      </w:r>
      <w:r w:rsidRPr="008356C6">
        <w:t xml:space="preserve"> de instituire a unui sistem comunitar de monitorizare și informare privind traficul navelor maritime și de abrogare a Directivei </w:t>
      </w:r>
      <w:r w:rsidRPr="00DC27B2">
        <w:t>93</w:t>
      </w:r>
      <w:r w:rsidRPr="008356C6">
        <w:t>/</w:t>
      </w:r>
      <w:r w:rsidRPr="00DC27B2">
        <w:t>75</w:t>
      </w:r>
      <w:r w:rsidRPr="008356C6">
        <w:t>/CEE a Consiliului. JO L </w:t>
      </w:r>
      <w:r w:rsidRPr="00DC27B2">
        <w:t>208</w:t>
      </w:r>
      <w:r w:rsidRPr="008356C6">
        <w:t xml:space="preserve">, </w:t>
      </w:r>
      <w:r w:rsidRPr="00DC27B2">
        <w:t>5</w:t>
      </w:r>
      <w:r w:rsidRPr="008356C6">
        <w:t>.</w:t>
      </w:r>
      <w:r w:rsidRPr="00DC27B2">
        <w:t>8</w:t>
      </w:r>
      <w:r w:rsidRPr="008356C6">
        <w:t>.</w:t>
      </w:r>
      <w:r w:rsidRPr="00DC27B2">
        <w:t>2002</w:t>
      </w:r>
      <w:r w:rsidRPr="008356C6">
        <w:t>, p. </w:t>
      </w:r>
      <w:r w:rsidRPr="00DC27B2">
        <w:t>10</w:t>
      </w:r>
      <w:r w:rsidRPr="008356C6">
        <w:t xml:space="preserve">. </w:t>
      </w:r>
      <w:hyperlink r:id="rId14" w:tooltip="Oferă acces la acest document prin identificatorul său uniform de resurse ELI." w:history="1">
        <w:r w:rsidRPr="008356C6">
          <w:rPr>
            <w:rStyle w:val="Hyperlink"/>
          </w:rPr>
          <w:t>http://data.europa.eu/eli/dir/</w:t>
        </w:r>
        <w:r w:rsidRPr="00DC27B2">
          <w:rPr>
            <w:rStyle w:val="Hyperlink"/>
          </w:rPr>
          <w:t>2002</w:t>
        </w:r>
        <w:r w:rsidRPr="008356C6">
          <w:rPr>
            <w:rStyle w:val="Hyperlink"/>
          </w:rPr>
          <w:t>/</w:t>
        </w:r>
        <w:r w:rsidRPr="00DC27B2">
          <w:rPr>
            <w:rStyle w:val="Hyperlink"/>
          </w:rPr>
          <w:t>59</w:t>
        </w:r>
        <w:r w:rsidRPr="008356C6">
          <w:rPr>
            <w:rStyle w:val="Hyperlink"/>
          </w:rPr>
          <w:t>/oj</w:t>
        </w:r>
      </w:hyperlink>
      <w:r w:rsidR="008356C6" w:rsidRPr="008356C6">
        <w:t>.</w:t>
      </w:r>
    </w:p>
  </w:footnote>
  <w:footnote w:id="16">
    <w:p w:rsidR="00B218CD" w:rsidRPr="008356C6" w:rsidRDefault="00B218CD" w:rsidP="005664DB">
      <w:pPr>
        <w:pStyle w:val="FootnoteText"/>
        <w:ind w:left="0" w:firstLine="0"/>
      </w:pPr>
      <w:r w:rsidRPr="008356C6">
        <w:rPr>
          <w:rStyle w:val="FootnoteReference"/>
        </w:rPr>
        <w:footnoteRef/>
      </w:r>
      <w:r w:rsidRPr="008356C6">
        <w:tab/>
        <w:t xml:space="preserve">Regulamentul (UE) </w:t>
      </w:r>
      <w:r w:rsidRPr="00DC27B2">
        <w:t>2019</w:t>
      </w:r>
      <w:r w:rsidRPr="008356C6">
        <w:t>/</w:t>
      </w:r>
      <w:r w:rsidRPr="00DC27B2">
        <w:t>1239</w:t>
      </w:r>
      <w:r w:rsidRPr="008356C6">
        <w:t xml:space="preserve"> al Parlamentului European și al Consiliului din </w:t>
      </w:r>
      <w:r w:rsidRPr="00DC27B2">
        <w:t>20</w:t>
      </w:r>
      <w:r w:rsidRPr="008356C6">
        <w:t xml:space="preserve"> iunie </w:t>
      </w:r>
      <w:r w:rsidRPr="00DC27B2">
        <w:t>2019</w:t>
      </w:r>
      <w:r w:rsidRPr="008356C6">
        <w:t xml:space="preserve"> de stabilire a unui mediu aferent ghișeului unic european în domeniul maritim și de abrogare a Directivei </w:t>
      </w:r>
      <w:r w:rsidRPr="00DC27B2">
        <w:t>2010</w:t>
      </w:r>
      <w:r w:rsidRPr="008356C6">
        <w:t>/</w:t>
      </w:r>
      <w:r w:rsidRPr="00DC27B2">
        <w:t>65</w:t>
      </w:r>
      <w:r w:rsidRPr="008356C6">
        <w:t>/UE (JO L </w:t>
      </w:r>
      <w:r w:rsidRPr="00DC27B2">
        <w:t>198</w:t>
      </w:r>
      <w:r w:rsidRPr="008356C6">
        <w:t xml:space="preserve">, </w:t>
      </w:r>
      <w:r w:rsidRPr="00DC27B2">
        <w:t>25</w:t>
      </w:r>
      <w:r w:rsidRPr="008356C6">
        <w:t>.</w:t>
      </w:r>
      <w:r w:rsidRPr="00DC27B2">
        <w:t>7</w:t>
      </w:r>
      <w:r w:rsidRPr="008356C6">
        <w:t>.</w:t>
      </w:r>
      <w:r w:rsidRPr="00DC27B2">
        <w:t>2019</w:t>
      </w:r>
      <w:r w:rsidRPr="008356C6">
        <w:t>, p. </w:t>
      </w:r>
      <w:r w:rsidRPr="00DC27B2">
        <w:t>64</w:t>
      </w:r>
      <w:r w:rsidRPr="008356C6">
        <w:t>.</w:t>
      </w:r>
      <w:hyperlink r:id="rId15" w:tooltip="Oferă acces la acest document prin identificatorul său uniform de resurse ELI." w:history="1">
        <w:r w:rsidRPr="008356C6">
          <w:rPr>
            <w:rStyle w:val="Hyperlink"/>
          </w:rPr>
          <w:t>http://data.europa.eu/eli/reg/</w:t>
        </w:r>
        <w:r w:rsidRPr="00DC27B2">
          <w:rPr>
            <w:rStyle w:val="Hyperlink"/>
          </w:rPr>
          <w:t>2019</w:t>
        </w:r>
        <w:r w:rsidRPr="008356C6">
          <w:rPr>
            <w:rStyle w:val="Hyperlink"/>
          </w:rPr>
          <w:t>/</w:t>
        </w:r>
        <w:r w:rsidRPr="00DC27B2">
          <w:rPr>
            <w:rStyle w:val="Hyperlink"/>
          </w:rPr>
          <w:t>1239</w:t>
        </w:r>
        <w:r w:rsidRPr="008356C6">
          <w:rPr>
            <w:rStyle w:val="Hyperlink"/>
          </w:rPr>
          <w:t>/oj</w:t>
        </w:r>
      </w:hyperlink>
      <w:r w:rsidRPr="008356C6">
        <w:t>.</w:t>
      </w:r>
    </w:p>
  </w:footnote>
  <w:footnote w:id="17">
    <w:p w:rsidR="00B218CD" w:rsidRPr="008356C6" w:rsidRDefault="00B218CD" w:rsidP="00375F7D">
      <w:pPr>
        <w:pStyle w:val="FootnoteText"/>
        <w:ind w:left="0" w:firstLine="0"/>
        <w:rPr>
          <w:szCs w:val="18"/>
        </w:rPr>
      </w:pPr>
      <w:r w:rsidRPr="008356C6">
        <w:rPr>
          <w:rStyle w:val="FootnoteReference"/>
        </w:rPr>
        <w:footnoteRef/>
      </w:r>
      <w:r w:rsidRPr="008356C6">
        <w:tab/>
        <w:t xml:space="preserve">Regulamentul de punere în aplicare (UE) </w:t>
      </w:r>
      <w:r w:rsidRPr="00DC27B2">
        <w:t>2025</w:t>
      </w:r>
      <w:r w:rsidRPr="008356C6">
        <w:t>/</w:t>
      </w:r>
      <w:r w:rsidRPr="00DC27B2">
        <w:t>1533</w:t>
      </w:r>
      <w:r w:rsidRPr="008356C6">
        <w:t xml:space="preserve"> al Comisiei din </w:t>
      </w:r>
      <w:r w:rsidRPr="00DC27B2">
        <w:t>23</w:t>
      </w:r>
      <w:r w:rsidRPr="008356C6">
        <w:t xml:space="preserve"> iulie </w:t>
      </w:r>
      <w:r w:rsidRPr="00DC27B2">
        <w:t>2025</w:t>
      </w:r>
      <w:r w:rsidRPr="008356C6">
        <w:t xml:space="preserve"> de stabilire a normelor de aplicare a Directivei </w:t>
      </w:r>
      <w:r w:rsidRPr="00DC27B2">
        <w:t>2014</w:t>
      </w:r>
      <w:r w:rsidRPr="008356C6">
        <w:t>/</w:t>
      </w:r>
      <w:r w:rsidRPr="00DC27B2">
        <w:t>90</w:t>
      </w:r>
      <w:r w:rsidRPr="008356C6">
        <w:t xml:space="preserve">/UE a Parlamentului European și a Consiliului în ceea ce privește cerințele de proiectare, construcție și performanță, precum și standardele de încercare pentru echipamentele maritime și de abrogare a Regulamentului de punere în aplicare (UE) </w:t>
      </w:r>
      <w:r w:rsidRPr="00DC27B2">
        <w:t>2024</w:t>
      </w:r>
      <w:r w:rsidRPr="008356C6">
        <w:t>/</w:t>
      </w:r>
      <w:r w:rsidRPr="00DC27B2">
        <w:t>1975</w:t>
      </w:r>
      <w:r w:rsidRPr="008356C6">
        <w:t xml:space="preserve"> al Comisiei. JO L, </w:t>
      </w:r>
      <w:r w:rsidRPr="00DC27B2">
        <w:t>2025</w:t>
      </w:r>
      <w:r w:rsidRPr="008356C6">
        <w:t>/</w:t>
      </w:r>
      <w:r w:rsidRPr="00DC27B2">
        <w:t>1533</w:t>
      </w:r>
      <w:r w:rsidRPr="008356C6">
        <w:t xml:space="preserve">, </w:t>
      </w:r>
      <w:r w:rsidRPr="00DC27B2">
        <w:t>23</w:t>
      </w:r>
      <w:r w:rsidRPr="008356C6">
        <w:t>.</w:t>
      </w:r>
      <w:r w:rsidRPr="00DC27B2">
        <w:t>7</w:t>
      </w:r>
      <w:r w:rsidRPr="008356C6">
        <w:t>.</w:t>
      </w:r>
      <w:r w:rsidRPr="00DC27B2">
        <w:t>2025</w:t>
      </w:r>
      <w:r w:rsidRPr="008356C6">
        <w:t xml:space="preserve">. </w:t>
      </w:r>
      <w:hyperlink r:id="rId16" w:tooltip="Oferă acces la acest document prin identificatorul său uniform de resurse ELI." w:history="1">
        <w:r w:rsidRPr="008356C6">
          <w:rPr>
            <w:rStyle w:val="Hyperlink"/>
          </w:rPr>
          <w:t>http://data.europa.eu/eli/reg_impl/</w:t>
        </w:r>
        <w:r w:rsidRPr="00DC27B2">
          <w:rPr>
            <w:rStyle w:val="Hyperlink"/>
          </w:rPr>
          <w:t>2025</w:t>
        </w:r>
        <w:r w:rsidRPr="008356C6">
          <w:rPr>
            <w:rStyle w:val="Hyperlink"/>
          </w:rPr>
          <w:t>/</w:t>
        </w:r>
        <w:r w:rsidRPr="00DC27B2">
          <w:rPr>
            <w:rStyle w:val="Hyperlink"/>
          </w:rPr>
          <w:t>1533</w:t>
        </w:r>
        <w:r w:rsidRPr="008356C6">
          <w:rPr>
            <w:rStyle w:val="Hyperlink"/>
          </w:rPr>
          <w:t>/oj</w:t>
        </w:r>
      </w:hyperlink>
      <w:r w:rsidR="008356C6" w:rsidRPr="008356C6">
        <w:t>.</w:t>
      </w:r>
    </w:p>
  </w:footnote>
  <w:footnote w:id="18">
    <w:p w:rsidR="00B218CD" w:rsidRPr="008356C6" w:rsidRDefault="00B218CD" w:rsidP="00375F7D">
      <w:pPr>
        <w:pStyle w:val="FootnoteText"/>
        <w:ind w:left="0" w:firstLine="0"/>
        <w:rPr>
          <w:rStyle w:val="FootnoteReference"/>
          <w:sz w:val="18"/>
          <w:szCs w:val="18"/>
        </w:rPr>
      </w:pPr>
      <w:r w:rsidRPr="008356C6">
        <w:rPr>
          <w:rStyle w:val="FootnoteReference"/>
        </w:rPr>
        <w:footnoteRef/>
      </w:r>
      <w:r w:rsidRPr="008356C6">
        <w:tab/>
      </w:r>
      <w:r w:rsidRPr="008356C6">
        <w:rPr>
          <w:sz w:val="18"/>
        </w:rPr>
        <w:t xml:space="preserve">Directiva </w:t>
      </w:r>
      <w:r w:rsidRPr="00DC27B2">
        <w:rPr>
          <w:sz w:val="18"/>
        </w:rPr>
        <w:t>2014</w:t>
      </w:r>
      <w:r w:rsidRPr="008356C6">
        <w:rPr>
          <w:sz w:val="18"/>
        </w:rPr>
        <w:t>/</w:t>
      </w:r>
      <w:r w:rsidRPr="00DC27B2">
        <w:rPr>
          <w:sz w:val="18"/>
        </w:rPr>
        <w:t>90</w:t>
      </w:r>
      <w:r w:rsidRPr="008356C6">
        <w:rPr>
          <w:sz w:val="18"/>
        </w:rPr>
        <w:t xml:space="preserve">/UE a Parlamentului European și a Consiliului din </w:t>
      </w:r>
      <w:r w:rsidRPr="00DC27B2">
        <w:rPr>
          <w:sz w:val="18"/>
        </w:rPr>
        <w:t>23</w:t>
      </w:r>
      <w:r w:rsidRPr="008356C6">
        <w:rPr>
          <w:sz w:val="18"/>
        </w:rPr>
        <w:t xml:space="preserve"> iulie </w:t>
      </w:r>
      <w:r w:rsidRPr="00DC27B2">
        <w:rPr>
          <w:sz w:val="18"/>
        </w:rPr>
        <w:t>2014</w:t>
      </w:r>
      <w:r w:rsidRPr="008356C6">
        <w:rPr>
          <w:sz w:val="18"/>
        </w:rPr>
        <w:t xml:space="preserve"> privind echipamentele maritime și de abrogare a Directivei </w:t>
      </w:r>
      <w:r w:rsidRPr="00DC27B2">
        <w:rPr>
          <w:sz w:val="18"/>
        </w:rPr>
        <w:t>96</w:t>
      </w:r>
      <w:r w:rsidRPr="008356C6">
        <w:rPr>
          <w:sz w:val="18"/>
        </w:rPr>
        <w:t>/</w:t>
      </w:r>
      <w:r w:rsidRPr="00DC27B2">
        <w:rPr>
          <w:sz w:val="18"/>
        </w:rPr>
        <w:t>98</w:t>
      </w:r>
      <w:r w:rsidRPr="008356C6">
        <w:rPr>
          <w:sz w:val="18"/>
        </w:rPr>
        <w:t>/CE a Consiliului</w:t>
      </w:r>
      <w:r w:rsidRPr="008356C6">
        <w:t>.</w:t>
      </w:r>
      <w:r w:rsidRPr="008356C6">
        <w:rPr>
          <w:sz w:val="18"/>
        </w:rPr>
        <w:t xml:space="preserve"> </w:t>
      </w:r>
      <w:r w:rsidRPr="008356C6">
        <w:t xml:space="preserve">JO L </w:t>
      </w:r>
      <w:r w:rsidRPr="00DC27B2">
        <w:t>257</w:t>
      </w:r>
      <w:r w:rsidRPr="008356C6">
        <w:t xml:space="preserve">, </w:t>
      </w:r>
      <w:r w:rsidRPr="00DC27B2">
        <w:t>28</w:t>
      </w:r>
      <w:r w:rsidRPr="008356C6">
        <w:t>.</w:t>
      </w:r>
      <w:r w:rsidRPr="00DC27B2">
        <w:t>8</w:t>
      </w:r>
      <w:r w:rsidRPr="008356C6">
        <w:t>.</w:t>
      </w:r>
      <w:r w:rsidRPr="00DC27B2">
        <w:t>2014</w:t>
      </w:r>
      <w:r w:rsidRPr="008356C6">
        <w:t xml:space="preserve">, p. </w:t>
      </w:r>
      <w:r w:rsidRPr="00DC27B2">
        <w:t>146</w:t>
      </w:r>
      <w:r w:rsidRPr="008356C6">
        <w:t xml:space="preserve">. </w:t>
      </w:r>
      <w:hyperlink r:id="rId17" w:tooltip="Oferă acces la acest document prin identificatorul său uniform de resurse ELI." w:history="1">
        <w:r w:rsidRPr="008356C6">
          <w:rPr>
            <w:rStyle w:val="Hyperlink"/>
          </w:rPr>
          <w:t>http://data.europa.eu/eli/dir/</w:t>
        </w:r>
        <w:r w:rsidRPr="00DC27B2">
          <w:rPr>
            <w:rStyle w:val="Hyperlink"/>
          </w:rPr>
          <w:t>2014</w:t>
        </w:r>
        <w:r w:rsidRPr="008356C6">
          <w:rPr>
            <w:rStyle w:val="Hyperlink"/>
          </w:rPr>
          <w:t>/</w:t>
        </w:r>
        <w:r w:rsidRPr="00DC27B2">
          <w:rPr>
            <w:rStyle w:val="Hyperlink"/>
          </w:rPr>
          <w:t>90</w:t>
        </w:r>
        <w:r w:rsidRPr="008356C6">
          <w:rPr>
            <w:rStyle w:val="Hyperlink"/>
          </w:rPr>
          <w:t>/oj</w:t>
        </w:r>
      </w:hyperlink>
      <w:r w:rsidR="008356C6" w:rsidRPr="008356C6">
        <w:t>.</w:t>
      </w:r>
    </w:p>
  </w:footnote>
  <w:footnote w:id="19">
    <w:p w:rsidR="00B218CD" w:rsidRPr="008356C6" w:rsidRDefault="00B218CD" w:rsidP="00375F7D">
      <w:pPr>
        <w:pStyle w:val="FootnoteText"/>
        <w:ind w:left="0" w:firstLine="0"/>
      </w:pPr>
      <w:r w:rsidRPr="008356C6">
        <w:rPr>
          <w:rStyle w:val="FootnoteReference"/>
        </w:rPr>
        <w:footnoteRef/>
      </w:r>
      <w:r w:rsidRPr="008356C6">
        <w:tab/>
        <w:t xml:space="preserve">Directiva </w:t>
      </w:r>
      <w:r w:rsidRPr="00DC27B2">
        <w:t>2009</w:t>
      </w:r>
      <w:r w:rsidRPr="008356C6">
        <w:t>/</w:t>
      </w:r>
      <w:r w:rsidRPr="00DC27B2">
        <w:t>45</w:t>
      </w:r>
      <w:r w:rsidRPr="008356C6">
        <w:t xml:space="preserve">/CE a Parlamentului European și a Consiliului din </w:t>
      </w:r>
      <w:r w:rsidRPr="00DC27B2">
        <w:t>6</w:t>
      </w:r>
      <w:r w:rsidRPr="008356C6">
        <w:t xml:space="preserve"> mai </w:t>
      </w:r>
      <w:r w:rsidRPr="00DC27B2">
        <w:t>2009</w:t>
      </w:r>
      <w:r w:rsidRPr="008356C6">
        <w:t xml:space="preserve"> privind normele și standardele de siguranță pentru navele de pasageri. JO L </w:t>
      </w:r>
      <w:r w:rsidRPr="00DC27B2">
        <w:t>163</w:t>
      </w:r>
      <w:r w:rsidRPr="008356C6">
        <w:t xml:space="preserve">, </w:t>
      </w:r>
      <w:r w:rsidRPr="00DC27B2">
        <w:t>25</w:t>
      </w:r>
      <w:r w:rsidRPr="008356C6">
        <w:t>.</w:t>
      </w:r>
      <w:r w:rsidRPr="00DC27B2">
        <w:t>6</w:t>
      </w:r>
      <w:r w:rsidRPr="008356C6">
        <w:t>.</w:t>
      </w:r>
      <w:r w:rsidRPr="00DC27B2">
        <w:t>2009</w:t>
      </w:r>
      <w:r w:rsidRPr="008356C6">
        <w:t>, p. </w:t>
      </w:r>
      <w:r w:rsidRPr="00DC27B2">
        <w:t>1</w:t>
      </w:r>
      <w:r w:rsidRPr="008356C6">
        <w:t xml:space="preserve">. </w:t>
      </w:r>
      <w:hyperlink r:id="rId18" w:tooltip="Oferă acces la acest document prin identificatorul său uniform de resurse ELI." w:history="1">
        <w:r w:rsidRPr="008356C6">
          <w:rPr>
            <w:rStyle w:val="Hyperlink"/>
          </w:rPr>
          <w:t>http://data.europa.eu/eli/dir/</w:t>
        </w:r>
        <w:r w:rsidRPr="00DC27B2">
          <w:rPr>
            <w:rStyle w:val="Hyperlink"/>
          </w:rPr>
          <w:t>2009</w:t>
        </w:r>
        <w:r w:rsidRPr="008356C6">
          <w:rPr>
            <w:rStyle w:val="Hyperlink"/>
          </w:rPr>
          <w:t>/</w:t>
        </w:r>
        <w:r w:rsidRPr="00DC27B2">
          <w:rPr>
            <w:rStyle w:val="Hyperlink"/>
          </w:rPr>
          <w:t>45</w:t>
        </w:r>
        <w:r w:rsidRPr="008356C6">
          <w:rPr>
            <w:rStyle w:val="Hyperlink"/>
          </w:rPr>
          <w:t>/oj</w:t>
        </w:r>
      </w:hyperlink>
      <w:r w:rsidR="008356C6" w:rsidRPr="008356C6">
        <w:t>.</w:t>
      </w:r>
    </w:p>
  </w:footnote>
  <w:footnote w:id="20">
    <w:p w:rsidR="00497237" w:rsidRPr="008356C6" w:rsidRDefault="00497237" w:rsidP="00375F7D">
      <w:pPr>
        <w:pStyle w:val="FootnoteText"/>
        <w:ind w:left="0" w:firstLine="0"/>
      </w:pPr>
      <w:r w:rsidRPr="008356C6">
        <w:rPr>
          <w:rStyle w:val="FootnoteReference"/>
        </w:rPr>
        <w:footnoteRef/>
      </w:r>
      <w:r w:rsidRPr="008356C6">
        <w:tab/>
        <w:t>Regulamentul (UE) nr. </w:t>
      </w:r>
      <w:r w:rsidRPr="00DC27B2">
        <w:t>530</w:t>
      </w:r>
      <w:r w:rsidRPr="008356C6">
        <w:t>/</w:t>
      </w:r>
      <w:r w:rsidRPr="00DC27B2">
        <w:t>2012</w:t>
      </w:r>
      <w:r w:rsidRPr="008356C6">
        <w:t xml:space="preserve"> al Parlamentului European și al Consiliului din </w:t>
      </w:r>
      <w:r w:rsidRPr="00DC27B2">
        <w:t>13</w:t>
      </w:r>
      <w:r w:rsidRPr="008356C6">
        <w:t xml:space="preserve"> iunie </w:t>
      </w:r>
      <w:r w:rsidRPr="00DC27B2">
        <w:t>2012</w:t>
      </w:r>
      <w:r w:rsidRPr="008356C6">
        <w:t xml:space="preserve"> privind accelerarea introducerii cerințelor referitoare la coca dublă sau a unor standarde de proiectare echivalente pentru petrolierele cu cocă simplă. JO L </w:t>
      </w:r>
      <w:r w:rsidRPr="00DC27B2">
        <w:t>172</w:t>
      </w:r>
      <w:r w:rsidRPr="008356C6">
        <w:t xml:space="preserve">, </w:t>
      </w:r>
      <w:r w:rsidRPr="00DC27B2">
        <w:t>30</w:t>
      </w:r>
      <w:r w:rsidRPr="008356C6">
        <w:t>.</w:t>
      </w:r>
      <w:r w:rsidRPr="00DC27B2">
        <w:t>6</w:t>
      </w:r>
      <w:r w:rsidRPr="008356C6">
        <w:t>.</w:t>
      </w:r>
      <w:r w:rsidRPr="00DC27B2">
        <w:t>2012</w:t>
      </w:r>
      <w:r w:rsidRPr="008356C6">
        <w:t>, p. </w:t>
      </w:r>
      <w:r w:rsidRPr="00DC27B2">
        <w:t>3</w:t>
      </w:r>
      <w:r w:rsidRPr="008356C6">
        <w:t xml:space="preserve">. </w:t>
      </w:r>
      <w:hyperlink r:id="rId19" w:tooltip="Oferă acces la acest document prin identificatorul său uniform de resurse ELI." w:history="1">
        <w:r w:rsidRPr="008356C6">
          <w:rPr>
            <w:rStyle w:val="Hyperlink"/>
          </w:rPr>
          <w:t>http://data.europa.eu/eli/reg/</w:t>
        </w:r>
        <w:r w:rsidRPr="00DC27B2">
          <w:rPr>
            <w:rStyle w:val="Hyperlink"/>
          </w:rPr>
          <w:t>2012</w:t>
        </w:r>
        <w:r w:rsidRPr="008356C6">
          <w:rPr>
            <w:rStyle w:val="Hyperlink"/>
          </w:rPr>
          <w:t>/</w:t>
        </w:r>
        <w:r w:rsidRPr="00DC27B2">
          <w:rPr>
            <w:rStyle w:val="Hyperlink"/>
          </w:rPr>
          <w:t>530</w:t>
        </w:r>
        <w:r w:rsidRPr="008356C6">
          <w:rPr>
            <w:rStyle w:val="Hyperlink"/>
          </w:rPr>
          <w:t>/oj</w:t>
        </w:r>
      </w:hyperlink>
      <w:r w:rsidR="008356C6" w:rsidRPr="008356C6">
        <w:t>.</w:t>
      </w:r>
    </w:p>
  </w:footnote>
  <w:footnote w:id="21">
    <w:p w:rsidR="00E63531" w:rsidRPr="008356C6" w:rsidRDefault="00E63531" w:rsidP="008C3B61">
      <w:pPr>
        <w:pStyle w:val="FootnoteText"/>
      </w:pPr>
      <w:r w:rsidRPr="008356C6">
        <w:rPr>
          <w:rStyle w:val="FootnoteReference"/>
        </w:rPr>
        <w:footnoteRef/>
      </w:r>
      <w:r w:rsidRPr="008356C6">
        <w:tab/>
        <w:t>Cauza C-</w:t>
      </w:r>
      <w:r w:rsidRPr="00DC27B2">
        <w:t>399</w:t>
      </w:r>
      <w:r w:rsidRPr="008356C6">
        <w:t>/</w:t>
      </w:r>
      <w:r w:rsidRPr="00DC27B2">
        <w:t>12</w:t>
      </w:r>
      <w:r w:rsidRPr="008356C6">
        <w:t>, Germania/Consiliul (OIV), ECLI:EU:C:</w:t>
      </w:r>
      <w:r w:rsidRPr="00DC27B2">
        <w:t>2014</w:t>
      </w:r>
      <w:r w:rsidRPr="008356C6">
        <w:t>:</w:t>
      </w:r>
      <w:r w:rsidRPr="00DC27B2">
        <w:t>2258</w:t>
      </w:r>
      <w:r w:rsidRPr="008356C6">
        <w:t xml:space="preserve">, punctul </w:t>
      </w:r>
      <w:r w:rsidRPr="00DC27B2">
        <w:t>64</w:t>
      </w:r>
      <w:r w:rsidRPr="008356C6">
        <w:t xml:space="preserve">. </w:t>
      </w:r>
    </w:p>
  </w:footnote>
  <w:footnote w:id="22">
    <w:p w:rsidR="007432B1" w:rsidRPr="008356C6" w:rsidRDefault="007432B1" w:rsidP="007432B1">
      <w:pPr>
        <w:pStyle w:val="FootnoteText"/>
      </w:pPr>
      <w:r w:rsidRPr="008356C6">
        <w:rPr>
          <w:rStyle w:val="FootnoteReference"/>
        </w:rPr>
        <w:footnoteRef/>
      </w:r>
      <w:r w:rsidRPr="008356C6">
        <w:tab/>
        <w:t xml:space="preserve">JO L </w:t>
      </w:r>
      <w:r w:rsidRPr="00DC27B2">
        <w:t>132</w:t>
      </w:r>
      <w:r w:rsidRPr="008356C6">
        <w:t xml:space="preserve">, </w:t>
      </w:r>
      <w:r w:rsidRPr="00DC27B2">
        <w:t>21</w:t>
      </w:r>
      <w:r w:rsidRPr="008356C6">
        <w:t>.</w:t>
      </w:r>
      <w:r w:rsidRPr="00DC27B2">
        <w:t>5</w:t>
      </w:r>
      <w:r w:rsidRPr="008356C6">
        <w:t>.</w:t>
      </w:r>
      <w:r w:rsidRPr="00DC27B2">
        <w:t>2016</w:t>
      </w:r>
      <w:r w:rsidRPr="008356C6">
        <w:t xml:space="preserve">, p. </w:t>
      </w:r>
      <w:r w:rsidRPr="00DC27B2">
        <w:t>58</w:t>
      </w:r>
      <w:r w:rsidR="00DC27B2">
        <w:t>.</w:t>
      </w:r>
    </w:p>
  </w:footnote>
  <w:footnote w:id="23">
    <w:p w:rsidR="007432B1" w:rsidRPr="008356C6" w:rsidRDefault="007432B1" w:rsidP="007432B1">
      <w:pPr>
        <w:pStyle w:val="FootnoteText"/>
      </w:pPr>
      <w:r w:rsidRPr="008356C6">
        <w:rPr>
          <w:rStyle w:val="FootnoteReference"/>
        </w:rPr>
        <w:footnoteRef/>
      </w:r>
      <w:r w:rsidRPr="008356C6">
        <w:tab/>
        <w:t xml:space="preserve">JO L </w:t>
      </w:r>
      <w:r w:rsidRPr="00DC27B2">
        <w:t>123</w:t>
      </w:r>
      <w:r w:rsidRPr="008356C6">
        <w:t xml:space="preserve">, </w:t>
      </w:r>
      <w:r w:rsidRPr="00DC27B2">
        <w:t>19</w:t>
      </w:r>
      <w:r w:rsidRPr="008356C6">
        <w:t>.</w:t>
      </w:r>
      <w:r w:rsidRPr="00DC27B2">
        <w:t>5</w:t>
      </w:r>
      <w:r w:rsidRPr="008356C6">
        <w:t>.</w:t>
      </w:r>
      <w:r w:rsidRPr="00DC27B2">
        <w:t>2015</w:t>
      </w:r>
      <w:r w:rsidRPr="008356C6">
        <w:t xml:space="preserve">, p. </w:t>
      </w:r>
      <w:r w:rsidRPr="00DC27B2">
        <w:t>55</w:t>
      </w:r>
      <w:r w:rsidR="00DC27B2">
        <w:t>.</w:t>
      </w:r>
    </w:p>
  </w:footnote>
  <w:footnote w:id="24">
    <w:p w:rsidR="007432B1" w:rsidRPr="008356C6" w:rsidRDefault="007432B1">
      <w:pPr>
        <w:pStyle w:val="FootnoteText"/>
      </w:pPr>
      <w:r w:rsidRPr="008356C6">
        <w:rPr>
          <w:rStyle w:val="FootnoteReference"/>
        </w:rPr>
        <w:footnoteRef/>
      </w:r>
      <w:r w:rsidRPr="008356C6">
        <w:tab/>
        <w:t xml:space="preserve">JO L </w:t>
      </w:r>
      <w:r w:rsidRPr="00DC27B2">
        <w:t>130</w:t>
      </w:r>
      <w:r w:rsidRPr="008356C6">
        <w:t xml:space="preserve">, </w:t>
      </w:r>
      <w:r w:rsidRPr="00DC27B2">
        <w:t>16</w:t>
      </w:r>
      <w:r w:rsidRPr="008356C6">
        <w:t>.</w:t>
      </w:r>
      <w:r w:rsidRPr="00DC27B2">
        <w:t>5</w:t>
      </w:r>
      <w:r w:rsidRPr="008356C6">
        <w:t>.</w:t>
      </w:r>
      <w:r w:rsidRPr="00DC27B2">
        <w:t>2023</w:t>
      </w:r>
      <w:r w:rsidRPr="008356C6">
        <w:t xml:space="preserve">, p. </w:t>
      </w:r>
      <w:r w:rsidRPr="00DC27B2">
        <w:t>134</w:t>
      </w:r>
      <w:r w:rsidR="00DC27B2">
        <w:t>.</w:t>
      </w:r>
    </w:p>
  </w:footnote>
  <w:footnote w:id="25">
    <w:p w:rsidR="007432B1" w:rsidRPr="008356C6" w:rsidRDefault="007432B1" w:rsidP="007432B1">
      <w:pPr>
        <w:pStyle w:val="FootnoteText"/>
      </w:pPr>
      <w:r w:rsidRPr="008356C6">
        <w:rPr>
          <w:rStyle w:val="FootnoteReference"/>
        </w:rPr>
        <w:footnoteRef/>
      </w:r>
      <w:r w:rsidRPr="008356C6">
        <w:tab/>
        <w:t xml:space="preserve">JO L </w:t>
      </w:r>
      <w:r w:rsidRPr="00DC27B2">
        <w:t>234</w:t>
      </w:r>
      <w:r w:rsidRPr="008356C6">
        <w:t xml:space="preserve">, </w:t>
      </w:r>
      <w:r w:rsidRPr="00DC27B2">
        <w:t>22</w:t>
      </w:r>
      <w:r w:rsidRPr="008356C6">
        <w:t>.</w:t>
      </w:r>
      <w:r w:rsidRPr="00DC27B2">
        <w:t>9</w:t>
      </w:r>
      <w:r w:rsidRPr="008356C6">
        <w:t>.</w:t>
      </w:r>
      <w:r w:rsidRPr="00DC27B2">
        <w:t>2023</w:t>
      </w:r>
      <w:r w:rsidRPr="008356C6">
        <w:t xml:space="preserve">, p. </w:t>
      </w:r>
      <w:r w:rsidRPr="00DC27B2">
        <w:t>48</w:t>
      </w:r>
      <w:r w:rsidR="00DC27B2">
        <w:t>.</w:t>
      </w:r>
    </w:p>
  </w:footnote>
  <w:footnote w:id="26">
    <w:p w:rsidR="005C359E" w:rsidRPr="008356C6" w:rsidRDefault="005C359E" w:rsidP="005C359E">
      <w:pPr>
        <w:pStyle w:val="FootnoteText"/>
      </w:pPr>
      <w:r w:rsidRPr="008356C6">
        <w:rPr>
          <w:rStyle w:val="FootnoteReference"/>
        </w:rPr>
        <w:footnoteRef/>
      </w:r>
      <w:r w:rsidRPr="008356C6">
        <w:tab/>
        <w:t xml:space="preserve">JO L </w:t>
      </w:r>
      <w:r w:rsidRPr="00DC27B2">
        <w:t>163</w:t>
      </w:r>
      <w:r w:rsidRPr="008356C6">
        <w:t xml:space="preserve">, </w:t>
      </w:r>
      <w:r w:rsidRPr="00DC27B2">
        <w:t>25</w:t>
      </w:r>
      <w:r w:rsidRPr="008356C6">
        <w:t>.</w:t>
      </w:r>
      <w:r w:rsidRPr="00DC27B2">
        <w:t>6</w:t>
      </w:r>
      <w:r w:rsidRPr="008356C6">
        <w:t>.</w:t>
      </w:r>
      <w:r w:rsidRPr="00DC27B2">
        <w:t>2009</w:t>
      </w:r>
      <w:r w:rsidRPr="008356C6">
        <w:t xml:space="preserve">, p. </w:t>
      </w:r>
      <w:r w:rsidRPr="00DC27B2">
        <w:t>1</w:t>
      </w:r>
      <w:r w:rsidR="00DC27B2">
        <w:t>.</w:t>
      </w:r>
    </w:p>
  </w:footnote>
  <w:footnote w:id="27">
    <w:p w:rsidR="005C359E" w:rsidRPr="008356C6" w:rsidRDefault="005C359E" w:rsidP="005C359E">
      <w:pPr>
        <w:pStyle w:val="FootnoteText"/>
      </w:pPr>
      <w:r w:rsidRPr="008356C6">
        <w:rPr>
          <w:rStyle w:val="FootnoteReference"/>
        </w:rPr>
        <w:footnoteRef/>
      </w:r>
      <w:r w:rsidRPr="008356C6">
        <w:tab/>
        <w:t xml:space="preserve">JO L </w:t>
      </w:r>
      <w:r w:rsidRPr="00DC27B2">
        <w:t>208</w:t>
      </w:r>
      <w:r w:rsidRPr="008356C6">
        <w:t xml:space="preserve">, </w:t>
      </w:r>
      <w:r w:rsidRPr="00DC27B2">
        <w:t>5</w:t>
      </w:r>
      <w:r w:rsidRPr="008356C6">
        <w:t>.</w:t>
      </w:r>
      <w:r w:rsidRPr="00DC27B2">
        <w:t>8</w:t>
      </w:r>
      <w:r w:rsidRPr="008356C6">
        <w:t>.</w:t>
      </w:r>
      <w:r w:rsidRPr="00DC27B2">
        <w:t>2002</w:t>
      </w:r>
      <w:r w:rsidRPr="008356C6">
        <w:t xml:space="preserve">, p. </w:t>
      </w:r>
      <w:r w:rsidRPr="00DC27B2">
        <w:t>10</w:t>
      </w:r>
      <w:r w:rsidR="00DC27B2">
        <w:t>.</w:t>
      </w:r>
    </w:p>
  </w:footnote>
  <w:footnote w:id="28">
    <w:p w:rsidR="005C359E" w:rsidRPr="008356C6" w:rsidRDefault="005C359E" w:rsidP="005C359E">
      <w:pPr>
        <w:pStyle w:val="FootnoteText"/>
      </w:pPr>
      <w:r w:rsidRPr="008356C6">
        <w:rPr>
          <w:rStyle w:val="FootnoteReference"/>
        </w:rPr>
        <w:footnoteRef/>
      </w:r>
      <w:r w:rsidRPr="008356C6">
        <w:tab/>
        <w:t xml:space="preserve">JO L </w:t>
      </w:r>
      <w:r w:rsidRPr="00DC27B2">
        <w:t>172</w:t>
      </w:r>
      <w:r w:rsidRPr="008356C6">
        <w:t xml:space="preserve">, </w:t>
      </w:r>
      <w:r w:rsidRPr="00DC27B2">
        <w:t>30</w:t>
      </w:r>
      <w:r w:rsidRPr="008356C6">
        <w:t>.</w:t>
      </w:r>
      <w:r w:rsidRPr="00DC27B2">
        <w:t>6</w:t>
      </w:r>
      <w:r w:rsidRPr="008356C6">
        <w:t>.</w:t>
      </w:r>
      <w:r w:rsidRPr="00DC27B2">
        <w:t>2012</w:t>
      </w:r>
      <w:r w:rsidRPr="008356C6">
        <w:t xml:space="preserve">, p. </w:t>
      </w:r>
      <w:r w:rsidRPr="00DC27B2">
        <w:t>3</w:t>
      </w:r>
      <w:r w:rsidR="00DC27B2">
        <w:t>.</w:t>
      </w:r>
    </w:p>
  </w:footnote>
  <w:footnote w:id="29">
    <w:p w:rsidR="005C359E" w:rsidRPr="008356C6" w:rsidRDefault="005C359E" w:rsidP="005C359E">
      <w:pPr>
        <w:pStyle w:val="FootnoteText"/>
      </w:pPr>
      <w:r w:rsidRPr="008356C6">
        <w:rPr>
          <w:rStyle w:val="FootnoteReference"/>
        </w:rPr>
        <w:footnoteRef/>
      </w:r>
      <w:r w:rsidRPr="008356C6">
        <w:tab/>
        <w:t xml:space="preserve">JO L </w:t>
      </w:r>
      <w:r w:rsidRPr="00DC27B2">
        <w:t>257</w:t>
      </w:r>
      <w:r w:rsidRPr="008356C6">
        <w:t xml:space="preserve">, </w:t>
      </w:r>
      <w:r w:rsidRPr="00DC27B2">
        <w:t>28</w:t>
      </w:r>
      <w:r w:rsidRPr="008356C6">
        <w:t>.</w:t>
      </w:r>
      <w:r w:rsidRPr="00DC27B2">
        <w:t>8</w:t>
      </w:r>
      <w:r w:rsidRPr="008356C6">
        <w:t>.</w:t>
      </w:r>
      <w:r w:rsidRPr="00DC27B2">
        <w:t>2014</w:t>
      </w:r>
      <w:r w:rsidRPr="008356C6">
        <w:t xml:space="preserve">, p. </w:t>
      </w:r>
      <w:r w:rsidRPr="00DC27B2">
        <w:t>146</w:t>
      </w:r>
      <w:r w:rsidR="00DC27B2">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252" w:rsidRDefault="002712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252" w:rsidRDefault="002712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656D76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BD2636C"/>
    <w:name w:val="Point"/>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D38401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E6E69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B0CE5F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BE7F0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D0C9A4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B68BA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7280071"/>
    <w:multiLevelType w:val="multilevel"/>
    <w:tmpl w:val="39C25228"/>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
  </w:num>
  <w:num w:numId="6">
    <w:abstractNumId w:val="6"/>
  </w:num>
  <w:num w:numId="7">
    <w:abstractNumId w:val="2"/>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num>
  <w:num w:numId="11">
    <w:abstractNumId w:val="23"/>
  </w:num>
  <w:num w:numId="12">
    <w:abstractNumId w:val="2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num>
  <w:num w:numId="15">
    <w:abstractNumId w:val="17"/>
    <w:lvlOverride w:ilvl="0">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2"/>
  </w:num>
  <w:num w:numId="23">
    <w:abstractNumId w:val="21"/>
  </w:num>
  <w:num w:numId="24">
    <w:abstractNumId w:val="11"/>
  </w:num>
  <w:num w:numId="25">
    <w:abstractNumId w:val="13"/>
  </w:num>
  <w:num w:numId="26">
    <w:abstractNumId w:val="14"/>
  </w:num>
  <w:num w:numId="27">
    <w:abstractNumId w:val="9"/>
  </w:num>
  <w:num w:numId="28">
    <w:abstractNumId w:val="20"/>
  </w:num>
  <w:num w:numId="29">
    <w:abstractNumId w:val="8"/>
  </w:num>
  <w:num w:numId="30">
    <w:abstractNumId w:val="15"/>
  </w:num>
  <w:num w:numId="31">
    <w:abstractNumId w:val="17"/>
  </w:num>
  <w:num w:numId="32">
    <w:abstractNumId w:val="18"/>
  </w:num>
  <w:num w:numId="33">
    <w:abstractNumId w:val="10"/>
  </w:num>
  <w:num w:numId="34">
    <w:abstractNumId w:val="16"/>
  </w:num>
  <w:num w:numId="35">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0" w:nlCheck="1" w:checkStyle="0"/>
  <w:activeWritingStyle w:appName="MSWord" w:lang="nl-BE"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gnword-docGUID" w:val="{3EDE5AF0-BCC9-4183-9E22-6BA87EB969F2}"/>
    <w:docVar w:name="dgnword-eventsink" w:val="860125544"/>
    <w:docVar w:name="DQCDateTime" w:val="2026-03-19 10:04: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939CAEF-B35A-4F5B-B877-FAAD98F15C78"/>
    <w:docVar w:name="LW_COVERPAGE_TYPE" w:val="1"/>
    <w:docVar w:name="LW_CROSSREFERENCE" w:val="&lt;UNUSED&gt;"/>
    <w:docVar w:name="LW_DocType" w:val="COM"/>
    <w:docVar w:name="LW_EMISSION" w:val="19.3.2026"/>
    <w:docVar w:name="LW_EMISSION_ISODATE" w:val="2026-03-19"/>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73"/>
    <w:docVar w:name="LW_REF.II.NEW.CP_YEAR" w:val="2026"/>
    <w:docVar w:name="LW_REF.INST.NEW" w:val="COM"/>
    <w:docVar w:name="LW_REF.INST.NEW_ADOPTED" w:val="final"/>
    <w:docVar w:name="LW_REF.INST.NEW_TEXT" w:val="(2026) 12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Organiza\u539?iei Maritime Interna\u539?ionale cu ocazia celei de a 84-a sesiuni a Comitetului pentru protec\u539?ia mediului marin în ceea ce prive\u537?te adoptarea unor amendamente la Conven\u539?ia interna\u539?ional\u259? pentru prevenirea polu\u259?rii de c\u259?tre nave (MARPOL) \u537?i cu ocazia celei de a 111-a sesiuni a Comitetului pentru siguran\u539?\u259? maritim\u259? în ceea ce prive\u537?te adoptarea unor amendamente la Conven\u539?ia interna\u539?ional\u259? pentru ocrotirea vie\u539?ii omene\u537?ti pe mare (SOLAS) din 1974, la Codul interna\u539?ional din 1994 pentru siguran\u539?a navelor de mare vitez\u259? (Codul HSC din 1994), la Codul interna\u539?ional din 2000 pentru siguran\u539?a navelor de mare vitez\u259? (Codul HSC din 2000), la Codul interna\u539?ional din 2011 privind programul intensificat de inspec\u539?ii efectuate cu ocazia inspec\u539?iilor la vrachiere \u537?i petroliere (Codul ESP din 2011), la Codul interna\u539?ional al mijloacelor de salvare (Codul LSA) \u537?i la Protocolul din 1988 referitor la Conven\u539?ia interna\u539?ional\u259? din 1966 privind liniile de înc\u259?rcare (Protocolul din 1988 privind liniile de înc\u259?rcare)"/>
    <w:docVar w:name="LW_TYPE.DOC.CP" w:val="DECIZIE A CONSILIULUI"/>
    <w:docVar w:name="LwApiVersions" w:val="LW4CoDe 1.24.5.0; LW 9.2, Build 20251112"/>
  </w:docVars>
  <w:rsids>
    <w:rsidRoot w:val="00996C46"/>
    <w:rsid w:val="00002617"/>
    <w:rsid w:val="00002796"/>
    <w:rsid w:val="000027A3"/>
    <w:rsid w:val="00003807"/>
    <w:rsid w:val="00003ED8"/>
    <w:rsid w:val="000055C4"/>
    <w:rsid w:val="00005771"/>
    <w:rsid w:val="00005D5D"/>
    <w:rsid w:val="000076E0"/>
    <w:rsid w:val="00010D52"/>
    <w:rsid w:val="0001303B"/>
    <w:rsid w:val="0001427C"/>
    <w:rsid w:val="00015649"/>
    <w:rsid w:val="00015B98"/>
    <w:rsid w:val="0002037E"/>
    <w:rsid w:val="000203E7"/>
    <w:rsid w:val="00020E62"/>
    <w:rsid w:val="00023D24"/>
    <w:rsid w:val="000244B7"/>
    <w:rsid w:val="000260C6"/>
    <w:rsid w:val="000276A1"/>
    <w:rsid w:val="00030CBE"/>
    <w:rsid w:val="00031653"/>
    <w:rsid w:val="00032037"/>
    <w:rsid w:val="00034BB5"/>
    <w:rsid w:val="00037A7F"/>
    <w:rsid w:val="00040390"/>
    <w:rsid w:val="000405BF"/>
    <w:rsid w:val="00042583"/>
    <w:rsid w:val="0004574E"/>
    <w:rsid w:val="00045890"/>
    <w:rsid w:val="000461E8"/>
    <w:rsid w:val="00050A58"/>
    <w:rsid w:val="00050EC7"/>
    <w:rsid w:val="00054577"/>
    <w:rsid w:val="000603F1"/>
    <w:rsid w:val="00060F65"/>
    <w:rsid w:val="000663CC"/>
    <w:rsid w:val="00072743"/>
    <w:rsid w:val="00072C9F"/>
    <w:rsid w:val="000732DE"/>
    <w:rsid w:val="000753C1"/>
    <w:rsid w:val="000770E7"/>
    <w:rsid w:val="00081FB9"/>
    <w:rsid w:val="00081FFB"/>
    <w:rsid w:val="00082064"/>
    <w:rsid w:val="00084EE6"/>
    <w:rsid w:val="000860E3"/>
    <w:rsid w:val="00086417"/>
    <w:rsid w:val="00086F55"/>
    <w:rsid w:val="000903CC"/>
    <w:rsid w:val="00090428"/>
    <w:rsid w:val="0009047A"/>
    <w:rsid w:val="00090B3A"/>
    <w:rsid w:val="00091261"/>
    <w:rsid w:val="0009185B"/>
    <w:rsid w:val="0009299F"/>
    <w:rsid w:val="00095B44"/>
    <w:rsid w:val="00095CC7"/>
    <w:rsid w:val="000A230A"/>
    <w:rsid w:val="000A2B2D"/>
    <w:rsid w:val="000A55D8"/>
    <w:rsid w:val="000A6997"/>
    <w:rsid w:val="000A7517"/>
    <w:rsid w:val="000B2B2E"/>
    <w:rsid w:val="000B40B5"/>
    <w:rsid w:val="000B41D6"/>
    <w:rsid w:val="000B6AF2"/>
    <w:rsid w:val="000B7492"/>
    <w:rsid w:val="000B75D5"/>
    <w:rsid w:val="000C0442"/>
    <w:rsid w:val="000C09FE"/>
    <w:rsid w:val="000C0C28"/>
    <w:rsid w:val="000C1BE6"/>
    <w:rsid w:val="000C43A0"/>
    <w:rsid w:val="000C5BCF"/>
    <w:rsid w:val="000C7E5A"/>
    <w:rsid w:val="000C7F6F"/>
    <w:rsid w:val="000D00C1"/>
    <w:rsid w:val="000D1E49"/>
    <w:rsid w:val="000D2812"/>
    <w:rsid w:val="000D6215"/>
    <w:rsid w:val="000D7D4D"/>
    <w:rsid w:val="000E0DBB"/>
    <w:rsid w:val="000E198E"/>
    <w:rsid w:val="000E4889"/>
    <w:rsid w:val="000E495D"/>
    <w:rsid w:val="000E7CD6"/>
    <w:rsid w:val="000E7D55"/>
    <w:rsid w:val="000F16FD"/>
    <w:rsid w:val="000F52BF"/>
    <w:rsid w:val="000F5F2F"/>
    <w:rsid w:val="000F70A1"/>
    <w:rsid w:val="0010079B"/>
    <w:rsid w:val="0010294F"/>
    <w:rsid w:val="00103B07"/>
    <w:rsid w:val="00103E24"/>
    <w:rsid w:val="00104786"/>
    <w:rsid w:val="00106719"/>
    <w:rsid w:val="001076EF"/>
    <w:rsid w:val="00107A5C"/>
    <w:rsid w:val="00114031"/>
    <w:rsid w:val="0011696E"/>
    <w:rsid w:val="00122342"/>
    <w:rsid w:val="00125A0D"/>
    <w:rsid w:val="001267BF"/>
    <w:rsid w:val="001278DD"/>
    <w:rsid w:val="00130544"/>
    <w:rsid w:val="00130F63"/>
    <w:rsid w:val="001311A7"/>
    <w:rsid w:val="00131AB8"/>
    <w:rsid w:val="00132599"/>
    <w:rsid w:val="00137D3D"/>
    <w:rsid w:val="00141773"/>
    <w:rsid w:val="001421C6"/>
    <w:rsid w:val="00150C0D"/>
    <w:rsid w:val="00152740"/>
    <w:rsid w:val="001533E7"/>
    <w:rsid w:val="00154285"/>
    <w:rsid w:val="00154D39"/>
    <w:rsid w:val="00155790"/>
    <w:rsid w:val="00157887"/>
    <w:rsid w:val="0016091C"/>
    <w:rsid w:val="0016123A"/>
    <w:rsid w:val="001613DB"/>
    <w:rsid w:val="001614EE"/>
    <w:rsid w:val="0016169B"/>
    <w:rsid w:val="0016189F"/>
    <w:rsid w:val="00163CB7"/>
    <w:rsid w:val="00163E82"/>
    <w:rsid w:val="00164658"/>
    <w:rsid w:val="00165E72"/>
    <w:rsid w:val="00165FA1"/>
    <w:rsid w:val="00166B4D"/>
    <w:rsid w:val="0016742F"/>
    <w:rsid w:val="001701B4"/>
    <w:rsid w:val="00173BE2"/>
    <w:rsid w:val="0017714E"/>
    <w:rsid w:val="00181913"/>
    <w:rsid w:val="0018332E"/>
    <w:rsid w:val="00183A2E"/>
    <w:rsid w:val="00184961"/>
    <w:rsid w:val="001852FD"/>
    <w:rsid w:val="0018625D"/>
    <w:rsid w:val="00187D4F"/>
    <w:rsid w:val="00191BCB"/>
    <w:rsid w:val="0019201B"/>
    <w:rsid w:val="00193459"/>
    <w:rsid w:val="001938FB"/>
    <w:rsid w:val="00194C1F"/>
    <w:rsid w:val="001953AF"/>
    <w:rsid w:val="00195739"/>
    <w:rsid w:val="001959D4"/>
    <w:rsid w:val="00196C20"/>
    <w:rsid w:val="00197DC9"/>
    <w:rsid w:val="001A1A5E"/>
    <w:rsid w:val="001A2211"/>
    <w:rsid w:val="001A34BA"/>
    <w:rsid w:val="001A3721"/>
    <w:rsid w:val="001A38C1"/>
    <w:rsid w:val="001A38FB"/>
    <w:rsid w:val="001A4ADD"/>
    <w:rsid w:val="001A58B9"/>
    <w:rsid w:val="001A5B15"/>
    <w:rsid w:val="001A6DDA"/>
    <w:rsid w:val="001A7757"/>
    <w:rsid w:val="001B0B45"/>
    <w:rsid w:val="001B3CA4"/>
    <w:rsid w:val="001B6143"/>
    <w:rsid w:val="001B796C"/>
    <w:rsid w:val="001B7FEB"/>
    <w:rsid w:val="001C0196"/>
    <w:rsid w:val="001C1AE5"/>
    <w:rsid w:val="001C2816"/>
    <w:rsid w:val="001C2BB1"/>
    <w:rsid w:val="001C3207"/>
    <w:rsid w:val="001C64D4"/>
    <w:rsid w:val="001C79F8"/>
    <w:rsid w:val="001D0D26"/>
    <w:rsid w:val="001D1C09"/>
    <w:rsid w:val="001D28B0"/>
    <w:rsid w:val="001D3410"/>
    <w:rsid w:val="001D40E9"/>
    <w:rsid w:val="001D6F87"/>
    <w:rsid w:val="001E164E"/>
    <w:rsid w:val="001E241B"/>
    <w:rsid w:val="001E2D77"/>
    <w:rsid w:val="001E3F0F"/>
    <w:rsid w:val="001E4438"/>
    <w:rsid w:val="001E4C89"/>
    <w:rsid w:val="001E6AD4"/>
    <w:rsid w:val="001E79D9"/>
    <w:rsid w:val="001F4D00"/>
    <w:rsid w:val="001F50A9"/>
    <w:rsid w:val="001F6A13"/>
    <w:rsid w:val="001F6E4F"/>
    <w:rsid w:val="00200757"/>
    <w:rsid w:val="0020229E"/>
    <w:rsid w:val="00203E0F"/>
    <w:rsid w:val="002042B6"/>
    <w:rsid w:val="002042CD"/>
    <w:rsid w:val="0020478F"/>
    <w:rsid w:val="002068AD"/>
    <w:rsid w:val="00206DBF"/>
    <w:rsid w:val="00206E63"/>
    <w:rsid w:val="002074E2"/>
    <w:rsid w:val="002078D0"/>
    <w:rsid w:val="00210631"/>
    <w:rsid w:val="0021074C"/>
    <w:rsid w:val="00210AA9"/>
    <w:rsid w:val="00212470"/>
    <w:rsid w:val="002134E5"/>
    <w:rsid w:val="002207FA"/>
    <w:rsid w:val="002223B8"/>
    <w:rsid w:val="00222A9A"/>
    <w:rsid w:val="00224378"/>
    <w:rsid w:val="00227C9C"/>
    <w:rsid w:val="002307E6"/>
    <w:rsid w:val="00231817"/>
    <w:rsid w:val="00232444"/>
    <w:rsid w:val="00232827"/>
    <w:rsid w:val="002341F8"/>
    <w:rsid w:val="00234A8A"/>
    <w:rsid w:val="00234B74"/>
    <w:rsid w:val="00234FB5"/>
    <w:rsid w:val="002359CC"/>
    <w:rsid w:val="002408A0"/>
    <w:rsid w:val="002414FF"/>
    <w:rsid w:val="0024216F"/>
    <w:rsid w:val="002509F8"/>
    <w:rsid w:val="00254565"/>
    <w:rsid w:val="00254D48"/>
    <w:rsid w:val="0025639C"/>
    <w:rsid w:val="00260804"/>
    <w:rsid w:val="00263028"/>
    <w:rsid w:val="0026554C"/>
    <w:rsid w:val="00267ABD"/>
    <w:rsid w:val="00270A9D"/>
    <w:rsid w:val="0027102F"/>
    <w:rsid w:val="00271252"/>
    <w:rsid w:val="00273039"/>
    <w:rsid w:val="0027645F"/>
    <w:rsid w:val="00277A4B"/>
    <w:rsid w:val="00280D9E"/>
    <w:rsid w:val="002822A5"/>
    <w:rsid w:val="00282B7D"/>
    <w:rsid w:val="00293F39"/>
    <w:rsid w:val="002A06A0"/>
    <w:rsid w:val="002A0AB8"/>
    <w:rsid w:val="002A0F2F"/>
    <w:rsid w:val="002A0F66"/>
    <w:rsid w:val="002A131A"/>
    <w:rsid w:val="002A135C"/>
    <w:rsid w:val="002A23D1"/>
    <w:rsid w:val="002A244E"/>
    <w:rsid w:val="002A33B0"/>
    <w:rsid w:val="002A3698"/>
    <w:rsid w:val="002A6D77"/>
    <w:rsid w:val="002A7767"/>
    <w:rsid w:val="002A7CC3"/>
    <w:rsid w:val="002B101A"/>
    <w:rsid w:val="002B436B"/>
    <w:rsid w:val="002B6DC9"/>
    <w:rsid w:val="002B7D65"/>
    <w:rsid w:val="002B7D7D"/>
    <w:rsid w:val="002C0BF4"/>
    <w:rsid w:val="002C2CED"/>
    <w:rsid w:val="002C30DC"/>
    <w:rsid w:val="002C3178"/>
    <w:rsid w:val="002C3A66"/>
    <w:rsid w:val="002C3FA5"/>
    <w:rsid w:val="002C48D7"/>
    <w:rsid w:val="002C5075"/>
    <w:rsid w:val="002C5DD7"/>
    <w:rsid w:val="002C6454"/>
    <w:rsid w:val="002C6B92"/>
    <w:rsid w:val="002C7358"/>
    <w:rsid w:val="002D0A3E"/>
    <w:rsid w:val="002D2924"/>
    <w:rsid w:val="002D2B0F"/>
    <w:rsid w:val="002D3914"/>
    <w:rsid w:val="002D4C70"/>
    <w:rsid w:val="002E211E"/>
    <w:rsid w:val="002E50F6"/>
    <w:rsid w:val="002E782F"/>
    <w:rsid w:val="002F16B8"/>
    <w:rsid w:val="002F305E"/>
    <w:rsid w:val="002F6BC2"/>
    <w:rsid w:val="002F743A"/>
    <w:rsid w:val="002F77D9"/>
    <w:rsid w:val="00301E07"/>
    <w:rsid w:val="00302DB4"/>
    <w:rsid w:val="00302FA1"/>
    <w:rsid w:val="00303791"/>
    <w:rsid w:val="00310221"/>
    <w:rsid w:val="00311A2F"/>
    <w:rsid w:val="0031264A"/>
    <w:rsid w:val="00314224"/>
    <w:rsid w:val="00314B03"/>
    <w:rsid w:val="00315827"/>
    <w:rsid w:val="00315E52"/>
    <w:rsid w:val="0031605C"/>
    <w:rsid w:val="00317EFE"/>
    <w:rsid w:val="0032029D"/>
    <w:rsid w:val="00320377"/>
    <w:rsid w:val="003212DE"/>
    <w:rsid w:val="00321CA2"/>
    <w:rsid w:val="00322F7E"/>
    <w:rsid w:val="00324D68"/>
    <w:rsid w:val="003315DD"/>
    <w:rsid w:val="00335977"/>
    <w:rsid w:val="00336DF3"/>
    <w:rsid w:val="003371A2"/>
    <w:rsid w:val="0034488F"/>
    <w:rsid w:val="00344DD7"/>
    <w:rsid w:val="0034562D"/>
    <w:rsid w:val="0034601E"/>
    <w:rsid w:val="0034607B"/>
    <w:rsid w:val="00346E44"/>
    <w:rsid w:val="00347D9D"/>
    <w:rsid w:val="00350B74"/>
    <w:rsid w:val="0035120B"/>
    <w:rsid w:val="003518AC"/>
    <w:rsid w:val="00351FC7"/>
    <w:rsid w:val="00352615"/>
    <w:rsid w:val="00352811"/>
    <w:rsid w:val="003550FA"/>
    <w:rsid w:val="003570C6"/>
    <w:rsid w:val="0035740A"/>
    <w:rsid w:val="00357AC8"/>
    <w:rsid w:val="00362A22"/>
    <w:rsid w:val="003645A6"/>
    <w:rsid w:val="003731AD"/>
    <w:rsid w:val="00374131"/>
    <w:rsid w:val="00375F7D"/>
    <w:rsid w:val="00376722"/>
    <w:rsid w:val="00376DD4"/>
    <w:rsid w:val="00380162"/>
    <w:rsid w:val="00382AE0"/>
    <w:rsid w:val="003836F3"/>
    <w:rsid w:val="003841C0"/>
    <w:rsid w:val="0038428C"/>
    <w:rsid w:val="0038445F"/>
    <w:rsid w:val="00384E57"/>
    <w:rsid w:val="00392F57"/>
    <w:rsid w:val="00392FBC"/>
    <w:rsid w:val="00393AB6"/>
    <w:rsid w:val="00393ADA"/>
    <w:rsid w:val="00393F0E"/>
    <w:rsid w:val="00396938"/>
    <w:rsid w:val="00396F8B"/>
    <w:rsid w:val="003A0A2B"/>
    <w:rsid w:val="003A1A9B"/>
    <w:rsid w:val="003A1C6F"/>
    <w:rsid w:val="003A3853"/>
    <w:rsid w:val="003A55FF"/>
    <w:rsid w:val="003A5D64"/>
    <w:rsid w:val="003A6999"/>
    <w:rsid w:val="003B00C2"/>
    <w:rsid w:val="003B0FBB"/>
    <w:rsid w:val="003B1486"/>
    <w:rsid w:val="003B223B"/>
    <w:rsid w:val="003B2E56"/>
    <w:rsid w:val="003B39A6"/>
    <w:rsid w:val="003B3A4B"/>
    <w:rsid w:val="003B554D"/>
    <w:rsid w:val="003B60CC"/>
    <w:rsid w:val="003B6A7A"/>
    <w:rsid w:val="003C0101"/>
    <w:rsid w:val="003C1A1F"/>
    <w:rsid w:val="003C2F93"/>
    <w:rsid w:val="003C3770"/>
    <w:rsid w:val="003C52CA"/>
    <w:rsid w:val="003C5E5E"/>
    <w:rsid w:val="003C6608"/>
    <w:rsid w:val="003C6FC9"/>
    <w:rsid w:val="003D0FC6"/>
    <w:rsid w:val="003D161A"/>
    <w:rsid w:val="003D170B"/>
    <w:rsid w:val="003D6123"/>
    <w:rsid w:val="003D6FBE"/>
    <w:rsid w:val="003D72F4"/>
    <w:rsid w:val="003D7DA6"/>
    <w:rsid w:val="003E1C7C"/>
    <w:rsid w:val="003E3312"/>
    <w:rsid w:val="003E3CD0"/>
    <w:rsid w:val="003E40A0"/>
    <w:rsid w:val="003E5197"/>
    <w:rsid w:val="003F10E3"/>
    <w:rsid w:val="003F16D4"/>
    <w:rsid w:val="003F19A3"/>
    <w:rsid w:val="003F2BB8"/>
    <w:rsid w:val="003F3500"/>
    <w:rsid w:val="003F395B"/>
    <w:rsid w:val="003F3DA4"/>
    <w:rsid w:val="003F4DEA"/>
    <w:rsid w:val="003F736F"/>
    <w:rsid w:val="00400C90"/>
    <w:rsid w:val="00400C9D"/>
    <w:rsid w:val="00404ECB"/>
    <w:rsid w:val="00406257"/>
    <w:rsid w:val="004100E2"/>
    <w:rsid w:val="00410F2C"/>
    <w:rsid w:val="00412435"/>
    <w:rsid w:val="00414C1F"/>
    <w:rsid w:val="00414F9A"/>
    <w:rsid w:val="0041577C"/>
    <w:rsid w:val="004179EA"/>
    <w:rsid w:val="00421C43"/>
    <w:rsid w:val="004223F5"/>
    <w:rsid w:val="00424221"/>
    <w:rsid w:val="00426330"/>
    <w:rsid w:val="004320BD"/>
    <w:rsid w:val="00433E93"/>
    <w:rsid w:val="00435381"/>
    <w:rsid w:val="004357DA"/>
    <w:rsid w:val="004366EF"/>
    <w:rsid w:val="00437A54"/>
    <w:rsid w:val="0044031C"/>
    <w:rsid w:val="00442269"/>
    <w:rsid w:val="00442E06"/>
    <w:rsid w:val="0044310D"/>
    <w:rsid w:val="00445DE3"/>
    <w:rsid w:val="00447EB4"/>
    <w:rsid w:val="004504F8"/>
    <w:rsid w:val="00450A71"/>
    <w:rsid w:val="004515E4"/>
    <w:rsid w:val="004536C5"/>
    <w:rsid w:val="0045518D"/>
    <w:rsid w:val="00456D17"/>
    <w:rsid w:val="0045746D"/>
    <w:rsid w:val="004609FF"/>
    <w:rsid w:val="0046330C"/>
    <w:rsid w:val="0046361F"/>
    <w:rsid w:val="00464070"/>
    <w:rsid w:val="00465A7A"/>
    <w:rsid w:val="0046685A"/>
    <w:rsid w:val="00466E5F"/>
    <w:rsid w:val="004670AC"/>
    <w:rsid w:val="00470D0B"/>
    <w:rsid w:val="00473773"/>
    <w:rsid w:val="00475AC3"/>
    <w:rsid w:val="00476EAB"/>
    <w:rsid w:val="004813B3"/>
    <w:rsid w:val="00481679"/>
    <w:rsid w:val="00482098"/>
    <w:rsid w:val="00482B47"/>
    <w:rsid w:val="004834D3"/>
    <w:rsid w:val="00484ED6"/>
    <w:rsid w:val="00485329"/>
    <w:rsid w:val="004904BA"/>
    <w:rsid w:val="00491364"/>
    <w:rsid w:val="004915DF"/>
    <w:rsid w:val="00496002"/>
    <w:rsid w:val="00497237"/>
    <w:rsid w:val="004A2565"/>
    <w:rsid w:val="004A2D55"/>
    <w:rsid w:val="004A32BB"/>
    <w:rsid w:val="004A38D8"/>
    <w:rsid w:val="004A511D"/>
    <w:rsid w:val="004A5F05"/>
    <w:rsid w:val="004B3128"/>
    <w:rsid w:val="004B31EF"/>
    <w:rsid w:val="004B337C"/>
    <w:rsid w:val="004C0120"/>
    <w:rsid w:val="004C092E"/>
    <w:rsid w:val="004C0CE3"/>
    <w:rsid w:val="004C1F2F"/>
    <w:rsid w:val="004C2522"/>
    <w:rsid w:val="004C2DB9"/>
    <w:rsid w:val="004C3D46"/>
    <w:rsid w:val="004C5FCF"/>
    <w:rsid w:val="004C6E26"/>
    <w:rsid w:val="004C6E9A"/>
    <w:rsid w:val="004D0434"/>
    <w:rsid w:val="004D2645"/>
    <w:rsid w:val="004D37B9"/>
    <w:rsid w:val="004D3C20"/>
    <w:rsid w:val="004D4336"/>
    <w:rsid w:val="004D4E6C"/>
    <w:rsid w:val="004D7B57"/>
    <w:rsid w:val="004D7CC3"/>
    <w:rsid w:val="004E4559"/>
    <w:rsid w:val="004E5AF6"/>
    <w:rsid w:val="004E61CE"/>
    <w:rsid w:val="004E708B"/>
    <w:rsid w:val="004E7966"/>
    <w:rsid w:val="004E7DD0"/>
    <w:rsid w:val="004F05C1"/>
    <w:rsid w:val="004F06FA"/>
    <w:rsid w:val="004F0981"/>
    <w:rsid w:val="004F4A6B"/>
    <w:rsid w:val="004F4E77"/>
    <w:rsid w:val="004F5E75"/>
    <w:rsid w:val="00501DC4"/>
    <w:rsid w:val="00502479"/>
    <w:rsid w:val="00502CE9"/>
    <w:rsid w:val="00503100"/>
    <w:rsid w:val="005046AD"/>
    <w:rsid w:val="00504FEE"/>
    <w:rsid w:val="00505640"/>
    <w:rsid w:val="00507819"/>
    <w:rsid w:val="00510450"/>
    <w:rsid w:val="00510680"/>
    <w:rsid w:val="005113C1"/>
    <w:rsid w:val="00512FD9"/>
    <w:rsid w:val="00520256"/>
    <w:rsid w:val="00523435"/>
    <w:rsid w:val="0053253C"/>
    <w:rsid w:val="005330FF"/>
    <w:rsid w:val="00533DCC"/>
    <w:rsid w:val="00535392"/>
    <w:rsid w:val="00535714"/>
    <w:rsid w:val="00540980"/>
    <w:rsid w:val="00541598"/>
    <w:rsid w:val="0054221B"/>
    <w:rsid w:val="0054242D"/>
    <w:rsid w:val="005447EE"/>
    <w:rsid w:val="00545874"/>
    <w:rsid w:val="00546D0A"/>
    <w:rsid w:val="00546DC4"/>
    <w:rsid w:val="00546F3B"/>
    <w:rsid w:val="005513AE"/>
    <w:rsid w:val="0055475D"/>
    <w:rsid w:val="0055690C"/>
    <w:rsid w:val="00556D0F"/>
    <w:rsid w:val="00557138"/>
    <w:rsid w:val="00557614"/>
    <w:rsid w:val="00557809"/>
    <w:rsid w:val="00557C12"/>
    <w:rsid w:val="00560E2A"/>
    <w:rsid w:val="00562554"/>
    <w:rsid w:val="00562C1C"/>
    <w:rsid w:val="005631EF"/>
    <w:rsid w:val="00564D31"/>
    <w:rsid w:val="005661AE"/>
    <w:rsid w:val="005664DB"/>
    <w:rsid w:val="00566D8E"/>
    <w:rsid w:val="00567AD4"/>
    <w:rsid w:val="00571BC0"/>
    <w:rsid w:val="00571C18"/>
    <w:rsid w:val="00572098"/>
    <w:rsid w:val="005725B7"/>
    <w:rsid w:val="005729FC"/>
    <w:rsid w:val="005732F9"/>
    <w:rsid w:val="00573D8B"/>
    <w:rsid w:val="005745F3"/>
    <w:rsid w:val="00574F1E"/>
    <w:rsid w:val="00577E65"/>
    <w:rsid w:val="00581325"/>
    <w:rsid w:val="0058196F"/>
    <w:rsid w:val="00582E2A"/>
    <w:rsid w:val="00582FE9"/>
    <w:rsid w:val="00583B5E"/>
    <w:rsid w:val="00586FFD"/>
    <w:rsid w:val="0058734F"/>
    <w:rsid w:val="00590A6E"/>
    <w:rsid w:val="00592CF2"/>
    <w:rsid w:val="00593307"/>
    <w:rsid w:val="00596722"/>
    <w:rsid w:val="00596D84"/>
    <w:rsid w:val="005A1629"/>
    <w:rsid w:val="005A1939"/>
    <w:rsid w:val="005A29B2"/>
    <w:rsid w:val="005A3E73"/>
    <w:rsid w:val="005A5160"/>
    <w:rsid w:val="005A53D6"/>
    <w:rsid w:val="005A700B"/>
    <w:rsid w:val="005B019E"/>
    <w:rsid w:val="005B4B00"/>
    <w:rsid w:val="005B4ECE"/>
    <w:rsid w:val="005C0422"/>
    <w:rsid w:val="005C2E44"/>
    <w:rsid w:val="005C359E"/>
    <w:rsid w:val="005C686A"/>
    <w:rsid w:val="005C6981"/>
    <w:rsid w:val="005C6EF5"/>
    <w:rsid w:val="005D03D5"/>
    <w:rsid w:val="005D12B2"/>
    <w:rsid w:val="005D23B6"/>
    <w:rsid w:val="005D49E8"/>
    <w:rsid w:val="005E7C76"/>
    <w:rsid w:val="005F1778"/>
    <w:rsid w:val="005F2875"/>
    <w:rsid w:val="005F2DE4"/>
    <w:rsid w:val="005F2F36"/>
    <w:rsid w:val="005F48DC"/>
    <w:rsid w:val="005F4C22"/>
    <w:rsid w:val="005F6F76"/>
    <w:rsid w:val="00601BFB"/>
    <w:rsid w:val="00603BAC"/>
    <w:rsid w:val="0060506E"/>
    <w:rsid w:val="00612873"/>
    <w:rsid w:val="00612F36"/>
    <w:rsid w:val="00614117"/>
    <w:rsid w:val="006147B6"/>
    <w:rsid w:val="006148B3"/>
    <w:rsid w:val="00616FC9"/>
    <w:rsid w:val="006178B3"/>
    <w:rsid w:val="00617EAE"/>
    <w:rsid w:val="00621AFC"/>
    <w:rsid w:val="00624139"/>
    <w:rsid w:val="00625DCD"/>
    <w:rsid w:val="006270AD"/>
    <w:rsid w:val="00627DC1"/>
    <w:rsid w:val="00627E1D"/>
    <w:rsid w:val="00630828"/>
    <w:rsid w:val="00630E79"/>
    <w:rsid w:val="00631006"/>
    <w:rsid w:val="00631A86"/>
    <w:rsid w:val="00631E20"/>
    <w:rsid w:val="00634662"/>
    <w:rsid w:val="006362FD"/>
    <w:rsid w:val="00636D0A"/>
    <w:rsid w:val="00641305"/>
    <w:rsid w:val="0064344B"/>
    <w:rsid w:val="006441C1"/>
    <w:rsid w:val="00644234"/>
    <w:rsid w:val="00646D13"/>
    <w:rsid w:val="00646DFB"/>
    <w:rsid w:val="00650C45"/>
    <w:rsid w:val="00651F88"/>
    <w:rsid w:val="00654F58"/>
    <w:rsid w:val="006555E7"/>
    <w:rsid w:val="00660923"/>
    <w:rsid w:val="00660C46"/>
    <w:rsid w:val="0066109F"/>
    <w:rsid w:val="00661689"/>
    <w:rsid w:val="006632B0"/>
    <w:rsid w:val="00663405"/>
    <w:rsid w:val="006638FB"/>
    <w:rsid w:val="006647D4"/>
    <w:rsid w:val="0066628D"/>
    <w:rsid w:val="006665F3"/>
    <w:rsid w:val="006736FD"/>
    <w:rsid w:val="006742B3"/>
    <w:rsid w:val="0067750E"/>
    <w:rsid w:val="00680829"/>
    <w:rsid w:val="00681EE0"/>
    <w:rsid w:val="006822A0"/>
    <w:rsid w:val="006823C0"/>
    <w:rsid w:val="00682611"/>
    <w:rsid w:val="0068284D"/>
    <w:rsid w:val="00682EF5"/>
    <w:rsid w:val="006843C6"/>
    <w:rsid w:val="00686008"/>
    <w:rsid w:val="0068615D"/>
    <w:rsid w:val="00686292"/>
    <w:rsid w:val="00691201"/>
    <w:rsid w:val="00693033"/>
    <w:rsid w:val="00693B9D"/>
    <w:rsid w:val="00695F77"/>
    <w:rsid w:val="0069616A"/>
    <w:rsid w:val="0069725A"/>
    <w:rsid w:val="0069776D"/>
    <w:rsid w:val="006A10CA"/>
    <w:rsid w:val="006A13A4"/>
    <w:rsid w:val="006A1B6F"/>
    <w:rsid w:val="006A1CD4"/>
    <w:rsid w:val="006A3710"/>
    <w:rsid w:val="006B0388"/>
    <w:rsid w:val="006B1A27"/>
    <w:rsid w:val="006B24DC"/>
    <w:rsid w:val="006B2B62"/>
    <w:rsid w:val="006B3056"/>
    <w:rsid w:val="006B4096"/>
    <w:rsid w:val="006B42CD"/>
    <w:rsid w:val="006B4F14"/>
    <w:rsid w:val="006B6664"/>
    <w:rsid w:val="006B7058"/>
    <w:rsid w:val="006B7FE5"/>
    <w:rsid w:val="006C02FB"/>
    <w:rsid w:val="006C23F8"/>
    <w:rsid w:val="006C2C12"/>
    <w:rsid w:val="006C47DF"/>
    <w:rsid w:val="006C554B"/>
    <w:rsid w:val="006C6482"/>
    <w:rsid w:val="006C654A"/>
    <w:rsid w:val="006C7595"/>
    <w:rsid w:val="006D2AF7"/>
    <w:rsid w:val="006D3609"/>
    <w:rsid w:val="006D48DC"/>
    <w:rsid w:val="006D5485"/>
    <w:rsid w:val="006D5741"/>
    <w:rsid w:val="006D750F"/>
    <w:rsid w:val="006E27F6"/>
    <w:rsid w:val="006E28E5"/>
    <w:rsid w:val="006E2B68"/>
    <w:rsid w:val="006E3A78"/>
    <w:rsid w:val="006E3E74"/>
    <w:rsid w:val="006E4AA2"/>
    <w:rsid w:val="006E78CD"/>
    <w:rsid w:val="006E7A88"/>
    <w:rsid w:val="006F456F"/>
    <w:rsid w:val="006F4F86"/>
    <w:rsid w:val="006F5033"/>
    <w:rsid w:val="006F5ADD"/>
    <w:rsid w:val="006F6B8A"/>
    <w:rsid w:val="006F6D4B"/>
    <w:rsid w:val="00700055"/>
    <w:rsid w:val="007009B1"/>
    <w:rsid w:val="00700BB6"/>
    <w:rsid w:val="00700E7E"/>
    <w:rsid w:val="00700EC1"/>
    <w:rsid w:val="0070128F"/>
    <w:rsid w:val="00701BC2"/>
    <w:rsid w:val="00702C0C"/>
    <w:rsid w:val="00702CF4"/>
    <w:rsid w:val="0070394A"/>
    <w:rsid w:val="00704598"/>
    <w:rsid w:val="00705550"/>
    <w:rsid w:val="00705A3F"/>
    <w:rsid w:val="00706666"/>
    <w:rsid w:val="007069A7"/>
    <w:rsid w:val="00706FA4"/>
    <w:rsid w:val="00707B6A"/>
    <w:rsid w:val="0071002B"/>
    <w:rsid w:val="0071112C"/>
    <w:rsid w:val="0071472A"/>
    <w:rsid w:val="00715198"/>
    <w:rsid w:val="0071730C"/>
    <w:rsid w:val="00717A7F"/>
    <w:rsid w:val="007216AF"/>
    <w:rsid w:val="007245F0"/>
    <w:rsid w:val="00724BC1"/>
    <w:rsid w:val="00726AD8"/>
    <w:rsid w:val="00727BA1"/>
    <w:rsid w:val="00730D72"/>
    <w:rsid w:val="00730F74"/>
    <w:rsid w:val="00734ADA"/>
    <w:rsid w:val="00736AF3"/>
    <w:rsid w:val="007404A2"/>
    <w:rsid w:val="007408BA"/>
    <w:rsid w:val="00742492"/>
    <w:rsid w:val="00742BB2"/>
    <w:rsid w:val="007432B1"/>
    <w:rsid w:val="007432C0"/>
    <w:rsid w:val="0074741F"/>
    <w:rsid w:val="00752737"/>
    <w:rsid w:val="007561C8"/>
    <w:rsid w:val="00757188"/>
    <w:rsid w:val="0075795D"/>
    <w:rsid w:val="00762A22"/>
    <w:rsid w:val="00763244"/>
    <w:rsid w:val="00766E10"/>
    <w:rsid w:val="00771355"/>
    <w:rsid w:val="00771703"/>
    <w:rsid w:val="007721DF"/>
    <w:rsid w:val="00772F6D"/>
    <w:rsid w:val="0077404D"/>
    <w:rsid w:val="0077567E"/>
    <w:rsid w:val="00776147"/>
    <w:rsid w:val="007768F7"/>
    <w:rsid w:val="00782CC4"/>
    <w:rsid w:val="007838AC"/>
    <w:rsid w:val="0078475F"/>
    <w:rsid w:val="00785D67"/>
    <w:rsid w:val="007903A2"/>
    <w:rsid w:val="00793E0A"/>
    <w:rsid w:val="00795BF3"/>
    <w:rsid w:val="007968AB"/>
    <w:rsid w:val="007973D5"/>
    <w:rsid w:val="007A29BE"/>
    <w:rsid w:val="007A3486"/>
    <w:rsid w:val="007A355F"/>
    <w:rsid w:val="007A3C74"/>
    <w:rsid w:val="007A3E3B"/>
    <w:rsid w:val="007A5633"/>
    <w:rsid w:val="007A7BCE"/>
    <w:rsid w:val="007A7E48"/>
    <w:rsid w:val="007B207B"/>
    <w:rsid w:val="007B27EE"/>
    <w:rsid w:val="007B6119"/>
    <w:rsid w:val="007B739E"/>
    <w:rsid w:val="007B7807"/>
    <w:rsid w:val="007B7A84"/>
    <w:rsid w:val="007C0451"/>
    <w:rsid w:val="007C06F6"/>
    <w:rsid w:val="007C08E9"/>
    <w:rsid w:val="007C0CCE"/>
    <w:rsid w:val="007C41E1"/>
    <w:rsid w:val="007C59B9"/>
    <w:rsid w:val="007C734B"/>
    <w:rsid w:val="007C7C88"/>
    <w:rsid w:val="007D016E"/>
    <w:rsid w:val="007D0A97"/>
    <w:rsid w:val="007D0DE1"/>
    <w:rsid w:val="007D3A65"/>
    <w:rsid w:val="007D582D"/>
    <w:rsid w:val="007D58F1"/>
    <w:rsid w:val="007D6229"/>
    <w:rsid w:val="007D7697"/>
    <w:rsid w:val="007E166D"/>
    <w:rsid w:val="007E1940"/>
    <w:rsid w:val="007E1B03"/>
    <w:rsid w:val="007E67DA"/>
    <w:rsid w:val="007E6E14"/>
    <w:rsid w:val="007E7DC9"/>
    <w:rsid w:val="007E7E07"/>
    <w:rsid w:val="007F00C3"/>
    <w:rsid w:val="007F1589"/>
    <w:rsid w:val="007F247E"/>
    <w:rsid w:val="007F2CFF"/>
    <w:rsid w:val="007F3323"/>
    <w:rsid w:val="007F3BFE"/>
    <w:rsid w:val="007F4167"/>
    <w:rsid w:val="007F4A23"/>
    <w:rsid w:val="007F67D4"/>
    <w:rsid w:val="007F6F65"/>
    <w:rsid w:val="00800445"/>
    <w:rsid w:val="00806378"/>
    <w:rsid w:val="0080774F"/>
    <w:rsid w:val="00810534"/>
    <w:rsid w:val="00810632"/>
    <w:rsid w:val="00810B07"/>
    <w:rsid w:val="00810B8F"/>
    <w:rsid w:val="008115E3"/>
    <w:rsid w:val="00812396"/>
    <w:rsid w:val="00812B46"/>
    <w:rsid w:val="00813137"/>
    <w:rsid w:val="00814A13"/>
    <w:rsid w:val="00815DB9"/>
    <w:rsid w:val="00817161"/>
    <w:rsid w:val="00817C62"/>
    <w:rsid w:val="008211CC"/>
    <w:rsid w:val="00821687"/>
    <w:rsid w:val="00822D05"/>
    <w:rsid w:val="008241C6"/>
    <w:rsid w:val="00825990"/>
    <w:rsid w:val="008273A9"/>
    <w:rsid w:val="008301AD"/>
    <w:rsid w:val="008323DC"/>
    <w:rsid w:val="00833D29"/>
    <w:rsid w:val="00834F6D"/>
    <w:rsid w:val="008356C6"/>
    <w:rsid w:val="0083689D"/>
    <w:rsid w:val="00836BCC"/>
    <w:rsid w:val="00837775"/>
    <w:rsid w:val="008429FA"/>
    <w:rsid w:val="00843862"/>
    <w:rsid w:val="0084676E"/>
    <w:rsid w:val="00851D17"/>
    <w:rsid w:val="00851D87"/>
    <w:rsid w:val="0085236A"/>
    <w:rsid w:val="0085513B"/>
    <w:rsid w:val="00857D53"/>
    <w:rsid w:val="0086253C"/>
    <w:rsid w:val="00863377"/>
    <w:rsid w:val="00867154"/>
    <w:rsid w:val="0087482E"/>
    <w:rsid w:val="00875707"/>
    <w:rsid w:val="008762CB"/>
    <w:rsid w:val="00877730"/>
    <w:rsid w:val="00877B95"/>
    <w:rsid w:val="008810CE"/>
    <w:rsid w:val="00881E73"/>
    <w:rsid w:val="00882F6D"/>
    <w:rsid w:val="00885508"/>
    <w:rsid w:val="008865C0"/>
    <w:rsid w:val="00886814"/>
    <w:rsid w:val="00887313"/>
    <w:rsid w:val="008910FC"/>
    <w:rsid w:val="008915D2"/>
    <w:rsid w:val="008938FA"/>
    <w:rsid w:val="008945C5"/>
    <w:rsid w:val="00895ACE"/>
    <w:rsid w:val="00897BCB"/>
    <w:rsid w:val="00897F97"/>
    <w:rsid w:val="008A08F7"/>
    <w:rsid w:val="008A20C4"/>
    <w:rsid w:val="008A6227"/>
    <w:rsid w:val="008A7647"/>
    <w:rsid w:val="008B0F3A"/>
    <w:rsid w:val="008B203C"/>
    <w:rsid w:val="008B3FBB"/>
    <w:rsid w:val="008B48FB"/>
    <w:rsid w:val="008B5009"/>
    <w:rsid w:val="008C2A0E"/>
    <w:rsid w:val="008C39F2"/>
    <w:rsid w:val="008C3B61"/>
    <w:rsid w:val="008C4096"/>
    <w:rsid w:val="008C46E7"/>
    <w:rsid w:val="008C4A77"/>
    <w:rsid w:val="008C630B"/>
    <w:rsid w:val="008C6B32"/>
    <w:rsid w:val="008C6C5A"/>
    <w:rsid w:val="008C7986"/>
    <w:rsid w:val="008D0034"/>
    <w:rsid w:val="008D01D7"/>
    <w:rsid w:val="008D207C"/>
    <w:rsid w:val="008E0AE8"/>
    <w:rsid w:val="008E19FF"/>
    <w:rsid w:val="008E4DFC"/>
    <w:rsid w:val="008E5863"/>
    <w:rsid w:val="008F6EDA"/>
    <w:rsid w:val="00900041"/>
    <w:rsid w:val="009038AC"/>
    <w:rsid w:val="00904339"/>
    <w:rsid w:val="009044C7"/>
    <w:rsid w:val="00906E9E"/>
    <w:rsid w:val="009108F8"/>
    <w:rsid w:val="00910DC1"/>
    <w:rsid w:val="00914915"/>
    <w:rsid w:val="00914B27"/>
    <w:rsid w:val="00914E07"/>
    <w:rsid w:val="00915150"/>
    <w:rsid w:val="0091563C"/>
    <w:rsid w:val="009172AE"/>
    <w:rsid w:val="0091747A"/>
    <w:rsid w:val="00917501"/>
    <w:rsid w:val="00917886"/>
    <w:rsid w:val="009179D6"/>
    <w:rsid w:val="00917A31"/>
    <w:rsid w:val="0092065A"/>
    <w:rsid w:val="00920F7F"/>
    <w:rsid w:val="00923A0D"/>
    <w:rsid w:val="009256D0"/>
    <w:rsid w:val="00926A7A"/>
    <w:rsid w:val="00930580"/>
    <w:rsid w:val="00933D58"/>
    <w:rsid w:val="00934380"/>
    <w:rsid w:val="00942916"/>
    <w:rsid w:val="0094388E"/>
    <w:rsid w:val="00944982"/>
    <w:rsid w:val="00944EDB"/>
    <w:rsid w:val="0094724E"/>
    <w:rsid w:val="0095028C"/>
    <w:rsid w:val="009506C0"/>
    <w:rsid w:val="00950F0F"/>
    <w:rsid w:val="00953CD6"/>
    <w:rsid w:val="0095545C"/>
    <w:rsid w:val="00955D27"/>
    <w:rsid w:val="0095635D"/>
    <w:rsid w:val="009578AA"/>
    <w:rsid w:val="00960AC2"/>
    <w:rsid w:val="00960C0E"/>
    <w:rsid w:val="00960EA0"/>
    <w:rsid w:val="00961618"/>
    <w:rsid w:val="00961725"/>
    <w:rsid w:val="00964CA9"/>
    <w:rsid w:val="009700CA"/>
    <w:rsid w:val="00973CE3"/>
    <w:rsid w:val="00975447"/>
    <w:rsid w:val="00977CA8"/>
    <w:rsid w:val="00980082"/>
    <w:rsid w:val="00980D83"/>
    <w:rsid w:val="009833E7"/>
    <w:rsid w:val="009839EE"/>
    <w:rsid w:val="00984249"/>
    <w:rsid w:val="00984E3D"/>
    <w:rsid w:val="00985F0E"/>
    <w:rsid w:val="00986B33"/>
    <w:rsid w:val="00986DD2"/>
    <w:rsid w:val="00986ECC"/>
    <w:rsid w:val="009872FA"/>
    <w:rsid w:val="00987AD5"/>
    <w:rsid w:val="00991DDA"/>
    <w:rsid w:val="009944F7"/>
    <w:rsid w:val="00996675"/>
    <w:rsid w:val="00996C46"/>
    <w:rsid w:val="009971D6"/>
    <w:rsid w:val="009A0193"/>
    <w:rsid w:val="009A2CF0"/>
    <w:rsid w:val="009A3EE4"/>
    <w:rsid w:val="009B4479"/>
    <w:rsid w:val="009B4E20"/>
    <w:rsid w:val="009B512E"/>
    <w:rsid w:val="009B7138"/>
    <w:rsid w:val="009B7300"/>
    <w:rsid w:val="009C0949"/>
    <w:rsid w:val="009C3754"/>
    <w:rsid w:val="009C3DA1"/>
    <w:rsid w:val="009C6DA3"/>
    <w:rsid w:val="009D011C"/>
    <w:rsid w:val="009D114E"/>
    <w:rsid w:val="009D25B4"/>
    <w:rsid w:val="009D268B"/>
    <w:rsid w:val="009D2DEA"/>
    <w:rsid w:val="009D538D"/>
    <w:rsid w:val="009D7131"/>
    <w:rsid w:val="009D776A"/>
    <w:rsid w:val="009E0763"/>
    <w:rsid w:val="009E129D"/>
    <w:rsid w:val="009E2CAA"/>
    <w:rsid w:val="009E3852"/>
    <w:rsid w:val="009E39D8"/>
    <w:rsid w:val="009E6648"/>
    <w:rsid w:val="009E67E5"/>
    <w:rsid w:val="009F21F1"/>
    <w:rsid w:val="009F541C"/>
    <w:rsid w:val="00A00C8A"/>
    <w:rsid w:val="00A01B5B"/>
    <w:rsid w:val="00A01F4E"/>
    <w:rsid w:val="00A028AD"/>
    <w:rsid w:val="00A0390D"/>
    <w:rsid w:val="00A1198C"/>
    <w:rsid w:val="00A12FA0"/>
    <w:rsid w:val="00A13FC4"/>
    <w:rsid w:val="00A223B7"/>
    <w:rsid w:val="00A2269F"/>
    <w:rsid w:val="00A234A4"/>
    <w:rsid w:val="00A2610B"/>
    <w:rsid w:val="00A263BE"/>
    <w:rsid w:val="00A274B4"/>
    <w:rsid w:val="00A27BC6"/>
    <w:rsid w:val="00A27E3B"/>
    <w:rsid w:val="00A324CD"/>
    <w:rsid w:val="00A324F4"/>
    <w:rsid w:val="00A32C15"/>
    <w:rsid w:val="00A3368B"/>
    <w:rsid w:val="00A34FFE"/>
    <w:rsid w:val="00A3514B"/>
    <w:rsid w:val="00A352DB"/>
    <w:rsid w:val="00A35E88"/>
    <w:rsid w:val="00A3627E"/>
    <w:rsid w:val="00A366CB"/>
    <w:rsid w:val="00A37AA9"/>
    <w:rsid w:val="00A4062C"/>
    <w:rsid w:val="00A40970"/>
    <w:rsid w:val="00A40ABB"/>
    <w:rsid w:val="00A41182"/>
    <w:rsid w:val="00A4156B"/>
    <w:rsid w:val="00A41B2B"/>
    <w:rsid w:val="00A4628E"/>
    <w:rsid w:val="00A47184"/>
    <w:rsid w:val="00A500AF"/>
    <w:rsid w:val="00A50603"/>
    <w:rsid w:val="00A50F96"/>
    <w:rsid w:val="00A51AB6"/>
    <w:rsid w:val="00A52B67"/>
    <w:rsid w:val="00A538AA"/>
    <w:rsid w:val="00A54381"/>
    <w:rsid w:val="00A55AFD"/>
    <w:rsid w:val="00A56A95"/>
    <w:rsid w:val="00A57B4B"/>
    <w:rsid w:val="00A61B9C"/>
    <w:rsid w:val="00A6207D"/>
    <w:rsid w:val="00A62623"/>
    <w:rsid w:val="00A632CC"/>
    <w:rsid w:val="00A654E3"/>
    <w:rsid w:val="00A70FF5"/>
    <w:rsid w:val="00A71829"/>
    <w:rsid w:val="00A72122"/>
    <w:rsid w:val="00A7410D"/>
    <w:rsid w:val="00A75862"/>
    <w:rsid w:val="00A775E1"/>
    <w:rsid w:val="00A81A7A"/>
    <w:rsid w:val="00A83845"/>
    <w:rsid w:val="00A84355"/>
    <w:rsid w:val="00A85387"/>
    <w:rsid w:val="00A86C21"/>
    <w:rsid w:val="00A86C24"/>
    <w:rsid w:val="00A87339"/>
    <w:rsid w:val="00A90826"/>
    <w:rsid w:val="00A9088B"/>
    <w:rsid w:val="00A915CB"/>
    <w:rsid w:val="00A918E6"/>
    <w:rsid w:val="00A92C0E"/>
    <w:rsid w:val="00A937AD"/>
    <w:rsid w:val="00A93BF1"/>
    <w:rsid w:val="00A95E46"/>
    <w:rsid w:val="00AA0601"/>
    <w:rsid w:val="00AA2783"/>
    <w:rsid w:val="00AA29C3"/>
    <w:rsid w:val="00AA4381"/>
    <w:rsid w:val="00AB03AE"/>
    <w:rsid w:val="00AB1AD3"/>
    <w:rsid w:val="00AB2DF3"/>
    <w:rsid w:val="00AB3E6A"/>
    <w:rsid w:val="00AB5741"/>
    <w:rsid w:val="00AB5824"/>
    <w:rsid w:val="00AB5DD2"/>
    <w:rsid w:val="00AB6771"/>
    <w:rsid w:val="00AC46B3"/>
    <w:rsid w:val="00AC46E1"/>
    <w:rsid w:val="00AC7159"/>
    <w:rsid w:val="00AC7563"/>
    <w:rsid w:val="00AC7EFC"/>
    <w:rsid w:val="00AD1874"/>
    <w:rsid w:val="00AD18C9"/>
    <w:rsid w:val="00AD35A8"/>
    <w:rsid w:val="00AD362E"/>
    <w:rsid w:val="00AD363E"/>
    <w:rsid w:val="00AD47AD"/>
    <w:rsid w:val="00AD6136"/>
    <w:rsid w:val="00AD66A2"/>
    <w:rsid w:val="00AD674F"/>
    <w:rsid w:val="00AD79B8"/>
    <w:rsid w:val="00AE2F57"/>
    <w:rsid w:val="00AE434A"/>
    <w:rsid w:val="00AE5235"/>
    <w:rsid w:val="00AE5318"/>
    <w:rsid w:val="00AE617E"/>
    <w:rsid w:val="00AE79C5"/>
    <w:rsid w:val="00AF136E"/>
    <w:rsid w:val="00AF1CFF"/>
    <w:rsid w:val="00AF2F5D"/>
    <w:rsid w:val="00AF3121"/>
    <w:rsid w:val="00AF53A3"/>
    <w:rsid w:val="00AF570B"/>
    <w:rsid w:val="00B0631D"/>
    <w:rsid w:val="00B066E1"/>
    <w:rsid w:val="00B07291"/>
    <w:rsid w:val="00B10883"/>
    <w:rsid w:val="00B10E8B"/>
    <w:rsid w:val="00B12808"/>
    <w:rsid w:val="00B15793"/>
    <w:rsid w:val="00B15911"/>
    <w:rsid w:val="00B218CD"/>
    <w:rsid w:val="00B277D2"/>
    <w:rsid w:val="00B27E08"/>
    <w:rsid w:val="00B308F7"/>
    <w:rsid w:val="00B31499"/>
    <w:rsid w:val="00B31940"/>
    <w:rsid w:val="00B31B69"/>
    <w:rsid w:val="00B32310"/>
    <w:rsid w:val="00B32774"/>
    <w:rsid w:val="00B33957"/>
    <w:rsid w:val="00B352D9"/>
    <w:rsid w:val="00B36B18"/>
    <w:rsid w:val="00B36E74"/>
    <w:rsid w:val="00B40DF5"/>
    <w:rsid w:val="00B41490"/>
    <w:rsid w:val="00B42295"/>
    <w:rsid w:val="00B4324A"/>
    <w:rsid w:val="00B44DCA"/>
    <w:rsid w:val="00B46912"/>
    <w:rsid w:val="00B46DFF"/>
    <w:rsid w:val="00B4715F"/>
    <w:rsid w:val="00B4795A"/>
    <w:rsid w:val="00B5099D"/>
    <w:rsid w:val="00B514C7"/>
    <w:rsid w:val="00B54B4C"/>
    <w:rsid w:val="00B561D6"/>
    <w:rsid w:val="00B62CF5"/>
    <w:rsid w:val="00B63300"/>
    <w:rsid w:val="00B64EBD"/>
    <w:rsid w:val="00B65AFC"/>
    <w:rsid w:val="00B65CBA"/>
    <w:rsid w:val="00B66F8F"/>
    <w:rsid w:val="00B702E2"/>
    <w:rsid w:val="00B71D97"/>
    <w:rsid w:val="00B72098"/>
    <w:rsid w:val="00B7285B"/>
    <w:rsid w:val="00B74D46"/>
    <w:rsid w:val="00B772C3"/>
    <w:rsid w:val="00B775BC"/>
    <w:rsid w:val="00B7795B"/>
    <w:rsid w:val="00B81600"/>
    <w:rsid w:val="00B82403"/>
    <w:rsid w:val="00B83256"/>
    <w:rsid w:val="00B837F5"/>
    <w:rsid w:val="00B83D64"/>
    <w:rsid w:val="00B83DC9"/>
    <w:rsid w:val="00B85136"/>
    <w:rsid w:val="00B87324"/>
    <w:rsid w:val="00B877ED"/>
    <w:rsid w:val="00B904E0"/>
    <w:rsid w:val="00B9192D"/>
    <w:rsid w:val="00B9313D"/>
    <w:rsid w:val="00B933B7"/>
    <w:rsid w:val="00B94181"/>
    <w:rsid w:val="00B95696"/>
    <w:rsid w:val="00B9595C"/>
    <w:rsid w:val="00B97EB9"/>
    <w:rsid w:val="00BA0522"/>
    <w:rsid w:val="00BA21C5"/>
    <w:rsid w:val="00BA45F7"/>
    <w:rsid w:val="00BA490A"/>
    <w:rsid w:val="00BB17BD"/>
    <w:rsid w:val="00BB51B9"/>
    <w:rsid w:val="00BB5548"/>
    <w:rsid w:val="00BB6C76"/>
    <w:rsid w:val="00BB7C95"/>
    <w:rsid w:val="00BC08F4"/>
    <w:rsid w:val="00BC2A65"/>
    <w:rsid w:val="00BC4138"/>
    <w:rsid w:val="00BC7E27"/>
    <w:rsid w:val="00BC7F44"/>
    <w:rsid w:val="00BD0853"/>
    <w:rsid w:val="00BD3061"/>
    <w:rsid w:val="00BD40AD"/>
    <w:rsid w:val="00BD68BD"/>
    <w:rsid w:val="00BE2301"/>
    <w:rsid w:val="00BE246D"/>
    <w:rsid w:val="00BE3551"/>
    <w:rsid w:val="00BE55E6"/>
    <w:rsid w:val="00BE67F8"/>
    <w:rsid w:val="00BE6AFD"/>
    <w:rsid w:val="00BE6C4E"/>
    <w:rsid w:val="00BE6D88"/>
    <w:rsid w:val="00BE6F2E"/>
    <w:rsid w:val="00BF17AA"/>
    <w:rsid w:val="00BF1B97"/>
    <w:rsid w:val="00BF22F0"/>
    <w:rsid w:val="00BF2F13"/>
    <w:rsid w:val="00BF36B3"/>
    <w:rsid w:val="00BF4116"/>
    <w:rsid w:val="00BF4D23"/>
    <w:rsid w:val="00BF7164"/>
    <w:rsid w:val="00BF7277"/>
    <w:rsid w:val="00BF7A38"/>
    <w:rsid w:val="00C00CA7"/>
    <w:rsid w:val="00C041F7"/>
    <w:rsid w:val="00C06157"/>
    <w:rsid w:val="00C10472"/>
    <w:rsid w:val="00C11DB8"/>
    <w:rsid w:val="00C13429"/>
    <w:rsid w:val="00C14971"/>
    <w:rsid w:val="00C157FD"/>
    <w:rsid w:val="00C16B0F"/>
    <w:rsid w:val="00C21D01"/>
    <w:rsid w:val="00C2274A"/>
    <w:rsid w:val="00C2301D"/>
    <w:rsid w:val="00C2362B"/>
    <w:rsid w:val="00C24556"/>
    <w:rsid w:val="00C317A2"/>
    <w:rsid w:val="00C33999"/>
    <w:rsid w:val="00C33A74"/>
    <w:rsid w:val="00C34A0F"/>
    <w:rsid w:val="00C34AED"/>
    <w:rsid w:val="00C34C14"/>
    <w:rsid w:val="00C34FAB"/>
    <w:rsid w:val="00C3560E"/>
    <w:rsid w:val="00C35F69"/>
    <w:rsid w:val="00C37A00"/>
    <w:rsid w:val="00C40AE5"/>
    <w:rsid w:val="00C44318"/>
    <w:rsid w:val="00C45011"/>
    <w:rsid w:val="00C452A4"/>
    <w:rsid w:val="00C470C2"/>
    <w:rsid w:val="00C472EC"/>
    <w:rsid w:val="00C50E26"/>
    <w:rsid w:val="00C5178C"/>
    <w:rsid w:val="00C534CB"/>
    <w:rsid w:val="00C54017"/>
    <w:rsid w:val="00C54035"/>
    <w:rsid w:val="00C57F8D"/>
    <w:rsid w:val="00C60313"/>
    <w:rsid w:val="00C61CB5"/>
    <w:rsid w:val="00C6275E"/>
    <w:rsid w:val="00C63070"/>
    <w:rsid w:val="00C6346C"/>
    <w:rsid w:val="00C65D86"/>
    <w:rsid w:val="00C661B3"/>
    <w:rsid w:val="00C66594"/>
    <w:rsid w:val="00C6681F"/>
    <w:rsid w:val="00C668DE"/>
    <w:rsid w:val="00C6768F"/>
    <w:rsid w:val="00C7056E"/>
    <w:rsid w:val="00C71A20"/>
    <w:rsid w:val="00C71CC0"/>
    <w:rsid w:val="00C72813"/>
    <w:rsid w:val="00C72988"/>
    <w:rsid w:val="00C740F6"/>
    <w:rsid w:val="00C7594A"/>
    <w:rsid w:val="00C759F6"/>
    <w:rsid w:val="00C81296"/>
    <w:rsid w:val="00C818FA"/>
    <w:rsid w:val="00C82CF3"/>
    <w:rsid w:val="00C82CF4"/>
    <w:rsid w:val="00C8358E"/>
    <w:rsid w:val="00C86792"/>
    <w:rsid w:val="00C87669"/>
    <w:rsid w:val="00C90295"/>
    <w:rsid w:val="00C9391C"/>
    <w:rsid w:val="00C9418F"/>
    <w:rsid w:val="00C951DC"/>
    <w:rsid w:val="00C95B89"/>
    <w:rsid w:val="00C95B8F"/>
    <w:rsid w:val="00C97B13"/>
    <w:rsid w:val="00C97B4C"/>
    <w:rsid w:val="00C97E7F"/>
    <w:rsid w:val="00CA05F4"/>
    <w:rsid w:val="00CA166A"/>
    <w:rsid w:val="00CA1D25"/>
    <w:rsid w:val="00CA363D"/>
    <w:rsid w:val="00CA40D9"/>
    <w:rsid w:val="00CA4D47"/>
    <w:rsid w:val="00CA63E4"/>
    <w:rsid w:val="00CA66EB"/>
    <w:rsid w:val="00CA7AEE"/>
    <w:rsid w:val="00CB0DD6"/>
    <w:rsid w:val="00CB0F0E"/>
    <w:rsid w:val="00CB10A4"/>
    <w:rsid w:val="00CB1CD1"/>
    <w:rsid w:val="00CB32A7"/>
    <w:rsid w:val="00CB4E1D"/>
    <w:rsid w:val="00CB57F7"/>
    <w:rsid w:val="00CB5EB3"/>
    <w:rsid w:val="00CB6220"/>
    <w:rsid w:val="00CB6EB8"/>
    <w:rsid w:val="00CB70F7"/>
    <w:rsid w:val="00CB727E"/>
    <w:rsid w:val="00CC15B0"/>
    <w:rsid w:val="00CC1DE6"/>
    <w:rsid w:val="00CC56F7"/>
    <w:rsid w:val="00CD031C"/>
    <w:rsid w:val="00CD2CA3"/>
    <w:rsid w:val="00CD4AD9"/>
    <w:rsid w:val="00CD5303"/>
    <w:rsid w:val="00CD6570"/>
    <w:rsid w:val="00CD736D"/>
    <w:rsid w:val="00CE22BD"/>
    <w:rsid w:val="00CE3066"/>
    <w:rsid w:val="00CE3773"/>
    <w:rsid w:val="00CE4C87"/>
    <w:rsid w:val="00CE4FC2"/>
    <w:rsid w:val="00CE5316"/>
    <w:rsid w:val="00CE5498"/>
    <w:rsid w:val="00CE67B8"/>
    <w:rsid w:val="00CE6ED6"/>
    <w:rsid w:val="00CF013E"/>
    <w:rsid w:val="00CF0291"/>
    <w:rsid w:val="00CF044C"/>
    <w:rsid w:val="00CF082D"/>
    <w:rsid w:val="00CF3BD9"/>
    <w:rsid w:val="00CF6C5F"/>
    <w:rsid w:val="00D005A8"/>
    <w:rsid w:val="00D015E5"/>
    <w:rsid w:val="00D02B3A"/>
    <w:rsid w:val="00D05DE5"/>
    <w:rsid w:val="00D0662E"/>
    <w:rsid w:val="00D06A37"/>
    <w:rsid w:val="00D07FB0"/>
    <w:rsid w:val="00D11D68"/>
    <w:rsid w:val="00D1323D"/>
    <w:rsid w:val="00D13F5B"/>
    <w:rsid w:val="00D17D60"/>
    <w:rsid w:val="00D17D88"/>
    <w:rsid w:val="00D17F7A"/>
    <w:rsid w:val="00D20030"/>
    <w:rsid w:val="00D2099F"/>
    <w:rsid w:val="00D22586"/>
    <w:rsid w:val="00D22639"/>
    <w:rsid w:val="00D23B3B"/>
    <w:rsid w:val="00D23D1A"/>
    <w:rsid w:val="00D24D66"/>
    <w:rsid w:val="00D266A3"/>
    <w:rsid w:val="00D26DAB"/>
    <w:rsid w:val="00D27262"/>
    <w:rsid w:val="00D34B88"/>
    <w:rsid w:val="00D34CBF"/>
    <w:rsid w:val="00D34EA9"/>
    <w:rsid w:val="00D3563E"/>
    <w:rsid w:val="00D35B6D"/>
    <w:rsid w:val="00D36498"/>
    <w:rsid w:val="00D36966"/>
    <w:rsid w:val="00D37057"/>
    <w:rsid w:val="00D37A85"/>
    <w:rsid w:val="00D37AF7"/>
    <w:rsid w:val="00D37BCF"/>
    <w:rsid w:val="00D40C85"/>
    <w:rsid w:val="00D41129"/>
    <w:rsid w:val="00D415B7"/>
    <w:rsid w:val="00D436B4"/>
    <w:rsid w:val="00D44A06"/>
    <w:rsid w:val="00D473B5"/>
    <w:rsid w:val="00D47AB3"/>
    <w:rsid w:val="00D50E9D"/>
    <w:rsid w:val="00D510C2"/>
    <w:rsid w:val="00D5128F"/>
    <w:rsid w:val="00D54A07"/>
    <w:rsid w:val="00D54CEE"/>
    <w:rsid w:val="00D55C8C"/>
    <w:rsid w:val="00D55DE3"/>
    <w:rsid w:val="00D56554"/>
    <w:rsid w:val="00D576CB"/>
    <w:rsid w:val="00D62FC7"/>
    <w:rsid w:val="00D6329F"/>
    <w:rsid w:val="00D64B9D"/>
    <w:rsid w:val="00D65445"/>
    <w:rsid w:val="00D6623A"/>
    <w:rsid w:val="00D717CD"/>
    <w:rsid w:val="00D71822"/>
    <w:rsid w:val="00D71C86"/>
    <w:rsid w:val="00D72603"/>
    <w:rsid w:val="00D726CF"/>
    <w:rsid w:val="00D732E8"/>
    <w:rsid w:val="00D748BF"/>
    <w:rsid w:val="00D75103"/>
    <w:rsid w:val="00D77931"/>
    <w:rsid w:val="00D77C30"/>
    <w:rsid w:val="00D81A07"/>
    <w:rsid w:val="00D826D8"/>
    <w:rsid w:val="00D82E9A"/>
    <w:rsid w:val="00D839EE"/>
    <w:rsid w:val="00D87444"/>
    <w:rsid w:val="00D87852"/>
    <w:rsid w:val="00D87CEC"/>
    <w:rsid w:val="00D87DDF"/>
    <w:rsid w:val="00D900E1"/>
    <w:rsid w:val="00D91BEE"/>
    <w:rsid w:val="00D92263"/>
    <w:rsid w:val="00D93B1B"/>
    <w:rsid w:val="00D94ABD"/>
    <w:rsid w:val="00D97A7D"/>
    <w:rsid w:val="00D97ACD"/>
    <w:rsid w:val="00D97F0F"/>
    <w:rsid w:val="00DA2D92"/>
    <w:rsid w:val="00DA2E7F"/>
    <w:rsid w:val="00DA679A"/>
    <w:rsid w:val="00DA6B22"/>
    <w:rsid w:val="00DB078E"/>
    <w:rsid w:val="00DB07DB"/>
    <w:rsid w:val="00DB1439"/>
    <w:rsid w:val="00DB27FE"/>
    <w:rsid w:val="00DB3326"/>
    <w:rsid w:val="00DB79B1"/>
    <w:rsid w:val="00DC0642"/>
    <w:rsid w:val="00DC27B2"/>
    <w:rsid w:val="00DC38D4"/>
    <w:rsid w:val="00DC3FC5"/>
    <w:rsid w:val="00DD110B"/>
    <w:rsid w:val="00DD152B"/>
    <w:rsid w:val="00DD3007"/>
    <w:rsid w:val="00DD4B16"/>
    <w:rsid w:val="00DD6A81"/>
    <w:rsid w:val="00DD6C4C"/>
    <w:rsid w:val="00DD7998"/>
    <w:rsid w:val="00DE0DB1"/>
    <w:rsid w:val="00DE403B"/>
    <w:rsid w:val="00DE5108"/>
    <w:rsid w:val="00DE5A1F"/>
    <w:rsid w:val="00DE5C69"/>
    <w:rsid w:val="00DE6825"/>
    <w:rsid w:val="00DF0281"/>
    <w:rsid w:val="00DF2B50"/>
    <w:rsid w:val="00DF5134"/>
    <w:rsid w:val="00DF5215"/>
    <w:rsid w:val="00DF6A13"/>
    <w:rsid w:val="00E0163C"/>
    <w:rsid w:val="00E0230D"/>
    <w:rsid w:val="00E02FD0"/>
    <w:rsid w:val="00E03C7C"/>
    <w:rsid w:val="00E04224"/>
    <w:rsid w:val="00E05218"/>
    <w:rsid w:val="00E06C72"/>
    <w:rsid w:val="00E1290C"/>
    <w:rsid w:val="00E12DA7"/>
    <w:rsid w:val="00E13668"/>
    <w:rsid w:val="00E14A50"/>
    <w:rsid w:val="00E16FCA"/>
    <w:rsid w:val="00E20738"/>
    <w:rsid w:val="00E22216"/>
    <w:rsid w:val="00E27846"/>
    <w:rsid w:val="00E4103A"/>
    <w:rsid w:val="00E44634"/>
    <w:rsid w:val="00E46446"/>
    <w:rsid w:val="00E47237"/>
    <w:rsid w:val="00E47F8C"/>
    <w:rsid w:val="00E53543"/>
    <w:rsid w:val="00E54024"/>
    <w:rsid w:val="00E565C1"/>
    <w:rsid w:val="00E572A9"/>
    <w:rsid w:val="00E63531"/>
    <w:rsid w:val="00E639F9"/>
    <w:rsid w:val="00E63CE5"/>
    <w:rsid w:val="00E64F8E"/>
    <w:rsid w:val="00E65347"/>
    <w:rsid w:val="00E66A91"/>
    <w:rsid w:val="00E66E12"/>
    <w:rsid w:val="00E66F29"/>
    <w:rsid w:val="00E66F95"/>
    <w:rsid w:val="00E670CE"/>
    <w:rsid w:val="00E67561"/>
    <w:rsid w:val="00E67A89"/>
    <w:rsid w:val="00E707B2"/>
    <w:rsid w:val="00E71702"/>
    <w:rsid w:val="00E7529A"/>
    <w:rsid w:val="00E77AB0"/>
    <w:rsid w:val="00E80E10"/>
    <w:rsid w:val="00E82079"/>
    <w:rsid w:val="00E82592"/>
    <w:rsid w:val="00E83BBE"/>
    <w:rsid w:val="00E841CB"/>
    <w:rsid w:val="00E84C32"/>
    <w:rsid w:val="00E8625F"/>
    <w:rsid w:val="00E86D64"/>
    <w:rsid w:val="00E87FA5"/>
    <w:rsid w:val="00E91954"/>
    <w:rsid w:val="00E919C0"/>
    <w:rsid w:val="00E93D5F"/>
    <w:rsid w:val="00E9512B"/>
    <w:rsid w:val="00E960EF"/>
    <w:rsid w:val="00E96ED5"/>
    <w:rsid w:val="00EA2DE9"/>
    <w:rsid w:val="00EA31A7"/>
    <w:rsid w:val="00EA40CD"/>
    <w:rsid w:val="00EA57F0"/>
    <w:rsid w:val="00EA5ACE"/>
    <w:rsid w:val="00EA72B9"/>
    <w:rsid w:val="00EA7F21"/>
    <w:rsid w:val="00EB11EC"/>
    <w:rsid w:val="00EB30AA"/>
    <w:rsid w:val="00EB4167"/>
    <w:rsid w:val="00EB4814"/>
    <w:rsid w:val="00EB5B26"/>
    <w:rsid w:val="00EB5CA9"/>
    <w:rsid w:val="00EB6C57"/>
    <w:rsid w:val="00EB703C"/>
    <w:rsid w:val="00EB711E"/>
    <w:rsid w:val="00EC0B8A"/>
    <w:rsid w:val="00EC11F7"/>
    <w:rsid w:val="00EC599E"/>
    <w:rsid w:val="00ED13AB"/>
    <w:rsid w:val="00ED2836"/>
    <w:rsid w:val="00ED3E46"/>
    <w:rsid w:val="00ED5ECC"/>
    <w:rsid w:val="00ED717B"/>
    <w:rsid w:val="00EE3689"/>
    <w:rsid w:val="00EE3996"/>
    <w:rsid w:val="00EE4BD5"/>
    <w:rsid w:val="00EE5EAE"/>
    <w:rsid w:val="00EE69D6"/>
    <w:rsid w:val="00EF1D2D"/>
    <w:rsid w:val="00EF42BD"/>
    <w:rsid w:val="00EF4937"/>
    <w:rsid w:val="00EF509A"/>
    <w:rsid w:val="00EF702F"/>
    <w:rsid w:val="00EF7892"/>
    <w:rsid w:val="00EF7C8A"/>
    <w:rsid w:val="00F0305D"/>
    <w:rsid w:val="00F04FE5"/>
    <w:rsid w:val="00F0765C"/>
    <w:rsid w:val="00F07707"/>
    <w:rsid w:val="00F131E9"/>
    <w:rsid w:val="00F1366A"/>
    <w:rsid w:val="00F16487"/>
    <w:rsid w:val="00F16A9F"/>
    <w:rsid w:val="00F20062"/>
    <w:rsid w:val="00F20BA8"/>
    <w:rsid w:val="00F210A4"/>
    <w:rsid w:val="00F21105"/>
    <w:rsid w:val="00F242C5"/>
    <w:rsid w:val="00F24C3E"/>
    <w:rsid w:val="00F25A65"/>
    <w:rsid w:val="00F26102"/>
    <w:rsid w:val="00F278EC"/>
    <w:rsid w:val="00F33B59"/>
    <w:rsid w:val="00F3500A"/>
    <w:rsid w:val="00F35C06"/>
    <w:rsid w:val="00F36982"/>
    <w:rsid w:val="00F40360"/>
    <w:rsid w:val="00F4208E"/>
    <w:rsid w:val="00F42873"/>
    <w:rsid w:val="00F42C10"/>
    <w:rsid w:val="00F43B02"/>
    <w:rsid w:val="00F44DB2"/>
    <w:rsid w:val="00F45307"/>
    <w:rsid w:val="00F456EA"/>
    <w:rsid w:val="00F467F9"/>
    <w:rsid w:val="00F4768E"/>
    <w:rsid w:val="00F50DF1"/>
    <w:rsid w:val="00F51D71"/>
    <w:rsid w:val="00F52C44"/>
    <w:rsid w:val="00F52CCF"/>
    <w:rsid w:val="00F534F4"/>
    <w:rsid w:val="00F555F8"/>
    <w:rsid w:val="00F61EE4"/>
    <w:rsid w:val="00F64016"/>
    <w:rsid w:val="00F648D1"/>
    <w:rsid w:val="00F64D11"/>
    <w:rsid w:val="00F65EA2"/>
    <w:rsid w:val="00F6609B"/>
    <w:rsid w:val="00F66EA5"/>
    <w:rsid w:val="00F677AB"/>
    <w:rsid w:val="00F720BA"/>
    <w:rsid w:val="00F723E3"/>
    <w:rsid w:val="00F72F55"/>
    <w:rsid w:val="00F75D8F"/>
    <w:rsid w:val="00F77272"/>
    <w:rsid w:val="00F82340"/>
    <w:rsid w:val="00F84C9D"/>
    <w:rsid w:val="00F84F35"/>
    <w:rsid w:val="00F86B7E"/>
    <w:rsid w:val="00F86F16"/>
    <w:rsid w:val="00F86F51"/>
    <w:rsid w:val="00F878BF"/>
    <w:rsid w:val="00F9061E"/>
    <w:rsid w:val="00F924C1"/>
    <w:rsid w:val="00F92A00"/>
    <w:rsid w:val="00F92AFE"/>
    <w:rsid w:val="00F92C8B"/>
    <w:rsid w:val="00F92E70"/>
    <w:rsid w:val="00F940DE"/>
    <w:rsid w:val="00F9460C"/>
    <w:rsid w:val="00F953E6"/>
    <w:rsid w:val="00F962FC"/>
    <w:rsid w:val="00F96D15"/>
    <w:rsid w:val="00F970AF"/>
    <w:rsid w:val="00FA10AE"/>
    <w:rsid w:val="00FA3F00"/>
    <w:rsid w:val="00FA3F71"/>
    <w:rsid w:val="00FA5F41"/>
    <w:rsid w:val="00FA7D3F"/>
    <w:rsid w:val="00FB4B7F"/>
    <w:rsid w:val="00FC1423"/>
    <w:rsid w:val="00FC2165"/>
    <w:rsid w:val="00FC29DD"/>
    <w:rsid w:val="00FC30DF"/>
    <w:rsid w:val="00FC3632"/>
    <w:rsid w:val="00FC45F3"/>
    <w:rsid w:val="00FC516E"/>
    <w:rsid w:val="00FD03DD"/>
    <w:rsid w:val="00FD1698"/>
    <w:rsid w:val="00FD2D42"/>
    <w:rsid w:val="00FD481C"/>
    <w:rsid w:val="00FD6472"/>
    <w:rsid w:val="00FD6BFC"/>
    <w:rsid w:val="00FE16A0"/>
    <w:rsid w:val="00FE51FB"/>
    <w:rsid w:val="00FE6D33"/>
    <w:rsid w:val="00FF129A"/>
    <w:rsid w:val="00FF180A"/>
    <w:rsid w:val="00FF46CF"/>
    <w:rsid w:val="00FF5D74"/>
    <w:rsid w:val="0185A777"/>
    <w:rsid w:val="022F142D"/>
    <w:rsid w:val="02785C7B"/>
    <w:rsid w:val="0446C10B"/>
    <w:rsid w:val="0567F3D8"/>
    <w:rsid w:val="062455A7"/>
    <w:rsid w:val="08352A6F"/>
    <w:rsid w:val="0A208352"/>
    <w:rsid w:val="0A56CD8D"/>
    <w:rsid w:val="0B58A0B2"/>
    <w:rsid w:val="0D0346CD"/>
    <w:rsid w:val="0D0D91C6"/>
    <w:rsid w:val="0D1FD573"/>
    <w:rsid w:val="0D76EE8F"/>
    <w:rsid w:val="102848B5"/>
    <w:rsid w:val="10F1DFBD"/>
    <w:rsid w:val="1172575B"/>
    <w:rsid w:val="118A0974"/>
    <w:rsid w:val="11908B43"/>
    <w:rsid w:val="122AC8FB"/>
    <w:rsid w:val="1276B7F0"/>
    <w:rsid w:val="1373CC68"/>
    <w:rsid w:val="143FE4DF"/>
    <w:rsid w:val="149F5EB0"/>
    <w:rsid w:val="14BA86CB"/>
    <w:rsid w:val="14FA6B85"/>
    <w:rsid w:val="1656FD86"/>
    <w:rsid w:val="1AB02ED4"/>
    <w:rsid w:val="1AE7035B"/>
    <w:rsid w:val="1D4C4330"/>
    <w:rsid w:val="1EC236C8"/>
    <w:rsid w:val="1F323EA1"/>
    <w:rsid w:val="2045D3B4"/>
    <w:rsid w:val="21367F23"/>
    <w:rsid w:val="218924D4"/>
    <w:rsid w:val="22E48372"/>
    <w:rsid w:val="22EE4623"/>
    <w:rsid w:val="23D2CD16"/>
    <w:rsid w:val="240F6B93"/>
    <w:rsid w:val="24306BE2"/>
    <w:rsid w:val="2481F3B1"/>
    <w:rsid w:val="25D64843"/>
    <w:rsid w:val="26319E21"/>
    <w:rsid w:val="2669BA8C"/>
    <w:rsid w:val="26F06A28"/>
    <w:rsid w:val="276C8153"/>
    <w:rsid w:val="29561048"/>
    <w:rsid w:val="2BB650F2"/>
    <w:rsid w:val="2C3D75B1"/>
    <w:rsid w:val="2C4D6AA3"/>
    <w:rsid w:val="2D4B364E"/>
    <w:rsid w:val="2D84174A"/>
    <w:rsid w:val="2E0E14DB"/>
    <w:rsid w:val="3012D4C1"/>
    <w:rsid w:val="3194A3C0"/>
    <w:rsid w:val="31D7D7C1"/>
    <w:rsid w:val="32757E2A"/>
    <w:rsid w:val="3278A721"/>
    <w:rsid w:val="32F88C09"/>
    <w:rsid w:val="338F26E7"/>
    <w:rsid w:val="33E5AC81"/>
    <w:rsid w:val="3410488E"/>
    <w:rsid w:val="344739BE"/>
    <w:rsid w:val="351DBD89"/>
    <w:rsid w:val="35547F42"/>
    <w:rsid w:val="356E2D6B"/>
    <w:rsid w:val="3910FE41"/>
    <w:rsid w:val="397AEC4F"/>
    <w:rsid w:val="3A48D000"/>
    <w:rsid w:val="3ABE34CB"/>
    <w:rsid w:val="3AD8383E"/>
    <w:rsid w:val="3C81D8EF"/>
    <w:rsid w:val="3D2DB665"/>
    <w:rsid w:val="3DCF696C"/>
    <w:rsid w:val="3FB9F76D"/>
    <w:rsid w:val="41D20673"/>
    <w:rsid w:val="42B7B361"/>
    <w:rsid w:val="44B46614"/>
    <w:rsid w:val="45D8DB7A"/>
    <w:rsid w:val="46DD2AEA"/>
    <w:rsid w:val="4712F38C"/>
    <w:rsid w:val="48A2BC97"/>
    <w:rsid w:val="48BD1E05"/>
    <w:rsid w:val="493236AD"/>
    <w:rsid w:val="4B52FD73"/>
    <w:rsid w:val="4B9C9B11"/>
    <w:rsid w:val="4CF1F719"/>
    <w:rsid w:val="4D72767B"/>
    <w:rsid w:val="4E0C5CBA"/>
    <w:rsid w:val="4ED3879B"/>
    <w:rsid w:val="4F46F993"/>
    <w:rsid w:val="4F64CBDE"/>
    <w:rsid w:val="508A359C"/>
    <w:rsid w:val="538C07C0"/>
    <w:rsid w:val="53F99F3F"/>
    <w:rsid w:val="56B07133"/>
    <w:rsid w:val="58158F88"/>
    <w:rsid w:val="589E31EE"/>
    <w:rsid w:val="599A68C2"/>
    <w:rsid w:val="59D50780"/>
    <w:rsid w:val="5B5E6DB3"/>
    <w:rsid w:val="5CE20306"/>
    <w:rsid w:val="5DA8E4DF"/>
    <w:rsid w:val="5E921731"/>
    <w:rsid w:val="5F31543D"/>
    <w:rsid w:val="5F6DE64C"/>
    <w:rsid w:val="60E2E790"/>
    <w:rsid w:val="610AFD31"/>
    <w:rsid w:val="63232154"/>
    <w:rsid w:val="65B17A4C"/>
    <w:rsid w:val="66125616"/>
    <w:rsid w:val="6853C535"/>
    <w:rsid w:val="685D5E24"/>
    <w:rsid w:val="69B2070F"/>
    <w:rsid w:val="6D01140F"/>
    <w:rsid w:val="6EF36558"/>
    <w:rsid w:val="701D8527"/>
    <w:rsid w:val="70EB0932"/>
    <w:rsid w:val="71103B8B"/>
    <w:rsid w:val="73BEADE0"/>
    <w:rsid w:val="744B6546"/>
    <w:rsid w:val="7579D832"/>
    <w:rsid w:val="75917C00"/>
    <w:rsid w:val="7683110E"/>
    <w:rsid w:val="77ABD15B"/>
    <w:rsid w:val="78D9AA02"/>
    <w:rsid w:val="79F8CEC4"/>
    <w:rsid w:val="7AA7FFAE"/>
    <w:rsid w:val="7D7116AB"/>
    <w:rsid w:val="7E7342DA"/>
    <w:rsid w:val="7EC5595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2CB86A-6C4F-4973-A2D9-7A04D71AB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839EE"/>
    <w:pPr>
      <w:numPr>
        <w:numId w:val="1"/>
      </w:numPr>
      <w:contextualSpacing/>
    </w:pPr>
  </w:style>
  <w:style w:type="paragraph" w:styleId="ListBullet2">
    <w:name w:val="List Bullet 2"/>
    <w:basedOn w:val="Normal"/>
    <w:uiPriority w:val="99"/>
    <w:semiHidden/>
    <w:unhideWhenUsed/>
    <w:rsid w:val="009839EE"/>
    <w:pPr>
      <w:numPr>
        <w:numId w:val="2"/>
      </w:numPr>
      <w:contextualSpacing/>
    </w:pPr>
  </w:style>
  <w:style w:type="paragraph" w:styleId="ListBullet3">
    <w:name w:val="List Bullet 3"/>
    <w:basedOn w:val="Normal"/>
    <w:uiPriority w:val="99"/>
    <w:semiHidden/>
    <w:unhideWhenUsed/>
    <w:rsid w:val="009839EE"/>
    <w:pPr>
      <w:numPr>
        <w:numId w:val="3"/>
      </w:numPr>
      <w:contextualSpacing/>
    </w:pPr>
  </w:style>
  <w:style w:type="paragraph" w:styleId="ListBullet4">
    <w:name w:val="List Bullet 4"/>
    <w:basedOn w:val="Normal"/>
    <w:uiPriority w:val="99"/>
    <w:semiHidden/>
    <w:unhideWhenUsed/>
    <w:rsid w:val="009839EE"/>
    <w:pPr>
      <w:numPr>
        <w:numId w:val="4"/>
      </w:numPr>
      <w:contextualSpacing/>
    </w:pPr>
  </w:style>
  <w:style w:type="paragraph" w:styleId="ListNumber3">
    <w:name w:val="List Number 3"/>
    <w:basedOn w:val="Normal"/>
    <w:rsid w:val="009839EE"/>
    <w:pPr>
      <w:numPr>
        <w:numId w:val="5"/>
      </w:numPr>
    </w:pPr>
  </w:style>
  <w:style w:type="paragraph" w:styleId="ListParagraph">
    <w:name w:val="List Paragraph"/>
    <w:basedOn w:val="Normal"/>
    <w:uiPriority w:val="34"/>
    <w:qFormat/>
    <w:rsid w:val="008C3B61"/>
    <w:pPr>
      <w:ind w:left="720"/>
      <w:contextualSpacing/>
    </w:pPr>
  </w:style>
  <w:style w:type="paragraph" w:styleId="BalloonText">
    <w:name w:val="Balloon Text"/>
    <w:basedOn w:val="Normal"/>
    <w:link w:val="BalloonTextChar"/>
    <w:uiPriority w:val="99"/>
    <w:semiHidden/>
    <w:unhideWhenUsed/>
    <w:rsid w:val="00187D4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D4F"/>
    <w:rPr>
      <w:rFonts w:ascii="Segoe UI" w:hAnsi="Segoe UI" w:cs="Segoe UI"/>
      <w:sz w:val="18"/>
      <w:szCs w:val="18"/>
      <w:lang w:val="ro-RO"/>
    </w:rPr>
  </w:style>
  <w:style w:type="character" w:styleId="CommentReference">
    <w:name w:val="annotation reference"/>
    <w:basedOn w:val="DefaultParagraphFont"/>
    <w:uiPriority w:val="99"/>
    <w:semiHidden/>
    <w:unhideWhenUsed/>
    <w:rsid w:val="00810B8F"/>
    <w:rPr>
      <w:sz w:val="16"/>
      <w:szCs w:val="16"/>
    </w:rPr>
  </w:style>
  <w:style w:type="paragraph" w:styleId="CommentText">
    <w:name w:val="annotation text"/>
    <w:basedOn w:val="Normal"/>
    <w:link w:val="CommentTextChar"/>
    <w:uiPriority w:val="99"/>
    <w:unhideWhenUsed/>
    <w:rsid w:val="00A3368B"/>
    <w:rPr>
      <w:sz w:val="20"/>
      <w:szCs w:val="20"/>
    </w:rPr>
  </w:style>
  <w:style w:type="character" w:customStyle="1" w:styleId="CommentTextChar">
    <w:name w:val="Comment Text Char"/>
    <w:basedOn w:val="DefaultParagraphFont"/>
    <w:link w:val="CommentText"/>
    <w:uiPriority w:val="99"/>
    <w:rsid w:val="00810B8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810B8F"/>
    <w:rPr>
      <w:b/>
      <w:bCs/>
    </w:rPr>
  </w:style>
  <w:style w:type="character" w:customStyle="1" w:styleId="CommentSubjectChar">
    <w:name w:val="Comment Subject Char"/>
    <w:basedOn w:val="CommentTextChar"/>
    <w:link w:val="CommentSubject"/>
    <w:uiPriority w:val="99"/>
    <w:semiHidden/>
    <w:rsid w:val="00810B8F"/>
    <w:rPr>
      <w:rFonts w:ascii="Times New Roman" w:hAnsi="Times New Roman" w:cs="Times New Roman"/>
      <w:b/>
      <w:bCs/>
      <w:sz w:val="20"/>
      <w:szCs w:val="20"/>
      <w:lang w:val="ro-RO"/>
    </w:rPr>
  </w:style>
  <w:style w:type="paragraph" w:styleId="Caption">
    <w:name w:val="caption"/>
    <w:basedOn w:val="Normal"/>
    <w:next w:val="Normal"/>
    <w:uiPriority w:val="35"/>
    <w:semiHidden/>
    <w:unhideWhenUsed/>
    <w:qFormat/>
    <w:rsid w:val="006C554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C554B"/>
    <w:pPr>
      <w:spacing w:after="0"/>
    </w:pPr>
  </w:style>
  <w:style w:type="paragraph" w:styleId="ListNumber">
    <w:name w:val="List Number"/>
    <w:basedOn w:val="Normal"/>
    <w:uiPriority w:val="99"/>
    <w:semiHidden/>
    <w:unhideWhenUsed/>
    <w:rsid w:val="006C554B"/>
    <w:pPr>
      <w:numPr>
        <w:numId w:val="6"/>
      </w:numPr>
      <w:contextualSpacing/>
    </w:pPr>
  </w:style>
  <w:style w:type="paragraph" w:styleId="ListNumber2">
    <w:name w:val="List Number 2"/>
    <w:basedOn w:val="Normal"/>
    <w:uiPriority w:val="99"/>
    <w:semiHidden/>
    <w:unhideWhenUsed/>
    <w:rsid w:val="006C554B"/>
    <w:pPr>
      <w:numPr>
        <w:numId w:val="7"/>
      </w:numPr>
      <w:contextualSpacing/>
    </w:pPr>
  </w:style>
  <w:style w:type="paragraph" w:styleId="ListNumber4">
    <w:name w:val="List Number 4"/>
    <w:basedOn w:val="Normal"/>
    <w:uiPriority w:val="99"/>
    <w:semiHidden/>
    <w:unhideWhenUsed/>
    <w:rsid w:val="006C554B"/>
    <w:pPr>
      <w:numPr>
        <w:numId w:val="8"/>
      </w:numPr>
      <w:contextualSpacing/>
    </w:pPr>
  </w:style>
  <w:style w:type="character" w:styleId="Hyperlink">
    <w:name w:val="Hyperlink"/>
    <w:basedOn w:val="DefaultParagraphFont"/>
    <w:uiPriority w:val="99"/>
    <w:unhideWhenUsed/>
    <w:rsid w:val="00926A7A"/>
    <w:rPr>
      <w:color w:val="0000FF" w:themeColor="hyperlink"/>
      <w:u w:val="single"/>
    </w:rPr>
  </w:style>
  <w:style w:type="paragraph" w:styleId="NormalWeb">
    <w:name w:val="Normal (Web)"/>
    <w:basedOn w:val="Normal"/>
    <w:uiPriority w:val="99"/>
    <w:unhideWhenUsed/>
    <w:rsid w:val="002C5075"/>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2C5075"/>
    <w:rPr>
      <w:i/>
      <w:iCs/>
    </w:rPr>
  </w:style>
  <w:style w:type="paragraph" w:styleId="Revision">
    <w:name w:val="Revision"/>
    <w:hidden/>
    <w:uiPriority w:val="99"/>
    <w:semiHidden/>
    <w:rsid w:val="00F26102"/>
    <w:pPr>
      <w:spacing w:after="0" w:line="240" w:lineRule="auto"/>
    </w:pPr>
    <w:rPr>
      <w:rFonts w:ascii="Times New Roman" w:hAnsi="Times New Roman" w:cs="Times New Roman"/>
      <w:sz w:val="24"/>
    </w:rPr>
  </w:style>
  <w:style w:type="paragraph" w:styleId="EndnoteText">
    <w:name w:val="endnote text"/>
    <w:basedOn w:val="Normal"/>
    <w:link w:val="EndnoteTextChar"/>
    <w:uiPriority w:val="99"/>
    <w:semiHidden/>
    <w:unhideWhenUsed/>
    <w:rsid w:val="00B36E74"/>
    <w:pPr>
      <w:spacing w:before="0" w:after="0"/>
    </w:pPr>
    <w:rPr>
      <w:sz w:val="20"/>
      <w:szCs w:val="20"/>
    </w:rPr>
  </w:style>
  <w:style w:type="character" w:customStyle="1" w:styleId="EndnoteTextChar">
    <w:name w:val="Endnote Text Char"/>
    <w:basedOn w:val="DefaultParagraphFont"/>
    <w:link w:val="EndnoteText"/>
    <w:uiPriority w:val="99"/>
    <w:semiHidden/>
    <w:rsid w:val="00B36E74"/>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B36E74"/>
    <w:rPr>
      <w:vertAlign w:val="superscript"/>
    </w:rPr>
  </w:style>
  <w:style w:type="paragraph" w:customStyle="1" w:styleId="Numpar10">
    <w:name w:val="Num par 1"/>
    <w:basedOn w:val="Normal"/>
    <w:rsid w:val="00137D3D"/>
    <w:pPr>
      <w:spacing w:after="0"/>
    </w:pPr>
    <w:rPr>
      <w:rFonts w:eastAsia="Times New Roman"/>
      <w:iCs/>
      <w:szCs w:val="24"/>
    </w:rPr>
  </w:style>
  <w:style w:type="paragraph" w:customStyle="1" w:styleId="Footnote">
    <w:name w:val="Footnote"/>
    <w:basedOn w:val="Text1"/>
    <w:rsid w:val="00137D3D"/>
    <w:pPr>
      <w:ind w:left="0"/>
    </w:pPr>
  </w:style>
  <w:style w:type="character" w:customStyle="1" w:styleId="no-parag">
    <w:name w:val="no-parag"/>
    <w:basedOn w:val="DefaultParagraphFont"/>
    <w:rsid w:val="007B7A84"/>
  </w:style>
  <w:style w:type="character" w:customStyle="1" w:styleId="UnresolvedMention1">
    <w:name w:val="Unresolved Mention1"/>
    <w:basedOn w:val="DefaultParagraphFont"/>
    <w:uiPriority w:val="99"/>
    <w:semiHidden/>
    <w:unhideWhenUsed/>
    <w:rsid w:val="009038AC"/>
    <w:rPr>
      <w:color w:val="605E5C"/>
      <w:shd w:val="clear" w:color="auto" w:fill="E1DFDD"/>
    </w:rPr>
  </w:style>
  <w:style w:type="paragraph" w:customStyle="1" w:styleId="pf0">
    <w:name w:val="pf0"/>
    <w:basedOn w:val="Normal"/>
    <w:rsid w:val="00A01F4E"/>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A01F4E"/>
    <w:rPr>
      <w:rFonts w:ascii="Segoe UI" w:hAnsi="Segoe UI" w:cs="Segoe UI" w:hint="default"/>
      <w:sz w:val="18"/>
      <w:szCs w:val="18"/>
    </w:rPr>
  </w:style>
  <w:style w:type="character" w:customStyle="1" w:styleId="cf21">
    <w:name w:val="cf21"/>
    <w:basedOn w:val="DefaultParagraphFont"/>
    <w:rsid w:val="00A01F4E"/>
    <w:rPr>
      <w:rFonts w:ascii="Segoe UI" w:hAnsi="Segoe UI" w:cs="Segoe UI" w:hint="default"/>
      <w:sz w:val="18"/>
      <w:szCs w:val="18"/>
    </w:rPr>
  </w:style>
  <w:style w:type="character" w:styleId="FollowedHyperlink">
    <w:name w:val="FollowedHyperlink"/>
    <w:basedOn w:val="DefaultParagraphFont"/>
    <w:uiPriority w:val="99"/>
    <w:semiHidden/>
    <w:unhideWhenUsed/>
    <w:rsid w:val="004C3D46"/>
    <w:rPr>
      <w:color w:val="800080" w:themeColor="followedHyperlink"/>
      <w:u w:val="single"/>
    </w:rPr>
  </w:style>
  <w:style w:type="paragraph" w:customStyle="1" w:styleId="Text0">
    <w:name w:val="Text 0"/>
    <w:basedOn w:val="Text1"/>
    <w:rsid w:val="00BD3061"/>
  </w:style>
  <w:style w:type="paragraph" w:customStyle="1" w:styleId="Heading123">
    <w:name w:val="Heading 123"/>
    <w:basedOn w:val="Normal"/>
    <w:next w:val="Normal"/>
    <w:rsid w:val="009B4479"/>
    <w:pPr>
      <w:numPr>
        <w:numId w:val="12"/>
      </w:numPr>
      <w:spacing w:before="360" w:line="360" w:lineRule="auto"/>
      <w:jc w:val="left"/>
      <w:outlineLvl w:val="0"/>
    </w:pPr>
    <w:rPr>
      <w:rFonts w:eastAsia="Times New Roman"/>
      <w:b/>
      <w:caps/>
      <w:szCs w:val="24"/>
      <w:u w:val="single"/>
    </w:rPr>
  </w:style>
  <w:style w:type="character" w:customStyle="1" w:styleId="UnresolvedMention">
    <w:name w:val="Unresolved Mention"/>
    <w:basedOn w:val="DefaultParagraphFont"/>
    <w:uiPriority w:val="99"/>
    <w:semiHidden/>
    <w:unhideWhenUsed/>
    <w:rsid w:val="001B6143"/>
    <w:rPr>
      <w:color w:val="605E5C"/>
      <w:shd w:val="clear" w:color="auto" w:fill="E1DFDD"/>
    </w:rPr>
  </w:style>
  <w:style w:type="character" w:customStyle="1" w:styleId="HeaderChar">
    <w:name w:val="Header Char"/>
    <w:basedOn w:val="DefaultParagraphFont"/>
    <w:link w:val="Header"/>
    <w:uiPriority w:val="99"/>
    <w:rsid w:val="00271252"/>
    <w:rPr>
      <w:rFonts w:ascii="Times New Roman" w:hAnsi="Times New Roman" w:cs="Times New Roman"/>
      <w:sz w:val="24"/>
      <w:lang w:val="ro-RO"/>
    </w:rPr>
  </w:style>
  <w:style w:type="character" w:customStyle="1" w:styleId="FooterChar">
    <w:name w:val="Footer Char"/>
    <w:basedOn w:val="DefaultParagraphFont"/>
    <w:link w:val="Footer"/>
    <w:uiPriority w:val="99"/>
    <w:rsid w:val="0027125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7125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71252"/>
    <w:pPr>
      <w:spacing w:before="0"/>
      <w:jc w:val="right"/>
    </w:pPr>
    <w:rPr>
      <w:sz w:val="28"/>
    </w:rPr>
  </w:style>
  <w:style w:type="paragraph" w:customStyle="1" w:styleId="FooterSensitivity">
    <w:name w:val="Footer Sensitivity"/>
    <w:basedOn w:val="Normal"/>
    <w:rsid w:val="0027125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71252"/>
    <w:pPr>
      <w:tabs>
        <w:tab w:val="center" w:pos="4535"/>
        <w:tab w:val="right" w:pos="9071"/>
      </w:tabs>
      <w:spacing w:before="0"/>
    </w:pPr>
  </w:style>
  <w:style w:type="paragraph" w:customStyle="1" w:styleId="HeaderLandscape">
    <w:name w:val="HeaderLandscape"/>
    <w:basedOn w:val="Normal"/>
    <w:rsid w:val="00271252"/>
    <w:pPr>
      <w:tabs>
        <w:tab w:val="center" w:pos="7285"/>
        <w:tab w:val="right" w:pos="14003"/>
      </w:tabs>
      <w:spacing w:before="0"/>
    </w:pPr>
  </w:style>
  <w:style w:type="paragraph" w:styleId="Footer">
    <w:name w:val="footer"/>
    <w:basedOn w:val="Normal"/>
    <w:link w:val="FooterChar"/>
    <w:uiPriority w:val="99"/>
    <w:unhideWhenUsed/>
    <w:rsid w:val="0027125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7125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25660">
      <w:bodyDiv w:val="1"/>
      <w:marLeft w:val="0"/>
      <w:marRight w:val="0"/>
      <w:marTop w:val="0"/>
      <w:marBottom w:val="0"/>
      <w:divBdr>
        <w:top w:val="none" w:sz="0" w:space="0" w:color="auto"/>
        <w:left w:val="none" w:sz="0" w:space="0" w:color="auto"/>
        <w:bottom w:val="none" w:sz="0" w:space="0" w:color="auto"/>
        <w:right w:val="none" w:sz="0" w:space="0" w:color="auto"/>
      </w:divBdr>
      <w:divsChild>
        <w:div w:id="26177206">
          <w:marLeft w:val="0"/>
          <w:marRight w:val="0"/>
          <w:marTop w:val="0"/>
          <w:marBottom w:val="0"/>
          <w:divBdr>
            <w:top w:val="none" w:sz="0" w:space="0" w:color="auto"/>
            <w:left w:val="none" w:sz="0" w:space="0" w:color="auto"/>
            <w:bottom w:val="none" w:sz="0" w:space="0" w:color="auto"/>
            <w:right w:val="none" w:sz="0" w:space="0" w:color="auto"/>
          </w:divBdr>
          <w:divsChild>
            <w:div w:id="1738893499">
              <w:marLeft w:val="0"/>
              <w:marRight w:val="0"/>
              <w:marTop w:val="0"/>
              <w:marBottom w:val="0"/>
              <w:divBdr>
                <w:top w:val="none" w:sz="0" w:space="0" w:color="auto"/>
                <w:left w:val="none" w:sz="0" w:space="0" w:color="auto"/>
                <w:bottom w:val="none" w:sz="0" w:space="0" w:color="auto"/>
                <w:right w:val="none" w:sz="0" w:space="0" w:color="auto"/>
              </w:divBdr>
            </w:div>
          </w:divsChild>
        </w:div>
        <w:div w:id="238486515">
          <w:marLeft w:val="0"/>
          <w:marRight w:val="0"/>
          <w:marTop w:val="0"/>
          <w:marBottom w:val="0"/>
          <w:divBdr>
            <w:top w:val="none" w:sz="0" w:space="0" w:color="auto"/>
            <w:left w:val="none" w:sz="0" w:space="0" w:color="auto"/>
            <w:bottom w:val="none" w:sz="0" w:space="0" w:color="auto"/>
            <w:right w:val="none" w:sz="0" w:space="0" w:color="auto"/>
          </w:divBdr>
          <w:divsChild>
            <w:div w:id="161324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3808">
      <w:bodyDiv w:val="1"/>
      <w:marLeft w:val="0"/>
      <w:marRight w:val="0"/>
      <w:marTop w:val="0"/>
      <w:marBottom w:val="0"/>
      <w:divBdr>
        <w:top w:val="none" w:sz="0" w:space="0" w:color="auto"/>
        <w:left w:val="none" w:sz="0" w:space="0" w:color="auto"/>
        <w:bottom w:val="none" w:sz="0" w:space="0" w:color="auto"/>
        <w:right w:val="none" w:sz="0" w:space="0" w:color="auto"/>
      </w:divBdr>
    </w:div>
    <w:div w:id="126314054">
      <w:bodyDiv w:val="1"/>
      <w:marLeft w:val="0"/>
      <w:marRight w:val="0"/>
      <w:marTop w:val="0"/>
      <w:marBottom w:val="0"/>
      <w:divBdr>
        <w:top w:val="none" w:sz="0" w:space="0" w:color="auto"/>
        <w:left w:val="none" w:sz="0" w:space="0" w:color="auto"/>
        <w:bottom w:val="none" w:sz="0" w:space="0" w:color="auto"/>
        <w:right w:val="none" w:sz="0" w:space="0" w:color="auto"/>
      </w:divBdr>
    </w:div>
    <w:div w:id="158497191">
      <w:bodyDiv w:val="1"/>
      <w:marLeft w:val="0"/>
      <w:marRight w:val="0"/>
      <w:marTop w:val="0"/>
      <w:marBottom w:val="0"/>
      <w:divBdr>
        <w:top w:val="none" w:sz="0" w:space="0" w:color="auto"/>
        <w:left w:val="none" w:sz="0" w:space="0" w:color="auto"/>
        <w:bottom w:val="none" w:sz="0" w:space="0" w:color="auto"/>
        <w:right w:val="none" w:sz="0" w:space="0" w:color="auto"/>
      </w:divBdr>
    </w:div>
    <w:div w:id="257762558">
      <w:bodyDiv w:val="1"/>
      <w:marLeft w:val="0"/>
      <w:marRight w:val="0"/>
      <w:marTop w:val="0"/>
      <w:marBottom w:val="0"/>
      <w:divBdr>
        <w:top w:val="none" w:sz="0" w:space="0" w:color="auto"/>
        <w:left w:val="none" w:sz="0" w:space="0" w:color="auto"/>
        <w:bottom w:val="none" w:sz="0" w:space="0" w:color="auto"/>
        <w:right w:val="none" w:sz="0" w:space="0" w:color="auto"/>
      </w:divBdr>
    </w:div>
    <w:div w:id="332219983">
      <w:bodyDiv w:val="1"/>
      <w:marLeft w:val="0"/>
      <w:marRight w:val="0"/>
      <w:marTop w:val="0"/>
      <w:marBottom w:val="0"/>
      <w:divBdr>
        <w:top w:val="none" w:sz="0" w:space="0" w:color="auto"/>
        <w:left w:val="none" w:sz="0" w:space="0" w:color="auto"/>
        <w:bottom w:val="none" w:sz="0" w:space="0" w:color="auto"/>
        <w:right w:val="none" w:sz="0" w:space="0" w:color="auto"/>
      </w:divBdr>
    </w:div>
    <w:div w:id="342049097">
      <w:bodyDiv w:val="1"/>
      <w:marLeft w:val="0"/>
      <w:marRight w:val="0"/>
      <w:marTop w:val="0"/>
      <w:marBottom w:val="0"/>
      <w:divBdr>
        <w:top w:val="none" w:sz="0" w:space="0" w:color="auto"/>
        <w:left w:val="none" w:sz="0" w:space="0" w:color="auto"/>
        <w:bottom w:val="none" w:sz="0" w:space="0" w:color="auto"/>
        <w:right w:val="none" w:sz="0" w:space="0" w:color="auto"/>
      </w:divBdr>
    </w:div>
    <w:div w:id="358436783">
      <w:bodyDiv w:val="1"/>
      <w:marLeft w:val="0"/>
      <w:marRight w:val="0"/>
      <w:marTop w:val="0"/>
      <w:marBottom w:val="0"/>
      <w:divBdr>
        <w:top w:val="none" w:sz="0" w:space="0" w:color="auto"/>
        <w:left w:val="none" w:sz="0" w:space="0" w:color="auto"/>
        <w:bottom w:val="none" w:sz="0" w:space="0" w:color="auto"/>
        <w:right w:val="none" w:sz="0" w:space="0" w:color="auto"/>
      </w:divBdr>
    </w:div>
    <w:div w:id="359089353">
      <w:bodyDiv w:val="1"/>
      <w:marLeft w:val="0"/>
      <w:marRight w:val="0"/>
      <w:marTop w:val="0"/>
      <w:marBottom w:val="0"/>
      <w:divBdr>
        <w:top w:val="none" w:sz="0" w:space="0" w:color="auto"/>
        <w:left w:val="none" w:sz="0" w:space="0" w:color="auto"/>
        <w:bottom w:val="none" w:sz="0" w:space="0" w:color="auto"/>
        <w:right w:val="none" w:sz="0" w:space="0" w:color="auto"/>
      </w:divBdr>
      <w:divsChild>
        <w:div w:id="1461534858">
          <w:marLeft w:val="0"/>
          <w:marRight w:val="0"/>
          <w:marTop w:val="0"/>
          <w:marBottom w:val="0"/>
          <w:divBdr>
            <w:top w:val="none" w:sz="0" w:space="0" w:color="auto"/>
            <w:left w:val="none" w:sz="0" w:space="0" w:color="auto"/>
            <w:bottom w:val="none" w:sz="0" w:space="0" w:color="auto"/>
            <w:right w:val="none" w:sz="0" w:space="0" w:color="auto"/>
          </w:divBdr>
        </w:div>
      </w:divsChild>
    </w:div>
    <w:div w:id="417675519">
      <w:bodyDiv w:val="1"/>
      <w:marLeft w:val="0"/>
      <w:marRight w:val="0"/>
      <w:marTop w:val="0"/>
      <w:marBottom w:val="0"/>
      <w:divBdr>
        <w:top w:val="none" w:sz="0" w:space="0" w:color="auto"/>
        <w:left w:val="none" w:sz="0" w:space="0" w:color="auto"/>
        <w:bottom w:val="none" w:sz="0" w:space="0" w:color="auto"/>
        <w:right w:val="none" w:sz="0" w:space="0" w:color="auto"/>
      </w:divBdr>
    </w:div>
    <w:div w:id="446319402">
      <w:bodyDiv w:val="1"/>
      <w:marLeft w:val="0"/>
      <w:marRight w:val="0"/>
      <w:marTop w:val="0"/>
      <w:marBottom w:val="0"/>
      <w:divBdr>
        <w:top w:val="none" w:sz="0" w:space="0" w:color="auto"/>
        <w:left w:val="none" w:sz="0" w:space="0" w:color="auto"/>
        <w:bottom w:val="none" w:sz="0" w:space="0" w:color="auto"/>
        <w:right w:val="none" w:sz="0" w:space="0" w:color="auto"/>
      </w:divBdr>
    </w:div>
    <w:div w:id="609357738">
      <w:bodyDiv w:val="1"/>
      <w:marLeft w:val="0"/>
      <w:marRight w:val="0"/>
      <w:marTop w:val="0"/>
      <w:marBottom w:val="0"/>
      <w:divBdr>
        <w:top w:val="none" w:sz="0" w:space="0" w:color="auto"/>
        <w:left w:val="none" w:sz="0" w:space="0" w:color="auto"/>
        <w:bottom w:val="none" w:sz="0" w:space="0" w:color="auto"/>
        <w:right w:val="none" w:sz="0" w:space="0" w:color="auto"/>
      </w:divBdr>
    </w:div>
    <w:div w:id="673456048">
      <w:bodyDiv w:val="1"/>
      <w:marLeft w:val="0"/>
      <w:marRight w:val="0"/>
      <w:marTop w:val="0"/>
      <w:marBottom w:val="0"/>
      <w:divBdr>
        <w:top w:val="none" w:sz="0" w:space="0" w:color="auto"/>
        <w:left w:val="none" w:sz="0" w:space="0" w:color="auto"/>
        <w:bottom w:val="none" w:sz="0" w:space="0" w:color="auto"/>
        <w:right w:val="none" w:sz="0" w:space="0" w:color="auto"/>
      </w:divBdr>
    </w:div>
    <w:div w:id="681248995">
      <w:bodyDiv w:val="1"/>
      <w:marLeft w:val="0"/>
      <w:marRight w:val="0"/>
      <w:marTop w:val="0"/>
      <w:marBottom w:val="0"/>
      <w:divBdr>
        <w:top w:val="none" w:sz="0" w:space="0" w:color="auto"/>
        <w:left w:val="none" w:sz="0" w:space="0" w:color="auto"/>
        <w:bottom w:val="none" w:sz="0" w:space="0" w:color="auto"/>
        <w:right w:val="none" w:sz="0" w:space="0" w:color="auto"/>
      </w:divBdr>
    </w:div>
    <w:div w:id="764300014">
      <w:bodyDiv w:val="1"/>
      <w:marLeft w:val="0"/>
      <w:marRight w:val="0"/>
      <w:marTop w:val="0"/>
      <w:marBottom w:val="0"/>
      <w:divBdr>
        <w:top w:val="none" w:sz="0" w:space="0" w:color="auto"/>
        <w:left w:val="none" w:sz="0" w:space="0" w:color="auto"/>
        <w:bottom w:val="none" w:sz="0" w:space="0" w:color="auto"/>
        <w:right w:val="none" w:sz="0" w:space="0" w:color="auto"/>
      </w:divBdr>
    </w:div>
    <w:div w:id="847718372">
      <w:bodyDiv w:val="1"/>
      <w:marLeft w:val="0"/>
      <w:marRight w:val="0"/>
      <w:marTop w:val="0"/>
      <w:marBottom w:val="0"/>
      <w:divBdr>
        <w:top w:val="none" w:sz="0" w:space="0" w:color="auto"/>
        <w:left w:val="none" w:sz="0" w:space="0" w:color="auto"/>
        <w:bottom w:val="none" w:sz="0" w:space="0" w:color="auto"/>
        <w:right w:val="none" w:sz="0" w:space="0" w:color="auto"/>
      </w:divBdr>
    </w:div>
    <w:div w:id="898515180">
      <w:bodyDiv w:val="1"/>
      <w:marLeft w:val="0"/>
      <w:marRight w:val="0"/>
      <w:marTop w:val="0"/>
      <w:marBottom w:val="0"/>
      <w:divBdr>
        <w:top w:val="none" w:sz="0" w:space="0" w:color="auto"/>
        <w:left w:val="none" w:sz="0" w:space="0" w:color="auto"/>
        <w:bottom w:val="none" w:sz="0" w:space="0" w:color="auto"/>
        <w:right w:val="none" w:sz="0" w:space="0" w:color="auto"/>
      </w:divBdr>
    </w:div>
    <w:div w:id="924996347">
      <w:bodyDiv w:val="1"/>
      <w:marLeft w:val="0"/>
      <w:marRight w:val="0"/>
      <w:marTop w:val="0"/>
      <w:marBottom w:val="0"/>
      <w:divBdr>
        <w:top w:val="none" w:sz="0" w:space="0" w:color="auto"/>
        <w:left w:val="none" w:sz="0" w:space="0" w:color="auto"/>
        <w:bottom w:val="none" w:sz="0" w:space="0" w:color="auto"/>
        <w:right w:val="none" w:sz="0" w:space="0" w:color="auto"/>
      </w:divBdr>
    </w:div>
    <w:div w:id="961379842">
      <w:bodyDiv w:val="1"/>
      <w:marLeft w:val="0"/>
      <w:marRight w:val="0"/>
      <w:marTop w:val="0"/>
      <w:marBottom w:val="0"/>
      <w:divBdr>
        <w:top w:val="none" w:sz="0" w:space="0" w:color="auto"/>
        <w:left w:val="none" w:sz="0" w:space="0" w:color="auto"/>
        <w:bottom w:val="none" w:sz="0" w:space="0" w:color="auto"/>
        <w:right w:val="none" w:sz="0" w:space="0" w:color="auto"/>
      </w:divBdr>
    </w:div>
    <w:div w:id="1041708756">
      <w:bodyDiv w:val="1"/>
      <w:marLeft w:val="0"/>
      <w:marRight w:val="0"/>
      <w:marTop w:val="0"/>
      <w:marBottom w:val="0"/>
      <w:divBdr>
        <w:top w:val="none" w:sz="0" w:space="0" w:color="auto"/>
        <w:left w:val="none" w:sz="0" w:space="0" w:color="auto"/>
        <w:bottom w:val="none" w:sz="0" w:space="0" w:color="auto"/>
        <w:right w:val="none" w:sz="0" w:space="0" w:color="auto"/>
      </w:divBdr>
    </w:div>
    <w:div w:id="1053117952">
      <w:bodyDiv w:val="1"/>
      <w:marLeft w:val="0"/>
      <w:marRight w:val="0"/>
      <w:marTop w:val="0"/>
      <w:marBottom w:val="0"/>
      <w:divBdr>
        <w:top w:val="none" w:sz="0" w:space="0" w:color="auto"/>
        <w:left w:val="none" w:sz="0" w:space="0" w:color="auto"/>
        <w:bottom w:val="none" w:sz="0" w:space="0" w:color="auto"/>
        <w:right w:val="none" w:sz="0" w:space="0" w:color="auto"/>
      </w:divBdr>
    </w:div>
    <w:div w:id="1067803555">
      <w:bodyDiv w:val="1"/>
      <w:marLeft w:val="0"/>
      <w:marRight w:val="0"/>
      <w:marTop w:val="0"/>
      <w:marBottom w:val="0"/>
      <w:divBdr>
        <w:top w:val="none" w:sz="0" w:space="0" w:color="auto"/>
        <w:left w:val="none" w:sz="0" w:space="0" w:color="auto"/>
        <w:bottom w:val="none" w:sz="0" w:space="0" w:color="auto"/>
        <w:right w:val="none" w:sz="0" w:space="0" w:color="auto"/>
      </w:divBdr>
    </w:div>
    <w:div w:id="1070813093">
      <w:bodyDiv w:val="1"/>
      <w:marLeft w:val="0"/>
      <w:marRight w:val="0"/>
      <w:marTop w:val="0"/>
      <w:marBottom w:val="0"/>
      <w:divBdr>
        <w:top w:val="none" w:sz="0" w:space="0" w:color="auto"/>
        <w:left w:val="none" w:sz="0" w:space="0" w:color="auto"/>
        <w:bottom w:val="none" w:sz="0" w:space="0" w:color="auto"/>
        <w:right w:val="none" w:sz="0" w:space="0" w:color="auto"/>
      </w:divBdr>
    </w:div>
    <w:div w:id="1136796989">
      <w:bodyDiv w:val="1"/>
      <w:marLeft w:val="0"/>
      <w:marRight w:val="0"/>
      <w:marTop w:val="0"/>
      <w:marBottom w:val="0"/>
      <w:divBdr>
        <w:top w:val="none" w:sz="0" w:space="0" w:color="auto"/>
        <w:left w:val="none" w:sz="0" w:space="0" w:color="auto"/>
        <w:bottom w:val="none" w:sz="0" w:space="0" w:color="auto"/>
        <w:right w:val="none" w:sz="0" w:space="0" w:color="auto"/>
      </w:divBdr>
    </w:div>
    <w:div w:id="1157842740">
      <w:bodyDiv w:val="1"/>
      <w:marLeft w:val="0"/>
      <w:marRight w:val="0"/>
      <w:marTop w:val="0"/>
      <w:marBottom w:val="0"/>
      <w:divBdr>
        <w:top w:val="none" w:sz="0" w:space="0" w:color="auto"/>
        <w:left w:val="none" w:sz="0" w:space="0" w:color="auto"/>
        <w:bottom w:val="none" w:sz="0" w:space="0" w:color="auto"/>
        <w:right w:val="none" w:sz="0" w:space="0" w:color="auto"/>
      </w:divBdr>
    </w:div>
    <w:div w:id="1379358405">
      <w:bodyDiv w:val="1"/>
      <w:marLeft w:val="0"/>
      <w:marRight w:val="0"/>
      <w:marTop w:val="0"/>
      <w:marBottom w:val="0"/>
      <w:divBdr>
        <w:top w:val="none" w:sz="0" w:space="0" w:color="auto"/>
        <w:left w:val="none" w:sz="0" w:space="0" w:color="auto"/>
        <w:bottom w:val="none" w:sz="0" w:space="0" w:color="auto"/>
        <w:right w:val="none" w:sz="0" w:space="0" w:color="auto"/>
      </w:divBdr>
    </w:div>
    <w:div w:id="1400328371">
      <w:bodyDiv w:val="1"/>
      <w:marLeft w:val="0"/>
      <w:marRight w:val="0"/>
      <w:marTop w:val="0"/>
      <w:marBottom w:val="0"/>
      <w:divBdr>
        <w:top w:val="none" w:sz="0" w:space="0" w:color="auto"/>
        <w:left w:val="none" w:sz="0" w:space="0" w:color="auto"/>
        <w:bottom w:val="none" w:sz="0" w:space="0" w:color="auto"/>
        <w:right w:val="none" w:sz="0" w:space="0" w:color="auto"/>
      </w:divBdr>
    </w:div>
    <w:div w:id="1430277474">
      <w:bodyDiv w:val="1"/>
      <w:marLeft w:val="0"/>
      <w:marRight w:val="0"/>
      <w:marTop w:val="0"/>
      <w:marBottom w:val="0"/>
      <w:divBdr>
        <w:top w:val="none" w:sz="0" w:space="0" w:color="auto"/>
        <w:left w:val="none" w:sz="0" w:space="0" w:color="auto"/>
        <w:bottom w:val="none" w:sz="0" w:space="0" w:color="auto"/>
        <w:right w:val="none" w:sz="0" w:space="0" w:color="auto"/>
      </w:divBdr>
    </w:div>
    <w:div w:id="1464611852">
      <w:bodyDiv w:val="1"/>
      <w:marLeft w:val="0"/>
      <w:marRight w:val="0"/>
      <w:marTop w:val="0"/>
      <w:marBottom w:val="0"/>
      <w:divBdr>
        <w:top w:val="none" w:sz="0" w:space="0" w:color="auto"/>
        <w:left w:val="none" w:sz="0" w:space="0" w:color="auto"/>
        <w:bottom w:val="none" w:sz="0" w:space="0" w:color="auto"/>
        <w:right w:val="none" w:sz="0" w:space="0" w:color="auto"/>
      </w:divBdr>
    </w:div>
    <w:div w:id="1509566068">
      <w:bodyDiv w:val="1"/>
      <w:marLeft w:val="0"/>
      <w:marRight w:val="0"/>
      <w:marTop w:val="0"/>
      <w:marBottom w:val="0"/>
      <w:divBdr>
        <w:top w:val="none" w:sz="0" w:space="0" w:color="auto"/>
        <w:left w:val="none" w:sz="0" w:space="0" w:color="auto"/>
        <w:bottom w:val="none" w:sz="0" w:space="0" w:color="auto"/>
        <w:right w:val="none" w:sz="0" w:space="0" w:color="auto"/>
      </w:divBdr>
    </w:div>
    <w:div w:id="1616908803">
      <w:bodyDiv w:val="1"/>
      <w:marLeft w:val="0"/>
      <w:marRight w:val="0"/>
      <w:marTop w:val="0"/>
      <w:marBottom w:val="0"/>
      <w:divBdr>
        <w:top w:val="none" w:sz="0" w:space="0" w:color="auto"/>
        <w:left w:val="none" w:sz="0" w:space="0" w:color="auto"/>
        <w:bottom w:val="none" w:sz="0" w:space="0" w:color="auto"/>
        <w:right w:val="none" w:sz="0" w:space="0" w:color="auto"/>
      </w:divBdr>
    </w:div>
    <w:div w:id="1643003110">
      <w:bodyDiv w:val="1"/>
      <w:marLeft w:val="0"/>
      <w:marRight w:val="0"/>
      <w:marTop w:val="0"/>
      <w:marBottom w:val="0"/>
      <w:divBdr>
        <w:top w:val="none" w:sz="0" w:space="0" w:color="auto"/>
        <w:left w:val="none" w:sz="0" w:space="0" w:color="auto"/>
        <w:bottom w:val="none" w:sz="0" w:space="0" w:color="auto"/>
        <w:right w:val="none" w:sz="0" w:space="0" w:color="auto"/>
      </w:divBdr>
    </w:div>
    <w:div w:id="186844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5/757/oj" TargetMode="External"/><Relationship Id="rId13" Type="http://schemas.openxmlformats.org/officeDocument/2006/relationships/hyperlink" Target="http://data.europa.eu/eli/reg/2023/1805/oj" TargetMode="External"/><Relationship Id="rId18" Type="http://schemas.openxmlformats.org/officeDocument/2006/relationships/hyperlink" Target="http://data.europa.eu/eli/dir/2009/45/oj" TargetMode="External"/><Relationship Id="rId3" Type="http://schemas.openxmlformats.org/officeDocument/2006/relationships/hyperlink" Target="http://data.europa.eu/eli/dir/2008/56/oj" TargetMode="External"/><Relationship Id="rId7" Type="http://schemas.openxmlformats.org/officeDocument/2006/relationships/hyperlink" Target="http://data.europa.eu/eli/reg/2016/1628/oj" TargetMode="External"/><Relationship Id="rId12" Type="http://schemas.openxmlformats.org/officeDocument/2006/relationships/hyperlink" Target="http://data.europa.eu/eli/reg/2023/957/oj" TargetMode="External"/><Relationship Id="rId17" Type="http://schemas.openxmlformats.org/officeDocument/2006/relationships/hyperlink" Target="http://data.europa.eu/eli/dir/2014/90/oj" TargetMode="External"/><Relationship Id="rId2" Type="http://schemas.openxmlformats.org/officeDocument/2006/relationships/hyperlink" Target="http://data.europa.eu/eli/dir/2016/802/oj" TargetMode="External"/><Relationship Id="rId16" Type="http://schemas.openxmlformats.org/officeDocument/2006/relationships/hyperlink" Target="http://data.europa.eu/eli/reg_impl/2025/1533/oj" TargetMode="External"/><Relationship Id="rId1" Type="http://schemas.openxmlformats.org/officeDocument/2006/relationships/hyperlink" Target="http://data.europa.eu/eli/dec/2025/2093/oj" TargetMode="External"/><Relationship Id="rId6" Type="http://schemas.openxmlformats.org/officeDocument/2006/relationships/hyperlink" Target="http://data.europa.eu/eli/reg/2009/595/oj" TargetMode="External"/><Relationship Id="rId11" Type="http://schemas.openxmlformats.org/officeDocument/2006/relationships/hyperlink" Target="http://data.europa.eu/eli/dir/2023/959/oj" TargetMode="External"/><Relationship Id="rId5" Type="http://schemas.openxmlformats.org/officeDocument/2006/relationships/hyperlink" Target="http://data.europa.eu/eli/reg/2007/715/oj" TargetMode="External"/><Relationship Id="rId15" Type="http://schemas.openxmlformats.org/officeDocument/2006/relationships/hyperlink" Target="http://data.europa.eu/eli/reg/2019/1239/oj" TargetMode="External"/><Relationship Id="rId10" Type="http://schemas.openxmlformats.org/officeDocument/2006/relationships/hyperlink" Target="http://data.europa.eu/eli/dir/2003/87/oj" TargetMode="External"/><Relationship Id="rId19" Type="http://schemas.openxmlformats.org/officeDocument/2006/relationships/hyperlink" Target="http://data.europa.eu/eli/reg/2012/530/oj" TargetMode="External"/><Relationship Id="rId4" Type="http://schemas.openxmlformats.org/officeDocument/2006/relationships/hyperlink" Target="http://data.europa.eu/eli/dir/2008/50/oj" TargetMode="External"/><Relationship Id="rId9" Type="http://schemas.openxmlformats.org/officeDocument/2006/relationships/hyperlink" Target="http://data.europa.eu/eli/reg/2021/1119/oj" TargetMode="External"/><Relationship Id="rId14" Type="http://schemas.openxmlformats.org/officeDocument/2006/relationships/hyperlink" Target="http://data.europa.eu/eli/dir/2002/5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FB4A9C59EF314791AA713CE5448AA0" ma:contentTypeVersion="13" ma:contentTypeDescription="Create a new document." ma:contentTypeScope="" ma:versionID="8e6d5b95cb78e6462aa8f381145375df">
  <xsd:schema xmlns:xsd="http://www.w3.org/2001/XMLSchema" xmlns:xs="http://www.w3.org/2001/XMLSchema" xmlns:p="http://schemas.microsoft.com/office/2006/metadata/properties" xmlns:ns3="f25cbdc0-0ef9-45cc-9261-b47b459937c1" xmlns:ns4="3590d0e6-1123-43ed-9096-fd6d21660757" targetNamespace="http://schemas.microsoft.com/office/2006/metadata/properties" ma:root="true" ma:fieldsID="ecdee67415a59ca5bf490ee86c6a0e2f" ns3:_="" ns4:_="">
    <xsd:import namespace="f25cbdc0-0ef9-45cc-9261-b47b459937c1"/>
    <xsd:import namespace="3590d0e6-1123-43ed-9096-fd6d21660757"/>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cbdc0-0ef9-45cc-9261-b47b45993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90d0e6-1123-43ed-9096-fd6d216607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25cbdc0-0ef9-45cc-9261-b47b459937c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B46F9-1B99-46A8-94CE-0EC149950680}">
  <ds:schemaRefs>
    <ds:schemaRef ds:uri="http://schemas.microsoft.com/sharepoint/v3/contenttype/forms"/>
  </ds:schemaRefs>
</ds:datastoreItem>
</file>

<file path=customXml/itemProps2.xml><?xml version="1.0" encoding="utf-8"?>
<ds:datastoreItem xmlns:ds="http://schemas.openxmlformats.org/officeDocument/2006/customXml" ds:itemID="{AE117B1B-99A7-4159-A5DA-B792C9DC9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cbdc0-0ef9-45cc-9261-b47b459937c1"/>
    <ds:schemaRef ds:uri="3590d0e6-1123-43ed-9096-fd6d21660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2D279A-20C7-4CFC-9639-E60C35139EE7}">
  <ds:schemaRefs>
    <ds:schemaRef ds:uri="http://schemas.microsoft.com/office/2006/metadata/properties"/>
    <ds:schemaRef ds:uri="http://schemas.microsoft.com/office/infopath/2007/PartnerControls"/>
    <ds:schemaRef ds:uri="f25cbdc0-0ef9-45cc-9261-b47b459937c1"/>
  </ds:schemaRefs>
</ds:datastoreItem>
</file>

<file path=customXml/itemProps4.xml><?xml version="1.0" encoding="utf-8"?>
<ds:datastoreItem xmlns:ds="http://schemas.openxmlformats.org/officeDocument/2006/customXml" ds:itemID="{F08D11E3-1872-4FE0-8810-789BF2CD2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40</TotalTime>
  <Pages>13</Pages>
  <Words>9378</Words>
  <Characters>53458</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cp:lastPrinted>2026-02-18T16:05:00Z</cp:lastPrinted>
  <dcterms:created xsi:type="dcterms:W3CDTF">2026-03-04T13:56:00Z</dcterms:created>
  <dcterms:modified xsi:type="dcterms:W3CDTF">2026-03-19T09:04:00Z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2023-09-11T08:38:18Z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2c4700fd-c228-42f9-83bb-37750e4811eb</vt:lpwstr>
  </property>
  <property fmtid="{D5CDD505-2E9C-101B-9397-08002B2CF9AE}" pid="16" name="MSIP_Label_6bd9ddd1-4d20-43f6-abfa-fc3c07406f94_ContentBits">
    <vt:lpwstr>0</vt:lpwstr>
  </property>
  <property fmtid="{D5CDD505-2E9C-101B-9397-08002B2CF9AE}" pid="17" name="ContentTypeId">
    <vt:lpwstr>0x010100B3FB4A9C59EF314791AA713CE5448AA0</vt:lpwstr>
  </property>
  <property fmtid="{D5CDD505-2E9C-101B-9397-08002B2CF9AE}" pid="18" name="DQCStatus">
    <vt:lpwstr>Green (DQC version 03)</vt:lpwstr>
  </property>
</Properties>
</file>