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021228" w14:textId="6C457AFF" w:rsidR="001D2041" w:rsidRPr="00A650D0" w:rsidRDefault="00275CA5" w:rsidP="00275CA5">
      <w:pPr>
        <w:pStyle w:val="Pagedecouverture"/>
        <w:rPr>
          <w:noProof/>
        </w:rPr>
      </w:pPr>
      <w:bookmarkStart w:id="0" w:name="LW_BM_COVERPAGE"/>
      <w:r>
        <w:rPr>
          <w:noProof/>
        </w:rPr>
        <w:pict w14:anchorId="3BB844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65FD831-98B5-4AE8-8542-0007D07DF048" style="width:455.25pt;height:300pt">
            <v:imagedata r:id="rId11" o:title=""/>
          </v:shape>
        </w:pict>
      </w:r>
    </w:p>
    <w:bookmarkEnd w:id="0"/>
    <w:p w14:paraId="4E7F600C" w14:textId="77777777" w:rsidR="001D2041" w:rsidRPr="00A650D0" w:rsidRDefault="001D2041" w:rsidP="00F21377">
      <w:pPr>
        <w:rPr>
          <w:rFonts w:ascii="Times New Roman" w:hAnsi="Times New Roman" w:cs="Times New Roman"/>
          <w:noProof/>
        </w:rPr>
        <w:sectPr w:rsidR="001D2041" w:rsidRPr="00A650D0" w:rsidSect="00275CA5">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0AE698A4" w14:textId="5759974A" w:rsidR="0047550B" w:rsidRPr="00A650D0" w:rsidRDefault="0047550B">
      <w:pPr>
        <w:spacing w:after="0" w:line="240" w:lineRule="auto"/>
        <w:rPr>
          <w:rFonts w:ascii="Times New Roman" w:hAnsi="Times New Roman" w:cs="Times New Roman"/>
          <w:noProof/>
        </w:rPr>
      </w:pPr>
      <w:bookmarkStart w:id="1" w:name="_GoBack"/>
      <w:bookmarkEnd w:id="1"/>
      <w:r w:rsidRPr="00A650D0">
        <w:rPr>
          <w:rFonts w:ascii="Times New Roman" w:hAnsi="Times New Roman" w:cs="Times New Roman"/>
          <w:noProof/>
        </w:rPr>
        <w:br w:type="page"/>
      </w:r>
    </w:p>
    <w:p w14:paraId="4B7A8ABE" w14:textId="77777777" w:rsidR="00BF6E0E" w:rsidRPr="00A650D0" w:rsidRDefault="003E70D4" w:rsidP="00F60D5A">
      <w:pPr>
        <w:spacing w:line="240" w:lineRule="auto"/>
        <w:jc w:val="both"/>
        <w:rPr>
          <w:rFonts w:ascii="Times New Roman" w:hAnsi="Times New Roman" w:cs="Times New Roman"/>
          <w:b/>
          <w:bCs/>
          <w:noProof/>
          <w:sz w:val="24"/>
          <w:szCs w:val="24"/>
        </w:rPr>
      </w:pPr>
      <w:r w:rsidRPr="00A650D0">
        <w:rPr>
          <w:rFonts w:ascii="Times New Roman" w:hAnsi="Times New Roman" w:cs="Times New Roman"/>
          <w:b/>
          <w:noProof/>
          <w:sz w:val="24"/>
        </w:rPr>
        <w:lastRenderedPageBreak/>
        <w:t>INTRODUCTION</w:t>
      </w:r>
      <w:r w:rsidRPr="00A650D0">
        <w:rPr>
          <w:rFonts w:ascii="Times New Roman" w:hAnsi="Times New Roman" w:cs="Times New Roman"/>
          <w:noProof/>
          <w:sz w:val="24"/>
        </w:rPr>
        <w:t xml:space="preserve"> </w:t>
      </w:r>
    </w:p>
    <w:p w14:paraId="37297995" w14:textId="1DBB0DEB" w:rsidR="00BF6E0E" w:rsidRPr="00A650D0" w:rsidRDefault="003E70D4" w:rsidP="00F60D5A">
      <w:pPr>
        <w:spacing w:line="240" w:lineRule="auto"/>
        <w:jc w:val="both"/>
        <w:rPr>
          <w:rFonts w:ascii="Times New Roman" w:eastAsia="Times New Roman" w:hAnsi="Times New Roman" w:cs="Times New Roman"/>
          <w:noProof/>
          <w:color w:val="000000" w:themeColor="text1"/>
          <w:sz w:val="24"/>
          <w:szCs w:val="24"/>
        </w:rPr>
      </w:pPr>
      <w:r w:rsidRPr="00A650D0">
        <w:rPr>
          <w:rFonts w:ascii="Times New Roman" w:hAnsi="Times New Roman" w:cs="Times New Roman"/>
          <w:noProof/>
          <w:color w:val="000000" w:themeColor="text1"/>
          <w:sz w:val="24"/>
        </w:rPr>
        <w:t xml:space="preserve">L’Union européenne (UE) défend l’unité, la démocratie et le respect des droits de l’homme. La diversité de ses habitants est l’un de ses plus grands atouts, tel que le reconnaissent ses traités fondateurs. L’UE est une </w:t>
      </w:r>
      <w:hyperlink r:id="rId18" w:history="1">
        <w:r w:rsidRPr="00A650D0">
          <w:rPr>
            <w:rStyle w:val="Hyperlink"/>
            <w:rFonts w:ascii="Times New Roman" w:hAnsi="Times New Roman" w:cs="Times New Roman"/>
            <w:noProof/>
            <w:sz w:val="24"/>
          </w:rPr>
          <w:t>Union de l’égalité</w:t>
        </w:r>
      </w:hyperlink>
      <w:r w:rsidRPr="00A650D0">
        <w:rPr>
          <w:rFonts w:ascii="Times New Roman" w:hAnsi="Times New Roman" w:cs="Times New Roman"/>
          <w:noProof/>
        </w:rPr>
        <w:t xml:space="preserve"> </w:t>
      </w:r>
      <w:r w:rsidRPr="00A650D0">
        <w:rPr>
          <w:rFonts w:ascii="Times New Roman" w:hAnsi="Times New Roman" w:cs="Times New Roman"/>
          <w:noProof/>
          <w:color w:val="000000" w:themeColor="text1"/>
          <w:sz w:val="24"/>
        </w:rPr>
        <w:t>«fondée sur les valeurs de respect de la dignité humaine, de liberté, de démocratie, d’égalité, de l’État de droit, ainsi que de respect des droits de l’homme, y compris des droits des personnes appartenant à des minorités»</w:t>
      </w:r>
      <w:r w:rsidRPr="00A650D0">
        <w:rPr>
          <w:rStyle w:val="FootnoteReference"/>
          <w:rFonts w:ascii="Times New Roman" w:eastAsia="Times New Roman" w:hAnsi="Times New Roman" w:cs="Times New Roman"/>
          <w:noProof/>
          <w:color w:val="000000" w:themeColor="text1"/>
          <w:sz w:val="24"/>
          <w:szCs w:val="24"/>
          <w:lang w:val="de-DE"/>
        </w:rPr>
        <w:footnoteReference w:id="2"/>
      </w:r>
      <w:r w:rsidRPr="00A650D0">
        <w:rPr>
          <w:rFonts w:ascii="Times New Roman" w:hAnsi="Times New Roman" w:cs="Times New Roman"/>
          <w:noProof/>
          <w:color w:val="000000" w:themeColor="text1"/>
          <w:sz w:val="24"/>
        </w:rPr>
        <w:t xml:space="preserve">. Ce fondement de l’ordre juridique de l’UE suppose un </w:t>
      </w:r>
      <w:r w:rsidRPr="00A650D0">
        <w:rPr>
          <w:rFonts w:ascii="Times New Roman" w:hAnsi="Times New Roman" w:cs="Times New Roman"/>
          <w:b/>
          <w:noProof/>
          <w:color w:val="000000" w:themeColor="text1"/>
          <w:sz w:val="24"/>
        </w:rPr>
        <w:t>environnement exempt de racisme, dans lequel chacun peut s’épanouir et contribuer à la prospérité de la société</w:t>
      </w:r>
      <w:r w:rsidRPr="00A650D0">
        <w:rPr>
          <w:rFonts w:ascii="Times New Roman" w:hAnsi="Times New Roman" w:cs="Times New Roman"/>
          <w:noProof/>
          <w:color w:val="000000" w:themeColor="text1"/>
          <w:sz w:val="24"/>
        </w:rPr>
        <w:t>. Lorsque ces valeurs sont remises en question, l’UE se tient aux côtés de ses citoyens et défend leurs droits et leurs libertés, n’acceptant aucune forme de racisme ou de discrimination fondée sur la race ou l’origine ethnique.</w:t>
      </w:r>
    </w:p>
    <w:p w14:paraId="4D2A2BCF" w14:textId="74FBE094" w:rsidR="00BF6E0E" w:rsidRPr="00A650D0" w:rsidRDefault="003E70D4" w:rsidP="00F60D5A">
      <w:pPr>
        <w:spacing w:line="240" w:lineRule="auto"/>
        <w:jc w:val="both"/>
        <w:rPr>
          <w:rFonts w:ascii="Times New Roman" w:hAnsi="Times New Roman" w:cs="Times New Roman"/>
          <w:noProof/>
          <w:sz w:val="24"/>
          <w:szCs w:val="24"/>
        </w:rPr>
      </w:pPr>
      <w:r w:rsidRPr="00A650D0">
        <w:rPr>
          <w:rFonts w:ascii="Times New Roman" w:hAnsi="Times New Roman" w:cs="Times New Roman"/>
          <w:noProof/>
          <w:sz w:val="24"/>
        </w:rPr>
        <w:t xml:space="preserve">En 2020, la Commission a adopté le </w:t>
      </w:r>
      <w:hyperlink r:id="rId19" w:history="1">
        <w:r w:rsidRPr="00A650D0">
          <w:rPr>
            <w:rStyle w:val="Hyperlink"/>
            <w:rFonts w:ascii="Times New Roman" w:hAnsi="Times New Roman" w:cs="Times New Roman"/>
            <w:noProof/>
            <w:sz w:val="24"/>
          </w:rPr>
          <w:t>plan d’action de l’UE contre le racisme 2020-2025</w:t>
        </w:r>
      </w:hyperlink>
      <w:r w:rsidRPr="00A650D0">
        <w:rPr>
          <w:rFonts w:ascii="Times New Roman" w:hAnsi="Times New Roman" w:cs="Times New Roman"/>
          <w:noProof/>
          <w:sz w:val="24"/>
        </w:rPr>
        <w:t>, qui marque le début d’une nouvelle phase ambitieuse de la lutte globale menée par l’UE contre le racisme. Ce plan d’action était une initiative novatrice qui a contribué à protéger tous les citoyens de l’UE contre le racisme et la discrimination raciale. Il contenait de nombreuses mesures de lutte contre le racisme à mettre en œuvre aux niveaux européen, national, régional et local, et proposait notamment d’élaborer des initiatives législatives visant à renforcer la protection contre la discrimination raciale</w:t>
      </w:r>
      <w:r w:rsidRPr="00A650D0">
        <w:rPr>
          <w:rStyle w:val="FootnoteReference"/>
          <w:rFonts w:ascii="Times New Roman" w:hAnsi="Times New Roman" w:cs="Times New Roman"/>
          <w:noProof/>
          <w:sz w:val="24"/>
          <w:szCs w:val="24"/>
        </w:rPr>
        <w:footnoteReference w:id="3"/>
      </w:r>
      <w:r w:rsidRPr="00A650D0">
        <w:rPr>
          <w:rFonts w:ascii="Times New Roman" w:hAnsi="Times New Roman" w:cs="Times New Roman"/>
          <w:noProof/>
          <w:sz w:val="24"/>
        </w:rPr>
        <w:t xml:space="preserve"> et de fournir un soutien accru aux organisations de la société civile (OSC) luttant contre le racisme, au moyen du programme </w:t>
      </w:r>
      <w:hyperlink r:id="rId20" w:history="1">
        <w:r w:rsidRPr="00A650D0">
          <w:rPr>
            <w:rStyle w:val="Hyperlink"/>
            <w:rFonts w:ascii="Times New Roman" w:hAnsi="Times New Roman" w:cs="Times New Roman"/>
            <w:noProof/>
            <w:sz w:val="24"/>
          </w:rPr>
          <w:t>«Citoyens, égalité, droits et valeurs» (CERV)</w:t>
        </w:r>
      </w:hyperlink>
      <w:r w:rsidRPr="00A650D0">
        <w:rPr>
          <w:rFonts w:ascii="Times New Roman" w:hAnsi="Times New Roman" w:cs="Times New Roman"/>
          <w:noProof/>
          <w:sz w:val="24"/>
        </w:rPr>
        <w:t>.</w:t>
      </w:r>
    </w:p>
    <w:p w14:paraId="65DF8681" w14:textId="52D2347E" w:rsidR="00BF6E0E" w:rsidRPr="00A650D0" w:rsidRDefault="003E70D4" w:rsidP="00F60D5A">
      <w:pPr>
        <w:spacing w:line="240" w:lineRule="auto"/>
        <w:jc w:val="both"/>
        <w:rPr>
          <w:rFonts w:ascii="Times New Roman" w:hAnsi="Times New Roman" w:cs="Times New Roman"/>
          <w:noProof/>
          <w:sz w:val="24"/>
          <w:szCs w:val="24"/>
        </w:rPr>
      </w:pPr>
      <w:r w:rsidRPr="00A650D0">
        <w:rPr>
          <w:rFonts w:ascii="Times New Roman" w:hAnsi="Times New Roman" w:cs="Times New Roman"/>
          <w:noProof/>
          <w:sz w:val="24"/>
        </w:rPr>
        <w:t xml:space="preserve">En outre, la Commission a poursuivi la mise en place d’un cadre solide de lutte contre le racisme en renforçant les partenariats qu’elle a noués avec ses homologues, en désignant le </w:t>
      </w:r>
      <w:hyperlink r:id="rId21" w:anchor=":~:text=In%20addition%2C%20the%20coordinator%20joins,ever%20nominated%20Coo">
        <w:r w:rsidRPr="00A650D0">
          <w:rPr>
            <w:rStyle w:val="Hyperlink"/>
            <w:rFonts w:ascii="Times New Roman" w:hAnsi="Times New Roman" w:cs="Times New Roman"/>
            <w:noProof/>
            <w:sz w:val="24"/>
          </w:rPr>
          <w:t>premier coordinateur «antiracisme» de la Commission</w:t>
        </w:r>
      </w:hyperlink>
      <w:r w:rsidRPr="00A650D0">
        <w:rPr>
          <w:rFonts w:ascii="Times New Roman" w:hAnsi="Times New Roman" w:cs="Times New Roman"/>
          <w:noProof/>
          <w:sz w:val="24"/>
        </w:rPr>
        <w:t xml:space="preserve"> et en engageant le dialogue avec les OSC et les experts des États membres. Le plan d’action a conduit </w:t>
      </w:r>
      <w:r w:rsidRPr="00A650D0">
        <w:rPr>
          <w:rFonts w:ascii="Times New Roman" w:hAnsi="Times New Roman" w:cs="Times New Roman"/>
          <w:b/>
          <w:noProof/>
          <w:sz w:val="24"/>
        </w:rPr>
        <w:t>14 États membres à adopter des plans d’action nationaux ou régionaux indépendants contre le racisme</w:t>
      </w:r>
      <w:r w:rsidRPr="00A650D0">
        <w:rPr>
          <w:rFonts w:ascii="Times New Roman" w:hAnsi="Times New Roman" w:cs="Times New Roman"/>
          <w:noProof/>
          <w:sz w:val="24"/>
        </w:rPr>
        <w:t xml:space="preserve">. Comme l’a souligné le </w:t>
      </w:r>
      <w:hyperlink r:id="rId22">
        <w:r w:rsidRPr="00A650D0">
          <w:rPr>
            <w:rStyle w:val="Hyperlink"/>
            <w:rFonts w:ascii="Times New Roman" w:hAnsi="Times New Roman" w:cs="Times New Roman"/>
            <w:noProof/>
            <w:sz w:val="24"/>
          </w:rPr>
          <w:t>rapport sur la mise en œuvre du plan d’action de l’UE contre le racisme</w:t>
        </w:r>
      </w:hyperlink>
      <w:r w:rsidRPr="00A650D0">
        <w:rPr>
          <w:rFonts w:ascii="Times New Roman" w:hAnsi="Times New Roman" w:cs="Times New Roman"/>
          <w:noProof/>
          <w:sz w:val="24"/>
        </w:rPr>
        <w:t xml:space="preserve">, d’importants progrès ont été accomplis depuis l’adoption du plan, notamment en ce qui concerne la lutte contre le racisme structurel, l’adoption d’une approche intersectionnelle en matière d’élaboration des politiques qui intègre la lutte contre différentes formes de discrimination, et l’inclusion de considérations relatives à la lutte contre le racisme dans plusieurs domaines d’action, par exemple dans les politiques en matière d’éducation, d’emploi et de santé. </w:t>
      </w:r>
    </w:p>
    <w:p w14:paraId="04F32F12" w14:textId="6534BABC" w:rsidR="00BF6E0E" w:rsidRPr="00A650D0" w:rsidRDefault="003E70D4" w:rsidP="00F60D5A">
      <w:pPr>
        <w:spacing w:line="240" w:lineRule="auto"/>
        <w:jc w:val="both"/>
        <w:rPr>
          <w:rFonts w:ascii="Times New Roman" w:hAnsi="Times New Roman" w:cs="Times New Roman"/>
          <w:noProof/>
          <w:sz w:val="24"/>
          <w:szCs w:val="24"/>
        </w:rPr>
      </w:pPr>
      <w:r w:rsidRPr="00A650D0">
        <w:rPr>
          <w:rFonts w:ascii="Times New Roman" w:hAnsi="Times New Roman" w:cs="Times New Roman"/>
          <w:noProof/>
          <w:sz w:val="24"/>
        </w:rPr>
        <w:t xml:space="preserve">Le plan d’action de l’UE contre le racisme 2020-2025 a contribué à placer le racisme au cœur des débats publics sur le pluralisme, l’égalité et la non-discrimination et a davantage sensibilisé la population à la menace que représente le racisme pour les valeurs de l’Union consacrées à l’article 2 </w:t>
      </w:r>
      <w:r w:rsidRPr="00A650D0">
        <w:rPr>
          <w:rFonts w:ascii="Times New Roman" w:hAnsi="Times New Roman" w:cs="Times New Roman"/>
          <w:noProof/>
        </w:rPr>
        <w:t xml:space="preserve">du </w:t>
      </w:r>
      <w:hyperlink r:id="rId23" w:history="1">
        <w:r w:rsidRPr="00A650D0">
          <w:rPr>
            <w:rStyle w:val="Hyperlink"/>
            <w:rFonts w:ascii="Times New Roman" w:hAnsi="Times New Roman" w:cs="Times New Roman"/>
            <w:noProof/>
            <w:sz w:val="24"/>
          </w:rPr>
          <w:t>traité sur l’Union européenne (TUE)</w:t>
        </w:r>
      </w:hyperlink>
      <w:r w:rsidRPr="00A650D0">
        <w:rPr>
          <w:rFonts w:ascii="Times New Roman" w:hAnsi="Times New Roman" w:cs="Times New Roman"/>
          <w:noProof/>
        </w:rPr>
        <w:t>.</w:t>
      </w:r>
      <w:r w:rsidRPr="00A650D0">
        <w:rPr>
          <w:rFonts w:ascii="Times New Roman" w:hAnsi="Times New Roman" w:cs="Times New Roman"/>
          <w:noProof/>
          <w:sz w:val="24"/>
        </w:rPr>
        <w:t xml:space="preserve"> Néanmoins, il est nécessaire d’en faire davantage: </w:t>
      </w:r>
      <w:r w:rsidRPr="00A650D0">
        <w:rPr>
          <w:rFonts w:ascii="Times New Roman" w:hAnsi="Times New Roman" w:cs="Times New Roman"/>
          <w:b/>
          <w:noProof/>
          <w:sz w:val="24"/>
        </w:rPr>
        <w:t>près de deux citoyens européens sur trois estimaient encore que la discrimination raciale était répandue dans leur pays en 2023</w:t>
      </w:r>
      <w:r w:rsidRPr="00A650D0">
        <w:rPr>
          <w:rFonts w:ascii="Times New Roman" w:hAnsi="Times New Roman" w:cs="Times New Roman"/>
          <w:noProof/>
          <w:sz w:val="24"/>
        </w:rPr>
        <w:t xml:space="preserve"> (61 % sur la base de la couleur de peau, soit une augmentation de 2 points de pourcentage par rapport à 2019, et 65 % sur la base de l’appartenance à la communauté rom, soit une augmentation de 4 points de pourcentage)</w:t>
      </w:r>
      <w:r w:rsidRPr="00A650D0">
        <w:rPr>
          <w:rStyle w:val="FootnoteReference"/>
          <w:rFonts w:ascii="Times New Roman" w:hAnsi="Times New Roman" w:cs="Times New Roman"/>
          <w:noProof/>
          <w:sz w:val="24"/>
        </w:rPr>
        <w:footnoteReference w:id="4"/>
      </w:r>
      <w:r w:rsidRPr="00A650D0">
        <w:rPr>
          <w:rFonts w:ascii="Times New Roman" w:hAnsi="Times New Roman" w:cs="Times New Roman"/>
          <w:noProof/>
          <w:sz w:val="24"/>
        </w:rPr>
        <w:t xml:space="preserve">.  </w:t>
      </w:r>
    </w:p>
    <w:p w14:paraId="4B37E8B1" w14:textId="32ECACE4" w:rsidR="00BF6E0E" w:rsidRPr="00A650D0" w:rsidRDefault="003E70D4" w:rsidP="00F60D5A">
      <w:pPr>
        <w:spacing w:line="240" w:lineRule="auto"/>
        <w:jc w:val="both"/>
        <w:rPr>
          <w:rFonts w:ascii="Times New Roman" w:eastAsia="Times New Roman" w:hAnsi="Times New Roman" w:cs="Times New Roman"/>
          <w:noProof/>
          <w:color w:val="000000" w:themeColor="text1"/>
          <w:sz w:val="24"/>
          <w:szCs w:val="24"/>
        </w:rPr>
      </w:pPr>
      <w:r w:rsidRPr="00A650D0">
        <w:rPr>
          <w:rFonts w:ascii="Times New Roman" w:hAnsi="Times New Roman" w:cs="Times New Roman"/>
          <w:noProof/>
          <w:sz w:val="24"/>
        </w:rPr>
        <w:t>En s’appuyant sur les progrès réalisés et reconnaissant le travail qu’il reste à accomplir, la présidente Ursula von der Leyen a annoncé l’élaboration d’</w:t>
      </w:r>
      <w:r w:rsidRPr="00A650D0">
        <w:rPr>
          <w:rFonts w:ascii="Times New Roman" w:hAnsi="Times New Roman" w:cs="Times New Roman"/>
          <w:b/>
          <w:noProof/>
          <w:sz w:val="24"/>
        </w:rPr>
        <w:t>une nouvelle stratégie de lutte contre le racisme</w:t>
      </w:r>
      <w:r w:rsidRPr="00A650D0">
        <w:rPr>
          <w:rFonts w:ascii="Times New Roman" w:hAnsi="Times New Roman" w:cs="Times New Roman"/>
          <w:noProof/>
          <w:sz w:val="24"/>
        </w:rPr>
        <w:t xml:space="preserve"> dans ses</w:t>
      </w:r>
      <w:r w:rsidRPr="00A650D0">
        <w:rPr>
          <w:rFonts w:ascii="Times New Roman" w:hAnsi="Times New Roman" w:cs="Times New Roman"/>
          <w:noProof/>
        </w:rPr>
        <w:t xml:space="preserve"> </w:t>
      </w:r>
      <w:hyperlink r:id="rId24" w:history="1">
        <w:r w:rsidRPr="00A650D0">
          <w:rPr>
            <w:rStyle w:val="Hyperlink"/>
            <w:rFonts w:ascii="Times New Roman" w:hAnsi="Times New Roman" w:cs="Times New Roman"/>
            <w:noProof/>
            <w:sz w:val="24"/>
          </w:rPr>
          <w:t>orientations politiques 2024-2029</w:t>
        </w:r>
      </w:hyperlink>
      <w:r w:rsidRPr="00A650D0">
        <w:rPr>
          <w:rFonts w:ascii="Times New Roman" w:hAnsi="Times New Roman" w:cs="Times New Roman"/>
          <w:noProof/>
        </w:rPr>
        <w:t>.</w:t>
      </w:r>
      <w:r w:rsidRPr="00A650D0">
        <w:rPr>
          <w:rFonts w:ascii="Times New Roman" w:hAnsi="Times New Roman" w:cs="Times New Roman"/>
          <w:noProof/>
          <w:sz w:val="24"/>
        </w:rPr>
        <w:t xml:space="preserve"> </w:t>
      </w:r>
      <w:r w:rsidRPr="00A650D0">
        <w:rPr>
          <w:rFonts w:ascii="Times New Roman" w:hAnsi="Times New Roman" w:cs="Times New Roman"/>
          <w:noProof/>
          <w:color w:val="000000" w:themeColor="text1"/>
          <w:sz w:val="24"/>
        </w:rPr>
        <w:t>Cette initiative tient compte de l’</w:t>
      </w:r>
      <w:r w:rsidRPr="00A650D0">
        <w:rPr>
          <w:rFonts w:ascii="Times New Roman" w:hAnsi="Times New Roman" w:cs="Times New Roman"/>
          <w:b/>
          <w:noProof/>
          <w:color w:val="000000" w:themeColor="text1"/>
          <w:sz w:val="24"/>
        </w:rPr>
        <w:t>appel du Parlement européen à poursuivre les travaux du plan d’action contre le racisme au-delà de 2025</w:t>
      </w:r>
      <w:r w:rsidRPr="00A650D0">
        <w:rPr>
          <w:rFonts w:ascii="Times New Roman" w:hAnsi="Times New Roman" w:cs="Times New Roman"/>
          <w:noProof/>
          <w:color w:val="000000" w:themeColor="text1"/>
          <w:sz w:val="24"/>
        </w:rPr>
        <w:t xml:space="preserve"> en élaborant une stratégie européenne à part entière</w:t>
      </w:r>
      <w:r w:rsidRPr="00A650D0">
        <w:rPr>
          <w:rFonts w:ascii="Times New Roman" w:hAnsi="Times New Roman" w:cs="Times New Roman"/>
          <w:noProof/>
          <w:sz w:val="24"/>
          <w:szCs w:val="24"/>
          <w:vertAlign w:val="superscript"/>
        </w:rPr>
        <w:footnoteReference w:id="5"/>
      </w:r>
      <w:r w:rsidRPr="00A650D0">
        <w:rPr>
          <w:rFonts w:ascii="Times New Roman" w:hAnsi="Times New Roman" w:cs="Times New Roman"/>
          <w:noProof/>
          <w:color w:val="000000" w:themeColor="text1"/>
          <w:sz w:val="24"/>
        </w:rPr>
        <w:t xml:space="preserve">. </w:t>
      </w:r>
      <w:r w:rsidRPr="00A650D0">
        <w:rPr>
          <w:rFonts w:ascii="Times New Roman" w:hAnsi="Times New Roman" w:cs="Times New Roman"/>
          <w:b/>
          <w:noProof/>
          <w:color w:val="000000" w:themeColor="text1"/>
          <w:sz w:val="24"/>
        </w:rPr>
        <w:t>Les États membres ont salué l’annonce de l’élaboration d’une nouvelle stratégie de lutte contre le racisme</w:t>
      </w:r>
      <w:r w:rsidRPr="00A650D0">
        <w:rPr>
          <w:rFonts w:ascii="Times New Roman" w:hAnsi="Times New Roman" w:cs="Times New Roman"/>
          <w:noProof/>
          <w:color w:val="000000" w:themeColor="text1"/>
          <w:sz w:val="24"/>
        </w:rPr>
        <w:t xml:space="preserve"> et ont fait part de leur ferme volonté de lutter contre le racisme et toutes les formes de haine</w:t>
      </w:r>
      <w:r w:rsidRPr="00A650D0">
        <w:rPr>
          <w:rFonts w:ascii="Times New Roman" w:hAnsi="Times New Roman" w:cs="Times New Roman"/>
          <w:noProof/>
          <w:sz w:val="24"/>
          <w:szCs w:val="24"/>
          <w:vertAlign w:val="superscript"/>
        </w:rPr>
        <w:footnoteReference w:id="6"/>
      </w:r>
      <w:r w:rsidRPr="00A650D0">
        <w:rPr>
          <w:rFonts w:ascii="Times New Roman" w:hAnsi="Times New Roman" w:cs="Times New Roman"/>
          <w:noProof/>
          <w:color w:val="000000" w:themeColor="text1"/>
          <w:sz w:val="24"/>
        </w:rPr>
        <w:t xml:space="preserve">. </w:t>
      </w:r>
    </w:p>
    <w:p w14:paraId="19F9664E" w14:textId="77777777" w:rsidR="009E7B79" w:rsidRPr="00A650D0" w:rsidRDefault="009E7B79" w:rsidP="00F60D5A">
      <w:pPr>
        <w:spacing w:line="240" w:lineRule="auto"/>
        <w:jc w:val="both"/>
        <w:rPr>
          <w:rFonts w:ascii="Times New Roman" w:eastAsia="Times New Roman" w:hAnsi="Times New Roman" w:cs="Times New Roman"/>
          <w:noProof/>
          <w:color w:val="000000" w:themeColor="text1"/>
          <w:sz w:val="24"/>
          <w:szCs w:val="24"/>
        </w:rPr>
      </w:pPr>
    </w:p>
    <w:p w14:paraId="24B3CADB" w14:textId="01376B12" w:rsidR="0052494A" w:rsidRPr="00A650D0" w:rsidRDefault="003E70D4" w:rsidP="00B8759E">
      <w:pPr>
        <w:spacing w:line="240" w:lineRule="auto"/>
        <w:jc w:val="both"/>
        <w:rPr>
          <w:rFonts w:ascii="Times New Roman" w:hAnsi="Times New Roman" w:cs="Times New Roman"/>
          <w:noProof/>
          <w:sz w:val="24"/>
          <w:szCs w:val="24"/>
        </w:rPr>
      </w:pPr>
      <w:r w:rsidRPr="00A650D0">
        <w:rPr>
          <w:rFonts w:ascii="Times New Roman" w:hAnsi="Times New Roman" w:cs="Times New Roman"/>
          <w:noProof/>
          <w:color w:val="000000" w:themeColor="text1"/>
          <w:sz w:val="24"/>
        </w:rPr>
        <w:t xml:space="preserve">La présente stratégie répond avant tout à l’absolue nécessité de </w:t>
      </w:r>
      <w:r w:rsidRPr="00A650D0">
        <w:rPr>
          <w:rFonts w:ascii="Times New Roman" w:hAnsi="Times New Roman" w:cs="Times New Roman"/>
          <w:b/>
          <w:noProof/>
          <w:color w:val="000000" w:themeColor="text1"/>
          <w:sz w:val="24"/>
        </w:rPr>
        <w:t>défendre les valeurs de l’UE, de renforcer une Union de l’égalité</w:t>
      </w:r>
      <w:r w:rsidRPr="00A650D0">
        <w:rPr>
          <w:rFonts w:ascii="Times New Roman" w:hAnsi="Times New Roman" w:cs="Times New Roman"/>
          <w:noProof/>
          <w:color w:val="000000" w:themeColor="text1"/>
          <w:sz w:val="24"/>
        </w:rPr>
        <w:t xml:space="preserve"> et de veiller à ce que les sociétés de l’UE restent ouvertes, pluralistes et inclusives</w:t>
      </w:r>
      <w:r w:rsidRPr="00A650D0">
        <w:rPr>
          <w:rFonts w:ascii="Times New Roman" w:hAnsi="Times New Roman" w:cs="Times New Roman"/>
          <w:noProof/>
          <w:sz w:val="24"/>
        </w:rPr>
        <w:t>.</w:t>
      </w:r>
      <w:r w:rsidRPr="00A650D0">
        <w:rPr>
          <w:rFonts w:ascii="Times New Roman" w:hAnsi="Times New Roman" w:cs="Times New Roman"/>
          <w:noProof/>
          <w:color w:val="000000" w:themeColor="text1"/>
          <w:sz w:val="24"/>
        </w:rPr>
        <w:t xml:space="preserve"> </w:t>
      </w:r>
      <w:r w:rsidRPr="00A650D0">
        <w:rPr>
          <w:rFonts w:ascii="Times New Roman" w:hAnsi="Times New Roman" w:cs="Times New Roman"/>
          <w:noProof/>
          <w:sz w:val="24"/>
        </w:rPr>
        <w:t xml:space="preserve">En outre, </w:t>
      </w:r>
      <w:r w:rsidRPr="00A650D0">
        <w:rPr>
          <w:rFonts w:ascii="Times New Roman" w:hAnsi="Times New Roman" w:cs="Times New Roman"/>
          <w:b/>
          <w:noProof/>
          <w:sz w:val="24"/>
        </w:rPr>
        <w:t>la lutte contre le racisme revêt un intérêt en matière de sécurité</w:t>
      </w:r>
      <w:r w:rsidRPr="00A650D0">
        <w:rPr>
          <w:rStyle w:val="FootnoteReference"/>
          <w:rFonts w:ascii="Times New Roman" w:hAnsi="Times New Roman" w:cs="Times New Roman"/>
          <w:b/>
          <w:bCs/>
          <w:noProof/>
          <w:sz w:val="24"/>
          <w:szCs w:val="24"/>
        </w:rPr>
        <w:footnoteReference w:id="7"/>
      </w:r>
      <w:r w:rsidRPr="00A650D0">
        <w:rPr>
          <w:rFonts w:ascii="Times New Roman" w:hAnsi="Times New Roman" w:cs="Times New Roman"/>
          <w:b/>
          <w:noProof/>
          <w:sz w:val="24"/>
        </w:rPr>
        <w:t xml:space="preserve"> et constitue un investissement stratégique pour stimuler la compétitivité de l’UE</w:t>
      </w:r>
      <w:r w:rsidRPr="00A650D0">
        <w:rPr>
          <w:rFonts w:ascii="Times New Roman" w:hAnsi="Times New Roman" w:cs="Times New Roman"/>
          <w:noProof/>
          <w:sz w:val="24"/>
        </w:rPr>
        <w:t xml:space="preserve">. D’après une récente </w:t>
      </w:r>
      <w:hyperlink r:id="rId25">
        <w:r w:rsidRPr="00A650D0">
          <w:rPr>
            <w:rStyle w:val="Hyperlink"/>
            <w:rFonts w:ascii="Times New Roman" w:hAnsi="Times New Roman" w:cs="Times New Roman"/>
            <w:noProof/>
            <w:sz w:val="24"/>
          </w:rPr>
          <w:t>étude de l’OCDE</w:t>
        </w:r>
      </w:hyperlink>
      <w:r w:rsidRPr="00A650D0">
        <w:rPr>
          <w:rFonts w:ascii="Times New Roman" w:hAnsi="Times New Roman" w:cs="Times New Roman"/>
          <w:noProof/>
        </w:rPr>
        <w:t>,</w:t>
      </w:r>
      <w:r w:rsidRPr="00A650D0">
        <w:rPr>
          <w:rFonts w:ascii="Times New Roman" w:hAnsi="Times New Roman" w:cs="Times New Roman"/>
          <w:noProof/>
          <w:sz w:val="24"/>
        </w:rPr>
        <w:t xml:space="preserve"> </w:t>
      </w:r>
      <w:bookmarkStart w:id="2" w:name="_Hlk212739897"/>
      <w:r w:rsidRPr="00A650D0">
        <w:rPr>
          <w:rFonts w:ascii="Times New Roman" w:hAnsi="Times New Roman" w:cs="Times New Roman"/>
          <w:noProof/>
          <w:sz w:val="24"/>
        </w:rPr>
        <w:t>la perte annuelle de PIB de l’UE causée par la discrimination raciale ou ethnique</w:t>
      </w:r>
      <w:bookmarkEnd w:id="2"/>
      <w:r w:rsidRPr="00A650D0">
        <w:rPr>
          <w:rFonts w:ascii="Times New Roman" w:hAnsi="Times New Roman" w:cs="Times New Roman"/>
          <w:noProof/>
          <w:sz w:val="24"/>
        </w:rPr>
        <w:t xml:space="preserve"> pourrait atteindre jusqu’à 12,7 milliards d’EUR. </w:t>
      </w:r>
    </w:p>
    <w:p w14:paraId="77C284B0" w14:textId="08F03D14" w:rsidR="00BF6E0E" w:rsidRPr="00A650D0" w:rsidRDefault="003E70D4" w:rsidP="00F60D5A">
      <w:pPr>
        <w:spacing w:line="240" w:lineRule="auto"/>
        <w:jc w:val="both"/>
        <w:rPr>
          <w:rFonts w:ascii="Times New Roman" w:hAnsi="Times New Roman" w:cs="Times New Roman"/>
          <w:noProof/>
          <w:sz w:val="24"/>
          <w:szCs w:val="24"/>
        </w:rPr>
      </w:pPr>
      <w:r w:rsidRPr="00A650D0">
        <w:rPr>
          <w:rFonts w:ascii="Times New Roman" w:hAnsi="Times New Roman" w:cs="Times New Roman"/>
          <w:noProof/>
          <w:sz w:val="24"/>
        </w:rPr>
        <w:t xml:space="preserve">Aux fins de la croissance et de la stabilité, il est primordial de permettre aux travailleurs, entrepreneurs et dirigeants touchés par le racisme et la discrimination raciale d’exploiter leur potentiel. Pour garantir la pleine prospérité de nos économies et la parfaite cohésion de nos sociétés, nous devons prendre le défi persistant que représente le racisme à bras-le-corps. Pour parvenir à une véritable </w:t>
      </w:r>
      <w:hyperlink r:id="rId26" w:history="1">
        <w:r w:rsidRPr="00A650D0">
          <w:rPr>
            <w:rStyle w:val="Hyperlink"/>
            <w:rFonts w:ascii="Times New Roman" w:hAnsi="Times New Roman" w:cs="Times New Roman"/>
            <w:noProof/>
            <w:sz w:val="24"/>
          </w:rPr>
          <w:t>Union de l’égalité</w:t>
        </w:r>
      </w:hyperlink>
      <w:r w:rsidRPr="00A650D0">
        <w:rPr>
          <w:rFonts w:ascii="Times New Roman" w:hAnsi="Times New Roman" w:cs="Times New Roman"/>
          <w:noProof/>
        </w:rPr>
        <w:t>,</w:t>
      </w:r>
      <w:r w:rsidRPr="00A650D0">
        <w:rPr>
          <w:rFonts w:ascii="Times New Roman" w:hAnsi="Times New Roman" w:cs="Times New Roman"/>
          <w:noProof/>
          <w:sz w:val="24"/>
        </w:rPr>
        <w:t xml:space="preserve"> nous devons nous montrer ambitieux et agir sans relâche en faveur de l’égalité des droits et des chances pour tous et toutes. La présente stratégie repose sur l’objectif consistant à </w:t>
      </w:r>
      <w:r w:rsidRPr="00A650D0">
        <w:rPr>
          <w:rFonts w:ascii="Times New Roman" w:hAnsi="Times New Roman" w:cs="Times New Roman"/>
          <w:b/>
          <w:noProof/>
          <w:sz w:val="24"/>
        </w:rPr>
        <w:t>lutter contre le racisme sous toutes ses formes, y compris le racisme anti-noir, l’antitsiganisme, l’antisémitisme, le racisme antiasiatique et la haine antimusulmane</w:t>
      </w:r>
      <w:r w:rsidRPr="00A650D0">
        <w:rPr>
          <w:rFonts w:ascii="Times New Roman" w:hAnsi="Times New Roman" w:cs="Times New Roman"/>
          <w:noProof/>
          <w:sz w:val="24"/>
        </w:rPr>
        <w:t xml:space="preserve">. Elle s’attaque au racisme dans sa globalité, au moyen d’actions spécifiques visant à lutter contre la discrimination. </w:t>
      </w:r>
      <w:r w:rsidRPr="00A650D0">
        <w:rPr>
          <w:rFonts w:ascii="Times New Roman" w:hAnsi="Times New Roman" w:cs="Times New Roman"/>
          <w:noProof/>
          <w:color w:val="000000" w:themeColor="text1"/>
          <w:sz w:val="24"/>
        </w:rPr>
        <w:t xml:space="preserve"> </w:t>
      </w:r>
    </w:p>
    <w:p w14:paraId="6749C54E" w14:textId="77777777" w:rsidR="00532345" w:rsidRPr="00A650D0" w:rsidRDefault="003E70D4" w:rsidP="00E74EFC">
      <w:pPr>
        <w:spacing w:line="240" w:lineRule="auto"/>
        <w:jc w:val="both"/>
        <w:rPr>
          <w:rFonts w:ascii="Times New Roman" w:hAnsi="Times New Roman" w:cs="Times New Roman"/>
          <w:noProof/>
          <w:sz w:val="24"/>
          <w:szCs w:val="24"/>
        </w:rPr>
      </w:pPr>
      <w:r w:rsidRPr="00A650D0">
        <w:rPr>
          <w:rFonts w:ascii="Times New Roman" w:hAnsi="Times New Roman" w:cs="Times New Roman"/>
          <w:noProof/>
          <w:sz w:val="24"/>
        </w:rPr>
        <w:t xml:space="preserve">Conformément à toutes les stratégies de l’Union de l’égalité, la présente stratégie de lutte contre le racisme repose sur une </w:t>
      </w:r>
      <w:r w:rsidRPr="00A650D0">
        <w:rPr>
          <w:rFonts w:ascii="Times New Roman" w:hAnsi="Times New Roman" w:cs="Times New Roman"/>
          <w:b/>
          <w:noProof/>
          <w:sz w:val="24"/>
        </w:rPr>
        <w:t>approche politique intersectionnelle visant à remédier à la complexité des inégalités subies par les personnes confrontées à des formes multiples et croisées de discrimination</w:t>
      </w:r>
      <w:r w:rsidRPr="00A650D0">
        <w:rPr>
          <w:rStyle w:val="FootnoteReference"/>
          <w:rFonts w:ascii="Times New Roman" w:hAnsi="Times New Roman" w:cs="Times New Roman"/>
          <w:b/>
          <w:bCs/>
          <w:noProof/>
          <w:sz w:val="24"/>
          <w:szCs w:val="24"/>
          <w:lang w:val="en-US" w:eastAsia="zh-CN"/>
        </w:rPr>
        <w:footnoteReference w:id="8"/>
      </w:r>
      <w:r w:rsidRPr="00A650D0">
        <w:rPr>
          <w:rFonts w:ascii="Times New Roman" w:hAnsi="Times New Roman" w:cs="Times New Roman"/>
          <w:noProof/>
          <w:sz w:val="24"/>
        </w:rPr>
        <w:t xml:space="preserve">. </w:t>
      </w:r>
      <w:r w:rsidRPr="00A650D0">
        <w:rPr>
          <w:rFonts w:ascii="Times New Roman" w:hAnsi="Times New Roman" w:cs="Times New Roman"/>
          <w:noProof/>
          <w:color w:val="000000" w:themeColor="text1"/>
          <w:sz w:val="24"/>
        </w:rPr>
        <w:t>Elle est étroitement alignée sur les stratégies actuelles et futures de l’UE en matière d’égalité, ainsi que sur d’autres initiatives importantes de la Commission</w:t>
      </w:r>
      <w:r w:rsidRPr="00A650D0">
        <w:rPr>
          <w:rStyle w:val="FootnoteReference"/>
          <w:rFonts w:ascii="Times New Roman" w:eastAsia="Times New Roman" w:hAnsi="Times New Roman" w:cs="Times New Roman"/>
          <w:noProof/>
          <w:color w:val="000000" w:themeColor="text1"/>
          <w:sz w:val="24"/>
          <w:szCs w:val="24"/>
        </w:rPr>
        <w:footnoteReference w:id="9"/>
      </w:r>
      <w:r w:rsidRPr="00A650D0">
        <w:rPr>
          <w:rFonts w:ascii="Times New Roman" w:hAnsi="Times New Roman" w:cs="Times New Roman"/>
          <w:noProof/>
          <w:color w:val="000000" w:themeColor="text1"/>
          <w:sz w:val="24"/>
        </w:rPr>
        <w:t xml:space="preserve">. </w:t>
      </w:r>
    </w:p>
    <w:p w14:paraId="3AC33397" w14:textId="2F542D94" w:rsidR="0047550B" w:rsidRPr="00A650D0" w:rsidRDefault="00AF2CBE" w:rsidP="000D345B">
      <w:pPr>
        <w:spacing w:line="240" w:lineRule="auto"/>
        <w:jc w:val="both"/>
        <w:rPr>
          <w:rFonts w:ascii="Times New Roman" w:hAnsi="Times New Roman" w:cs="Times New Roman"/>
          <w:noProof/>
          <w:sz w:val="24"/>
          <w:szCs w:val="24"/>
        </w:rPr>
      </w:pPr>
      <w:r w:rsidRPr="00A650D0">
        <w:rPr>
          <w:rFonts w:ascii="Times New Roman" w:hAnsi="Times New Roman" w:cs="Times New Roman"/>
          <w:noProof/>
          <w:sz w:val="24"/>
        </w:rPr>
        <w:t>La présente stratégie se fonde sur les résultats d’un vaste processus de consultation</w:t>
      </w:r>
      <w:r w:rsidRPr="00A650D0">
        <w:rPr>
          <w:rStyle w:val="FootnoteReference"/>
          <w:rFonts w:ascii="Times New Roman" w:eastAsia="Times New Roman" w:hAnsi="Times New Roman" w:cs="Times New Roman"/>
          <w:noProof/>
          <w:sz w:val="24"/>
          <w:szCs w:val="24"/>
          <w:lang w:eastAsia="en-IE"/>
        </w:rPr>
        <w:footnoteReference w:id="10"/>
      </w:r>
      <w:r w:rsidRPr="00A650D0">
        <w:rPr>
          <w:rFonts w:ascii="Times New Roman" w:hAnsi="Times New Roman" w:cs="Times New Roman"/>
          <w:noProof/>
          <w:sz w:val="24"/>
        </w:rPr>
        <w:t xml:space="preserve"> et comprend à la fois des mesures ciblées et des actions visant à intégrer la lutte contre le racisme dans toutes les politiques de l’UE. Elle encadre en particulier les travaux des coordinateurs de la Commission chargés de la lutte contre le racisme, de la lutte contre l’antisémitisme et du soutien à la vie juive, de la lutte contre la haine antimusulmane, ainsi que les travaux de la Commission sur l’égalité, l’inclusion et la participation des Roms, sur la protection des droits fondamentaux et sur la lutte contre les infractions à caractère haineux. Elle s’aligne davantage sur les conclusions du panel de citoyens européens «</w:t>
      </w:r>
      <w:hyperlink r:id="rId27" w:history="1">
        <w:r w:rsidRPr="00A650D0">
          <w:rPr>
            <w:rStyle w:val="Hyperlink"/>
            <w:rFonts w:ascii="Times New Roman" w:hAnsi="Times New Roman" w:cs="Times New Roman"/>
            <w:noProof/>
            <w:sz w:val="24"/>
          </w:rPr>
          <w:t>Lutte contre la haine dans la société</w:t>
        </w:r>
      </w:hyperlink>
      <w:r w:rsidRPr="00A650D0">
        <w:rPr>
          <w:rFonts w:ascii="Times New Roman" w:hAnsi="Times New Roman" w:cs="Times New Roman"/>
          <w:noProof/>
        </w:rPr>
        <w:t>»</w:t>
      </w:r>
      <w:r w:rsidRPr="00A650D0">
        <w:rPr>
          <w:rFonts w:ascii="Times New Roman" w:hAnsi="Times New Roman" w:cs="Times New Roman"/>
          <w:noProof/>
          <w:sz w:val="24"/>
        </w:rPr>
        <w:t>, qui a formulé des recommandations visant à lutter contre la haine sous toutes ses formes et à favoriser le respect mutuel.</w:t>
      </w:r>
    </w:p>
    <w:p w14:paraId="5D3C560E" w14:textId="77777777" w:rsidR="008C483E" w:rsidRPr="00A650D0" w:rsidRDefault="008C483E">
      <w:pPr>
        <w:spacing w:after="0" w:line="240" w:lineRule="auto"/>
        <w:rPr>
          <w:rFonts w:ascii="Times New Roman" w:hAnsi="Times New Roman" w:cs="Times New Roman"/>
          <w:b/>
          <w:noProof/>
          <w:sz w:val="24"/>
        </w:rPr>
      </w:pPr>
      <w:r w:rsidRPr="00A650D0">
        <w:rPr>
          <w:rFonts w:ascii="Times New Roman" w:hAnsi="Times New Roman" w:cs="Times New Roman"/>
          <w:noProof/>
        </w:rPr>
        <w:br w:type="page"/>
      </w:r>
    </w:p>
    <w:p w14:paraId="7B97C501" w14:textId="136678FE" w:rsidR="00BF6E0E" w:rsidRPr="00A650D0" w:rsidRDefault="003E70D4" w:rsidP="0032755B">
      <w:pPr>
        <w:spacing w:line="240" w:lineRule="auto"/>
        <w:jc w:val="both"/>
        <w:rPr>
          <w:rFonts w:ascii="Times New Roman" w:hAnsi="Times New Roman" w:cs="Times New Roman"/>
          <w:noProof/>
          <w:sz w:val="24"/>
        </w:rPr>
      </w:pPr>
      <w:r w:rsidRPr="00A650D0">
        <w:rPr>
          <w:rFonts w:ascii="Times New Roman" w:hAnsi="Times New Roman" w:cs="Times New Roman"/>
          <w:b/>
          <w:noProof/>
          <w:sz w:val="24"/>
        </w:rPr>
        <w:t>CHAPITRE I – LUTTER CONTRE LE RACISME STRUCTUREL</w:t>
      </w:r>
    </w:p>
    <w:p w14:paraId="2AEA45A4" w14:textId="4F73BE49" w:rsidR="00BF6E0E" w:rsidRPr="00A650D0" w:rsidRDefault="003E70D4" w:rsidP="008C483E">
      <w:pPr>
        <w:spacing w:line="240" w:lineRule="auto"/>
        <w:jc w:val="both"/>
        <w:rPr>
          <w:rFonts w:ascii="Times New Roman" w:hAnsi="Times New Roman" w:cs="Times New Roman"/>
          <w:i/>
          <w:iCs/>
          <w:noProof/>
          <w:sz w:val="24"/>
          <w:szCs w:val="24"/>
        </w:rPr>
      </w:pPr>
      <w:r w:rsidRPr="00A650D0">
        <w:rPr>
          <w:rFonts w:ascii="Times New Roman" w:hAnsi="Times New Roman" w:cs="Times New Roman"/>
          <w:b/>
          <w:i/>
          <w:noProof/>
          <w:sz w:val="24"/>
        </w:rPr>
        <w:t>Racisme structurel: l’appréhender pour le combattre efficacement</w:t>
      </w:r>
    </w:p>
    <w:p w14:paraId="7C6659D3" w14:textId="70C9B112" w:rsidR="00952DAE" w:rsidRPr="00A650D0" w:rsidRDefault="004E0288" w:rsidP="0032755B">
      <w:pPr>
        <w:spacing w:line="240" w:lineRule="auto"/>
        <w:jc w:val="both"/>
        <w:rPr>
          <w:rFonts w:ascii="Times New Roman" w:hAnsi="Times New Roman" w:cs="Times New Roman"/>
          <w:noProof/>
          <w:sz w:val="24"/>
          <w:szCs w:val="24"/>
        </w:rPr>
      </w:pPr>
      <w:r w:rsidRPr="00A650D0">
        <w:rPr>
          <w:rFonts w:ascii="Times New Roman" w:hAnsi="Times New Roman" w:cs="Times New Roman"/>
          <w:noProof/>
          <w:sz w:val="24"/>
        </w:rPr>
        <w:t xml:space="preserve">Selon la </w:t>
      </w:r>
      <w:hyperlink r:id="rId28" w:anchor=":~:text=%E2%80%9Cracism%E2%80%9D%20shall%20mean%20the%20belief%20that%20a%20ground,of%20a%20person%20or%20a%20group%20of%20persons." w:history="1">
        <w:r w:rsidRPr="00A650D0">
          <w:rPr>
            <w:rStyle w:val="Hyperlink"/>
            <w:rFonts w:ascii="Times New Roman" w:hAnsi="Times New Roman" w:cs="Times New Roman"/>
            <w:noProof/>
            <w:sz w:val="24"/>
          </w:rPr>
          <w:t>Commission européenne contre le racisme et l’intolérance (ECRI) du Conseil de l’Europe</w:t>
        </w:r>
      </w:hyperlink>
      <w:r w:rsidRPr="00A650D0">
        <w:rPr>
          <w:rFonts w:ascii="Times New Roman" w:hAnsi="Times New Roman" w:cs="Times New Roman"/>
          <w:noProof/>
          <w:sz w:val="24"/>
        </w:rPr>
        <w:t>, on entend par «racisme» la «croyance qu’un motif tel que la race</w:t>
      </w:r>
      <w:r w:rsidRPr="00A650D0">
        <w:rPr>
          <w:rStyle w:val="FootnoteReference"/>
          <w:rFonts w:ascii="Times New Roman" w:hAnsi="Times New Roman" w:cs="Times New Roman"/>
          <w:noProof/>
          <w:sz w:val="24"/>
          <w:szCs w:val="24"/>
        </w:rPr>
        <w:footnoteReference w:id="11"/>
      </w:r>
      <w:r w:rsidRPr="00A650D0">
        <w:rPr>
          <w:rFonts w:ascii="Times New Roman" w:hAnsi="Times New Roman" w:cs="Times New Roman"/>
          <w:noProof/>
          <w:sz w:val="24"/>
        </w:rPr>
        <w:t>, la couleur, la langue, la religion, la nationalité ou l’origine nationale ou ethnique justifie le mépris envers une personne ou un groupe de personnes ou l’idée de supériorité d’une personne ou d’un groupe de personnes». Les personnes touchées par le racisme ressentent souvent les effets d’un tel mépris dans le cadre de leurs recherches de logement et d’emploi, dans leur vie professionnelle ainsi que dans l’accès à l’éducation</w:t>
      </w:r>
      <w:r w:rsidRPr="00A650D0">
        <w:rPr>
          <w:rStyle w:val="FootnoteReference"/>
          <w:rFonts w:ascii="Times New Roman" w:hAnsi="Times New Roman" w:cs="Times New Roman"/>
          <w:noProof/>
          <w:sz w:val="24"/>
          <w:szCs w:val="24"/>
        </w:rPr>
        <w:footnoteReference w:id="12"/>
      </w:r>
      <w:r w:rsidRPr="00A650D0">
        <w:rPr>
          <w:rFonts w:ascii="Times New Roman" w:hAnsi="Times New Roman" w:cs="Times New Roman"/>
          <w:noProof/>
          <w:sz w:val="24"/>
        </w:rPr>
        <w:t xml:space="preserve">. Ce mépris peut se traduire en une discrimination fondée sur la race ou l’origine ethnique. </w:t>
      </w:r>
    </w:p>
    <w:p w14:paraId="3416AD8B" w14:textId="22318332" w:rsidR="009F19BD" w:rsidRPr="00A650D0" w:rsidRDefault="00E375D9" w:rsidP="009F19BD">
      <w:pPr>
        <w:spacing w:line="240" w:lineRule="auto"/>
        <w:jc w:val="both"/>
        <w:rPr>
          <w:rFonts w:ascii="Times New Roman" w:hAnsi="Times New Roman" w:cs="Times New Roman"/>
          <w:noProof/>
          <w:sz w:val="24"/>
          <w:szCs w:val="24"/>
        </w:rPr>
      </w:pPr>
      <w:r w:rsidRPr="00A650D0">
        <w:rPr>
          <w:rFonts w:ascii="Times New Roman" w:hAnsi="Times New Roman" w:cs="Times New Roman"/>
          <w:b/>
          <w:noProof/>
          <w:sz w:val="24"/>
        </w:rPr>
        <w:t>Le racisme que subit une personne tout au long de sa vie prend peu à peu de l’ampleur et finit par poser des obstacles</w:t>
      </w:r>
      <w:r w:rsidRPr="00A650D0">
        <w:rPr>
          <w:rFonts w:ascii="Times New Roman" w:hAnsi="Times New Roman" w:cs="Times New Roman"/>
          <w:noProof/>
          <w:sz w:val="24"/>
        </w:rPr>
        <w:t>. Cette forme persistante de racisme est souvent appelée «racisme structurel». Son incidence peut être plus néfaste que les cas isolés de discrimination raciale, car elle empêche l’accès à l’égalité des chances et peut se transmettre aux futures générations</w:t>
      </w:r>
      <w:r w:rsidRPr="00A650D0">
        <w:rPr>
          <w:rStyle w:val="FootnoteReference"/>
          <w:rFonts w:ascii="Times New Roman" w:hAnsi="Times New Roman" w:cs="Times New Roman"/>
          <w:noProof/>
          <w:sz w:val="24"/>
          <w:szCs w:val="24"/>
        </w:rPr>
        <w:footnoteReference w:id="13"/>
      </w:r>
      <w:r w:rsidRPr="00A650D0">
        <w:rPr>
          <w:rFonts w:ascii="Times New Roman" w:hAnsi="Times New Roman" w:cs="Times New Roman"/>
          <w:noProof/>
          <w:sz w:val="24"/>
        </w:rPr>
        <w:t>. Des études de l’Agence des droits fondamentaux de l’Union européenne (FRA) décrivent les obstacles que rencontrent les personnes touchées par le racisme et la discrimination raciale et l’incidence que ceux-ci ont sur leur vie</w:t>
      </w:r>
      <w:r w:rsidRPr="00A650D0">
        <w:rPr>
          <w:rStyle w:val="FootnoteReference"/>
          <w:rFonts w:ascii="Times New Roman" w:hAnsi="Times New Roman" w:cs="Times New Roman"/>
          <w:noProof/>
          <w:sz w:val="24"/>
          <w:szCs w:val="24"/>
          <w:lang w:val="de-DE"/>
        </w:rPr>
        <w:footnoteReference w:id="14"/>
      </w:r>
      <w:r w:rsidRPr="00A650D0">
        <w:rPr>
          <w:rFonts w:ascii="Times New Roman" w:hAnsi="Times New Roman" w:cs="Times New Roman"/>
          <w:noProof/>
          <w:sz w:val="24"/>
        </w:rPr>
        <w:t xml:space="preserve">. Par exemple, l’espérance de vie des femmes et des hommes roms/issus des Gens du voyage dans l’UE est, respectivement, inférieure de 7,4 et 8 ans à celle des femmes et des hommes issus du reste de la population. En outre, alors que la plupart des personnes d’ascendance africaine dans l’UE occupent un emploi rémunéré (71 %), près de la moitié d’entre elles (46 %) sont surqualifiées pour le poste occupé. En outre, dans l’UE, le risque de privation matérielle grave est trois fois plus élevé (19 %) chez les ménages musulmans que chez les ménages non-musulmans (6 %). Le racisme peut fortement contribuer à ces inégalités. </w:t>
      </w:r>
    </w:p>
    <w:p w14:paraId="1FB9049C" w14:textId="142A0F52" w:rsidR="001F63DF" w:rsidRPr="00A650D0" w:rsidRDefault="00870674" w:rsidP="0016257B">
      <w:pPr>
        <w:spacing w:line="240" w:lineRule="auto"/>
        <w:jc w:val="both"/>
        <w:rPr>
          <w:rFonts w:ascii="Times New Roman" w:hAnsi="Times New Roman" w:cs="Times New Roman"/>
          <w:b/>
          <w:bCs/>
          <w:noProof/>
          <w:sz w:val="24"/>
          <w:szCs w:val="24"/>
        </w:rPr>
      </w:pPr>
      <w:r w:rsidRPr="00A650D0">
        <w:rPr>
          <w:rFonts w:ascii="Times New Roman" w:hAnsi="Times New Roman" w:cs="Times New Roman"/>
          <w:noProof/>
          <w:sz w:val="24"/>
        </w:rPr>
        <w:t xml:space="preserve">Les États membres abordent cette question dans le cadre des travaux qu’ils entreprennent au niveau national contre le racisme. Dans ce contexte, la </w:t>
      </w:r>
      <w:r w:rsidRPr="00A650D0">
        <w:rPr>
          <w:rFonts w:ascii="Times New Roman" w:hAnsi="Times New Roman" w:cs="Times New Roman"/>
          <w:b/>
          <w:noProof/>
          <w:sz w:val="24"/>
        </w:rPr>
        <w:t>Commission propose d’aider les États membres à élaborer, au sein du groupe d’experts</w:t>
      </w:r>
      <w:r w:rsidRPr="00A650D0">
        <w:rPr>
          <w:rFonts w:ascii="Times New Roman" w:hAnsi="Times New Roman" w:cs="Times New Roman"/>
          <w:noProof/>
          <w:sz w:val="24"/>
        </w:rPr>
        <w:t xml:space="preserve"> sur la mise en œuvre nationale du plan d’action de l’UE contre le racisme</w:t>
      </w:r>
      <w:r w:rsidRPr="00A650D0">
        <w:rPr>
          <w:rStyle w:val="FootnoteReference"/>
          <w:rFonts w:ascii="Times New Roman" w:hAnsi="Times New Roman" w:cs="Times New Roman"/>
          <w:noProof/>
          <w:sz w:val="24"/>
          <w:szCs w:val="24"/>
        </w:rPr>
        <w:footnoteReference w:id="15"/>
      </w:r>
      <w:r w:rsidRPr="00A650D0">
        <w:rPr>
          <w:rFonts w:ascii="Times New Roman" w:hAnsi="Times New Roman" w:cs="Times New Roman"/>
          <w:noProof/>
          <w:sz w:val="24"/>
        </w:rPr>
        <w:t xml:space="preserve">, </w:t>
      </w:r>
      <w:r w:rsidRPr="00A650D0">
        <w:rPr>
          <w:rFonts w:ascii="Times New Roman" w:hAnsi="Times New Roman" w:cs="Times New Roman"/>
          <w:b/>
          <w:noProof/>
          <w:sz w:val="24"/>
        </w:rPr>
        <w:t>une définition opérationnelle du racisme structurel</w:t>
      </w:r>
      <w:r w:rsidRPr="00A650D0">
        <w:rPr>
          <w:rFonts w:ascii="Times New Roman" w:hAnsi="Times New Roman" w:cs="Times New Roman"/>
          <w:noProof/>
          <w:sz w:val="24"/>
        </w:rPr>
        <w:t>.</w:t>
      </w:r>
      <w:r w:rsidRPr="00A650D0">
        <w:rPr>
          <w:rFonts w:ascii="Times New Roman" w:hAnsi="Times New Roman" w:cs="Times New Roman"/>
          <w:b/>
          <w:noProof/>
          <w:sz w:val="24"/>
        </w:rPr>
        <w:t xml:space="preserve"> </w:t>
      </w:r>
    </w:p>
    <w:p w14:paraId="1D505C85" w14:textId="77777777" w:rsidR="00AF5152" w:rsidRPr="00A650D0" w:rsidRDefault="00ED2E7C" w:rsidP="005F5F5D">
      <w:pPr>
        <w:spacing w:line="240" w:lineRule="auto"/>
        <w:jc w:val="both"/>
        <w:rPr>
          <w:rFonts w:ascii="Times New Roman" w:hAnsi="Times New Roman" w:cs="Times New Roman"/>
          <w:noProof/>
          <w:sz w:val="24"/>
          <w:szCs w:val="24"/>
        </w:rPr>
      </w:pPr>
      <w:r w:rsidRPr="00A650D0">
        <w:rPr>
          <w:rFonts w:ascii="Times New Roman" w:hAnsi="Times New Roman" w:cs="Times New Roman"/>
          <w:noProof/>
          <w:sz w:val="24"/>
        </w:rPr>
        <w:t xml:space="preserve">Conformément à </w:t>
      </w:r>
      <w:r w:rsidRPr="00A650D0">
        <w:rPr>
          <w:rFonts w:ascii="Times New Roman" w:hAnsi="Times New Roman" w:cs="Times New Roman"/>
          <w:noProof/>
        </w:rPr>
        <w:t xml:space="preserve">la </w:t>
      </w:r>
      <w:hyperlink r:id="rId29" w:history="1">
        <w:r w:rsidRPr="00A650D0">
          <w:rPr>
            <w:rStyle w:val="Hyperlink"/>
            <w:rFonts w:ascii="Times New Roman" w:hAnsi="Times New Roman" w:cs="Times New Roman"/>
            <w:noProof/>
            <w:sz w:val="24"/>
          </w:rPr>
          <w:t>stratégie européenne de lutte contre l’antisémitisme et de soutien à la vie juive</w:t>
        </w:r>
      </w:hyperlink>
      <w:r w:rsidRPr="00A650D0">
        <w:rPr>
          <w:rFonts w:ascii="Times New Roman" w:hAnsi="Times New Roman" w:cs="Times New Roman"/>
          <w:noProof/>
        </w:rPr>
        <w:t xml:space="preserve">, </w:t>
      </w:r>
      <w:r w:rsidRPr="00A650D0">
        <w:rPr>
          <w:rFonts w:ascii="Times New Roman" w:hAnsi="Times New Roman" w:cs="Times New Roman"/>
          <w:noProof/>
          <w:sz w:val="24"/>
        </w:rPr>
        <w:t xml:space="preserve">la Commission et tous les États membres sont déterminés à </w:t>
      </w:r>
      <w:r w:rsidRPr="00A650D0">
        <w:rPr>
          <w:rFonts w:ascii="Times New Roman" w:hAnsi="Times New Roman" w:cs="Times New Roman"/>
          <w:b/>
          <w:noProof/>
          <w:sz w:val="24"/>
        </w:rPr>
        <w:t>lutter contre toutes les formes d’antisémitisme</w:t>
      </w:r>
      <w:r w:rsidRPr="00A650D0">
        <w:rPr>
          <w:rFonts w:ascii="Times New Roman" w:hAnsi="Times New Roman" w:cs="Times New Roman"/>
          <w:noProof/>
          <w:sz w:val="24"/>
        </w:rPr>
        <w:t xml:space="preserve"> et condamnent chacune d’entre elles avec la même vigueur. À cette fin, ils utilisent la définition de l’antisémitisme élaborée par l’Alliance internationale pour la mémoire de l’Holocauste (IHRA)</w:t>
      </w:r>
      <w:r w:rsidRPr="00A650D0">
        <w:rPr>
          <w:rStyle w:val="FootnoteReference"/>
          <w:rFonts w:ascii="Times New Roman" w:hAnsi="Times New Roman" w:cs="Times New Roman"/>
          <w:noProof/>
          <w:sz w:val="24"/>
          <w:szCs w:val="24"/>
          <w:lang w:val="en-GB"/>
        </w:rPr>
        <w:footnoteReference w:id="16"/>
      </w:r>
      <w:r w:rsidRPr="00A650D0">
        <w:rPr>
          <w:rFonts w:ascii="Times New Roman" w:hAnsi="Times New Roman" w:cs="Times New Roman"/>
          <w:noProof/>
          <w:sz w:val="24"/>
        </w:rPr>
        <w:t xml:space="preserve">. </w:t>
      </w:r>
    </w:p>
    <w:p w14:paraId="20AD76E9" w14:textId="77777777" w:rsidR="00AF5152" w:rsidRPr="00A650D0" w:rsidRDefault="00ED2E7C" w:rsidP="005F5F5D">
      <w:pPr>
        <w:spacing w:line="240" w:lineRule="auto"/>
        <w:jc w:val="both"/>
        <w:rPr>
          <w:rFonts w:ascii="Times New Roman" w:hAnsi="Times New Roman" w:cs="Times New Roman"/>
          <w:noProof/>
          <w:sz w:val="24"/>
          <w:szCs w:val="24"/>
        </w:rPr>
      </w:pPr>
      <w:r w:rsidRPr="00A650D0">
        <w:rPr>
          <w:rFonts w:ascii="Times New Roman" w:hAnsi="Times New Roman" w:cs="Times New Roman"/>
          <w:noProof/>
          <w:sz w:val="24"/>
        </w:rPr>
        <w:t xml:space="preserve">Conformément au </w:t>
      </w:r>
      <w:hyperlink r:id="rId30" w:history="1">
        <w:r w:rsidRPr="00A650D0">
          <w:rPr>
            <w:rStyle w:val="Hyperlink"/>
            <w:rFonts w:ascii="Times New Roman" w:hAnsi="Times New Roman" w:cs="Times New Roman"/>
            <w:noProof/>
            <w:sz w:val="24"/>
          </w:rPr>
          <w:t>cadre stratégique de l’UE pour l’égalité, l’inclusion et la participation des Roms</w:t>
        </w:r>
      </w:hyperlink>
      <w:r w:rsidRPr="00A650D0">
        <w:rPr>
          <w:rFonts w:ascii="Times New Roman" w:hAnsi="Times New Roman" w:cs="Times New Roman"/>
          <w:noProof/>
          <w:sz w:val="24"/>
        </w:rPr>
        <w:t xml:space="preserve">, la Commission et les États membres sont déterminés à mettre en œuvre des politiques efficaces visant à atteindre les objectifs fixés en matière de </w:t>
      </w:r>
      <w:r w:rsidRPr="00A650D0">
        <w:rPr>
          <w:rFonts w:ascii="Times New Roman" w:hAnsi="Times New Roman" w:cs="Times New Roman"/>
          <w:b/>
          <w:noProof/>
          <w:sz w:val="24"/>
        </w:rPr>
        <w:t>lutte contre l’antitsiganisme</w:t>
      </w:r>
      <w:r w:rsidRPr="00A650D0">
        <w:rPr>
          <w:rFonts w:ascii="Times New Roman" w:hAnsi="Times New Roman" w:cs="Times New Roman"/>
          <w:noProof/>
          <w:sz w:val="24"/>
        </w:rPr>
        <w:t xml:space="preserve"> et d’amélioration de l’inclusion et de la participation socio-économiques des Roms. </w:t>
      </w:r>
    </w:p>
    <w:p w14:paraId="488E3576" w14:textId="18F2B6A6" w:rsidR="00ED2E7C" w:rsidRPr="00A650D0" w:rsidRDefault="00ED2E7C" w:rsidP="005F5F5D">
      <w:pPr>
        <w:spacing w:line="240" w:lineRule="auto"/>
        <w:jc w:val="both"/>
        <w:rPr>
          <w:rFonts w:ascii="Times New Roman" w:hAnsi="Times New Roman" w:cs="Times New Roman"/>
          <w:noProof/>
          <w:sz w:val="24"/>
          <w:szCs w:val="24"/>
        </w:rPr>
      </w:pPr>
      <w:r w:rsidRPr="00A650D0">
        <w:rPr>
          <w:rFonts w:ascii="Times New Roman" w:hAnsi="Times New Roman" w:cs="Times New Roman"/>
          <w:noProof/>
          <w:sz w:val="24"/>
        </w:rPr>
        <w:t xml:space="preserve">Pour </w:t>
      </w:r>
      <w:r w:rsidRPr="00A650D0">
        <w:rPr>
          <w:rFonts w:ascii="Times New Roman" w:hAnsi="Times New Roman" w:cs="Times New Roman"/>
          <w:b/>
          <w:noProof/>
          <w:sz w:val="24"/>
        </w:rPr>
        <w:t>lutter contre la haine antimusulmane</w:t>
      </w:r>
      <w:r w:rsidRPr="00A650D0">
        <w:rPr>
          <w:rFonts w:ascii="Times New Roman" w:hAnsi="Times New Roman" w:cs="Times New Roman"/>
          <w:noProof/>
          <w:sz w:val="24"/>
        </w:rPr>
        <w:t xml:space="preserve"> dans l’UE, la Commission réalisera une étude complète sur les formes qu’elle peut revêtir et proposera des mesures pour s’y attaquer, ainsi que pour aider les États membres et les experts à élaborer une définition opérationnelle de la haine antimusulmane afin d’améliorer la compréhension commune et de sensibiliser le public.</w:t>
      </w:r>
    </w:p>
    <w:p w14:paraId="1C2C2680" w14:textId="77777777" w:rsidR="00AF5152" w:rsidRPr="00A650D0" w:rsidRDefault="00AF5152" w:rsidP="00140434">
      <w:pPr>
        <w:spacing w:line="240" w:lineRule="auto"/>
        <w:jc w:val="both"/>
        <w:rPr>
          <w:rFonts w:ascii="Times New Roman" w:hAnsi="Times New Roman" w:cs="Times New Roman"/>
          <w:b/>
          <w:i/>
          <w:noProof/>
          <w:sz w:val="24"/>
        </w:rPr>
      </w:pPr>
      <w:bookmarkStart w:id="3" w:name="_Hlk212797147"/>
    </w:p>
    <w:p w14:paraId="1D5A0238" w14:textId="62957EBE" w:rsidR="00BF6E0E" w:rsidRPr="00A650D0" w:rsidRDefault="002E3CB6" w:rsidP="00140434">
      <w:pPr>
        <w:spacing w:line="240" w:lineRule="auto"/>
        <w:jc w:val="both"/>
        <w:rPr>
          <w:rFonts w:ascii="Times New Roman" w:hAnsi="Times New Roman" w:cs="Times New Roman"/>
          <w:b/>
          <w:i/>
          <w:noProof/>
          <w:sz w:val="24"/>
        </w:rPr>
      </w:pPr>
      <w:r w:rsidRPr="00A650D0">
        <w:rPr>
          <w:rFonts w:ascii="Times New Roman" w:hAnsi="Times New Roman" w:cs="Times New Roman"/>
          <w:b/>
          <w:i/>
          <w:noProof/>
          <w:sz w:val="24"/>
        </w:rPr>
        <w:t>Mémoire, éducation et sensibilisation</w:t>
      </w:r>
    </w:p>
    <w:bookmarkEnd w:id="3"/>
    <w:p w14:paraId="2113D1D2" w14:textId="5868BA69" w:rsidR="00BF6E0E" w:rsidRPr="00A650D0" w:rsidRDefault="003E70D4" w:rsidP="00140434">
      <w:pPr>
        <w:spacing w:line="240" w:lineRule="auto"/>
        <w:jc w:val="both"/>
        <w:rPr>
          <w:rFonts w:ascii="Times New Roman" w:hAnsi="Times New Roman" w:cs="Times New Roman"/>
          <w:noProof/>
          <w:sz w:val="24"/>
          <w:szCs w:val="24"/>
        </w:rPr>
      </w:pPr>
      <w:r w:rsidRPr="00A650D0">
        <w:rPr>
          <w:rFonts w:ascii="Times New Roman" w:hAnsi="Times New Roman" w:cs="Times New Roman"/>
          <w:noProof/>
          <w:sz w:val="24"/>
        </w:rPr>
        <w:t xml:space="preserve">La mémoire contribue fortement à la lutte contre le racisme structurel, au renforcement des capacités des personnes victimes de racisme et à la sensibilisation du public à l’exclusion et aux stéréotypes. </w:t>
      </w:r>
      <w:r w:rsidRPr="00A650D0">
        <w:rPr>
          <w:rFonts w:ascii="Times New Roman" w:hAnsi="Times New Roman" w:cs="Times New Roman"/>
          <w:b/>
          <w:noProof/>
          <w:sz w:val="24"/>
        </w:rPr>
        <w:t>Les institutions de l’UE encouragent le</w:t>
      </w:r>
      <w:r w:rsidRPr="00A650D0">
        <w:rPr>
          <w:rFonts w:ascii="Times New Roman" w:hAnsi="Times New Roman" w:cs="Times New Roman"/>
          <w:noProof/>
          <w:sz w:val="24"/>
        </w:rPr>
        <w:t xml:space="preserve"> </w:t>
      </w:r>
      <w:r w:rsidRPr="00A650D0">
        <w:rPr>
          <w:rFonts w:ascii="Times New Roman" w:hAnsi="Times New Roman" w:cs="Times New Roman"/>
          <w:b/>
          <w:noProof/>
          <w:sz w:val="24"/>
        </w:rPr>
        <w:t xml:space="preserve">respect des journées commémoratives </w:t>
      </w:r>
      <w:r w:rsidRPr="00A650D0">
        <w:rPr>
          <w:rFonts w:ascii="Times New Roman" w:hAnsi="Times New Roman" w:cs="Times New Roman"/>
          <w:noProof/>
          <w:sz w:val="24"/>
        </w:rPr>
        <w:t>liées au racisme et à l’histoire des groupes victimes de racisme et de discrimination raciale</w:t>
      </w:r>
      <w:r w:rsidRPr="00A650D0">
        <w:rPr>
          <w:rStyle w:val="FootnoteReference"/>
          <w:rFonts w:ascii="Times New Roman" w:hAnsi="Times New Roman" w:cs="Times New Roman"/>
          <w:noProof/>
          <w:sz w:val="24"/>
          <w:szCs w:val="24"/>
        </w:rPr>
        <w:footnoteReference w:id="17"/>
      </w:r>
      <w:r w:rsidRPr="00A650D0">
        <w:rPr>
          <w:rFonts w:ascii="Times New Roman" w:hAnsi="Times New Roman" w:cs="Times New Roman"/>
          <w:noProof/>
          <w:sz w:val="24"/>
        </w:rPr>
        <w:t xml:space="preserve">. La Commission continuera de soutenir des projets visant à étudier la portée mondiale de l’héritage historique de l’Europe, y compris le colonialisme, et son incidence sur les sociétés, par exemple dans le cadre du programme CERV. </w:t>
      </w:r>
    </w:p>
    <w:p w14:paraId="106536F7" w14:textId="5505BAB6" w:rsidR="00BF6E0E" w:rsidRPr="00A650D0" w:rsidRDefault="00B555E7" w:rsidP="00140434">
      <w:pPr>
        <w:spacing w:line="240" w:lineRule="auto"/>
        <w:jc w:val="both"/>
        <w:rPr>
          <w:rFonts w:ascii="Times New Roman" w:hAnsi="Times New Roman" w:cs="Times New Roman"/>
          <w:noProof/>
          <w:sz w:val="24"/>
          <w:szCs w:val="24"/>
        </w:rPr>
      </w:pPr>
      <w:r w:rsidRPr="00A650D0">
        <w:rPr>
          <w:rFonts w:ascii="Times New Roman" w:hAnsi="Times New Roman" w:cs="Times New Roman"/>
          <w:noProof/>
          <w:sz w:val="24"/>
        </w:rPr>
        <w:t>L’esclavage</w:t>
      </w:r>
      <w:r w:rsidRPr="00A650D0">
        <w:rPr>
          <w:rStyle w:val="FootnoteReference"/>
          <w:rFonts w:ascii="Times New Roman" w:hAnsi="Times New Roman" w:cs="Times New Roman"/>
          <w:noProof/>
          <w:sz w:val="24"/>
          <w:szCs w:val="24"/>
        </w:rPr>
        <w:footnoteReference w:id="18"/>
      </w:r>
      <w:r w:rsidRPr="00A650D0">
        <w:rPr>
          <w:rFonts w:ascii="Times New Roman" w:hAnsi="Times New Roman" w:cs="Times New Roman"/>
          <w:noProof/>
          <w:sz w:val="24"/>
        </w:rPr>
        <w:t>, les génocides et l’Holocauste sont ancrés dans l’histoire européenne et ont profondément marqué les sociétés d’aujourd’hui, et les citoyens ont donc besoin d’éducation et de connaissances historiques pour comprendre l’origine du racisme. En s’appuyant sur les travaux menés dans la lutte contre le racisme et l’antisémitisme dans le domaine de l’éducation, auxquels a participé l’UNESCO</w:t>
      </w:r>
      <w:r w:rsidRPr="00A650D0">
        <w:rPr>
          <w:rStyle w:val="FootnoteReference"/>
          <w:rFonts w:ascii="Times New Roman" w:hAnsi="Times New Roman" w:cs="Times New Roman"/>
          <w:noProof/>
          <w:sz w:val="24"/>
          <w:szCs w:val="24"/>
        </w:rPr>
        <w:footnoteReference w:id="19"/>
      </w:r>
      <w:r w:rsidRPr="00A650D0">
        <w:rPr>
          <w:rFonts w:ascii="Times New Roman" w:hAnsi="Times New Roman" w:cs="Times New Roman"/>
          <w:noProof/>
          <w:sz w:val="24"/>
        </w:rPr>
        <w:t xml:space="preserve">, </w:t>
      </w:r>
      <w:r w:rsidRPr="00A650D0">
        <w:rPr>
          <w:rFonts w:ascii="Times New Roman" w:hAnsi="Times New Roman" w:cs="Times New Roman"/>
          <w:b/>
          <w:noProof/>
          <w:sz w:val="24"/>
        </w:rPr>
        <w:t>la</w:t>
      </w:r>
      <w:r w:rsidRPr="00A650D0">
        <w:rPr>
          <w:rFonts w:ascii="Times New Roman" w:hAnsi="Times New Roman" w:cs="Times New Roman"/>
          <w:noProof/>
          <w:sz w:val="24"/>
        </w:rPr>
        <w:t xml:space="preserve"> </w:t>
      </w:r>
      <w:r w:rsidRPr="00A650D0">
        <w:rPr>
          <w:rFonts w:ascii="Times New Roman" w:hAnsi="Times New Roman" w:cs="Times New Roman"/>
          <w:b/>
          <w:noProof/>
          <w:sz w:val="24"/>
        </w:rPr>
        <w:t>Commission lancera en 2026, conjointement avec l’agence onusienne, un</w:t>
      </w:r>
      <w:r w:rsidRPr="00A650D0">
        <w:rPr>
          <w:rFonts w:ascii="Times New Roman" w:hAnsi="Times New Roman" w:cs="Times New Roman"/>
          <w:noProof/>
          <w:sz w:val="24"/>
        </w:rPr>
        <w:t xml:space="preserve"> </w:t>
      </w:r>
      <w:r w:rsidRPr="00A650D0">
        <w:rPr>
          <w:rFonts w:ascii="Times New Roman" w:hAnsi="Times New Roman" w:cs="Times New Roman"/>
          <w:b/>
          <w:noProof/>
          <w:sz w:val="24"/>
        </w:rPr>
        <w:t>projet commun visant à renforcer la lutte contre le racisme grâce à l’éducation</w:t>
      </w:r>
      <w:r w:rsidRPr="00A650D0">
        <w:rPr>
          <w:rFonts w:ascii="Times New Roman" w:hAnsi="Times New Roman" w:cs="Times New Roman"/>
          <w:noProof/>
          <w:sz w:val="24"/>
        </w:rPr>
        <w:t xml:space="preserve"> aligné sur les priorités du </w:t>
      </w:r>
      <w:hyperlink r:id="rId31" w:anchor=":~:text=The%20strategic%20framework%20for%20European%20cooperation%20in%20education,good%20practices%20using%20the%20open%20method%20of%20coordination." w:history="1">
        <w:r w:rsidRPr="00A650D0">
          <w:rPr>
            <w:rStyle w:val="Hyperlink"/>
            <w:rFonts w:ascii="Times New Roman" w:hAnsi="Times New Roman" w:cs="Times New Roman"/>
            <w:noProof/>
            <w:sz w:val="24"/>
          </w:rPr>
          <w:t>cadre stratégique de l’espace européen de l’éducation</w:t>
        </w:r>
      </w:hyperlink>
      <w:r w:rsidRPr="00A650D0">
        <w:rPr>
          <w:rFonts w:ascii="Times New Roman" w:hAnsi="Times New Roman" w:cs="Times New Roman"/>
          <w:noProof/>
          <w:sz w:val="24"/>
        </w:rPr>
        <w:t xml:space="preserve"> et de la </w:t>
      </w:r>
      <w:hyperlink r:id="rId32" w:history="1">
        <w:r w:rsidRPr="00A650D0">
          <w:rPr>
            <w:rStyle w:val="Hyperlink"/>
            <w:rFonts w:ascii="Times New Roman" w:hAnsi="Times New Roman" w:cs="Times New Roman"/>
            <w:noProof/>
            <w:sz w:val="24"/>
          </w:rPr>
          <w:t>stratégie de l’UE en faveur de la jeunesse</w:t>
        </w:r>
      </w:hyperlink>
      <w:r w:rsidRPr="00A650D0">
        <w:rPr>
          <w:rFonts w:ascii="Times New Roman" w:hAnsi="Times New Roman" w:cs="Times New Roman"/>
          <w:noProof/>
          <w:sz w:val="24"/>
        </w:rPr>
        <w:t xml:space="preserve">. Ce projet aura pour objectif de promouvoir l’éducation en matière de lutte contre le racisme au niveau national, en tirant parti de la dimension éducative des plans d’action nationaux contre le racisme et l’antisémitisme. </w:t>
      </w:r>
    </w:p>
    <w:p w14:paraId="643074C6" w14:textId="53215EF5" w:rsidR="00E06D6C" w:rsidRPr="00A650D0" w:rsidRDefault="002C7A1E" w:rsidP="00FD2041">
      <w:pPr>
        <w:spacing w:line="240" w:lineRule="auto"/>
        <w:jc w:val="both"/>
        <w:rPr>
          <w:rFonts w:ascii="Times New Roman" w:hAnsi="Times New Roman" w:cs="Times New Roman"/>
          <w:b/>
          <w:i/>
          <w:noProof/>
          <w:sz w:val="24"/>
        </w:rPr>
      </w:pPr>
      <w:r w:rsidRPr="00A650D0">
        <w:rPr>
          <w:rFonts w:ascii="Times New Roman" w:hAnsi="Times New Roman" w:cs="Times New Roman"/>
          <w:noProof/>
          <w:sz w:val="24"/>
        </w:rPr>
        <w:t xml:space="preserve">La représentation des personnes susceptibles d’être victimes de racisme est très largement déterminée par les médias. </w:t>
      </w:r>
      <w:r w:rsidRPr="00A650D0">
        <w:rPr>
          <w:rFonts w:ascii="Times New Roman" w:hAnsi="Times New Roman" w:cs="Times New Roman"/>
          <w:b/>
          <w:noProof/>
          <w:sz w:val="24"/>
        </w:rPr>
        <w:t>La Commission organisera un cycle de séminaires consacrés à la lutte contre le racisme dans les médias, y compris les réseaux sociaux</w:t>
      </w:r>
      <w:r w:rsidRPr="00A650D0">
        <w:rPr>
          <w:rFonts w:ascii="Times New Roman" w:hAnsi="Times New Roman" w:cs="Times New Roman"/>
          <w:noProof/>
          <w:sz w:val="24"/>
        </w:rPr>
        <w:t xml:space="preserve">, auxquels participeront des journalistes, des OSC et des représentants des groupes de personnes victimes de racisme. Elle lancera également une </w:t>
      </w:r>
      <w:r w:rsidRPr="00A650D0">
        <w:rPr>
          <w:rFonts w:ascii="Times New Roman" w:hAnsi="Times New Roman" w:cs="Times New Roman"/>
          <w:b/>
          <w:noProof/>
          <w:sz w:val="24"/>
        </w:rPr>
        <w:t>campagne de communication, à l’échelle de l’UE, sur l’Union de l’égalité</w:t>
      </w:r>
      <w:r w:rsidRPr="00A650D0">
        <w:rPr>
          <w:rFonts w:ascii="Times New Roman" w:hAnsi="Times New Roman" w:cs="Times New Roman"/>
          <w:noProof/>
          <w:sz w:val="24"/>
        </w:rPr>
        <w:t xml:space="preserve"> afin d’associer le public à la promotion de l’inclusion et à la lutte contre la discrimination. </w:t>
      </w:r>
    </w:p>
    <w:p w14:paraId="012CAEEA" w14:textId="41D31720" w:rsidR="00BF6E0E" w:rsidRPr="00A650D0" w:rsidRDefault="003E70D4" w:rsidP="00FD2041">
      <w:pPr>
        <w:spacing w:line="240" w:lineRule="auto"/>
        <w:jc w:val="both"/>
        <w:rPr>
          <w:rFonts w:ascii="Times New Roman" w:hAnsi="Times New Roman" w:cs="Times New Roman"/>
          <w:b/>
          <w:i/>
          <w:noProof/>
          <w:sz w:val="24"/>
        </w:rPr>
      </w:pPr>
      <w:r w:rsidRPr="00A650D0">
        <w:rPr>
          <w:rFonts w:ascii="Times New Roman" w:hAnsi="Times New Roman" w:cs="Times New Roman"/>
          <w:b/>
          <w:i/>
          <w:noProof/>
          <w:sz w:val="24"/>
        </w:rPr>
        <w:t>Renforcement des connaissances et politiques ayant fait leurs preuves</w:t>
      </w:r>
    </w:p>
    <w:p w14:paraId="6858C9E6" w14:textId="44C43219" w:rsidR="004604D5" w:rsidRPr="00A650D0" w:rsidRDefault="003E70D4" w:rsidP="008D07AB">
      <w:pPr>
        <w:spacing w:line="240" w:lineRule="auto"/>
        <w:jc w:val="both"/>
        <w:rPr>
          <w:rFonts w:ascii="Times New Roman" w:hAnsi="Times New Roman" w:cs="Times New Roman"/>
          <w:noProof/>
          <w:sz w:val="24"/>
          <w:szCs w:val="24"/>
        </w:rPr>
      </w:pPr>
      <w:r w:rsidRPr="00A650D0">
        <w:rPr>
          <w:rFonts w:ascii="Times New Roman" w:hAnsi="Times New Roman" w:cs="Times New Roman"/>
          <w:noProof/>
          <w:sz w:val="24"/>
        </w:rPr>
        <w:t xml:space="preserve">La recherche universitaire joue un rôle crucial dans la lutte contre le racisme en fournissant les éléments factuels nécessaires à l’élaboration politiques efficaces en la matière. Le </w:t>
      </w:r>
      <w:hyperlink r:id="rId33" w:history="1">
        <w:r w:rsidRPr="00A650D0">
          <w:rPr>
            <w:rStyle w:val="Hyperlink"/>
            <w:rFonts w:ascii="Times New Roman" w:hAnsi="Times New Roman" w:cs="Times New Roman"/>
            <w:noProof/>
            <w:sz w:val="24"/>
          </w:rPr>
          <w:t>programme stratégique 2025‑2027</w:t>
        </w:r>
      </w:hyperlink>
      <w:r w:rsidRPr="00A650D0">
        <w:rPr>
          <w:rFonts w:ascii="Times New Roman" w:hAnsi="Times New Roman" w:cs="Times New Roman"/>
          <w:noProof/>
        </w:rPr>
        <w:t xml:space="preserve"> de l’</w:t>
      </w:r>
      <w:hyperlink r:id="rId34" w:history="1">
        <w:r w:rsidRPr="00A650D0">
          <w:rPr>
            <w:rStyle w:val="Hyperlink"/>
            <w:rFonts w:ascii="Times New Roman" w:hAnsi="Times New Roman" w:cs="Times New Roman"/>
            <w:noProof/>
            <w:sz w:val="24"/>
          </w:rPr>
          <w:t>espace européen de la recherche</w:t>
        </w:r>
      </w:hyperlink>
      <w:r w:rsidRPr="00A650D0">
        <w:rPr>
          <w:rFonts w:ascii="Times New Roman" w:hAnsi="Times New Roman" w:cs="Times New Roman"/>
          <w:noProof/>
          <w:sz w:val="24"/>
        </w:rPr>
        <w:t xml:space="preserve"> vise à renforcer l’inclusivité du système européen de recherche et d’innovation. La Commission </w:t>
      </w:r>
      <w:r w:rsidRPr="00A650D0">
        <w:rPr>
          <w:rFonts w:ascii="Times New Roman" w:hAnsi="Times New Roman" w:cs="Times New Roman"/>
          <w:b/>
          <w:noProof/>
          <w:sz w:val="24"/>
        </w:rPr>
        <w:t>élaborera des lignes directrices sur la mise en œuvre d’une approche intersectionnelle dans l’élaboration des politiques de recherche et d’innovation</w:t>
      </w:r>
      <w:r w:rsidRPr="00A650D0">
        <w:rPr>
          <w:rFonts w:ascii="Times New Roman" w:hAnsi="Times New Roman" w:cs="Times New Roman"/>
          <w:noProof/>
          <w:sz w:val="24"/>
        </w:rPr>
        <w:t xml:space="preserve"> pour que la recherche tienne compte des besoins des personnes victimes de racisme. En outre, les alliances «universités européennes» s’emploient à élaborer des stratégies et des initiatives visant à favoriser la diversité et l’inclusion</w:t>
      </w:r>
      <w:r w:rsidRPr="00A650D0">
        <w:rPr>
          <w:rStyle w:val="FootnoteReference"/>
          <w:rFonts w:ascii="Times New Roman" w:hAnsi="Times New Roman" w:cs="Times New Roman"/>
          <w:noProof/>
          <w:sz w:val="24"/>
          <w:szCs w:val="24"/>
        </w:rPr>
        <w:footnoteReference w:id="20"/>
      </w:r>
      <w:r w:rsidRPr="00A650D0">
        <w:rPr>
          <w:rFonts w:ascii="Times New Roman" w:hAnsi="Times New Roman" w:cs="Times New Roman"/>
          <w:noProof/>
          <w:sz w:val="24"/>
        </w:rPr>
        <w:t>.</w:t>
      </w:r>
    </w:p>
    <w:p w14:paraId="09AEE4A6" w14:textId="4729072B" w:rsidR="006F05FE" w:rsidRPr="00A650D0" w:rsidRDefault="00CA40C3" w:rsidP="00FD2041">
      <w:pPr>
        <w:spacing w:line="240" w:lineRule="auto"/>
        <w:jc w:val="both"/>
        <w:rPr>
          <w:rFonts w:ascii="Times New Roman" w:hAnsi="Times New Roman" w:cs="Times New Roman"/>
          <w:noProof/>
          <w:sz w:val="24"/>
          <w:szCs w:val="24"/>
        </w:rPr>
      </w:pPr>
      <w:r w:rsidRPr="00A650D0">
        <w:rPr>
          <w:rFonts w:ascii="Times New Roman" w:hAnsi="Times New Roman" w:cs="Times New Roman"/>
          <w:noProof/>
          <w:sz w:val="24"/>
        </w:rPr>
        <w:t>Le Centre commun de recherche de la Commission réalisera une étude sur la façon dont les réseaux sociaux forgent le comportement des jeunes à l’égard de la diversité ethnique et lancera un exercice de prospective afin d’appréhender les éventuelles tendances futures, y compris la manière dont le racisme et la discrimination raciale pourraient continuer d’avoir une incidence sur l’UE et l’élaboration de contre-mesures efficaces.</w:t>
      </w:r>
    </w:p>
    <w:p w14:paraId="4743076D" w14:textId="35C2CEC3" w:rsidR="00ED352F" w:rsidRPr="00A650D0" w:rsidRDefault="00F673CF" w:rsidP="00EA18C7">
      <w:pPr>
        <w:spacing w:line="240" w:lineRule="auto"/>
        <w:jc w:val="both"/>
        <w:rPr>
          <w:rFonts w:ascii="Times New Roman" w:hAnsi="Times New Roman" w:cs="Times New Roman"/>
          <w:b/>
          <w:i/>
          <w:noProof/>
          <w:sz w:val="24"/>
        </w:rPr>
      </w:pPr>
      <w:r w:rsidRPr="00A650D0">
        <w:rPr>
          <w:rFonts w:ascii="Times New Roman" w:hAnsi="Times New Roman" w:cs="Times New Roman"/>
          <w:noProof/>
          <w:sz w:val="24"/>
        </w:rPr>
        <w:t xml:space="preserve">Les programmes tels que </w:t>
      </w:r>
      <w:hyperlink r:id="rId35" w:history="1">
        <w:r w:rsidRPr="00A650D0">
          <w:rPr>
            <w:rStyle w:val="Hyperlink"/>
            <w:rFonts w:ascii="Times New Roman" w:hAnsi="Times New Roman" w:cs="Times New Roman"/>
            <w:b/>
            <w:noProof/>
            <w:sz w:val="24"/>
          </w:rPr>
          <w:t>Horizon Europe</w:t>
        </w:r>
      </w:hyperlink>
      <w:r w:rsidRPr="00A650D0">
        <w:rPr>
          <w:rFonts w:ascii="Times New Roman" w:hAnsi="Times New Roman" w:cs="Times New Roman"/>
          <w:b/>
          <w:noProof/>
          <w:sz w:val="24"/>
        </w:rPr>
        <w:t xml:space="preserve"> </w:t>
      </w:r>
      <w:r w:rsidRPr="00A650D0">
        <w:rPr>
          <w:rFonts w:ascii="Times New Roman" w:hAnsi="Times New Roman" w:cs="Times New Roman"/>
          <w:noProof/>
          <w:sz w:val="24"/>
        </w:rPr>
        <w:t xml:space="preserve">continueront de soutenir les projets en faveur de la cohésion sociale, de l’égalité et de l’inclusion, et en particulier les </w:t>
      </w:r>
      <w:hyperlink r:id="rId36" w:history="1">
        <w:r w:rsidRPr="00A650D0">
          <w:rPr>
            <w:rStyle w:val="Hyperlink"/>
            <w:rFonts w:ascii="Times New Roman" w:hAnsi="Times New Roman" w:cs="Times New Roman"/>
            <w:noProof/>
            <w:sz w:val="24"/>
          </w:rPr>
          <w:t>actions Marie Skłodowska-Curie</w:t>
        </w:r>
      </w:hyperlink>
      <w:r w:rsidRPr="00A650D0">
        <w:rPr>
          <w:rFonts w:ascii="Times New Roman" w:hAnsi="Times New Roman" w:cs="Times New Roman"/>
          <w:noProof/>
          <w:sz w:val="24"/>
        </w:rPr>
        <w:t xml:space="preserve"> qui continueront d’encourager la diversité et l’inclusion dans le monde de la recherche. Parallèlement, </w:t>
      </w:r>
      <w:r w:rsidRPr="00A650D0">
        <w:rPr>
          <w:rFonts w:ascii="Times New Roman" w:hAnsi="Times New Roman" w:cs="Times New Roman"/>
          <w:b/>
          <w:noProof/>
          <w:sz w:val="24"/>
        </w:rPr>
        <w:t>la Commission invite les États membres et les établissements concernés à intégrer l’éducation et la recherche en matière de lutte contre le racisme dans les programmes d’enseignement supérieur</w:t>
      </w:r>
      <w:r w:rsidRPr="00A650D0">
        <w:rPr>
          <w:rFonts w:ascii="Times New Roman" w:hAnsi="Times New Roman" w:cs="Times New Roman"/>
          <w:noProof/>
          <w:sz w:val="24"/>
        </w:rPr>
        <w:t xml:space="preserve">, en encourageant les futurs professionnels à adopter un état d’esprit inclusif et en les dotant des compétences nécessaires pour reconnaître et combattre le racisme et la discrimination dans leurs domaines respectifs. </w:t>
      </w:r>
    </w:p>
    <w:p w14:paraId="49E87099" w14:textId="7B92BB6F" w:rsidR="003460E1" w:rsidRPr="00A650D0" w:rsidRDefault="003E3FD8" w:rsidP="003460E1">
      <w:pPr>
        <w:spacing w:line="240" w:lineRule="auto"/>
        <w:jc w:val="both"/>
        <w:rPr>
          <w:rFonts w:ascii="Times New Roman" w:hAnsi="Times New Roman" w:cs="Times New Roman"/>
          <w:noProof/>
          <w:sz w:val="24"/>
          <w:u w:val="single"/>
        </w:rPr>
      </w:pPr>
      <w:r w:rsidRPr="00A650D0">
        <w:rPr>
          <w:rFonts w:ascii="Times New Roman" w:hAnsi="Times New Roman" w:cs="Times New Roman"/>
          <w:b/>
          <w:i/>
          <w:noProof/>
          <w:sz w:val="24"/>
        </w:rPr>
        <w:t xml:space="preserve">L’amélioration de la collecte de données sur l’égalité </w:t>
      </w:r>
    </w:p>
    <w:p w14:paraId="7534802F" w14:textId="0D82D4FA" w:rsidR="003460E1" w:rsidRPr="00A650D0" w:rsidRDefault="003460E1" w:rsidP="003460E1">
      <w:pPr>
        <w:spacing w:line="240" w:lineRule="auto"/>
        <w:jc w:val="both"/>
        <w:rPr>
          <w:rFonts w:ascii="Times New Roman" w:hAnsi="Times New Roman" w:cs="Times New Roman"/>
          <w:noProof/>
          <w:sz w:val="24"/>
          <w:szCs w:val="24"/>
        </w:rPr>
      </w:pPr>
      <w:r w:rsidRPr="00A650D0">
        <w:rPr>
          <w:rFonts w:ascii="Times New Roman" w:hAnsi="Times New Roman" w:cs="Times New Roman"/>
          <w:noProof/>
          <w:sz w:val="24"/>
        </w:rPr>
        <w:t xml:space="preserve">Il est essentiel de disposer de données fiables sur l’égalité pour lutter contre le racisme et inscrire pleinement ce combat dans les politiques européennes, nationales, régionales et locales. Le groupe de travail d’Eurostat sur les statistiques relatives à l’égalité et à la non-discrimination élabore actuellement des lignes directrices à l’échelle de l’UE visant à améliorer la comparabilité des normes statistiques et des méthodes de collecte de données sur les groupes exposés au risque de discrimination. Dans ce contexte, la Commission invite </w:t>
      </w:r>
      <w:r w:rsidRPr="00A650D0">
        <w:rPr>
          <w:rFonts w:ascii="Times New Roman" w:hAnsi="Times New Roman" w:cs="Times New Roman"/>
          <w:b/>
          <w:noProof/>
          <w:sz w:val="24"/>
        </w:rPr>
        <w:t>les États membres à faire en sorte que leurs instituts nationaux de statistique améliorent leur collecte de données harmonisées relatives à l’égalité et la coordination en la matière</w:t>
      </w:r>
      <w:r w:rsidRPr="00A650D0">
        <w:rPr>
          <w:rFonts w:ascii="Times New Roman" w:hAnsi="Times New Roman" w:cs="Times New Roman"/>
          <w:noProof/>
          <w:sz w:val="24"/>
        </w:rPr>
        <w:t xml:space="preserve">. </w:t>
      </w:r>
    </w:p>
    <w:p w14:paraId="7A268CC6" w14:textId="49763FB8" w:rsidR="003460E1" w:rsidRPr="00A650D0" w:rsidRDefault="00915293" w:rsidP="003460E1">
      <w:pPr>
        <w:spacing w:line="240" w:lineRule="auto"/>
        <w:jc w:val="both"/>
        <w:rPr>
          <w:rFonts w:ascii="Times New Roman" w:hAnsi="Times New Roman" w:cs="Times New Roman"/>
          <w:noProof/>
          <w:sz w:val="24"/>
          <w:szCs w:val="24"/>
        </w:rPr>
      </w:pPr>
      <w:r w:rsidRPr="00A650D0">
        <w:rPr>
          <w:rFonts w:ascii="Times New Roman" w:hAnsi="Times New Roman" w:cs="Times New Roman"/>
          <w:noProof/>
          <w:sz w:val="24"/>
        </w:rPr>
        <w:t xml:space="preserve">Le </w:t>
      </w:r>
      <w:hyperlink r:id="rId37" w:history="1">
        <w:r w:rsidRPr="00A650D0">
          <w:rPr>
            <w:rStyle w:val="Hyperlink"/>
            <w:rFonts w:ascii="Times New Roman" w:hAnsi="Times New Roman" w:cs="Times New Roman"/>
            <w:noProof/>
            <w:sz w:val="24"/>
          </w:rPr>
          <w:t>sous-groupe sur les données relatives à l’égalité</w:t>
        </w:r>
      </w:hyperlink>
      <w:r w:rsidRPr="00A650D0">
        <w:rPr>
          <w:rFonts w:ascii="Times New Roman" w:hAnsi="Times New Roman" w:cs="Times New Roman"/>
          <w:noProof/>
          <w:sz w:val="24"/>
        </w:rPr>
        <w:t xml:space="preserve"> au sein du </w:t>
      </w:r>
      <w:hyperlink r:id="rId38" w:history="1">
        <w:r w:rsidRPr="00A650D0">
          <w:rPr>
            <w:rStyle w:val="Hyperlink"/>
            <w:rFonts w:ascii="Times New Roman" w:hAnsi="Times New Roman" w:cs="Times New Roman"/>
            <w:noProof/>
            <w:sz w:val="24"/>
          </w:rPr>
          <w:t>groupe de haut niveau sur la non-discrimination, l’égalité et la diversité</w:t>
        </w:r>
      </w:hyperlink>
      <w:r w:rsidRPr="00A650D0">
        <w:rPr>
          <w:rFonts w:ascii="Times New Roman" w:hAnsi="Times New Roman" w:cs="Times New Roman"/>
          <w:noProof/>
          <w:sz w:val="24"/>
        </w:rPr>
        <w:t xml:space="preserve"> aide les États membres à améliorer la collecte et l’utilisation des données relatives à l’égalité</w:t>
      </w:r>
      <w:r w:rsidRPr="00A650D0">
        <w:rPr>
          <w:rStyle w:val="FootnoteReference"/>
          <w:rFonts w:ascii="Times New Roman" w:hAnsi="Times New Roman" w:cs="Times New Roman"/>
          <w:noProof/>
          <w:sz w:val="24"/>
          <w:szCs w:val="24"/>
        </w:rPr>
        <w:footnoteReference w:id="21"/>
      </w:r>
      <w:r w:rsidRPr="00A650D0">
        <w:rPr>
          <w:rFonts w:ascii="Times New Roman" w:hAnsi="Times New Roman" w:cs="Times New Roman"/>
          <w:noProof/>
          <w:sz w:val="24"/>
        </w:rPr>
        <w:t xml:space="preserve">. </w:t>
      </w:r>
      <w:r w:rsidRPr="00A650D0">
        <w:rPr>
          <w:rFonts w:ascii="Times New Roman" w:hAnsi="Times New Roman" w:cs="Times New Roman"/>
          <w:b/>
          <w:noProof/>
          <w:sz w:val="24"/>
        </w:rPr>
        <w:t>La Commission continuera de travailler avec les organes compétents de l’UE, tels que la FRA, la</w:t>
      </w:r>
      <w:r w:rsidRPr="00A650D0">
        <w:rPr>
          <w:rFonts w:ascii="Times New Roman" w:hAnsi="Times New Roman" w:cs="Times New Roman"/>
          <w:noProof/>
        </w:rPr>
        <w:t xml:space="preserve"> </w:t>
      </w:r>
      <w:hyperlink r:id="rId39" w:history="1">
        <w:r w:rsidRPr="00A650D0">
          <w:rPr>
            <w:rStyle w:val="Hyperlink"/>
            <w:rFonts w:ascii="Times New Roman" w:hAnsi="Times New Roman" w:cs="Times New Roman"/>
            <w:b/>
            <w:noProof/>
            <w:sz w:val="24"/>
          </w:rPr>
          <w:t>Fondation européenne pour l’amélioration des conditions de vie et de travail</w:t>
        </w:r>
      </w:hyperlink>
      <w:r w:rsidRPr="00A650D0">
        <w:rPr>
          <w:rFonts w:ascii="Times New Roman" w:hAnsi="Times New Roman" w:cs="Times New Roman"/>
          <w:noProof/>
        </w:rPr>
        <w:t xml:space="preserve"> et l’</w:t>
      </w:r>
      <w:hyperlink r:id="rId40" w:history="1">
        <w:r w:rsidRPr="00A650D0">
          <w:rPr>
            <w:rStyle w:val="Hyperlink"/>
            <w:rFonts w:ascii="Times New Roman" w:hAnsi="Times New Roman" w:cs="Times New Roman"/>
            <w:b/>
            <w:noProof/>
            <w:sz w:val="24"/>
          </w:rPr>
          <w:t>Institut européen pour l’égalité entre les hommes et les femmes</w:t>
        </w:r>
      </w:hyperlink>
      <w:r w:rsidRPr="00A650D0">
        <w:rPr>
          <w:rFonts w:ascii="Times New Roman" w:hAnsi="Times New Roman" w:cs="Times New Roman"/>
          <w:b/>
          <w:noProof/>
          <w:sz w:val="24"/>
        </w:rPr>
        <w:t xml:space="preserve"> pour fournir une assistance technique</w:t>
      </w:r>
      <w:r w:rsidRPr="00A650D0">
        <w:rPr>
          <w:rFonts w:ascii="Times New Roman" w:hAnsi="Times New Roman" w:cs="Times New Roman"/>
          <w:noProof/>
          <w:sz w:val="24"/>
        </w:rPr>
        <w:t xml:space="preserve"> concernant la collecte des données relatives à l’égalité, dont des données sur la discrimination intersectionnelle. </w:t>
      </w:r>
    </w:p>
    <w:p w14:paraId="33F371F4" w14:textId="6F312EE5" w:rsidR="003460E1" w:rsidRPr="00A650D0" w:rsidRDefault="003460E1" w:rsidP="003460E1">
      <w:pPr>
        <w:spacing w:line="240" w:lineRule="auto"/>
        <w:jc w:val="both"/>
        <w:rPr>
          <w:rFonts w:ascii="Times New Roman" w:hAnsi="Times New Roman" w:cs="Times New Roman"/>
          <w:noProof/>
          <w:sz w:val="24"/>
          <w:szCs w:val="24"/>
        </w:rPr>
      </w:pPr>
      <w:r w:rsidRPr="00A650D0">
        <w:rPr>
          <w:rFonts w:ascii="Times New Roman" w:hAnsi="Times New Roman" w:cs="Times New Roman"/>
          <w:b/>
          <w:noProof/>
          <w:sz w:val="24"/>
        </w:rPr>
        <w:t>La Commission élaborera également une recommandation visant à améliorer la collecte, l’analyse et l’utilisation de données ventilées sur l’égalité</w:t>
      </w:r>
      <w:r w:rsidRPr="00A650D0">
        <w:rPr>
          <w:rFonts w:ascii="Times New Roman" w:hAnsi="Times New Roman" w:cs="Times New Roman"/>
          <w:noProof/>
          <w:sz w:val="24"/>
        </w:rPr>
        <w:t>, dans le respect des cadres juridiques nationaux et en tenant compte de toute charge administrative supplémentaire. Elle continuera de mettre au point des outils permettant de suivre les progrès accomplis dans la réalisation d’une Union de l’égalité et dans la mise en œuvre de stratégies en matière d’égalité, y compris à l’aide de données sur la discrimination fondée sur la race et l’origine ethnique. Afin de promouvoir davantage la collecte et l’utilisation de données relatives à l’égalité et dans le respect des cadres juridiques nationaux, elle organisera une table ronde européenne de haut niveau sur les données relatives à l’égalité, auxquelles participeront les principales parties prenantes.</w:t>
      </w:r>
    </w:p>
    <w:p w14:paraId="1D677862" w14:textId="02F3BD24" w:rsidR="003460E1" w:rsidRPr="00A650D0" w:rsidRDefault="0010602E" w:rsidP="003460E1">
      <w:pPr>
        <w:spacing w:line="240" w:lineRule="auto"/>
        <w:jc w:val="both"/>
        <w:rPr>
          <w:rFonts w:ascii="Times New Roman" w:hAnsi="Times New Roman" w:cs="Times New Roman"/>
          <w:b/>
          <w:noProof/>
          <w:sz w:val="24"/>
        </w:rPr>
      </w:pPr>
      <w:r w:rsidRPr="00A650D0">
        <w:rPr>
          <w:rFonts w:ascii="Times New Roman" w:hAnsi="Times New Roman" w:cs="Times New Roman"/>
          <w:noProof/>
          <w:sz w:val="24"/>
        </w:rPr>
        <w:t xml:space="preserve">La FRA réalisera une quatrième </w:t>
      </w:r>
      <w:hyperlink r:id="rId41" w:history="1">
        <w:r w:rsidRPr="00A650D0">
          <w:rPr>
            <w:rStyle w:val="Hyperlink"/>
            <w:rFonts w:ascii="Times New Roman" w:hAnsi="Times New Roman" w:cs="Times New Roman"/>
            <w:noProof/>
            <w:sz w:val="24"/>
          </w:rPr>
          <w:t>enquête sur les immigrés et leurs descendants</w:t>
        </w:r>
      </w:hyperlink>
      <w:r w:rsidRPr="00A650D0">
        <w:rPr>
          <w:rFonts w:ascii="Times New Roman" w:hAnsi="Times New Roman" w:cs="Times New Roman"/>
          <w:noProof/>
          <w:sz w:val="24"/>
        </w:rPr>
        <w:t xml:space="preserve"> aux fins d’en extraire des données complètes sur les personnes susceptibles d’être victimes de discrimination raciale, ainsi qu’une enquête sur la situation des Roms, à l’appui des travaux sur la présente stratégie et sur le </w:t>
      </w:r>
      <w:hyperlink r:id="rId42" w:history="1">
        <w:r w:rsidRPr="00A650D0">
          <w:rPr>
            <w:rStyle w:val="Hyperlink"/>
            <w:rFonts w:ascii="Times New Roman" w:hAnsi="Times New Roman" w:cs="Times New Roman"/>
            <w:noProof/>
            <w:sz w:val="24"/>
          </w:rPr>
          <w:t>cadre stratégique de l’UE pour les Roms</w:t>
        </w:r>
      </w:hyperlink>
      <w:r w:rsidRPr="00A650D0">
        <w:rPr>
          <w:rFonts w:ascii="Times New Roman" w:hAnsi="Times New Roman" w:cs="Times New Roman"/>
          <w:noProof/>
          <w:sz w:val="24"/>
        </w:rPr>
        <w:t xml:space="preserve">. Afin de stimuler la collecte de données, la </w:t>
      </w:r>
      <w:r w:rsidRPr="00A650D0">
        <w:rPr>
          <w:rFonts w:ascii="Times New Roman" w:hAnsi="Times New Roman" w:cs="Times New Roman"/>
          <w:b/>
          <w:noProof/>
          <w:sz w:val="24"/>
        </w:rPr>
        <w:t>Commission publiera également un nouvel Eurobaromètre sur la discrimination en 2027</w:t>
      </w:r>
      <w:r w:rsidRPr="00A650D0">
        <w:rPr>
          <w:rFonts w:ascii="Times New Roman" w:hAnsi="Times New Roman" w:cs="Times New Roman"/>
          <w:noProof/>
          <w:sz w:val="24"/>
        </w:rPr>
        <w:t>.</w:t>
      </w:r>
    </w:p>
    <w:p w14:paraId="24181E9F" w14:textId="6A1C6D21" w:rsidR="00BF6E0E" w:rsidRPr="00A650D0" w:rsidRDefault="00097B81" w:rsidP="00FD2041">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b/>
          <w:noProof/>
          <w:sz w:val="24"/>
        </w:rPr>
      </w:pPr>
      <w:r w:rsidRPr="00A650D0">
        <w:rPr>
          <w:rFonts w:ascii="Times New Roman" w:hAnsi="Times New Roman" w:cs="Times New Roman"/>
          <w:b/>
          <w:noProof/>
          <w:sz w:val="24"/>
        </w:rPr>
        <w:t xml:space="preserve">La Commission: </w:t>
      </w:r>
    </w:p>
    <w:p w14:paraId="18A6E601" w14:textId="5F8BCD93" w:rsidR="00A50D67" w:rsidRPr="00A650D0" w:rsidRDefault="00A3489C" w:rsidP="00FD2041">
      <w:pPr>
        <w:pStyle w:val="ListParagraph"/>
        <w:numPr>
          <w:ilvl w:val="0"/>
          <w:numId w:val="4"/>
        </w:num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rPr>
      </w:pPr>
      <w:r w:rsidRPr="00A650D0">
        <w:rPr>
          <w:rFonts w:ascii="Times New Roman" w:hAnsi="Times New Roman" w:cs="Times New Roman"/>
          <w:noProof/>
          <w:sz w:val="24"/>
        </w:rPr>
        <w:t>mettra en œuvre un projet conjoint avec l’UNESCO pour renforcer l’éducation en matière de lutte contre le racisme;</w:t>
      </w:r>
    </w:p>
    <w:p w14:paraId="4B194DDB" w14:textId="24B4858A" w:rsidR="005F71A1" w:rsidRPr="00A650D0" w:rsidRDefault="005F71A1" w:rsidP="005F71A1">
      <w:pPr>
        <w:pStyle w:val="ListParagraph"/>
        <w:numPr>
          <w:ilvl w:val="0"/>
          <w:numId w:val="4"/>
        </w:num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rPr>
      </w:pPr>
      <w:r w:rsidRPr="00A650D0">
        <w:rPr>
          <w:rFonts w:ascii="Times New Roman" w:hAnsi="Times New Roman" w:cs="Times New Roman"/>
          <w:noProof/>
          <w:sz w:val="24"/>
        </w:rPr>
        <w:t>réalisera une étude complète des formes sous lesquelles se manifeste la haine antimusulmane;</w:t>
      </w:r>
    </w:p>
    <w:p w14:paraId="010DE26D" w14:textId="6BBE5CA2" w:rsidR="008937FC" w:rsidRPr="00A650D0" w:rsidRDefault="00A50D67" w:rsidP="00FD2041">
      <w:pPr>
        <w:pStyle w:val="ListParagraph"/>
        <w:numPr>
          <w:ilvl w:val="0"/>
          <w:numId w:val="4"/>
        </w:num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rPr>
      </w:pPr>
      <w:r w:rsidRPr="00A650D0">
        <w:rPr>
          <w:rFonts w:ascii="Times New Roman" w:hAnsi="Times New Roman" w:cs="Times New Roman"/>
          <w:noProof/>
          <w:sz w:val="24"/>
        </w:rPr>
        <w:t xml:space="preserve">lancera une vaste campagne de communication sur l’Union de l’égalité, associant les citoyens de toute l’UE à la promotion de l’inclusion et à la lutte contre la discrimination; </w:t>
      </w:r>
    </w:p>
    <w:p w14:paraId="3484FD60" w14:textId="69609CE9" w:rsidR="00191528" w:rsidRPr="00A650D0" w:rsidRDefault="00191528" w:rsidP="00FD2041">
      <w:pPr>
        <w:pStyle w:val="ListParagraph"/>
        <w:numPr>
          <w:ilvl w:val="0"/>
          <w:numId w:val="4"/>
        </w:num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rPr>
      </w:pPr>
      <w:r w:rsidRPr="00A650D0">
        <w:rPr>
          <w:rFonts w:ascii="Times New Roman" w:hAnsi="Times New Roman" w:cs="Times New Roman"/>
          <w:noProof/>
          <w:sz w:val="24"/>
        </w:rPr>
        <w:t>élaborera des lignes directrices sur la mise en œuvre d’une approche intersectionnelle dans l’élaboration des politiques de recherche et d’innovation</w:t>
      </w:r>
      <w:r w:rsidRPr="00A650D0">
        <w:rPr>
          <w:rFonts w:ascii="Times New Roman" w:hAnsi="Times New Roman" w:cs="Times New Roman"/>
          <w:noProof/>
        </w:rPr>
        <w:t xml:space="preserve"> pour que la recherche tienne compte des besoins des personnes victimes de racisme</w:t>
      </w:r>
      <w:r w:rsidRPr="00A650D0">
        <w:rPr>
          <w:rFonts w:ascii="Times New Roman" w:hAnsi="Times New Roman" w:cs="Times New Roman"/>
          <w:noProof/>
          <w:sz w:val="18"/>
        </w:rPr>
        <w:t>;</w:t>
      </w:r>
    </w:p>
    <w:p w14:paraId="113C1CBE" w14:textId="3E459714" w:rsidR="00EB002E" w:rsidRPr="00A650D0" w:rsidRDefault="00B02CF9" w:rsidP="00AD4D59">
      <w:pPr>
        <w:pStyle w:val="ListParagraph"/>
        <w:numPr>
          <w:ilvl w:val="0"/>
          <w:numId w:val="4"/>
        </w:numPr>
        <w:pBdr>
          <w:top w:val="single" w:sz="4" w:space="1" w:color="auto"/>
          <w:left w:val="single" w:sz="4" w:space="4" w:color="auto"/>
          <w:bottom w:val="single" w:sz="4" w:space="1" w:color="auto"/>
          <w:right w:val="single" w:sz="4" w:space="4" w:color="auto"/>
        </w:pBdr>
        <w:tabs>
          <w:tab w:val="left" w:pos="426"/>
        </w:tabs>
        <w:spacing w:line="240" w:lineRule="auto"/>
        <w:jc w:val="both"/>
        <w:rPr>
          <w:rFonts w:ascii="Times New Roman" w:hAnsi="Times New Roman" w:cs="Times New Roman"/>
          <w:noProof/>
          <w:sz w:val="24"/>
        </w:rPr>
      </w:pPr>
      <w:r w:rsidRPr="00A650D0">
        <w:rPr>
          <w:rFonts w:ascii="Times New Roman" w:hAnsi="Times New Roman" w:cs="Times New Roman"/>
          <w:noProof/>
          <w:sz w:val="24"/>
        </w:rPr>
        <w:t xml:space="preserve">élaborera une recommandation visant à améliorer la collecte, l’analyse et l’utilisation de données ventilées sur l’égalité, dans le respect des cadres juridiques nationaux; </w:t>
      </w:r>
    </w:p>
    <w:p w14:paraId="4ACF1D78" w14:textId="380AA752" w:rsidR="00E06D6C" w:rsidRPr="00A650D0" w:rsidRDefault="00E06D6C" w:rsidP="00C73423">
      <w:pPr>
        <w:pStyle w:val="ListParagraph"/>
        <w:numPr>
          <w:ilvl w:val="0"/>
          <w:numId w:val="4"/>
        </w:num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rPr>
      </w:pPr>
      <w:r w:rsidRPr="00A650D0">
        <w:rPr>
          <w:rFonts w:ascii="Times New Roman" w:hAnsi="Times New Roman" w:cs="Times New Roman"/>
          <w:noProof/>
          <w:sz w:val="24"/>
        </w:rPr>
        <w:t>publiera un nouvel Eurobaromètre sur la discrimination en 2027.</w:t>
      </w:r>
    </w:p>
    <w:p w14:paraId="4F5B1440" w14:textId="77777777" w:rsidR="00E06D6C" w:rsidRPr="00A650D0" w:rsidRDefault="00E06D6C" w:rsidP="00FD2041">
      <w:pPr>
        <w:pStyle w:val="ListParagraph"/>
        <w:pBdr>
          <w:top w:val="single" w:sz="4" w:space="1" w:color="auto"/>
          <w:left w:val="single" w:sz="4" w:space="4" w:color="auto"/>
          <w:bottom w:val="single" w:sz="4" w:space="1" w:color="auto"/>
          <w:right w:val="single" w:sz="4" w:space="4" w:color="auto"/>
        </w:pBdr>
        <w:tabs>
          <w:tab w:val="left" w:pos="426"/>
        </w:tabs>
        <w:spacing w:line="240" w:lineRule="auto"/>
        <w:ind w:left="0"/>
        <w:jc w:val="both"/>
        <w:rPr>
          <w:rFonts w:ascii="Times New Roman" w:hAnsi="Times New Roman" w:cs="Times New Roman"/>
          <w:b/>
          <w:noProof/>
          <w:sz w:val="24"/>
        </w:rPr>
      </w:pPr>
    </w:p>
    <w:p w14:paraId="35E2D950" w14:textId="0ACC4B9B" w:rsidR="00D855CC" w:rsidRPr="00A650D0" w:rsidRDefault="00D855CC" w:rsidP="00FD2041">
      <w:pPr>
        <w:pStyle w:val="ListParagraph"/>
        <w:pBdr>
          <w:top w:val="single" w:sz="4" w:space="1" w:color="auto"/>
          <w:left w:val="single" w:sz="4" w:space="4" w:color="auto"/>
          <w:bottom w:val="single" w:sz="4" w:space="1" w:color="auto"/>
          <w:right w:val="single" w:sz="4" w:space="4" w:color="auto"/>
        </w:pBdr>
        <w:tabs>
          <w:tab w:val="left" w:pos="426"/>
        </w:tabs>
        <w:spacing w:line="240" w:lineRule="auto"/>
        <w:ind w:left="0"/>
        <w:jc w:val="both"/>
        <w:rPr>
          <w:rFonts w:ascii="Times New Roman" w:hAnsi="Times New Roman" w:cs="Times New Roman"/>
          <w:b/>
          <w:noProof/>
          <w:sz w:val="24"/>
        </w:rPr>
      </w:pPr>
      <w:r w:rsidRPr="00A650D0">
        <w:rPr>
          <w:rFonts w:ascii="Times New Roman" w:hAnsi="Times New Roman" w:cs="Times New Roman"/>
          <w:b/>
          <w:noProof/>
          <w:sz w:val="24"/>
        </w:rPr>
        <w:t>Les États membres sont encouragés à:</w:t>
      </w:r>
    </w:p>
    <w:p w14:paraId="1C6CC24A" w14:textId="25576311" w:rsidR="00D855CC" w:rsidRPr="00A650D0" w:rsidRDefault="00D855CC" w:rsidP="00FD2041">
      <w:pPr>
        <w:pStyle w:val="ListParagraph"/>
        <w:numPr>
          <w:ilvl w:val="0"/>
          <w:numId w:val="5"/>
        </w:numPr>
        <w:pBdr>
          <w:top w:val="single" w:sz="4" w:space="1" w:color="auto"/>
          <w:left w:val="single" w:sz="4" w:space="4" w:color="auto"/>
          <w:bottom w:val="single" w:sz="4" w:space="1" w:color="auto"/>
          <w:right w:val="single" w:sz="4" w:space="4" w:color="auto"/>
        </w:pBdr>
        <w:tabs>
          <w:tab w:val="left" w:pos="426"/>
        </w:tabs>
        <w:spacing w:line="240" w:lineRule="auto"/>
        <w:jc w:val="both"/>
        <w:rPr>
          <w:rFonts w:ascii="Times New Roman" w:hAnsi="Times New Roman" w:cs="Times New Roman"/>
          <w:noProof/>
          <w:sz w:val="24"/>
        </w:rPr>
      </w:pPr>
      <w:r w:rsidRPr="00A650D0">
        <w:rPr>
          <w:rFonts w:ascii="Times New Roman" w:hAnsi="Times New Roman" w:cs="Times New Roman"/>
          <w:noProof/>
          <w:sz w:val="24"/>
        </w:rPr>
        <w:t xml:space="preserve">soutenir l’intégration de l’éducation et de la recherche contre le racisme dans l’enseignement supérieur; </w:t>
      </w:r>
    </w:p>
    <w:p w14:paraId="28BEF979" w14:textId="3A7084F1" w:rsidR="00A95C51" w:rsidRPr="00A650D0" w:rsidRDefault="00EB002E" w:rsidP="00A95C51">
      <w:pPr>
        <w:pStyle w:val="ListParagraph"/>
        <w:numPr>
          <w:ilvl w:val="0"/>
          <w:numId w:val="5"/>
        </w:num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rPr>
      </w:pPr>
      <w:r w:rsidRPr="00A650D0">
        <w:rPr>
          <w:rFonts w:ascii="Times New Roman" w:hAnsi="Times New Roman" w:cs="Times New Roman"/>
          <w:noProof/>
          <w:sz w:val="24"/>
        </w:rPr>
        <w:t>améliorer la collecte, par les instituts nationaux de statistique, de données harmonisées relatives à l’égalité.</w:t>
      </w:r>
    </w:p>
    <w:p w14:paraId="4BCE882F" w14:textId="73B2A71A" w:rsidR="00C04FE4" w:rsidRPr="00A650D0" w:rsidRDefault="00C04FE4">
      <w:pPr>
        <w:spacing w:after="0" w:line="240" w:lineRule="auto"/>
        <w:rPr>
          <w:rFonts w:ascii="Times New Roman" w:hAnsi="Times New Roman" w:cs="Times New Roman"/>
          <w:b/>
          <w:noProof/>
          <w:sz w:val="24"/>
        </w:rPr>
      </w:pPr>
      <w:bookmarkStart w:id="4" w:name="_Hlk214613334"/>
    </w:p>
    <w:p w14:paraId="40F04ED4" w14:textId="77777777" w:rsidR="009F43CA" w:rsidRPr="00A650D0" w:rsidRDefault="009F43CA" w:rsidP="00FD2041">
      <w:pPr>
        <w:spacing w:line="240" w:lineRule="auto"/>
        <w:jc w:val="both"/>
        <w:rPr>
          <w:rFonts w:ascii="Times New Roman" w:hAnsi="Times New Roman" w:cs="Times New Roman"/>
          <w:b/>
          <w:noProof/>
          <w:sz w:val="24"/>
        </w:rPr>
      </w:pPr>
    </w:p>
    <w:p w14:paraId="470FB6D1" w14:textId="3B4AD593" w:rsidR="00BF6E0E" w:rsidRPr="00A650D0" w:rsidRDefault="003E70D4" w:rsidP="00FD2041">
      <w:pPr>
        <w:spacing w:line="240" w:lineRule="auto"/>
        <w:jc w:val="both"/>
        <w:rPr>
          <w:rFonts w:ascii="Times New Roman" w:hAnsi="Times New Roman" w:cs="Times New Roman"/>
          <w:noProof/>
          <w:sz w:val="24"/>
        </w:rPr>
      </w:pPr>
      <w:r w:rsidRPr="00A650D0">
        <w:rPr>
          <w:rFonts w:ascii="Times New Roman" w:hAnsi="Times New Roman" w:cs="Times New Roman"/>
          <w:b/>
          <w:noProof/>
          <w:sz w:val="24"/>
        </w:rPr>
        <w:t>CHAPITRE II — FAIRE RESPECTER LA LÉGISLATION ANTI-DISCRIMINATION ET RENFORCER LA PROTECTION CONTRE LA HAINE RACIALE</w:t>
      </w:r>
    </w:p>
    <w:p w14:paraId="40E54665" w14:textId="457AA15A" w:rsidR="00BF6E0E" w:rsidRPr="00A650D0" w:rsidRDefault="171E31D5" w:rsidP="00BF3DB3">
      <w:pPr>
        <w:numPr>
          <w:ilvl w:val="0"/>
          <w:numId w:val="20"/>
        </w:numPr>
        <w:spacing w:line="240" w:lineRule="auto"/>
        <w:jc w:val="both"/>
        <w:rPr>
          <w:rFonts w:ascii="Times New Roman" w:hAnsi="Times New Roman" w:cs="Times New Roman"/>
          <w:i/>
          <w:iCs/>
          <w:noProof/>
          <w:sz w:val="24"/>
          <w:szCs w:val="24"/>
        </w:rPr>
      </w:pPr>
      <w:bookmarkStart w:id="5" w:name="_Hlk211616846"/>
      <w:r w:rsidRPr="00A650D0">
        <w:rPr>
          <w:rFonts w:ascii="Times New Roman" w:hAnsi="Times New Roman" w:cs="Times New Roman"/>
          <w:i/>
          <w:noProof/>
          <w:sz w:val="24"/>
        </w:rPr>
        <w:t>Plus de la moitié des citoyens de l’UE déclarent que les discriminations fondées sur l’appartenance à la communauté rom (65 %), la couleur de peau (61 %) et l’origine ethnique (60 %)</w:t>
      </w:r>
      <w:r w:rsidRPr="00A650D0">
        <w:rPr>
          <w:rStyle w:val="FootnoteReference"/>
          <w:rFonts w:ascii="Times New Roman" w:hAnsi="Times New Roman" w:cs="Times New Roman"/>
          <w:i/>
          <w:iCs/>
          <w:noProof/>
          <w:sz w:val="24"/>
          <w:szCs w:val="24"/>
          <w:lang w:val="de-DE"/>
        </w:rPr>
        <w:footnoteReference w:id="22"/>
      </w:r>
      <w:r w:rsidRPr="00A650D0">
        <w:rPr>
          <w:rFonts w:ascii="Times New Roman" w:hAnsi="Times New Roman" w:cs="Times New Roman"/>
          <w:i/>
          <w:noProof/>
          <w:sz w:val="24"/>
        </w:rPr>
        <w:t xml:space="preserve"> sont monnaie courante.</w:t>
      </w:r>
    </w:p>
    <w:p w14:paraId="36CA5BB2" w14:textId="019A22BC" w:rsidR="00BF6E0E" w:rsidRPr="00A650D0" w:rsidRDefault="171E31D5" w:rsidP="00BF3DB3">
      <w:pPr>
        <w:numPr>
          <w:ilvl w:val="0"/>
          <w:numId w:val="20"/>
        </w:numPr>
        <w:spacing w:line="240" w:lineRule="auto"/>
        <w:jc w:val="both"/>
        <w:rPr>
          <w:rFonts w:ascii="Times New Roman" w:hAnsi="Times New Roman" w:cs="Times New Roman"/>
          <w:i/>
          <w:iCs/>
          <w:noProof/>
          <w:sz w:val="24"/>
          <w:szCs w:val="24"/>
        </w:rPr>
      </w:pPr>
      <w:r w:rsidRPr="00A650D0">
        <w:rPr>
          <w:rFonts w:ascii="Times New Roman" w:hAnsi="Times New Roman" w:cs="Times New Roman"/>
          <w:i/>
          <w:noProof/>
          <w:sz w:val="24"/>
        </w:rPr>
        <w:t>Parmi les Juifs interrogés, 96 % ont déclaré avoir été victimes d’antisémitisme au cours de l’année écoulée et 80 % estiment que ce phénomène s’est aggravé ces dernières années</w:t>
      </w:r>
      <w:r w:rsidRPr="00A650D0">
        <w:rPr>
          <w:rStyle w:val="FootnoteReference"/>
          <w:rFonts w:ascii="Times New Roman" w:hAnsi="Times New Roman" w:cs="Times New Roman"/>
          <w:i/>
          <w:iCs/>
          <w:noProof/>
          <w:sz w:val="24"/>
          <w:szCs w:val="24"/>
        </w:rPr>
        <w:footnoteReference w:id="23"/>
      </w:r>
      <w:r w:rsidRPr="00A650D0">
        <w:rPr>
          <w:rFonts w:ascii="Times New Roman" w:hAnsi="Times New Roman" w:cs="Times New Roman"/>
          <w:i/>
          <w:noProof/>
          <w:sz w:val="24"/>
        </w:rPr>
        <w:t xml:space="preserve">. </w:t>
      </w:r>
    </w:p>
    <w:p w14:paraId="0C2C8EB0" w14:textId="029B8B39" w:rsidR="00BF6E0E" w:rsidRPr="00A650D0" w:rsidRDefault="171E31D5" w:rsidP="00BF3DB3">
      <w:pPr>
        <w:numPr>
          <w:ilvl w:val="0"/>
          <w:numId w:val="20"/>
        </w:numPr>
        <w:spacing w:line="240" w:lineRule="auto"/>
        <w:jc w:val="both"/>
        <w:rPr>
          <w:rFonts w:ascii="Times New Roman" w:hAnsi="Times New Roman" w:cs="Times New Roman"/>
          <w:i/>
          <w:iCs/>
          <w:noProof/>
          <w:sz w:val="24"/>
          <w:szCs w:val="24"/>
        </w:rPr>
      </w:pPr>
      <w:r w:rsidRPr="00A650D0">
        <w:rPr>
          <w:rFonts w:ascii="Times New Roman" w:hAnsi="Times New Roman" w:cs="Times New Roman"/>
          <w:i/>
          <w:noProof/>
          <w:sz w:val="24"/>
        </w:rPr>
        <w:t>Près de la moitié des personnes d’ascendance africaine vivant dans l’UE sont victimes de racisme au quotidien</w:t>
      </w:r>
      <w:r w:rsidRPr="00A650D0">
        <w:rPr>
          <w:rStyle w:val="FootnoteReference"/>
          <w:rFonts w:ascii="Times New Roman" w:hAnsi="Times New Roman" w:cs="Times New Roman"/>
          <w:i/>
          <w:iCs/>
          <w:noProof/>
          <w:sz w:val="24"/>
          <w:szCs w:val="24"/>
        </w:rPr>
        <w:footnoteReference w:id="24"/>
      </w:r>
      <w:r w:rsidRPr="00A650D0">
        <w:rPr>
          <w:rFonts w:ascii="Times New Roman" w:hAnsi="Times New Roman" w:cs="Times New Roman"/>
          <w:i/>
          <w:noProof/>
          <w:sz w:val="24"/>
        </w:rPr>
        <w:t>.</w:t>
      </w:r>
    </w:p>
    <w:p w14:paraId="2D5B1BE4" w14:textId="0587EF03" w:rsidR="00DB5165" w:rsidRPr="00A650D0" w:rsidRDefault="006801DA" w:rsidP="00DB5165">
      <w:pPr>
        <w:spacing w:line="240" w:lineRule="auto"/>
        <w:jc w:val="both"/>
        <w:rPr>
          <w:rFonts w:ascii="Times New Roman" w:hAnsi="Times New Roman" w:cs="Times New Roman"/>
          <w:noProof/>
          <w:sz w:val="24"/>
          <w:szCs w:val="24"/>
        </w:rPr>
      </w:pPr>
      <w:r w:rsidRPr="00A650D0">
        <w:rPr>
          <w:rFonts w:ascii="Times New Roman" w:hAnsi="Times New Roman" w:cs="Times New Roman"/>
          <w:noProof/>
          <w:sz w:val="24"/>
        </w:rPr>
        <w:t>Du racisme peut découler une discrimination fondée sur la race ou l’origine ethnique. La protection contre la discrimination raciale ou ethnique est consacrée par la</w:t>
      </w:r>
      <w:r w:rsidRPr="00A650D0">
        <w:rPr>
          <w:rFonts w:ascii="Times New Roman" w:hAnsi="Times New Roman" w:cs="Times New Roman"/>
          <w:noProof/>
        </w:rPr>
        <w:t xml:space="preserve"> </w:t>
      </w:r>
      <w:hyperlink r:id="rId43" w:history="1">
        <w:r w:rsidRPr="00A650D0">
          <w:rPr>
            <w:rStyle w:val="Hyperlink"/>
            <w:rFonts w:ascii="Times New Roman" w:hAnsi="Times New Roman" w:cs="Times New Roman"/>
            <w:noProof/>
            <w:sz w:val="24"/>
          </w:rPr>
          <w:t>charte des droits fondamentaux de l’Union européenne</w:t>
        </w:r>
      </w:hyperlink>
      <w:r w:rsidRPr="00A650D0">
        <w:rPr>
          <w:rFonts w:ascii="Times New Roman" w:hAnsi="Times New Roman" w:cs="Times New Roman"/>
          <w:noProof/>
        </w:rPr>
        <w:t xml:space="preserve"> et </w:t>
      </w:r>
      <w:r w:rsidRPr="00A650D0">
        <w:rPr>
          <w:rFonts w:ascii="Times New Roman" w:hAnsi="Times New Roman" w:cs="Times New Roman"/>
          <w:noProof/>
          <w:sz w:val="24"/>
        </w:rPr>
        <w:t xml:space="preserve">par la </w:t>
      </w:r>
      <w:r w:rsidRPr="00A650D0">
        <w:rPr>
          <w:rFonts w:ascii="Times New Roman" w:hAnsi="Times New Roman" w:cs="Times New Roman"/>
          <w:b/>
          <w:noProof/>
          <w:sz w:val="24"/>
        </w:rPr>
        <w:t>législation anti-discrimination de l’UE</w:t>
      </w:r>
      <w:r w:rsidRPr="00A650D0">
        <w:rPr>
          <w:rFonts w:ascii="Times New Roman" w:hAnsi="Times New Roman" w:cs="Times New Roman"/>
          <w:noProof/>
          <w:sz w:val="24"/>
        </w:rPr>
        <w:t>.</w:t>
      </w:r>
      <w:r w:rsidRPr="00A650D0">
        <w:rPr>
          <w:rFonts w:ascii="Times New Roman" w:hAnsi="Times New Roman" w:cs="Times New Roman"/>
          <w:b/>
          <w:noProof/>
          <w:sz w:val="24"/>
        </w:rPr>
        <w:t xml:space="preserve"> </w:t>
      </w:r>
      <w:r w:rsidRPr="00A650D0">
        <w:rPr>
          <w:rFonts w:ascii="Times New Roman" w:hAnsi="Times New Roman" w:cs="Times New Roman"/>
          <w:noProof/>
          <w:sz w:val="24"/>
        </w:rPr>
        <w:t xml:space="preserve">La «discrimination fondée sur la race ou l’origine ethnique», qui se produit lorsque des personnes, pour des raisons de race ou d’origine ethnique, sont traitées de manière moins favorable que d’autres personnes ou font face à un désavantage particulier par rapport à d’autres personnes, est interdite par la </w:t>
      </w:r>
      <w:hyperlink r:id="rId44" w:history="1">
        <w:r w:rsidRPr="00A650D0">
          <w:rPr>
            <w:rStyle w:val="Hyperlink"/>
            <w:rFonts w:ascii="Times New Roman" w:hAnsi="Times New Roman" w:cs="Times New Roman"/>
            <w:noProof/>
            <w:sz w:val="24"/>
          </w:rPr>
          <w:t>directive relative à l’égalité raciale</w:t>
        </w:r>
      </w:hyperlink>
      <w:r w:rsidRPr="00A650D0">
        <w:rPr>
          <w:rFonts w:ascii="Times New Roman" w:hAnsi="Times New Roman" w:cs="Times New Roman"/>
          <w:noProof/>
          <w:sz w:val="24"/>
        </w:rPr>
        <w:t xml:space="preserve">. Les </w:t>
      </w:r>
      <w:hyperlink r:id="rId45">
        <w:r w:rsidRPr="00A650D0">
          <w:rPr>
            <w:rStyle w:val="Hyperlink"/>
            <w:rFonts w:ascii="Times New Roman" w:hAnsi="Times New Roman" w:cs="Times New Roman"/>
            <w:noProof/>
            <w:sz w:val="24"/>
          </w:rPr>
          <w:t>directives relatives aux normes applicables aux organismes pour l’égalité de traitement</w:t>
        </w:r>
      </w:hyperlink>
      <w:r w:rsidRPr="00A650D0">
        <w:rPr>
          <w:rFonts w:ascii="Times New Roman" w:hAnsi="Times New Roman" w:cs="Times New Roman"/>
          <w:noProof/>
        </w:rPr>
        <w:t xml:space="preserve"> </w:t>
      </w:r>
      <w:r w:rsidRPr="00A650D0">
        <w:rPr>
          <w:rFonts w:ascii="Times New Roman" w:hAnsi="Times New Roman" w:cs="Times New Roman"/>
          <w:noProof/>
          <w:sz w:val="24"/>
        </w:rPr>
        <w:t xml:space="preserve">ont été adoptées afin de mieux faire respecter les règles en matière de lutte contre la discrimination.  </w:t>
      </w:r>
    </w:p>
    <w:p w14:paraId="75786C02" w14:textId="5C1E362A" w:rsidR="006801DA" w:rsidRPr="00A650D0" w:rsidRDefault="006801DA" w:rsidP="006801DA">
      <w:pPr>
        <w:spacing w:line="240" w:lineRule="auto"/>
        <w:jc w:val="both"/>
        <w:rPr>
          <w:rFonts w:ascii="Times New Roman" w:hAnsi="Times New Roman" w:cs="Times New Roman"/>
          <w:noProof/>
          <w:sz w:val="24"/>
          <w:szCs w:val="24"/>
        </w:rPr>
      </w:pPr>
      <w:r w:rsidRPr="00A650D0">
        <w:rPr>
          <w:rFonts w:ascii="Times New Roman" w:hAnsi="Times New Roman" w:cs="Times New Roman"/>
          <w:noProof/>
          <w:sz w:val="24"/>
        </w:rPr>
        <w:t>La</w:t>
      </w:r>
      <w:r w:rsidRPr="00A650D0">
        <w:rPr>
          <w:rFonts w:ascii="Times New Roman" w:hAnsi="Times New Roman" w:cs="Times New Roman"/>
          <w:noProof/>
        </w:rPr>
        <w:t xml:space="preserve"> </w:t>
      </w:r>
      <w:hyperlink r:id="rId46" w:history="1">
        <w:r w:rsidRPr="00A650D0">
          <w:rPr>
            <w:rStyle w:val="Hyperlink"/>
            <w:rFonts w:ascii="Times New Roman" w:hAnsi="Times New Roman" w:cs="Times New Roman"/>
            <w:noProof/>
            <w:sz w:val="24"/>
          </w:rPr>
          <w:t>décision-cadre sur la lutte contre certaines formes et manifestations de racisme et de xénophobie au moyen du droit pénal</w:t>
        </w:r>
      </w:hyperlink>
      <w:r w:rsidRPr="00A650D0">
        <w:rPr>
          <w:rFonts w:ascii="Times New Roman" w:hAnsi="Times New Roman" w:cs="Times New Roman"/>
          <w:noProof/>
        </w:rPr>
        <w:t xml:space="preserve"> </w:t>
      </w:r>
      <w:r w:rsidRPr="00A650D0">
        <w:rPr>
          <w:rFonts w:ascii="Times New Roman" w:hAnsi="Times New Roman" w:cs="Times New Roman"/>
          <w:noProof/>
          <w:sz w:val="24"/>
        </w:rPr>
        <w:t>est un acte législatif essentiel en ce qui concerne les infractions. Certaines manifestations graves de racisme et de xénophobie</w:t>
      </w:r>
      <w:r w:rsidRPr="00A650D0">
        <w:rPr>
          <w:rStyle w:val="FootnoteReference"/>
          <w:rFonts w:ascii="Times New Roman" w:hAnsi="Times New Roman" w:cs="Times New Roman"/>
          <w:noProof/>
          <w:sz w:val="24"/>
          <w:szCs w:val="24"/>
        </w:rPr>
        <w:footnoteReference w:id="25"/>
      </w:r>
      <w:r w:rsidRPr="00A650D0">
        <w:rPr>
          <w:rFonts w:ascii="Times New Roman" w:hAnsi="Times New Roman" w:cs="Times New Roman"/>
          <w:noProof/>
          <w:sz w:val="24"/>
        </w:rPr>
        <w:t xml:space="preserve"> doivent constituer une infraction dans tous les États membres de l’UE et être passibles de sanctions effectives, proportionnées et dissuasives.</w:t>
      </w:r>
    </w:p>
    <w:p w14:paraId="20D402DE" w14:textId="57D8AC09" w:rsidR="00FC53E3" w:rsidRPr="00A650D0" w:rsidRDefault="171E31D5" w:rsidP="00EB6BCC">
      <w:pPr>
        <w:spacing w:line="240" w:lineRule="auto"/>
        <w:jc w:val="both"/>
        <w:rPr>
          <w:rFonts w:ascii="Times New Roman" w:hAnsi="Times New Roman" w:cs="Times New Roman"/>
          <w:b/>
          <w:i/>
          <w:noProof/>
          <w:sz w:val="24"/>
        </w:rPr>
      </w:pPr>
      <w:r w:rsidRPr="00A650D0">
        <w:rPr>
          <w:rFonts w:ascii="Times New Roman" w:hAnsi="Times New Roman" w:cs="Times New Roman"/>
          <w:noProof/>
          <w:sz w:val="24"/>
        </w:rPr>
        <w:t>Tous les habitants de l’UE devraient pouvoir jouir de leurs droits pleinement et sur un pied d’égalité. Toutefois, certains cas de discrimination, de harcèlement et de violence à caractère raciste ne sont souvent pas signalés</w:t>
      </w:r>
      <w:bookmarkEnd w:id="5"/>
      <w:r w:rsidRPr="00A650D0">
        <w:rPr>
          <w:rStyle w:val="FootnoteReference"/>
          <w:rFonts w:ascii="Times New Roman" w:hAnsi="Times New Roman" w:cs="Times New Roman"/>
          <w:noProof/>
          <w:sz w:val="24"/>
          <w:szCs w:val="24"/>
        </w:rPr>
        <w:footnoteReference w:id="26"/>
      </w:r>
      <w:r w:rsidRPr="00A650D0">
        <w:rPr>
          <w:rFonts w:ascii="Times New Roman" w:hAnsi="Times New Roman" w:cs="Times New Roman"/>
          <w:noProof/>
          <w:sz w:val="24"/>
        </w:rPr>
        <w:t xml:space="preserve">. Pour y remédier, il y a lieu de renforcer </w:t>
      </w:r>
      <w:r w:rsidRPr="00A650D0">
        <w:rPr>
          <w:rFonts w:ascii="Times New Roman" w:hAnsi="Times New Roman" w:cs="Times New Roman"/>
          <w:b/>
          <w:noProof/>
          <w:sz w:val="24"/>
        </w:rPr>
        <w:t>l’application de la législation pertinente de l’UE et des cadres juridiques nationaux</w:t>
      </w:r>
      <w:r w:rsidRPr="00A650D0">
        <w:rPr>
          <w:rFonts w:ascii="Times New Roman" w:hAnsi="Times New Roman" w:cs="Times New Roman"/>
          <w:noProof/>
          <w:sz w:val="24"/>
        </w:rPr>
        <w:t xml:space="preserve">. Il convient également de veiller à la protection contre la haine raciste, y compris en ligne, au moyen d’actions coordonnées menées par le pouvoir judiciaire, la police et les procureurs. </w:t>
      </w:r>
    </w:p>
    <w:p w14:paraId="028ACDE0" w14:textId="64BF1F05" w:rsidR="00CB273E" w:rsidRPr="00A650D0" w:rsidDel="00D56614" w:rsidRDefault="00CB273E" w:rsidP="00CB273E">
      <w:pPr>
        <w:spacing w:line="240" w:lineRule="auto"/>
        <w:jc w:val="both"/>
        <w:rPr>
          <w:rFonts w:ascii="Times New Roman" w:hAnsi="Times New Roman" w:cs="Times New Roman"/>
          <w:b/>
          <w:i/>
          <w:noProof/>
          <w:sz w:val="24"/>
        </w:rPr>
      </w:pPr>
      <w:bookmarkStart w:id="6" w:name="_Hlk216433080"/>
      <w:r w:rsidRPr="00A650D0">
        <w:rPr>
          <w:rFonts w:ascii="Times New Roman" w:hAnsi="Times New Roman" w:cs="Times New Roman"/>
          <w:b/>
          <w:i/>
          <w:noProof/>
          <w:sz w:val="24"/>
        </w:rPr>
        <w:t>Renforcer l’application de la législation de l’UE en matière de lutte contre la discrimination</w:t>
      </w:r>
    </w:p>
    <w:p w14:paraId="37AF07CE" w14:textId="698C80E2" w:rsidR="00EB6BCC" w:rsidRPr="00A650D0" w:rsidRDefault="008021F1" w:rsidP="00BF3DB3">
      <w:pPr>
        <w:spacing w:line="240" w:lineRule="auto"/>
        <w:jc w:val="both"/>
        <w:rPr>
          <w:rFonts w:ascii="Times New Roman" w:hAnsi="Times New Roman" w:cs="Times New Roman"/>
          <w:noProof/>
          <w:sz w:val="24"/>
          <w:szCs w:val="24"/>
        </w:rPr>
      </w:pPr>
      <w:r w:rsidRPr="00A650D0">
        <w:rPr>
          <w:rFonts w:ascii="Times New Roman" w:hAnsi="Times New Roman" w:cs="Times New Roman"/>
          <w:noProof/>
          <w:sz w:val="24"/>
        </w:rPr>
        <w:t xml:space="preserve">L’une des priorités de la Commission est de veiller à l’application efficace du cadre juridique solide de l’UE en matière de lutte contre la discrimination afin de faire de l’égalité une réalité dans tous les États membres. </w:t>
      </w:r>
      <w:bookmarkStart w:id="7" w:name="_Hlk209779567"/>
    </w:p>
    <w:p w14:paraId="02C150F3" w14:textId="4E395F47" w:rsidR="00BF6E0E" w:rsidRPr="00A650D0" w:rsidRDefault="00D56614" w:rsidP="00BF3DB3">
      <w:pPr>
        <w:spacing w:line="240" w:lineRule="auto"/>
        <w:jc w:val="both"/>
        <w:rPr>
          <w:rFonts w:ascii="Times New Roman" w:hAnsi="Times New Roman" w:cs="Times New Roman"/>
          <w:b/>
          <w:bCs/>
          <w:noProof/>
          <w:sz w:val="24"/>
          <w:szCs w:val="24"/>
        </w:rPr>
      </w:pPr>
      <w:bookmarkStart w:id="8" w:name="_Hlk214612335"/>
      <w:r w:rsidRPr="00A650D0">
        <w:rPr>
          <w:rFonts w:ascii="Times New Roman" w:hAnsi="Times New Roman" w:cs="Times New Roman"/>
          <w:noProof/>
          <w:sz w:val="24"/>
        </w:rPr>
        <w:t>Les données disponibles montrent que des sanctions efficaces contre la discrimination</w:t>
      </w:r>
      <w:r w:rsidRPr="00A650D0">
        <w:rPr>
          <w:rStyle w:val="FootnoteReference"/>
          <w:rFonts w:ascii="Times New Roman" w:hAnsi="Times New Roman" w:cs="Times New Roman"/>
          <w:noProof/>
          <w:sz w:val="24"/>
          <w:szCs w:val="24"/>
        </w:rPr>
        <w:footnoteReference w:id="27"/>
      </w:r>
      <w:r w:rsidRPr="00A650D0">
        <w:rPr>
          <w:rFonts w:ascii="Times New Roman" w:hAnsi="Times New Roman" w:cs="Times New Roman"/>
          <w:noProof/>
          <w:sz w:val="24"/>
        </w:rPr>
        <w:t xml:space="preserve"> sont des mécanismes essentiels pour lutter contre les obstacles à l’emploi, à la protection sociale, à l’éducation et à la fourniture de biens et de services, y compris en matière de logement. Dans cet esprit, le </w:t>
      </w:r>
      <w:r w:rsidRPr="00A650D0">
        <w:rPr>
          <w:rFonts w:ascii="Times New Roman" w:hAnsi="Times New Roman" w:cs="Times New Roman"/>
          <w:b/>
          <w:noProof/>
          <w:sz w:val="24"/>
        </w:rPr>
        <w:t>rapport que la Commission élaborera cette année au sujet de la directive relative à l’égalité raciale analysera son application dans les États membres</w:t>
      </w:r>
      <w:r w:rsidRPr="00A650D0">
        <w:rPr>
          <w:rFonts w:ascii="Times New Roman" w:hAnsi="Times New Roman" w:cs="Times New Roman"/>
          <w:noProof/>
          <w:sz w:val="24"/>
        </w:rPr>
        <w:t xml:space="preserve"> et servira de base pour étudier la façon de </w:t>
      </w:r>
      <w:r w:rsidRPr="00A650D0">
        <w:rPr>
          <w:rFonts w:ascii="Times New Roman" w:hAnsi="Times New Roman" w:cs="Times New Roman"/>
          <w:b/>
          <w:noProof/>
          <w:sz w:val="24"/>
        </w:rPr>
        <w:t>renforcer leurs régimes nationaux de sanctions</w:t>
      </w:r>
      <w:r w:rsidRPr="00A650D0">
        <w:rPr>
          <w:rFonts w:ascii="Times New Roman" w:hAnsi="Times New Roman" w:cs="Times New Roman"/>
          <w:noProof/>
          <w:sz w:val="24"/>
        </w:rPr>
        <w:t xml:space="preserve">. </w:t>
      </w:r>
    </w:p>
    <w:p w14:paraId="024932E6" w14:textId="0A090655" w:rsidR="003314C6" w:rsidRPr="00A650D0" w:rsidRDefault="003E70D4" w:rsidP="00FD2041">
      <w:pPr>
        <w:spacing w:line="240" w:lineRule="auto"/>
        <w:jc w:val="both"/>
        <w:rPr>
          <w:rFonts w:ascii="Times New Roman" w:hAnsi="Times New Roman" w:cs="Times New Roman"/>
          <w:noProof/>
          <w:sz w:val="24"/>
          <w:szCs w:val="24"/>
        </w:rPr>
      </w:pPr>
      <w:bookmarkStart w:id="9" w:name="_Hlk209779508"/>
      <w:bookmarkEnd w:id="7"/>
      <w:bookmarkEnd w:id="8"/>
      <w:r w:rsidRPr="00A650D0">
        <w:rPr>
          <w:rFonts w:ascii="Times New Roman" w:hAnsi="Times New Roman" w:cs="Times New Roman"/>
          <w:noProof/>
          <w:sz w:val="24"/>
        </w:rPr>
        <w:t xml:space="preserve">Étant donné que l’intelligence artificielle (IA) oriente de plus en plus les décisions et les orientations politiques, il est essentiel de tirer parti de son potentiel et d’atténuer la reproduction des préjugés raciaux. Le rapport de la Commission sur l’application de la directive relative à l’égalité raciale </w:t>
      </w:r>
      <w:r w:rsidRPr="00A650D0">
        <w:rPr>
          <w:rFonts w:ascii="Times New Roman" w:hAnsi="Times New Roman" w:cs="Times New Roman"/>
          <w:b/>
          <w:noProof/>
          <w:sz w:val="24"/>
        </w:rPr>
        <w:t>analysera l’application des lois anti-discrimination aux cas de discrimination algorithmique</w:t>
      </w:r>
      <w:r w:rsidRPr="00A650D0">
        <w:rPr>
          <w:rFonts w:ascii="Times New Roman" w:hAnsi="Times New Roman" w:cs="Times New Roman"/>
          <w:noProof/>
          <w:sz w:val="24"/>
        </w:rPr>
        <w:t>.</w:t>
      </w:r>
      <w:bookmarkEnd w:id="9"/>
      <w:r w:rsidRPr="00A650D0">
        <w:rPr>
          <w:rFonts w:ascii="Times New Roman" w:hAnsi="Times New Roman" w:cs="Times New Roman"/>
          <w:noProof/>
          <w:sz w:val="24"/>
        </w:rPr>
        <w:t xml:space="preserve"> </w:t>
      </w:r>
    </w:p>
    <w:p w14:paraId="58620423" w14:textId="52A05FDF" w:rsidR="00BF6E0E" w:rsidRPr="00A650D0" w:rsidRDefault="00BC1B7C" w:rsidP="00FD2041">
      <w:pPr>
        <w:spacing w:line="240" w:lineRule="auto"/>
        <w:jc w:val="both"/>
        <w:rPr>
          <w:rFonts w:ascii="Times New Roman" w:hAnsi="Times New Roman" w:cs="Times New Roman"/>
          <w:noProof/>
          <w:sz w:val="24"/>
          <w:szCs w:val="24"/>
        </w:rPr>
      </w:pPr>
      <w:r w:rsidRPr="00A650D0">
        <w:rPr>
          <w:rFonts w:ascii="Times New Roman" w:hAnsi="Times New Roman" w:cs="Times New Roman"/>
          <w:noProof/>
          <w:sz w:val="24"/>
        </w:rPr>
        <w:t xml:space="preserve">Le </w:t>
      </w:r>
      <w:hyperlink r:id="rId47" w:history="1">
        <w:r w:rsidRPr="00A650D0">
          <w:rPr>
            <w:rStyle w:val="Hyperlink"/>
            <w:rFonts w:ascii="Times New Roman" w:hAnsi="Times New Roman" w:cs="Times New Roman"/>
            <w:noProof/>
            <w:sz w:val="24"/>
          </w:rPr>
          <w:t>règlement sur l’IA</w:t>
        </w:r>
      </w:hyperlink>
      <w:r w:rsidRPr="00A650D0">
        <w:rPr>
          <w:rFonts w:ascii="Times New Roman" w:hAnsi="Times New Roman" w:cs="Times New Roman"/>
          <w:noProof/>
          <w:sz w:val="24"/>
        </w:rPr>
        <w:t xml:space="preserve"> interdit certaines pratiques d’IA particulièrement néfastes qui sont incompatibles avec les valeurs de l’UE (par exemple, les systèmes d’IA manipulateurs qui appellent à la haine ou à la violence visant des groupes protégés ou les systèmes d’IA qui déduisent l’origine raciale sur la base des données biométriques). La Commission fournira des lignes directrices et d’autres outils de soutien visant à assurer la mise en œuvre efficace du règlement sur l’IA en ce qui concerne les interdictions et les exigences applicables aux systèmes d’IA à haut risque. Elle continuera de faciliter les échanges au sujet de l’incidence de l’IA sur les personnes susceptibles d’être victimes de discrimination raciale et d’aider les États membres à faire appliquer et à mettre en œuvre le droit de l’Union afin de prévenir les décisions potentiellement discriminatoires facilitées par l’IA et d’y remédier. </w:t>
      </w:r>
    </w:p>
    <w:p w14:paraId="2AE7A5D3" w14:textId="6D8AC3F4" w:rsidR="00E06D6C" w:rsidRPr="00A650D0" w:rsidRDefault="00D85E02" w:rsidP="00F21377">
      <w:pPr>
        <w:spacing w:line="240" w:lineRule="auto"/>
        <w:jc w:val="both"/>
        <w:rPr>
          <w:rFonts w:ascii="Times New Roman" w:hAnsi="Times New Roman" w:cs="Times New Roman"/>
          <w:noProof/>
          <w:sz w:val="24"/>
          <w:szCs w:val="24"/>
        </w:rPr>
      </w:pPr>
      <w:r w:rsidRPr="00A650D0">
        <w:rPr>
          <w:rFonts w:ascii="Times New Roman" w:hAnsi="Times New Roman" w:cs="Times New Roman"/>
          <w:noProof/>
          <w:sz w:val="24"/>
        </w:rPr>
        <w:t xml:space="preserve">Les </w:t>
      </w:r>
      <w:hyperlink r:id="rId48">
        <w:r w:rsidRPr="00A650D0">
          <w:rPr>
            <w:rStyle w:val="Hyperlink"/>
            <w:rFonts w:ascii="Times New Roman" w:hAnsi="Times New Roman" w:cs="Times New Roman"/>
            <w:noProof/>
            <w:sz w:val="24"/>
          </w:rPr>
          <w:t>directives relatives aux normes applicables aux organismes pour l’égalité de traitement</w:t>
        </w:r>
      </w:hyperlink>
      <w:r w:rsidRPr="00A650D0">
        <w:rPr>
          <w:rFonts w:ascii="Times New Roman" w:hAnsi="Times New Roman" w:cs="Times New Roman"/>
          <w:noProof/>
        </w:rPr>
        <w:t xml:space="preserve"> </w:t>
      </w:r>
      <w:r w:rsidRPr="00A650D0">
        <w:rPr>
          <w:rFonts w:ascii="Times New Roman" w:hAnsi="Times New Roman" w:cs="Times New Roman"/>
          <w:noProof/>
          <w:sz w:val="24"/>
        </w:rPr>
        <w:t>établissent des normes claires et contraignantes visant à garantir l’indépendance et l’efficacité de ces organismes. La Commission adoptera des actes d’exécution afin d’établir des indicateurs concernant le fonctionnement des organismes et contrôlera la transposition effective des deux directives en droit national d’ici juin 2026.</w:t>
      </w:r>
      <w:bookmarkEnd w:id="6"/>
    </w:p>
    <w:p w14:paraId="6393AF0E" w14:textId="7F50685B" w:rsidR="009471B3" w:rsidRPr="00A650D0" w:rsidRDefault="009471B3" w:rsidP="00F21377">
      <w:pPr>
        <w:spacing w:line="240" w:lineRule="auto"/>
        <w:jc w:val="both"/>
        <w:rPr>
          <w:rFonts w:ascii="Times New Roman" w:eastAsia="Times New Roman" w:hAnsi="Times New Roman" w:cs="Times New Roman"/>
          <w:b/>
          <w:bCs/>
          <w:noProof/>
          <w:sz w:val="24"/>
          <w:szCs w:val="24"/>
        </w:rPr>
      </w:pPr>
      <w:r w:rsidRPr="00A650D0">
        <w:rPr>
          <w:rFonts w:ascii="Times New Roman" w:hAnsi="Times New Roman" w:cs="Times New Roman"/>
          <w:noProof/>
          <w:color w:val="000000" w:themeColor="text1"/>
          <w:sz w:val="24"/>
        </w:rPr>
        <w:t xml:space="preserve">La </w:t>
      </w:r>
      <w:hyperlink r:id="rId49">
        <w:r w:rsidRPr="00A650D0">
          <w:rPr>
            <w:rStyle w:val="Hyperlink"/>
            <w:rFonts w:ascii="Times New Roman" w:hAnsi="Times New Roman" w:cs="Times New Roman"/>
            <w:noProof/>
            <w:sz w:val="24"/>
          </w:rPr>
          <w:t>directive sur la lutte contre la violence à l’égard des femmes et la violence domestique</w:t>
        </w:r>
      </w:hyperlink>
      <w:r w:rsidRPr="00A650D0">
        <w:rPr>
          <w:rFonts w:ascii="Times New Roman" w:hAnsi="Times New Roman" w:cs="Times New Roman"/>
          <w:noProof/>
          <w:color w:val="000000" w:themeColor="text1"/>
          <w:sz w:val="24"/>
        </w:rPr>
        <w:t xml:space="preserve"> reconnaît </w:t>
      </w:r>
      <w:r w:rsidRPr="00A650D0">
        <w:rPr>
          <w:rFonts w:ascii="Times New Roman" w:hAnsi="Times New Roman" w:cs="Times New Roman"/>
          <w:noProof/>
          <w:sz w:val="24"/>
        </w:rPr>
        <w:t xml:space="preserve">que les victimes de discrimination intersectionnelle, y compris les femmes issues d’une minorité raciale ou ethnique, peuvent être davantage exposées au risque de subir des violences fondées sur le genre. La Commission, tout en accompagnant les États membres dans leur processus de transposition, </w:t>
      </w:r>
      <w:r w:rsidRPr="00A650D0">
        <w:rPr>
          <w:rFonts w:ascii="Times New Roman" w:hAnsi="Times New Roman" w:cs="Times New Roman"/>
          <w:b/>
          <w:noProof/>
          <w:sz w:val="24"/>
        </w:rPr>
        <w:t>accordera une attention particulière aux problèmes que rencontrent les victimes de discrimination intersectionnelle fondée sur l’origine raciale ou ethnique</w:t>
      </w:r>
      <w:r w:rsidRPr="00A650D0">
        <w:rPr>
          <w:rFonts w:ascii="Times New Roman" w:hAnsi="Times New Roman" w:cs="Times New Roman"/>
          <w:noProof/>
          <w:sz w:val="24"/>
        </w:rPr>
        <w:t>.</w:t>
      </w:r>
    </w:p>
    <w:p w14:paraId="43458822" w14:textId="14AE6189" w:rsidR="00BF6E0E" w:rsidRPr="00A650D0" w:rsidRDefault="003E70D4" w:rsidP="00FD2041">
      <w:pPr>
        <w:spacing w:line="240" w:lineRule="auto"/>
        <w:jc w:val="both"/>
        <w:rPr>
          <w:rFonts w:ascii="Times New Roman" w:hAnsi="Times New Roman" w:cs="Times New Roman"/>
          <w:b/>
          <w:i/>
          <w:noProof/>
          <w:sz w:val="24"/>
        </w:rPr>
      </w:pPr>
      <w:r w:rsidRPr="00A650D0">
        <w:rPr>
          <w:rFonts w:ascii="Times New Roman" w:hAnsi="Times New Roman" w:cs="Times New Roman"/>
          <w:b/>
          <w:i/>
          <w:noProof/>
          <w:sz w:val="24"/>
        </w:rPr>
        <w:t>Protéger les personnes contre les crimes de haine et les discours de haine</w:t>
      </w:r>
    </w:p>
    <w:p w14:paraId="5D845CE3" w14:textId="412E2224" w:rsidR="00BF6E0E" w:rsidRPr="00A650D0" w:rsidRDefault="003E70D4" w:rsidP="00FD2041">
      <w:pPr>
        <w:pStyle w:val="NormalWeb"/>
        <w:spacing w:beforeAutospacing="0" w:after="160" w:afterAutospacing="0"/>
        <w:jc w:val="both"/>
        <w:rPr>
          <w:noProof/>
          <w:color w:val="000000" w:themeColor="text1"/>
        </w:rPr>
      </w:pPr>
      <w:r w:rsidRPr="00A650D0">
        <w:rPr>
          <w:noProof/>
          <w:color w:val="000000" w:themeColor="text1"/>
        </w:rPr>
        <w:t xml:space="preserve">Le programme de lutte contre le racisme de l’UE accorde une place centrale à la protection des personnes contre les crimes de haine et les discours de haine. La Commission a engagé des procédures d’infraction pour assurer la transposition complète et correcte de la </w:t>
      </w:r>
      <w:hyperlink r:id="rId50">
        <w:r w:rsidRPr="00A650D0">
          <w:rPr>
            <w:rStyle w:val="Hyperlink"/>
            <w:noProof/>
          </w:rPr>
          <w:t>décision-cadre sur la lutte contre le racisme et la xénophobie</w:t>
        </w:r>
        <w:r w:rsidRPr="00A650D0">
          <w:rPr>
            <w:rStyle w:val="FootnoteReference"/>
            <w:noProof/>
            <w:color w:val="000000" w:themeColor="text1"/>
          </w:rPr>
          <w:footnoteReference w:id="28"/>
        </w:r>
      </w:hyperlink>
      <w:r w:rsidRPr="00A650D0">
        <w:rPr>
          <w:noProof/>
          <w:color w:val="000000" w:themeColor="text1"/>
        </w:rPr>
        <w:t xml:space="preserve">. Elle continuera de contrôler la transposition et de soutenir l’échange de bonnes pratiques au sein du </w:t>
      </w:r>
      <w:hyperlink r:id="rId51">
        <w:r w:rsidRPr="00A650D0">
          <w:rPr>
            <w:rStyle w:val="Hyperlink"/>
            <w:b/>
            <w:noProof/>
          </w:rPr>
          <w:t>groupe à haut niveau sur la lutte contre les crimes de haine et les discours de haine</w:t>
        </w:r>
      </w:hyperlink>
      <w:r w:rsidRPr="00A650D0">
        <w:rPr>
          <w:noProof/>
        </w:rPr>
        <w:t>.</w:t>
      </w:r>
      <w:r w:rsidRPr="00A650D0">
        <w:rPr>
          <w:noProof/>
          <w:color w:val="000000" w:themeColor="text1"/>
        </w:rPr>
        <w:t xml:space="preserve"> Elle encourage en outre les États membres à améliorer la collecte de données sur les crimes haineux et à étendre la formation des autorités judiciaires et de la police pour y inclure les infractions haineuses, y compris les préjugés raciaux.</w:t>
      </w:r>
    </w:p>
    <w:p w14:paraId="0BC83858" w14:textId="122B88A4" w:rsidR="00ED18B7" w:rsidRPr="00A650D0" w:rsidRDefault="00F62F46" w:rsidP="008D07AB">
      <w:pPr>
        <w:pStyle w:val="NormalWeb"/>
        <w:spacing w:beforeAutospacing="0" w:after="160" w:afterAutospacing="0"/>
        <w:jc w:val="both"/>
        <w:rPr>
          <w:noProof/>
          <w:color w:val="000000" w:themeColor="text1"/>
        </w:rPr>
      </w:pPr>
      <w:bookmarkStart w:id="10" w:name="_Hlk213774269"/>
      <w:r w:rsidRPr="00A650D0">
        <w:rPr>
          <w:noProof/>
          <w:color w:val="000000" w:themeColor="text1"/>
        </w:rPr>
        <w:t>Afin de renforcer le cadre pénal de l’UE contre les infractions à caractère haineux, la Commission a présenté une proposition de</w:t>
      </w:r>
      <w:r w:rsidRPr="00A650D0">
        <w:rPr>
          <w:noProof/>
        </w:rPr>
        <w:t xml:space="preserve"> </w:t>
      </w:r>
      <w:hyperlink r:id="rId52" w:history="1">
        <w:r w:rsidRPr="00A650D0">
          <w:rPr>
            <w:rStyle w:val="Hyperlink"/>
            <w:noProof/>
          </w:rPr>
          <w:t>décision du Conseil concernant l’ajout des discours de haine et des crimes de haine à la liste des «infractions de l’UE»</w:t>
        </w:r>
      </w:hyperlink>
      <w:r w:rsidRPr="00A650D0">
        <w:rPr>
          <w:noProof/>
          <w:color w:val="000000" w:themeColor="text1"/>
        </w:rPr>
        <w:t xml:space="preserve">. Cette décision permettrait à la Commission, dans un deuxième temps, de renforcer le cadre juridique relatif à la lutte contre les discours et crimes de haine. Aucun progrès n’ayant été accompli en la matière, </w:t>
      </w:r>
      <w:r w:rsidRPr="00A650D0">
        <w:rPr>
          <w:b/>
          <w:noProof/>
          <w:color w:val="000000" w:themeColor="text1"/>
        </w:rPr>
        <w:t xml:space="preserve">la Commission </w:t>
      </w:r>
      <w:bookmarkStart w:id="11" w:name="_Hlk214619266"/>
      <w:r w:rsidRPr="00A650D0">
        <w:rPr>
          <w:b/>
          <w:noProof/>
          <w:color w:val="000000" w:themeColor="text1"/>
        </w:rPr>
        <w:t>envisage d’élaborer une initiative législative fondée sur les domaines de criminalité existants couverts par l’</w:t>
      </w:r>
      <w:hyperlink r:id="rId53" w:history="1">
        <w:r w:rsidRPr="00A650D0">
          <w:rPr>
            <w:rStyle w:val="Hyperlink"/>
            <w:b/>
            <w:noProof/>
          </w:rPr>
          <w:t>article 83, paragraphe 1, du TFUE</w:t>
        </w:r>
      </w:hyperlink>
      <w:r w:rsidRPr="00A650D0">
        <w:rPr>
          <w:b/>
          <w:noProof/>
          <w:color w:val="000000" w:themeColor="text1"/>
        </w:rPr>
        <w:t xml:space="preserve"> afin d’harmoniser les définitions des infractions à caractère haineux commises en ligne</w:t>
      </w:r>
      <w:bookmarkEnd w:id="11"/>
      <w:r w:rsidRPr="00A650D0">
        <w:rPr>
          <w:noProof/>
          <w:color w:val="000000" w:themeColor="text1"/>
        </w:rPr>
        <w:t xml:space="preserve">. Cela donnerait suite à une recommandation du </w:t>
      </w:r>
      <w:hyperlink r:id="rId54" w:history="1">
        <w:r w:rsidRPr="00A650D0">
          <w:rPr>
            <w:rStyle w:val="Hyperlink"/>
            <w:noProof/>
          </w:rPr>
          <w:t>panel de citoyens «Lutte contre la haine dans la société»</w:t>
        </w:r>
      </w:hyperlink>
      <w:r w:rsidRPr="00A650D0">
        <w:rPr>
          <w:noProof/>
          <w:color w:val="000000" w:themeColor="text1"/>
        </w:rPr>
        <w:t>.</w:t>
      </w:r>
    </w:p>
    <w:p w14:paraId="46A35A65" w14:textId="3BF1AAAC" w:rsidR="00E44DD4" w:rsidRPr="00A650D0" w:rsidRDefault="00E44DD4" w:rsidP="00E44DD4">
      <w:pPr>
        <w:pStyle w:val="NormalWeb"/>
        <w:spacing w:beforeAutospacing="0" w:after="160" w:afterAutospacing="0"/>
        <w:jc w:val="both"/>
        <w:rPr>
          <w:noProof/>
        </w:rPr>
      </w:pPr>
      <w:r w:rsidRPr="00A650D0">
        <w:rPr>
          <w:noProof/>
        </w:rPr>
        <w:t xml:space="preserve">La Commission aide également les États membres à mieux réagir aux crimes et discours de haine, en soutenant leurs autorités de protection des espaces publics, y compris les lieux de culte, conformément à la </w:t>
      </w:r>
      <w:hyperlink r:id="rId55" w:history="1">
        <w:r w:rsidRPr="00A650D0">
          <w:rPr>
            <w:rStyle w:val="Hyperlink"/>
            <w:noProof/>
          </w:rPr>
          <w:t>stratégie de sécurité intérieure «ProtectEU»</w:t>
        </w:r>
      </w:hyperlink>
      <w:r w:rsidRPr="00A650D0">
        <w:rPr>
          <w:noProof/>
        </w:rPr>
        <w:t>.</w:t>
      </w:r>
    </w:p>
    <w:p w14:paraId="26C4561A" w14:textId="21E084FD" w:rsidR="00CB4799" w:rsidRPr="00A650D0" w:rsidRDefault="003E795F" w:rsidP="00E42985">
      <w:pPr>
        <w:pStyle w:val="NormalWeb"/>
        <w:spacing w:beforeAutospacing="0" w:after="160" w:afterAutospacing="0"/>
        <w:jc w:val="both"/>
        <w:rPr>
          <w:noProof/>
          <w:color w:val="000000" w:themeColor="text1"/>
        </w:rPr>
      </w:pPr>
      <w:r w:rsidRPr="00A650D0">
        <w:rPr>
          <w:noProof/>
        </w:rPr>
        <w:t xml:space="preserve">Les victimes de crimes de haine racistes peinent à faire confiance aux autorités, et il convient dès lors que celles-ci prennent des mesures visant à soutenir ces victimes et à leur donner les moyens d’agir afin de lutter contre le sous-signalement et de veiller à l’accès à des voies de recours. Le Parlement européen et le Conseil sont parvenus à </w:t>
      </w:r>
      <w:r w:rsidRPr="00A650D0">
        <w:rPr>
          <w:b/>
          <w:noProof/>
        </w:rPr>
        <w:t xml:space="preserve">un accord politique </w:t>
      </w:r>
      <w:bookmarkStart w:id="12" w:name="_Hlk218008233"/>
      <w:r w:rsidRPr="00A650D0">
        <w:rPr>
          <w:b/>
          <w:noProof/>
        </w:rPr>
        <w:t>sur la proposition de</w:t>
      </w:r>
      <w:r w:rsidRPr="00A650D0">
        <w:rPr>
          <w:noProof/>
        </w:rPr>
        <w:t xml:space="preserve"> </w:t>
      </w:r>
      <w:r w:rsidRPr="00A650D0">
        <w:rPr>
          <w:b/>
          <w:noProof/>
        </w:rPr>
        <w:t>révision de la directive sur les droits des victimes</w:t>
      </w:r>
      <w:r w:rsidRPr="00A650D0">
        <w:rPr>
          <w:rStyle w:val="FootnoteReference"/>
          <w:b/>
          <w:bCs/>
          <w:noProof/>
          <w:lang w:val="en-IE"/>
        </w:rPr>
        <w:footnoteReference w:id="29"/>
      </w:r>
      <w:r w:rsidRPr="00A650D0">
        <w:rPr>
          <w:noProof/>
        </w:rPr>
        <w:t>. Cela renforcera encore les droits des victimes, y compris ceux des victimes de crimes de haine</w:t>
      </w:r>
      <w:bookmarkEnd w:id="12"/>
      <w:r w:rsidRPr="00A650D0">
        <w:rPr>
          <w:noProof/>
        </w:rPr>
        <w:t xml:space="preserve"> à caractère raciste, en facilitant le signalement des infractions, en améliorant l’évaluation des besoins des victimes et en améliorant le soutien psychologique et la protection physique. En outre, la Commission adoptera la </w:t>
      </w:r>
      <w:hyperlink r:id="rId56" w:history="1">
        <w:r w:rsidRPr="00A650D0">
          <w:rPr>
            <w:rStyle w:val="Hyperlink"/>
            <w:noProof/>
          </w:rPr>
          <w:t>stratégie révisée de l’UE sur les droits des victimes</w:t>
        </w:r>
      </w:hyperlink>
      <w:r w:rsidRPr="00A650D0">
        <w:rPr>
          <w:noProof/>
        </w:rPr>
        <w:t>.</w:t>
      </w:r>
    </w:p>
    <w:p w14:paraId="0D1358DE" w14:textId="77777777" w:rsidR="00E42985" w:rsidRPr="00A650D0" w:rsidRDefault="00E42985" w:rsidP="00C90233">
      <w:pPr>
        <w:pStyle w:val="NormalWeb"/>
        <w:spacing w:beforeAutospacing="0" w:after="160" w:afterAutospacing="0"/>
        <w:jc w:val="both"/>
        <w:rPr>
          <w:noProof/>
          <w:color w:val="000000" w:themeColor="text1"/>
        </w:rPr>
      </w:pPr>
    </w:p>
    <w:p w14:paraId="1918F7CE" w14:textId="6BD5DADD" w:rsidR="003314C6" w:rsidRPr="00A650D0" w:rsidRDefault="00263561" w:rsidP="00C90233">
      <w:pPr>
        <w:pStyle w:val="NormalWeb"/>
        <w:spacing w:beforeAutospacing="0" w:after="160" w:afterAutospacing="0"/>
        <w:jc w:val="both"/>
        <w:rPr>
          <w:noProof/>
          <w:color w:val="000000" w:themeColor="text1"/>
        </w:rPr>
      </w:pPr>
      <w:r w:rsidRPr="00A650D0">
        <w:rPr>
          <w:noProof/>
          <w:color w:val="000000" w:themeColor="text1"/>
        </w:rPr>
        <w:t xml:space="preserve">Le risque d’être victime d’actes de haine en ligne est également souvent une réalité pour les minorités raciales ou ethniques. Le </w:t>
      </w:r>
      <w:hyperlink r:id="rId57" w:history="1">
        <w:r w:rsidRPr="00A650D0">
          <w:rPr>
            <w:rStyle w:val="Hyperlink"/>
            <w:noProof/>
          </w:rPr>
          <w:t>règlement sur les services numériques</w:t>
        </w:r>
      </w:hyperlink>
      <w:r w:rsidRPr="00A650D0">
        <w:rPr>
          <w:noProof/>
          <w:color w:val="000000" w:themeColor="text1"/>
        </w:rPr>
        <w:t xml:space="preserve"> impose à ces derniers de lutter contre les contenus illicites et de protéger les droits fondamentaux au moyen de mécanismes de notification et d’action solides, ainsi que d’obligations approfondies en matière d’évaluation et d’atténuation des risques. La Commission poursuivra la mise en œuvre du règlement sur les services numériques et continuera d’en assurer le suivi et, en collaboration avec le comité européen des services numériques et les parties prenantes concernées, </w:t>
      </w:r>
      <w:r w:rsidRPr="00A650D0">
        <w:rPr>
          <w:b/>
          <w:noProof/>
          <w:color w:val="000000" w:themeColor="text1"/>
        </w:rPr>
        <w:t xml:space="preserve">continuera de suivre et de soutenir régulièrement la mise en œuvre du </w:t>
      </w:r>
      <w:hyperlink r:id="rId58" w:history="1">
        <w:r w:rsidRPr="00A650D0">
          <w:rPr>
            <w:rStyle w:val="Hyperlink"/>
            <w:b/>
            <w:noProof/>
          </w:rPr>
          <w:t>code de conduite volontaire pour la lutte contre les discours haineux illégaux en ligne+</w:t>
        </w:r>
      </w:hyperlink>
      <w:r w:rsidRPr="00A650D0">
        <w:rPr>
          <w:noProof/>
          <w:color w:val="000000" w:themeColor="text1"/>
        </w:rPr>
        <w:t xml:space="preserve">. </w:t>
      </w:r>
      <w:bookmarkEnd w:id="10"/>
    </w:p>
    <w:p w14:paraId="5BE5F229" w14:textId="36F90F01" w:rsidR="00F21BC1" w:rsidRPr="00A650D0" w:rsidRDefault="00586A52" w:rsidP="00C90233">
      <w:pPr>
        <w:pStyle w:val="NormalWeb"/>
        <w:spacing w:beforeAutospacing="0" w:after="160" w:afterAutospacing="0"/>
        <w:jc w:val="both"/>
        <w:rPr>
          <w:rFonts w:eastAsia="Times New Roman"/>
          <w:noProof/>
          <w:color w:val="000000" w:themeColor="text1"/>
        </w:rPr>
      </w:pPr>
      <w:r w:rsidRPr="00A650D0">
        <w:rPr>
          <w:noProof/>
          <w:color w:val="000000" w:themeColor="text1"/>
        </w:rPr>
        <w:t xml:space="preserve">Les </w:t>
      </w:r>
      <w:hyperlink r:id="rId59" w:history="1">
        <w:r w:rsidRPr="00A650D0">
          <w:rPr>
            <w:rStyle w:val="Hyperlink"/>
            <w:noProof/>
          </w:rPr>
          <w:t>lignes directrices actualisées pour les enseignants et les éducateurs en matière de lutte contre la désinformation et de promotion de l’habileté numérique par l’éducation et la formation</w:t>
        </w:r>
      </w:hyperlink>
      <w:r w:rsidRPr="00A650D0">
        <w:rPr>
          <w:noProof/>
        </w:rPr>
        <w:t xml:space="preserve">, qui font partie intégrante du </w:t>
      </w:r>
      <w:hyperlink r:id="rId60" w:history="1">
        <w:r w:rsidRPr="00A650D0">
          <w:rPr>
            <w:rStyle w:val="Hyperlink"/>
            <w:noProof/>
          </w:rPr>
          <w:t>plan d’action en matière d’éducation numérique</w:t>
        </w:r>
      </w:hyperlink>
      <w:r w:rsidRPr="00A650D0">
        <w:rPr>
          <w:noProof/>
        </w:rPr>
        <w:t>,</w:t>
      </w:r>
      <w:r w:rsidRPr="00A650D0">
        <w:rPr>
          <w:noProof/>
          <w:color w:val="000000" w:themeColor="text1"/>
        </w:rPr>
        <w:t xml:space="preserve"> expliqueront de manière pratique </w:t>
      </w:r>
      <w:r w:rsidRPr="00A650D0">
        <w:rPr>
          <w:b/>
          <w:noProof/>
          <w:color w:val="000000" w:themeColor="text1"/>
        </w:rPr>
        <w:t>comment favoriser au mieux la tolérance et l’inclusion en ligne</w:t>
      </w:r>
      <w:r w:rsidRPr="00A650D0">
        <w:rPr>
          <w:noProof/>
          <w:color w:val="000000" w:themeColor="text1"/>
        </w:rPr>
        <w:t xml:space="preserve">. La Commission continuera également de favoriser la résilience de la société en menant des actions de soutien à l’éducation aux médias et en collaborant avec les signataires du </w:t>
      </w:r>
      <w:hyperlink r:id="rId61" w:history="1">
        <w:r w:rsidRPr="00A650D0">
          <w:rPr>
            <w:rStyle w:val="Hyperlink"/>
            <w:noProof/>
          </w:rPr>
          <w:t>code de bonnes pratiques contre la désinformation</w:t>
        </w:r>
      </w:hyperlink>
      <w:r w:rsidRPr="00A650D0">
        <w:rPr>
          <w:noProof/>
        </w:rPr>
        <w:t xml:space="preserve"> afin d’améliorer l’application de celui-ci et de réduire la propagation de la désinformation virale, y compris celle revêtant un caractère raciste ou diffusant de la haine en ligne.</w:t>
      </w:r>
    </w:p>
    <w:p w14:paraId="05C24D53" w14:textId="6C694F5C" w:rsidR="00811FEF" w:rsidRPr="00A650D0" w:rsidRDefault="00F62F46" w:rsidP="00C90233">
      <w:pPr>
        <w:pStyle w:val="NormalWeb"/>
        <w:spacing w:beforeAutospacing="0" w:after="160" w:afterAutospacing="0"/>
        <w:jc w:val="both"/>
        <w:rPr>
          <w:b/>
          <w:i/>
          <w:noProof/>
        </w:rPr>
      </w:pPr>
      <w:r w:rsidRPr="00A650D0">
        <w:rPr>
          <w:noProof/>
          <w:color w:val="000000" w:themeColor="text1"/>
        </w:rPr>
        <w:t>Parallèlement, la Commission s’attaque aux discours de haine dans le sport en collaborant étroitement avec le Conseil de l’Europe et en aidant les États membres au moyen de la méthode ouverte de coordination en cours en la matière dans le cadre du</w:t>
      </w:r>
      <w:r w:rsidRPr="00A650D0">
        <w:rPr>
          <w:noProof/>
        </w:rPr>
        <w:t xml:space="preserve"> </w:t>
      </w:r>
      <w:hyperlink r:id="rId62" w:history="1">
        <w:r w:rsidRPr="00A650D0">
          <w:rPr>
            <w:rStyle w:val="Hyperlink"/>
            <w:noProof/>
          </w:rPr>
          <w:t>plan de travail de l’UE en faveur du sport</w:t>
        </w:r>
      </w:hyperlink>
      <w:r w:rsidRPr="00A650D0">
        <w:rPr>
          <w:noProof/>
          <w:color w:val="000000" w:themeColor="text1"/>
        </w:rPr>
        <w:t xml:space="preserve">. </w:t>
      </w:r>
    </w:p>
    <w:p w14:paraId="3BCA6F4A" w14:textId="2D54B491" w:rsidR="001C289D" w:rsidRPr="00A650D0" w:rsidRDefault="001C289D" w:rsidP="001C289D">
      <w:pPr>
        <w:spacing w:line="240" w:lineRule="auto"/>
        <w:jc w:val="both"/>
        <w:rPr>
          <w:rFonts w:ascii="Times New Roman" w:hAnsi="Times New Roman" w:cs="Times New Roman"/>
          <w:b/>
          <w:i/>
          <w:noProof/>
          <w:sz w:val="24"/>
        </w:rPr>
      </w:pPr>
      <w:r w:rsidRPr="00A650D0">
        <w:rPr>
          <w:rFonts w:ascii="Times New Roman" w:hAnsi="Times New Roman" w:cs="Times New Roman"/>
          <w:b/>
          <w:i/>
          <w:noProof/>
          <w:sz w:val="24"/>
        </w:rPr>
        <w:t>Lutter contre les préjugés raciaux dans l’administration publique</w:t>
      </w:r>
    </w:p>
    <w:p w14:paraId="33C9EB23" w14:textId="5402B419" w:rsidR="001C289D" w:rsidRPr="00A650D0" w:rsidRDefault="001C289D" w:rsidP="00C90233">
      <w:pPr>
        <w:pStyle w:val="NormalWeb"/>
        <w:spacing w:beforeAutospacing="0" w:after="160" w:afterAutospacing="0"/>
        <w:jc w:val="both"/>
        <w:rPr>
          <w:noProof/>
        </w:rPr>
      </w:pPr>
      <w:r w:rsidRPr="00A650D0">
        <w:rPr>
          <w:noProof/>
        </w:rPr>
        <w:t xml:space="preserve">L’efficacité de l’administration publique est le fondement de la bonne gouvernance, de la confiance du public et de la cohésion sociale. </w:t>
      </w:r>
      <w:r w:rsidRPr="00A650D0">
        <w:rPr>
          <w:noProof/>
          <w:color w:val="000000" w:themeColor="text1"/>
        </w:rPr>
        <w:t xml:space="preserve">La lutte contre les préjugés raciaux dans les administrations publiques et les systèmes judiciaires est une composante essentielle du combat contre le racisme. </w:t>
      </w:r>
      <w:r w:rsidRPr="00A650D0">
        <w:rPr>
          <w:noProof/>
        </w:rPr>
        <w:t>La coopération entre les pouvoirs publics et les populations locales favorise l’instauration d’un climat de confiance et crée un sentiment de responsabilité commune</w:t>
      </w:r>
      <w:r w:rsidRPr="00A650D0">
        <w:rPr>
          <w:rStyle w:val="FootnoteReference"/>
          <w:noProof/>
        </w:rPr>
        <w:footnoteReference w:id="30"/>
      </w:r>
      <w:r w:rsidRPr="00A650D0">
        <w:rPr>
          <w:noProof/>
        </w:rPr>
        <w:t xml:space="preserve">. </w:t>
      </w:r>
      <w:r w:rsidRPr="00A650D0">
        <w:rPr>
          <w:b/>
          <w:noProof/>
        </w:rPr>
        <w:t>La Commission encourage les États membres à proposer des programmes de formation complets pour aider leurs fonctionnaires à reconnaître et à combattre les préjugés raciaux</w:t>
      </w:r>
      <w:r w:rsidRPr="00A650D0">
        <w:rPr>
          <w:noProof/>
        </w:rPr>
        <w:t xml:space="preserve">, tout en promouvant une plus grande sensibilisation et sensibilité culturelles. À cette fin, elle continuera d’apporter un soutien aux autorités nationales, y compris dans le cadre du programme CERV. </w:t>
      </w:r>
    </w:p>
    <w:p w14:paraId="2D062588" w14:textId="4B47147E" w:rsidR="001C289D" w:rsidRPr="00A650D0" w:rsidRDefault="00D04E2B" w:rsidP="001C289D">
      <w:pPr>
        <w:spacing w:line="240" w:lineRule="auto"/>
        <w:jc w:val="both"/>
        <w:rPr>
          <w:rFonts w:ascii="Times New Roman" w:hAnsi="Times New Roman" w:cs="Times New Roman"/>
          <w:b/>
          <w:bCs/>
          <w:noProof/>
          <w:sz w:val="24"/>
          <w:szCs w:val="24"/>
        </w:rPr>
      </w:pPr>
      <w:r w:rsidRPr="00A650D0">
        <w:rPr>
          <w:rFonts w:ascii="Times New Roman" w:hAnsi="Times New Roman" w:cs="Times New Roman"/>
          <w:noProof/>
          <w:sz w:val="24"/>
        </w:rPr>
        <w:t xml:space="preserve">Une application responsable de la loi qui garantisse une protection égale et un traitement équitable pour toutes et tous est un pilier essentiel de la démocratie et de l’état de droit. Les conclusions du rapport de la FRA intitulé </w:t>
      </w:r>
      <w:hyperlink r:id="rId63" w:history="1">
        <w:r w:rsidRPr="00A650D0">
          <w:rPr>
            <w:rStyle w:val="Hyperlink"/>
            <w:rFonts w:ascii="Times New Roman" w:hAnsi="Times New Roman" w:cs="Times New Roman"/>
            <w:noProof/>
            <w:sz w:val="24"/>
          </w:rPr>
          <w:t>«Addressing racism in policing» (Lutter contre le racisme dans les activités de police)</w:t>
        </w:r>
      </w:hyperlink>
      <w:r w:rsidRPr="00A650D0">
        <w:rPr>
          <w:rFonts w:ascii="Times New Roman" w:hAnsi="Times New Roman" w:cs="Times New Roman"/>
          <w:noProof/>
          <w:sz w:val="24"/>
        </w:rPr>
        <w:t xml:space="preserve"> indiquent que le racisme se manifeste notamment par des pratiques de profilage discriminatoires, une communication raciste inappropriée et un recours excessif à la force</w:t>
      </w:r>
      <w:r w:rsidRPr="00A650D0">
        <w:rPr>
          <w:rStyle w:val="FootnoteReference"/>
          <w:rFonts w:ascii="Times New Roman" w:eastAsia="Times New Roman" w:hAnsi="Times New Roman" w:cs="Times New Roman"/>
          <w:noProof/>
          <w:sz w:val="24"/>
          <w:szCs w:val="24"/>
        </w:rPr>
        <w:footnoteReference w:id="31"/>
      </w:r>
      <w:r w:rsidRPr="00A650D0">
        <w:rPr>
          <w:rFonts w:ascii="Times New Roman" w:hAnsi="Times New Roman" w:cs="Times New Roman"/>
          <w:noProof/>
          <w:sz w:val="24"/>
        </w:rPr>
        <w:t>. D’après les parties prenantes consultées dans le cadre de la présente stratégie, il y a lieu de dispenser des programmes de formation complets à l’intention des services répressifs et de veiller à ce que ces derniers fassent preuve d’une transparence et d’une responsabilité accrues</w:t>
      </w:r>
      <w:r w:rsidRPr="00A650D0">
        <w:rPr>
          <w:rStyle w:val="FootnoteReference"/>
          <w:rFonts w:ascii="Times New Roman" w:hAnsi="Times New Roman" w:cs="Times New Roman"/>
          <w:noProof/>
          <w:sz w:val="24"/>
          <w:szCs w:val="24"/>
        </w:rPr>
        <w:footnoteReference w:id="32"/>
      </w:r>
      <w:r w:rsidRPr="00A650D0">
        <w:rPr>
          <w:rFonts w:ascii="Times New Roman" w:hAnsi="Times New Roman" w:cs="Times New Roman"/>
          <w:noProof/>
          <w:sz w:val="24"/>
        </w:rPr>
        <w:t xml:space="preserve">. La Commission fournira des orientations supplémentaires aux États membres </w:t>
      </w:r>
      <w:r w:rsidRPr="00A650D0">
        <w:rPr>
          <w:rFonts w:ascii="Times New Roman" w:hAnsi="Times New Roman" w:cs="Times New Roman"/>
          <w:b/>
          <w:noProof/>
          <w:sz w:val="24"/>
        </w:rPr>
        <w:t>sous la forme d’un recueil de bonnes pratiques visant à prévenir les pratiques de profilage discriminatoires</w:t>
      </w:r>
      <w:r w:rsidRPr="00A650D0">
        <w:rPr>
          <w:rFonts w:ascii="Times New Roman" w:hAnsi="Times New Roman" w:cs="Times New Roman"/>
          <w:noProof/>
          <w:sz w:val="24"/>
        </w:rPr>
        <w:t>.</w:t>
      </w:r>
      <w:r w:rsidRPr="00A650D0">
        <w:rPr>
          <w:rFonts w:ascii="Times New Roman" w:hAnsi="Times New Roman" w:cs="Times New Roman"/>
          <w:b/>
          <w:noProof/>
          <w:sz w:val="24"/>
        </w:rPr>
        <w:t xml:space="preserve"> </w:t>
      </w:r>
    </w:p>
    <w:p w14:paraId="15992F62" w14:textId="77777777" w:rsidR="00EA76A6" w:rsidRPr="00A650D0" w:rsidRDefault="00EA76A6" w:rsidP="001C289D">
      <w:pPr>
        <w:spacing w:line="240" w:lineRule="auto"/>
        <w:jc w:val="both"/>
        <w:rPr>
          <w:rFonts w:ascii="Times New Roman" w:hAnsi="Times New Roman" w:cs="Times New Roman"/>
          <w:b/>
          <w:bCs/>
          <w:noProof/>
          <w:sz w:val="24"/>
          <w:szCs w:val="24"/>
        </w:rPr>
      </w:pPr>
    </w:p>
    <w:p w14:paraId="6B48451B" w14:textId="77777777" w:rsidR="00EA76A6" w:rsidRPr="00A650D0" w:rsidRDefault="00EA76A6" w:rsidP="001C289D">
      <w:pPr>
        <w:spacing w:line="240" w:lineRule="auto"/>
        <w:jc w:val="both"/>
        <w:rPr>
          <w:rFonts w:ascii="Times New Roman" w:hAnsi="Times New Roman" w:cs="Times New Roman"/>
          <w:b/>
          <w:bCs/>
          <w:noProof/>
          <w:sz w:val="24"/>
          <w:szCs w:val="24"/>
        </w:rPr>
      </w:pPr>
    </w:p>
    <w:p w14:paraId="7CBA1233" w14:textId="47A2099C" w:rsidR="00CB4799" w:rsidRPr="00A650D0" w:rsidRDefault="00CB4799">
      <w:pPr>
        <w:spacing w:after="0" w:line="240" w:lineRule="auto"/>
        <w:rPr>
          <w:rFonts w:ascii="Times New Roman" w:hAnsi="Times New Roman" w:cs="Times New Roman"/>
          <w:b/>
          <w:i/>
          <w:noProof/>
          <w:sz w:val="24"/>
        </w:rPr>
      </w:pPr>
      <w:r w:rsidRPr="00A650D0">
        <w:rPr>
          <w:rFonts w:ascii="Times New Roman" w:hAnsi="Times New Roman" w:cs="Times New Roman"/>
          <w:noProof/>
        </w:rPr>
        <w:br w:type="page"/>
      </w:r>
    </w:p>
    <w:p w14:paraId="2E57929E" w14:textId="77777777" w:rsidR="00EA76A6" w:rsidRPr="00A650D0" w:rsidRDefault="00EA76A6" w:rsidP="001C289D">
      <w:pPr>
        <w:spacing w:line="240" w:lineRule="auto"/>
        <w:jc w:val="both"/>
        <w:rPr>
          <w:rFonts w:ascii="Times New Roman" w:hAnsi="Times New Roman" w:cs="Times New Roman"/>
          <w:b/>
          <w:i/>
          <w:noProof/>
          <w:sz w:val="24"/>
        </w:rPr>
      </w:pPr>
    </w:p>
    <w:p w14:paraId="5D5503A8" w14:textId="7BF3491D" w:rsidR="00BF6E0E" w:rsidRPr="00A650D0" w:rsidRDefault="00AF4A17" w:rsidP="00493190">
      <w:pPr>
        <w:pBdr>
          <w:top w:val="single" w:sz="4" w:space="1" w:color="auto"/>
          <w:left w:val="single" w:sz="4" w:space="4" w:color="auto"/>
          <w:bottom w:val="single" w:sz="4" w:space="0" w:color="auto"/>
          <w:right w:val="single" w:sz="4" w:space="4" w:color="auto"/>
        </w:pBdr>
        <w:tabs>
          <w:tab w:val="left" w:pos="426"/>
        </w:tabs>
        <w:spacing w:line="240" w:lineRule="auto"/>
        <w:jc w:val="both"/>
        <w:rPr>
          <w:rFonts w:ascii="Times New Roman" w:hAnsi="Times New Roman" w:cs="Times New Roman"/>
          <w:b/>
          <w:noProof/>
          <w:sz w:val="24"/>
        </w:rPr>
      </w:pPr>
      <w:bookmarkStart w:id="13" w:name="_Hlk214613474"/>
      <w:bookmarkEnd w:id="4"/>
      <w:r w:rsidRPr="00A650D0">
        <w:rPr>
          <w:rFonts w:ascii="Times New Roman" w:hAnsi="Times New Roman" w:cs="Times New Roman"/>
          <w:b/>
          <w:noProof/>
          <w:sz w:val="24"/>
        </w:rPr>
        <w:t xml:space="preserve">La Commission: </w:t>
      </w:r>
    </w:p>
    <w:p w14:paraId="1FEF6416" w14:textId="06C412F4" w:rsidR="00013FEB" w:rsidRPr="00A650D0" w:rsidRDefault="00BB5E9C" w:rsidP="00F00E7F">
      <w:pPr>
        <w:pStyle w:val="ListParagraph"/>
        <w:numPr>
          <w:ilvl w:val="0"/>
          <w:numId w:val="6"/>
        </w:numPr>
        <w:pBdr>
          <w:top w:val="single" w:sz="4" w:space="1" w:color="auto"/>
          <w:left w:val="single" w:sz="4" w:space="4" w:color="auto"/>
          <w:bottom w:val="single" w:sz="4" w:space="0" w:color="auto"/>
          <w:right w:val="single" w:sz="4" w:space="4" w:color="auto"/>
        </w:pBdr>
        <w:spacing w:line="240" w:lineRule="auto"/>
        <w:ind w:left="284" w:hanging="284"/>
        <w:jc w:val="both"/>
        <w:rPr>
          <w:rFonts w:ascii="Times New Roman" w:hAnsi="Times New Roman" w:cs="Times New Roman"/>
          <w:noProof/>
          <w:sz w:val="24"/>
        </w:rPr>
      </w:pPr>
      <w:r w:rsidRPr="00A650D0">
        <w:rPr>
          <w:rFonts w:ascii="Times New Roman" w:hAnsi="Times New Roman" w:cs="Times New Roman"/>
          <w:noProof/>
          <w:sz w:val="24"/>
        </w:rPr>
        <w:t>soutiendra la mise en œuvre de la directive relative à l’égalité raciale, notamment en publiant un rapport mettant l’accent sur son exécution et son application dans les cas de discrimination algorithmique;</w:t>
      </w:r>
    </w:p>
    <w:p w14:paraId="36B70412" w14:textId="45120998" w:rsidR="003314C6" w:rsidRPr="00A650D0" w:rsidRDefault="003314C6" w:rsidP="00F00E7F">
      <w:pPr>
        <w:pStyle w:val="ListParagraph"/>
        <w:numPr>
          <w:ilvl w:val="0"/>
          <w:numId w:val="6"/>
        </w:numPr>
        <w:pBdr>
          <w:top w:val="single" w:sz="4" w:space="1" w:color="auto"/>
          <w:left w:val="single" w:sz="4" w:space="4" w:color="auto"/>
          <w:bottom w:val="single" w:sz="4" w:space="0" w:color="auto"/>
          <w:right w:val="single" w:sz="4" w:space="4" w:color="auto"/>
        </w:pBdr>
        <w:spacing w:line="240" w:lineRule="auto"/>
        <w:ind w:left="284" w:hanging="284"/>
        <w:jc w:val="both"/>
        <w:rPr>
          <w:rFonts w:ascii="Times New Roman" w:hAnsi="Times New Roman" w:cs="Times New Roman"/>
          <w:noProof/>
          <w:sz w:val="24"/>
        </w:rPr>
      </w:pPr>
      <w:r w:rsidRPr="00A650D0">
        <w:rPr>
          <w:rFonts w:ascii="Times New Roman" w:hAnsi="Times New Roman" w:cs="Times New Roman"/>
          <w:noProof/>
          <w:sz w:val="24"/>
        </w:rPr>
        <w:t>soutiendra la mise en œuvre du règlement sur l’IA afin de lutter contre les risques de préjugés raciaux et de discrimination;</w:t>
      </w:r>
    </w:p>
    <w:p w14:paraId="52E936C0" w14:textId="3F48D1AD" w:rsidR="000E3139" w:rsidRPr="00A650D0" w:rsidRDefault="00E769EA" w:rsidP="00F00E7F">
      <w:pPr>
        <w:pStyle w:val="ListParagraph"/>
        <w:numPr>
          <w:ilvl w:val="0"/>
          <w:numId w:val="6"/>
        </w:numPr>
        <w:pBdr>
          <w:top w:val="single" w:sz="4" w:space="1" w:color="auto"/>
          <w:left w:val="single" w:sz="4" w:space="4" w:color="auto"/>
          <w:bottom w:val="single" w:sz="4" w:space="0" w:color="auto"/>
          <w:right w:val="single" w:sz="4" w:space="4" w:color="auto"/>
        </w:pBdr>
        <w:spacing w:line="240" w:lineRule="auto"/>
        <w:ind w:left="284" w:hanging="284"/>
        <w:jc w:val="both"/>
        <w:rPr>
          <w:rFonts w:ascii="Times New Roman" w:hAnsi="Times New Roman" w:cs="Times New Roman"/>
          <w:noProof/>
          <w:sz w:val="24"/>
        </w:rPr>
      </w:pPr>
      <w:r w:rsidRPr="00A650D0">
        <w:rPr>
          <w:rFonts w:ascii="Times New Roman" w:hAnsi="Times New Roman" w:cs="Times New Roman"/>
          <w:noProof/>
          <w:sz w:val="24"/>
        </w:rPr>
        <w:t>envisagera d’élaborer une initiative législative visant à harmoniser les définitions des infractions à caractère haineux commises en ligne;</w:t>
      </w:r>
    </w:p>
    <w:p w14:paraId="06654A22" w14:textId="45998EFF" w:rsidR="00320D41" w:rsidRPr="00A650D0" w:rsidRDefault="00320D41" w:rsidP="00F00E7F">
      <w:pPr>
        <w:pStyle w:val="ListParagraph"/>
        <w:numPr>
          <w:ilvl w:val="0"/>
          <w:numId w:val="6"/>
        </w:numPr>
        <w:pBdr>
          <w:top w:val="single" w:sz="4" w:space="1" w:color="auto"/>
          <w:left w:val="single" w:sz="4" w:space="4" w:color="auto"/>
          <w:bottom w:val="single" w:sz="4" w:space="0" w:color="auto"/>
          <w:right w:val="single" w:sz="4" w:space="4" w:color="auto"/>
        </w:pBdr>
        <w:spacing w:line="240" w:lineRule="auto"/>
        <w:ind w:left="284" w:hanging="284"/>
        <w:jc w:val="both"/>
        <w:rPr>
          <w:rFonts w:ascii="Times New Roman" w:hAnsi="Times New Roman" w:cs="Times New Roman"/>
          <w:noProof/>
          <w:sz w:val="24"/>
        </w:rPr>
      </w:pPr>
      <w:r w:rsidRPr="00A650D0">
        <w:rPr>
          <w:rFonts w:ascii="Times New Roman" w:hAnsi="Times New Roman" w:cs="Times New Roman"/>
          <w:noProof/>
          <w:sz w:val="24"/>
        </w:rPr>
        <w:t>accompagnera la transposition et la mise en œuvre de la directive révisée sur les droits des victimes en renforçant ces droits, y compris ceux des victimes de crimes de haine à caractère raciste;</w:t>
      </w:r>
    </w:p>
    <w:p w14:paraId="35F2070B" w14:textId="5ECB8150" w:rsidR="00632BA5" w:rsidRPr="00A650D0" w:rsidRDefault="00632BA5" w:rsidP="00F00E7F">
      <w:pPr>
        <w:pStyle w:val="ListParagraph"/>
        <w:numPr>
          <w:ilvl w:val="0"/>
          <w:numId w:val="6"/>
        </w:numPr>
        <w:pBdr>
          <w:top w:val="single" w:sz="4" w:space="1" w:color="auto"/>
          <w:left w:val="single" w:sz="4" w:space="4" w:color="auto"/>
          <w:bottom w:val="single" w:sz="4" w:space="0" w:color="auto"/>
          <w:right w:val="single" w:sz="4" w:space="4" w:color="auto"/>
        </w:pBdr>
        <w:spacing w:line="240" w:lineRule="auto"/>
        <w:ind w:left="284" w:hanging="284"/>
        <w:jc w:val="both"/>
        <w:rPr>
          <w:rFonts w:ascii="Times New Roman" w:hAnsi="Times New Roman" w:cs="Times New Roman"/>
          <w:noProof/>
          <w:sz w:val="24"/>
        </w:rPr>
      </w:pPr>
      <w:r w:rsidRPr="00A650D0">
        <w:rPr>
          <w:rFonts w:ascii="Times New Roman" w:hAnsi="Times New Roman" w:cs="Times New Roman"/>
          <w:noProof/>
          <w:sz w:val="24"/>
        </w:rPr>
        <w:t>élaborera un recueil de bonnes pratiques visant à prévenir les pratiques de profilage discriminatoires.</w:t>
      </w:r>
    </w:p>
    <w:p w14:paraId="1C92D5B1" w14:textId="7351FC6B" w:rsidR="007814E5" w:rsidRPr="00A650D0" w:rsidRDefault="007814E5" w:rsidP="00493190">
      <w:pPr>
        <w:pBdr>
          <w:top w:val="single" w:sz="4" w:space="1" w:color="auto"/>
          <w:left w:val="single" w:sz="4" w:space="4" w:color="auto"/>
          <w:bottom w:val="single" w:sz="4" w:space="0" w:color="auto"/>
          <w:right w:val="single" w:sz="4" w:space="4" w:color="auto"/>
        </w:pBdr>
        <w:tabs>
          <w:tab w:val="left" w:pos="426"/>
        </w:tabs>
        <w:spacing w:line="240" w:lineRule="auto"/>
        <w:jc w:val="both"/>
        <w:rPr>
          <w:rFonts w:ascii="Times New Roman" w:hAnsi="Times New Roman" w:cs="Times New Roman"/>
          <w:b/>
          <w:noProof/>
          <w:sz w:val="24"/>
        </w:rPr>
      </w:pPr>
      <w:r w:rsidRPr="00A650D0">
        <w:rPr>
          <w:rFonts w:ascii="Times New Roman" w:hAnsi="Times New Roman" w:cs="Times New Roman"/>
          <w:b/>
          <w:noProof/>
          <w:sz w:val="24"/>
        </w:rPr>
        <w:t>Les États membres sont encouragés à:</w:t>
      </w:r>
    </w:p>
    <w:p w14:paraId="201E3F52" w14:textId="6A673E1E" w:rsidR="00D855CC" w:rsidRPr="00A650D0" w:rsidRDefault="00D855CC" w:rsidP="00493190">
      <w:pPr>
        <w:pStyle w:val="ListParagraph"/>
        <w:numPr>
          <w:ilvl w:val="0"/>
          <w:numId w:val="7"/>
        </w:numPr>
        <w:pBdr>
          <w:top w:val="single" w:sz="4" w:space="1" w:color="auto"/>
          <w:left w:val="single" w:sz="4" w:space="4" w:color="auto"/>
          <w:bottom w:val="single" w:sz="4" w:space="0" w:color="auto"/>
          <w:right w:val="single" w:sz="4" w:space="4" w:color="auto"/>
        </w:pBdr>
        <w:spacing w:line="240" w:lineRule="auto"/>
        <w:ind w:left="284" w:hanging="284"/>
        <w:jc w:val="both"/>
        <w:rPr>
          <w:rFonts w:ascii="Times New Roman" w:hAnsi="Times New Roman" w:cs="Times New Roman"/>
          <w:noProof/>
          <w:sz w:val="24"/>
        </w:rPr>
      </w:pPr>
      <w:r w:rsidRPr="00A650D0">
        <w:rPr>
          <w:rFonts w:ascii="Times New Roman" w:hAnsi="Times New Roman" w:cs="Times New Roman"/>
          <w:noProof/>
          <w:sz w:val="24"/>
        </w:rPr>
        <w:t xml:space="preserve">faire appliquer de manière plus rigoureuse la législation de l’UE sur les infractions à caractère haineux et la non-discrimination, notamment en renforçant les régimes de sanctions; </w:t>
      </w:r>
    </w:p>
    <w:p w14:paraId="759EB173" w14:textId="2F0FA3C8" w:rsidR="00632BA5" w:rsidRPr="00A650D0" w:rsidRDefault="00D855CC" w:rsidP="0009184B">
      <w:pPr>
        <w:pStyle w:val="ListParagraph"/>
        <w:numPr>
          <w:ilvl w:val="0"/>
          <w:numId w:val="7"/>
        </w:numPr>
        <w:pBdr>
          <w:top w:val="single" w:sz="4" w:space="1" w:color="auto"/>
          <w:left w:val="single" w:sz="4" w:space="4" w:color="auto"/>
          <w:bottom w:val="single" w:sz="4" w:space="0" w:color="auto"/>
          <w:right w:val="single" w:sz="4" w:space="4" w:color="auto"/>
        </w:pBdr>
        <w:spacing w:line="240" w:lineRule="auto"/>
        <w:ind w:left="284" w:hanging="284"/>
        <w:jc w:val="both"/>
        <w:rPr>
          <w:rFonts w:ascii="Times New Roman" w:hAnsi="Times New Roman" w:cs="Times New Roman"/>
          <w:noProof/>
          <w:sz w:val="24"/>
        </w:rPr>
      </w:pPr>
      <w:r w:rsidRPr="00A650D0">
        <w:rPr>
          <w:rFonts w:ascii="Times New Roman" w:hAnsi="Times New Roman" w:cs="Times New Roman"/>
          <w:noProof/>
          <w:sz w:val="24"/>
        </w:rPr>
        <w:t>intensifier les efforts qu’ils déploient pour lutter contre les infractions à caractère haineux commises en ligne, y compris celles à caractère raciste</w:t>
      </w:r>
      <w:bookmarkEnd w:id="13"/>
      <w:r w:rsidRPr="00A650D0">
        <w:rPr>
          <w:rFonts w:ascii="Times New Roman" w:hAnsi="Times New Roman" w:cs="Times New Roman"/>
          <w:noProof/>
          <w:sz w:val="24"/>
        </w:rPr>
        <w:t>;</w:t>
      </w:r>
    </w:p>
    <w:p w14:paraId="5E76869E" w14:textId="0C60D799" w:rsidR="00632BA5" w:rsidRPr="00A650D0" w:rsidRDefault="00632BA5" w:rsidP="00BB2741">
      <w:pPr>
        <w:pStyle w:val="ListParagraph"/>
        <w:numPr>
          <w:ilvl w:val="0"/>
          <w:numId w:val="7"/>
        </w:numPr>
        <w:pBdr>
          <w:top w:val="single" w:sz="4" w:space="1" w:color="auto"/>
          <w:left w:val="single" w:sz="4" w:space="4" w:color="auto"/>
          <w:bottom w:val="single" w:sz="4" w:space="0" w:color="auto"/>
          <w:right w:val="single" w:sz="4" w:space="4" w:color="auto"/>
        </w:pBdr>
        <w:spacing w:line="240" w:lineRule="auto"/>
        <w:ind w:left="284" w:hanging="284"/>
        <w:jc w:val="both"/>
        <w:rPr>
          <w:rFonts w:ascii="Times New Roman" w:hAnsi="Times New Roman" w:cs="Times New Roman"/>
          <w:noProof/>
          <w:sz w:val="24"/>
        </w:rPr>
      </w:pPr>
      <w:r w:rsidRPr="00A650D0">
        <w:rPr>
          <w:rFonts w:ascii="Times New Roman" w:hAnsi="Times New Roman" w:cs="Times New Roman"/>
          <w:noProof/>
          <w:sz w:val="24"/>
        </w:rPr>
        <w:t>mettre en place des programmes de formation complets visant à aider les fonctionnaires à reconnaître et à combattre les préjugés raciaux;</w:t>
      </w:r>
    </w:p>
    <w:p w14:paraId="6BEDE2A0" w14:textId="5FE6E5EA" w:rsidR="00632BA5" w:rsidRPr="00A650D0" w:rsidRDefault="00774CFE" w:rsidP="00632BA5">
      <w:pPr>
        <w:pStyle w:val="ListParagraph"/>
        <w:numPr>
          <w:ilvl w:val="0"/>
          <w:numId w:val="7"/>
        </w:numPr>
        <w:pBdr>
          <w:top w:val="single" w:sz="4" w:space="1" w:color="auto"/>
          <w:left w:val="single" w:sz="4" w:space="4" w:color="auto"/>
          <w:bottom w:val="single" w:sz="4" w:space="0" w:color="auto"/>
          <w:right w:val="single" w:sz="4" w:space="4" w:color="auto"/>
        </w:pBdr>
        <w:spacing w:line="240" w:lineRule="auto"/>
        <w:ind w:left="284" w:hanging="284"/>
        <w:jc w:val="both"/>
        <w:rPr>
          <w:rFonts w:ascii="Times New Roman" w:hAnsi="Times New Roman" w:cs="Times New Roman"/>
          <w:noProof/>
          <w:sz w:val="24"/>
        </w:rPr>
      </w:pPr>
      <w:r w:rsidRPr="00A650D0">
        <w:rPr>
          <w:rFonts w:ascii="Times New Roman" w:hAnsi="Times New Roman" w:cs="Times New Roman"/>
          <w:noProof/>
          <w:sz w:val="24"/>
        </w:rPr>
        <w:t>veiller à ce que leurs pratiques policières soient équitables et objectives, et à ce que des mesures disciplinaires soient mises en place en cas de non-respect.</w:t>
      </w:r>
    </w:p>
    <w:p w14:paraId="1E28EC4E" w14:textId="77777777" w:rsidR="000E3139" w:rsidRPr="00A650D0" w:rsidRDefault="000E3139">
      <w:pPr>
        <w:spacing w:after="0" w:line="240" w:lineRule="auto"/>
        <w:rPr>
          <w:rFonts w:ascii="Times New Roman" w:hAnsi="Times New Roman" w:cs="Times New Roman"/>
          <w:b/>
          <w:bCs/>
          <w:noProof/>
          <w:sz w:val="24"/>
          <w:szCs w:val="24"/>
        </w:rPr>
      </w:pPr>
    </w:p>
    <w:p w14:paraId="0C508716" w14:textId="403DD6FB" w:rsidR="00BF6E0E" w:rsidRPr="00A650D0" w:rsidRDefault="003E70D4" w:rsidP="009C69FB">
      <w:pPr>
        <w:spacing w:after="0" w:line="240" w:lineRule="auto"/>
        <w:rPr>
          <w:rFonts w:ascii="Times New Roman" w:hAnsi="Times New Roman" w:cs="Times New Roman"/>
          <w:noProof/>
          <w:sz w:val="24"/>
          <w:szCs w:val="24"/>
        </w:rPr>
      </w:pPr>
      <w:r w:rsidRPr="00A650D0">
        <w:rPr>
          <w:rFonts w:ascii="Times New Roman" w:hAnsi="Times New Roman" w:cs="Times New Roman"/>
          <w:b/>
          <w:noProof/>
          <w:sz w:val="24"/>
        </w:rPr>
        <w:t>CHAPITRE III –</w:t>
      </w:r>
      <w:bookmarkStart w:id="14" w:name="_Hlk209379457"/>
      <w:r w:rsidRPr="00A650D0">
        <w:rPr>
          <w:rFonts w:ascii="Times New Roman" w:hAnsi="Times New Roman" w:cs="Times New Roman"/>
          <w:b/>
          <w:noProof/>
          <w:sz w:val="24"/>
        </w:rPr>
        <w:t xml:space="preserve"> </w:t>
      </w:r>
      <w:bookmarkEnd w:id="14"/>
      <w:r w:rsidRPr="00A650D0">
        <w:rPr>
          <w:rFonts w:ascii="Times New Roman" w:hAnsi="Times New Roman" w:cs="Times New Roman"/>
          <w:b/>
          <w:noProof/>
          <w:sz w:val="24"/>
        </w:rPr>
        <w:t xml:space="preserve">RENFORCER L’ÉGALITÉ ET LA COHÉSION SOCIALES </w:t>
      </w:r>
    </w:p>
    <w:p w14:paraId="085B0287" w14:textId="4A780857" w:rsidR="00BF6E0E" w:rsidRPr="00A650D0" w:rsidRDefault="171E31D5" w:rsidP="00C62621">
      <w:pPr>
        <w:numPr>
          <w:ilvl w:val="0"/>
          <w:numId w:val="8"/>
        </w:numPr>
        <w:spacing w:before="160" w:line="240" w:lineRule="auto"/>
        <w:ind w:left="357" w:hanging="357"/>
        <w:jc w:val="both"/>
        <w:rPr>
          <w:rFonts w:ascii="Times New Roman" w:eastAsia="Times New Roman" w:hAnsi="Times New Roman" w:cs="Times New Roman"/>
          <w:i/>
          <w:iCs/>
          <w:noProof/>
          <w:color w:val="000000" w:themeColor="text1"/>
          <w:sz w:val="24"/>
          <w:szCs w:val="24"/>
        </w:rPr>
      </w:pPr>
      <w:r w:rsidRPr="00A650D0">
        <w:rPr>
          <w:rFonts w:ascii="Times New Roman" w:hAnsi="Times New Roman" w:cs="Times New Roman"/>
          <w:i/>
          <w:noProof/>
          <w:color w:val="000000" w:themeColor="text1"/>
          <w:sz w:val="24"/>
        </w:rPr>
        <w:t>Plus de trois Européens sur dix ont mentionné la couleur de peau (39 %) ou l’origine ethnique (34 %) comme principal facteur de désavantage pour les candidats à un emploi</w:t>
      </w:r>
      <w:r w:rsidRPr="00A650D0">
        <w:rPr>
          <w:rStyle w:val="FootnoteReference"/>
          <w:rFonts w:ascii="Times New Roman" w:eastAsia="Times New Roman" w:hAnsi="Times New Roman" w:cs="Times New Roman"/>
          <w:i/>
          <w:iCs/>
          <w:noProof/>
          <w:color w:val="000000" w:themeColor="text1"/>
          <w:sz w:val="24"/>
          <w:szCs w:val="24"/>
          <w:lang w:val="de-DE"/>
        </w:rPr>
        <w:footnoteReference w:id="33"/>
      </w:r>
      <w:r w:rsidRPr="00A650D0">
        <w:rPr>
          <w:rFonts w:ascii="Times New Roman" w:hAnsi="Times New Roman" w:cs="Times New Roman"/>
          <w:i/>
          <w:noProof/>
          <w:color w:val="000000" w:themeColor="text1"/>
          <w:sz w:val="24"/>
        </w:rPr>
        <w:t>.</w:t>
      </w:r>
    </w:p>
    <w:p w14:paraId="267CBCFA" w14:textId="4CD633F8" w:rsidR="00BF6E0E" w:rsidRPr="00A650D0" w:rsidRDefault="00077B43" w:rsidP="00BF3DB3">
      <w:pPr>
        <w:numPr>
          <w:ilvl w:val="0"/>
          <w:numId w:val="8"/>
        </w:numPr>
        <w:spacing w:line="240" w:lineRule="auto"/>
        <w:jc w:val="both"/>
        <w:rPr>
          <w:rFonts w:ascii="Times New Roman" w:eastAsia="Times New Roman" w:hAnsi="Times New Roman" w:cs="Times New Roman"/>
          <w:i/>
          <w:iCs/>
          <w:noProof/>
          <w:color w:val="000000" w:themeColor="text1"/>
          <w:sz w:val="24"/>
          <w:szCs w:val="24"/>
        </w:rPr>
      </w:pPr>
      <w:r w:rsidRPr="00A650D0">
        <w:rPr>
          <w:rFonts w:ascii="Times New Roman" w:hAnsi="Times New Roman" w:cs="Times New Roman"/>
          <w:i/>
          <w:noProof/>
          <w:color w:val="000000" w:themeColor="text1"/>
          <w:sz w:val="24"/>
        </w:rPr>
        <w:t>Un enfant rom ou issu des Gens du voyage sur deux (46 %) est scolarisé dans une école où la totalité ou la plupart des élèves sont roms ou issus des Gens du voyage</w:t>
      </w:r>
      <w:r w:rsidRPr="00A650D0">
        <w:rPr>
          <w:rStyle w:val="FootnoteReference"/>
          <w:rFonts w:ascii="Times New Roman" w:eastAsia="Times New Roman" w:hAnsi="Times New Roman" w:cs="Times New Roman"/>
          <w:i/>
          <w:iCs/>
          <w:noProof/>
          <w:color w:val="000000" w:themeColor="text1"/>
          <w:sz w:val="24"/>
          <w:szCs w:val="24"/>
          <w:lang w:val="de-DE"/>
        </w:rPr>
        <w:footnoteReference w:id="34"/>
      </w:r>
      <w:r w:rsidRPr="00A650D0">
        <w:rPr>
          <w:rFonts w:ascii="Times New Roman" w:hAnsi="Times New Roman" w:cs="Times New Roman"/>
          <w:i/>
          <w:noProof/>
          <w:color w:val="000000" w:themeColor="text1"/>
          <w:sz w:val="24"/>
        </w:rPr>
        <w:t>.</w:t>
      </w:r>
    </w:p>
    <w:p w14:paraId="61ECFD03" w14:textId="7175FAE8" w:rsidR="00E06D6C" w:rsidRPr="00A650D0" w:rsidRDefault="171E31D5" w:rsidP="00BF3DB3">
      <w:pPr>
        <w:numPr>
          <w:ilvl w:val="0"/>
          <w:numId w:val="8"/>
        </w:numPr>
        <w:spacing w:line="240" w:lineRule="auto"/>
        <w:jc w:val="both"/>
        <w:rPr>
          <w:rFonts w:ascii="Times New Roman" w:eastAsia="Times New Roman" w:hAnsi="Times New Roman" w:cs="Times New Roman"/>
          <w:i/>
          <w:iCs/>
          <w:noProof/>
          <w:color w:val="000000" w:themeColor="text1"/>
          <w:sz w:val="24"/>
          <w:szCs w:val="24"/>
        </w:rPr>
      </w:pPr>
      <w:r w:rsidRPr="00A650D0">
        <w:rPr>
          <w:rFonts w:ascii="Times New Roman" w:hAnsi="Times New Roman" w:cs="Times New Roman"/>
          <w:i/>
          <w:noProof/>
          <w:color w:val="000000" w:themeColor="text1"/>
          <w:sz w:val="24"/>
        </w:rPr>
        <w:t>40 % des musulmans dans l’UE vivent dans des logements surpeuplés, ce qui représente plus du double du taux correspondant pour la population générale de l’UE (17 %)</w:t>
      </w:r>
      <w:r w:rsidRPr="00A650D0">
        <w:rPr>
          <w:rStyle w:val="FootnoteReference"/>
          <w:rFonts w:ascii="Times New Roman" w:eastAsia="Times New Roman" w:hAnsi="Times New Roman" w:cs="Times New Roman"/>
          <w:i/>
          <w:iCs/>
          <w:noProof/>
          <w:color w:val="000000" w:themeColor="text1"/>
          <w:sz w:val="24"/>
          <w:szCs w:val="24"/>
        </w:rPr>
        <w:footnoteReference w:id="35"/>
      </w:r>
      <w:r w:rsidRPr="00A650D0">
        <w:rPr>
          <w:rFonts w:ascii="Times New Roman" w:hAnsi="Times New Roman" w:cs="Times New Roman"/>
          <w:i/>
          <w:noProof/>
          <w:color w:val="000000" w:themeColor="text1"/>
          <w:sz w:val="24"/>
        </w:rPr>
        <w:t>.</w:t>
      </w:r>
    </w:p>
    <w:p w14:paraId="15777BB6" w14:textId="47508ABA" w:rsidR="00907EFF" w:rsidRPr="00A650D0" w:rsidRDefault="59398FE5" w:rsidP="00F21377">
      <w:pPr>
        <w:spacing w:line="240" w:lineRule="auto"/>
        <w:jc w:val="both"/>
        <w:rPr>
          <w:rFonts w:ascii="Times New Roman" w:eastAsia="Times New Roman" w:hAnsi="Times New Roman" w:cs="Times New Roman"/>
          <w:noProof/>
          <w:color w:val="000000" w:themeColor="text1"/>
          <w:sz w:val="24"/>
          <w:szCs w:val="24"/>
        </w:rPr>
      </w:pPr>
      <w:r w:rsidRPr="00A650D0">
        <w:rPr>
          <w:rFonts w:ascii="Times New Roman" w:hAnsi="Times New Roman" w:cs="Times New Roman"/>
          <w:noProof/>
          <w:color w:val="000000" w:themeColor="text1"/>
          <w:sz w:val="24"/>
        </w:rPr>
        <w:t>Les personnes victimes de racisme peuvent faire l’objet de discriminations dans des domaines fondamentaux de la vie tels que l’éducation, l’emploi, le logement, les soins de santé et la protection sociale. Cet effet cumulatif du racisme a un impact négatif sur l’accès des personnes concernées à l’égalité des chances tout au long de leur vie</w:t>
      </w:r>
      <w:r w:rsidRPr="00A650D0">
        <w:rPr>
          <w:rStyle w:val="FootnoteReference"/>
          <w:rFonts w:ascii="Times New Roman" w:eastAsia="Times New Roman" w:hAnsi="Times New Roman" w:cs="Times New Roman"/>
          <w:noProof/>
          <w:color w:val="000000" w:themeColor="text1"/>
          <w:sz w:val="24"/>
          <w:szCs w:val="24"/>
        </w:rPr>
        <w:footnoteReference w:id="36"/>
      </w:r>
      <w:r w:rsidRPr="00A650D0">
        <w:rPr>
          <w:rFonts w:ascii="Times New Roman" w:hAnsi="Times New Roman" w:cs="Times New Roman"/>
          <w:noProof/>
          <w:color w:val="000000" w:themeColor="text1"/>
          <w:sz w:val="24"/>
        </w:rPr>
        <w:t>.</w:t>
      </w:r>
      <w:r w:rsidRPr="00A650D0">
        <w:rPr>
          <w:rStyle w:val="FootnoteReference"/>
          <w:rFonts w:ascii="Times New Roman" w:hAnsi="Times New Roman" w:cs="Times New Roman"/>
          <w:noProof/>
          <w:color w:val="000000" w:themeColor="text1"/>
          <w:sz w:val="24"/>
        </w:rPr>
        <w:t xml:space="preserve"> </w:t>
      </w:r>
      <w:r w:rsidRPr="00A650D0">
        <w:rPr>
          <w:rFonts w:ascii="Times New Roman" w:hAnsi="Times New Roman" w:cs="Times New Roman"/>
          <w:noProof/>
        </w:rPr>
        <w:t xml:space="preserve">Cela va à l’encontre des </w:t>
      </w:r>
      <w:r w:rsidRPr="00A650D0">
        <w:rPr>
          <w:rFonts w:ascii="Times New Roman" w:hAnsi="Times New Roman" w:cs="Times New Roman"/>
          <w:noProof/>
          <w:sz w:val="24"/>
          <w:szCs w:val="24"/>
        </w:rPr>
        <w:t xml:space="preserve">valeurs de l’UE consacrées dans les traités et dans le </w:t>
      </w:r>
      <w:hyperlink r:id="rId64" w:tgtFrame="_blank" w:tooltip="https://commission.europa.eu/document/download/e03c60e7-4139-430b-9216-3340f7c73c20_en?filename=social-summit-european-pillar-social-rights-booklet_en.pdf" w:history="1">
        <w:r w:rsidRPr="00A650D0">
          <w:rPr>
            <w:rStyle w:val="Hyperlink"/>
            <w:rFonts w:ascii="Times New Roman" w:hAnsi="Times New Roman" w:cs="Times New Roman"/>
            <w:noProof/>
            <w:sz w:val="24"/>
            <w:szCs w:val="24"/>
          </w:rPr>
          <w:t>socle européen des droits sociaux</w:t>
        </w:r>
      </w:hyperlink>
      <w:r w:rsidRPr="00A650D0">
        <w:rPr>
          <w:rFonts w:ascii="Times New Roman" w:hAnsi="Times New Roman" w:cs="Times New Roman"/>
          <w:noProof/>
          <w:sz w:val="24"/>
          <w:szCs w:val="24"/>
        </w:rPr>
        <w:t>, qui promeut une société inclusive et une économie sociale de marché compétitive qui garantit des emplois, des conditions de travail équitables et une protection sociale pour tous.</w:t>
      </w:r>
    </w:p>
    <w:p w14:paraId="2044F58E" w14:textId="44CBFA92" w:rsidR="00BF6E0E" w:rsidRPr="00A650D0" w:rsidRDefault="00FA62CD" w:rsidP="008E33D7">
      <w:pPr>
        <w:spacing w:line="240" w:lineRule="auto"/>
        <w:jc w:val="both"/>
        <w:rPr>
          <w:rFonts w:ascii="Times New Roman" w:hAnsi="Times New Roman" w:cs="Times New Roman"/>
          <w:b/>
          <w:i/>
          <w:noProof/>
          <w:sz w:val="24"/>
        </w:rPr>
      </w:pPr>
      <w:r w:rsidRPr="00A650D0">
        <w:rPr>
          <w:rFonts w:ascii="Times New Roman" w:hAnsi="Times New Roman" w:cs="Times New Roman"/>
          <w:b/>
          <w:i/>
          <w:noProof/>
          <w:sz w:val="24"/>
        </w:rPr>
        <w:t>L’éducation et la culture inclusives en tant que catalyseur de l’égalité et de la compétitivité sociales</w:t>
      </w:r>
    </w:p>
    <w:p w14:paraId="2F842509" w14:textId="50947D98" w:rsidR="00EA76A6" w:rsidRPr="00A650D0" w:rsidRDefault="007D0822" w:rsidP="00DF541A">
      <w:pPr>
        <w:spacing w:line="240" w:lineRule="auto"/>
        <w:jc w:val="both"/>
        <w:rPr>
          <w:rFonts w:ascii="Times New Roman" w:hAnsi="Times New Roman" w:cs="Times New Roman"/>
          <w:noProof/>
          <w:sz w:val="24"/>
          <w:szCs w:val="24"/>
        </w:rPr>
      </w:pPr>
      <w:r w:rsidRPr="00A650D0">
        <w:rPr>
          <w:rFonts w:ascii="Times New Roman" w:hAnsi="Times New Roman" w:cs="Times New Roman"/>
          <w:noProof/>
          <w:sz w:val="24"/>
          <w:szCs w:val="24"/>
        </w:rPr>
        <w:t>L’</w:t>
      </w:r>
      <w:hyperlink r:id="rId65" w:history="1">
        <w:r w:rsidRPr="00A650D0">
          <w:rPr>
            <w:rStyle w:val="Hyperlink"/>
            <w:rFonts w:ascii="Times New Roman" w:hAnsi="Times New Roman" w:cs="Times New Roman"/>
            <w:noProof/>
            <w:sz w:val="24"/>
            <w:szCs w:val="24"/>
          </w:rPr>
          <w:t>union des compétences</w:t>
        </w:r>
      </w:hyperlink>
      <w:r w:rsidRPr="00A650D0">
        <w:rPr>
          <w:rFonts w:ascii="Times New Roman" w:hAnsi="Times New Roman" w:cs="Times New Roman"/>
          <w:noProof/>
          <w:sz w:val="24"/>
          <w:szCs w:val="24"/>
        </w:rPr>
        <w:t xml:space="preserve"> a pour objectif de soutenir les systèmes d’éducation et de formation afin de garantir l’égalité des chances pour tous, quelle que soit leur origine. Investir dans une population et une main-d’œuvre bien formées revient à investir dans la compétitivité, la croissance économique et inclusive ainsi que la cohésion sociale et territoriale de l’UE. </w:t>
      </w:r>
    </w:p>
    <w:p w14:paraId="264F55B4" w14:textId="77777777" w:rsidR="00EA76A6" w:rsidRPr="00A650D0" w:rsidRDefault="00EA76A6" w:rsidP="00995373">
      <w:pPr>
        <w:spacing w:line="240" w:lineRule="auto"/>
        <w:jc w:val="both"/>
        <w:rPr>
          <w:rFonts w:ascii="Times New Roman" w:hAnsi="Times New Roman" w:cs="Times New Roman"/>
          <w:noProof/>
          <w:sz w:val="24"/>
          <w:szCs w:val="24"/>
        </w:rPr>
      </w:pPr>
    </w:p>
    <w:p w14:paraId="5D2576B2" w14:textId="3420F573" w:rsidR="00A73EFE" w:rsidRPr="00A650D0" w:rsidRDefault="171E31D5" w:rsidP="00995373">
      <w:pPr>
        <w:spacing w:line="240" w:lineRule="auto"/>
        <w:jc w:val="both"/>
        <w:rPr>
          <w:rFonts w:ascii="Times New Roman" w:hAnsi="Times New Roman" w:cs="Times New Roman"/>
          <w:noProof/>
          <w:sz w:val="24"/>
          <w:szCs w:val="24"/>
        </w:rPr>
      </w:pPr>
      <w:r w:rsidRPr="00A650D0">
        <w:rPr>
          <w:rFonts w:ascii="Times New Roman" w:hAnsi="Times New Roman" w:cs="Times New Roman"/>
          <w:noProof/>
          <w:sz w:val="24"/>
        </w:rPr>
        <w:t>L’éducation joue un rôle essentiel dans la promotion de la mobilité sociale et peut être un puissant facteur d’égalisation des chances. Il s’agit en premier lieu d’acquérir les compétences de base: lecture et écriture, mathématiques, sciences, compétences numériques et éducation à la citoyenneté. L’introduction de l’éducation à la citoyenneté dès le plus jeune âge est essentielle pour favoriser l’ouverture d’esprit des jeunes apprenants et, partant, valoriser la diversité et renforcer le respect mutuel, conformément aux valeurs européennes fondamentales. L’art, la culture et le sport sont également importants pour mobiliser la société contre le racisme et promouvoir le respect, l’inclusion et l’égalité.</w:t>
      </w:r>
    </w:p>
    <w:p w14:paraId="7ABA1990" w14:textId="4188DCAE" w:rsidR="00487315" w:rsidRPr="00A650D0" w:rsidRDefault="00A67A25" w:rsidP="00C90741">
      <w:pPr>
        <w:spacing w:line="240" w:lineRule="auto"/>
        <w:jc w:val="both"/>
        <w:rPr>
          <w:rFonts w:ascii="Times New Roman" w:eastAsia="Times New Roman" w:hAnsi="Times New Roman" w:cs="Times New Roman"/>
          <w:noProof/>
          <w:color w:val="000000" w:themeColor="text1"/>
          <w:sz w:val="24"/>
          <w:szCs w:val="24"/>
        </w:rPr>
      </w:pPr>
      <w:r w:rsidRPr="00A650D0">
        <w:rPr>
          <w:rFonts w:ascii="Times New Roman" w:hAnsi="Times New Roman" w:cs="Times New Roman"/>
          <w:noProof/>
          <w:sz w:val="24"/>
        </w:rPr>
        <w:t>Les étudiants issus d’une minorité raciale ou ethnique peuvent être confrontés à la ségrégation et à des obstacles dans l’accès à une éducation de qualité, ce qui a une incidence négative sur leur réussite scolaire et leur transition vers le marché du travail</w:t>
      </w:r>
      <w:r w:rsidRPr="00A650D0">
        <w:rPr>
          <w:rStyle w:val="FootnoteReference"/>
          <w:rFonts w:ascii="Times New Roman" w:hAnsi="Times New Roman" w:cs="Times New Roman"/>
          <w:noProof/>
          <w:sz w:val="24"/>
          <w:szCs w:val="24"/>
        </w:rPr>
        <w:footnoteReference w:id="37"/>
      </w:r>
      <w:r w:rsidRPr="00A650D0">
        <w:rPr>
          <w:rFonts w:ascii="Times New Roman" w:hAnsi="Times New Roman" w:cs="Times New Roman"/>
          <w:noProof/>
          <w:sz w:val="24"/>
        </w:rPr>
        <w:t xml:space="preserve">. </w:t>
      </w:r>
      <w:r w:rsidRPr="00A650D0">
        <w:rPr>
          <w:rFonts w:ascii="Times New Roman" w:hAnsi="Times New Roman" w:cs="Times New Roman"/>
          <w:noProof/>
        </w:rPr>
        <w:t xml:space="preserve">C’est pourquoi l’équité et l’inclusion sont au cœur du </w:t>
      </w:r>
      <w:hyperlink r:id="rId66" w:history="1">
        <w:r w:rsidRPr="00A650D0">
          <w:rPr>
            <w:rStyle w:val="Hyperlink"/>
            <w:rFonts w:ascii="Times New Roman" w:hAnsi="Times New Roman" w:cs="Times New Roman"/>
            <w:noProof/>
            <w:sz w:val="24"/>
          </w:rPr>
          <w:t>cadre stratégique de l’espace européen de l’éducation</w:t>
        </w:r>
      </w:hyperlink>
      <w:r w:rsidRPr="00A650D0">
        <w:rPr>
          <w:rFonts w:ascii="Times New Roman" w:hAnsi="Times New Roman" w:cs="Times New Roman"/>
          <w:noProof/>
        </w:rPr>
        <w:t>, afin de promouvoir des environnements éducatifs inclusifs qui tirent parti de la diversité pour exploiter les talents de l’Europe et renforcer les marchés du travail.</w:t>
      </w:r>
      <w:r w:rsidRPr="00A650D0">
        <w:rPr>
          <w:rFonts w:ascii="Times New Roman" w:hAnsi="Times New Roman" w:cs="Times New Roman"/>
          <w:noProof/>
          <w:color w:val="000000" w:themeColor="text1"/>
          <w:sz w:val="24"/>
        </w:rPr>
        <w:t xml:space="preserve"> </w:t>
      </w:r>
      <w:r w:rsidRPr="00A650D0">
        <w:rPr>
          <w:rFonts w:ascii="Times New Roman" w:hAnsi="Times New Roman" w:cs="Times New Roman"/>
          <w:noProof/>
          <w:sz w:val="24"/>
        </w:rPr>
        <w:t xml:space="preserve">Le </w:t>
      </w:r>
      <w:r w:rsidRPr="00A650D0">
        <w:rPr>
          <w:rFonts w:ascii="Times New Roman" w:hAnsi="Times New Roman" w:cs="Times New Roman"/>
          <w:b/>
          <w:noProof/>
          <w:sz w:val="24"/>
        </w:rPr>
        <w:t>programme européen pour les enseignants et les formateurs</w:t>
      </w:r>
      <w:r w:rsidRPr="00A650D0">
        <w:rPr>
          <w:rFonts w:ascii="Times New Roman" w:hAnsi="Times New Roman" w:cs="Times New Roman"/>
          <w:noProof/>
          <w:sz w:val="24"/>
        </w:rPr>
        <w:t xml:space="preserve"> portera sur la formation et le perfectionnement professionnel des enseignants en matière de diversité et d’inclusion, ainsi que sur la promotion de la diversité dans la profession d’enseignant elle-même.</w:t>
      </w:r>
    </w:p>
    <w:p w14:paraId="58C0272B" w14:textId="6489E0C6" w:rsidR="00253C88" w:rsidRPr="00A650D0" w:rsidRDefault="00141688" w:rsidP="008E33D7">
      <w:pPr>
        <w:spacing w:line="240" w:lineRule="auto"/>
        <w:jc w:val="both"/>
        <w:rPr>
          <w:rFonts w:ascii="Times New Roman" w:hAnsi="Times New Roman" w:cs="Times New Roman"/>
          <w:noProof/>
          <w:sz w:val="24"/>
          <w:szCs w:val="24"/>
        </w:rPr>
      </w:pPr>
      <w:r w:rsidRPr="00A650D0">
        <w:rPr>
          <w:rFonts w:ascii="Times New Roman" w:hAnsi="Times New Roman" w:cs="Times New Roman"/>
          <w:noProof/>
          <w:color w:val="000000" w:themeColor="text1"/>
          <w:sz w:val="24"/>
        </w:rPr>
        <w:t xml:space="preserve">La Commission continuera de soutenir les réformes des États membres en matière d’éducation inclusive et de promouvoir l’équité et l’inclusion. </w:t>
      </w:r>
      <w:r w:rsidRPr="00A650D0">
        <w:rPr>
          <w:rFonts w:ascii="Times New Roman" w:hAnsi="Times New Roman" w:cs="Times New Roman"/>
          <w:noProof/>
          <w:sz w:val="24"/>
        </w:rPr>
        <w:t xml:space="preserve">Des programmes tels que </w:t>
      </w:r>
      <w:hyperlink r:id="rId67" w:history="1">
        <w:r w:rsidRPr="00A650D0">
          <w:rPr>
            <w:rStyle w:val="Hyperlink"/>
            <w:rFonts w:ascii="Times New Roman" w:hAnsi="Times New Roman" w:cs="Times New Roman"/>
            <w:noProof/>
            <w:sz w:val="24"/>
          </w:rPr>
          <w:t>Erasmus+</w:t>
        </w:r>
      </w:hyperlink>
      <w:r w:rsidRPr="00A650D0">
        <w:rPr>
          <w:rFonts w:ascii="Times New Roman" w:hAnsi="Times New Roman" w:cs="Times New Roman"/>
          <w:noProof/>
          <w:sz w:val="24"/>
        </w:rPr>
        <w:t xml:space="preserve">, </w:t>
      </w:r>
      <w:r w:rsidRPr="00A650D0">
        <w:rPr>
          <w:rFonts w:ascii="Times New Roman" w:hAnsi="Times New Roman" w:cs="Times New Roman"/>
          <w:noProof/>
        </w:rPr>
        <w:t xml:space="preserve"> le </w:t>
      </w:r>
      <w:hyperlink r:id="rId68" w:history="1">
        <w:r w:rsidRPr="00A650D0">
          <w:rPr>
            <w:rStyle w:val="Hyperlink"/>
            <w:rFonts w:ascii="Times New Roman" w:hAnsi="Times New Roman" w:cs="Times New Roman"/>
            <w:noProof/>
            <w:sz w:val="24"/>
          </w:rPr>
          <w:t>Fonds social européen plus (FSE+)</w:t>
        </w:r>
      </w:hyperlink>
      <w:r w:rsidRPr="00A650D0">
        <w:rPr>
          <w:rFonts w:ascii="Times New Roman" w:hAnsi="Times New Roman" w:cs="Times New Roman"/>
          <w:noProof/>
          <w:sz w:val="24"/>
        </w:rPr>
        <w:t xml:space="preserve"> et </w:t>
      </w:r>
      <w:hyperlink r:id="rId69" w:history="1">
        <w:r w:rsidRPr="00A650D0">
          <w:rPr>
            <w:rStyle w:val="Hyperlink"/>
            <w:rFonts w:ascii="Times New Roman" w:hAnsi="Times New Roman" w:cs="Times New Roman"/>
            <w:noProof/>
            <w:sz w:val="24"/>
          </w:rPr>
          <w:t>Horizon Europe</w:t>
        </w:r>
      </w:hyperlink>
      <w:r w:rsidRPr="00A650D0">
        <w:rPr>
          <w:rFonts w:ascii="Times New Roman" w:hAnsi="Times New Roman" w:cs="Times New Roman"/>
          <w:noProof/>
          <w:sz w:val="24"/>
        </w:rPr>
        <w:t xml:space="preserve"> soutiennent ces efforts en promouvant l’égalité d’accès à une éducation de qualité et inclusive, en </w:t>
      </w:r>
      <w:r w:rsidRPr="00A650D0">
        <w:rPr>
          <w:rFonts w:ascii="Times New Roman" w:hAnsi="Times New Roman" w:cs="Times New Roman"/>
          <w:b/>
          <w:noProof/>
          <w:sz w:val="24"/>
        </w:rPr>
        <w:t>finançant la formation des enseignants, la coopération entre écoles, des projets de mobilité à des fins d’éducation et de formation, ainsi que la recherche axée sur l’éducation inclusive</w:t>
      </w:r>
      <w:r w:rsidRPr="00A650D0">
        <w:rPr>
          <w:rFonts w:ascii="Times New Roman" w:hAnsi="Times New Roman" w:cs="Times New Roman"/>
          <w:noProof/>
        </w:rPr>
        <w:t>.</w:t>
      </w:r>
      <w:r w:rsidRPr="00A650D0">
        <w:rPr>
          <w:rFonts w:ascii="Times New Roman" w:hAnsi="Times New Roman" w:cs="Times New Roman"/>
          <w:noProof/>
          <w:sz w:val="24"/>
        </w:rPr>
        <w:t xml:space="preserve"> </w:t>
      </w:r>
      <w:bookmarkStart w:id="15" w:name="_Hlk209379499"/>
    </w:p>
    <w:p w14:paraId="7CEF06E0" w14:textId="70E589F3" w:rsidR="00BF6E0E" w:rsidRPr="00A650D0" w:rsidRDefault="00ED5D1E" w:rsidP="008E33D7">
      <w:pPr>
        <w:spacing w:line="240" w:lineRule="auto"/>
        <w:jc w:val="both"/>
        <w:rPr>
          <w:rFonts w:ascii="Times New Roman" w:hAnsi="Times New Roman" w:cs="Times New Roman"/>
          <w:b/>
          <w:i/>
          <w:noProof/>
          <w:sz w:val="24"/>
        </w:rPr>
      </w:pPr>
      <w:r w:rsidRPr="00A650D0">
        <w:rPr>
          <w:rFonts w:ascii="Times New Roman" w:hAnsi="Times New Roman" w:cs="Times New Roman"/>
          <w:b/>
          <w:i/>
          <w:noProof/>
          <w:sz w:val="24"/>
        </w:rPr>
        <w:t>Lutter contre le racisme au moyen de politiques inclusives en matière d’emploi, de logement et de santé</w:t>
      </w:r>
    </w:p>
    <w:bookmarkEnd w:id="15"/>
    <w:p w14:paraId="6DAB69FD" w14:textId="77F57D2E" w:rsidR="3184CA9C" w:rsidRPr="00A650D0" w:rsidRDefault="171E31D5" w:rsidP="00BF3DB3">
      <w:pPr>
        <w:spacing w:line="240" w:lineRule="auto"/>
        <w:jc w:val="both"/>
        <w:rPr>
          <w:rFonts w:ascii="Times New Roman" w:eastAsia="Times New Roman" w:hAnsi="Times New Roman" w:cs="Times New Roman"/>
          <w:noProof/>
          <w:color w:val="FF0000"/>
          <w:sz w:val="24"/>
          <w:szCs w:val="24"/>
        </w:rPr>
      </w:pPr>
      <w:r w:rsidRPr="00A650D0">
        <w:rPr>
          <w:rFonts w:ascii="Times New Roman" w:hAnsi="Times New Roman" w:cs="Times New Roman"/>
          <w:noProof/>
          <w:sz w:val="24"/>
        </w:rPr>
        <w:t>Dans le domaine de l’emploi, le racisme et la discrimination raciale font obstacle à l’égalité. Les demandeurs dont le nom a une consonance étrangère se heurtent souvent à des résistances pour accéder au marché du travail</w:t>
      </w:r>
      <w:r w:rsidRPr="00A650D0">
        <w:rPr>
          <w:rFonts w:ascii="Times New Roman" w:hAnsi="Times New Roman" w:cs="Times New Roman"/>
          <w:noProof/>
          <w:sz w:val="24"/>
          <w:szCs w:val="24"/>
          <w:vertAlign w:val="superscript"/>
        </w:rPr>
        <w:footnoteReference w:id="38"/>
      </w:r>
      <w:r w:rsidRPr="00A650D0">
        <w:rPr>
          <w:rFonts w:ascii="Times New Roman" w:hAnsi="Times New Roman" w:cs="Times New Roman"/>
          <w:noProof/>
          <w:sz w:val="24"/>
        </w:rPr>
        <w:t xml:space="preserve">, ce qui accroît leur insécurité économique. </w:t>
      </w:r>
      <w:r w:rsidRPr="00A650D0">
        <w:rPr>
          <w:rFonts w:ascii="Times New Roman" w:hAnsi="Times New Roman" w:cs="Times New Roman"/>
          <w:noProof/>
        </w:rPr>
        <w:t xml:space="preserve">Le </w:t>
      </w:r>
      <w:hyperlink r:id="rId70" w:history="1">
        <w:r w:rsidRPr="00A650D0">
          <w:rPr>
            <w:rStyle w:val="Hyperlink"/>
            <w:rFonts w:ascii="Times New Roman" w:hAnsi="Times New Roman" w:cs="Times New Roman"/>
            <w:noProof/>
            <w:sz w:val="24"/>
          </w:rPr>
          <w:t>plan d’action en faveur de l’intégration et de l’inclusion</w:t>
        </w:r>
      </w:hyperlink>
      <w:r w:rsidRPr="00A650D0">
        <w:rPr>
          <w:rFonts w:ascii="Times New Roman" w:hAnsi="Times New Roman" w:cs="Times New Roman"/>
          <w:noProof/>
        </w:rPr>
        <w:t xml:space="preserve"> vise à soutenir l’intégration durable sur </w:t>
      </w:r>
      <w:r w:rsidRPr="00A650D0">
        <w:rPr>
          <w:rFonts w:ascii="Times New Roman" w:hAnsi="Times New Roman" w:cs="Times New Roman"/>
          <w:noProof/>
          <w:sz w:val="24"/>
          <w:szCs w:val="24"/>
        </w:rPr>
        <w:t xml:space="preserve">le marché du travail des migrants et des citoyens de l’Union issus de l’immigration, en encourageant </w:t>
      </w:r>
      <w:r w:rsidRPr="00A650D0">
        <w:rPr>
          <w:rFonts w:ascii="Times New Roman" w:hAnsi="Times New Roman" w:cs="Times New Roman"/>
          <w:b/>
          <w:bCs/>
          <w:noProof/>
          <w:sz w:val="24"/>
          <w:szCs w:val="24"/>
        </w:rPr>
        <w:t>les États membres à sensibiliser au problème de la discrimination à l’embauche et sur le lieu de travail, et à renforcer les mesures de lutte contre la discrimination. Une intégration accrue sur le marché du travail constitue également un levier d’action important pour remédier aux pénuries de main-d’œuvre et aux besoins en compétences</w:t>
      </w:r>
      <w:r w:rsidRPr="00A650D0">
        <w:rPr>
          <w:rFonts w:ascii="Times New Roman" w:hAnsi="Times New Roman" w:cs="Times New Roman"/>
          <w:noProof/>
          <w:sz w:val="24"/>
          <w:szCs w:val="24"/>
        </w:rPr>
        <w:t xml:space="preserve"> afin de stimuler la compétitivité de l’UE.</w:t>
      </w:r>
    </w:p>
    <w:p w14:paraId="75899413" w14:textId="77777777" w:rsidR="00CD33C3" w:rsidRPr="00A650D0" w:rsidRDefault="00CD33C3" w:rsidP="00CD33C3">
      <w:pPr>
        <w:spacing w:line="240" w:lineRule="auto"/>
        <w:jc w:val="both"/>
        <w:rPr>
          <w:rFonts w:ascii="Times New Roman" w:hAnsi="Times New Roman" w:cs="Times New Roman"/>
          <w:noProof/>
          <w:sz w:val="24"/>
          <w:szCs w:val="24"/>
        </w:rPr>
      </w:pPr>
      <w:r w:rsidRPr="00A650D0">
        <w:rPr>
          <w:rFonts w:ascii="Times New Roman" w:hAnsi="Times New Roman" w:cs="Times New Roman"/>
          <w:noProof/>
          <w:sz w:val="24"/>
        </w:rPr>
        <w:t xml:space="preserve">La Commission est déterminée à promouvoir la diversité dans l’emploi et à favoriser des lieux de travail plus inclusifs, et </w:t>
      </w:r>
      <w:r w:rsidRPr="00A650D0">
        <w:rPr>
          <w:rFonts w:ascii="Times New Roman" w:hAnsi="Times New Roman" w:cs="Times New Roman"/>
          <w:b/>
          <w:noProof/>
          <w:sz w:val="24"/>
        </w:rPr>
        <w:t>continuera de travailler en étroite collaboration avec la plateforme européenne des chartes de la diversité</w:t>
      </w:r>
      <w:r w:rsidRPr="00A650D0">
        <w:rPr>
          <w:rFonts w:ascii="Times New Roman" w:hAnsi="Times New Roman" w:cs="Times New Roman"/>
          <w:noProof/>
          <w:sz w:val="24"/>
        </w:rPr>
        <w:t xml:space="preserve"> afin de partager les bonnes pratiques en matière d’initiatives en faveur de la diversité et de l’inclusion, y compris en ce qui concerne la diversité ethnique. </w:t>
      </w:r>
      <w:r w:rsidRPr="00A650D0">
        <w:rPr>
          <w:rFonts w:ascii="Times New Roman" w:hAnsi="Times New Roman" w:cs="Times New Roman"/>
          <w:b/>
          <w:noProof/>
          <w:sz w:val="24"/>
        </w:rPr>
        <w:t>La plateforme facilitera également le dialogue et fournira des orientations, par exemple, sur les pratiques d’embauche inclusives.</w:t>
      </w:r>
    </w:p>
    <w:p w14:paraId="1B4F8626" w14:textId="1AC34605" w:rsidR="00792FD6" w:rsidRPr="00A650D0" w:rsidRDefault="171E31D5" w:rsidP="00B03519">
      <w:pPr>
        <w:spacing w:line="240" w:lineRule="auto"/>
        <w:jc w:val="both"/>
        <w:rPr>
          <w:rFonts w:ascii="Times New Roman" w:hAnsi="Times New Roman" w:cs="Times New Roman"/>
          <w:noProof/>
          <w:sz w:val="24"/>
          <w:szCs w:val="24"/>
        </w:rPr>
      </w:pPr>
      <w:r w:rsidRPr="00A650D0">
        <w:rPr>
          <w:rFonts w:ascii="Times New Roman" w:hAnsi="Times New Roman" w:cs="Times New Roman"/>
          <w:noProof/>
          <w:color w:val="000000" w:themeColor="text1"/>
          <w:sz w:val="24"/>
        </w:rPr>
        <w:t>L’accès à un logement abordable et décent est essentiel au bien-être individuel et familial et à la cohésion sociale. Les personnes issues d’une minorité raciale ou ethnique sont souvent victimes de discrimination et confrontées à des obstacles sur le marché du logement, notamment une inégalité de traitement pour les locataires ou les acheteurs, et des entraves à l’accès aux prêts. Elles sont touchées de manière disproportionnée par la surpopulation, de mauvaises conditions de vie, le sans-abrisme et la ségrégation</w:t>
      </w:r>
      <w:r w:rsidRPr="00A650D0">
        <w:rPr>
          <w:rStyle w:val="FootnoteReference"/>
          <w:rFonts w:ascii="Times New Roman" w:eastAsia="Times New Roman" w:hAnsi="Times New Roman" w:cs="Times New Roman"/>
          <w:noProof/>
          <w:color w:val="000000" w:themeColor="text1"/>
          <w:sz w:val="24"/>
          <w:szCs w:val="24"/>
        </w:rPr>
        <w:footnoteReference w:id="39"/>
      </w:r>
      <w:r w:rsidRPr="00A650D0">
        <w:rPr>
          <w:rFonts w:ascii="Times New Roman" w:hAnsi="Times New Roman" w:cs="Times New Roman"/>
          <w:noProof/>
          <w:color w:val="000000" w:themeColor="text1"/>
          <w:sz w:val="24"/>
        </w:rPr>
        <w:t>. Ces difficultés peuvent être plus prononcées dans les zones rurales et isolées, où les possibilités de logement sont restreintes</w:t>
      </w:r>
      <w:r w:rsidRPr="00A650D0">
        <w:rPr>
          <w:rStyle w:val="FootnoteReference"/>
          <w:rFonts w:ascii="Times New Roman" w:eastAsia="Times New Roman" w:hAnsi="Times New Roman" w:cs="Times New Roman"/>
          <w:noProof/>
          <w:color w:val="000000" w:themeColor="text1"/>
          <w:sz w:val="24"/>
          <w:szCs w:val="24"/>
        </w:rPr>
        <w:footnoteReference w:id="40"/>
      </w:r>
      <w:r w:rsidRPr="00A650D0">
        <w:rPr>
          <w:rFonts w:ascii="Times New Roman" w:hAnsi="Times New Roman" w:cs="Times New Roman"/>
          <w:noProof/>
          <w:color w:val="000000" w:themeColor="text1"/>
          <w:sz w:val="24"/>
        </w:rPr>
        <w:t xml:space="preserve"> et les services publics limités.</w:t>
      </w:r>
      <w:r w:rsidRPr="00A650D0">
        <w:rPr>
          <w:rFonts w:ascii="Times New Roman" w:hAnsi="Times New Roman" w:cs="Times New Roman"/>
          <w:noProof/>
          <w:sz w:val="24"/>
        </w:rPr>
        <w:t xml:space="preserve"> </w:t>
      </w:r>
    </w:p>
    <w:p w14:paraId="1B6D13CF" w14:textId="77777777" w:rsidR="00EA76A6" w:rsidRPr="00A650D0" w:rsidRDefault="00EA76A6" w:rsidP="001B2C4F">
      <w:pPr>
        <w:spacing w:line="240" w:lineRule="auto"/>
        <w:jc w:val="both"/>
        <w:rPr>
          <w:rFonts w:ascii="Times New Roman" w:hAnsi="Times New Roman" w:cs="Times New Roman"/>
          <w:noProof/>
          <w:sz w:val="24"/>
          <w:szCs w:val="24"/>
        </w:rPr>
      </w:pPr>
    </w:p>
    <w:p w14:paraId="2D8A4293" w14:textId="4805A3E3" w:rsidR="00A45550" w:rsidRPr="00A650D0" w:rsidRDefault="00E27CFC" w:rsidP="001B2C4F">
      <w:pPr>
        <w:spacing w:line="240" w:lineRule="auto"/>
        <w:jc w:val="both"/>
        <w:rPr>
          <w:rFonts w:ascii="Times New Roman" w:hAnsi="Times New Roman" w:cs="Times New Roman"/>
          <w:noProof/>
          <w:sz w:val="24"/>
          <w:szCs w:val="24"/>
        </w:rPr>
      </w:pPr>
      <w:r w:rsidRPr="00A650D0">
        <w:rPr>
          <w:rFonts w:ascii="Times New Roman" w:hAnsi="Times New Roman" w:cs="Times New Roman"/>
          <w:noProof/>
          <w:sz w:val="24"/>
        </w:rPr>
        <w:t xml:space="preserve">Afin de mieux comprendre la manière dont la discrimination entrave l’accès à un logement abordable, </w:t>
      </w:r>
      <w:r w:rsidRPr="00A650D0">
        <w:rPr>
          <w:rFonts w:ascii="Times New Roman" w:hAnsi="Times New Roman" w:cs="Times New Roman"/>
          <w:b/>
          <w:noProof/>
          <w:sz w:val="24"/>
        </w:rPr>
        <w:t>la Commission publiera une étude sur la discrimination dans le domaine du logement</w:t>
      </w:r>
      <w:r w:rsidRPr="00A650D0">
        <w:rPr>
          <w:rFonts w:ascii="Times New Roman" w:hAnsi="Times New Roman" w:cs="Times New Roman"/>
          <w:noProof/>
          <w:sz w:val="24"/>
        </w:rPr>
        <w:t xml:space="preserve">, y compris une analyse des pratiques nationales et locales existantes. </w:t>
      </w:r>
      <w:bookmarkStart w:id="16" w:name="_Hlk218537256"/>
      <w:r w:rsidRPr="00A650D0">
        <w:rPr>
          <w:rFonts w:ascii="Times New Roman" w:hAnsi="Times New Roman" w:cs="Times New Roman"/>
          <w:noProof/>
          <w:sz w:val="24"/>
        </w:rPr>
        <w:t xml:space="preserve">En tant que résultat du </w:t>
      </w:r>
      <w:hyperlink r:id="rId71" w:history="1">
        <w:r w:rsidRPr="00A650D0">
          <w:rPr>
            <w:rStyle w:val="Hyperlink"/>
            <w:rFonts w:ascii="Times New Roman" w:hAnsi="Times New Roman" w:cs="Times New Roman"/>
            <w:noProof/>
            <w:sz w:val="24"/>
          </w:rPr>
          <w:t>plan européen pour des logements abordables</w:t>
        </w:r>
      </w:hyperlink>
      <w:r w:rsidRPr="00A650D0">
        <w:rPr>
          <w:rFonts w:ascii="Times New Roman" w:hAnsi="Times New Roman" w:cs="Times New Roman"/>
          <w:noProof/>
        </w:rPr>
        <w:t xml:space="preserve"> </w:t>
      </w:r>
      <w:r w:rsidRPr="00A650D0">
        <w:rPr>
          <w:rFonts w:ascii="Times New Roman" w:hAnsi="Times New Roman" w:cs="Times New Roman"/>
          <w:noProof/>
          <w:sz w:val="24"/>
        </w:rPr>
        <w:t xml:space="preserve">et dans le contexte de la prochaine stratégie de lutte contre la pauvreté, la Commission présentera une proposition de </w:t>
      </w:r>
      <w:r w:rsidRPr="00A650D0">
        <w:rPr>
          <w:rFonts w:ascii="Times New Roman" w:hAnsi="Times New Roman" w:cs="Times New Roman"/>
          <w:b/>
          <w:noProof/>
          <w:sz w:val="24"/>
        </w:rPr>
        <w:t>recommandation du Conseil sur la lutte contre l’exclusion en matière de logement</w:t>
      </w:r>
      <w:r w:rsidRPr="00A650D0">
        <w:rPr>
          <w:rFonts w:ascii="Times New Roman" w:hAnsi="Times New Roman" w:cs="Times New Roman"/>
          <w:noProof/>
          <w:sz w:val="24"/>
        </w:rPr>
        <w:t xml:space="preserve"> afin de soutenir les personnes vulnérables en situation de logement précaire, de prévenir le sans-</w:t>
      </w:r>
      <w:r w:rsidRPr="00A650D0">
        <w:rPr>
          <w:rFonts w:ascii="Times New Roman" w:hAnsi="Times New Roman" w:cs="Times New Roman"/>
          <w:noProof/>
          <w:sz w:val="24"/>
          <w:szCs w:val="24"/>
        </w:rPr>
        <w:t>abrisme et d’y remédier</w:t>
      </w:r>
      <w:bookmarkEnd w:id="16"/>
      <w:r w:rsidRPr="00A650D0">
        <w:rPr>
          <w:rFonts w:ascii="Times New Roman" w:hAnsi="Times New Roman" w:cs="Times New Roman"/>
          <w:noProof/>
          <w:sz w:val="24"/>
          <w:szCs w:val="24"/>
        </w:rPr>
        <w:t>.</w:t>
      </w:r>
      <w:r w:rsidRPr="00A650D0">
        <w:rPr>
          <w:rFonts w:ascii="Times New Roman" w:hAnsi="Times New Roman" w:cs="Times New Roman"/>
          <w:b/>
          <w:noProof/>
          <w:sz w:val="24"/>
          <w:szCs w:val="24"/>
        </w:rPr>
        <w:t xml:space="preserve"> </w:t>
      </w:r>
    </w:p>
    <w:p w14:paraId="6B2DCF53" w14:textId="23FCAF91" w:rsidR="00BF6E0E" w:rsidRPr="00A650D0" w:rsidRDefault="00B7675E" w:rsidP="00BF3DB3">
      <w:pPr>
        <w:spacing w:line="240" w:lineRule="auto"/>
        <w:jc w:val="both"/>
        <w:rPr>
          <w:rFonts w:ascii="Times New Roman" w:hAnsi="Times New Roman" w:cs="Times New Roman"/>
          <w:noProof/>
          <w:sz w:val="24"/>
          <w:szCs w:val="24"/>
        </w:rPr>
      </w:pPr>
      <w:r w:rsidRPr="00A650D0">
        <w:rPr>
          <w:rFonts w:ascii="Times New Roman" w:hAnsi="Times New Roman" w:cs="Times New Roman"/>
          <w:noProof/>
          <w:sz w:val="24"/>
          <w:szCs w:val="24"/>
        </w:rPr>
        <w:t xml:space="preserve">Le </w:t>
      </w:r>
      <w:hyperlink r:id="rId72" w:history="1">
        <w:r w:rsidRPr="00A650D0">
          <w:rPr>
            <w:rStyle w:val="Hyperlink"/>
            <w:rFonts w:ascii="Times New Roman" w:hAnsi="Times New Roman" w:cs="Times New Roman"/>
            <w:noProof/>
            <w:sz w:val="24"/>
            <w:szCs w:val="24"/>
          </w:rPr>
          <w:t>programme urbain pour l’UE</w:t>
        </w:r>
      </w:hyperlink>
      <w:r w:rsidRPr="00A650D0">
        <w:rPr>
          <w:rFonts w:ascii="Times New Roman" w:hAnsi="Times New Roman" w:cs="Times New Roman"/>
          <w:noProof/>
          <w:sz w:val="24"/>
          <w:szCs w:val="24"/>
        </w:rPr>
        <w:t xml:space="preserve">, une initiative intergouvernementale réunissant des acteurs de tous les niveaux de gouvernance, et le </w:t>
      </w:r>
      <w:hyperlink r:id="rId73" w:history="1">
        <w:r w:rsidRPr="00A650D0">
          <w:rPr>
            <w:rStyle w:val="Hyperlink"/>
            <w:rFonts w:ascii="Times New Roman" w:hAnsi="Times New Roman" w:cs="Times New Roman"/>
            <w:noProof/>
            <w:sz w:val="24"/>
            <w:szCs w:val="24"/>
          </w:rPr>
          <w:t>programme de l’UE pour les villes</w:t>
        </w:r>
      </w:hyperlink>
      <w:r w:rsidRPr="00A650D0">
        <w:rPr>
          <w:rFonts w:ascii="Times New Roman" w:hAnsi="Times New Roman" w:cs="Times New Roman"/>
          <w:noProof/>
          <w:sz w:val="24"/>
          <w:szCs w:val="24"/>
        </w:rPr>
        <w:t xml:space="preserve"> visent à promouvoir des quartiers inclusifs et diversifiés et à réduire les disparités sociales et territoriales. En outre, le financement provenant du </w:t>
      </w:r>
      <w:hyperlink r:id="rId74" w:history="1">
        <w:r w:rsidRPr="00A650D0">
          <w:rPr>
            <w:rStyle w:val="Hyperlink"/>
            <w:rFonts w:ascii="Times New Roman" w:hAnsi="Times New Roman" w:cs="Times New Roman"/>
            <w:noProof/>
            <w:sz w:val="24"/>
            <w:szCs w:val="24"/>
          </w:rPr>
          <w:t>Fonds européen de développement régional</w:t>
        </w:r>
      </w:hyperlink>
      <w:r w:rsidRPr="00A650D0">
        <w:rPr>
          <w:rFonts w:ascii="Times New Roman" w:hAnsi="Times New Roman" w:cs="Times New Roman"/>
          <w:noProof/>
          <w:sz w:val="24"/>
          <w:szCs w:val="24"/>
        </w:rPr>
        <w:t xml:space="preserve"> et du FSE+ peut</w:t>
      </w:r>
      <w:r w:rsidRPr="00A650D0">
        <w:rPr>
          <w:rFonts w:ascii="Times New Roman" w:hAnsi="Times New Roman" w:cs="Times New Roman"/>
          <w:b/>
          <w:noProof/>
          <w:sz w:val="24"/>
          <w:szCs w:val="24"/>
        </w:rPr>
        <w:t xml:space="preserve"> </w:t>
      </w:r>
      <w:r w:rsidRPr="00A650D0">
        <w:rPr>
          <w:rFonts w:ascii="Times New Roman" w:hAnsi="Times New Roman" w:cs="Times New Roman"/>
          <w:noProof/>
          <w:sz w:val="24"/>
          <w:szCs w:val="24"/>
        </w:rPr>
        <w:t>jouer un rôle central dans l’amélioration de l’accès</w:t>
      </w:r>
      <w:r w:rsidRPr="00A650D0">
        <w:rPr>
          <w:rFonts w:ascii="Times New Roman" w:hAnsi="Times New Roman" w:cs="Times New Roman"/>
          <w:b/>
          <w:noProof/>
          <w:sz w:val="24"/>
          <w:szCs w:val="24"/>
        </w:rPr>
        <w:t xml:space="preserve"> </w:t>
      </w:r>
      <w:r w:rsidRPr="00A650D0">
        <w:rPr>
          <w:rFonts w:ascii="Times New Roman" w:hAnsi="Times New Roman" w:cs="Times New Roman"/>
          <w:noProof/>
          <w:sz w:val="24"/>
          <w:szCs w:val="24"/>
        </w:rPr>
        <w:t>à des logements de qualité et à des services de base pour les groupes exposés au risque de discrimination et dans l’élaboration de mesures de déségrégation</w:t>
      </w:r>
      <w:r w:rsidRPr="00A650D0">
        <w:rPr>
          <w:rStyle w:val="FootnoteReference"/>
          <w:rFonts w:ascii="Times New Roman" w:hAnsi="Times New Roman" w:cs="Times New Roman"/>
          <w:noProof/>
          <w:sz w:val="24"/>
          <w:szCs w:val="24"/>
        </w:rPr>
        <w:footnoteReference w:id="41"/>
      </w:r>
      <w:r w:rsidRPr="00A650D0">
        <w:rPr>
          <w:rFonts w:ascii="Times New Roman" w:hAnsi="Times New Roman" w:cs="Times New Roman"/>
          <w:noProof/>
          <w:sz w:val="24"/>
          <w:szCs w:val="24"/>
        </w:rPr>
        <w:t xml:space="preserve">. </w:t>
      </w:r>
    </w:p>
    <w:p w14:paraId="026B4F4F" w14:textId="59E3F944" w:rsidR="00E603E0" w:rsidRPr="006222F8" w:rsidRDefault="6D75177A" w:rsidP="008D07AB">
      <w:pPr>
        <w:spacing w:line="240" w:lineRule="auto"/>
        <w:jc w:val="both"/>
        <w:rPr>
          <w:rFonts w:ascii="Times New Roman" w:eastAsia="Times New Roman" w:hAnsi="Times New Roman" w:cs="Times New Roman"/>
          <w:noProof/>
          <w:sz w:val="24"/>
          <w:szCs w:val="24"/>
        </w:rPr>
      </w:pPr>
      <w:r w:rsidRPr="00A650D0">
        <w:rPr>
          <w:rFonts w:ascii="Times New Roman" w:hAnsi="Times New Roman" w:cs="Times New Roman"/>
          <w:noProof/>
          <w:sz w:val="24"/>
        </w:rPr>
        <w:t xml:space="preserve">Les disparités en matière de soins de santé constituent un autre problème majeur dans la lutte contre le racisme. Les personnes touchées par le racisme présentent souvent un mauvais état de santé et n’ont pas accès à des soins de qualité. Il convient d’accorder une attention particulière à la dimension de genre, étant donné que les femmes migrantes présentent de </w:t>
      </w:r>
      <w:r w:rsidRPr="006222F8">
        <w:rPr>
          <w:rFonts w:ascii="Times New Roman" w:hAnsi="Times New Roman" w:cs="Times New Roman"/>
          <w:noProof/>
          <w:sz w:val="24"/>
          <w:szCs w:val="24"/>
        </w:rPr>
        <w:t>moins bons résultats en matière de diabète, de santé mentale et de santé sexuelle et génésique, et signalent qu’elles sont davantage victimes de discrimination de la part des professionnels de santé que les hommes migrants</w:t>
      </w:r>
      <w:r w:rsidRPr="006222F8">
        <w:rPr>
          <w:rStyle w:val="FootnoteReference"/>
          <w:rFonts w:ascii="Times New Roman" w:eastAsia="Times New Roman" w:hAnsi="Times New Roman" w:cs="Times New Roman"/>
          <w:noProof/>
          <w:sz w:val="24"/>
          <w:szCs w:val="24"/>
        </w:rPr>
        <w:footnoteReference w:id="42"/>
      </w:r>
      <w:r w:rsidRPr="006222F8">
        <w:rPr>
          <w:rFonts w:ascii="Times New Roman" w:hAnsi="Times New Roman" w:cs="Times New Roman"/>
          <w:noProof/>
          <w:sz w:val="24"/>
          <w:szCs w:val="24"/>
        </w:rPr>
        <w:t xml:space="preserve">. </w:t>
      </w:r>
    </w:p>
    <w:p w14:paraId="5ECE464A" w14:textId="08713078" w:rsidR="00066083" w:rsidRPr="006222F8" w:rsidRDefault="00600028" w:rsidP="007E4B98">
      <w:pPr>
        <w:spacing w:line="240" w:lineRule="auto"/>
        <w:jc w:val="both"/>
        <w:rPr>
          <w:rFonts w:ascii="Times New Roman" w:hAnsi="Times New Roman" w:cs="Times New Roman"/>
          <w:b/>
          <w:i/>
          <w:noProof/>
          <w:sz w:val="24"/>
          <w:szCs w:val="24"/>
        </w:rPr>
      </w:pPr>
      <w:r w:rsidRPr="006222F8">
        <w:rPr>
          <w:rFonts w:ascii="Times New Roman" w:hAnsi="Times New Roman" w:cs="Times New Roman"/>
          <w:noProof/>
          <w:sz w:val="24"/>
          <w:szCs w:val="24"/>
        </w:rPr>
        <w:t>La Commission encourage les États membres à lutter contre la discrimination raciale dans le domaine de la santé</w:t>
      </w:r>
      <w:r w:rsidRPr="006222F8">
        <w:rPr>
          <w:rStyle w:val="FootnoteReference"/>
          <w:rFonts w:ascii="Times New Roman" w:eastAsia="Times New Roman" w:hAnsi="Times New Roman" w:cs="Times New Roman"/>
          <w:noProof/>
          <w:sz w:val="24"/>
          <w:szCs w:val="24"/>
        </w:rPr>
        <w:footnoteReference w:id="43"/>
      </w:r>
      <w:r w:rsidRPr="006222F8">
        <w:rPr>
          <w:rFonts w:ascii="Times New Roman" w:hAnsi="Times New Roman" w:cs="Times New Roman"/>
          <w:noProof/>
          <w:sz w:val="24"/>
          <w:szCs w:val="24"/>
        </w:rPr>
        <w:t xml:space="preserve"> et à élaborer des politiques de santé équitables, en dialoguant avec les communautés pour concevoir conjointement des services de soins de santé. Un </w:t>
      </w:r>
      <w:hyperlink r:id="rId75" w:history="1">
        <w:r w:rsidRPr="006222F8">
          <w:rPr>
            <w:rStyle w:val="Hyperlink"/>
            <w:rFonts w:ascii="Times New Roman" w:hAnsi="Times New Roman" w:cs="Times New Roman"/>
            <w:noProof/>
            <w:sz w:val="24"/>
            <w:szCs w:val="24"/>
          </w:rPr>
          <w:t>train de mesures de soutien de l’UE pour lutter contre la stigmatisation</w:t>
        </w:r>
      </w:hyperlink>
      <w:r w:rsidRPr="006222F8">
        <w:rPr>
          <w:rFonts w:ascii="Times New Roman" w:hAnsi="Times New Roman" w:cs="Times New Roman"/>
          <w:noProof/>
          <w:sz w:val="24"/>
          <w:szCs w:val="24"/>
        </w:rPr>
        <w:t xml:space="preserve"> a été présenté en 2024 et, dans le cadre du </w:t>
      </w:r>
      <w:hyperlink r:id="rId76" w:history="1">
        <w:r w:rsidRPr="006222F8">
          <w:rPr>
            <w:rStyle w:val="Hyperlink"/>
            <w:rFonts w:ascii="Times New Roman" w:hAnsi="Times New Roman" w:cs="Times New Roman"/>
            <w:noProof/>
            <w:sz w:val="24"/>
            <w:szCs w:val="24"/>
          </w:rPr>
          <w:t>programme «L’UE pour la santé»</w:t>
        </w:r>
      </w:hyperlink>
      <w:r w:rsidRPr="006222F8">
        <w:rPr>
          <w:rFonts w:ascii="Times New Roman" w:hAnsi="Times New Roman" w:cs="Times New Roman"/>
          <w:noProof/>
          <w:sz w:val="24"/>
          <w:szCs w:val="24"/>
        </w:rPr>
        <w:t xml:space="preserve">,  </w:t>
      </w:r>
      <w:r w:rsidRPr="006222F8">
        <w:rPr>
          <w:rFonts w:ascii="Times New Roman" w:hAnsi="Times New Roman" w:cs="Times New Roman"/>
          <w:b/>
          <w:noProof/>
          <w:sz w:val="24"/>
          <w:szCs w:val="24"/>
        </w:rPr>
        <w:t>la Commission continuera de soutenir les États membres</w:t>
      </w:r>
      <w:r w:rsidRPr="006222F8">
        <w:rPr>
          <w:rFonts w:ascii="Times New Roman" w:hAnsi="Times New Roman" w:cs="Times New Roman"/>
          <w:noProof/>
          <w:sz w:val="24"/>
          <w:szCs w:val="24"/>
        </w:rPr>
        <w:t xml:space="preserve"> </w:t>
      </w:r>
      <w:r w:rsidRPr="006222F8">
        <w:rPr>
          <w:rFonts w:ascii="Times New Roman" w:hAnsi="Times New Roman" w:cs="Times New Roman"/>
          <w:b/>
          <w:noProof/>
          <w:color w:val="000000" w:themeColor="text1"/>
          <w:sz w:val="24"/>
          <w:szCs w:val="24"/>
        </w:rPr>
        <w:t xml:space="preserve">dans la mise en œuvre des politiques de santé destinées à lutter contre les préjugés raciaux, </w:t>
      </w:r>
      <w:r w:rsidRPr="006222F8">
        <w:rPr>
          <w:rFonts w:ascii="Times New Roman" w:hAnsi="Times New Roman" w:cs="Times New Roman"/>
          <w:noProof/>
          <w:color w:val="000000" w:themeColor="text1"/>
          <w:sz w:val="24"/>
          <w:szCs w:val="24"/>
        </w:rPr>
        <w:t xml:space="preserve">y compris en améliorant la collecte de données sur l’égalité, </w:t>
      </w:r>
      <w:r w:rsidRPr="006222F8">
        <w:rPr>
          <w:rFonts w:ascii="Times New Roman" w:hAnsi="Times New Roman" w:cs="Times New Roman"/>
          <w:noProof/>
          <w:sz w:val="24"/>
          <w:szCs w:val="24"/>
        </w:rPr>
        <w:t>dans le respect des cadres juridiques nationaux</w:t>
      </w:r>
      <w:r w:rsidRPr="006222F8">
        <w:rPr>
          <w:rFonts w:ascii="Times New Roman" w:hAnsi="Times New Roman" w:cs="Times New Roman"/>
          <w:noProof/>
          <w:color w:val="000000" w:themeColor="text1"/>
          <w:sz w:val="24"/>
          <w:szCs w:val="24"/>
        </w:rPr>
        <w:t>.</w:t>
      </w:r>
      <w:r w:rsidRPr="006222F8">
        <w:rPr>
          <w:rFonts w:ascii="Times New Roman" w:hAnsi="Times New Roman" w:cs="Times New Roman"/>
          <w:b/>
          <w:noProof/>
          <w:color w:val="000000" w:themeColor="text1"/>
          <w:sz w:val="24"/>
          <w:szCs w:val="24"/>
        </w:rPr>
        <w:t xml:space="preserve"> </w:t>
      </w:r>
      <w:r w:rsidRPr="006222F8">
        <w:rPr>
          <w:rFonts w:ascii="Times New Roman" w:hAnsi="Times New Roman" w:cs="Times New Roman"/>
          <w:noProof/>
          <w:color w:val="FF0000"/>
          <w:sz w:val="24"/>
          <w:szCs w:val="24"/>
        </w:rPr>
        <w:t xml:space="preserve"> </w:t>
      </w:r>
    </w:p>
    <w:p w14:paraId="1EF46329" w14:textId="56C7948B" w:rsidR="00BF6E0E" w:rsidRPr="006222F8" w:rsidRDefault="00852D36" w:rsidP="000F3D70">
      <w:pPr>
        <w:spacing w:line="240" w:lineRule="auto"/>
        <w:jc w:val="both"/>
        <w:rPr>
          <w:rFonts w:ascii="Times New Roman" w:hAnsi="Times New Roman" w:cs="Times New Roman"/>
          <w:noProof/>
          <w:sz w:val="24"/>
          <w:szCs w:val="24"/>
          <w:u w:val="single"/>
        </w:rPr>
      </w:pPr>
      <w:r w:rsidRPr="006222F8">
        <w:rPr>
          <w:rFonts w:ascii="Times New Roman" w:hAnsi="Times New Roman" w:cs="Times New Roman"/>
          <w:b/>
          <w:i/>
          <w:noProof/>
          <w:sz w:val="24"/>
          <w:szCs w:val="24"/>
        </w:rPr>
        <w:t>Intégrer la lutte contre le racisme dans la protection sociale et récompenser les actions locales</w:t>
      </w:r>
    </w:p>
    <w:p w14:paraId="5F9983AD" w14:textId="77F05C4D" w:rsidR="008B63C4" w:rsidRPr="006222F8" w:rsidRDefault="006B7917" w:rsidP="008D07AB">
      <w:pPr>
        <w:spacing w:line="240" w:lineRule="auto"/>
        <w:jc w:val="both"/>
        <w:rPr>
          <w:rFonts w:ascii="Times New Roman" w:hAnsi="Times New Roman" w:cs="Times New Roman"/>
          <w:noProof/>
          <w:sz w:val="24"/>
          <w:szCs w:val="24"/>
        </w:rPr>
      </w:pPr>
      <w:r w:rsidRPr="006222F8">
        <w:rPr>
          <w:rFonts w:ascii="Times New Roman" w:hAnsi="Times New Roman" w:cs="Times New Roman"/>
          <w:noProof/>
          <w:sz w:val="24"/>
          <w:szCs w:val="24"/>
        </w:rPr>
        <w:t>Les systèmes de protection sociale doivent apporter un soutien effectif à tous les individus. Ce soutien est également important dans les domaines où les personnes issues d’une minorité raciale ou ethnique peuvent être confrontées à des obstacles supplémentaires pour accéder aux services sociaux et aux possibilités d’aide sociale en raison de l’éloignement, du manque d’infrastructures ou du nombre réduit de prestataires de services</w:t>
      </w:r>
      <w:r w:rsidRPr="006222F8">
        <w:rPr>
          <w:rStyle w:val="FootnoteReference"/>
          <w:rFonts w:ascii="Times New Roman" w:hAnsi="Times New Roman" w:cs="Times New Roman"/>
          <w:noProof/>
          <w:sz w:val="24"/>
          <w:szCs w:val="24"/>
        </w:rPr>
        <w:footnoteReference w:id="44"/>
      </w:r>
      <w:r w:rsidRPr="006222F8">
        <w:rPr>
          <w:rFonts w:ascii="Times New Roman" w:hAnsi="Times New Roman" w:cs="Times New Roman"/>
          <w:noProof/>
          <w:sz w:val="24"/>
          <w:szCs w:val="24"/>
        </w:rPr>
        <w:t>.</w:t>
      </w:r>
    </w:p>
    <w:p w14:paraId="1DA01BC8" w14:textId="1B38BCC4" w:rsidR="00BF6E0E" w:rsidRPr="006222F8" w:rsidRDefault="006B7917" w:rsidP="00BF3DB3">
      <w:pPr>
        <w:spacing w:line="240" w:lineRule="auto"/>
        <w:jc w:val="both"/>
        <w:rPr>
          <w:rFonts w:ascii="Times New Roman" w:hAnsi="Times New Roman" w:cs="Times New Roman"/>
          <w:noProof/>
          <w:color w:val="FF0000"/>
          <w:sz w:val="24"/>
          <w:szCs w:val="24"/>
        </w:rPr>
      </w:pPr>
      <w:r w:rsidRPr="006222F8">
        <w:rPr>
          <w:rFonts w:ascii="Times New Roman" w:hAnsi="Times New Roman" w:cs="Times New Roman"/>
          <w:noProof/>
          <w:sz w:val="24"/>
          <w:szCs w:val="24"/>
        </w:rPr>
        <w:t xml:space="preserve">Afin de promouvoir une </w:t>
      </w:r>
      <w:r w:rsidRPr="006222F8">
        <w:rPr>
          <w:rFonts w:ascii="Times New Roman" w:hAnsi="Times New Roman" w:cs="Times New Roman"/>
          <w:b/>
          <w:noProof/>
          <w:sz w:val="24"/>
          <w:szCs w:val="24"/>
        </w:rPr>
        <w:t>approche inclusive de la protection sociale, la Commission encourage les États membres à tenir compte de la situation des minorités raciales ou ethniques</w:t>
      </w:r>
      <w:r w:rsidRPr="006222F8">
        <w:rPr>
          <w:rFonts w:ascii="Times New Roman" w:hAnsi="Times New Roman" w:cs="Times New Roman"/>
          <w:noProof/>
          <w:sz w:val="24"/>
          <w:szCs w:val="24"/>
        </w:rPr>
        <w:t xml:space="preserve"> lors de l’élaboration et de la mise en œuvre des politiques de lutte contre l’exclusion sociale. De plus, la première </w:t>
      </w:r>
      <w:hyperlink r:id="rId77" w:history="1">
        <w:r w:rsidRPr="006222F8">
          <w:rPr>
            <w:rStyle w:val="Hyperlink"/>
            <w:rFonts w:ascii="Times New Roman" w:hAnsi="Times New Roman" w:cs="Times New Roman"/>
            <w:noProof/>
            <w:sz w:val="24"/>
            <w:szCs w:val="24"/>
          </w:rPr>
          <w:t>stratégie européenne de lutte contre la pauvreté</w:t>
        </w:r>
      </w:hyperlink>
      <w:r w:rsidRPr="006222F8">
        <w:rPr>
          <w:rFonts w:ascii="Times New Roman" w:hAnsi="Times New Roman" w:cs="Times New Roman"/>
          <w:noProof/>
          <w:sz w:val="24"/>
          <w:szCs w:val="24"/>
        </w:rPr>
        <w:t xml:space="preserve"> visera à s’attaquer aux causes profondes de la pauvreté et de l’exclusion et à renforcer les services d’aide, indépendamment de la situation géographique.</w:t>
      </w:r>
    </w:p>
    <w:p w14:paraId="4BC97752" w14:textId="6AAE6D96" w:rsidR="00640898" w:rsidRPr="00A650D0" w:rsidRDefault="00100889" w:rsidP="00BF3DB3">
      <w:pPr>
        <w:spacing w:line="240" w:lineRule="auto"/>
        <w:jc w:val="both"/>
        <w:rPr>
          <w:rFonts w:ascii="Times New Roman" w:hAnsi="Times New Roman" w:cs="Times New Roman"/>
          <w:noProof/>
        </w:rPr>
      </w:pPr>
      <w:r w:rsidRPr="00A650D0">
        <w:rPr>
          <w:rFonts w:ascii="Times New Roman" w:hAnsi="Times New Roman" w:cs="Times New Roman"/>
          <w:noProof/>
          <w:sz w:val="24"/>
        </w:rPr>
        <w:t xml:space="preserve">En outre, la Commission encourage les États membres à mettre en œuvre la </w:t>
      </w:r>
      <w:hyperlink r:id="rId78" w:history="1">
        <w:r w:rsidRPr="00A650D0">
          <w:rPr>
            <w:rStyle w:val="Hyperlink"/>
            <w:rFonts w:ascii="Times New Roman" w:hAnsi="Times New Roman" w:cs="Times New Roman"/>
            <w:noProof/>
            <w:sz w:val="24"/>
          </w:rPr>
          <w:t>recommandation du Conseil établissant une garantie européenne pour l’enfance</w:t>
        </w:r>
      </w:hyperlink>
      <w:r w:rsidRPr="00A650D0">
        <w:rPr>
          <w:rFonts w:ascii="Times New Roman" w:hAnsi="Times New Roman" w:cs="Times New Roman"/>
          <w:noProof/>
          <w:sz w:val="24"/>
        </w:rPr>
        <w:t xml:space="preserve">, en tenant compte, dans tous les cas pertinents, des désavantages spécifiques subis par les enfants issus de l’immigration ou d’une minorité ethnique, et à mettre en œuvre la </w:t>
      </w:r>
      <w:hyperlink r:id="rId79" w:history="1">
        <w:r w:rsidRPr="00A650D0">
          <w:rPr>
            <w:rStyle w:val="Hyperlink"/>
            <w:rFonts w:ascii="Times New Roman" w:hAnsi="Times New Roman" w:cs="Times New Roman"/>
            <w:noProof/>
            <w:sz w:val="24"/>
          </w:rPr>
          <w:t>recommandation du Conseil relative à un revenu minimum adéquat</w:t>
        </w:r>
      </w:hyperlink>
      <w:r w:rsidRPr="00A650D0">
        <w:rPr>
          <w:rFonts w:ascii="Times New Roman" w:hAnsi="Times New Roman" w:cs="Times New Roman"/>
          <w:noProof/>
          <w:sz w:val="24"/>
        </w:rPr>
        <w:t xml:space="preserve">.  </w:t>
      </w:r>
      <w:r w:rsidRPr="00A650D0">
        <w:rPr>
          <w:rFonts w:ascii="Times New Roman" w:hAnsi="Times New Roman" w:cs="Times New Roman"/>
          <w:noProof/>
        </w:rPr>
        <w:t xml:space="preserve"> </w:t>
      </w:r>
    </w:p>
    <w:p w14:paraId="04244200" w14:textId="77777777" w:rsidR="00EA76A6" w:rsidRPr="006222F8" w:rsidRDefault="00EA76A6" w:rsidP="00BF3DB3">
      <w:pPr>
        <w:spacing w:line="240" w:lineRule="auto"/>
        <w:jc w:val="both"/>
        <w:rPr>
          <w:rFonts w:ascii="Times New Roman" w:hAnsi="Times New Roman" w:cs="Times New Roman"/>
          <w:noProof/>
          <w:sz w:val="24"/>
          <w:szCs w:val="24"/>
        </w:rPr>
      </w:pPr>
      <w:bookmarkStart w:id="17" w:name="_Hlk214009952"/>
    </w:p>
    <w:p w14:paraId="55D3D77C" w14:textId="447BAF9B" w:rsidR="00BF6E0E" w:rsidRPr="006222F8" w:rsidRDefault="004F4D6C" w:rsidP="00BF3DB3">
      <w:pPr>
        <w:spacing w:line="240" w:lineRule="auto"/>
        <w:jc w:val="both"/>
        <w:rPr>
          <w:rFonts w:ascii="Times New Roman" w:hAnsi="Times New Roman" w:cs="Times New Roman"/>
          <w:noProof/>
          <w:sz w:val="24"/>
          <w:szCs w:val="24"/>
        </w:rPr>
      </w:pPr>
      <w:r w:rsidRPr="006222F8">
        <w:rPr>
          <w:rFonts w:ascii="Times New Roman" w:hAnsi="Times New Roman" w:cs="Times New Roman"/>
          <w:noProof/>
          <w:sz w:val="24"/>
          <w:szCs w:val="24"/>
        </w:rPr>
        <w:t xml:space="preserve">La Commission continuera de promouvoir les initiatives en faveur de la diversité et de l’inclusion, telles que le </w:t>
      </w:r>
      <w:hyperlink r:id="rId80" w:history="1">
        <w:r w:rsidRPr="006222F8">
          <w:rPr>
            <w:rStyle w:val="Hyperlink"/>
            <w:rFonts w:ascii="Times New Roman" w:hAnsi="Times New Roman" w:cs="Times New Roman"/>
            <w:noProof/>
            <w:sz w:val="24"/>
            <w:szCs w:val="24"/>
          </w:rPr>
          <w:t>prix des capitales européennes de l’inclusion et de la diversité</w:t>
        </w:r>
      </w:hyperlink>
      <w:r w:rsidRPr="006222F8">
        <w:rPr>
          <w:rFonts w:ascii="Times New Roman" w:hAnsi="Times New Roman" w:cs="Times New Roman"/>
          <w:noProof/>
          <w:sz w:val="24"/>
          <w:szCs w:val="24"/>
        </w:rPr>
        <w:t xml:space="preserve">, qui donne de la visibilité aux bonnes pratiques des autorités locales en faveur d’environnements diversifiés et inclusifs. Afin d’inciter davantage les villes de l’Union à lutter contre le racisme, </w:t>
      </w:r>
      <w:r w:rsidRPr="006222F8">
        <w:rPr>
          <w:rFonts w:ascii="Times New Roman" w:hAnsi="Times New Roman" w:cs="Times New Roman"/>
          <w:b/>
          <w:noProof/>
          <w:sz w:val="24"/>
          <w:szCs w:val="24"/>
        </w:rPr>
        <w:t>la Commission désignera une catégorie dans le domaine des politiques de lutte contre le racisme</w:t>
      </w:r>
      <w:r w:rsidRPr="006222F8">
        <w:rPr>
          <w:rFonts w:ascii="Times New Roman" w:hAnsi="Times New Roman" w:cs="Times New Roman"/>
          <w:noProof/>
          <w:sz w:val="24"/>
          <w:szCs w:val="24"/>
        </w:rPr>
        <w:t xml:space="preserve">. Cette initiative complétera le </w:t>
      </w:r>
      <w:hyperlink r:id="rId81" w:history="1">
        <w:r w:rsidRPr="006222F8">
          <w:rPr>
            <w:rStyle w:val="Hyperlink"/>
            <w:rFonts w:ascii="Times New Roman" w:hAnsi="Times New Roman" w:cs="Times New Roman"/>
            <w:noProof/>
            <w:sz w:val="24"/>
            <w:szCs w:val="24"/>
          </w:rPr>
          <w:t>mois européen de la diversité</w:t>
        </w:r>
      </w:hyperlink>
      <w:r w:rsidRPr="006222F8">
        <w:rPr>
          <w:rFonts w:ascii="Times New Roman" w:hAnsi="Times New Roman" w:cs="Times New Roman"/>
          <w:noProof/>
          <w:sz w:val="24"/>
          <w:szCs w:val="24"/>
        </w:rPr>
        <w:t xml:space="preserve">, célébré chaque année en mai pour sensibiliser aux avantages d’environnements et de lieux de travail inclusifs, en encourageant tous les types d’organisations à prendre des mesures concrètes pour favoriser la diversité. </w:t>
      </w:r>
    </w:p>
    <w:tbl>
      <w:tblPr>
        <w:tblStyle w:val="TableGrid"/>
        <w:tblW w:w="9072" w:type="dxa"/>
        <w:tblInd w:w="108" w:type="dxa"/>
        <w:tblLayout w:type="fixed"/>
        <w:tblLook w:val="06A0" w:firstRow="1" w:lastRow="0" w:firstColumn="1" w:lastColumn="0" w:noHBand="1" w:noVBand="1"/>
      </w:tblPr>
      <w:tblGrid>
        <w:gridCol w:w="9072"/>
      </w:tblGrid>
      <w:tr w:rsidR="7F1A886B" w:rsidRPr="00A650D0" w14:paraId="327945B4" w14:textId="77777777" w:rsidTr="0039265F">
        <w:trPr>
          <w:trHeight w:val="300"/>
        </w:trPr>
        <w:tc>
          <w:tcPr>
            <w:tcW w:w="9072" w:type="dxa"/>
          </w:tcPr>
          <w:bookmarkEnd w:id="17"/>
          <w:p w14:paraId="1CC4FB63" w14:textId="6059BA0B" w:rsidR="04A64AB6" w:rsidRPr="00A650D0" w:rsidRDefault="006A3A60" w:rsidP="000F3D70">
            <w:pPr>
              <w:spacing w:line="240" w:lineRule="auto"/>
              <w:jc w:val="both"/>
              <w:rPr>
                <w:rFonts w:ascii="Times New Roman" w:hAnsi="Times New Roman" w:cs="Times New Roman"/>
                <w:noProof/>
                <w:sz w:val="24"/>
              </w:rPr>
            </w:pPr>
            <w:r w:rsidRPr="00A650D0">
              <w:rPr>
                <w:rFonts w:ascii="Times New Roman" w:hAnsi="Times New Roman" w:cs="Times New Roman"/>
                <w:b/>
                <w:noProof/>
                <w:sz w:val="24"/>
              </w:rPr>
              <w:t>La Commission:</w:t>
            </w:r>
          </w:p>
          <w:p w14:paraId="5556EC51" w14:textId="46A194DF" w:rsidR="00AE36DA" w:rsidRPr="00A650D0" w:rsidRDefault="007A6280" w:rsidP="006A2B52">
            <w:pPr>
              <w:pStyle w:val="ListParagraph"/>
              <w:numPr>
                <w:ilvl w:val="0"/>
                <w:numId w:val="28"/>
              </w:numPr>
              <w:spacing w:line="240" w:lineRule="auto"/>
              <w:ind w:left="426"/>
              <w:jc w:val="both"/>
              <w:rPr>
                <w:rFonts w:ascii="Times New Roman" w:eastAsia="Times New Roman" w:hAnsi="Times New Roman" w:cs="Times New Roman"/>
                <w:noProof/>
                <w:sz w:val="24"/>
                <w:szCs w:val="24"/>
              </w:rPr>
            </w:pPr>
            <w:r w:rsidRPr="00A650D0">
              <w:rPr>
                <w:rFonts w:ascii="Times New Roman" w:hAnsi="Times New Roman" w:cs="Times New Roman"/>
                <w:noProof/>
                <w:sz w:val="24"/>
              </w:rPr>
              <w:t xml:space="preserve"> présentera un programme européen pour les enseignants et les formateurs, soutiendra la coopération entre écoles et les projets de mobilité à des fins d’éducation et de formation, ainsi que la recherche axée sur l’éducation inclusive; </w:t>
            </w:r>
          </w:p>
          <w:p w14:paraId="3E06473A" w14:textId="3D0D08E4" w:rsidR="00893732" w:rsidRPr="00A650D0" w:rsidRDefault="00893732" w:rsidP="00893732">
            <w:pPr>
              <w:pStyle w:val="ListParagraph"/>
              <w:numPr>
                <w:ilvl w:val="0"/>
                <w:numId w:val="28"/>
              </w:numPr>
              <w:spacing w:line="240" w:lineRule="auto"/>
              <w:ind w:left="426"/>
              <w:jc w:val="both"/>
              <w:rPr>
                <w:rFonts w:ascii="Times New Roman" w:eastAsia="Times New Roman" w:hAnsi="Times New Roman" w:cs="Times New Roman"/>
                <w:noProof/>
                <w:sz w:val="24"/>
                <w:szCs w:val="24"/>
              </w:rPr>
            </w:pPr>
            <w:r w:rsidRPr="00A650D0">
              <w:rPr>
                <w:rFonts w:ascii="Times New Roman" w:hAnsi="Times New Roman" w:cs="Times New Roman"/>
                <w:noProof/>
                <w:sz w:val="24"/>
              </w:rPr>
              <w:t>soutiendra les mesures des États membres en faveur de l’emploi, de l’éducation, de la culture et du sport inclusifs;</w:t>
            </w:r>
          </w:p>
          <w:p w14:paraId="4CB48BC9" w14:textId="541B1EE7" w:rsidR="001976BD" w:rsidRPr="00A650D0" w:rsidRDefault="00E769EA" w:rsidP="00123445">
            <w:pPr>
              <w:pStyle w:val="ListParagraph"/>
              <w:numPr>
                <w:ilvl w:val="0"/>
                <w:numId w:val="28"/>
              </w:numPr>
              <w:spacing w:line="240" w:lineRule="auto"/>
              <w:ind w:left="426"/>
              <w:jc w:val="both"/>
              <w:rPr>
                <w:rFonts w:ascii="Times New Roman" w:eastAsia="Times New Roman" w:hAnsi="Times New Roman" w:cs="Times New Roman"/>
                <w:noProof/>
                <w:sz w:val="24"/>
                <w:szCs w:val="24"/>
              </w:rPr>
            </w:pPr>
            <w:r w:rsidRPr="00A650D0">
              <w:rPr>
                <w:rFonts w:ascii="Times New Roman" w:hAnsi="Times New Roman" w:cs="Times New Roman"/>
                <w:noProof/>
                <w:sz w:val="24"/>
              </w:rPr>
              <w:t>réalisera une étude sur la situation en matière de logement des groupes exposés au risque de discrimination et présentera une recommandation du Conseil sur la lutte contre l’exclusion en matière de logement;</w:t>
            </w:r>
          </w:p>
          <w:p w14:paraId="6A37686E" w14:textId="32E6D4F2" w:rsidR="006F24A1" w:rsidRPr="00A650D0" w:rsidRDefault="009E22D6" w:rsidP="006A2B52">
            <w:pPr>
              <w:pStyle w:val="ListParagraph"/>
              <w:numPr>
                <w:ilvl w:val="0"/>
                <w:numId w:val="28"/>
              </w:numPr>
              <w:spacing w:line="240" w:lineRule="auto"/>
              <w:ind w:left="426"/>
              <w:jc w:val="both"/>
              <w:rPr>
                <w:rFonts w:ascii="Times New Roman" w:hAnsi="Times New Roman" w:cs="Times New Roman"/>
                <w:noProof/>
                <w:sz w:val="24"/>
              </w:rPr>
            </w:pPr>
            <w:r w:rsidRPr="00A650D0">
              <w:rPr>
                <w:rFonts w:ascii="Times New Roman" w:hAnsi="Times New Roman" w:cs="Times New Roman"/>
                <w:noProof/>
                <w:sz w:val="24"/>
              </w:rPr>
              <w:t>aidera les États membres à mettre en œuvre des politiques de santé qui éliminent les préjugés raciaux, notamment en améliorant la collecte de données sur l’égalité en matière de santé, dans le respect des cadres juridiques nationaux.</w:t>
            </w:r>
          </w:p>
          <w:p w14:paraId="32B4B3A0" w14:textId="1342F0F2" w:rsidR="007C0366" w:rsidRPr="00A650D0" w:rsidRDefault="007C0366" w:rsidP="000F3D70">
            <w:pPr>
              <w:spacing w:line="240" w:lineRule="auto"/>
              <w:jc w:val="both"/>
              <w:rPr>
                <w:rFonts w:ascii="Times New Roman" w:hAnsi="Times New Roman" w:cs="Times New Roman"/>
                <w:b/>
                <w:noProof/>
                <w:sz w:val="24"/>
              </w:rPr>
            </w:pPr>
            <w:r w:rsidRPr="00A650D0">
              <w:rPr>
                <w:rFonts w:ascii="Times New Roman" w:hAnsi="Times New Roman" w:cs="Times New Roman"/>
                <w:b/>
                <w:noProof/>
                <w:sz w:val="24"/>
              </w:rPr>
              <w:t>Les États membres sont encouragés à:</w:t>
            </w:r>
          </w:p>
          <w:p w14:paraId="595BC11D" w14:textId="171CB615" w:rsidR="007C0366" w:rsidRPr="00A650D0" w:rsidRDefault="007C0366" w:rsidP="006A2B52">
            <w:pPr>
              <w:pStyle w:val="ListParagraph"/>
              <w:numPr>
                <w:ilvl w:val="0"/>
                <w:numId w:val="28"/>
              </w:numPr>
              <w:spacing w:line="240" w:lineRule="auto"/>
              <w:ind w:left="426"/>
              <w:jc w:val="both"/>
              <w:rPr>
                <w:rFonts w:ascii="Times New Roman" w:hAnsi="Times New Roman" w:cs="Times New Roman"/>
                <w:noProof/>
                <w:sz w:val="24"/>
              </w:rPr>
            </w:pPr>
            <w:r w:rsidRPr="00A650D0">
              <w:rPr>
                <w:rFonts w:ascii="Times New Roman" w:hAnsi="Times New Roman" w:cs="Times New Roman"/>
                <w:noProof/>
                <w:sz w:val="24"/>
              </w:rPr>
              <w:t>présenter des initiatives stratégiques qui améliorent l’accès des personnes marginalisées à l’éducation et à la formation ainsi qu’aux possibilités d’emploi;</w:t>
            </w:r>
          </w:p>
          <w:p w14:paraId="300C5405" w14:textId="719958FB" w:rsidR="007C0366" w:rsidRPr="00A650D0" w:rsidRDefault="006E6117" w:rsidP="006A2B52">
            <w:pPr>
              <w:pStyle w:val="ListParagraph"/>
              <w:numPr>
                <w:ilvl w:val="0"/>
                <w:numId w:val="28"/>
              </w:numPr>
              <w:spacing w:line="240" w:lineRule="auto"/>
              <w:ind w:left="426"/>
              <w:jc w:val="both"/>
              <w:rPr>
                <w:rFonts w:ascii="Times New Roman" w:hAnsi="Times New Roman" w:cs="Times New Roman"/>
                <w:noProof/>
                <w:sz w:val="24"/>
              </w:rPr>
            </w:pPr>
            <w:r w:rsidRPr="00A650D0">
              <w:rPr>
                <w:rFonts w:ascii="Times New Roman" w:hAnsi="Times New Roman" w:cs="Times New Roman"/>
                <w:noProof/>
                <w:sz w:val="24"/>
              </w:rPr>
              <w:t>considérer le racisme comme un déterminant général de l’état de santé global d’une personne et façonner des politiques en matière de soins de santé en conséquence;</w:t>
            </w:r>
          </w:p>
          <w:p w14:paraId="0EF4B39D" w14:textId="07581492" w:rsidR="7F1A886B" w:rsidRPr="00A650D0" w:rsidRDefault="007C0366" w:rsidP="00B8137C">
            <w:pPr>
              <w:pStyle w:val="ListParagraph"/>
              <w:numPr>
                <w:ilvl w:val="0"/>
                <w:numId w:val="28"/>
              </w:numPr>
              <w:spacing w:line="240" w:lineRule="auto"/>
              <w:ind w:left="426"/>
              <w:jc w:val="both"/>
              <w:rPr>
                <w:rFonts w:ascii="Times New Roman" w:hAnsi="Times New Roman" w:cs="Times New Roman"/>
                <w:noProof/>
                <w:sz w:val="24"/>
              </w:rPr>
            </w:pPr>
            <w:r w:rsidRPr="00A650D0">
              <w:rPr>
                <w:rFonts w:ascii="Times New Roman" w:hAnsi="Times New Roman" w:cs="Times New Roman"/>
                <w:noProof/>
                <w:sz w:val="24"/>
              </w:rPr>
              <w:t>tenir compte de la situation des minorités raciales ou ethniques lors de l’élaboration et de la mise en œuvre des politiques visant à lutter contre l’exclusion sociale.</w:t>
            </w:r>
          </w:p>
        </w:tc>
      </w:tr>
    </w:tbl>
    <w:p w14:paraId="3AF01E7E" w14:textId="77777777" w:rsidR="00EA76A6" w:rsidRPr="00A650D0" w:rsidRDefault="00EA76A6" w:rsidP="00896BFF">
      <w:pPr>
        <w:spacing w:line="240" w:lineRule="auto"/>
        <w:rPr>
          <w:rFonts w:ascii="Times New Roman" w:hAnsi="Times New Roman" w:cs="Times New Roman"/>
          <w:b/>
          <w:bCs/>
          <w:noProof/>
          <w:sz w:val="24"/>
          <w:szCs w:val="24"/>
        </w:rPr>
      </w:pPr>
    </w:p>
    <w:p w14:paraId="65F9E78D" w14:textId="3F1C4782" w:rsidR="00BF6E0E" w:rsidRPr="00A650D0" w:rsidRDefault="171E31D5" w:rsidP="00896BFF">
      <w:pPr>
        <w:spacing w:line="240" w:lineRule="auto"/>
        <w:rPr>
          <w:rFonts w:ascii="Times New Roman" w:hAnsi="Times New Roman" w:cs="Times New Roman"/>
          <w:b/>
          <w:bCs/>
          <w:noProof/>
          <w:sz w:val="24"/>
          <w:szCs w:val="24"/>
        </w:rPr>
      </w:pPr>
      <w:r w:rsidRPr="00A650D0">
        <w:rPr>
          <w:rFonts w:ascii="Times New Roman" w:hAnsi="Times New Roman" w:cs="Times New Roman"/>
          <w:b/>
          <w:noProof/>
          <w:sz w:val="24"/>
        </w:rPr>
        <w:t>CHAPITRE IV — FAVORISER DES PARTENARIATS CLÉS</w:t>
      </w:r>
    </w:p>
    <w:p w14:paraId="58E378D8" w14:textId="5926650C" w:rsidR="00A41F53" w:rsidRPr="00A650D0" w:rsidRDefault="2234F0BE" w:rsidP="000F3D70">
      <w:pPr>
        <w:spacing w:line="240" w:lineRule="auto"/>
        <w:jc w:val="both"/>
        <w:rPr>
          <w:rFonts w:ascii="Times New Roman" w:eastAsia="Times New Roman" w:hAnsi="Times New Roman" w:cs="Times New Roman"/>
          <w:noProof/>
          <w:color w:val="000000" w:themeColor="text1"/>
          <w:sz w:val="24"/>
          <w:szCs w:val="24"/>
        </w:rPr>
      </w:pPr>
      <w:r w:rsidRPr="00A650D0">
        <w:rPr>
          <w:rFonts w:ascii="Times New Roman" w:hAnsi="Times New Roman" w:cs="Times New Roman"/>
          <w:noProof/>
          <w:color w:val="000000" w:themeColor="text1"/>
          <w:sz w:val="24"/>
        </w:rPr>
        <w:t>Pour parvenir à une Union européenne véritablement inclusive et équitable, il est nécessaire d’adopter une approche englobant l’ensemble de la société et d’associer et de mobiliser activement toutes les parties prenantes: les États membres, les institutions et agences de l’UE, les OSC, les partenaires internationaux, les collectivités régionales et locales, le secteur privé et les communautés touchées par le racisme.</w:t>
      </w:r>
      <w:r w:rsidRPr="00A650D0">
        <w:rPr>
          <w:rFonts w:ascii="Times New Roman" w:hAnsi="Times New Roman" w:cs="Times New Roman"/>
          <w:noProof/>
          <w:sz w:val="24"/>
        </w:rPr>
        <w:t xml:space="preserve"> La Commission consolidera sa coopération avec les parties prenantes et veillera à ce que divers points de vue soient pris en compte dans le processus d’élaboration des politiques.</w:t>
      </w:r>
    </w:p>
    <w:p w14:paraId="0123F3D0" w14:textId="26979C2E" w:rsidR="00A33879" w:rsidRPr="00A650D0" w:rsidRDefault="00432A95" w:rsidP="00A33879">
      <w:pPr>
        <w:spacing w:line="240" w:lineRule="auto"/>
        <w:jc w:val="both"/>
        <w:rPr>
          <w:rFonts w:ascii="Times New Roman" w:hAnsi="Times New Roman" w:cs="Times New Roman"/>
          <w:noProof/>
          <w:sz w:val="24"/>
          <w:szCs w:val="24"/>
        </w:rPr>
      </w:pPr>
      <w:r w:rsidRPr="00A650D0">
        <w:rPr>
          <w:rFonts w:ascii="Times New Roman" w:hAnsi="Times New Roman" w:cs="Times New Roman"/>
          <w:b/>
          <w:i/>
          <w:noProof/>
          <w:sz w:val="24"/>
        </w:rPr>
        <w:t>Coordonner la lutte contre le racisme au niveau de l’UE</w:t>
      </w:r>
    </w:p>
    <w:p w14:paraId="50ACCF03" w14:textId="6D58F97B" w:rsidR="00E06D6C" w:rsidRPr="006222F8" w:rsidRDefault="6D75177A" w:rsidP="000F3D70">
      <w:pPr>
        <w:pStyle w:val="paragraph"/>
        <w:spacing w:before="0" w:beforeAutospacing="0" w:after="160" w:afterAutospacing="0"/>
        <w:jc w:val="both"/>
        <w:textAlignment w:val="baseline"/>
        <w:rPr>
          <w:rFonts w:eastAsiaTheme="majorEastAsia"/>
          <w:noProof/>
        </w:rPr>
      </w:pPr>
      <w:r w:rsidRPr="00A650D0">
        <w:rPr>
          <w:noProof/>
        </w:rPr>
        <w:t xml:space="preserve">Le </w:t>
      </w:r>
      <w:hyperlink r:id="rId82" w:anchor=":~:text=In%20addition%2C%20the%20coordinator%20joins,ever%20nominated%20Coordinator%20(2021)." w:history="1">
        <w:r w:rsidRPr="00A650D0">
          <w:rPr>
            <w:rStyle w:val="Hyperlink"/>
            <w:b/>
            <w:noProof/>
          </w:rPr>
          <w:t>coordinateur «antiracisme» de la Commission européenne</w:t>
        </w:r>
      </w:hyperlink>
      <w:r w:rsidRPr="00A650D0">
        <w:rPr>
          <w:noProof/>
        </w:rPr>
        <w:t xml:space="preserve"> </w:t>
      </w:r>
      <w:r w:rsidRPr="00A650D0">
        <w:rPr>
          <w:b/>
          <w:noProof/>
        </w:rPr>
        <w:t>continuera de jouer un rôle central dans les actions menées pour lutter contre toutes les formes de racisme</w:t>
      </w:r>
      <w:r w:rsidRPr="00A650D0">
        <w:rPr>
          <w:noProof/>
        </w:rPr>
        <w:t xml:space="preserve">, en facilitant les dialogues structurés avec les communautés victimes de racisme, renforçant ainsi la légitimité démocratique et préservant les droits fondamentaux. Il travaillera en étroite collaboration avec le coordinateur de la lutte contre la haine antimusulmane, le coordinateur à la lutte contre l’antisémitisme et au soutien à la vie juive, le coordinateur pour les droits des </w:t>
      </w:r>
      <w:r w:rsidRPr="006222F8">
        <w:rPr>
          <w:noProof/>
        </w:rPr>
        <w:t xml:space="preserve">victimes ainsi que le coordonnateur européen des activités relatives à la jeunesse. </w:t>
      </w:r>
    </w:p>
    <w:p w14:paraId="5C1D995A" w14:textId="799F78D0" w:rsidR="00C627F2" w:rsidRPr="006222F8" w:rsidRDefault="00DC718F" w:rsidP="00C627F2">
      <w:pPr>
        <w:spacing w:line="240" w:lineRule="auto"/>
        <w:jc w:val="both"/>
        <w:rPr>
          <w:rFonts w:ascii="Times New Roman" w:hAnsi="Times New Roman" w:cs="Times New Roman"/>
          <w:noProof/>
          <w:sz w:val="24"/>
          <w:szCs w:val="24"/>
        </w:rPr>
      </w:pPr>
      <w:r w:rsidRPr="006222F8">
        <w:rPr>
          <w:rFonts w:ascii="Times New Roman" w:hAnsi="Times New Roman" w:cs="Times New Roman"/>
          <w:noProof/>
          <w:sz w:val="24"/>
          <w:szCs w:val="24"/>
        </w:rPr>
        <w:t xml:space="preserve">Pour lutter efficacement contre le racisme, il est nécessaire que les OSC qui représentent les personnes les plus touchées participent de manière significative aux actions menées. </w:t>
      </w:r>
      <w:r w:rsidRPr="006222F8">
        <w:rPr>
          <w:rFonts w:ascii="Times New Roman" w:hAnsi="Times New Roman" w:cs="Times New Roman"/>
          <w:b/>
          <w:noProof/>
          <w:sz w:val="24"/>
          <w:szCs w:val="24"/>
        </w:rPr>
        <w:t>La Commission renouvellera le</w:t>
      </w:r>
      <w:r w:rsidRPr="006222F8">
        <w:rPr>
          <w:rFonts w:ascii="Times New Roman" w:hAnsi="Times New Roman" w:cs="Times New Roman"/>
          <w:noProof/>
          <w:sz w:val="24"/>
          <w:szCs w:val="24"/>
        </w:rPr>
        <w:t xml:space="preserve"> </w:t>
      </w:r>
      <w:hyperlink r:id="rId83" w:history="1">
        <w:r w:rsidRPr="006222F8">
          <w:rPr>
            <w:rStyle w:val="Hyperlink"/>
            <w:rFonts w:ascii="Times New Roman" w:hAnsi="Times New Roman" w:cs="Times New Roman"/>
            <w:b/>
            <w:noProof/>
            <w:sz w:val="24"/>
            <w:szCs w:val="24"/>
          </w:rPr>
          <w:t>forum de la société civile contre le racisme</w:t>
        </w:r>
      </w:hyperlink>
      <w:r w:rsidRPr="006222F8">
        <w:rPr>
          <w:rFonts w:ascii="Times New Roman" w:hAnsi="Times New Roman" w:cs="Times New Roman"/>
          <w:b/>
          <w:noProof/>
          <w:sz w:val="24"/>
          <w:szCs w:val="24"/>
        </w:rPr>
        <w:t xml:space="preserve"> </w:t>
      </w:r>
      <w:r w:rsidRPr="006222F8">
        <w:rPr>
          <w:rFonts w:ascii="Times New Roman" w:hAnsi="Times New Roman" w:cs="Times New Roman"/>
          <w:noProof/>
          <w:sz w:val="24"/>
          <w:szCs w:val="24"/>
        </w:rPr>
        <w:t xml:space="preserve">au moyen d’un appel à manifestation d’intérêt </w:t>
      </w:r>
      <w:r w:rsidRPr="006222F8">
        <w:rPr>
          <w:rFonts w:ascii="Times New Roman" w:hAnsi="Times New Roman" w:cs="Times New Roman"/>
          <w:b/>
          <w:noProof/>
          <w:sz w:val="24"/>
          <w:szCs w:val="24"/>
        </w:rPr>
        <w:t>et élaborera un programme de travail annuel pour orienter ses activités</w:t>
      </w:r>
      <w:r w:rsidRPr="006222F8">
        <w:rPr>
          <w:rFonts w:ascii="Times New Roman" w:hAnsi="Times New Roman" w:cs="Times New Roman"/>
          <w:noProof/>
          <w:sz w:val="24"/>
          <w:szCs w:val="24"/>
        </w:rPr>
        <w:t xml:space="preserve">. Ce sera l’occasion de diversifier la composition du forum, en y intégrant les perspectives et l’expertise de nouvelles organisations nationales et locales. </w:t>
      </w:r>
    </w:p>
    <w:p w14:paraId="750861CC" w14:textId="75EAC8DB" w:rsidR="00A83756" w:rsidRPr="006222F8" w:rsidRDefault="00A86A21" w:rsidP="00C627F2">
      <w:pPr>
        <w:spacing w:line="240" w:lineRule="auto"/>
        <w:jc w:val="both"/>
        <w:rPr>
          <w:rFonts w:ascii="Times New Roman" w:hAnsi="Times New Roman" w:cs="Times New Roman"/>
          <w:noProof/>
          <w:sz w:val="24"/>
          <w:szCs w:val="24"/>
        </w:rPr>
      </w:pPr>
      <w:r w:rsidRPr="006222F8">
        <w:rPr>
          <w:rFonts w:ascii="Times New Roman" w:hAnsi="Times New Roman" w:cs="Times New Roman"/>
          <w:noProof/>
          <w:sz w:val="24"/>
          <w:szCs w:val="24"/>
        </w:rPr>
        <w:t xml:space="preserve">Au-delà du dialogue stratégique en cours en matière d’antiracisme avec les OSC, la Commission reconnaît le rôle crucial joué par ces dernières et la nécessité de renforcer l’espace civil, ainsi que le souligne la </w:t>
      </w:r>
      <w:hyperlink r:id="rId84" w:history="1">
        <w:r w:rsidRPr="006222F8">
          <w:rPr>
            <w:rStyle w:val="Hyperlink"/>
            <w:rFonts w:ascii="Times New Roman" w:hAnsi="Times New Roman" w:cs="Times New Roman"/>
            <w:noProof/>
            <w:sz w:val="24"/>
            <w:szCs w:val="24"/>
          </w:rPr>
          <w:t xml:space="preserve">stratégie de l’Union pour la société civile, </w:t>
        </w:r>
        <w:r w:rsidRPr="006222F8">
          <w:rPr>
            <w:rStyle w:val="Hyperlink"/>
            <w:rFonts w:ascii="Times New Roman" w:hAnsi="Times New Roman" w:cs="Times New Roman"/>
            <w:noProof/>
            <w:color w:val="000000" w:themeColor="text1"/>
            <w:sz w:val="24"/>
            <w:szCs w:val="24"/>
          </w:rPr>
          <w:t>dans un contexte où les OSC qui luttent contre le racisme sont de plus en plus confrontées à des campagnes de désinformation et à des pressions régulières</w:t>
        </w:r>
      </w:hyperlink>
      <w:r w:rsidRPr="006222F8">
        <w:rPr>
          <w:rFonts w:ascii="Times New Roman" w:hAnsi="Times New Roman" w:cs="Times New Roman"/>
          <w:noProof/>
          <w:sz w:val="24"/>
          <w:szCs w:val="24"/>
        </w:rPr>
        <w:t xml:space="preserve">. Comme annoncé dans ce document, </w:t>
      </w:r>
      <w:r w:rsidRPr="006222F8">
        <w:rPr>
          <w:rFonts w:ascii="Times New Roman" w:hAnsi="Times New Roman" w:cs="Times New Roman"/>
          <w:b/>
          <w:noProof/>
          <w:sz w:val="24"/>
          <w:szCs w:val="24"/>
        </w:rPr>
        <w:t>la Commission mettra en place une plateforme plus large de la société civile, qui fournira un cadre régulier et structuré pour le dialogue sur la protection et la promotion des valeurs de l’UE</w:t>
      </w:r>
      <w:r w:rsidRPr="006222F8">
        <w:rPr>
          <w:rFonts w:ascii="Times New Roman" w:hAnsi="Times New Roman" w:cs="Times New Roman"/>
          <w:noProof/>
          <w:sz w:val="24"/>
          <w:szCs w:val="24"/>
        </w:rPr>
        <w:t>. Cela renforcera la résilience des OSC, notamment de celles qui ont pour but de lutter contre le racisme.</w:t>
      </w:r>
    </w:p>
    <w:p w14:paraId="08D313D5" w14:textId="747C9D30" w:rsidR="007C0784" w:rsidRPr="006222F8" w:rsidRDefault="00A81521" w:rsidP="00C627F2">
      <w:pPr>
        <w:spacing w:line="240" w:lineRule="auto"/>
        <w:jc w:val="both"/>
        <w:rPr>
          <w:rFonts w:ascii="Times New Roman" w:hAnsi="Times New Roman" w:cs="Times New Roman"/>
          <w:noProof/>
          <w:sz w:val="24"/>
          <w:szCs w:val="24"/>
        </w:rPr>
      </w:pPr>
      <w:r w:rsidRPr="006222F8">
        <w:rPr>
          <w:rFonts w:ascii="Times New Roman" w:hAnsi="Times New Roman" w:cs="Times New Roman"/>
          <w:noProof/>
          <w:sz w:val="24"/>
          <w:szCs w:val="24"/>
        </w:rPr>
        <w:t xml:space="preserve">Afin de faire en sorte que toutes les politiques de l’UE contribuent à la lutte contre le racisme, la Commission continuera également de tenir compte du racisme dans le cadre de ses travaux sur l’intégration de l’égalité. Ces efforts sont menés par la commissaire à l’égalité et sont soutenus par les points de contact «égalité» au sein des cabinets et une </w:t>
      </w:r>
      <w:r w:rsidRPr="006222F8">
        <w:rPr>
          <w:rFonts w:ascii="Times New Roman" w:hAnsi="Times New Roman" w:cs="Times New Roman"/>
          <w:b/>
          <w:noProof/>
          <w:sz w:val="24"/>
          <w:szCs w:val="24"/>
        </w:rPr>
        <w:t>task force pour l’égalité</w:t>
      </w:r>
      <w:r w:rsidRPr="006222F8">
        <w:rPr>
          <w:rFonts w:ascii="Times New Roman" w:hAnsi="Times New Roman" w:cs="Times New Roman"/>
          <w:noProof/>
          <w:sz w:val="24"/>
          <w:szCs w:val="24"/>
        </w:rPr>
        <w:t>, qui réunit les coordinateurs pour l’égalité de toutes les directions générales.</w:t>
      </w:r>
    </w:p>
    <w:p w14:paraId="471A2FAB" w14:textId="41BEB51A" w:rsidR="00C627F2" w:rsidRPr="00A650D0" w:rsidRDefault="00C627F2" w:rsidP="00C627F2">
      <w:pPr>
        <w:spacing w:line="240" w:lineRule="auto"/>
        <w:jc w:val="both"/>
        <w:rPr>
          <w:rFonts w:ascii="Times New Roman" w:hAnsi="Times New Roman" w:cs="Times New Roman"/>
          <w:b/>
          <w:i/>
          <w:noProof/>
          <w:sz w:val="24"/>
        </w:rPr>
      </w:pPr>
      <w:r w:rsidRPr="00A650D0">
        <w:rPr>
          <w:rFonts w:ascii="Times New Roman" w:hAnsi="Times New Roman" w:cs="Times New Roman"/>
          <w:b/>
          <w:i/>
          <w:noProof/>
          <w:sz w:val="24"/>
        </w:rPr>
        <w:t xml:space="preserve">Promouvoir la lutte contre le racisme au niveau mondial </w:t>
      </w:r>
    </w:p>
    <w:p w14:paraId="140569AA" w14:textId="4B287F28" w:rsidR="00C7378E" w:rsidRPr="006222F8" w:rsidRDefault="00C627F2" w:rsidP="00C627F2">
      <w:pPr>
        <w:spacing w:line="240" w:lineRule="auto"/>
        <w:jc w:val="both"/>
        <w:rPr>
          <w:rFonts w:ascii="Times New Roman" w:hAnsi="Times New Roman" w:cs="Times New Roman"/>
          <w:noProof/>
          <w:sz w:val="24"/>
          <w:szCs w:val="24"/>
        </w:rPr>
      </w:pPr>
      <w:r w:rsidRPr="006222F8">
        <w:rPr>
          <w:rFonts w:ascii="Times New Roman" w:hAnsi="Times New Roman" w:cs="Times New Roman"/>
          <w:noProof/>
          <w:sz w:val="24"/>
          <w:szCs w:val="24"/>
        </w:rPr>
        <w:t xml:space="preserve">Les politiques de l’UE en matière de lutte contre le racisme sont profondément ancrées dans le cadre international des droits de l’homme. L’Union continuera de plaider en faveur de la ratification universelle de la </w:t>
      </w:r>
      <w:hyperlink r:id="rId85" w:history="1">
        <w:r w:rsidRPr="006222F8">
          <w:rPr>
            <w:rStyle w:val="Hyperlink"/>
            <w:rFonts w:ascii="Times New Roman" w:hAnsi="Times New Roman" w:cs="Times New Roman"/>
            <w:noProof/>
            <w:sz w:val="24"/>
            <w:szCs w:val="24"/>
          </w:rPr>
          <w:t>convention internationale sur l’élimination de toutes les formes de discrimination raciale (ICERD)</w:t>
        </w:r>
      </w:hyperlink>
      <w:r w:rsidRPr="006222F8">
        <w:rPr>
          <w:rFonts w:ascii="Times New Roman" w:hAnsi="Times New Roman" w:cs="Times New Roman"/>
          <w:noProof/>
          <w:sz w:val="24"/>
          <w:szCs w:val="24"/>
        </w:rPr>
        <w:t xml:space="preserve">, à laquelle tous les États membres de l’UE sont parties, et soutiendra la </w:t>
      </w:r>
      <w:hyperlink r:id="rId86" w:history="1">
        <w:r w:rsidRPr="006222F8">
          <w:rPr>
            <w:rStyle w:val="Hyperlink"/>
            <w:rFonts w:ascii="Times New Roman" w:hAnsi="Times New Roman" w:cs="Times New Roman"/>
            <w:noProof/>
            <w:sz w:val="24"/>
            <w:szCs w:val="24"/>
          </w:rPr>
          <w:t>déclaration et le programme d’action de Durban (DDPA)</w:t>
        </w:r>
      </w:hyperlink>
      <w:r w:rsidRPr="006222F8">
        <w:rPr>
          <w:rFonts w:ascii="Times New Roman" w:hAnsi="Times New Roman" w:cs="Times New Roman"/>
          <w:noProof/>
          <w:sz w:val="24"/>
          <w:szCs w:val="24"/>
        </w:rPr>
        <w:t xml:space="preserve">, le cadre mondial des Nations unies pour lutter contre le racisme. Ces engagements sont renforcés par la </w:t>
      </w:r>
      <w:hyperlink r:id="rId87" w:history="1">
        <w:r w:rsidRPr="006222F8">
          <w:rPr>
            <w:rStyle w:val="Hyperlink"/>
            <w:rFonts w:ascii="Times New Roman" w:hAnsi="Times New Roman" w:cs="Times New Roman"/>
            <w:noProof/>
            <w:sz w:val="24"/>
            <w:szCs w:val="24"/>
          </w:rPr>
          <w:t>Cour européenne des droits de l’homme (CEDH)</w:t>
        </w:r>
      </w:hyperlink>
      <w:r w:rsidRPr="006222F8">
        <w:rPr>
          <w:rFonts w:ascii="Times New Roman" w:hAnsi="Times New Roman" w:cs="Times New Roman"/>
          <w:noProof/>
          <w:sz w:val="24"/>
          <w:szCs w:val="24"/>
        </w:rPr>
        <w:t xml:space="preserve"> et la </w:t>
      </w:r>
      <w:hyperlink r:id="rId88" w:history="1">
        <w:r w:rsidRPr="006222F8">
          <w:rPr>
            <w:rStyle w:val="Hyperlink"/>
            <w:rFonts w:ascii="Times New Roman" w:hAnsi="Times New Roman" w:cs="Times New Roman"/>
            <w:noProof/>
            <w:sz w:val="24"/>
            <w:szCs w:val="24"/>
          </w:rPr>
          <w:t>Commission européenne contre le racisme et l’intolérance (ECRI) du Conseil de l’Europe</w:t>
        </w:r>
      </w:hyperlink>
      <w:r w:rsidRPr="006222F8">
        <w:rPr>
          <w:rFonts w:ascii="Times New Roman" w:hAnsi="Times New Roman" w:cs="Times New Roman"/>
          <w:noProof/>
          <w:sz w:val="24"/>
          <w:szCs w:val="24"/>
        </w:rPr>
        <w:t>, qui fournit des recommandations stratégiques importantes et des rapports par pays. L’Union continue de jouer un rôle de premier plan au niveau mondial en soutenant des initiatives internationales</w:t>
      </w:r>
      <w:r w:rsidRPr="006222F8">
        <w:rPr>
          <w:rStyle w:val="FootnoteReference"/>
          <w:rFonts w:ascii="Times New Roman" w:hAnsi="Times New Roman" w:cs="Times New Roman"/>
          <w:noProof/>
          <w:sz w:val="24"/>
          <w:szCs w:val="24"/>
        </w:rPr>
        <w:footnoteReference w:id="45"/>
      </w:r>
      <w:r w:rsidRPr="006222F8">
        <w:rPr>
          <w:rFonts w:ascii="Times New Roman" w:hAnsi="Times New Roman" w:cs="Times New Roman"/>
          <w:noProof/>
          <w:sz w:val="24"/>
          <w:szCs w:val="24"/>
        </w:rPr>
        <w:t xml:space="preserve"> à l’aide de tous les outils dont elle dispose dans le cadre de la politique étrangère et de sécurité commune. </w:t>
      </w:r>
    </w:p>
    <w:p w14:paraId="39CC95D8" w14:textId="6BA2F646" w:rsidR="00C627F2" w:rsidRPr="006222F8" w:rsidRDefault="00A849FE" w:rsidP="00C627F2">
      <w:pPr>
        <w:spacing w:line="240" w:lineRule="auto"/>
        <w:jc w:val="both"/>
        <w:rPr>
          <w:rFonts w:ascii="Times New Roman" w:eastAsia="Times New Roman" w:hAnsi="Times New Roman" w:cs="Times New Roman"/>
          <w:noProof/>
          <w:color w:val="000000" w:themeColor="text1"/>
          <w:sz w:val="24"/>
          <w:szCs w:val="24"/>
        </w:rPr>
      </w:pPr>
      <w:r w:rsidRPr="006222F8">
        <w:rPr>
          <w:rFonts w:ascii="Times New Roman" w:hAnsi="Times New Roman" w:cs="Times New Roman"/>
          <w:b/>
          <w:noProof/>
          <w:color w:val="000000" w:themeColor="text1"/>
          <w:sz w:val="24"/>
          <w:szCs w:val="24"/>
        </w:rPr>
        <w:t>Il est envisagé de mettre en place une table ronde internationale en vue d’approfondir la coopération avec les organes compétents des Nations unies, du Conseil de l’Europe et d’autres organes multilatéraux.</w:t>
      </w:r>
      <w:r w:rsidRPr="006222F8">
        <w:rPr>
          <w:rFonts w:ascii="Times New Roman" w:hAnsi="Times New Roman" w:cs="Times New Roman"/>
          <w:noProof/>
          <w:color w:val="000000" w:themeColor="text1"/>
          <w:sz w:val="24"/>
          <w:szCs w:val="24"/>
        </w:rPr>
        <w:t xml:space="preserve"> </w:t>
      </w:r>
      <w:r w:rsidRPr="006222F8">
        <w:rPr>
          <w:rFonts w:ascii="Times New Roman" w:hAnsi="Times New Roman" w:cs="Times New Roman"/>
          <w:noProof/>
          <w:sz w:val="24"/>
          <w:szCs w:val="24"/>
        </w:rPr>
        <w:t xml:space="preserve">Cela devrait inclure des discussions régulières sur la mise en œuvre des recommandations de l’ICERD et de l’ECRI et une collaboration plus étroite avec la </w:t>
      </w:r>
      <w:hyperlink r:id="rId89" w:history="1">
        <w:r w:rsidRPr="006222F8">
          <w:rPr>
            <w:rStyle w:val="Hyperlink"/>
            <w:rFonts w:ascii="Times New Roman" w:hAnsi="Times New Roman" w:cs="Times New Roman"/>
            <w:noProof/>
            <w:sz w:val="24"/>
            <w:szCs w:val="24"/>
          </w:rPr>
          <w:t>Rapporteuse spéciale des Nations unies sur les formes contemporaines de racisme</w:t>
        </w:r>
      </w:hyperlink>
      <w:r w:rsidRPr="006222F8">
        <w:rPr>
          <w:rFonts w:ascii="Times New Roman" w:hAnsi="Times New Roman" w:cs="Times New Roman"/>
          <w:noProof/>
          <w:sz w:val="24"/>
          <w:szCs w:val="24"/>
        </w:rPr>
        <w:t>.</w:t>
      </w:r>
      <w:r w:rsidRPr="006222F8">
        <w:rPr>
          <w:rFonts w:ascii="Times New Roman" w:hAnsi="Times New Roman" w:cs="Times New Roman"/>
          <w:noProof/>
          <w:color w:val="000000" w:themeColor="text1"/>
          <w:sz w:val="24"/>
          <w:szCs w:val="24"/>
        </w:rPr>
        <w:t xml:space="preserve"> </w:t>
      </w:r>
    </w:p>
    <w:p w14:paraId="426F1B28" w14:textId="65CEC5FA" w:rsidR="00515BD8" w:rsidRPr="006222F8" w:rsidRDefault="00B74C31" w:rsidP="00C627F2">
      <w:pPr>
        <w:spacing w:line="240" w:lineRule="auto"/>
        <w:jc w:val="both"/>
        <w:rPr>
          <w:rFonts w:ascii="Times New Roman" w:hAnsi="Times New Roman" w:cs="Times New Roman"/>
          <w:noProof/>
          <w:sz w:val="24"/>
          <w:szCs w:val="24"/>
        </w:rPr>
      </w:pPr>
      <w:r w:rsidRPr="006222F8">
        <w:rPr>
          <w:rFonts w:ascii="Times New Roman" w:hAnsi="Times New Roman" w:cs="Times New Roman"/>
          <w:b/>
          <w:noProof/>
          <w:color w:val="000000" w:themeColor="text1"/>
          <w:sz w:val="24"/>
          <w:szCs w:val="24"/>
        </w:rPr>
        <w:t>L’Union continuera d’utiliser ses outils diplomatiques et en matière de droits de l’homme aux niveaux bilatéral et multilatéral</w:t>
      </w:r>
      <w:r w:rsidRPr="006222F8">
        <w:rPr>
          <w:rFonts w:ascii="Times New Roman" w:hAnsi="Times New Roman" w:cs="Times New Roman"/>
          <w:noProof/>
          <w:color w:val="000000" w:themeColor="text1"/>
          <w:sz w:val="24"/>
          <w:szCs w:val="24"/>
        </w:rPr>
        <w:t xml:space="preserve"> pour promouvoir ses politiques de lutte contre le racisme et contre la discrimination, y compris avec ses partenaires stratégiques dans le cadre des dialogues sur les droits de l’homme, des réunions ministérielles et des sommets. </w:t>
      </w:r>
      <w:r w:rsidRPr="006222F8">
        <w:rPr>
          <w:rFonts w:ascii="Times New Roman" w:hAnsi="Times New Roman" w:cs="Times New Roman"/>
          <w:noProof/>
          <w:sz w:val="24"/>
          <w:szCs w:val="24"/>
        </w:rPr>
        <w:t xml:space="preserve">Grâce au </w:t>
      </w:r>
      <w:hyperlink r:id="rId90" w:history="1">
        <w:r w:rsidRPr="006222F8">
          <w:rPr>
            <w:rStyle w:val="Hyperlink"/>
            <w:rFonts w:ascii="Times New Roman" w:hAnsi="Times New Roman" w:cs="Times New Roman"/>
            <w:noProof/>
            <w:sz w:val="24"/>
            <w:szCs w:val="24"/>
          </w:rPr>
          <w:t>pacte pour la Méditerranée</w:t>
        </w:r>
      </w:hyperlink>
      <w:r w:rsidRPr="006222F8">
        <w:rPr>
          <w:rFonts w:ascii="Times New Roman" w:hAnsi="Times New Roman" w:cs="Times New Roman"/>
          <w:noProof/>
          <w:sz w:val="24"/>
          <w:szCs w:val="24"/>
        </w:rPr>
        <w:t xml:space="preserve">, l’Union renforcera la coopération dans les domaines de l’éducation, de la culture et du sport avec les pays partenaires, ce qui favorisera la compréhension mutuelle et l’inclusion. Au niveau bilatéral, l’UE poursuivra la mise en œuvre de ses </w:t>
      </w:r>
      <w:hyperlink r:id="rId91" w:history="1">
        <w:r w:rsidRPr="006222F8">
          <w:rPr>
            <w:rStyle w:val="Hyperlink"/>
            <w:rFonts w:ascii="Times New Roman" w:hAnsi="Times New Roman" w:cs="Times New Roman"/>
            <w:noProof/>
            <w:sz w:val="24"/>
            <w:szCs w:val="24"/>
          </w:rPr>
          <w:t>orientations relatives à la non-discrimination dans l’action extérieure</w:t>
        </w:r>
      </w:hyperlink>
      <w:r w:rsidRPr="006222F8">
        <w:rPr>
          <w:rFonts w:ascii="Times New Roman" w:hAnsi="Times New Roman" w:cs="Times New Roman"/>
          <w:noProof/>
          <w:sz w:val="24"/>
          <w:szCs w:val="24"/>
        </w:rPr>
        <w:t xml:space="preserve"> et de ses autres orientations dans le domaine des droits de l’homme.</w:t>
      </w:r>
    </w:p>
    <w:p w14:paraId="419BB166" w14:textId="1BB9FEF6" w:rsidR="008D5D8F" w:rsidRPr="006222F8" w:rsidRDefault="008D5D8F" w:rsidP="008D5D8F">
      <w:pPr>
        <w:spacing w:line="240" w:lineRule="auto"/>
        <w:jc w:val="both"/>
        <w:rPr>
          <w:rFonts w:ascii="Times New Roman" w:hAnsi="Times New Roman" w:cs="Times New Roman"/>
          <w:noProof/>
          <w:sz w:val="24"/>
          <w:szCs w:val="24"/>
        </w:rPr>
      </w:pPr>
      <w:r w:rsidRPr="006222F8">
        <w:rPr>
          <w:rFonts w:ascii="Times New Roman" w:hAnsi="Times New Roman" w:cs="Times New Roman"/>
          <w:noProof/>
          <w:sz w:val="24"/>
          <w:szCs w:val="24"/>
        </w:rPr>
        <w:t>Une collaboration étroite avec les représentations de la Commission dans les États membres et les délégations de l’UE dans les pays tiers visera également à faire progresser la lutte contre le racisme à l’échelle mondiale.</w:t>
      </w:r>
    </w:p>
    <w:p w14:paraId="029A5443" w14:textId="488DED0C" w:rsidR="00C90E4F" w:rsidRPr="006222F8" w:rsidRDefault="00C90E4F" w:rsidP="00C90E4F">
      <w:pPr>
        <w:spacing w:line="240" w:lineRule="auto"/>
        <w:jc w:val="both"/>
        <w:rPr>
          <w:rFonts w:ascii="Times New Roman" w:hAnsi="Times New Roman" w:cs="Times New Roman"/>
          <w:noProof/>
          <w:sz w:val="24"/>
          <w:szCs w:val="24"/>
        </w:rPr>
      </w:pPr>
      <w:r w:rsidRPr="006222F8">
        <w:rPr>
          <w:rFonts w:ascii="Times New Roman" w:hAnsi="Times New Roman" w:cs="Times New Roman"/>
          <w:noProof/>
          <w:sz w:val="24"/>
          <w:szCs w:val="24"/>
        </w:rPr>
        <w:t xml:space="preserve">L’Union reste déterminée à soutenir, à l’échelle mondiale, les défenseurs des droits de l’homme et les OSC œuvrant dans ce domaine, notamment dans le cadre du </w:t>
      </w:r>
      <w:hyperlink r:id="rId92" w:history="1">
        <w:r w:rsidRPr="006222F8">
          <w:rPr>
            <w:rStyle w:val="Hyperlink"/>
            <w:rFonts w:ascii="Times New Roman" w:hAnsi="Times New Roman" w:cs="Times New Roman"/>
            <w:noProof/>
            <w:sz w:val="24"/>
            <w:szCs w:val="24"/>
          </w:rPr>
          <w:t>plan d’action de l’UE en faveur des droits de l’homme et de la démocratie</w:t>
        </w:r>
      </w:hyperlink>
      <w:r w:rsidRPr="006222F8">
        <w:rPr>
          <w:rFonts w:ascii="Times New Roman" w:hAnsi="Times New Roman" w:cs="Times New Roman"/>
          <w:noProof/>
          <w:sz w:val="24"/>
          <w:szCs w:val="24"/>
        </w:rPr>
        <w:t xml:space="preserve">, en particulier ceux qui défendent les droits des peuples autochtones, des minorités et des groupes marginalisés victimes de discrimination raciale ou ethnique. </w:t>
      </w:r>
      <w:r w:rsidRPr="006222F8">
        <w:rPr>
          <w:rFonts w:ascii="Times New Roman" w:hAnsi="Times New Roman" w:cs="Times New Roman"/>
          <w:noProof/>
          <w:color w:val="000000" w:themeColor="text1"/>
          <w:sz w:val="24"/>
          <w:szCs w:val="24"/>
        </w:rPr>
        <w:t>En outre, l’Union continuera de participer à l’analyse des activités de manipulation de l’information et d’ingérence menées depuis l’étranger qui diffusent des messages racistes et haineux, ainsi qu’à la lutte contre celles-ci.</w:t>
      </w:r>
    </w:p>
    <w:p w14:paraId="759F336D" w14:textId="459BA5B8" w:rsidR="00C90E4F" w:rsidRPr="006222F8" w:rsidRDefault="00C90E4F" w:rsidP="00C90E4F">
      <w:pPr>
        <w:spacing w:line="240" w:lineRule="auto"/>
        <w:jc w:val="both"/>
        <w:rPr>
          <w:rFonts w:ascii="Times New Roman" w:hAnsi="Times New Roman" w:cs="Times New Roman"/>
          <w:noProof/>
          <w:sz w:val="24"/>
          <w:szCs w:val="24"/>
        </w:rPr>
      </w:pPr>
      <w:r w:rsidRPr="006222F8">
        <w:rPr>
          <w:rFonts w:ascii="Times New Roman" w:hAnsi="Times New Roman" w:cs="Times New Roman"/>
          <w:noProof/>
          <w:sz w:val="24"/>
          <w:szCs w:val="24"/>
        </w:rPr>
        <w:t>Dans le cadre de ses missions d’observation électorale, l’UE continuera de surveiller dans quelle mesure les minorités raciales ou ethniques, telles que les populations minoritaires nationales et les peuples autochtones, jouissent du droit et de la possibilité de participer aux affaires publiques et aux élections sur un pied d’égalité avec la population majoritaire</w:t>
      </w:r>
      <w:r w:rsidRPr="006222F8">
        <w:rPr>
          <w:rStyle w:val="FootnoteReference"/>
          <w:rFonts w:ascii="Times New Roman" w:hAnsi="Times New Roman" w:cs="Times New Roman"/>
          <w:noProof/>
          <w:sz w:val="24"/>
          <w:szCs w:val="24"/>
        </w:rPr>
        <w:footnoteReference w:id="46"/>
      </w:r>
      <w:r w:rsidRPr="006222F8">
        <w:rPr>
          <w:rFonts w:ascii="Times New Roman" w:hAnsi="Times New Roman" w:cs="Times New Roman"/>
          <w:noProof/>
          <w:sz w:val="24"/>
          <w:szCs w:val="24"/>
        </w:rPr>
        <w:t xml:space="preserve">. </w:t>
      </w:r>
    </w:p>
    <w:p w14:paraId="0049BE2E" w14:textId="71C62E8E" w:rsidR="00C627F2" w:rsidRPr="006222F8" w:rsidRDefault="00C627F2" w:rsidP="00C627F2">
      <w:pPr>
        <w:spacing w:line="240" w:lineRule="auto"/>
        <w:jc w:val="both"/>
        <w:rPr>
          <w:rFonts w:ascii="Times New Roman" w:hAnsi="Times New Roman" w:cs="Times New Roman"/>
          <w:noProof/>
          <w:sz w:val="24"/>
          <w:szCs w:val="24"/>
        </w:rPr>
      </w:pPr>
      <w:r w:rsidRPr="006222F8">
        <w:rPr>
          <w:rFonts w:ascii="Times New Roman" w:hAnsi="Times New Roman" w:cs="Times New Roman"/>
          <w:noProof/>
          <w:sz w:val="24"/>
          <w:szCs w:val="24"/>
        </w:rPr>
        <w:t xml:space="preserve">En ce qui concerne les pays candidats et les candidats potentiels à l’adhésion à l’UE, l’Union continuera de promouvoir leur alignement progressif sur la législation de l’UE en matière de prévention du racisme et de la discrimination raciale et de lutte contre ces phénomènes. Dans le cadre du </w:t>
      </w:r>
      <w:hyperlink r:id="rId93" w:history="1">
        <w:r w:rsidRPr="006222F8">
          <w:rPr>
            <w:rStyle w:val="Hyperlink"/>
            <w:rFonts w:ascii="Times New Roman" w:hAnsi="Times New Roman" w:cs="Times New Roman"/>
            <w:noProof/>
            <w:sz w:val="24"/>
            <w:szCs w:val="24"/>
          </w:rPr>
          <w:t>paquet «élargissement» annuel de la Commission</w:t>
        </w:r>
      </w:hyperlink>
      <w:r w:rsidRPr="006222F8">
        <w:rPr>
          <w:rFonts w:ascii="Times New Roman" w:hAnsi="Times New Roman" w:cs="Times New Roman"/>
          <w:noProof/>
          <w:sz w:val="24"/>
          <w:szCs w:val="24"/>
        </w:rPr>
        <w:t xml:space="preserve">, la situation dans le domaine des droits de l’homme ainsi que la mise en œuvre du principe de non-discrimination et des mesures de lutte contre le racisme, la xénophobie, les crimes de haine et les discours de haine continueront de faire l’objet d’un suivi. </w:t>
      </w:r>
    </w:p>
    <w:p w14:paraId="0D53BB97" w14:textId="70802354" w:rsidR="00C627F2" w:rsidRPr="006222F8" w:rsidRDefault="00C627F2" w:rsidP="00C627F2">
      <w:pPr>
        <w:spacing w:line="240" w:lineRule="auto"/>
        <w:jc w:val="both"/>
        <w:rPr>
          <w:rFonts w:ascii="Times New Roman" w:hAnsi="Times New Roman" w:cs="Times New Roman"/>
          <w:noProof/>
          <w:sz w:val="24"/>
          <w:szCs w:val="24"/>
        </w:rPr>
      </w:pPr>
      <w:r w:rsidRPr="006222F8">
        <w:rPr>
          <w:rFonts w:ascii="Times New Roman" w:hAnsi="Times New Roman" w:cs="Times New Roman"/>
          <w:b/>
          <w:noProof/>
          <w:sz w:val="24"/>
          <w:szCs w:val="24"/>
        </w:rPr>
        <w:t>Le coordinateur de la lutte contre la haine antimusulmane constituera un groupe de coordination</w:t>
      </w:r>
      <w:r w:rsidRPr="006222F8">
        <w:rPr>
          <w:rFonts w:ascii="Times New Roman" w:hAnsi="Times New Roman" w:cs="Times New Roman"/>
          <w:noProof/>
          <w:sz w:val="24"/>
          <w:szCs w:val="24"/>
        </w:rPr>
        <w:t xml:space="preserve"> réunissant les États membres, les institutions de l’UE, des organisations internationales, des pays partenaires et des OSC</w:t>
      </w:r>
      <w:r w:rsidRPr="006222F8">
        <w:rPr>
          <w:rStyle w:val="FootnoteReference"/>
          <w:rFonts w:ascii="Times New Roman" w:hAnsi="Times New Roman" w:cs="Times New Roman"/>
          <w:noProof/>
          <w:sz w:val="24"/>
          <w:szCs w:val="24"/>
        </w:rPr>
        <w:footnoteReference w:id="47"/>
      </w:r>
      <w:r w:rsidRPr="006222F8">
        <w:rPr>
          <w:rFonts w:ascii="Times New Roman" w:hAnsi="Times New Roman" w:cs="Times New Roman"/>
          <w:noProof/>
          <w:sz w:val="24"/>
          <w:szCs w:val="24"/>
        </w:rPr>
        <w:t xml:space="preserve"> afin d’examiner la meilleure manière de lutter contre la haine envers les musulmans.</w:t>
      </w:r>
    </w:p>
    <w:p w14:paraId="0C6712C5" w14:textId="69813106" w:rsidR="00F0775D" w:rsidRPr="006222F8" w:rsidRDefault="00F0775D" w:rsidP="00F0775D">
      <w:pPr>
        <w:spacing w:line="240" w:lineRule="auto"/>
        <w:jc w:val="both"/>
        <w:rPr>
          <w:rFonts w:ascii="Times New Roman" w:hAnsi="Times New Roman" w:cs="Times New Roman"/>
          <w:b/>
          <w:i/>
          <w:noProof/>
          <w:sz w:val="24"/>
          <w:szCs w:val="24"/>
        </w:rPr>
      </w:pPr>
      <w:r w:rsidRPr="006222F8">
        <w:rPr>
          <w:rFonts w:ascii="Times New Roman" w:hAnsi="Times New Roman" w:cs="Times New Roman"/>
          <w:b/>
          <w:i/>
          <w:noProof/>
          <w:sz w:val="24"/>
          <w:szCs w:val="24"/>
        </w:rPr>
        <w:t>Lutter contre le racisme au niveau national</w:t>
      </w:r>
    </w:p>
    <w:p w14:paraId="02CFE621" w14:textId="30B4348A" w:rsidR="00F0775D" w:rsidRPr="00A650D0" w:rsidRDefault="00C7378E" w:rsidP="008E598E">
      <w:pPr>
        <w:spacing w:line="240" w:lineRule="auto"/>
        <w:jc w:val="both"/>
        <w:rPr>
          <w:rFonts w:ascii="Times New Roman" w:hAnsi="Times New Roman" w:cs="Times New Roman"/>
          <w:noProof/>
          <w:sz w:val="24"/>
          <w:szCs w:val="24"/>
        </w:rPr>
      </w:pPr>
      <w:r w:rsidRPr="00A650D0">
        <w:rPr>
          <w:rFonts w:ascii="Times New Roman" w:hAnsi="Times New Roman" w:cs="Times New Roman"/>
          <w:noProof/>
          <w:sz w:val="24"/>
        </w:rPr>
        <w:t>Les efforts de lutte contre le racisme doivent être menés avant tout aux niveaux national, régional et local. La Commission soutiendra les États membres au moyen d’</w:t>
      </w:r>
      <w:r w:rsidRPr="00A650D0">
        <w:rPr>
          <w:rFonts w:ascii="Times New Roman" w:hAnsi="Times New Roman" w:cs="Times New Roman"/>
          <w:b/>
          <w:noProof/>
          <w:sz w:val="24"/>
        </w:rPr>
        <w:t>ateliers d’apprentissage mutuel conçus pour coordonner les politiques nationales avec la présente stratégie</w:t>
      </w:r>
      <w:r w:rsidRPr="00A650D0">
        <w:rPr>
          <w:rFonts w:ascii="Times New Roman" w:hAnsi="Times New Roman" w:cs="Times New Roman"/>
          <w:noProof/>
          <w:sz w:val="24"/>
        </w:rPr>
        <w:t>.</w:t>
      </w:r>
      <w:r w:rsidRPr="00A650D0">
        <w:rPr>
          <w:rFonts w:ascii="Times New Roman" w:hAnsi="Times New Roman" w:cs="Times New Roman"/>
          <w:b/>
          <w:noProof/>
          <w:sz w:val="24"/>
        </w:rPr>
        <w:t xml:space="preserve"> </w:t>
      </w:r>
      <w:r w:rsidRPr="00A650D0">
        <w:rPr>
          <w:rFonts w:ascii="Times New Roman" w:hAnsi="Times New Roman" w:cs="Times New Roman"/>
          <w:noProof/>
          <w:sz w:val="24"/>
        </w:rPr>
        <w:t xml:space="preserve">La Commission </w:t>
      </w:r>
      <w:r w:rsidRPr="00A650D0">
        <w:rPr>
          <w:rFonts w:ascii="Times New Roman" w:hAnsi="Times New Roman" w:cs="Times New Roman"/>
          <w:b/>
          <w:noProof/>
          <w:sz w:val="24"/>
        </w:rPr>
        <w:t>actualisera et renforcera le mandat du groupe sur la mise en œuvre nationale du plan d’action de l’UE contre le racisme</w:t>
      </w:r>
      <w:r w:rsidRPr="00A650D0">
        <w:rPr>
          <w:rStyle w:val="FootnoteReference"/>
          <w:rFonts w:ascii="Times New Roman" w:hAnsi="Times New Roman" w:cs="Times New Roman"/>
          <w:noProof/>
          <w:sz w:val="24"/>
          <w:szCs w:val="24"/>
        </w:rPr>
        <w:footnoteReference w:id="48"/>
      </w:r>
      <w:r w:rsidRPr="00A650D0">
        <w:rPr>
          <w:rFonts w:ascii="Times New Roman" w:hAnsi="Times New Roman" w:cs="Times New Roman"/>
          <w:noProof/>
          <w:sz w:val="24"/>
        </w:rPr>
        <w:t>, en encourageant tous les États membres à s’y engager activement et en invitant les pays candidats à l’adhésion à l’UE à y participer. Grâce à ce groupe d’experts, la Commission facilitera les échanges de bonnes pratiques et organisera des discussions entre experts</w:t>
      </w:r>
      <w:r w:rsidRPr="00A650D0">
        <w:rPr>
          <w:rStyle w:val="FootnoteReference"/>
          <w:rFonts w:ascii="Times New Roman" w:hAnsi="Times New Roman" w:cs="Times New Roman"/>
          <w:noProof/>
          <w:sz w:val="24"/>
          <w:szCs w:val="24"/>
        </w:rPr>
        <w:footnoteReference w:id="49"/>
      </w:r>
      <w:r w:rsidRPr="00A650D0">
        <w:rPr>
          <w:rFonts w:ascii="Times New Roman" w:hAnsi="Times New Roman" w:cs="Times New Roman"/>
          <w:noProof/>
          <w:sz w:val="24"/>
        </w:rPr>
        <w:t>.</w:t>
      </w:r>
    </w:p>
    <w:p w14:paraId="28D0A018" w14:textId="3DE2AEE5" w:rsidR="00F0775D" w:rsidRPr="00A650D0" w:rsidRDefault="00F0775D" w:rsidP="00F0775D">
      <w:pPr>
        <w:spacing w:line="240" w:lineRule="auto"/>
        <w:jc w:val="both"/>
        <w:rPr>
          <w:rFonts w:ascii="Times New Roman" w:hAnsi="Times New Roman" w:cs="Times New Roman"/>
          <w:noProof/>
          <w:sz w:val="24"/>
          <w:szCs w:val="24"/>
        </w:rPr>
      </w:pPr>
      <w:r w:rsidRPr="00A650D0">
        <w:rPr>
          <w:rFonts w:ascii="Times New Roman" w:hAnsi="Times New Roman" w:cs="Times New Roman"/>
          <w:b/>
          <w:noProof/>
          <w:sz w:val="24"/>
        </w:rPr>
        <w:t>La Commission encourage tous les États membres à élaborer un plan d’action national contre le racisme</w:t>
      </w:r>
      <w:r w:rsidRPr="00A650D0">
        <w:rPr>
          <w:rFonts w:ascii="Times New Roman" w:hAnsi="Times New Roman" w:cs="Times New Roman"/>
          <w:noProof/>
          <w:sz w:val="24"/>
        </w:rPr>
        <w:t xml:space="preserve">, et les aidera à l’élaborer et à le mettre en œuvre par l’intermédiaire du programme CERV. </w:t>
      </w:r>
      <w:r w:rsidRPr="00A650D0">
        <w:rPr>
          <w:rFonts w:ascii="Times New Roman" w:hAnsi="Times New Roman" w:cs="Times New Roman"/>
          <w:b/>
          <w:noProof/>
          <w:sz w:val="24"/>
        </w:rPr>
        <w:t>La Commission encourage également l’élaboration de plans d’action locaux contre le racisme dans les régions, les villes, les établissements scolaires et les centres communautaires</w:t>
      </w:r>
      <w:r w:rsidRPr="00A650D0">
        <w:rPr>
          <w:rStyle w:val="FootnoteReference"/>
          <w:rFonts w:ascii="Times New Roman" w:hAnsi="Times New Roman" w:cs="Times New Roman"/>
          <w:noProof/>
          <w:sz w:val="24"/>
          <w:szCs w:val="24"/>
        </w:rPr>
        <w:footnoteReference w:id="50"/>
      </w:r>
      <w:r w:rsidRPr="00A650D0">
        <w:rPr>
          <w:rFonts w:ascii="Times New Roman" w:hAnsi="Times New Roman" w:cs="Times New Roman"/>
          <w:noProof/>
          <w:sz w:val="24"/>
        </w:rPr>
        <w:t>. Certains États membres ont désigné un coordinateur national chargé de la lutte contre le racisme et des coordinateurs chargés respectivement de la lutte contre la haine antimusulmane et de la lutte contre l’antisémitisme afin de renforcer encore leur engagement et leur responsabilité au niveau national. La Commission encourage tous les États membres à suivre une telle approche.</w:t>
      </w:r>
    </w:p>
    <w:p w14:paraId="1D24BA92" w14:textId="4E88BDA7" w:rsidR="00066083" w:rsidRPr="006222F8" w:rsidRDefault="00224BF4" w:rsidP="000F3D70">
      <w:pPr>
        <w:spacing w:line="240" w:lineRule="auto"/>
        <w:jc w:val="both"/>
        <w:rPr>
          <w:rFonts w:ascii="Times New Roman" w:hAnsi="Times New Roman" w:cs="Times New Roman"/>
          <w:b/>
          <w:i/>
          <w:noProof/>
          <w:sz w:val="24"/>
          <w:szCs w:val="24"/>
        </w:rPr>
      </w:pPr>
      <w:r w:rsidRPr="006222F8">
        <w:rPr>
          <w:rFonts w:ascii="Times New Roman" w:hAnsi="Times New Roman" w:cs="Times New Roman"/>
          <w:b/>
          <w:i/>
          <w:noProof/>
          <w:sz w:val="24"/>
          <w:szCs w:val="24"/>
        </w:rPr>
        <w:t>Soutenir les initiatives en matière de lutte contre le racisme et la discrimination</w:t>
      </w:r>
    </w:p>
    <w:p w14:paraId="17E964D8" w14:textId="6B77A056" w:rsidR="00F864E5" w:rsidRPr="006222F8" w:rsidRDefault="00066083" w:rsidP="00F864E5">
      <w:pPr>
        <w:spacing w:line="240" w:lineRule="auto"/>
        <w:jc w:val="both"/>
        <w:rPr>
          <w:rFonts w:ascii="Times New Roman" w:eastAsia="Times New Roman" w:hAnsi="Times New Roman" w:cs="Times New Roman"/>
          <w:noProof/>
          <w:color w:val="000000" w:themeColor="text1"/>
          <w:sz w:val="24"/>
          <w:szCs w:val="24"/>
        </w:rPr>
      </w:pPr>
      <w:r w:rsidRPr="006222F8">
        <w:rPr>
          <w:rFonts w:ascii="Times New Roman" w:hAnsi="Times New Roman" w:cs="Times New Roman"/>
          <w:noProof/>
          <w:sz w:val="24"/>
          <w:szCs w:val="24"/>
        </w:rPr>
        <w:t>La Commission est déterminée à soutenir les OSC, l’activisme et le militantisme de terrain contre le racisme, d’autant plus que leur financement ne cesse d’être réduit</w:t>
      </w:r>
      <w:r w:rsidRPr="006222F8">
        <w:rPr>
          <w:rStyle w:val="FootnoteReference"/>
          <w:rFonts w:ascii="Times New Roman" w:hAnsi="Times New Roman" w:cs="Times New Roman"/>
          <w:noProof/>
          <w:sz w:val="24"/>
          <w:szCs w:val="24"/>
        </w:rPr>
        <w:footnoteReference w:id="51"/>
      </w:r>
      <w:r w:rsidRPr="006222F8">
        <w:rPr>
          <w:rFonts w:ascii="Times New Roman" w:hAnsi="Times New Roman" w:cs="Times New Roman"/>
          <w:noProof/>
          <w:sz w:val="24"/>
          <w:szCs w:val="24"/>
        </w:rPr>
        <w:t xml:space="preserve">. Pour ce faire, elle s’appuie principalement sur le </w:t>
      </w:r>
      <w:hyperlink r:id="rId94" w:history="1">
        <w:r w:rsidRPr="006222F8">
          <w:rPr>
            <w:rStyle w:val="Hyperlink"/>
            <w:rFonts w:ascii="Times New Roman" w:hAnsi="Times New Roman" w:cs="Times New Roman"/>
            <w:noProof/>
            <w:sz w:val="24"/>
            <w:szCs w:val="24"/>
          </w:rPr>
          <w:t>programme CERV</w:t>
        </w:r>
      </w:hyperlink>
      <w:r w:rsidRPr="006222F8">
        <w:rPr>
          <w:rFonts w:ascii="Times New Roman" w:hAnsi="Times New Roman" w:cs="Times New Roman"/>
          <w:noProof/>
          <w:sz w:val="24"/>
          <w:szCs w:val="24"/>
        </w:rPr>
        <w:t xml:space="preserve">. L’égalité et la non-discrimination font également l’objet de la proposition de la Commission relative au prochain </w:t>
      </w:r>
      <w:hyperlink r:id="rId95" w:history="1">
        <w:r w:rsidRPr="006222F8">
          <w:rPr>
            <w:rStyle w:val="Hyperlink"/>
            <w:rFonts w:ascii="Times New Roman" w:hAnsi="Times New Roman" w:cs="Times New Roman"/>
            <w:noProof/>
            <w:sz w:val="24"/>
            <w:szCs w:val="24"/>
          </w:rPr>
          <w:t>cadre financier pluriannuel</w:t>
        </w:r>
      </w:hyperlink>
      <w:r w:rsidRPr="006222F8">
        <w:rPr>
          <w:rFonts w:ascii="Times New Roman" w:hAnsi="Times New Roman" w:cs="Times New Roman"/>
          <w:noProof/>
          <w:sz w:val="24"/>
          <w:szCs w:val="24"/>
        </w:rPr>
        <w:t xml:space="preserve"> 2028-2034. Dans le cadre du nouveau programme «AgoraEU», la Commission a proposé un budget de 3,6 milliards d’EUR pour le volet «Démocratie, citoyens, égalité, droits et valeurs» (CERV +), ce qui a plus que doublé le budget du programme CERV.</w:t>
      </w:r>
    </w:p>
    <w:p w14:paraId="6FCE609F" w14:textId="378980C7" w:rsidR="00F864E5" w:rsidRPr="006222F8" w:rsidRDefault="002F58B8" w:rsidP="00E66BA4">
      <w:pPr>
        <w:spacing w:line="240" w:lineRule="auto"/>
        <w:jc w:val="both"/>
        <w:rPr>
          <w:rFonts w:ascii="Times New Roman" w:eastAsia="Times New Roman" w:hAnsi="Times New Roman" w:cs="Times New Roman"/>
          <w:noProof/>
          <w:color w:val="000000" w:themeColor="text1"/>
          <w:sz w:val="24"/>
          <w:szCs w:val="24"/>
        </w:rPr>
      </w:pPr>
      <w:r w:rsidRPr="006222F8">
        <w:rPr>
          <w:rFonts w:ascii="Times New Roman" w:hAnsi="Times New Roman" w:cs="Times New Roman"/>
          <w:noProof/>
          <w:sz w:val="24"/>
          <w:szCs w:val="24"/>
        </w:rPr>
        <w:t>La Commission vérifie que les bénéficiaires de financements de l’UE respectent les valeurs de l’UE dans la mise en œuvre des projets financés par le budget de l’Union, conformément au règlement financier.</w:t>
      </w:r>
      <w:r w:rsidRPr="006222F8">
        <w:rPr>
          <w:rFonts w:ascii="Times New Roman" w:hAnsi="Times New Roman" w:cs="Times New Roman"/>
          <w:noProof/>
          <w:color w:val="000000" w:themeColor="text1"/>
          <w:sz w:val="24"/>
          <w:szCs w:val="24"/>
        </w:rPr>
        <w:t xml:space="preserve"> La Commission procède à des contrôles rigoureux avant d’octroyer des subventions. </w:t>
      </w:r>
      <w:r w:rsidRPr="006222F8">
        <w:rPr>
          <w:rFonts w:ascii="Times New Roman" w:hAnsi="Times New Roman" w:cs="Times New Roman"/>
          <w:noProof/>
          <w:sz w:val="24"/>
          <w:szCs w:val="24"/>
        </w:rPr>
        <w:t xml:space="preserve">Ces règles sont mises en œuvre au moyen du </w:t>
      </w:r>
      <w:hyperlink r:id="rId96" w:history="1">
        <w:r w:rsidRPr="006222F8">
          <w:rPr>
            <w:rStyle w:val="Hyperlink"/>
            <w:rFonts w:ascii="Times New Roman" w:hAnsi="Times New Roman" w:cs="Times New Roman"/>
            <w:noProof/>
            <w:sz w:val="24"/>
            <w:szCs w:val="24"/>
          </w:rPr>
          <w:t>système de détection rapide et d’exclusion (EDES)</w:t>
        </w:r>
      </w:hyperlink>
      <w:r w:rsidRPr="006222F8">
        <w:rPr>
          <w:rFonts w:ascii="Times New Roman" w:hAnsi="Times New Roman" w:cs="Times New Roman"/>
          <w:noProof/>
          <w:sz w:val="24"/>
          <w:szCs w:val="24"/>
        </w:rPr>
        <w:t xml:space="preserve">. </w:t>
      </w:r>
      <w:r w:rsidRPr="006222F8">
        <w:rPr>
          <w:rFonts w:ascii="Times New Roman" w:hAnsi="Times New Roman" w:cs="Times New Roman"/>
          <w:noProof/>
          <w:color w:val="000000" w:themeColor="text1"/>
          <w:sz w:val="24"/>
          <w:szCs w:val="24"/>
        </w:rPr>
        <w:t>La Commission continuera d’étudier comment exploiter au mieux la boîte à outils, notamment lors de la sélection des bénéficiaires potentiels.</w:t>
      </w:r>
    </w:p>
    <w:p w14:paraId="75A6235A" w14:textId="7E069CFF" w:rsidR="00677663" w:rsidRPr="006222F8" w:rsidRDefault="00066083" w:rsidP="008D07AB">
      <w:pPr>
        <w:spacing w:line="240" w:lineRule="auto"/>
        <w:jc w:val="both"/>
        <w:rPr>
          <w:rFonts w:ascii="Times New Roman" w:hAnsi="Times New Roman" w:cs="Times New Roman"/>
          <w:noProof/>
          <w:sz w:val="24"/>
          <w:szCs w:val="24"/>
        </w:rPr>
      </w:pPr>
      <w:r w:rsidRPr="006222F8">
        <w:rPr>
          <w:rFonts w:ascii="Times New Roman" w:hAnsi="Times New Roman" w:cs="Times New Roman"/>
          <w:noProof/>
          <w:sz w:val="24"/>
          <w:szCs w:val="24"/>
        </w:rPr>
        <w:t xml:space="preserve">Lors de l’octroi d’un financement de l’UE, la Commission continuera de veiller à ce que les États membres remplissent les </w:t>
      </w:r>
      <w:hyperlink r:id="rId97" w:history="1">
        <w:r w:rsidRPr="006222F8">
          <w:rPr>
            <w:rStyle w:val="Hyperlink"/>
            <w:rFonts w:ascii="Times New Roman" w:hAnsi="Times New Roman" w:cs="Times New Roman"/>
            <w:noProof/>
            <w:sz w:val="24"/>
            <w:szCs w:val="24"/>
          </w:rPr>
          <w:t>conditions favorisantes horizontales</w:t>
        </w:r>
      </w:hyperlink>
      <w:r w:rsidRPr="006222F8">
        <w:rPr>
          <w:rFonts w:ascii="Times New Roman" w:hAnsi="Times New Roman" w:cs="Times New Roman"/>
          <w:noProof/>
          <w:sz w:val="24"/>
          <w:szCs w:val="24"/>
        </w:rPr>
        <w:t xml:space="preserve"> relatives à la mise en œuvre et à l’application effectives de la charte des droits fondamentaux, telles qu’elles sont régies par le </w:t>
      </w:r>
      <w:hyperlink r:id="rId98" w:history="1">
        <w:r w:rsidRPr="006222F8">
          <w:rPr>
            <w:rStyle w:val="Hyperlink"/>
            <w:rFonts w:ascii="Times New Roman" w:hAnsi="Times New Roman" w:cs="Times New Roman"/>
            <w:noProof/>
            <w:sz w:val="24"/>
            <w:szCs w:val="24"/>
          </w:rPr>
          <w:t>règlement portant dispositions communes</w:t>
        </w:r>
      </w:hyperlink>
      <w:r w:rsidRPr="006222F8">
        <w:rPr>
          <w:rFonts w:ascii="Times New Roman" w:hAnsi="Times New Roman" w:cs="Times New Roman"/>
          <w:noProof/>
          <w:sz w:val="24"/>
          <w:szCs w:val="24"/>
        </w:rPr>
        <w:t xml:space="preserve">. Les États membres doivent disposer de mécanismes efficaces pour veiller à ce que les droits fondamentaux consacrés par la charte soient respectés dans la mise en œuvre des programmes de la politique de cohésion. </w:t>
      </w:r>
    </w:p>
    <w:p w14:paraId="184E961D" w14:textId="2835B798" w:rsidR="00590DF6" w:rsidRPr="006222F8" w:rsidRDefault="00066083" w:rsidP="008D07AB">
      <w:pPr>
        <w:spacing w:line="240" w:lineRule="auto"/>
        <w:jc w:val="both"/>
        <w:rPr>
          <w:rFonts w:ascii="Times New Roman" w:hAnsi="Times New Roman" w:cs="Times New Roman"/>
          <w:b/>
          <w:bCs/>
          <w:i/>
          <w:iCs/>
          <w:noProof/>
          <w:sz w:val="24"/>
          <w:szCs w:val="24"/>
        </w:rPr>
      </w:pPr>
      <w:r w:rsidRPr="006222F8">
        <w:rPr>
          <w:rFonts w:ascii="Times New Roman" w:hAnsi="Times New Roman" w:cs="Times New Roman"/>
          <w:noProof/>
          <w:sz w:val="24"/>
          <w:szCs w:val="24"/>
        </w:rPr>
        <w:t xml:space="preserve">Au titre du prochain cadre financier pluriannuel 2028-2034, la Commission propose que les </w:t>
      </w:r>
      <w:hyperlink r:id="rId99" w:history="1">
        <w:r w:rsidRPr="006222F8">
          <w:rPr>
            <w:rStyle w:val="Hyperlink"/>
            <w:rFonts w:ascii="Times New Roman" w:hAnsi="Times New Roman" w:cs="Times New Roman"/>
            <w:noProof/>
            <w:sz w:val="24"/>
            <w:szCs w:val="24"/>
          </w:rPr>
          <w:t>plans de partenariat national et régional</w:t>
        </w:r>
      </w:hyperlink>
      <w:r w:rsidRPr="006222F8">
        <w:rPr>
          <w:rFonts w:ascii="Times New Roman" w:hAnsi="Times New Roman" w:cs="Times New Roman"/>
          <w:noProof/>
          <w:sz w:val="24"/>
          <w:szCs w:val="24"/>
        </w:rPr>
        <w:t xml:space="preserve"> prévoient des garanties solides en ce qui concerne le respect de l’état de droit et l’application effective de la charte des droits fondamentaux de l’Union européenne. Il incombera aux États membres et à la Commission de prendre les mesures appropriées pour prévenir toute discrimination fondée sur l’origine raciale ou ethnique lors de l’élaboration, de la mise en œuvre, du suivi et de l’évaluation de ces plans ainsi que lors de l’établissement de rapports les concernant. </w:t>
      </w:r>
    </w:p>
    <w:p w14:paraId="58535F7E" w14:textId="62C05785" w:rsidR="00E06D6C" w:rsidRPr="00A650D0" w:rsidRDefault="003E094F" w:rsidP="00555191">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b/>
          <w:noProof/>
          <w:sz w:val="24"/>
        </w:rPr>
      </w:pPr>
      <w:r w:rsidRPr="00A650D0">
        <w:rPr>
          <w:rFonts w:ascii="Times New Roman" w:hAnsi="Times New Roman" w:cs="Times New Roman"/>
          <w:b/>
          <w:noProof/>
          <w:sz w:val="24"/>
        </w:rPr>
        <w:t>La Commission:</w:t>
      </w:r>
    </w:p>
    <w:p w14:paraId="006E24A0" w14:textId="74EAFE96" w:rsidR="003906DA" w:rsidRPr="00A650D0" w:rsidRDefault="003906DA" w:rsidP="003906DA">
      <w:pPr>
        <w:pStyle w:val="ListParagraph"/>
        <w:numPr>
          <w:ilvl w:val="0"/>
          <w:numId w:val="43"/>
        </w:numPr>
        <w:pBdr>
          <w:top w:val="single" w:sz="4" w:space="1" w:color="auto"/>
          <w:left w:val="single" w:sz="4" w:space="4" w:color="auto"/>
          <w:bottom w:val="single" w:sz="4" w:space="1" w:color="auto"/>
          <w:right w:val="single" w:sz="4" w:space="4" w:color="auto"/>
        </w:pBdr>
        <w:spacing w:line="240" w:lineRule="auto"/>
        <w:ind w:left="426" w:hanging="426"/>
        <w:jc w:val="both"/>
        <w:rPr>
          <w:rFonts w:ascii="Times New Roman" w:hAnsi="Times New Roman" w:cs="Times New Roman"/>
          <w:b/>
          <w:noProof/>
          <w:sz w:val="24"/>
        </w:rPr>
      </w:pPr>
      <w:r w:rsidRPr="00A650D0">
        <w:rPr>
          <w:rFonts w:ascii="Times New Roman" w:hAnsi="Times New Roman" w:cs="Times New Roman"/>
          <w:noProof/>
          <w:sz w:val="24"/>
        </w:rPr>
        <w:t>renouvellera le forum de la société civile contre le racisme et élaborera un programme de travail annuel pour orienter ses activités;</w:t>
      </w:r>
    </w:p>
    <w:p w14:paraId="528AE8A9" w14:textId="34544960" w:rsidR="00E06D6C" w:rsidRPr="00A650D0" w:rsidRDefault="00E06D6C" w:rsidP="00555191">
      <w:pPr>
        <w:pStyle w:val="ListParagraph"/>
        <w:numPr>
          <w:ilvl w:val="0"/>
          <w:numId w:val="43"/>
        </w:numPr>
        <w:pBdr>
          <w:top w:val="single" w:sz="4" w:space="1" w:color="auto"/>
          <w:left w:val="single" w:sz="4" w:space="4" w:color="auto"/>
          <w:bottom w:val="single" w:sz="4" w:space="1" w:color="auto"/>
          <w:right w:val="single" w:sz="4" w:space="4" w:color="auto"/>
        </w:pBdr>
        <w:spacing w:line="240" w:lineRule="auto"/>
        <w:ind w:left="426" w:hanging="426"/>
        <w:jc w:val="both"/>
        <w:rPr>
          <w:rFonts w:ascii="Times New Roman" w:hAnsi="Times New Roman" w:cs="Times New Roman"/>
          <w:b/>
          <w:noProof/>
          <w:sz w:val="24"/>
        </w:rPr>
      </w:pPr>
      <w:r w:rsidRPr="00A650D0">
        <w:rPr>
          <w:rFonts w:ascii="Times New Roman" w:hAnsi="Times New Roman" w:cs="Times New Roman"/>
          <w:noProof/>
          <w:sz w:val="24"/>
        </w:rPr>
        <w:t>organisera des ateliers avec les États membres afin de soutenir les efforts nationaux de lutte contre le racisme au niveau national/régional;</w:t>
      </w:r>
    </w:p>
    <w:p w14:paraId="0FA0AF1A" w14:textId="3B0550FA" w:rsidR="00E06D6C" w:rsidRPr="00A650D0" w:rsidRDefault="00E06D6C" w:rsidP="00555191">
      <w:pPr>
        <w:pStyle w:val="ListParagraph"/>
        <w:numPr>
          <w:ilvl w:val="0"/>
          <w:numId w:val="43"/>
        </w:numPr>
        <w:pBdr>
          <w:top w:val="single" w:sz="4" w:space="1" w:color="auto"/>
          <w:left w:val="single" w:sz="4" w:space="4" w:color="auto"/>
          <w:bottom w:val="single" w:sz="4" w:space="1" w:color="auto"/>
          <w:right w:val="single" w:sz="4" w:space="4" w:color="auto"/>
        </w:pBdr>
        <w:spacing w:line="240" w:lineRule="auto"/>
        <w:ind w:left="426" w:hanging="426"/>
        <w:jc w:val="both"/>
        <w:rPr>
          <w:rFonts w:ascii="Times New Roman" w:hAnsi="Times New Roman" w:cs="Times New Roman"/>
          <w:b/>
          <w:noProof/>
          <w:sz w:val="24"/>
        </w:rPr>
      </w:pPr>
      <w:r w:rsidRPr="00A650D0">
        <w:rPr>
          <w:rFonts w:ascii="Times New Roman" w:hAnsi="Times New Roman" w:cs="Times New Roman"/>
          <w:noProof/>
          <w:sz w:val="24"/>
        </w:rPr>
        <w:t>actualisera et renforcera le mandat du groupe d’experts sur la mise en œuvre nationale du plan d’action de l’UE contre le racisme, et invitera les pays candidats à l’adhésion à l’UE à y participer;</w:t>
      </w:r>
    </w:p>
    <w:p w14:paraId="24BDBD14" w14:textId="6434440A" w:rsidR="009D41AF" w:rsidRPr="00A650D0" w:rsidRDefault="0028533D" w:rsidP="00555191">
      <w:pPr>
        <w:pStyle w:val="ListParagraph"/>
        <w:numPr>
          <w:ilvl w:val="0"/>
          <w:numId w:val="43"/>
        </w:numPr>
        <w:pBdr>
          <w:top w:val="single" w:sz="4" w:space="1" w:color="auto"/>
          <w:left w:val="single" w:sz="4" w:space="4" w:color="auto"/>
          <w:bottom w:val="single" w:sz="4" w:space="1" w:color="auto"/>
          <w:right w:val="single" w:sz="4" w:space="4" w:color="auto"/>
        </w:pBdr>
        <w:spacing w:line="240" w:lineRule="auto"/>
        <w:ind w:left="426" w:hanging="426"/>
        <w:jc w:val="both"/>
        <w:rPr>
          <w:rFonts w:ascii="Times New Roman" w:hAnsi="Times New Roman" w:cs="Times New Roman"/>
          <w:b/>
          <w:noProof/>
          <w:sz w:val="24"/>
        </w:rPr>
      </w:pPr>
      <w:r w:rsidRPr="00A650D0">
        <w:rPr>
          <w:rFonts w:ascii="Times New Roman" w:hAnsi="Times New Roman" w:cs="Times New Roman"/>
          <w:noProof/>
          <w:sz w:val="24"/>
        </w:rPr>
        <w:t>mettra en place une table ronde internationale en vue d’approfondir la coopération avec les organes compétents des Nations unies, du Conseil de l’Europe et d’autres organes multilatéraux;</w:t>
      </w:r>
    </w:p>
    <w:p w14:paraId="373F5A99" w14:textId="6EE088AE" w:rsidR="00E06D6C" w:rsidRPr="00A650D0" w:rsidRDefault="009D41AF" w:rsidP="00555191">
      <w:pPr>
        <w:pStyle w:val="ListParagraph"/>
        <w:numPr>
          <w:ilvl w:val="0"/>
          <w:numId w:val="43"/>
        </w:numPr>
        <w:pBdr>
          <w:top w:val="single" w:sz="4" w:space="1" w:color="auto"/>
          <w:left w:val="single" w:sz="4" w:space="4" w:color="auto"/>
          <w:bottom w:val="single" w:sz="4" w:space="1" w:color="auto"/>
          <w:right w:val="single" w:sz="4" w:space="4" w:color="auto"/>
        </w:pBdr>
        <w:spacing w:line="240" w:lineRule="auto"/>
        <w:ind w:left="426" w:hanging="426"/>
        <w:jc w:val="both"/>
        <w:rPr>
          <w:rFonts w:ascii="Times New Roman" w:hAnsi="Times New Roman" w:cs="Times New Roman"/>
          <w:b/>
          <w:noProof/>
          <w:sz w:val="24"/>
        </w:rPr>
      </w:pPr>
      <w:r w:rsidRPr="00A650D0">
        <w:rPr>
          <w:rFonts w:ascii="Times New Roman" w:hAnsi="Times New Roman" w:cs="Times New Roman"/>
          <w:noProof/>
          <w:sz w:val="24"/>
        </w:rPr>
        <w:t>apportera un soutien au moyen des instruments de dépenses pertinents de l’UE afin de soutenir les projets et les organisations qui luttent contre le racisme et la discrimination raciale.</w:t>
      </w:r>
    </w:p>
    <w:p w14:paraId="48415EC1" w14:textId="3E218148" w:rsidR="00E06D6C" w:rsidRPr="00A650D0" w:rsidRDefault="00E06D6C" w:rsidP="00555191">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b/>
          <w:noProof/>
          <w:sz w:val="24"/>
        </w:rPr>
      </w:pPr>
      <w:r w:rsidRPr="00A650D0">
        <w:rPr>
          <w:rFonts w:ascii="Times New Roman" w:hAnsi="Times New Roman" w:cs="Times New Roman"/>
          <w:b/>
          <w:noProof/>
          <w:sz w:val="24"/>
        </w:rPr>
        <w:t>Les États membres sont encouragés à:</w:t>
      </w:r>
    </w:p>
    <w:p w14:paraId="0EDCF40C" w14:textId="7A8CA1DE" w:rsidR="00E06D6C" w:rsidRPr="00A650D0" w:rsidRDefault="00E06D6C" w:rsidP="00555191">
      <w:pPr>
        <w:pStyle w:val="ListParagraph"/>
        <w:numPr>
          <w:ilvl w:val="0"/>
          <w:numId w:val="42"/>
        </w:numPr>
        <w:pBdr>
          <w:top w:val="single" w:sz="4" w:space="1" w:color="auto"/>
          <w:left w:val="single" w:sz="4" w:space="4" w:color="auto"/>
          <w:bottom w:val="single" w:sz="4" w:space="1" w:color="auto"/>
          <w:right w:val="single" w:sz="4" w:space="4" w:color="auto"/>
        </w:pBdr>
        <w:spacing w:line="240" w:lineRule="auto"/>
        <w:ind w:left="426" w:hanging="426"/>
        <w:jc w:val="both"/>
        <w:rPr>
          <w:rFonts w:ascii="Times New Roman" w:hAnsi="Times New Roman" w:cs="Times New Roman"/>
          <w:noProof/>
          <w:sz w:val="24"/>
        </w:rPr>
      </w:pPr>
      <w:r w:rsidRPr="00A650D0">
        <w:rPr>
          <w:rFonts w:ascii="Times New Roman" w:hAnsi="Times New Roman" w:cs="Times New Roman"/>
          <w:noProof/>
          <w:sz w:val="24"/>
        </w:rPr>
        <w:t>élaborer un plan d’action national contre le racisme et désigner un coordinateur national «antiracisme»;</w:t>
      </w:r>
    </w:p>
    <w:p w14:paraId="4D8B3358" w14:textId="54743CB8" w:rsidR="00E06D6C" w:rsidRPr="00A650D0" w:rsidRDefault="00E06D6C" w:rsidP="00555191">
      <w:pPr>
        <w:pStyle w:val="ListParagraph"/>
        <w:numPr>
          <w:ilvl w:val="0"/>
          <w:numId w:val="42"/>
        </w:numPr>
        <w:pBdr>
          <w:top w:val="single" w:sz="4" w:space="1" w:color="auto"/>
          <w:left w:val="single" w:sz="4" w:space="4" w:color="auto"/>
          <w:bottom w:val="single" w:sz="4" w:space="1" w:color="auto"/>
          <w:right w:val="single" w:sz="4" w:space="4" w:color="auto"/>
        </w:pBdr>
        <w:spacing w:line="240" w:lineRule="auto"/>
        <w:ind w:left="426" w:hanging="426"/>
        <w:jc w:val="both"/>
        <w:rPr>
          <w:rFonts w:ascii="Times New Roman" w:hAnsi="Times New Roman" w:cs="Times New Roman"/>
          <w:noProof/>
          <w:sz w:val="24"/>
        </w:rPr>
      </w:pPr>
      <w:r w:rsidRPr="00A650D0">
        <w:rPr>
          <w:rFonts w:ascii="Times New Roman" w:hAnsi="Times New Roman" w:cs="Times New Roman"/>
          <w:noProof/>
          <w:sz w:val="24"/>
        </w:rPr>
        <w:t>soutenir l’élaboration de plans d’action locaux contre le racisme dans les régions, les villes, les établissements scolaires et les centres communautaires.</w:t>
      </w:r>
    </w:p>
    <w:p w14:paraId="1EDBE8DE" w14:textId="6A029671" w:rsidR="001D215D" w:rsidRPr="00A650D0" w:rsidRDefault="001D215D">
      <w:pPr>
        <w:spacing w:after="0" w:line="240" w:lineRule="auto"/>
        <w:rPr>
          <w:rFonts w:ascii="Times New Roman" w:hAnsi="Times New Roman" w:cs="Times New Roman"/>
          <w:b/>
          <w:bCs/>
          <w:noProof/>
          <w:sz w:val="24"/>
          <w:szCs w:val="24"/>
        </w:rPr>
      </w:pPr>
    </w:p>
    <w:p w14:paraId="7FCA41C2" w14:textId="77777777" w:rsidR="005F0898" w:rsidRPr="00A650D0" w:rsidRDefault="005F0898">
      <w:pPr>
        <w:spacing w:after="0" w:line="240" w:lineRule="auto"/>
        <w:rPr>
          <w:rFonts w:ascii="Times New Roman" w:hAnsi="Times New Roman" w:cs="Times New Roman"/>
          <w:b/>
          <w:bCs/>
          <w:noProof/>
          <w:sz w:val="24"/>
          <w:szCs w:val="24"/>
        </w:rPr>
      </w:pPr>
    </w:p>
    <w:p w14:paraId="006D8F84" w14:textId="77777777" w:rsidR="005F0898" w:rsidRPr="00A650D0" w:rsidRDefault="005F0898">
      <w:pPr>
        <w:spacing w:after="0" w:line="240" w:lineRule="auto"/>
        <w:rPr>
          <w:rFonts w:ascii="Times New Roman" w:hAnsi="Times New Roman" w:cs="Times New Roman"/>
          <w:b/>
          <w:bCs/>
          <w:noProof/>
          <w:sz w:val="24"/>
          <w:szCs w:val="24"/>
        </w:rPr>
      </w:pPr>
      <w:r w:rsidRPr="00A650D0">
        <w:rPr>
          <w:rFonts w:ascii="Times New Roman" w:hAnsi="Times New Roman" w:cs="Times New Roman"/>
          <w:noProof/>
        </w:rPr>
        <w:br w:type="page"/>
      </w:r>
    </w:p>
    <w:p w14:paraId="7837FC33" w14:textId="55177843" w:rsidR="00E66BA4" w:rsidRPr="00A650D0" w:rsidRDefault="003E70D4" w:rsidP="00C90233">
      <w:pPr>
        <w:spacing w:line="240" w:lineRule="auto"/>
        <w:rPr>
          <w:rFonts w:ascii="Times New Roman" w:hAnsi="Times New Roman" w:cs="Times New Roman"/>
          <w:b/>
          <w:bCs/>
          <w:noProof/>
          <w:sz w:val="24"/>
          <w:szCs w:val="24"/>
        </w:rPr>
      </w:pPr>
      <w:r w:rsidRPr="00A650D0">
        <w:rPr>
          <w:rFonts w:ascii="Times New Roman" w:hAnsi="Times New Roman" w:cs="Times New Roman"/>
          <w:b/>
          <w:noProof/>
          <w:sz w:val="24"/>
        </w:rPr>
        <w:t>CHAPITRE V — MONTRER L’EXEMPLE</w:t>
      </w:r>
    </w:p>
    <w:p w14:paraId="0C9870B1" w14:textId="21417401" w:rsidR="00E514EF" w:rsidRPr="006222F8" w:rsidRDefault="00391DF0" w:rsidP="00E514EF">
      <w:pPr>
        <w:spacing w:line="240" w:lineRule="auto"/>
        <w:jc w:val="both"/>
        <w:rPr>
          <w:rFonts w:ascii="Times New Roman" w:hAnsi="Times New Roman" w:cs="Times New Roman"/>
          <w:noProof/>
          <w:sz w:val="24"/>
          <w:szCs w:val="24"/>
        </w:rPr>
      </w:pPr>
      <w:r w:rsidRPr="006222F8">
        <w:rPr>
          <w:rFonts w:ascii="Times New Roman" w:hAnsi="Times New Roman" w:cs="Times New Roman"/>
          <w:noProof/>
          <w:sz w:val="24"/>
          <w:szCs w:val="24"/>
        </w:rPr>
        <w:t>Il est essentiel de promouvoir la diversité et l’inclusion pour garantir un lieu de travail équitable et efficace, ainsi que pour attirer les talents. Lorsque les membres du personnel se sentent représentés à tous les niveaux, y compris aux postes de direction, cela renforce leur sentiment d’appartenance et de confiance. La Commission reste déterminée à faire respecter une politique de tolérance zéro à l’égard de toutes les formes de comportement discriminatoire.</w:t>
      </w:r>
    </w:p>
    <w:p w14:paraId="65E917B7" w14:textId="09794911" w:rsidR="00BF6E0E" w:rsidRPr="006222F8" w:rsidRDefault="00391DF0" w:rsidP="00D46290">
      <w:pPr>
        <w:spacing w:after="120" w:line="240" w:lineRule="auto"/>
        <w:jc w:val="both"/>
        <w:rPr>
          <w:rFonts w:ascii="Times New Roman" w:hAnsi="Times New Roman" w:cs="Times New Roman"/>
          <w:b/>
          <w:bCs/>
          <w:i/>
          <w:iCs/>
          <w:noProof/>
          <w:sz w:val="24"/>
          <w:szCs w:val="24"/>
        </w:rPr>
      </w:pPr>
      <w:r w:rsidRPr="006222F8">
        <w:rPr>
          <w:rFonts w:ascii="Times New Roman" w:hAnsi="Times New Roman" w:cs="Times New Roman"/>
          <w:b/>
          <w:i/>
          <w:noProof/>
          <w:sz w:val="24"/>
          <w:szCs w:val="24"/>
        </w:rPr>
        <w:t>Promouvoir la diversité dans le recrutement à la Commission européenne</w:t>
      </w:r>
    </w:p>
    <w:p w14:paraId="0A3D33AA" w14:textId="52C2D42A" w:rsidR="001536B5" w:rsidRPr="006222F8" w:rsidDel="00E66BA4" w:rsidRDefault="00E514EF" w:rsidP="00646F75">
      <w:pPr>
        <w:spacing w:line="240" w:lineRule="auto"/>
        <w:jc w:val="both"/>
        <w:rPr>
          <w:rFonts w:ascii="Times New Roman" w:hAnsi="Times New Roman" w:cs="Times New Roman"/>
          <w:noProof/>
          <w:sz w:val="24"/>
          <w:szCs w:val="24"/>
        </w:rPr>
      </w:pPr>
      <w:r w:rsidRPr="006222F8">
        <w:rPr>
          <w:rFonts w:ascii="Times New Roman" w:hAnsi="Times New Roman" w:cs="Times New Roman"/>
          <w:noProof/>
          <w:sz w:val="24"/>
          <w:szCs w:val="24"/>
        </w:rPr>
        <w:t xml:space="preserve">La diversité ethnique, culturelle et linguistique de l’Europe devrait se refléter dans les institutions de l’UE. Dans sa </w:t>
      </w:r>
      <w:hyperlink r:id="rId100" w:history="1">
        <w:r w:rsidRPr="006222F8">
          <w:rPr>
            <w:rStyle w:val="Hyperlink"/>
            <w:rFonts w:ascii="Times New Roman" w:hAnsi="Times New Roman" w:cs="Times New Roman"/>
            <w:noProof/>
            <w:sz w:val="24"/>
            <w:szCs w:val="24"/>
          </w:rPr>
          <w:t>stratégie en matière de ressources humaines (RH)</w:t>
        </w:r>
      </w:hyperlink>
      <w:r w:rsidRPr="006222F8">
        <w:rPr>
          <w:rFonts w:ascii="Times New Roman" w:hAnsi="Times New Roman" w:cs="Times New Roman"/>
          <w:noProof/>
          <w:sz w:val="24"/>
          <w:szCs w:val="24"/>
        </w:rPr>
        <w:t>, la Commission s’est engagée à «montrer l’exemple en matière d’inclusion et de diversité»</w:t>
      </w:r>
      <w:r w:rsidRPr="006222F8">
        <w:rPr>
          <w:rStyle w:val="FootnoteReference"/>
          <w:rFonts w:ascii="Times New Roman" w:hAnsi="Times New Roman" w:cs="Times New Roman"/>
          <w:noProof/>
          <w:sz w:val="24"/>
          <w:szCs w:val="24"/>
        </w:rPr>
        <w:footnoteReference w:id="52"/>
      </w:r>
      <w:r w:rsidRPr="006222F8">
        <w:rPr>
          <w:rFonts w:ascii="Times New Roman" w:hAnsi="Times New Roman" w:cs="Times New Roman"/>
          <w:noProof/>
          <w:sz w:val="24"/>
          <w:szCs w:val="24"/>
        </w:rPr>
        <w:t xml:space="preserve"> afin de mieux refléter la diversité de la société européenne. S’appuyant sur les résultats de l’</w:t>
      </w:r>
      <w:hyperlink r:id="rId101" w:history="1">
        <w:r w:rsidRPr="006222F8">
          <w:rPr>
            <w:rStyle w:val="Hyperlink"/>
            <w:rFonts w:ascii="Times New Roman" w:hAnsi="Times New Roman" w:cs="Times New Roman"/>
            <w:noProof/>
            <w:sz w:val="24"/>
            <w:szCs w:val="24"/>
          </w:rPr>
          <w:t>enquête sur la diversité, l’inclusion et le respect sur le lieu de travail</w:t>
        </w:r>
      </w:hyperlink>
      <w:r w:rsidRPr="006222F8">
        <w:rPr>
          <w:rFonts w:ascii="Times New Roman" w:hAnsi="Times New Roman" w:cs="Times New Roman"/>
          <w:noProof/>
          <w:sz w:val="24"/>
          <w:szCs w:val="24"/>
        </w:rPr>
        <w:t xml:space="preserve">, le </w:t>
      </w:r>
      <w:hyperlink r:id="rId102" w:history="1">
        <w:r w:rsidRPr="006222F8">
          <w:rPr>
            <w:rStyle w:val="Hyperlink"/>
            <w:rFonts w:ascii="Times New Roman" w:hAnsi="Times New Roman" w:cs="Times New Roman"/>
            <w:noProof/>
            <w:sz w:val="24"/>
            <w:szCs w:val="24"/>
          </w:rPr>
          <w:t>plan d’action en faveur de la diversité et de l’inclusion sur le lieu de travail (2023-2024)</w:t>
        </w:r>
      </w:hyperlink>
      <w:r w:rsidRPr="006222F8">
        <w:rPr>
          <w:rFonts w:ascii="Times New Roman" w:hAnsi="Times New Roman" w:cs="Times New Roman"/>
          <w:noProof/>
          <w:sz w:val="24"/>
          <w:szCs w:val="24"/>
        </w:rPr>
        <w:t xml:space="preserve"> a fourni le cadre permettant de tenir les engagements de la stratégie, avec des actions ciblées en faveur d’une approche de tolérance zéro à l’égard de tout type ou de toute forme de discrimination, notamment fondée sur l’origine raciale ou ethnique. En 2025, l’enquête a été répétée et ses conclusions soutiendront </w:t>
      </w:r>
      <w:r w:rsidRPr="006222F8">
        <w:rPr>
          <w:rFonts w:ascii="Times New Roman" w:hAnsi="Times New Roman" w:cs="Times New Roman"/>
          <w:b/>
          <w:noProof/>
          <w:sz w:val="24"/>
          <w:szCs w:val="24"/>
        </w:rPr>
        <w:t>un plan d’action actualisé visant à accroître la diversité au moyen d’actions de sensibilisation et de lignes directrices révisées en matière de recrutement</w:t>
      </w:r>
      <w:r w:rsidRPr="006222F8">
        <w:rPr>
          <w:rFonts w:ascii="Times New Roman" w:hAnsi="Times New Roman" w:cs="Times New Roman"/>
          <w:noProof/>
          <w:sz w:val="24"/>
          <w:szCs w:val="24"/>
        </w:rPr>
        <w:t xml:space="preserve">. </w:t>
      </w:r>
    </w:p>
    <w:p w14:paraId="386F9DB1" w14:textId="37F2208A" w:rsidR="00BF6E0E" w:rsidRPr="006222F8" w:rsidRDefault="00E514EF" w:rsidP="00646F75">
      <w:pPr>
        <w:spacing w:line="240" w:lineRule="auto"/>
        <w:jc w:val="both"/>
        <w:rPr>
          <w:rFonts w:ascii="Times New Roman" w:hAnsi="Times New Roman" w:cs="Times New Roman"/>
          <w:noProof/>
          <w:sz w:val="24"/>
          <w:szCs w:val="24"/>
        </w:rPr>
      </w:pPr>
      <w:r w:rsidRPr="006222F8">
        <w:rPr>
          <w:rFonts w:ascii="Times New Roman" w:hAnsi="Times New Roman" w:cs="Times New Roman"/>
          <w:noProof/>
          <w:sz w:val="24"/>
          <w:szCs w:val="24"/>
        </w:rPr>
        <w:t>Des stratégies de recrutement ciblées visent à accroître la visibilité et l’accessibilité des carrières au sein des institutions de l’UE pour les groupes sous-représentés. L’</w:t>
      </w:r>
      <w:hyperlink r:id="rId103">
        <w:r w:rsidRPr="006222F8">
          <w:rPr>
            <w:rStyle w:val="Hyperlink"/>
            <w:rFonts w:ascii="Times New Roman" w:hAnsi="Times New Roman" w:cs="Times New Roman"/>
            <w:noProof/>
            <w:sz w:val="24"/>
            <w:szCs w:val="24"/>
          </w:rPr>
          <w:t>Office européen de sélection du personnel (EPSO)</w:t>
        </w:r>
      </w:hyperlink>
      <w:r w:rsidRPr="006222F8">
        <w:rPr>
          <w:rFonts w:ascii="Times New Roman" w:hAnsi="Times New Roman" w:cs="Times New Roman"/>
          <w:noProof/>
          <w:sz w:val="24"/>
          <w:szCs w:val="24"/>
        </w:rPr>
        <w:t xml:space="preserve"> a </w:t>
      </w:r>
      <w:bookmarkStart w:id="18" w:name="_Hlk218178018"/>
      <w:r w:rsidRPr="006222F8">
        <w:rPr>
          <w:rFonts w:ascii="Times New Roman" w:hAnsi="Times New Roman" w:cs="Times New Roman"/>
          <w:b/>
          <w:noProof/>
          <w:sz w:val="24"/>
          <w:szCs w:val="24"/>
        </w:rPr>
        <w:t>mis en œuvre des stratégies de sensibilisation ciblées visant à attirer des candidats de toutes origines ethniques, par exemple dans le cadre de salons promouvant la diversité, ou de partenariats avec des organisations communautaires et de la société civile</w:t>
      </w:r>
      <w:r w:rsidRPr="006222F8">
        <w:rPr>
          <w:rFonts w:ascii="Times New Roman" w:hAnsi="Times New Roman" w:cs="Times New Roman"/>
          <w:noProof/>
          <w:sz w:val="24"/>
          <w:szCs w:val="24"/>
        </w:rPr>
        <w:t xml:space="preserve">. </w:t>
      </w:r>
      <w:bookmarkEnd w:id="18"/>
      <w:r w:rsidRPr="006222F8">
        <w:rPr>
          <w:rFonts w:ascii="Times New Roman" w:hAnsi="Times New Roman" w:cs="Times New Roman"/>
          <w:noProof/>
          <w:sz w:val="24"/>
          <w:szCs w:val="24"/>
        </w:rPr>
        <w:t xml:space="preserve">Des données sur la diversité ont été recueillies à l’aide d’enquêtes anonymes et volontaires menées auprès d’anciens candidats aux concours de l’EPSO afin de recenser tout problème susceptible de porter atteinte à la diversité de la réserve de candidats et d’y remédier. </w:t>
      </w:r>
    </w:p>
    <w:p w14:paraId="5F8DCAD5" w14:textId="5594E2BE" w:rsidR="007C07A3" w:rsidRPr="006222F8" w:rsidRDefault="0072442B" w:rsidP="00646F75">
      <w:pPr>
        <w:spacing w:line="240" w:lineRule="auto"/>
        <w:jc w:val="both"/>
        <w:rPr>
          <w:rFonts w:ascii="Times New Roman" w:eastAsia="Times New Roman" w:hAnsi="Times New Roman" w:cs="Times New Roman"/>
          <w:noProof/>
          <w:sz w:val="24"/>
          <w:szCs w:val="24"/>
        </w:rPr>
      </w:pPr>
      <w:r w:rsidRPr="006222F8">
        <w:rPr>
          <w:rFonts w:ascii="Times New Roman" w:hAnsi="Times New Roman" w:cs="Times New Roman"/>
          <w:noProof/>
          <w:sz w:val="24"/>
          <w:szCs w:val="24"/>
        </w:rPr>
        <w:t xml:space="preserve">En ce qui concerne le </w:t>
      </w:r>
      <w:r w:rsidRPr="006222F8">
        <w:rPr>
          <w:rFonts w:ascii="Times New Roman" w:hAnsi="Times New Roman" w:cs="Times New Roman"/>
          <w:b/>
          <w:noProof/>
          <w:sz w:val="24"/>
          <w:szCs w:val="24"/>
        </w:rPr>
        <w:t>programme de stages «Livre bleu»</w:t>
      </w:r>
      <w:r w:rsidRPr="006222F8">
        <w:rPr>
          <w:rFonts w:ascii="Times New Roman" w:hAnsi="Times New Roman" w:cs="Times New Roman"/>
          <w:noProof/>
          <w:sz w:val="24"/>
          <w:szCs w:val="24"/>
        </w:rPr>
        <w:t xml:space="preserve">, la Commission a appliqué une stratégie spécifique en matière de diversité et d’inclusion, au moyen de matériel promotionnel ciblé visant à accroître la diversité des candidats (par exemple, sur les médias sociaux). En outre, la Commission révise actuellement la décision relative aux règles régissant ce programme de stages et envisage d’ouvrir les stages aux candidats diplômés de l’enseignement et de la formation professionnels, ainsi que de mettre en œuvre certaines actions positives en faveur des groupes sous-représentés.   </w:t>
      </w:r>
    </w:p>
    <w:p w14:paraId="45DBDCF0" w14:textId="36E87352" w:rsidR="007C07A3" w:rsidRPr="006222F8" w:rsidRDefault="007C07A3" w:rsidP="007C07A3">
      <w:pPr>
        <w:jc w:val="both"/>
        <w:rPr>
          <w:rFonts w:ascii="Times New Roman" w:eastAsia="Times New Roman" w:hAnsi="Times New Roman" w:cs="Times New Roman"/>
          <w:noProof/>
          <w:sz w:val="24"/>
          <w:szCs w:val="24"/>
        </w:rPr>
      </w:pPr>
      <w:r w:rsidRPr="006222F8">
        <w:rPr>
          <w:rFonts w:ascii="Times New Roman" w:hAnsi="Times New Roman" w:cs="Times New Roman"/>
          <w:noProof/>
          <w:sz w:val="24"/>
          <w:szCs w:val="24"/>
        </w:rPr>
        <w:t xml:space="preserve">Afin de soutenir l’élaboration de politiques fondées sur des données probantes, y compris en ce qui concerne ses propres ressources humaines, </w:t>
      </w:r>
      <w:r w:rsidRPr="006222F8">
        <w:rPr>
          <w:rFonts w:ascii="Times New Roman" w:hAnsi="Times New Roman" w:cs="Times New Roman"/>
          <w:b/>
          <w:noProof/>
          <w:sz w:val="24"/>
          <w:szCs w:val="24"/>
        </w:rPr>
        <w:t>la Commission continuera de recueillir des données concernant l’égalité sur le lieu de travail</w:t>
      </w:r>
      <w:r w:rsidRPr="006222F8">
        <w:rPr>
          <w:rFonts w:ascii="Times New Roman" w:hAnsi="Times New Roman" w:cs="Times New Roman"/>
          <w:noProof/>
          <w:sz w:val="24"/>
          <w:szCs w:val="24"/>
        </w:rPr>
        <w:t xml:space="preserve"> sur une base volontaire, anonymisée et conforme aux droits.</w:t>
      </w:r>
    </w:p>
    <w:p w14:paraId="277D2607" w14:textId="31DB53ED" w:rsidR="00BF6E0E" w:rsidRPr="00A650D0" w:rsidRDefault="00D1053A" w:rsidP="00C90233">
      <w:pPr>
        <w:spacing w:line="240" w:lineRule="auto"/>
        <w:jc w:val="both"/>
        <w:rPr>
          <w:rFonts w:ascii="Times New Roman" w:hAnsi="Times New Roman" w:cs="Times New Roman"/>
          <w:b/>
          <w:i/>
          <w:noProof/>
          <w:sz w:val="24"/>
        </w:rPr>
      </w:pPr>
      <w:r w:rsidRPr="00A650D0">
        <w:rPr>
          <w:rFonts w:ascii="Times New Roman" w:hAnsi="Times New Roman" w:cs="Times New Roman"/>
          <w:b/>
          <w:i/>
          <w:noProof/>
          <w:sz w:val="24"/>
        </w:rPr>
        <w:t>Améliorer le renforcement des capacités</w:t>
      </w:r>
    </w:p>
    <w:p w14:paraId="2437D90C" w14:textId="584F2B5E" w:rsidR="00EB6A6E" w:rsidRPr="00A650D0" w:rsidRDefault="00A8067C" w:rsidP="00EB6A6E">
      <w:pPr>
        <w:spacing w:line="240" w:lineRule="auto"/>
        <w:jc w:val="both"/>
        <w:rPr>
          <w:rFonts w:ascii="Times New Roman" w:hAnsi="Times New Roman" w:cs="Times New Roman"/>
          <w:noProof/>
          <w:sz w:val="24"/>
          <w:szCs w:val="24"/>
        </w:rPr>
      </w:pPr>
      <w:r w:rsidRPr="00A650D0">
        <w:rPr>
          <w:rFonts w:ascii="Times New Roman" w:hAnsi="Times New Roman" w:cs="Times New Roman"/>
          <w:b/>
          <w:noProof/>
          <w:sz w:val="24"/>
        </w:rPr>
        <w:t>La Commission continue de proposer et d’encourager des programmes de formation, de mentorat et d’accompagnement pour l’ensemble de son personnel</w:t>
      </w:r>
      <w:r w:rsidRPr="00A650D0">
        <w:rPr>
          <w:rFonts w:ascii="Times New Roman" w:hAnsi="Times New Roman" w:cs="Times New Roman"/>
          <w:noProof/>
          <w:sz w:val="24"/>
        </w:rPr>
        <w:t xml:space="preserve">, y compris le personnel d’encadrement. La formation sur les préjugés inconscients et l’éthique est complétée par des modules sur les préjugés raciaux et les microagressions. Ces initiatives visent à améliorer la sensibilisation, à faire reculer les comportements discriminatoires et à renforcer la capacité de la Commission à lutter contre le racisme. </w:t>
      </w:r>
    </w:p>
    <w:p w14:paraId="4E31D8B6" w14:textId="5BE4B952" w:rsidR="00BF6E0E" w:rsidRPr="00A650D0" w:rsidRDefault="00A8067C" w:rsidP="000E3139">
      <w:pPr>
        <w:jc w:val="both"/>
        <w:rPr>
          <w:rFonts w:ascii="Times New Roman" w:hAnsi="Times New Roman" w:cs="Times New Roman"/>
          <w:noProof/>
          <w:sz w:val="24"/>
          <w:szCs w:val="24"/>
        </w:rPr>
      </w:pPr>
      <w:r w:rsidRPr="00A650D0">
        <w:rPr>
          <w:rFonts w:ascii="Times New Roman" w:hAnsi="Times New Roman" w:cs="Times New Roman"/>
          <w:noProof/>
          <w:sz w:val="24"/>
        </w:rPr>
        <w:t xml:space="preserve">Dans le cadre de ses efforts, la Commission a actualisé son </w:t>
      </w:r>
      <w:hyperlink r:id="rId104" w:history="1">
        <w:r w:rsidRPr="00A650D0">
          <w:rPr>
            <w:rStyle w:val="Hyperlink"/>
            <w:rFonts w:ascii="Times New Roman" w:hAnsi="Times New Roman" w:cs="Times New Roman"/>
            <w:noProof/>
            <w:sz w:val="24"/>
          </w:rPr>
          <w:t>cadre de lutte contre le harcèlement</w:t>
        </w:r>
      </w:hyperlink>
      <w:r w:rsidRPr="00A650D0">
        <w:rPr>
          <w:rFonts w:ascii="Times New Roman" w:hAnsi="Times New Roman" w:cs="Times New Roman"/>
          <w:noProof/>
          <w:sz w:val="24"/>
        </w:rPr>
        <w:t xml:space="preserve"> afin de mieux combattre toutes les formes de discrimination sur le lieu de travail,</w:t>
      </w:r>
      <w:r w:rsidRPr="00A650D0">
        <w:rPr>
          <w:rFonts w:ascii="Times New Roman" w:hAnsi="Times New Roman" w:cs="Times New Roman"/>
          <w:noProof/>
          <w:color w:val="000000" w:themeColor="text1"/>
          <w:sz w:val="24"/>
        </w:rPr>
        <w:t xml:space="preserve"> lequel est applicable</w:t>
      </w:r>
      <w:r w:rsidRPr="00A650D0">
        <w:rPr>
          <w:rFonts w:ascii="Times New Roman" w:hAnsi="Times New Roman" w:cs="Times New Roman"/>
          <w:b/>
          <w:noProof/>
          <w:color w:val="000000" w:themeColor="text1"/>
          <w:sz w:val="24"/>
        </w:rPr>
        <w:t xml:space="preserve"> </w:t>
      </w:r>
      <w:r w:rsidRPr="00A650D0">
        <w:rPr>
          <w:rFonts w:ascii="Times New Roman" w:hAnsi="Times New Roman" w:cs="Times New Roman"/>
          <w:noProof/>
          <w:color w:val="000000" w:themeColor="text1"/>
          <w:sz w:val="24"/>
        </w:rPr>
        <w:t>au</w:t>
      </w:r>
      <w:r w:rsidRPr="00A650D0">
        <w:rPr>
          <w:rFonts w:ascii="Times New Roman" w:hAnsi="Times New Roman" w:cs="Times New Roman"/>
          <w:b/>
          <w:noProof/>
          <w:color w:val="000000" w:themeColor="text1"/>
          <w:sz w:val="24"/>
        </w:rPr>
        <w:t xml:space="preserve"> </w:t>
      </w:r>
      <w:r w:rsidRPr="00A650D0">
        <w:rPr>
          <w:rFonts w:ascii="Times New Roman" w:hAnsi="Times New Roman" w:cs="Times New Roman"/>
          <w:noProof/>
          <w:color w:val="000000" w:themeColor="text1"/>
          <w:sz w:val="24"/>
        </w:rPr>
        <w:t>harcèlement à caractère raciste ou à tout autre comportement inapproprié</w:t>
      </w:r>
      <w:r w:rsidRPr="00A650D0">
        <w:rPr>
          <w:rFonts w:ascii="Times New Roman" w:hAnsi="Times New Roman" w:cs="Times New Roman"/>
          <w:noProof/>
          <w:sz w:val="24"/>
        </w:rPr>
        <w:t xml:space="preserve">. </w:t>
      </w:r>
      <w:r w:rsidRPr="00A650D0">
        <w:rPr>
          <w:rFonts w:ascii="Times New Roman" w:hAnsi="Times New Roman" w:cs="Times New Roman"/>
          <w:b/>
          <w:noProof/>
          <w:sz w:val="24"/>
        </w:rPr>
        <w:t>Les services de soutien, y compris les services de médiation et de conseil, la conseillère confidentielle en chef et un réseau de personnes de confiance fournissent des orientations et une assistance aux membres du personnel victimes de discrimination</w:t>
      </w:r>
      <w:r w:rsidRPr="00A650D0">
        <w:rPr>
          <w:rFonts w:ascii="Times New Roman" w:hAnsi="Times New Roman" w:cs="Times New Roman"/>
          <w:noProof/>
          <w:sz w:val="24"/>
        </w:rPr>
        <w:t>.</w:t>
      </w:r>
      <w:r w:rsidRPr="00A650D0">
        <w:rPr>
          <w:rFonts w:ascii="Times New Roman" w:hAnsi="Times New Roman" w:cs="Times New Roman"/>
          <w:noProof/>
          <w:color w:val="000000" w:themeColor="text1"/>
          <w:sz w:val="24"/>
        </w:rPr>
        <w:t xml:space="preserve"> </w:t>
      </w:r>
      <w:r w:rsidRPr="00A650D0">
        <w:rPr>
          <w:rFonts w:ascii="Times New Roman" w:hAnsi="Times New Roman" w:cs="Times New Roman"/>
          <w:noProof/>
          <w:sz w:val="24"/>
        </w:rPr>
        <w:t xml:space="preserve">Afin de garantir l’efficacité du cadre de lutte contre le harcèlement, l’Office d’investigation et de discipline traite également les cas de discrimination raciale ou de harcèlement à caractère raciste. </w:t>
      </w:r>
    </w:p>
    <w:p w14:paraId="737324F2" w14:textId="40F04A93" w:rsidR="00E06D6C" w:rsidRPr="00A650D0" w:rsidRDefault="00A8067C" w:rsidP="00555191">
      <w:pPr>
        <w:pStyle w:val="ListParagraph"/>
        <w:pBdr>
          <w:top w:val="single" w:sz="4" w:space="1" w:color="auto"/>
          <w:left w:val="single" w:sz="4" w:space="4" w:color="auto"/>
          <w:bottom w:val="single" w:sz="4" w:space="1" w:color="auto"/>
          <w:right w:val="single" w:sz="4" w:space="4" w:color="auto"/>
        </w:pBdr>
        <w:ind w:hanging="720"/>
        <w:contextualSpacing w:val="0"/>
        <w:rPr>
          <w:rFonts w:ascii="Times New Roman" w:hAnsi="Times New Roman" w:cs="Times New Roman"/>
          <w:b/>
          <w:bCs/>
          <w:noProof/>
          <w:sz w:val="24"/>
          <w:szCs w:val="24"/>
        </w:rPr>
      </w:pPr>
      <w:r w:rsidRPr="00A650D0">
        <w:rPr>
          <w:rFonts w:ascii="Times New Roman" w:hAnsi="Times New Roman" w:cs="Times New Roman"/>
          <w:b/>
          <w:noProof/>
          <w:sz w:val="24"/>
        </w:rPr>
        <w:t>La Commission:</w:t>
      </w:r>
    </w:p>
    <w:p w14:paraId="1A792EAA" w14:textId="6342B6EE" w:rsidR="001E4235" w:rsidRPr="00A650D0" w:rsidRDefault="001E4235" w:rsidP="009D39B4">
      <w:pPr>
        <w:pStyle w:val="ListParagraph"/>
        <w:numPr>
          <w:ilvl w:val="0"/>
          <w:numId w:val="13"/>
        </w:numPr>
        <w:pBdr>
          <w:top w:val="single" w:sz="4" w:space="1" w:color="auto"/>
          <w:left w:val="single" w:sz="4" w:space="4" w:color="auto"/>
          <w:bottom w:val="single" w:sz="4" w:space="1" w:color="auto"/>
          <w:right w:val="single" w:sz="4" w:space="4" w:color="auto"/>
        </w:pBdr>
        <w:spacing w:after="0" w:line="240" w:lineRule="auto"/>
        <w:ind w:left="425" w:hanging="425"/>
        <w:jc w:val="both"/>
        <w:rPr>
          <w:rFonts w:ascii="Times New Roman" w:hAnsi="Times New Roman" w:cs="Times New Roman"/>
          <w:noProof/>
          <w:sz w:val="24"/>
          <w:szCs w:val="24"/>
        </w:rPr>
      </w:pPr>
      <w:r w:rsidRPr="00A650D0">
        <w:rPr>
          <w:rFonts w:ascii="Times New Roman" w:hAnsi="Times New Roman" w:cs="Times New Roman"/>
          <w:noProof/>
          <w:sz w:val="24"/>
        </w:rPr>
        <w:t>actualisera le plan d’action en faveur de la diversité et de l’inclusion sur le lieu de travail en 2026;</w:t>
      </w:r>
    </w:p>
    <w:p w14:paraId="31E58646" w14:textId="0316ADB9" w:rsidR="00C24968" w:rsidRPr="00A650D0" w:rsidRDefault="005F6E6C" w:rsidP="009D39B4">
      <w:pPr>
        <w:pStyle w:val="ListParagraph"/>
        <w:numPr>
          <w:ilvl w:val="0"/>
          <w:numId w:val="13"/>
        </w:numPr>
        <w:pBdr>
          <w:top w:val="single" w:sz="4" w:space="1" w:color="auto"/>
          <w:left w:val="single" w:sz="4" w:space="4" w:color="auto"/>
          <w:bottom w:val="single" w:sz="4" w:space="1" w:color="auto"/>
          <w:right w:val="single" w:sz="4" w:space="4" w:color="auto"/>
        </w:pBdr>
        <w:spacing w:after="0" w:line="240" w:lineRule="auto"/>
        <w:ind w:left="425" w:hanging="425"/>
        <w:jc w:val="both"/>
        <w:rPr>
          <w:rFonts w:ascii="Times New Roman" w:hAnsi="Times New Roman" w:cs="Times New Roman"/>
          <w:noProof/>
          <w:sz w:val="24"/>
          <w:szCs w:val="24"/>
        </w:rPr>
      </w:pPr>
      <w:r w:rsidRPr="00A650D0">
        <w:rPr>
          <w:rFonts w:ascii="Times New Roman" w:hAnsi="Times New Roman" w:cs="Times New Roman"/>
          <w:noProof/>
          <w:sz w:val="24"/>
        </w:rPr>
        <w:t>proposera une formation, un mentorat et un accompagnement ciblés en matière d’égalité à l’ensemble de son personnel et l’encouragera à y participer;</w:t>
      </w:r>
    </w:p>
    <w:p w14:paraId="177C0DDF" w14:textId="1D8A6FDF" w:rsidR="00FC3F20" w:rsidRPr="00A650D0" w:rsidRDefault="005F6E6C" w:rsidP="009D39B4">
      <w:pPr>
        <w:pStyle w:val="ListParagraph"/>
        <w:numPr>
          <w:ilvl w:val="0"/>
          <w:numId w:val="13"/>
        </w:numPr>
        <w:pBdr>
          <w:top w:val="single" w:sz="4" w:space="1" w:color="auto"/>
          <w:left w:val="single" w:sz="4" w:space="4" w:color="auto"/>
          <w:bottom w:val="single" w:sz="4" w:space="1" w:color="auto"/>
          <w:right w:val="single" w:sz="4" w:space="4" w:color="auto"/>
        </w:pBdr>
        <w:spacing w:after="0" w:line="240" w:lineRule="auto"/>
        <w:ind w:left="425" w:hanging="425"/>
        <w:contextualSpacing w:val="0"/>
        <w:jc w:val="both"/>
        <w:rPr>
          <w:rFonts w:ascii="Times New Roman" w:hAnsi="Times New Roman" w:cs="Times New Roman"/>
          <w:noProof/>
          <w:sz w:val="24"/>
          <w:szCs w:val="24"/>
        </w:rPr>
      </w:pPr>
      <w:r w:rsidRPr="00A650D0">
        <w:rPr>
          <w:rFonts w:ascii="Times New Roman" w:hAnsi="Times New Roman" w:cs="Times New Roman"/>
          <w:noProof/>
          <w:sz w:val="24"/>
        </w:rPr>
        <w:t>garantira un environnement de travail sans discrimination et mettra rigoureusement en œuvre sa stratégie de tolérance zéro en matière de harcèlement;</w:t>
      </w:r>
    </w:p>
    <w:p w14:paraId="39054388" w14:textId="37569163" w:rsidR="00893D1A" w:rsidRPr="00A650D0" w:rsidRDefault="00893D1A" w:rsidP="00893D1A">
      <w:pPr>
        <w:pStyle w:val="ListParagraph"/>
        <w:numPr>
          <w:ilvl w:val="0"/>
          <w:numId w:val="13"/>
        </w:numPr>
        <w:pBdr>
          <w:top w:val="single" w:sz="4" w:space="1" w:color="auto"/>
          <w:left w:val="single" w:sz="4" w:space="4" w:color="auto"/>
          <w:bottom w:val="single" w:sz="4" w:space="1" w:color="auto"/>
          <w:right w:val="single" w:sz="4" w:space="4" w:color="auto"/>
        </w:pBdr>
        <w:spacing w:after="0" w:line="240" w:lineRule="auto"/>
        <w:ind w:left="425" w:hanging="425"/>
        <w:jc w:val="both"/>
        <w:rPr>
          <w:rFonts w:ascii="Times New Roman" w:hAnsi="Times New Roman" w:cs="Times New Roman"/>
          <w:noProof/>
          <w:sz w:val="24"/>
          <w:szCs w:val="24"/>
        </w:rPr>
      </w:pPr>
      <w:r w:rsidRPr="00A650D0">
        <w:rPr>
          <w:rFonts w:ascii="Times New Roman" w:hAnsi="Times New Roman" w:cs="Times New Roman"/>
          <w:noProof/>
          <w:sz w:val="24"/>
        </w:rPr>
        <w:t>continuera de mettre en œuvre des stratégies de sensibilisation ciblées afin d’attirer des candidats de toutes origines ethniques;</w:t>
      </w:r>
    </w:p>
    <w:p w14:paraId="6FEA70C8" w14:textId="0B7F887F" w:rsidR="00FC3F20" w:rsidRPr="00A650D0" w:rsidRDefault="005F6E6C" w:rsidP="009D39B4">
      <w:pPr>
        <w:pStyle w:val="ListParagraph"/>
        <w:numPr>
          <w:ilvl w:val="0"/>
          <w:numId w:val="13"/>
        </w:numPr>
        <w:pBdr>
          <w:top w:val="single" w:sz="4" w:space="1" w:color="auto"/>
          <w:left w:val="single" w:sz="4" w:space="4" w:color="auto"/>
          <w:bottom w:val="single" w:sz="4" w:space="1" w:color="auto"/>
          <w:right w:val="single" w:sz="4" w:space="4" w:color="auto"/>
        </w:pBdr>
        <w:spacing w:after="0" w:line="240" w:lineRule="auto"/>
        <w:ind w:left="425" w:hanging="425"/>
        <w:contextualSpacing w:val="0"/>
        <w:jc w:val="both"/>
        <w:rPr>
          <w:rFonts w:ascii="Times New Roman" w:hAnsi="Times New Roman" w:cs="Times New Roman"/>
          <w:noProof/>
          <w:sz w:val="24"/>
          <w:szCs w:val="24"/>
        </w:rPr>
      </w:pPr>
      <w:r w:rsidRPr="00A650D0">
        <w:rPr>
          <w:rFonts w:ascii="Times New Roman" w:hAnsi="Times New Roman" w:cs="Times New Roman"/>
          <w:noProof/>
          <w:sz w:val="24"/>
        </w:rPr>
        <w:t>recueillera des données sur l’égalité, notamment à l’aide d’enquêtes visant à suivre l’évolution de la diversité du personnel et des expériences vécues sur le lieu de travail.</w:t>
      </w:r>
    </w:p>
    <w:p w14:paraId="347FBB8F" w14:textId="77777777" w:rsidR="00D1312C" w:rsidRPr="00A650D0" w:rsidRDefault="00D1312C" w:rsidP="00D1312C">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noProof/>
          <w:sz w:val="24"/>
          <w:szCs w:val="24"/>
        </w:rPr>
      </w:pPr>
    </w:p>
    <w:p w14:paraId="34A2C592" w14:textId="1802B6A0" w:rsidR="00BF6E0E" w:rsidRPr="00A650D0" w:rsidRDefault="003E70D4" w:rsidP="00555191">
      <w:pPr>
        <w:pStyle w:val="ListParagraph"/>
        <w:pBdr>
          <w:top w:val="single" w:sz="4" w:space="1" w:color="auto"/>
          <w:left w:val="single" w:sz="4" w:space="4" w:color="auto"/>
          <w:bottom w:val="single" w:sz="4" w:space="1" w:color="auto"/>
          <w:right w:val="single" w:sz="4" w:space="4" w:color="auto"/>
        </w:pBdr>
        <w:spacing w:line="240" w:lineRule="auto"/>
        <w:ind w:left="0"/>
        <w:contextualSpacing w:val="0"/>
        <w:jc w:val="both"/>
        <w:rPr>
          <w:rFonts w:ascii="Times New Roman" w:hAnsi="Times New Roman" w:cs="Times New Roman"/>
          <w:b/>
          <w:noProof/>
          <w:sz w:val="24"/>
          <w:szCs w:val="24"/>
        </w:rPr>
      </w:pPr>
      <w:r w:rsidRPr="00A650D0">
        <w:rPr>
          <w:rFonts w:ascii="Times New Roman" w:hAnsi="Times New Roman" w:cs="Times New Roman"/>
          <w:b/>
          <w:noProof/>
          <w:sz w:val="24"/>
        </w:rPr>
        <w:t>Les États membres sont encouragés à:</w:t>
      </w:r>
    </w:p>
    <w:p w14:paraId="638248E1" w14:textId="36A43226" w:rsidR="00BF6E0E" w:rsidRPr="00A650D0" w:rsidRDefault="003E70D4" w:rsidP="00555191">
      <w:pPr>
        <w:pStyle w:val="ListParagraph"/>
        <w:numPr>
          <w:ilvl w:val="0"/>
          <w:numId w:val="19"/>
        </w:numPr>
        <w:pBdr>
          <w:top w:val="single" w:sz="4" w:space="1" w:color="auto"/>
          <w:left w:val="single" w:sz="4" w:space="4" w:color="auto"/>
          <w:bottom w:val="single" w:sz="4" w:space="1" w:color="auto"/>
          <w:right w:val="single" w:sz="4" w:space="4" w:color="auto"/>
        </w:pBdr>
        <w:tabs>
          <w:tab w:val="left" w:pos="420"/>
        </w:tabs>
        <w:spacing w:after="120" w:line="240" w:lineRule="auto"/>
        <w:ind w:left="357" w:hanging="357"/>
        <w:jc w:val="both"/>
        <w:rPr>
          <w:rFonts w:ascii="Times New Roman" w:hAnsi="Times New Roman" w:cs="Times New Roman"/>
          <w:noProof/>
          <w:sz w:val="24"/>
          <w:szCs w:val="24"/>
        </w:rPr>
      </w:pPr>
      <w:r w:rsidRPr="00A650D0">
        <w:rPr>
          <w:rFonts w:ascii="Times New Roman" w:hAnsi="Times New Roman" w:cs="Times New Roman"/>
          <w:noProof/>
          <w:sz w:val="24"/>
        </w:rPr>
        <w:t>mettre en œuvre une politique de tolérance zéro en matière de harcèlement dans le secteur public;</w:t>
      </w:r>
    </w:p>
    <w:p w14:paraId="1832CD96" w14:textId="5424B69E" w:rsidR="00BF6E0E" w:rsidRPr="00A650D0" w:rsidRDefault="00972C13" w:rsidP="00555191">
      <w:pPr>
        <w:pStyle w:val="ListParagraph"/>
        <w:numPr>
          <w:ilvl w:val="0"/>
          <w:numId w:val="19"/>
        </w:numPr>
        <w:pBdr>
          <w:top w:val="single" w:sz="4" w:space="1" w:color="auto"/>
          <w:left w:val="single" w:sz="4" w:space="4" w:color="auto"/>
          <w:bottom w:val="single" w:sz="4" w:space="1" w:color="auto"/>
          <w:right w:val="single" w:sz="4" w:space="4" w:color="auto"/>
        </w:pBdr>
        <w:tabs>
          <w:tab w:val="left" w:pos="420"/>
        </w:tabs>
        <w:spacing w:after="120" w:line="240" w:lineRule="auto"/>
        <w:ind w:left="357" w:hanging="357"/>
        <w:jc w:val="both"/>
        <w:rPr>
          <w:rFonts w:ascii="Times New Roman" w:hAnsi="Times New Roman" w:cs="Times New Roman"/>
          <w:noProof/>
          <w:sz w:val="24"/>
          <w:szCs w:val="24"/>
        </w:rPr>
      </w:pPr>
      <w:r w:rsidRPr="00A650D0">
        <w:rPr>
          <w:rFonts w:ascii="Times New Roman" w:hAnsi="Times New Roman" w:cs="Times New Roman"/>
          <w:noProof/>
          <w:sz w:val="24"/>
        </w:rPr>
        <w:t>proposer systématiquement, à tous les fonctionnaires, une formation sur la diversité et la lutte contre les préjugés.</w:t>
      </w:r>
    </w:p>
    <w:p w14:paraId="7A281888" w14:textId="77777777" w:rsidR="005C5FFA" w:rsidRPr="00A650D0" w:rsidRDefault="005C5FFA" w:rsidP="00590DF6">
      <w:pPr>
        <w:spacing w:after="0" w:line="240" w:lineRule="auto"/>
        <w:rPr>
          <w:rFonts w:ascii="Times New Roman" w:hAnsi="Times New Roman" w:cs="Times New Roman"/>
          <w:b/>
          <w:bCs/>
          <w:noProof/>
          <w:sz w:val="24"/>
          <w:szCs w:val="24"/>
        </w:rPr>
        <w:sectPr w:rsidR="005C5FFA" w:rsidRPr="00A650D0" w:rsidSect="005C5FFA">
          <w:headerReference w:type="even" r:id="rId105"/>
          <w:headerReference w:type="default" r:id="rId106"/>
          <w:footerReference w:type="even" r:id="rId107"/>
          <w:footerReference w:type="default" r:id="rId108"/>
          <w:headerReference w:type="first" r:id="rId109"/>
          <w:footerReference w:type="first" r:id="rId110"/>
          <w:type w:val="continuous"/>
          <w:pgSz w:w="11906" w:h="16838"/>
          <w:pgMar w:top="1440" w:right="1440" w:bottom="1440" w:left="1440" w:header="708" w:footer="708" w:gutter="0"/>
          <w:cols w:space="720"/>
          <w:docGrid w:linePitch="360"/>
        </w:sectPr>
      </w:pPr>
    </w:p>
    <w:p w14:paraId="3B92C9DC" w14:textId="77777777" w:rsidR="00FC49F4" w:rsidRPr="00A650D0" w:rsidRDefault="00FC49F4" w:rsidP="001536B5">
      <w:pPr>
        <w:tabs>
          <w:tab w:val="left" w:pos="3740"/>
        </w:tabs>
        <w:spacing w:after="0" w:line="240" w:lineRule="auto"/>
        <w:rPr>
          <w:rFonts w:ascii="Times New Roman" w:hAnsi="Times New Roman" w:cs="Times New Roman"/>
          <w:b/>
          <w:bCs/>
          <w:noProof/>
          <w:sz w:val="24"/>
          <w:szCs w:val="24"/>
        </w:rPr>
      </w:pPr>
    </w:p>
    <w:p w14:paraId="2586F6E3" w14:textId="0E4254EA" w:rsidR="00BF6E0E" w:rsidRPr="00A650D0" w:rsidRDefault="003E70D4" w:rsidP="00C90233">
      <w:pPr>
        <w:spacing w:line="240" w:lineRule="auto"/>
        <w:rPr>
          <w:rFonts w:ascii="Times New Roman" w:hAnsi="Times New Roman" w:cs="Times New Roman"/>
          <w:b/>
          <w:noProof/>
          <w:sz w:val="24"/>
        </w:rPr>
      </w:pPr>
      <w:r w:rsidRPr="00A650D0">
        <w:rPr>
          <w:rFonts w:ascii="Times New Roman" w:hAnsi="Times New Roman" w:cs="Times New Roman"/>
          <w:b/>
          <w:noProof/>
          <w:sz w:val="24"/>
        </w:rPr>
        <w:t>CONCLUSION</w:t>
      </w:r>
    </w:p>
    <w:p w14:paraId="45BA21A1" w14:textId="54C2ECB1" w:rsidR="00BF6E0E" w:rsidRPr="00A650D0" w:rsidRDefault="6EDC0851" w:rsidP="00C90233">
      <w:pPr>
        <w:spacing w:line="240" w:lineRule="auto"/>
        <w:jc w:val="both"/>
        <w:rPr>
          <w:rFonts w:ascii="Times New Roman" w:hAnsi="Times New Roman" w:cs="Times New Roman"/>
          <w:noProof/>
          <w:sz w:val="24"/>
          <w:szCs w:val="24"/>
        </w:rPr>
      </w:pPr>
      <w:r w:rsidRPr="00A650D0">
        <w:rPr>
          <w:rFonts w:ascii="Times New Roman" w:hAnsi="Times New Roman" w:cs="Times New Roman"/>
          <w:noProof/>
          <w:sz w:val="24"/>
        </w:rPr>
        <w:t>La présente stratégie constitue une étape décisive sur la voie d’une véritable Union de l’égalité dans laquelle chacun et chacune peut vivre, occuper des fonctions de direction et prospérer sans se heurter au racisme, qu’il s’agisse du racisme antinoir, de l’antitsiganisme, de l’antisémitisme, du racisme antiasiatique ou de la haine antimusulmane. Elle fournit un cadre global pour lutter contre toutes les formes de racisme, de racisme interpersonnel et structurel, de discrimination raciale, d’infractions à caractère haineux et de violence, et propose des mesures concrètes à mettre en œuvre aux niveaux européen, national et local.</w:t>
      </w:r>
    </w:p>
    <w:p w14:paraId="10A8FC0D" w14:textId="18B8195A" w:rsidR="00BF6E0E" w:rsidRPr="00A650D0" w:rsidRDefault="00A47158" w:rsidP="00366F8E">
      <w:pPr>
        <w:spacing w:line="240" w:lineRule="auto"/>
        <w:jc w:val="both"/>
        <w:rPr>
          <w:rFonts w:ascii="Times New Roman" w:hAnsi="Times New Roman" w:cs="Times New Roman"/>
          <w:noProof/>
          <w:sz w:val="24"/>
          <w:szCs w:val="24"/>
        </w:rPr>
      </w:pPr>
      <w:r w:rsidRPr="00A650D0">
        <w:rPr>
          <w:rFonts w:ascii="Times New Roman" w:hAnsi="Times New Roman" w:cs="Times New Roman"/>
          <w:noProof/>
          <w:sz w:val="24"/>
        </w:rPr>
        <w:t xml:space="preserve">En présentant cette stratégie de lutte contre le racisme, la Commission s’engage à combattre celui-ci de manière globale, en intégrant la lutte contre le racisme dans toutes les politiques de l’UE et en dialoguant régulièrement avec les parties prenantes. Pour réaliser des progrès dans ce domaine, il est nécessaire d’unir les efforts à tous les niveaux. Les institutions et agences européennes, les États membres, les collectivités régionales et locales, les organismes pour l’égalité de traitement, le secteur privé et la société civile doivent s’engager activement et prendre des mesures concrètes. </w:t>
      </w:r>
    </w:p>
    <w:p w14:paraId="7817D0F0" w14:textId="69B142FF" w:rsidR="00BF6E0E" w:rsidRPr="00A650D0" w:rsidRDefault="003E70D4" w:rsidP="00366F8E">
      <w:pPr>
        <w:spacing w:line="240" w:lineRule="auto"/>
        <w:jc w:val="both"/>
        <w:rPr>
          <w:rFonts w:ascii="Times New Roman" w:hAnsi="Times New Roman" w:cs="Times New Roman"/>
          <w:noProof/>
          <w:sz w:val="24"/>
          <w:szCs w:val="24"/>
        </w:rPr>
      </w:pPr>
      <w:r w:rsidRPr="00A650D0">
        <w:rPr>
          <w:rFonts w:ascii="Times New Roman" w:hAnsi="Times New Roman" w:cs="Times New Roman"/>
          <w:noProof/>
          <w:sz w:val="24"/>
        </w:rPr>
        <w:t>Le racisme va à l’encontre des valeurs fondamentales de l’Union européenne et nuit à sa cohésion socio-économique. En garantissant à tous les individus, quelle que soit leur origine, l’égalité des chances en matière d’éducation, d’emploi et de participation sociale, l’Union maximise le potentiel de chacun et chacune. Des environnements diversifiés et inclusifs favorisent l’innovation, la créativité et la résolution de problèmes, autant d’éléments qui sont essentiels à la croissance économique. Qui plus est, promouvoir l’égalité et lutter contre le racisme contribue à attirer des investissements et des talents, et renforce ainsi la capacité de l’Union à être compétitive sur un marché mondial de plus en plus interconnecté et diversifié.</w:t>
      </w:r>
    </w:p>
    <w:p w14:paraId="44B76D04" w14:textId="6946C768" w:rsidR="00BF6E0E" w:rsidRPr="00A650D0" w:rsidRDefault="003E70D4" w:rsidP="00366F8E">
      <w:pPr>
        <w:spacing w:line="240" w:lineRule="auto"/>
        <w:jc w:val="both"/>
        <w:rPr>
          <w:rFonts w:ascii="Times New Roman" w:hAnsi="Times New Roman" w:cs="Times New Roman"/>
          <w:noProof/>
          <w:sz w:val="24"/>
          <w:szCs w:val="24"/>
        </w:rPr>
      </w:pPr>
      <w:r w:rsidRPr="00A650D0">
        <w:rPr>
          <w:rFonts w:ascii="Times New Roman" w:hAnsi="Times New Roman" w:cs="Times New Roman"/>
          <w:noProof/>
          <w:sz w:val="24"/>
        </w:rPr>
        <w:t xml:space="preserve">La Commission invite le Parlement européen et le Conseil à soutenir la mise en œuvre de la présente stratégie. Elle invite en outre le Comité européen des régions et le Comité économique et social européen à réunir les collectivités locales et régionales, les partenaires sociaux et la société civile afin d’examiner la manière de faire progresser la lutte contre le racisme. </w:t>
      </w:r>
    </w:p>
    <w:p w14:paraId="1FAFF4C0" w14:textId="5B5CD79E" w:rsidR="00BF6E0E" w:rsidRPr="00A650D0" w:rsidRDefault="58A606F8" w:rsidP="00366F8E">
      <w:pPr>
        <w:spacing w:line="240" w:lineRule="auto"/>
        <w:jc w:val="both"/>
        <w:rPr>
          <w:rFonts w:ascii="Times New Roman" w:hAnsi="Times New Roman" w:cs="Times New Roman"/>
          <w:noProof/>
          <w:sz w:val="24"/>
          <w:szCs w:val="24"/>
        </w:rPr>
      </w:pPr>
      <w:r w:rsidRPr="00A650D0">
        <w:rPr>
          <w:rFonts w:ascii="Times New Roman" w:hAnsi="Times New Roman" w:cs="Times New Roman"/>
          <w:noProof/>
          <w:sz w:val="24"/>
        </w:rPr>
        <w:t>La Commission suivra de près la mise en œuvre des mesures exposées dans la présente stratégie et fera rapport sur celle-ci à mi-parcours.</w:t>
      </w:r>
    </w:p>
    <w:sectPr w:rsidR="00BF6E0E" w:rsidRPr="00A650D0" w:rsidSect="00F14238">
      <w:headerReference w:type="even" r:id="rId111"/>
      <w:headerReference w:type="default" r:id="rId112"/>
      <w:footerReference w:type="even" r:id="rId113"/>
      <w:footerReference w:type="default" r:id="rId114"/>
      <w:headerReference w:type="first" r:id="rId115"/>
      <w:footerReference w:type="first" r:id="rId116"/>
      <w:type w:val="continuous"/>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FAE670" w14:textId="77777777" w:rsidR="00690A36" w:rsidRDefault="00690A36">
      <w:pPr>
        <w:spacing w:line="240" w:lineRule="auto"/>
      </w:pPr>
      <w:r>
        <w:separator/>
      </w:r>
    </w:p>
  </w:endnote>
  <w:endnote w:type="continuationSeparator" w:id="0">
    <w:p w14:paraId="7F2AE34F" w14:textId="77777777" w:rsidR="00690A36" w:rsidRDefault="00690A36">
      <w:pPr>
        <w:spacing w:line="240" w:lineRule="auto"/>
      </w:pPr>
      <w:r>
        <w:continuationSeparator/>
      </w:r>
    </w:p>
  </w:endnote>
  <w:endnote w:type="continuationNotice" w:id="1">
    <w:p w14:paraId="7F2BAC0B" w14:textId="77777777" w:rsidR="00690A36" w:rsidRDefault="00690A3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E813BC" w14:textId="0BF09306" w:rsidR="00275CA5" w:rsidRPr="00275CA5" w:rsidRDefault="00275CA5" w:rsidP="00275CA5">
    <w:pPr>
      <w:pStyle w:val="FooterCoverPage"/>
      <w:rPr>
        <w:rFonts w:ascii="Arial" w:hAnsi="Arial" w:cs="Arial"/>
        <w:b/>
        <w:sz w:val="48"/>
      </w:rPr>
    </w:pPr>
    <w:r w:rsidRPr="00275CA5">
      <w:rPr>
        <w:rFonts w:ascii="Arial" w:hAnsi="Arial" w:cs="Arial"/>
        <w:b/>
        <w:sz w:val="48"/>
      </w:rPr>
      <w:t>FR</w:t>
    </w:r>
    <w:r w:rsidRPr="00275CA5">
      <w:rPr>
        <w:rFonts w:ascii="Arial" w:hAnsi="Arial" w:cs="Arial"/>
        <w:b/>
        <w:sz w:val="48"/>
      </w:rPr>
      <w:tab/>
    </w:r>
    <w:r w:rsidRPr="00275CA5">
      <w:rPr>
        <w:rFonts w:ascii="Arial" w:hAnsi="Arial" w:cs="Arial"/>
        <w:b/>
        <w:sz w:val="48"/>
      </w:rPr>
      <w:tab/>
    </w:r>
    <w:r w:rsidRPr="00275CA5">
      <w:tab/>
    </w:r>
    <w:r w:rsidRPr="00275CA5">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60A8D1" w14:textId="6DB6AAD8" w:rsidR="00275CA5" w:rsidRPr="00275CA5" w:rsidRDefault="00275CA5" w:rsidP="00275CA5">
    <w:pPr>
      <w:pStyle w:val="FooterCoverPage"/>
      <w:rPr>
        <w:rFonts w:ascii="Arial" w:hAnsi="Arial" w:cs="Arial"/>
        <w:b/>
        <w:sz w:val="48"/>
      </w:rPr>
    </w:pPr>
    <w:r w:rsidRPr="00275CA5">
      <w:rPr>
        <w:rFonts w:ascii="Arial" w:hAnsi="Arial" w:cs="Arial"/>
        <w:b/>
        <w:sz w:val="48"/>
      </w:rPr>
      <w:t>FR</w:t>
    </w:r>
    <w:r w:rsidRPr="00275CA5">
      <w:rPr>
        <w:rFonts w:ascii="Arial" w:hAnsi="Arial" w:cs="Arial"/>
        <w:b/>
        <w:sz w:val="48"/>
      </w:rPr>
      <w:tab/>
    </w:r>
    <w:r w:rsidRPr="00275CA5">
      <w:rPr>
        <w:rFonts w:ascii="Arial" w:hAnsi="Arial" w:cs="Arial"/>
        <w:b/>
        <w:sz w:val="48"/>
      </w:rPr>
      <w:tab/>
    </w:r>
    <w:r w:rsidRPr="00275CA5">
      <w:tab/>
    </w:r>
    <w:r w:rsidRPr="00275CA5">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AAB024" w14:textId="77777777" w:rsidR="00275CA5" w:rsidRPr="00275CA5" w:rsidRDefault="00275CA5" w:rsidP="00275CA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7E849D" w14:textId="77777777" w:rsidR="00BF6E0E" w:rsidRDefault="00BF6E0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983191"/>
      <w:docPartObj>
        <w:docPartGallery w:val="Page Numbers (Bottom of Page)"/>
        <w:docPartUnique/>
      </w:docPartObj>
    </w:sdtPr>
    <w:sdtEndPr>
      <w:rPr>
        <w:noProof/>
      </w:rPr>
    </w:sdtEndPr>
    <w:sdtContent>
      <w:p w14:paraId="27B22B97" w14:textId="75823E2B" w:rsidR="00AF2CBE" w:rsidRDefault="00AF2CBE">
        <w:pPr>
          <w:pStyle w:val="Footer"/>
          <w:jc w:val="right"/>
        </w:pPr>
        <w:r>
          <w:fldChar w:fldCharType="begin"/>
        </w:r>
        <w:r>
          <w:instrText xml:space="preserve"> PAGE   \* MERGEFORMAT </w:instrText>
        </w:r>
        <w:r>
          <w:fldChar w:fldCharType="separate"/>
        </w:r>
        <w:r w:rsidR="00275CA5">
          <w:rPr>
            <w:noProof/>
          </w:rPr>
          <w:t>4</w:t>
        </w:r>
        <w:r>
          <w:fldChar w:fldCharType="end"/>
        </w:r>
      </w:p>
    </w:sdtContent>
  </w:sdt>
  <w:p w14:paraId="793F0E4D" w14:textId="77777777" w:rsidR="00BF6E0E" w:rsidRDefault="00BF6E0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574467" w14:textId="77777777" w:rsidR="00BF6E0E" w:rsidRDefault="00BF6E0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A0F889" w14:textId="77777777" w:rsidR="00BF6E0E" w:rsidRDefault="00BF6E0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9864573"/>
      <w:docPartObj>
        <w:docPartGallery w:val="Page Numbers (Bottom of Page)"/>
        <w:docPartUnique/>
      </w:docPartObj>
    </w:sdtPr>
    <w:sdtEndPr>
      <w:rPr>
        <w:noProof/>
      </w:rPr>
    </w:sdtEndPr>
    <w:sdtContent>
      <w:p w14:paraId="4F36581F" w14:textId="735FF794" w:rsidR="00AF2CBE" w:rsidRDefault="00AF2CBE">
        <w:pPr>
          <w:pStyle w:val="Footer"/>
          <w:jc w:val="right"/>
        </w:pPr>
        <w:r>
          <w:fldChar w:fldCharType="begin"/>
        </w:r>
        <w:r>
          <w:instrText xml:space="preserve"> PAGE   \* MERGEFORMAT </w:instrText>
        </w:r>
        <w:r>
          <w:fldChar w:fldCharType="separate"/>
        </w:r>
        <w:r w:rsidR="00375ED0">
          <w:rPr>
            <w:noProof/>
          </w:rPr>
          <w:t>23</w:t>
        </w:r>
        <w:r>
          <w:fldChar w:fldCharType="end"/>
        </w:r>
      </w:p>
    </w:sdtContent>
  </w:sdt>
  <w:p w14:paraId="4F38AF7A" w14:textId="77777777" w:rsidR="00BF6E0E" w:rsidRDefault="00BF6E0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B6171E" w14:textId="77777777" w:rsidR="00BF6E0E" w:rsidRDefault="00BF6E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995E63" w14:textId="77777777" w:rsidR="00690A36" w:rsidRDefault="00690A36">
      <w:pPr>
        <w:spacing w:after="0"/>
      </w:pPr>
      <w:r>
        <w:separator/>
      </w:r>
    </w:p>
  </w:footnote>
  <w:footnote w:type="continuationSeparator" w:id="0">
    <w:p w14:paraId="1F60B66D" w14:textId="77777777" w:rsidR="00690A36" w:rsidRDefault="00690A36">
      <w:pPr>
        <w:spacing w:after="0"/>
      </w:pPr>
      <w:r>
        <w:continuationSeparator/>
      </w:r>
    </w:p>
  </w:footnote>
  <w:footnote w:type="continuationNotice" w:id="1">
    <w:p w14:paraId="1AC28D19" w14:textId="77777777" w:rsidR="00690A36" w:rsidRDefault="00690A36">
      <w:pPr>
        <w:spacing w:after="0" w:line="240" w:lineRule="auto"/>
      </w:pPr>
    </w:p>
  </w:footnote>
  <w:footnote w:id="2">
    <w:p w14:paraId="1F0FC477" w14:textId="77777777" w:rsidR="00BF6E0E" w:rsidRPr="009438EA" w:rsidRDefault="003E70D4" w:rsidP="003D7104">
      <w:pPr>
        <w:pStyle w:val="FootnoteText"/>
        <w:snapToGrid w:val="0"/>
        <w:jc w:val="both"/>
        <w:rPr>
          <w:rFonts w:ascii="Times New Roman" w:hAnsi="Times New Roman" w:cs="Times New Roman"/>
          <w:sz w:val="16"/>
          <w:szCs w:val="16"/>
        </w:rPr>
      </w:pPr>
      <w:r w:rsidRPr="009438EA">
        <w:rPr>
          <w:rStyle w:val="FootnoteReference"/>
          <w:rFonts w:ascii="Times New Roman" w:hAnsi="Times New Roman" w:cs="Times New Roman"/>
          <w:sz w:val="16"/>
          <w:szCs w:val="16"/>
        </w:rPr>
        <w:footnoteRef/>
      </w:r>
      <w:r w:rsidRPr="009438EA">
        <w:rPr>
          <w:rFonts w:ascii="Times New Roman" w:hAnsi="Times New Roman" w:cs="Times New Roman"/>
          <w:sz w:val="16"/>
          <w:szCs w:val="16"/>
        </w:rPr>
        <w:t xml:space="preserve"> </w:t>
      </w:r>
      <w:hyperlink r:id="rId1" w:history="1">
        <w:r w:rsidRPr="009438EA">
          <w:rPr>
            <w:rStyle w:val="Hyperlink"/>
            <w:rFonts w:ascii="Times New Roman" w:hAnsi="Times New Roman" w:cs="Times New Roman"/>
            <w:sz w:val="16"/>
            <w:szCs w:val="16"/>
          </w:rPr>
          <w:t>Traité sur l’Union européenne, article 2</w:t>
        </w:r>
      </w:hyperlink>
      <w:r w:rsidRPr="009438EA">
        <w:rPr>
          <w:rFonts w:ascii="Times New Roman" w:hAnsi="Times New Roman" w:cs="Times New Roman"/>
          <w:sz w:val="16"/>
          <w:szCs w:val="16"/>
        </w:rPr>
        <w:t>.</w:t>
      </w:r>
    </w:p>
  </w:footnote>
  <w:footnote w:id="3">
    <w:p w14:paraId="514B5548" w14:textId="5690A815" w:rsidR="006A5092" w:rsidRPr="009438EA" w:rsidRDefault="006A5092" w:rsidP="003D7104">
      <w:pPr>
        <w:pStyle w:val="FootnoteText"/>
        <w:jc w:val="both"/>
        <w:rPr>
          <w:rFonts w:ascii="Times New Roman" w:hAnsi="Times New Roman" w:cs="Times New Roman"/>
          <w:sz w:val="16"/>
          <w:szCs w:val="16"/>
        </w:rPr>
      </w:pPr>
      <w:r w:rsidRPr="009438EA">
        <w:rPr>
          <w:rStyle w:val="FootnoteReference"/>
          <w:rFonts w:ascii="Times New Roman" w:hAnsi="Times New Roman" w:cs="Times New Roman"/>
          <w:sz w:val="16"/>
          <w:szCs w:val="16"/>
        </w:rPr>
        <w:footnoteRef/>
      </w:r>
      <w:r w:rsidRPr="009438EA">
        <w:rPr>
          <w:rFonts w:ascii="Times New Roman" w:hAnsi="Times New Roman" w:cs="Times New Roman"/>
          <w:sz w:val="16"/>
          <w:szCs w:val="16"/>
        </w:rPr>
        <w:t xml:space="preserve"> Pour plus d’informations, consulter le </w:t>
      </w:r>
      <w:hyperlink r:id="rId2" w:history="1">
        <w:r w:rsidRPr="009438EA">
          <w:rPr>
            <w:rStyle w:val="Hyperlink"/>
            <w:rFonts w:ascii="Times New Roman" w:hAnsi="Times New Roman" w:cs="Times New Roman"/>
            <w:sz w:val="16"/>
            <w:szCs w:val="16"/>
          </w:rPr>
          <w:t>rapport sur la mise en œuvre du plan d’action de l’UE contre le racisme</w:t>
        </w:r>
      </w:hyperlink>
      <w:r w:rsidRPr="009438EA">
        <w:rPr>
          <w:rFonts w:ascii="Times New Roman" w:hAnsi="Times New Roman" w:cs="Times New Roman"/>
          <w:sz w:val="16"/>
          <w:szCs w:val="16"/>
        </w:rPr>
        <w:t>.</w:t>
      </w:r>
    </w:p>
  </w:footnote>
  <w:footnote w:id="4">
    <w:p w14:paraId="6A8FF2BF" w14:textId="16B505F7" w:rsidR="00BB2741" w:rsidRPr="009438EA" w:rsidRDefault="00BB2741" w:rsidP="003D7104">
      <w:pPr>
        <w:pStyle w:val="FootnoteText"/>
        <w:jc w:val="both"/>
        <w:rPr>
          <w:rFonts w:ascii="Times New Roman" w:hAnsi="Times New Roman" w:cs="Times New Roman"/>
          <w:sz w:val="16"/>
          <w:szCs w:val="16"/>
        </w:rPr>
      </w:pPr>
      <w:r w:rsidRPr="009438EA">
        <w:rPr>
          <w:rStyle w:val="FootnoteReference"/>
          <w:rFonts w:ascii="Times New Roman" w:hAnsi="Times New Roman" w:cs="Times New Roman"/>
          <w:sz w:val="16"/>
          <w:szCs w:val="16"/>
        </w:rPr>
        <w:footnoteRef/>
      </w:r>
      <w:r w:rsidRPr="009438EA">
        <w:rPr>
          <w:rFonts w:ascii="Times New Roman" w:hAnsi="Times New Roman" w:cs="Times New Roman"/>
          <w:sz w:val="16"/>
          <w:szCs w:val="16"/>
        </w:rPr>
        <w:t xml:space="preserve"> </w:t>
      </w:r>
      <w:hyperlink r:id="rId3" w:history="1">
        <w:r w:rsidRPr="009438EA">
          <w:rPr>
            <w:rStyle w:val="Hyperlink"/>
            <w:rFonts w:ascii="Times New Roman" w:hAnsi="Times New Roman" w:cs="Times New Roman"/>
            <w:sz w:val="16"/>
            <w:szCs w:val="16"/>
          </w:rPr>
          <w:t>Enquête Eurobaromètre</w:t>
        </w:r>
      </w:hyperlink>
      <w:r w:rsidRPr="009438EA">
        <w:rPr>
          <w:rFonts w:ascii="Times New Roman" w:hAnsi="Times New Roman" w:cs="Times New Roman"/>
          <w:sz w:val="16"/>
          <w:szCs w:val="16"/>
        </w:rPr>
        <w:t xml:space="preserve">  – Discrimination dans l’Union européenne 2023</w:t>
      </w:r>
    </w:p>
  </w:footnote>
  <w:footnote w:id="5">
    <w:p w14:paraId="59DF4007" w14:textId="753D0CE7" w:rsidR="2A4AA904" w:rsidRPr="009438EA" w:rsidRDefault="2A4AA904" w:rsidP="003D7104">
      <w:pPr>
        <w:pStyle w:val="FootnoteText"/>
        <w:jc w:val="both"/>
        <w:rPr>
          <w:rFonts w:ascii="Times New Roman" w:hAnsi="Times New Roman" w:cs="Times New Roman"/>
          <w:sz w:val="16"/>
          <w:szCs w:val="16"/>
        </w:rPr>
      </w:pPr>
      <w:r w:rsidRPr="009438EA">
        <w:rPr>
          <w:rStyle w:val="FootnoteReference"/>
          <w:rFonts w:ascii="Times New Roman" w:hAnsi="Times New Roman" w:cs="Times New Roman"/>
          <w:sz w:val="16"/>
          <w:szCs w:val="16"/>
        </w:rPr>
        <w:footnoteRef/>
      </w:r>
      <w:r w:rsidRPr="009438EA">
        <w:rPr>
          <w:rFonts w:ascii="Times New Roman" w:hAnsi="Times New Roman" w:cs="Times New Roman"/>
          <w:sz w:val="16"/>
          <w:szCs w:val="16"/>
        </w:rPr>
        <w:t xml:space="preserve"> </w:t>
      </w:r>
      <w:hyperlink r:id="rId4">
        <w:r w:rsidRPr="009438EA">
          <w:rPr>
            <w:rStyle w:val="Hyperlink"/>
            <w:rFonts w:ascii="Times New Roman" w:hAnsi="Times New Roman" w:cs="Times New Roman"/>
            <w:sz w:val="16"/>
            <w:szCs w:val="16"/>
          </w:rPr>
          <w:t>Résolution du Parlement européen du 10 novembre 2022 sur la justice raciale, la non-discrimination et la lutte contre le racisme dans l’UE (2022)0389</w:t>
        </w:r>
      </w:hyperlink>
      <w:r w:rsidRPr="009438EA">
        <w:rPr>
          <w:rFonts w:ascii="Times New Roman" w:hAnsi="Times New Roman" w:cs="Times New Roman"/>
          <w:sz w:val="16"/>
          <w:szCs w:val="16"/>
        </w:rPr>
        <w:t>.</w:t>
      </w:r>
    </w:p>
  </w:footnote>
  <w:footnote w:id="6">
    <w:p w14:paraId="0A657AA7" w14:textId="06A3AD13" w:rsidR="2A4AA904" w:rsidRPr="009438EA" w:rsidRDefault="2A4AA904" w:rsidP="003D7104">
      <w:pPr>
        <w:pStyle w:val="FootnoteText"/>
        <w:jc w:val="both"/>
        <w:rPr>
          <w:rFonts w:ascii="Times New Roman" w:hAnsi="Times New Roman" w:cs="Times New Roman"/>
          <w:sz w:val="16"/>
          <w:szCs w:val="16"/>
        </w:rPr>
      </w:pPr>
      <w:r w:rsidRPr="009438EA">
        <w:rPr>
          <w:rStyle w:val="FootnoteReference"/>
          <w:rFonts w:ascii="Times New Roman" w:hAnsi="Times New Roman" w:cs="Times New Roman"/>
          <w:sz w:val="16"/>
          <w:szCs w:val="16"/>
        </w:rPr>
        <w:footnoteRef/>
      </w:r>
      <w:r w:rsidRPr="009438EA">
        <w:rPr>
          <w:rFonts w:ascii="Times New Roman" w:hAnsi="Times New Roman" w:cs="Times New Roman"/>
          <w:sz w:val="16"/>
          <w:szCs w:val="16"/>
        </w:rPr>
        <w:t xml:space="preserve"> Voir, par exemple, les </w:t>
      </w:r>
      <w:hyperlink r:id="rId5" w:history="1">
        <w:r w:rsidRPr="009438EA">
          <w:rPr>
            <w:rStyle w:val="Hyperlink"/>
            <w:rFonts w:ascii="Times New Roman" w:hAnsi="Times New Roman" w:cs="Times New Roman"/>
            <w:sz w:val="16"/>
            <w:szCs w:val="16"/>
          </w:rPr>
          <w:t>conclusions du Conseil sur la lutte contre le racisme et l’antisémitisme</w:t>
        </w:r>
      </w:hyperlink>
      <w:r w:rsidRPr="009438EA">
        <w:rPr>
          <w:rFonts w:ascii="Times New Roman" w:hAnsi="Times New Roman" w:cs="Times New Roman"/>
          <w:sz w:val="16"/>
          <w:szCs w:val="16"/>
        </w:rPr>
        <w:t xml:space="preserve">, </w:t>
      </w:r>
      <w:hyperlink r:id="rId6" w:history="1">
        <w:r w:rsidRPr="009438EA">
          <w:rPr>
            <w:rStyle w:val="Hyperlink"/>
            <w:rFonts w:ascii="Times New Roman" w:hAnsi="Times New Roman" w:cs="Times New Roman"/>
            <w:sz w:val="16"/>
            <w:szCs w:val="16"/>
          </w:rPr>
          <w:t>les conclusions du Conseil européen du 18 décembre 2025</w:t>
        </w:r>
      </w:hyperlink>
      <w:r w:rsidRPr="009438EA">
        <w:rPr>
          <w:rFonts w:ascii="Times New Roman" w:hAnsi="Times New Roman" w:cs="Times New Roman"/>
          <w:sz w:val="16"/>
          <w:szCs w:val="16"/>
        </w:rPr>
        <w:t xml:space="preserve">, ainsi que les échanges dans le cadre du </w:t>
      </w:r>
      <w:hyperlink r:id="rId7">
        <w:r w:rsidRPr="009438EA">
          <w:rPr>
            <w:rStyle w:val="Hyperlink"/>
            <w:rFonts w:ascii="Times New Roman" w:hAnsi="Times New Roman" w:cs="Times New Roman"/>
            <w:sz w:val="16"/>
            <w:szCs w:val="16"/>
          </w:rPr>
          <w:t>Conseil «Justice et affaires intérieures» (Justice) - Consilium</w:t>
        </w:r>
      </w:hyperlink>
      <w:r w:rsidRPr="009438EA">
        <w:rPr>
          <w:rFonts w:ascii="Times New Roman" w:hAnsi="Times New Roman" w:cs="Times New Roman"/>
          <w:sz w:val="16"/>
          <w:szCs w:val="16"/>
        </w:rPr>
        <w:t xml:space="preserve"> et du </w:t>
      </w:r>
      <w:hyperlink r:id="rId8" w:history="1">
        <w:r w:rsidRPr="009438EA">
          <w:rPr>
            <w:rStyle w:val="Hyperlink"/>
            <w:rFonts w:ascii="Times New Roman" w:hAnsi="Times New Roman" w:cs="Times New Roman"/>
            <w:sz w:val="16"/>
            <w:szCs w:val="16"/>
          </w:rPr>
          <w:t>Conseil «Emploi, politique sociale, santé et consommateurs»</w:t>
        </w:r>
      </w:hyperlink>
      <w:r w:rsidRPr="009438EA">
        <w:rPr>
          <w:rFonts w:ascii="Times New Roman" w:hAnsi="Times New Roman" w:cs="Times New Roman"/>
          <w:sz w:val="16"/>
          <w:szCs w:val="16"/>
        </w:rPr>
        <w:t>.</w:t>
      </w:r>
    </w:p>
  </w:footnote>
  <w:footnote w:id="7">
    <w:p w14:paraId="0E725C3A" w14:textId="7DFD0E53" w:rsidR="00DB26D5" w:rsidRPr="009438EA" w:rsidRDefault="00DB26D5" w:rsidP="00CB395D">
      <w:pPr>
        <w:pStyle w:val="FootnoteText"/>
        <w:jc w:val="both"/>
        <w:rPr>
          <w:rFonts w:ascii="Times New Roman" w:hAnsi="Times New Roman" w:cs="Times New Roman"/>
          <w:sz w:val="16"/>
          <w:szCs w:val="16"/>
        </w:rPr>
      </w:pPr>
      <w:r w:rsidRPr="009438EA">
        <w:rPr>
          <w:rStyle w:val="FootnoteReference"/>
          <w:rFonts w:ascii="Times New Roman" w:hAnsi="Times New Roman" w:cs="Times New Roman"/>
          <w:sz w:val="16"/>
          <w:szCs w:val="16"/>
        </w:rPr>
        <w:footnoteRef/>
      </w:r>
      <w:r w:rsidRPr="009438EA">
        <w:rPr>
          <w:rFonts w:ascii="Times New Roman" w:hAnsi="Times New Roman" w:cs="Times New Roman"/>
          <w:sz w:val="16"/>
          <w:szCs w:val="16"/>
        </w:rPr>
        <w:t xml:space="preserve"> Traité sur le fonctionnement de l’Union, article 67, paragraphe 3: «[l]’Union œuvre pour assurer un niveau élevé de sécurité par des mesures de prévention de la criminalité, du racisme et de la xénophobie [...]».</w:t>
      </w:r>
    </w:p>
  </w:footnote>
  <w:footnote w:id="8">
    <w:p w14:paraId="1034A430" w14:textId="50336D9F" w:rsidR="007123CB" w:rsidRPr="009438EA" w:rsidRDefault="007123CB" w:rsidP="00CB395D">
      <w:pPr>
        <w:pStyle w:val="FootnoteText"/>
        <w:jc w:val="both"/>
        <w:rPr>
          <w:rFonts w:ascii="Times New Roman" w:hAnsi="Times New Roman" w:cs="Times New Roman"/>
          <w:sz w:val="16"/>
          <w:szCs w:val="16"/>
        </w:rPr>
      </w:pPr>
      <w:r w:rsidRPr="009438EA">
        <w:rPr>
          <w:rStyle w:val="FootnoteReference"/>
          <w:rFonts w:ascii="Times New Roman" w:hAnsi="Times New Roman" w:cs="Times New Roman"/>
          <w:sz w:val="16"/>
          <w:szCs w:val="16"/>
        </w:rPr>
        <w:footnoteRef/>
      </w:r>
      <w:r w:rsidRPr="009438EA">
        <w:rPr>
          <w:rFonts w:ascii="Times New Roman" w:hAnsi="Times New Roman" w:cs="Times New Roman"/>
          <w:sz w:val="16"/>
          <w:szCs w:val="16"/>
        </w:rPr>
        <w:t xml:space="preserve"> Il peut exister des chevauchements entre la discrimination fondée sur la race ou l’origine ethnique et la discrimination liée à d’autres caractéristiques ou identités, telles que le sexe, le handicap, l’âge, la religion ou les convictions, l’orientation sexuelle, l’identité de genre, le milieu/statut socio-économique, ce qui défavorise encore davantage la personne concernée. Par ailleurs, la haine à l’égard des migrants va souvent de pair avec le racisme et le renforce.</w:t>
      </w:r>
    </w:p>
  </w:footnote>
  <w:footnote w:id="9">
    <w:p w14:paraId="0BD71C95" w14:textId="5230A901" w:rsidR="6E969E13" w:rsidRPr="009438EA" w:rsidRDefault="6E969E13" w:rsidP="003D7104">
      <w:pPr>
        <w:pStyle w:val="FootnoteText"/>
        <w:jc w:val="both"/>
        <w:rPr>
          <w:rFonts w:ascii="Times New Roman" w:hAnsi="Times New Roman" w:cs="Times New Roman"/>
          <w:sz w:val="16"/>
          <w:szCs w:val="16"/>
        </w:rPr>
      </w:pPr>
      <w:r w:rsidRPr="009438EA">
        <w:rPr>
          <w:rStyle w:val="FootnoteReference"/>
          <w:rFonts w:ascii="Times New Roman" w:hAnsi="Times New Roman" w:cs="Times New Roman"/>
          <w:sz w:val="16"/>
          <w:szCs w:val="16"/>
        </w:rPr>
        <w:footnoteRef/>
      </w:r>
      <w:r w:rsidRPr="009438EA">
        <w:rPr>
          <w:rFonts w:ascii="Times New Roman" w:hAnsi="Times New Roman" w:cs="Times New Roman"/>
          <w:sz w:val="16"/>
          <w:szCs w:val="16"/>
        </w:rPr>
        <w:t xml:space="preserve"> Y compris en ce qui concerne les </w:t>
      </w:r>
      <w:hyperlink r:id="rId9" w:history="1">
        <w:r w:rsidRPr="009438EA">
          <w:rPr>
            <w:rStyle w:val="Hyperlink"/>
            <w:rFonts w:ascii="Times New Roman" w:hAnsi="Times New Roman" w:cs="Times New Roman"/>
            <w:sz w:val="16"/>
            <w:szCs w:val="16"/>
          </w:rPr>
          <w:t>Roms</w:t>
        </w:r>
      </w:hyperlink>
      <w:r w:rsidRPr="009438EA">
        <w:rPr>
          <w:rFonts w:ascii="Times New Roman" w:hAnsi="Times New Roman" w:cs="Times New Roman"/>
          <w:sz w:val="16"/>
          <w:szCs w:val="16"/>
        </w:rPr>
        <w:t xml:space="preserve">, </w:t>
      </w:r>
      <w:hyperlink r:id="rId10" w:history="1">
        <w:r w:rsidRPr="009438EA">
          <w:rPr>
            <w:rStyle w:val="Hyperlink"/>
            <w:rFonts w:ascii="Times New Roman" w:hAnsi="Times New Roman" w:cs="Times New Roman"/>
            <w:sz w:val="16"/>
            <w:szCs w:val="16"/>
          </w:rPr>
          <w:t>la lutte contre l’antisémitisme et le soutien à la vie juive</w:t>
        </w:r>
      </w:hyperlink>
      <w:r w:rsidRPr="009438EA">
        <w:rPr>
          <w:rFonts w:ascii="Times New Roman" w:hAnsi="Times New Roman" w:cs="Times New Roman"/>
          <w:sz w:val="16"/>
          <w:szCs w:val="16"/>
        </w:rPr>
        <w:t xml:space="preserve">, </w:t>
      </w:r>
      <w:hyperlink r:id="rId11" w:history="1">
        <w:r w:rsidRPr="009438EA">
          <w:rPr>
            <w:rStyle w:val="Hyperlink"/>
            <w:rFonts w:ascii="Times New Roman" w:hAnsi="Times New Roman" w:cs="Times New Roman"/>
            <w:sz w:val="16"/>
            <w:szCs w:val="16"/>
          </w:rPr>
          <w:t>l’égalité de genre</w:t>
        </w:r>
      </w:hyperlink>
      <w:r w:rsidRPr="009438EA">
        <w:rPr>
          <w:rFonts w:ascii="Times New Roman" w:hAnsi="Times New Roman" w:cs="Times New Roman"/>
          <w:sz w:val="16"/>
          <w:szCs w:val="16"/>
        </w:rPr>
        <w:t xml:space="preserve">, </w:t>
      </w:r>
      <w:hyperlink r:id="rId12" w:history="1">
        <w:r w:rsidRPr="009438EA">
          <w:rPr>
            <w:rStyle w:val="Hyperlink"/>
            <w:rFonts w:ascii="Times New Roman" w:hAnsi="Times New Roman" w:cs="Times New Roman"/>
            <w:sz w:val="16"/>
            <w:szCs w:val="16"/>
          </w:rPr>
          <w:t>l’égalité de traitement à l’égard des personnes LGBTI</w:t>
        </w:r>
      </w:hyperlink>
      <w:r w:rsidRPr="009438EA">
        <w:rPr>
          <w:rFonts w:ascii="Times New Roman" w:hAnsi="Times New Roman" w:cs="Times New Roman"/>
          <w:sz w:val="16"/>
          <w:szCs w:val="16"/>
        </w:rPr>
        <w:t xml:space="preserve">, </w:t>
      </w:r>
      <w:hyperlink r:id="rId13" w:history="1">
        <w:r w:rsidRPr="009438EA">
          <w:rPr>
            <w:rStyle w:val="Hyperlink"/>
            <w:rFonts w:ascii="Times New Roman" w:hAnsi="Times New Roman" w:cs="Times New Roman"/>
            <w:sz w:val="16"/>
            <w:szCs w:val="16"/>
          </w:rPr>
          <w:t>les droits des personnes handicapées</w:t>
        </w:r>
      </w:hyperlink>
      <w:r w:rsidRPr="009438EA">
        <w:rPr>
          <w:rFonts w:ascii="Times New Roman" w:hAnsi="Times New Roman" w:cs="Times New Roman"/>
          <w:sz w:val="16"/>
          <w:szCs w:val="16"/>
        </w:rPr>
        <w:t xml:space="preserve">, </w:t>
      </w:r>
      <w:hyperlink r:id="rId14" w:history="1">
        <w:r w:rsidRPr="009438EA">
          <w:rPr>
            <w:rStyle w:val="Hyperlink"/>
            <w:rFonts w:ascii="Times New Roman" w:hAnsi="Times New Roman" w:cs="Times New Roman"/>
            <w:sz w:val="16"/>
            <w:szCs w:val="16"/>
          </w:rPr>
          <w:t>la lutte contre la haine antimusulmane</w:t>
        </w:r>
      </w:hyperlink>
      <w:r w:rsidRPr="009438EA">
        <w:rPr>
          <w:rFonts w:ascii="Times New Roman" w:hAnsi="Times New Roman" w:cs="Times New Roman"/>
          <w:sz w:val="16"/>
          <w:szCs w:val="16"/>
        </w:rPr>
        <w:t xml:space="preserve">, </w:t>
      </w:r>
      <w:hyperlink r:id="rId15" w:history="1">
        <w:r w:rsidRPr="009438EA">
          <w:rPr>
            <w:rStyle w:val="Hyperlink"/>
            <w:rFonts w:ascii="Times New Roman" w:hAnsi="Times New Roman" w:cs="Times New Roman"/>
            <w:sz w:val="16"/>
            <w:szCs w:val="16"/>
          </w:rPr>
          <w:t>la lutte contre la haine</w:t>
        </w:r>
      </w:hyperlink>
      <w:r w:rsidRPr="009438EA">
        <w:rPr>
          <w:rFonts w:ascii="Times New Roman" w:hAnsi="Times New Roman" w:cs="Times New Roman"/>
          <w:sz w:val="16"/>
          <w:szCs w:val="16"/>
        </w:rPr>
        <w:t xml:space="preserve">, </w:t>
      </w:r>
      <w:hyperlink r:id="rId16" w:history="1">
        <w:r w:rsidRPr="009438EA">
          <w:rPr>
            <w:rStyle w:val="Hyperlink"/>
            <w:rFonts w:ascii="Times New Roman" w:hAnsi="Times New Roman" w:cs="Times New Roman"/>
            <w:sz w:val="16"/>
            <w:szCs w:val="16"/>
          </w:rPr>
          <w:t>l’intégration et l’inclusion</w:t>
        </w:r>
      </w:hyperlink>
      <w:r w:rsidRPr="009438EA">
        <w:rPr>
          <w:rFonts w:ascii="Times New Roman" w:hAnsi="Times New Roman" w:cs="Times New Roman"/>
          <w:sz w:val="16"/>
          <w:szCs w:val="16"/>
        </w:rPr>
        <w:t xml:space="preserve">, </w:t>
      </w:r>
      <w:hyperlink r:id="rId17" w:history="1">
        <w:r w:rsidRPr="009438EA">
          <w:rPr>
            <w:rStyle w:val="Hyperlink"/>
            <w:rFonts w:ascii="Times New Roman" w:hAnsi="Times New Roman" w:cs="Times New Roman"/>
            <w:sz w:val="16"/>
            <w:szCs w:val="16"/>
          </w:rPr>
          <w:t>les droits de l’enfant</w:t>
        </w:r>
      </w:hyperlink>
      <w:r w:rsidRPr="009438EA">
        <w:rPr>
          <w:rFonts w:ascii="Times New Roman" w:hAnsi="Times New Roman" w:cs="Times New Roman"/>
          <w:sz w:val="16"/>
          <w:szCs w:val="16"/>
        </w:rPr>
        <w:t xml:space="preserve"> ainsi que </w:t>
      </w:r>
      <w:hyperlink r:id="rId18" w:history="1">
        <w:r w:rsidRPr="009438EA">
          <w:rPr>
            <w:rStyle w:val="Hyperlink"/>
            <w:rFonts w:ascii="Times New Roman" w:hAnsi="Times New Roman" w:cs="Times New Roman"/>
            <w:sz w:val="16"/>
            <w:szCs w:val="16"/>
          </w:rPr>
          <w:t>les logements abordables</w:t>
        </w:r>
      </w:hyperlink>
      <w:r w:rsidRPr="009438EA">
        <w:rPr>
          <w:rFonts w:ascii="Times New Roman" w:hAnsi="Times New Roman" w:cs="Times New Roman"/>
          <w:sz w:val="16"/>
          <w:szCs w:val="16"/>
        </w:rPr>
        <w:t xml:space="preserve">, </w:t>
      </w:r>
      <w:hyperlink r:id="rId19" w:anchor=":~:text=One%20in%20five%20adults%20struggle,thanks%20to%20its%20competitive%20economy." w:history="1">
        <w:r w:rsidRPr="009438EA">
          <w:rPr>
            <w:rStyle w:val="Hyperlink"/>
            <w:rFonts w:ascii="Times New Roman" w:hAnsi="Times New Roman" w:cs="Times New Roman"/>
            <w:sz w:val="16"/>
            <w:szCs w:val="16"/>
          </w:rPr>
          <w:t>les emplois de qualité</w:t>
        </w:r>
      </w:hyperlink>
      <w:r w:rsidRPr="009438EA">
        <w:rPr>
          <w:rFonts w:ascii="Times New Roman" w:hAnsi="Times New Roman" w:cs="Times New Roman"/>
          <w:sz w:val="16"/>
          <w:szCs w:val="16"/>
        </w:rPr>
        <w:t xml:space="preserve">, </w:t>
      </w:r>
      <w:hyperlink r:id="rId20" w:history="1">
        <w:r w:rsidRPr="009438EA">
          <w:rPr>
            <w:rStyle w:val="Hyperlink"/>
            <w:rFonts w:ascii="Times New Roman" w:hAnsi="Times New Roman" w:cs="Times New Roman"/>
            <w:sz w:val="16"/>
            <w:szCs w:val="16"/>
          </w:rPr>
          <w:t>la lutte contre la pauvreté</w:t>
        </w:r>
      </w:hyperlink>
      <w:r w:rsidRPr="009438EA">
        <w:rPr>
          <w:rFonts w:ascii="Times New Roman" w:hAnsi="Times New Roman" w:cs="Times New Roman"/>
          <w:sz w:val="16"/>
          <w:szCs w:val="16"/>
        </w:rPr>
        <w:t xml:space="preserve">et la </w:t>
      </w:r>
      <w:hyperlink r:id="rId21" w:history="1">
        <w:r w:rsidRPr="009438EA">
          <w:rPr>
            <w:rStyle w:val="Hyperlink"/>
            <w:rFonts w:ascii="Times New Roman" w:hAnsi="Times New Roman" w:cs="Times New Roman"/>
            <w:sz w:val="16"/>
            <w:szCs w:val="16"/>
          </w:rPr>
          <w:t>société civile</w:t>
        </w:r>
      </w:hyperlink>
      <w:r w:rsidRPr="009438EA">
        <w:rPr>
          <w:rFonts w:ascii="Times New Roman" w:hAnsi="Times New Roman" w:cs="Times New Roman"/>
          <w:sz w:val="16"/>
          <w:szCs w:val="16"/>
        </w:rPr>
        <w:t>.</w:t>
      </w:r>
    </w:p>
  </w:footnote>
  <w:footnote w:id="10">
    <w:p w14:paraId="6F06F17B" w14:textId="15D0A47B" w:rsidR="00AF2CBE" w:rsidRPr="009438EA" w:rsidRDefault="00AF2CBE" w:rsidP="003D7104">
      <w:pPr>
        <w:spacing w:after="0" w:line="240" w:lineRule="auto"/>
        <w:jc w:val="both"/>
        <w:rPr>
          <w:rFonts w:ascii="Times New Roman" w:hAnsi="Times New Roman" w:cs="Times New Roman"/>
          <w:sz w:val="16"/>
          <w:szCs w:val="16"/>
        </w:rPr>
      </w:pPr>
      <w:r w:rsidRPr="009438EA">
        <w:rPr>
          <w:rStyle w:val="FootnoteReference"/>
          <w:rFonts w:ascii="Times New Roman" w:eastAsia="Times New Roman" w:hAnsi="Times New Roman" w:cs="Times New Roman"/>
          <w:sz w:val="16"/>
          <w:szCs w:val="16"/>
        </w:rPr>
        <w:footnoteRef/>
      </w:r>
      <w:r w:rsidRPr="009438EA">
        <w:rPr>
          <w:rFonts w:ascii="Times New Roman" w:hAnsi="Times New Roman" w:cs="Times New Roman"/>
          <w:sz w:val="16"/>
          <w:szCs w:val="16"/>
        </w:rPr>
        <w:t xml:space="preserve"> </w:t>
      </w:r>
      <w:hyperlink r:id="rId22" w:history="1">
        <w:r w:rsidRPr="009438EA">
          <w:rPr>
            <w:rStyle w:val="Hyperlink"/>
            <w:rFonts w:ascii="Times New Roman" w:hAnsi="Times New Roman" w:cs="Times New Roman"/>
            <w:sz w:val="16"/>
            <w:szCs w:val="16"/>
          </w:rPr>
          <w:t>Donnez votre avis: stratégie de lutte contre le racisme</w:t>
        </w:r>
      </w:hyperlink>
      <w:r w:rsidRPr="009438EA">
        <w:rPr>
          <w:rFonts w:ascii="Times New Roman" w:hAnsi="Times New Roman" w:cs="Times New Roman"/>
          <w:sz w:val="16"/>
          <w:szCs w:val="16"/>
        </w:rPr>
        <w:t xml:space="preserve"> - Appel à contributions et consultation publique. Les jeunes et les organisations de jeunesse de la société civile ont été consultés dans le cadre du processus d’évaluation d’impact du point de vue des jeunes de la Commission.</w:t>
      </w:r>
    </w:p>
  </w:footnote>
  <w:footnote w:id="11">
    <w:p w14:paraId="7990BFA2" w14:textId="1B53CDAE" w:rsidR="00DE443C" w:rsidRPr="009438EA" w:rsidRDefault="00DE443C" w:rsidP="003D7104">
      <w:pPr>
        <w:pStyle w:val="FootnoteText"/>
        <w:jc w:val="both"/>
        <w:rPr>
          <w:rFonts w:ascii="Times New Roman" w:hAnsi="Times New Roman" w:cs="Times New Roman"/>
          <w:sz w:val="16"/>
          <w:szCs w:val="16"/>
        </w:rPr>
      </w:pPr>
      <w:r w:rsidRPr="009438EA">
        <w:rPr>
          <w:rStyle w:val="FootnoteReference"/>
          <w:rFonts w:ascii="Times New Roman" w:hAnsi="Times New Roman" w:cs="Times New Roman"/>
          <w:sz w:val="16"/>
          <w:szCs w:val="16"/>
        </w:rPr>
        <w:footnoteRef/>
      </w:r>
      <w:r w:rsidRPr="009438EA">
        <w:rPr>
          <w:rFonts w:ascii="Times New Roman" w:hAnsi="Times New Roman" w:cs="Times New Roman"/>
          <w:sz w:val="16"/>
          <w:szCs w:val="16"/>
        </w:rPr>
        <w:t xml:space="preserve"> Il est fait référence à la notion d’«origine raciale et ethnique» conformément à la terminologie juridique européenne et internationale. La Commission rappelle toutefois la conception commune selon laquelle le concept de «races» est purement fondé sur des constructions sociales et rejette la notion de «races» biologiques. </w:t>
      </w:r>
    </w:p>
  </w:footnote>
  <w:footnote w:id="12">
    <w:p w14:paraId="46CE9EA1" w14:textId="77777777" w:rsidR="00BF6E0E" w:rsidRPr="009438EA" w:rsidRDefault="003E70D4" w:rsidP="003D7104">
      <w:pPr>
        <w:pStyle w:val="FootnoteText"/>
        <w:jc w:val="both"/>
        <w:rPr>
          <w:rFonts w:ascii="Times New Roman" w:hAnsi="Times New Roman" w:cs="Times New Roman"/>
          <w:sz w:val="16"/>
          <w:szCs w:val="16"/>
        </w:rPr>
      </w:pPr>
      <w:r w:rsidRPr="009438EA">
        <w:rPr>
          <w:rStyle w:val="FootnoteReference"/>
          <w:rFonts w:ascii="Times New Roman" w:hAnsi="Times New Roman" w:cs="Times New Roman"/>
          <w:sz w:val="16"/>
          <w:szCs w:val="16"/>
        </w:rPr>
        <w:footnoteRef/>
      </w:r>
      <w:r w:rsidRPr="009438EA">
        <w:rPr>
          <w:rFonts w:ascii="Times New Roman" w:hAnsi="Times New Roman" w:cs="Times New Roman"/>
          <w:sz w:val="16"/>
          <w:szCs w:val="16"/>
        </w:rPr>
        <w:t xml:space="preserve"> </w:t>
      </w:r>
      <w:hyperlink r:id="rId23" w:history="1">
        <w:r w:rsidRPr="009438EA">
          <w:rPr>
            <w:rStyle w:val="Hyperlink"/>
            <w:rFonts w:ascii="Times New Roman" w:hAnsi="Times New Roman" w:cs="Times New Roman"/>
            <w:sz w:val="16"/>
            <w:szCs w:val="16"/>
          </w:rPr>
          <w:t>FRA 2023: Être noir dans l’Union européenne (Being Black in the European Union)</w:t>
        </w:r>
      </w:hyperlink>
      <w:r w:rsidRPr="009438EA">
        <w:rPr>
          <w:rFonts w:ascii="Times New Roman" w:hAnsi="Times New Roman" w:cs="Times New Roman"/>
          <w:sz w:val="16"/>
          <w:szCs w:val="16"/>
        </w:rPr>
        <w:t>.</w:t>
      </w:r>
    </w:p>
  </w:footnote>
  <w:footnote w:id="13">
    <w:p w14:paraId="7FA84EDE" w14:textId="77777777" w:rsidR="00BF6E0E" w:rsidRPr="009438EA" w:rsidRDefault="003E70D4" w:rsidP="003D7104">
      <w:pPr>
        <w:pStyle w:val="FootnoteText"/>
        <w:jc w:val="both"/>
        <w:rPr>
          <w:rFonts w:ascii="Times New Roman" w:hAnsi="Times New Roman" w:cs="Times New Roman"/>
          <w:sz w:val="16"/>
          <w:szCs w:val="16"/>
        </w:rPr>
      </w:pPr>
      <w:r w:rsidRPr="009438EA">
        <w:rPr>
          <w:rStyle w:val="FootnoteReference"/>
          <w:rFonts w:ascii="Times New Roman" w:hAnsi="Times New Roman" w:cs="Times New Roman"/>
          <w:sz w:val="16"/>
          <w:szCs w:val="16"/>
        </w:rPr>
        <w:footnoteRef/>
      </w:r>
      <w:r w:rsidRPr="009438EA">
        <w:rPr>
          <w:rFonts w:ascii="Times New Roman" w:hAnsi="Times New Roman" w:cs="Times New Roman"/>
          <w:sz w:val="16"/>
          <w:szCs w:val="16"/>
        </w:rPr>
        <w:t xml:space="preserve"> </w:t>
      </w:r>
      <w:hyperlink r:id="rId24" w:history="1">
        <w:r w:rsidRPr="009438EA">
          <w:rPr>
            <w:rStyle w:val="Hyperlink"/>
            <w:rFonts w:ascii="Times New Roman" w:hAnsi="Times New Roman" w:cs="Times New Roman"/>
            <w:sz w:val="16"/>
            <w:szCs w:val="16"/>
          </w:rPr>
          <w:t>OECD 2025:</w:t>
        </w:r>
      </w:hyperlink>
      <w:hyperlink r:id="rId25" w:history="1">
        <w:r w:rsidRPr="009438EA">
          <w:rPr>
            <w:rStyle w:val="Hyperlink"/>
            <w:rFonts w:ascii="Times New Roman" w:hAnsi="Times New Roman" w:cs="Times New Roman"/>
            <w:sz w:val="16"/>
            <w:szCs w:val="16"/>
          </w:rPr>
          <w:t xml:space="preserve"> Monitoring and Assessing the Impact of National Action Plans Against Racism</w:t>
        </w:r>
      </w:hyperlink>
      <w:r w:rsidRPr="009438EA">
        <w:rPr>
          <w:rFonts w:ascii="Times New Roman" w:hAnsi="Times New Roman" w:cs="Times New Roman"/>
          <w:sz w:val="16"/>
          <w:szCs w:val="16"/>
        </w:rPr>
        <w:t xml:space="preserve"> (Suivi et évaluation de l’incidence des plans d’action nationaux contre le racisme)</w:t>
      </w:r>
    </w:p>
  </w:footnote>
  <w:footnote w:id="14">
    <w:p w14:paraId="1AFA9011" w14:textId="423FA4C9" w:rsidR="001D1538" w:rsidRPr="009438EA" w:rsidRDefault="001D1538" w:rsidP="001D1538">
      <w:pPr>
        <w:pStyle w:val="FootnoteText"/>
        <w:snapToGrid w:val="0"/>
        <w:jc w:val="both"/>
        <w:rPr>
          <w:rFonts w:ascii="Times New Roman" w:hAnsi="Times New Roman" w:cs="Times New Roman"/>
          <w:sz w:val="16"/>
          <w:szCs w:val="16"/>
        </w:rPr>
      </w:pPr>
      <w:r w:rsidRPr="009438EA">
        <w:rPr>
          <w:rStyle w:val="FootnoteReference"/>
          <w:rFonts w:ascii="Times New Roman" w:hAnsi="Times New Roman" w:cs="Times New Roman"/>
          <w:sz w:val="16"/>
          <w:szCs w:val="16"/>
        </w:rPr>
        <w:footnoteRef/>
      </w:r>
      <w:r w:rsidRPr="009438EA">
        <w:rPr>
          <w:rFonts w:ascii="Times New Roman" w:hAnsi="Times New Roman" w:cs="Times New Roman"/>
          <w:sz w:val="16"/>
          <w:szCs w:val="16"/>
        </w:rPr>
        <w:t xml:space="preserve"> </w:t>
      </w:r>
      <w:hyperlink r:id="rId26" w:history="1">
        <w:r w:rsidRPr="009438EA">
          <w:rPr>
            <w:rStyle w:val="Hyperlink"/>
            <w:rFonts w:ascii="Times New Roman" w:hAnsi="Times New Roman" w:cs="Times New Roman"/>
            <w:sz w:val="16"/>
            <w:szCs w:val="16"/>
          </w:rPr>
          <w:t xml:space="preserve">FRA 2025: Rights of Roma and Travellers in 13 European Countries </w:t>
        </w:r>
      </w:hyperlink>
      <w:r w:rsidRPr="009438EA">
        <w:rPr>
          <w:rFonts w:ascii="Times New Roman" w:hAnsi="Times New Roman" w:cs="Times New Roman"/>
          <w:sz w:val="16"/>
          <w:szCs w:val="16"/>
        </w:rPr>
        <w:t xml:space="preserve">(Les droits des Roms et des Gens du voyage dans 13 pays européens), </w:t>
      </w:r>
      <w:hyperlink r:id="rId27" w:history="1">
        <w:r w:rsidRPr="009438EA">
          <w:rPr>
            <w:rStyle w:val="Hyperlink"/>
            <w:rFonts w:ascii="Times New Roman" w:hAnsi="Times New Roman" w:cs="Times New Roman"/>
            <w:sz w:val="16"/>
            <w:szCs w:val="16"/>
          </w:rPr>
          <w:t xml:space="preserve"> FRA 2023: Being Black in the European Union </w:t>
        </w:r>
      </w:hyperlink>
      <w:r w:rsidRPr="009438EA">
        <w:rPr>
          <w:rFonts w:ascii="Times New Roman" w:hAnsi="Times New Roman" w:cs="Times New Roman"/>
          <w:sz w:val="16"/>
          <w:szCs w:val="16"/>
        </w:rPr>
        <w:t xml:space="preserve">(Être noir dans l’Union européenne), </w:t>
      </w:r>
      <w:hyperlink r:id="rId28" w:history="1">
        <w:r w:rsidRPr="009438EA">
          <w:rPr>
            <w:rStyle w:val="Hyperlink"/>
            <w:rFonts w:ascii="Times New Roman" w:hAnsi="Times New Roman" w:cs="Times New Roman"/>
            <w:sz w:val="16"/>
            <w:szCs w:val="16"/>
          </w:rPr>
          <w:t>FRA 2024: Being Muslim in the European Union</w:t>
        </w:r>
      </w:hyperlink>
      <w:r w:rsidRPr="009438EA">
        <w:rPr>
          <w:rFonts w:ascii="Times New Roman" w:hAnsi="Times New Roman" w:cs="Times New Roman"/>
          <w:sz w:val="16"/>
          <w:szCs w:val="16"/>
        </w:rPr>
        <w:t xml:space="preserve"> (Être musulman dans l’Union européenne).</w:t>
      </w:r>
    </w:p>
  </w:footnote>
  <w:footnote w:id="15">
    <w:p w14:paraId="784CB4E7" w14:textId="66287274" w:rsidR="00DF41E2" w:rsidRPr="009438EA" w:rsidRDefault="00DF41E2" w:rsidP="003D604D">
      <w:pPr>
        <w:pStyle w:val="FootnoteText"/>
        <w:jc w:val="both"/>
        <w:rPr>
          <w:rFonts w:ascii="Times New Roman" w:hAnsi="Times New Roman" w:cs="Times New Roman"/>
          <w:sz w:val="16"/>
          <w:szCs w:val="16"/>
        </w:rPr>
      </w:pPr>
      <w:r w:rsidRPr="009438EA">
        <w:rPr>
          <w:rStyle w:val="FootnoteReference"/>
          <w:rFonts w:ascii="Times New Roman" w:hAnsi="Times New Roman" w:cs="Times New Roman"/>
          <w:sz w:val="16"/>
          <w:szCs w:val="16"/>
        </w:rPr>
        <w:footnoteRef/>
      </w:r>
      <w:r w:rsidRPr="009438EA">
        <w:rPr>
          <w:rFonts w:ascii="Times New Roman" w:hAnsi="Times New Roman" w:cs="Times New Roman"/>
          <w:sz w:val="16"/>
          <w:szCs w:val="16"/>
        </w:rPr>
        <w:t xml:space="preserve"> Ce groupe est composé d’experts des États membres et d’observateurs, à savoir l’Agence des droits fondamentaux de l’Union européenne, la Commission européenne contre le racisme du Conseil de l’Europe et la Norvège. Il s’agit d’un sous-groupe travaillant dans le cadre du </w:t>
      </w:r>
      <w:hyperlink r:id="rId29" w:history="1">
        <w:r w:rsidRPr="009438EA">
          <w:rPr>
            <w:rStyle w:val="Hyperlink"/>
            <w:rFonts w:ascii="Times New Roman" w:hAnsi="Times New Roman" w:cs="Times New Roman"/>
            <w:sz w:val="16"/>
            <w:szCs w:val="16"/>
          </w:rPr>
          <w:t>groupe à haut niveau sur la lutte contre les crimes de haine et les discours de haine</w:t>
        </w:r>
      </w:hyperlink>
      <w:r w:rsidRPr="009438EA">
        <w:rPr>
          <w:rFonts w:ascii="Times New Roman" w:hAnsi="Times New Roman" w:cs="Times New Roman"/>
          <w:sz w:val="16"/>
          <w:szCs w:val="16"/>
        </w:rPr>
        <w:t xml:space="preserve"> et du </w:t>
      </w:r>
      <w:hyperlink r:id="rId30" w:history="1">
        <w:r w:rsidRPr="009438EA">
          <w:rPr>
            <w:rStyle w:val="Hyperlink"/>
            <w:rFonts w:ascii="Times New Roman" w:hAnsi="Times New Roman" w:cs="Times New Roman"/>
            <w:sz w:val="16"/>
            <w:szCs w:val="16"/>
          </w:rPr>
          <w:t>groupe de haut niveau sur la non-discrimination, l’égalité et la diversité</w:t>
        </w:r>
      </w:hyperlink>
      <w:r w:rsidRPr="009438EA">
        <w:rPr>
          <w:rFonts w:ascii="Times New Roman" w:hAnsi="Times New Roman" w:cs="Times New Roman"/>
          <w:sz w:val="16"/>
          <w:szCs w:val="16"/>
        </w:rPr>
        <w:t>.</w:t>
      </w:r>
    </w:p>
  </w:footnote>
  <w:footnote w:id="16">
    <w:p w14:paraId="6D7F6F7D" w14:textId="7E4C845E" w:rsidR="003D604D" w:rsidRPr="009438EA" w:rsidRDefault="003D604D" w:rsidP="003D604D">
      <w:pPr>
        <w:pStyle w:val="FootnoteText"/>
        <w:jc w:val="both"/>
        <w:rPr>
          <w:rFonts w:ascii="Times New Roman" w:hAnsi="Times New Roman" w:cs="Times New Roman"/>
          <w:sz w:val="16"/>
          <w:szCs w:val="16"/>
        </w:rPr>
      </w:pPr>
      <w:r w:rsidRPr="009438EA">
        <w:rPr>
          <w:rStyle w:val="FootnoteReference"/>
          <w:rFonts w:ascii="Times New Roman" w:hAnsi="Times New Roman" w:cs="Times New Roman"/>
          <w:sz w:val="16"/>
          <w:szCs w:val="16"/>
        </w:rPr>
        <w:footnoteRef/>
      </w:r>
      <w:r w:rsidRPr="009438EA">
        <w:rPr>
          <w:rFonts w:ascii="Times New Roman" w:hAnsi="Times New Roman" w:cs="Times New Roman"/>
          <w:sz w:val="16"/>
          <w:szCs w:val="16"/>
        </w:rPr>
        <w:t xml:space="preserve"> La définition de l’antisémitisme de l’IHRA peut être consultée à l’adresse suivante: </w:t>
      </w:r>
      <w:r w:rsidRPr="009438EA">
        <w:rPr>
          <w:rStyle w:val="Hyperlink"/>
          <w:rFonts w:ascii="Times New Roman" w:hAnsi="Times New Roman" w:cs="Times New Roman"/>
          <w:sz w:val="16"/>
          <w:szCs w:val="16"/>
        </w:rPr>
        <w:t>https://holocaustremembrance.com/resources/definition-operationnelle-de-antisemitisme</w:t>
      </w:r>
      <w:r w:rsidRPr="009438EA">
        <w:rPr>
          <w:rFonts w:ascii="Times New Roman" w:hAnsi="Times New Roman" w:cs="Times New Roman"/>
          <w:sz w:val="16"/>
          <w:szCs w:val="16"/>
        </w:rPr>
        <w:t>.</w:t>
      </w:r>
    </w:p>
  </w:footnote>
  <w:footnote w:id="17">
    <w:p w14:paraId="0B120094" w14:textId="35DEE8C8" w:rsidR="0078553E" w:rsidRPr="009438EA" w:rsidRDefault="0078553E">
      <w:pPr>
        <w:pStyle w:val="FootnoteText"/>
        <w:rPr>
          <w:rFonts w:ascii="Times New Roman" w:hAnsi="Times New Roman" w:cs="Times New Roman"/>
          <w:sz w:val="16"/>
          <w:szCs w:val="16"/>
        </w:rPr>
      </w:pPr>
      <w:r w:rsidRPr="009438EA">
        <w:rPr>
          <w:rStyle w:val="FootnoteReference"/>
          <w:rFonts w:ascii="Times New Roman" w:hAnsi="Times New Roman" w:cs="Times New Roman"/>
          <w:sz w:val="16"/>
          <w:szCs w:val="16"/>
        </w:rPr>
        <w:footnoteRef/>
      </w:r>
      <w:r w:rsidRPr="009438EA">
        <w:rPr>
          <w:rFonts w:ascii="Times New Roman" w:hAnsi="Times New Roman" w:cs="Times New Roman"/>
          <w:sz w:val="16"/>
          <w:szCs w:val="16"/>
        </w:rPr>
        <w:t xml:space="preserve"> Par exemple, la </w:t>
      </w:r>
      <w:hyperlink r:id="rId31">
        <w:r w:rsidRPr="009438EA">
          <w:rPr>
            <w:rStyle w:val="Hyperlink"/>
            <w:rFonts w:ascii="Times New Roman" w:hAnsi="Times New Roman" w:cs="Times New Roman"/>
            <w:sz w:val="16"/>
            <w:szCs w:val="16"/>
          </w:rPr>
          <w:t>Journée internationale pour l’élimination de la discrimination raciale</w:t>
        </w:r>
      </w:hyperlink>
      <w:r w:rsidRPr="009438EA">
        <w:rPr>
          <w:rFonts w:ascii="Times New Roman" w:hAnsi="Times New Roman" w:cs="Times New Roman"/>
          <w:sz w:val="16"/>
          <w:szCs w:val="16"/>
        </w:rPr>
        <w:t xml:space="preserve">, la </w:t>
      </w:r>
      <w:hyperlink r:id="rId32">
        <w:r w:rsidRPr="009438EA">
          <w:rPr>
            <w:rStyle w:val="Hyperlink"/>
            <w:rFonts w:ascii="Times New Roman" w:hAnsi="Times New Roman" w:cs="Times New Roman"/>
            <w:sz w:val="16"/>
            <w:szCs w:val="16"/>
          </w:rPr>
          <w:t>Journée européenne de commémoration de l’abolition de la traite des esclaves</w:t>
        </w:r>
      </w:hyperlink>
      <w:r w:rsidRPr="009438EA">
        <w:rPr>
          <w:rFonts w:ascii="Times New Roman" w:hAnsi="Times New Roman" w:cs="Times New Roman"/>
          <w:sz w:val="16"/>
          <w:szCs w:val="16"/>
        </w:rPr>
        <w:t xml:space="preserve">, la </w:t>
      </w:r>
      <w:hyperlink r:id="rId33">
        <w:r w:rsidRPr="009438EA">
          <w:rPr>
            <w:rStyle w:val="Hyperlink"/>
            <w:rFonts w:ascii="Times New Roman" w:hAnsi="Times New Roman" w:cs="Times New Roman"/>
            <w:sz w:val="16"/>
            <w:szCs w:val="16"/>
          </w:rPr>
          <w:t>Journée internationale dédiée à la mémoire des victimes de l’Holocauste</w:t>
        </w:r>
      </w:hyperlink>
      <w:r w:rsidRPr="009438EA">
        <w:rPr>
          <w:rFonts w:ascii="Times New Roman" w:hAnsi="Times New Roman" w:cs="Times New Roman"/>
          <w:sz w:val="16"/>
          <w:szCs w:val="16"/>
        </w:rPr>
        <w:t xml:space="preserve"> et la </w:t>
      </w:r>
      <w:hyperlink r:id="rId34">
        <w:r w:rsidRPr="009438EA">
          <w:rPr>
            <w:rStyle w:val="Hyperlink"/>
            <w:rFonts w:ascii="Times New Roman" w:hAnsi="Times New Roman" w:cs="Times New Roman"/>
            <w:sz w:val="16"/>
            <w:szCs w:val="16"/>
          </w:rPr>
          <w:t>Journée européenne de commémoration de l’holocauste des Roms</w:t>
        </w:r>
      </w:hyperlink>
      <w:r w:rsidRPr="009438EA">
        <w:rPr>
          <w:rFonts w:ascii="Times New Roman" w:hAnsi="Times New Roman" w:cs="Times New Roman"/>
          <w:sz w:val="16"/>
          <w:szCs w:val="16"/>
        </w:rPr>
        <w:t>.</w:t>
      </w:r>
    </w:p>
  </w:footnote>
  <w:footnote w:id="18">
    <w:p w14:paraId="729EE7A5" w14:textId="481C7D59" w:rsidR="005B190B" w:rsidRPr="009438EA" w:rsidRDefault="005B190B" w:rsidP="006F7F1A">
      <w:pPr>
        <w:pStyle w:val="FootnoteText"/>
        <w:rPr>
          <w:rFonts w:ascii="Times New Roman" w:hAnsi="Times New Roman" w:cs="Times New Roman"/>
          <w:sz w:val="16"/>
          <w:szCs w:val="16"/>
        </w:rPr>
      </w:pPr>
      <w:r w:rsidRPr="009438EA">
        <w:rPr>
          <w:rStyle w:val="FootnoteReference"/>
          <w:rFonts w:ascii="Times New Roman" w:hAnsi="Times New Roman" w:cs="Times New Roman"/>
          <w:sz w:val="16"/>
          <w:szCs w:val="16"/>
        </w:rPr>
        <w:footnoteRef/>
      </w:r>
      <w:r w:rsidRPr="009438EA">
        <w:rPr>
          <w:rFonts w:ascii="Times New Roman" w:hAnsi="Times New Roman" w:cs="Times New Roman"/>
          <w:sz w:val="16"/>
          <w:szCs w:val="16"/>
        </w:rPr>
        <w:t xml:space="preserve"> </w:t>
      </w:r>
      <w:hyperlink r:id="rId35" w:history="1">
        <w:r w:rsidRPr="009438EA">
          <w:rPr>
            <w:rStyle w:val="Hyperlink"/>
            <w:rFonts w:ascii="Times New Roman" w:hAnsi="Times New Roman" w:cs="Times New Roman"/>
            <w:sz w:val="16"/>
            <w:szCs w:val="16"/>
          </w:rPr>
          <w:t>Déclaration du sommet UE-CELAC 2023</w:t>
        </w:r>
      </w:hyperlink>
      <w:r w:rsidRPr="009438EA">
        <w:rPr>
          <w:rFonts w:ascii="Times New Roman" w:hAnsi="Times New Roman" w:cs="Times New Roman"/>
          <w:sz w:val="16"/>
          <w:szCs w:val="16"/>
        </w:rPr>
        <w:t>.</w:t>
      </w:r>
    </w:p>
  </w:footnote>
  <w:footnote w:id="19">
    <w:p w14:paraId="76E68651" w14:textId="77777777" w:rsidR="00BF6E0E" w:rsidRPr="009438EA" w:rsidRDefault="003E70D4" w:rsidP="006F7F1A">
      <w:pPr>
        <w:pStyle w:val="FootnoteText"/>
        <w:rPr>
          <w:rFonts w:ascii="Times New Roman" w:hAnsi="Times New Roman" w:cs="Times New Roman"/>
          <w:sz w:val="16"/>
          <w:szCs w:val="16"/>
        </w:rPr>
      </w:pPr>
      <w:r w:rsidRPr="009438EA">
        <w:rPr>
          <w:rStyle w:val="FootnoteReference"/>
          <w:rFonts w:ascii="Times New Roman" w:hAnsi="Times New Roman" w:cs="Times New Roman"/>
          <w:sz w:val="16"/>
          <w:szCs w:val="16"/>
        </w:rPr>
        <w:footnoteRef/>
      </w:r>
      <w:r w:rsidRPr="009438EA">
        <w:rPr>
          <w:rFonts w:ascii="Times New Roman" w:hAnsi="Times New Roman" w:cs="Times New Roman"/>
          <w:sz w:val="16"/>
          <w:szCs w:val="16"/>
        </w:rPr>
        <w:t xml:space="preserve"> </w:t>
      </w:r>
      <w:hyperlink r:id="rId36" w:history="1">
        <w:r w:rsidRPr="009438EA">
          <w:rPr>
            <w:rStyle w:val="Hyperlink"/>
            <w:rFonts w:ascii="Times New Roman" w:hAnsi="Times New Roman" w:cs="Times New Roman"/>
            <w:sz w:val="16"/>
            <w:szCs w:val="16"/>
          </w:rPr>
          <w:t>Combattre l’antisémitisme par l’éducation</w:t>
        </w:r>
      </w:hyperlink>
      <w:r w:rsidRPr="009438EA">
        <w:rPr>
          <w:rFonts w:ascii="Times New Roman" w:hAnsi="Times New Roman" w:cs="Times New Roman"/>
          <w:sz w:val="16"/>
          <w:szCs w:val="16"/>
        </w:rPr>
        <w:t>.</w:t>
      </w:r>
    </w:p>
  </w:footnote>
  <w:footnote w:id="20">
    <w:p w14:paraId="26277060" w14:textId="1607B209" w:rsidR="00F77C79" w:rsidRPr="009438EA" w:rsidRDefault="00F77C79" w:rsidP="006F7F1A">
      <w:pPr>
        <w:pStyle w:val="FootnoteText"/>
        <w:rPr>
          <w:rFonts w:ascii="Times New Roman" w:hAnsi="Times New Roman" w:cs="Times New Roman"/>
          <w:sz w:val="16"/>
          <w:szCs w:val="16"/>
        </w:rPr>
      </w:pPr>
      <w:r w:rsidRPr="009438EA">
        <w:rPr>
          <w:rStyle w:val="FootnoteReference"/>
          <w:rFonts w:ascii="Times New Roman" w:hAnsi="Times New Roman" w:cs="Times New Roman"/>
          <w:sz w:val="16"/>
          <w:szCs w:val="16"/>
        </w:rPr>
        <w:footnoteRef/>
      </w:r>
      <w:r w:rsidRPr="009438EA">
        <w:rPr>
          <w:rFonts w:ascii="Times New Roman" w:hAnsi="Times New Roman" w:cs="Times New Roman"/>
          <w:sz w:val="16"/>
          <w:szCs w:val="16"/>
        </w:rPr>
        <w:t xml:space="preserve"> </w:t>
      </w:r>
      <w:hyperlink r:id="rId37" w:history="1">
        <w:r w:rsidRPr="009438EA">
          <w:rPr>
            <w:rStyle w:val="Hyperlink"/>
            <w:rFonts w:ascii="Times New Roman" w:hAnsi="Times New Roman" w:cs="Times New Roman"/>
            <w:sz w:val="16"/>
            <w:szCs w:val="16"/>
          </w:rPr>
          <w:t>Report on the Outcomes and transformational potential of the European University Initiative (Rapport sur les résultats et le potentiel de transformation de l’initiative «universités européennes»)</w:t>
        </w:r>
      </w:hyperlink>
      <w:r w:rsidRPr="009438EA">
        <w:rPr>
          <w:rFonts w:ascii="Times New Roman" w:hAnsi="Times New Roman" w:cs="Times New Roman"/>
          <w:sz w:val="16"/>
          <w:szCs w:val="16"/>
        </w:rPr>
        <w:t>.</w:t>
      </w:r>
    </w:p>
  </w:footnote>
  <w:footnote w:id="21">
    <w:p w14:paraId="47496F8B" w14:textId="3A3FC1AE" w:rsidR="003460E1" w:rsidRPr="009438EA" w:rsidRDefault="003460E1" w:rsidP="006F7F1A">
      <w:pPr>
        <w:pStyle w:val="FootnoteText"/>
        <w:rPr>
          <w:rFonts w:ascii="Times New Roman" w:hAnsi="Times New Roman" w:cs="Times New Roman"/>
          <w:sz w:val="16"/>
          <w:szCs w:val="16"/>
        </w:rPr>
      </w:pPr>
      <w:r w:rsidRPr="009438EA">
        <w:rPr>
          <w:rStyle w:val="FootnoteReference"/>
          <w:rFonts w:ascii="Times New Roman" w:hAnsi="Times New Roman" w:cs="Times New Roman"/>
          <w:sz w:val="16"/>
          <w:szCs w:val="16"/>
        </w:rPr>
        <w:footnoteRef/>
      </w:r>
      <w:r w:rsidRPr="009438EA">
        <w:rPr>
          <w:rFonts w:ascii="Times New Roman" w:hAnsi="Times New Roman" w:cs="Times New Roman"/>
          <w:sz w:val="16"/>
          <w:szCs w:val="16"/>
        </w:rPr>
        <w:t xml:space="preserve"> Voir la </w:t>
      </w:r>
      <w:hyperlink r:id="rId38" w:history="1">
        <w:r w:rsidRPr="009438EA">
          <w:rPr>
            <w:rStyle w:val="Hyperlink"/>
            <w:rFonts w:ascii="Times New Roman" w:hAnsi="Times New Roman" w:cs="Times New Roman"/>
            <w:sz w:val="16"/>
            <w:szCs w:val="16"/>
          </w:rPr>
          <w:t>note d’orientation sur la collecte et l’utilisation de données relatives à l’égalité fondées sur la race ou l’origine ethnique</w:t>
        </w:r>
      </w:hyperlink>
      <w:r w:rsidRPr="009438EA">
        <w:rPr>
          <w:rFonts w:ascii="Times New Roman" w:hAnsi="Times New Roman" w:cs="Times New Roman"/>
          <w:sz w:val="16"/>
          <w:szCs w:val="16"/>
        </w:rPr>
        <w:t>.</w:t>
      </w:r>
    </w:p>
  </w:footnote>
  <w:footnote w:id="22">
    <w:p w14:paraId="7136F407" w14:textId="77777777" w:rsidR="00BF6E0E" w:rsidRPr="009438EA" w:rsidRDefault="003E70D4" w:rsidP="00E119B7">
      <w:pPr>
        <w:pStyle w:val="FootnoteText"/>
        <w:snapToGrid w:val="0"/>
        <w:jc w:val="both"/>
        <w:rPr>
          <w:rFonts w:ascii="Times New Roman" w:hAnsi="Times New Roman" w:cs="Times New Roman"/>
          <w:sz w:val="16"/>
          <w:szCs w:val="16"/>
        </w:rPr>
      </w:pPr>
      <w:r w:rsidRPr="009438EA">
        <w:rPr>
          <w:rStyle w:val="FootnoteReference"/>
          <w:rFonts w:ascii="Times New Roman" w:hAnsi="Times New Roman" w:cs="Times New Roman"/>
          <w:sz w:val="16"/>
          <w:szCs w:val="16"/>
        </w:rPr>
        <w:footnoteRef/>
      </w:r>
      <w:r w:rsidRPr="009438EA">
        <w:rPr>
          <w:rFonts w:ascii="Times New Roman" w:hAnsi="Times New Roman" w:cs="Times New Roman"/>
          <w:sz w:val="16"/>
          <w:szCs w:val="16"/>
        </w:rPr>
        <w:t xml:space="preserve"> </w:t>
      </w:r>
      <w:hyperlink r:id="rId39" w:history="1">
        <w:r w:rsidRPr="009438EA">
          <w:rPr>
            <w:rStyle w:val="Hyperlink"/>
            <w:rFonts w:ascii="Times New Roman" w:hAnsi="Times New Roman" w:cs="Times New Roman"/>
            <w:sz w:val="16"/>
            <w:szCs w:val="16"/>
          </w:rPr>
          <w:t>Eurobaromètre 2023:</w:t>
        </w:r>
      </w:hyperlink>
      <w:hyperlink r:id="rId40" w:history="1">
        <w:r w:rsidRPr="009438EA">
          <w:rPr>
            <w:rStyle w:val="Hyperlink"/>
            <w:rFonts w:ascii="Times New Roman" w:hAnsi="Times New Roman" w:cs="Times New Roman"/>
            <w:sz w:val="16"/>
            <w:szCs w:val="16"/>
          </w:rPr>
          <w:t xml:space="preserve"> Discrimination in the European Union</w:t>
        </w:r>
      </w:hyperlink>
      <w:r w:rsidRPr="009438EA">
        <w:rPr>
          <w:rFonts w:ascii="Times New Roman" w:hAnsi="Times New Roman" w:cs="Times New Roman"/>
          <w:sz w:val="16"/>
          <w:szCs w:val="16"/>
        </w:rPr>
        <w:t xml:space="preserve"> (Les discriminations dans l’Union européenne)</w:t>
      </w:r>
    </w:p>
  </w:footnote>
  <w:footnote w:id="23">
    <w:p w14:paraId="643CB77D" w14:textId="77777777" w:rsidR="00BF6E0E" w:rsidRPr="009438EA" w:rsidRDefault="003E70D4" w:rsidP="00E119B7">
      <w:pPr>
        <w:pStyle w:val="FootnoteText"/>
        <w:snapToGrid w:val="0"/>
        <w:jc w:val="both"/>
        <w:rPr>
          <w:rFonts w:ascii="Times New Roman" w:hAnsi="Times New Roman" w:cs="Times New Roman"/>
          <w:sz w:val="16"/>
          <w:szCs w:val="16"/>
        </w:rPr>
      </w:pPr>
      <w:r w:rsidRPr="009438EA">
        <w:rPr>
          <w:rStyle w:val="FootnoteReference"/>
          <w:rFonts w:ascii="Times New Roman" w:hAnsi="Times New Roman" w:cs="Times New Roman"/>
          <w:sz w:val="16"/>
          <w:szCs w:val="16"/>
        </w:rPr>
        <w:footnoteRef/>
      </w:r>
      <w:r w:rsidRPr="009438EA">
        <w:rPr>
          <w:rFonts w:ascii="Times New Roman" w:hAnsi="Times New Roman" w:cs="Times New Roman"/>
          <w:sz w:val="16"/>
          <w:szCs w:val="16"/>
        </w:rPr>
        <w:t xml:space="preserve"> </w:t>
      </w:r>
      <w:hyperlink r:id="rId41" w:history="1">
        <w:r w:rsidRPr="009438EA">
          <w:rPr>
            <w:rStyle w:val="Hyperlink"/>
            <w:rFonts w:ascii="Times New Roman" w:hAnsi="Times New Roman" w:cs="Times New Roman"/>
            <w:sz w:val="16"/>
            <w:szCs w:val="16"/>
          </w:rPr>
          <w:t>FRA 2024: Jewish People’s Experience and Perceptions of Antisemitism (Expériences et perceptions des Juifs en matière d’antisémitisme)</w:t>
        </w:r>
      </w:hyperlink>
      <w:r w:rsidRPr="009438EA">
        <w:rPr>
          <w:rFonts w:ascii="Times New Roman" w:hAnsi="Times New Roman" w:cs="Times New Roman"/>
          <w:sz w:val="16"/>
          <w:szCs w:val="16"/>
        </w:rPr>
        <w:t>.</w:t>
      </w:r>
    </w:p>
  </w:footnote>
  <w:footnote w:id="24">
    <w:p w14:paraId="0858157F" w14:textId="77777777" w:rsidR="00BF6E0E" w:rsidRPr="009438EA" w:rsidRDefault="003E70D4" w:rsidP="00E119B7">
      <w:pPr>
        <w:pStyle w:val="FootnoteText"/>
        <w:snapToGrid w:val="0"/>
        <w:jc w:val="both"/>
        <w:rPr>
          <w:rFonts w:ascii="Times New Roman" w:hAnsi="Times New Roman" w:cs="Times New Roman"/>
          <w:sz w:val="16"/>
          <w:szCs w:val="16"/>
        </w:rPr>
      </w:pPr>
      <w:r w:rsidRPr="009438EA">
        <w:rPr>
          <w:rStyle w:val="FootnoteReference"/>
          <w:rFonts w:ascii="Times New Roman" w:hAnsi="Times New Roman" w:cs="Times New Roman"/>
          <w:sz w:val="16"/>
          <w:szCs w:val="16"/>
        </w:rPr>
        <w:footnoteRef/>
      </w:r>
      <w:r w:rsidRPr="009438EA">
        <w:rPr>
          <w:rFonts w:ascii="Times New Roman" w:hAnsi="Times New Roman" w:cs="Times New Roman"/>
          <w:sz w:val="16"/>
          <w:szCs w:val="16"/>
        </w:rPr>
        <w:t xml:space="preserve"> </w:t>
      </w:r>
      <w:hyperlink r:id="rId42" w:history="1">
        <w:r w:rsidRPr="009438EA">
          <w:rPr>
            <w:rStyle w:val="Hyperlink"/>
            <w:rFonts w:ascii="Times New Roman" w:hAnsi="Times New Roman" w:cs="Times New Roman"/>
            <w:sz w:val="16"/>
            <w:szCs w:val="16"/>
          </w:rPr>
          <w:t>FRA 2023: Être noir dans l’Union européenne (Being Black in the European Union)</w:t>
        </w:r>
      </w:hyperlink>
      <w:r w:rsidRPr="009438EA">
        <w:rPr>
          <w:rFonts w:ascii="Times New Roman" w:hAnsi="Times New Roman" w:cs="Times New Roman"/>
          <w:sz w:val="16"/>
          <w:szCs w:val="16"/>
        </w:rPr>
        <w:t>.</w:t>
      </w:r>
    </w:p>
  </w:footnote>
  <w:footnote w:id="25">
    <w:p w14:paraId="026A53C4" w14:textId="39633F36" w:rsidR="00E83720" w:rsidRPr="009438EA" w:rsidRDefault="00E83720" w:rsidP="00E119B7">
      <w:pPr>
        <w:pStyle w:val="FootnoteText"/>
        <w:jc w:val="both"/>
        <w:rPr>
          <w:rFonts w:ascii="Times New Roman" w:hAnsi="Times New Roman" w:cs="Times New Roman"/>
          <w:sz w:val="16"/>
          <w:szCs w:val="16"/>
        </w:rPr>
      </w:pPr>
      <w:r w:rsidRPr="009438EA">
        <w:rPr>
          <w:rStyle w:val="FootnoteReference"/>
          <w:rFonts w:ascii="Times New Roman" w:hAnsi="Times New Roman" w:cs="Times New Roman"/>
          <w:sz w:val="16"/>
          <w:szCs w:val="16"/>
        </w:rPr>
        <w:footnoteRef/>
      </w:r>
      <w:r w:rsidRPr="009438EA">
        <w:rPr>
          <w:rFonts w:ascii="Times New Roman" w:hAnsi="Times New Roman" w:cs="Times New Roman"/>
          <w:sz w:val="16"/>
          <w:szCs w:val="16"/>
        </w:rPr>
        <w:t xml:space="preserve"> Par exemple l’incitation publique à la violence ou à la haine à l’encontre d’un groupe de personnes ou d’un membre d’un tel groupe en raison de la race, la couleur, l’ascendance, la religion ou les convictions, l’origine nationale ou ethnique.</w:t>
      </w:r>
    </w:p>
  </w:footnote>
  <w:footnote w:id="26">
    <w:p w14:paraId="363D6FDF" w14:textId="4BA8A9CD" w:rsidR="00BF6E0E" w:rsidRPr="009438EA" w:rsidRDefault="003E70D4" w:rsidP="00E119B7">
      <w:pPr>
        <w:pStyle w:val="FootnoteText"/>
        <w:jc w:val="both"/>
        <w:rPr>
          <w:rFonts w:ascii="Times New Roman" w:hAnsi="Times New Roman" w:cs="Times New Roman"/>
          <w:sz w:val="16"/>
          <w:szCs w:val="16"/>
        </w:rPr>
      </w:pPr>
      <w:r w:rsidRPr="009438EA">
        <w:rPr>
          <w:rStyle w:val="FootnoteReference"/>
          <w:rFonts w:ascii="Times New Roman" w:hAnsi="Times New Roman" w:cs="Times New Roman"/>
          <w:sz w:val="16"/>
          <w:szCs w:val="16"/>
        </w:rPr>
        <w:footnoteRef/>
      </w:r>
      <w:r w:rsidRPr="009438EA">
        <w:rPr>
          <w:rFonts w:ascii="Times New Roman" w:hAnsi="Times New Roman" w:cs="Times New Roman"/>
          <w:sz w:val="16"/>
          <w:szCs w:val="16"/>
        </w:rPr>
        <w:t xml:space="preserve"> Rapports de la FRA: </w:t>
      </w:r>
      <w:hyperlink r:id="rId43" w:history="1">
        <w:r w:rsidRPr="009438EA">
          <w:rPr>
            <w:rStyle w:val="Hyperlink"/>
            <w:rFonts w:ascii="Times New Roman" w:hAnsi="Times New Roman" w:cs="Times New Roman"/>
            <w:sz w:val="16"/>
            <w:szCs w:val="16"/>
          </w:rPr>
          <w:t>Addressing Racism in Policing (Lutter contre le racisme dans les activités de police)</w:t>
        </w:r>
      </w:hyperlink>
      <w:r w:rsidRPr="009438EA">
        <w:rPr>
          <w:rFonts w:ascii="Times New Roman" w:hAnsi="Times New Roman" w:cs="Times New Roman"/>
          <w:sz w:val="16"/>
          <w:szCs w:val="16"/>
        </w:rPr>
        <w:t xml:space="preserve">; </w:t>
      </w:r>
      <w:hyperlink r:id="rId44" w:history="1">
        <w:r w:rsidRPr="009438EA">
          <w:rPr>
            <w:rStyle w:val="Hyperlink"/>
            <w:rFonts w:ascii="Times New Roman" w:hAnsi="Times New Roman" w:cs="Times New Roman"/>
            <w:sz w:val="16"/>
            <w:szCs w:val="16"/>
          </w:rPr>
          <w:t>Being Muslim in the EU (Être musulman dans l’UE)</w:t>
        </w:r>
      </w:hyperlink>
      <w:r w:rsidRPr="009438EA">
        <w:rPr>
          <w:rFonts w:ascii="Times New Roman" w:hAnsi="Times New Roman" w:cs="Times New Roman"/>
          <w:sz w:val="16"/>
          <w:szCs w:val="16"/>
        </w:rPr>
        <w:t xml:space="preserve">; </w:t>
      </w:r>
      <w:hyperlink r:id="rId45" w:history="1">
        <w:r w:rsidRPr="009438EA">
          <w:rPr>
            <w:rStyle w:val="Hyperlink"/>
            <w:rFonts w:ascii="Times New Roman" w:hAnsi="Times New Roman" w:cs="Times New Roman"/>
            <w:sz w:val="16"/>
            <w:szCs w:val="16"/>
          </w:rPr>
          <w:t>Jewish People’s Experience and Perceptions of Antisemitism (Expériences et perceptions des Juifs en matière d’antisémitisme)</w:t>
        </w:r>
      </w:hyperlink>
      <w:r w:rsidRPr="009438EA">
        <w:rPr>
          <w:rFonts w:ascii="Times New Roman" w:hAnsi="Times New Roman" w:cs="Times New Roman"/>
          <w:sz w:val="16"/>
          <w:szCs w:val="16"/>
        </w:rPr>
        <w:t>.</w:t>
      </w:r>
    </w:p>
  </w:footnote>
  <w:footnote w:id="27">
    <w:p w14:paraId="022C8195" w14:textId="77777777" w:rsidR="0013275F" w:rsidRPr="009438EA" w:rsidRDefault="0013275F" w:rsidP="00E119B7">
      <w:pPr>
        <w:pStyle w:val="FootnoteText"/>
        <w:jc w:val="both"/>
        <w:rPr>
          <w:rFonts w:ascii="Times New Roman" w:hAnsi="Times New Roman" w:cs="Times New Roman"/>
          <w:sz w:val="16"/>
          <w:szCs w:val="16"/>
        </w:rPr>
      </w:pPr>
      <w:r w:rsidRPr="009438EA">
        <w:rPr>
          <w:rStyle w:val="FootnoteReference"/>
          <w:rFonts w:ascii="Times New Roman" w:hAnsi="Times New Roman" w:cs="Times New Roman"/>
          <w:sz w:val="16"/>
          <w:szCs w:val="16"/>
        </w:rPr>
        <w:footnoteRef/>
      </w:r>
      <w:r w:rsidRPr="009438EA">
        <w:rPr>
          <w:rFonts w:ascii="Times New Roman" w:hAnsi="Times New Roman" w:cs="Times New Roman"/>
          <w:sz w:val="16"/>
          <w:szCs w:val="16"/>
        </w:rPr>
        <w:t xml:space="preserve"> </w:t>
      </w:r>
      <w:hyperlink r:id="rId46" w:history="1">
        <w:r w:rsidRPr="009438EA">
          <w:rPr>
            <w:rStyle w:val="Hyperlink"/>
            <w:rFonts w:ascii="Times New Roman" w:hAnsi="Times New Roman" w:cs="Times New Roman"/>
            <w:sz w:val="16"/>
            <w:szCs w:val="16"/>
          </w:rPr>
          <w:t>Study on sanctions for discrimination on racial/ethnic/religious grounds (Étude sur les sanctions en cas de discrimination fondée sur la race, l’origine ethnique ou la religion)</w:t>
        </w:r>
      </w:hyperlink>
      <w:r w:rsidRPr="009438EA">
        <w:rPr>
          <w:rFonts w:ascii="Times New Roman" w:hAnsi="Times New Roman" w:cs="Times New Roman"/>
          <w:sz w:val="16"/>
          <w:szCs w:val="16"/>
        </w:rPr>
        <w:t>.</w:t>
      </w:r>
    </w:p>
  </w:footnote>
  <w:footnote w:id="28">
    <w:p w14:paraId="3D02BE9B" w14:textId="778885F2" w:rsidR="0009184B" w:rsidRPr="009438EA" w:rsidRDefault="0009184B">
      <w:pPr>
        <w:pStyle w:val="FootnoteText"/>
        <w:rPr>
          <w:rFonts w:ascii="Times New Roman" w:hAnsi="Times New Roman" w:cs="Times New Roman"/>
          <w:sz w:val="16"/>
          <w:szCs w:val="16"/>
        </w:rPr>
      </w:pPr>
      <w:r w:rsidRPr="009438EA">
        <w:rPr>
          <w:rStyle w:val="FootnoteReference"/>
          <w:rFonts w:ascii="Times New Roman" w:hAnsi="Times New Roman" w:cs="Times New Roman"/>
          <w:sz w:val="16"/>
          <w:szCs w:val="16"/>
        </w:rPr>
        <w:footnoteRef/>
      </w:r>
      <w:r w:rsidRPr="009438EA">
        <w:rPr>
          <w:rFonts w:ascii="Times New Roman" w:hAnsi="Times New Roman" w:cs="Times New Roman"/>
          <w:sz w:val="16"/>
          <w:szCs w:val="16"/>
        </w:rPr>
        <w:t xml:space="preserve"> </w:t>
      </w:r>
      <w:hyperlink r:id="rId47" w:history="1">
        <w:r w:rsidRPr="009438EA">
          <w:rPr>
            <w:rStyle w:val="Hyperlink"/>
            <w:rFonts w:ascii="Times New Roman" w:hAnsi="Times New Roman" w:cs="Times New Roman"/>
            <w:sz w:val="16"/>
            <w:szCs w:val="16"/>
          </w:rPr>
          <w:t>Procédures d’infraction dans l’UE</w:t>
        </w:r>
      </w:hyperlink>
      <w:r w:rsidRPr="009438EA">
        <w:rPr>
          <w:rFonts w:ascii="Times New Roman" w:hAnsi="Times New Roman" w:cs="Times New Roman"/>
          <w:sz w:val="16"/>
          <w:szCs w:val="16"/>
        </w:rPr>
        <w:t>.</w:t>
      </w:r>
    </w:p>
  </w:footnote>
  <w:footnote w:id="29">
    <w:p w14:paraId="3A10D652" w14:textId="6C6DF418" w:rsidR="00C05E38" w:rsidRPr="009438EA" w:rsidRDefault="00C05E38" w:rsidP="006F7F1A">
      <w:pPr>
        <w:pStyle w:val="FootnoteText"/>
        <w:rPr>
          <w:rFonts w:ascii="Times New Roman" w:hAnsi="Times New Roman" w:cs="Times New Roman"/>
          <w:sz w:val="16"/>
          <w:szCs w:val="16"/>
        </w:rPr>
      </w:pPr>
      <w:r w:rsidRPr="009438EA">
        <w:rPr>
          <w:rStyle w:val="FootnoteReference"/>
          <w:rFonts w:ascii="Times New Roman" w:hAnsi="Times New Roman" w:cs="Times New Roman"/>
          <w:sz w:val="16"/>
          <w:szCs w:val="16"/>
        </w:rPr>
        <w:footnoteRef/>
      </w:r>
      <w:r w:rsidRPr="009438EA">
        <w:rPr>
          <w:rFonts w:ascii="Times New Roman" w:hAnsi="Times New Roman" w:cs="Times New Roman"/>
          <w:sz w:val="16"/>
          <w:szCs w:val="16"/>
        </w:rPr>
        <w:t xml:space="preserve"> </w:t>
      </w:r>
      <w:hyperlink r:id="rId48" w:history="1">
        <w:r w:rsidRPr="009438EA">
          <w:rPr>
            <w:rStyle w:val="Hyperlink"/>
            <w:rFonts w:ascii="Times New Roman" w:hAnsi="Times New Roman" w:cs="Times New Roman"/>
            <w:sz w:val="16"/>
            <w:szCs w:val="16"/>
          </w:rPr>
          <w:t>Droits des victimes dans l’UE - Commission européenne</w:t>
        </w:r>
      </w:hyperlink>
      <w:r w:rsidRPr="009438EA">
        <w:rPr>
          <w:rFonts w:ascii="Times New Roman" w:hAnsi="Times New Roman" w:cs="Times New Roman"/>
          <w:sz w:val="16"/>
          <w:szCs w:val="16"/>
        </w:rPr>
        <w:t xml:space="preserve"> - </w:t>
      </w:r>
      <w:hyperlink r:id="rId49" w:history="1">
        <w:r w:rsidRPr="009438EA">
          <w:rPr>
            <w:rStyle w:val="Hyperlink"/>
            <w:rFonts w:ascii="Times New Roman" w:hAnsi="Times New Roman" w:cs="Times New Roman"/>
            <w:sz w:val="16"/>
            <w:szCs w:val="16"/>
          </w:rPr>
          <w:t>La Commission se félicite de l’accord sur le renforcement des règles de l’UE garantissant les droits des victimes</w:t>
        </w:r>
      </w:hyperlink>
      <w:r w:rsidRPr="009438EA">
        <w:rPr>
          <w:rFonts w:ascii="Times New Roman" w:hAnsi="Times New Roman" w:cs="Times New Roman"/>
          <w:sz w:val="16"/>
          <w:szCs w:val="16"/>
        </w:rPr>
        <w:t>.</w:t>
      </w:r>
    </w:p>
  </w:footnote>
  <w:footnote w:id="30">
    <w:p w14:paraId="43F004A4" w14:textId="77777777" w:rsidR="001C289D" w:rsidRPr="009438EA" w:rsidRDefault="001C289D" w:rsidP="001C289D">
      <w:pPr>
        <w:pStyle w:val="FootnoteText"/>
        <w:rPr>
          <w:rFonts w:ascii="Times New Roman" w:hAnsi="Times New Roman" w:cs="Times New Roman"/>
          <w:sz w:val="16"/>
          <w:szCs w:val="16"/>
        </w:rPr>
      </w:pPr>
      <w:r w:rsidRPr="009438EA">
        <w:rPr>
          <w:rStyle w:val="FootnoteReference"/>
          <w:rFonts w:ascii="Times New Roman" w:hAnsi="Times New Roman" w:cs="Times New Roman"/>
          <w:sz w:val="16"/>
          <w:szCs w:val="16"/>
        </w:rPr>
        <w:footnoteRef/>
      </w:r>
      <w:r w:rsidRPr="009438EA">
        <w:rPr>
          <w:rFonts w:ascii="Times New Roman" w:hAnsi="Times New Roman" w:cs="Times New Roman"/>
          <w:sz w:val="16"/>
          <w:szCs w:val="16"/>
        </w:rPr>
        <w:t xml:space="preserve"> Voir par exemple: </w:t>
      </w:r>
      <w:hyperlink r:id="rId50" w:history="1">
        <w:r w:rsidRPr="009438EA">
          <w:rPr>
            <w:rStyle w:val="Hyperlink"/>
            <w:rFonts w:ascii="Times New Roman" w:hAnsi="Times New Roman" w:cs="Times New Roman"/>
            <w:sz w:val="16"/>
            <w:szCs w:val="16"/>
          </w:rPr>
          <w:t>Réseau européen de prévention de la criminalité: la fonction de police orientée vers la communauté dans l’Union européenne (Community-Oriented Policing in the European Union)</w:t>
        </w:r>
      </w:hyperlink>
      <w:r w:rsidRPr="009438EA">
        <w:rPr>
          <w:rFonts w:ascii="Times New Roman" w:hAnsi="Times New Roman" w:cs="Times New Roman"/>
          <w:sz w:val="16"/>
          <w:szCs w:val="16"/>
        </w:rPr>
        <w:t>.</w:t>
      </w:r>
    </w:p>
  </w:footnote>
  <w:footnote w:id="31">
    <w:p w14:paraId="69EED7E6" w14:textId="77777777" w:rsidR="001C289D" w:rsidRPr="009438EA" w:rsidRDefault="001C289D" w:rsidP="001C289D">
      <w:pPr>
        <w:pStyle w:val="FootnoteText"/>
        <w:rPr>
          <w:rFonts w:ascii="Times New Roman" w:hAnsi="Times New Roman" w:cs="Times New Roman"/>
          <w:sz w:val="16"/>
          <w:szCs w:val="16"/>
        </w:rPr>
      </w:pPr>
      <w:r w:rsidRPr="009438EA">
        <w:rPr>
          <w:rStyle w:val="FootnoteReference"/>
          <w:rFonts w:ascii="Times New Roman" w:hAnsi="Times New Roman" w:cs="Times New Roman"/>
          <w:sz w:val="16"/>
          <w:szCs w:val="16"/>
        </w:rPr>
        <w:footnoteRef/>
      </w:r>
      <w:r w:rsidRPr="009438EA">
        <w:rPr>
          <w:rFonts w:ascii="Times New Roman" w:hAnsi="Times New Roman" w:cs="Times New Roman"/>
          <w:sz w:val="16"/>
          <w:szCs w:val="16"/>
        </w:rPr>
        <w:t xml:space="preserve"> </w:t>
      </w:r>
      <w:hyperlink r:id="rId51" w:history="1">
        <w:r w:rsidRPr="009438EA">
          <w:rPr>
            <w:rStyle w:val="Hyperlink"/>
            <w:rFonts w:ascii="Times New Roman" w:hAnsi="Times New Roman" w:cs="Times New Roman"/>
            <w:sz w:val="16"/>
            <w:szCs w:val="16"/>
          </w:rPr>
          <w:t>FRA – Addressing racism in policing (Lutter contre le racisme dans les activités de police)</w:t>
        </w:r>
      </w:hyperlink>
      <w:r w:rsidRPr="009438EA">
        <w:rPr>
          <w:rFonts w:ascii="Times New Roman" w:hAnsi="Times New Roman" w:cs="Times New Roman"/>
          <w:sz w:val="16"/>
          <w:szCs w:val="16"/>
        </w:rPr>
        <w:t>.</w:t>
      </w:r>
    </w:p>
  </w:footnote>
  <w:footnote w:id="32">
    <w:p w14:paraId="7333457F" w14:textId="507972DC" w:rsidR="002E239E" w:rsidRPr="009438EA" w:rsidRDefault="002E239E" w:rsidP="002E239E">
      <w:pPr>
        <w:pStyle w:val="FootnoteText"/>
        <w:rPr>
          <w:rFonts w:ascii="Times New Roman" w:hAnsi="Times New Roman" w:cs="Times New Roman"/>
          <w:sz w:val="16"/>
          <w:szCs w:val="16"/>
        </w:rPr>
      </w:pPr>
      <w:r w:rsidRPr="009438EA">
        <w:rPr>
          <w:rStyle w:val="FootnoteReference"/>
          <w:rFonts w:ascii="Times New Roman" w:hAnsi="Times New Roman" w:cs="Times New Roman"/>
          <w:sz w:val="16"/>
          <w:szCs w:val="16"/>
        </w:rPr>
        <w:footnoteRef/>
      </w:r>
      <w:r w:rsidRPr="009438EA">
        <w:rPr>
          <w:rFonts w:ascii="Times New Roman" w:hAnsi="Times New Roman" w:cs="Times New Roman"/>
          <w:sz w:val="16"/>
          <w:szCs w:val="16"/>
        </w:rPr>
        <w:t xml:space="preserve"> </w:t>
      </w:r>
      <w:hyperlink r:id="rId52" w:history="1">
        <w:r w:rsidRPr="009438EA">
          <w:rPr>
            <w:rStyle w:val="Hyperlink"/>
            <w:rFonts w:ascii="Times New Roman" w:hAnsi="Times New Roman" w:cs="Times New Roman"/>
            <w:sz w:val="16"/>
            <w:szCs w:val="16"/>
          </w:rPr>
          <w:t>Consultation publique ouverte:</w:t>
        </w:r>
      </w:hyperlink>
      <w:r w:rsidRPr="009438EA">
        <w:rPr>
          <w:rFonts w:ascii="Times New Roman" w:hAnsi="Times New Roman" w:cs="Times New Roman"/>
          <w:sz w:val="16"/>
          <w:szCs w:val="16"/>
        </w:rPr>
        <w:t xml:space="preserve"> stratégie de lutte contre le racisme.</w:t>
      </w:r>
    </w:p>
  </w:footnote>
  <w:footnote w:id="33">
    <w:p w14:paraId="7F19FD16" w14:textId="77777777" w:rsidR="00BF6E0E" w:rsidRPr="009438EA" w:rsidRDefault="003E70D4" w:rsidP="006F7F1A">
      <w:pPr>
        <w:pStyle w:val="FootnoteText"/>
        <w:snapToGrid w:val="0"/>
        <w:rPr>
          <w:rFonts w:ascii="Times New Roman" w:hAnsi="Times New Roman" w:cs="Times New Roman"/>
          <w:sz w:val="16"/>
          <w:szCs w:val="16"/>
        </w:rPr>
      </w:pPr>
      <w:r w:rsidRPr="009438EA">
        <w:rPr>
          <w:rStyle w:val="FootnoteReference"/>
          <w:rFonts w:ascii="Times New Roman" w:hAnsi="Times New Roman" w:cs="Times New Roman"/>
          <w:sz w:val="16"/>
          <w:szCs w:val="16"/>
        </w:rPr>
        <w:footnoteRef/>
      </w:r>
      <w:r w:rsidRPr="009438EA">
        <w:rPr>
          <w:rFonts w:ascii="Times New Roman" w:hAnsi="Times New Roman" w:cs="Times New Roman"/>
          <w:sz w:val="16"/>
          <w:szCs w:val="16"/>
        </w:rPr>
        <w:t xml:space="preserve"> </w:t>
      </w:r>
      <w:hyperlink r:id="rId53" w:history="1">
        <w:r w:rsidRPr="009438EA">
          <w:rPr>
            <w:rStyle w:val="Hyperlink"/>
            <w:rFonts w:ascii="Times New Roman" w:hAnsi="Times New Roman" w:cs="Times New Roman"/>
            <w:sz w:val="16"/>
            <w:szCs w:val="16"/>
          </w:rPr>
          <w:t>Eurobaromètre 2023:</w:t>
        </w:r>
      </w:hyperlink>
      <w:hyperlink r:id="rId54" w:history="1">
        <w:r w:rsidRPr="009438EA">
          <w:rPr>
            <w:rStyle w:val="Hyperlink"/>
            <w:rFonts w:ascii="Times New Roman" w:hAnsi="Times New Roman" w:cs="Times New Roman"/>
            <w:sz w:val="16"/>
            <w:szCs w:val="16"/>
          </w:rPr>
          <w:t xml:space="preserve"> Discrimination in the European Union</w:t>
        </w:r>
      </w:hyperlink>
      <w:r w:rsidRPr="009438EA">
        <w:rPr>
          <w:rFonts w:ascii="Times New Roman" w:hAnsi="Times New Roman" w:cs="Times New Roman"/>
          <w:sz w:val="16"/>
          <w:szCs w:val="16"/>
        </w:rPr>
        <w:t xml:space="preserve"> (Les discriminations dans l’Union européenne)</w:t>
      </w:r>
    </w:p>
  </w:footnote>
  <w:footnote w:id="34">
    <w:p w14:paraId="230F2BAE" w14:textId="319168DE" w:rsidR="00BF6E0E" w:rsidRPr="009438EA" w:rsidRDefault="003E70D4" w:rsidP="006F7F1A">
      <w:pPr>
        <w:pStyle w:val="FootnoteText"/>
        <w:snapToGrid w:val="0"/>
        <w:rPr>
          <w:rFonts w:ascii="Times New Roman" w:hAnsi="Times New Roman" w:cs="Times New Roman"/>
          <w:sz w:val="16"/>
          <w:szCs w:val="16"/>
        </w:rPr>
      </w:pPr>
      <w:r w:rsidRPr="009438EA">
        <w:rPr>
          <w:rStyle w:val="FootnoteReference"/>
          <w:rFonts w:ascii="Times New Roman" w:hAnsi="Times New Roman" w:cs="Times New Roman"/>
          <w:sz w:val="16"/>
          <w:szCs w:val="16"/>
        </w:rPr>
        <w:footnoteRef/>
      </w:r>
      <w:r w:rsidRPr="009438EA">
        <w:rPr>
          <w:rFonts w:ascii="Times New Roman" w:hAnsi="Times New Roman" w:cs="Times New Roman"/>
          <w:sz w:val="16"/>
          <w:szCs w:val="16"/>
        </w:rPr>
        <w:t xml:space="preserve"> </w:t>
      </w:r>
      <w:hyperlink r:id="rId55" w:history="1">
        <w:r w:rsidRPr="009438EA">
          <w:rPr>
            <w:rStyle w:val="Hyperlink"/>
            <w:rFonts w:ascii="Times New Roman" w:hAnsi="Times New Roman" w:cs="Times New Roman"/>
            <w:sz w:val="16"/>
            <w:szCs w:val="16"/>
          </w:rPr>
          <w:t>FRA 2025 - Rights of Roma and Travellers in 13 European Countries</w:t>
        </w:r>
      </w:hyperlink>
      <w:r w:rsidRPr="009438EA">
        <w:rPr>
          <w:rFonts w:ascii="Times New Roman" w:hAnsi="Times New Roman" w:cs="Times New Roman"/>
          <w:sz w:val="16"/>
          <w:szCs w:val="16"/>
        </w:rPr>
        <w:t xml:space="preserve"> (Les droits des Roms et des Gens du voyage dans 13 pays européens)</w:t>
      </w:r>
    </w:p>
  </w:footnote>
  <w:footnote w:id="35">
    <w:p w14:paraId="180B8143" w14:textId="77777777" w:rsidR="00BF6E0E" w:rsidRPr="009438EA" w:rsidRDefault="003E70D4" w:rsidP="006F7F1A">
      <w:pPr>
        <w:pStyle w:val="FootnoteText"/>
        <w:snapToGrid w:val="0"/>
        <w:rPr>
          <w:rFonts w:ascii="Times New Roman" w:hAnsi="Times New Roman" w:cs="Times New Roman"/>
          <w:sz w:val="16"/>
          <w:szCs w:val="16"/>
          <w:lang w:val="en-IE"/>
        </w:rPr>
      </w:pPr>
      <w:r w:rsidRPr="009438EA">
        <w:rPr>
          <w:rStyle w:val="FootnoteReference"/>
          <w:rFonts w:ascii="Times New Roman" w:hAnsi="Times New Roman" w:cs="Times New Roman"/>
          <w:sz w:val="16"/>
          <w:szCs w:val="16"/>
        </w:rPr>
        <w:footnoteRef/>
      </w:r>
      <w:r w:rsidRPr="009438EA">
        <w:rPr>
          <w:rFonts w:ascii="Times New Roman" w:hAnsi="Times New Roman" w:cs="Times New Roman"/>
          <w:sz w:val="16"/>
          <w:szCs w:val="16"/>
          <w:lang w:val="en-IE"/>
        </w:rPr>
        <w:t xml:space="preserve"> </w:t>
      </w:r>
      <w:hyperlink r:id="rId56" w:history="1">
        <w:r w:rsidRPr="009438EA">
          <w:rPr>
            <w:rStyle w:val="Hyperlink"/>
            <w:rFonts w:ascii="Times New Roman" w:hAnsi="Times New Roman" w:cs="Times New Roman"/>
            <w:sz w:val="16"/>
            <w:szCs w:val="16"/>
            <w:lang w:val="en-IE"/>
          </w:rPr>
          <w:t>FRA – Being Muslim in the EU</w:t>
        </w:r>
      </w:hyperlink>
      <w:r w:rsidRPr="009438EA">
        <w:rPr>
          <w:rFonts w:ascii="Times New Roman" w:hAnsi="Times New Roman" w:cs="Times New Roman"/>
          <w:sz w:val="16"/>
          <w:szCs w:val="16"/>
          <w:lang w:val="en-IE"/>
        </w:rPr>
        <w:t xml:space="preserve"> (Être musulman dans l’UE)</w:t>
      </w:r>
    </w:p>
  </w:footnote>
  <w:footnote w:id="36">
    <w:p w14:paraId="6842ABAE" w14:textId="6F8BB78E" w:rsidR="00060C1E" w:rsidRPr="009438EA" w:rsidRDefault="00060C1E" w:rsidP="00060C1E">
      <w:pPr>
        <w:pStyle w:val="FootnoteText"/>
        <w:rPr>
          <w:rFonts w:ascii="Times New Roman" w:hAnsi="Times New Roman" w:cs="Times New Roman"/>
          <w:sz w:val="16"/>
          <w:szCs w:val="16"/>
          <w:lang w:val="en-IE"/>
        </w:rPr>
      </w:pPr>
      <w:r w:rsidRPr="009438EA">
        <w:rPr>
          <w:rStyle w:val="FootnoteReference"/>
          <w:rFonts w:ascii="Times New Roman" w:hAnsi="Times New Roman" w:cs="Times New Roman"/>
          <w:sz w:val="16"/>
          <w:szCs w:val="16"/>
        </w:rPr>
        <w:footnoteRef/>
      </w:r>
      <w:r w:rsidRPr="009438EA">
        <w:rPr>
          <w:rFonts w:ascii="Times New Roman" w:hAnsi="Times New Roman" w:cs="Times New Roman"/>
          <w:sz w:val="16"/>
          <w:szCs w:val="16"/>
          <w:lang w:val="en-IE"/>
        </w:rPr>
        <w:t xml:space="preserve"> </w:t>
      </w:r>
      <w:hyperlink r:id="rId57" w:history="1">
        <w:r w:rsidRPr="009438EA">
          <w:rPr>
            <w:rStyle w:val="Hyperlink"/>
            <w:rFonts w:ascii="Times New Roman" w:hAnsi="Times New Roman" w:cs="Times New Roman"/>
            <w:sz w:val="16"/>
            <w:szCs w:val="16"/>
            <w:lang w:val="en-IE"/>
          </w:rPr>
          <w:t>OECD 2025:</w:t>
        </w:r>
      </w:hyperlink>
      <w:hyperlink r:id="rId58" w:history="1">
        <w:r w:rsidRPr="009438EA">
          <w:rPr>
            <w:rStyle w:val="Hyperlink"/>
            <w:rFonts w:ascii="Times New Roman" w:hAnsi="Times New Roman" w:cs="Times New Roman"/>
            <w:sz w:val="16"/>
            <w:szCs w:val="16"/>
            <w:lang w:val="en-IE"/>
          </w:rPr>
          <w:t xml:space="preserve"> Monitoring and Assessing the Impact of National Action Plans Against Racism</w:t>
        </w:r>
      </w:hyperlink>
      <w:r w:rsidRPr="009438EA">
        <w:rPr>
          <w:rFonts w:ascii="Times New Roman" w:hAnsi="Times New Roman" w:cs="Times New Roman"/>
          <w:sz w:val="16"/>
          <w:szCs w:val="16"/>
          <w:lang w:val="en-IE"/>
        </w:rPr>
        <w:t xml:space="preserve"> (Suivi et évaluation de l’incidence des plans d’action nationaux contre le racisme)</w:t>
      </w:r>
    </w:p>
  </w:footnote>
  <w:footnote w:id="37">
    <w:p w14:paraId="039B02A9" w14:textId="6FAEB70D" w:rsidR="00BF6E0E" w:rsidRPr="009438EA" w:rsidRDefault="003E70D4" w:rsidP="006F7F1A">
      <w:pPr>
        <w:pStyle w:val="FootnoteText"/>
        <w:rPr>
          <w:rFonts w:ascii="Times New Roman" w:hAnsi="Times New Roman" w:cs="Times New Roman"/>
          <w:sz w:val="16"/>
          <w:szCs w:val="16"/>
        </w:rPr>
      </w:pPr>
      <w:r w:rsidRPr="009438EA">
        <w:rPr>
          <w:rStyle w:val="FootnoteReference"/>
          <w:rFonts w:ascii="Times New Roman" w:hAnsi="Times New Roman" w:cs="Times New Roman"/>
          <w:sz w:val="16"/>
          <w:szCs w:val="16"/>
        </w:rPr>
        <w:footnoteRef/>
      </w:r>
      <w:r w:rsidRPr="009438EA">
        <w:rPr>
          <w:rFonts w:ascii="Times New Roman" w:hAnsi="Times New Roman" w:cs="Times New Roman"/>
          <w:sz w:val="16"/>
          <w:szCs w:val="16"/>
        </w:rPr>
        <w:t xml:space="preserve"> </w:t>
      </w:r>
      <w:hyperlink r:id="rId59" w:history="1">
        <w:r w:rsidRPr="009438EA">
          <w:rPr>
            <w:rStyle w:val="Hyperlink"/>
            <w:rFonts w:ascii="Times New Roman" w:hAnsi="Times New Roman" w:cs="Times New Roman"/>
            <w:sz w:val="16"/>
            <w:szCs w:val="16"/>
          </w:rPr>
          <w:t>New issue paper: Tackling prejudice and discrimination in and through education and training | European Education Area</w:t>
        </w:r>
      </w:hyperlink>
      <w:r w:rsidRPr="009438EA">
        <w:rPr>
          <w:rFonts w:ascii="Times New Roman" w:hAnsi="Times New Roman" w:cs="Times New Roman"/>
          <w:sz w:val="16"/>
          <w:szCs w:val="16"/>
        </w:rPr>
        <w:t xml:space="preserve"> (Nouveau document de réflexion: lutter contre les préjugés et la discrimination dans et par l’éducation et la formation | espace européen de l’éducation)</w:t>
      </w:r>
    </w:p>
  </w:footnote>
  <w:footnote w:id="38">
    <w:p w14:paraId="12EEF417" w14:textId="74F887AA" w:rsidR="00947693" w:rsidRPr="009438EA" w:rsidRDefault="00947693" w:rsidP="00E119B7">
      <w:pPr>
        <w:pStyle w:val="FootnoteText"/>
        <w:jc w:val="both"/>
        <w:rPr>
          <w:rFonts w:ascii="Times New Roman" w:hAnsi="Times New Roman" w:cs="Times New Roman"/>
          <w:sz w:val="16"/>
          <w:szCs w:val="16"/>
        </w:rPr>
      </w:pPr>
      <w:r w:rsidRPr="009438EA">
        <w:rPr>
          <w:rStyle w:val="FootnoteReference"/>
          <w:rFonts w:ascii="Times New Roman" w:hAnsi="Times New Roman" w:cs="Times New Roman"/>
          <w:sz w:val="16"/>
          <w:szCs w:val="16"/>
        </w:rPr>
        <w:footnoteRef/>
      </w:r>
      <w:r w:rsidRPr="009438EA">
        <w:rPr>
          <w:rFonts w:ascii="Times New Roman" w:hAnsi="Times New Roman" w:cs="Times New Roman"/>
          <w:sz w:val="16"/>
          <w:szCs w:val="16"/>
        </w:rPr>
        <w:t xml:space="preserve"> </w:t>
      </w:r>
      <w:hyperlink r:id="rId60" w:history="1">
        <w:r w:rsidRPr="009438EA">
          <w:rPr>
            <w:rStyle w:val="Hyperlink"/>
            <w:rFonts w:ascii="Times New Roman" w:hAnsi="Times New Roman" w:cs="Times New Roman"/>
            <w:sz w:val="16"/>
            <w:szCs w:val="16"/>
          </w:rPr>
          <w:t>Susanne Veit, et.al. In your face: a comparative field experiment on racial discrimination in Europe, Socio-Economic Review</w:t>
        </w:r>
      </w:hyperlink>
      <w:r w:rsidRPr="009438EA">
        <w:rPr>
          <w:rFonts w:ascii="Times New Roman" w:hAnsi="Times New Roman" w:cs="Times New Roman"/>
          <w:sz w:val="16"/>
          <w:szCs w:val="16"/>
        </w:rPr>
        <w:t xml:space="preserve"> (expérience comparative de terrain sur la discrimination raciale en Europe)</w:t>
      </w:r>
    </w:p>
  </w:footnote>
  <w:footnote w:id="39">
    <w:p w14:paraId="45CF2849" w14:textId="206A9C4F" w:rsidR="00BF6E0E" w:rsidRPr="009438EA" w:rsidRDefault="003E70D4" w:rsidP="00E119B7">
      <w:pPr>
        <w:pStyle w:val="FootnoteText"/>
        <w:jc w:val="both"/>
        <w:rPr>
          <w:rFonts w:ascii="Times New Roman" w:hAnsi="Times New Roman" w:cs="Times New Roman"/>
          <w:sz w:val="16"/>
          <w:szCs w:val="16"/>
        </w:rPr>
      </w:pPr>
      <w:r w:rsidRPr="009438EA">
        <w:rPr>
          <w:rStyle w:val="FootnoteReference"/>
          <w:rFonts w:ascii="Times New Roman" w:hAnsi="Times New Roman" w:cs="Times New Roman"/>
          <w:sz w:val="16"/>
          <w:szCs w:val="16"/>
        </w:rPr>
        <w:footnoteRef/>
      </w:r>
      <w:r w:rsidRPr="009438EA">
        <w:rPr>
          <w:rFonts w:ascii="Times New Roman" w:hAnsi="Times New Roman" w:cs="Times New Roman"/>
          <w:sz w:val="16"/>
          <w:szCs w:val="16"/>
        </w:rPr>
        <w:t xml:space="preserve"> </w:t>
      </w:r>
      <w:hyperlink r:id="rId61" w:history="1">
        <w:r w:rsidRPr="009438EA">
          <w:rPr>
            <w:rStyle w:val="Hyperlink"/>
            <w:rFonts w:ascii="Times New Roman" w:hAnsi="Times New Roman" w:cs="Times New Roman"/>
            <w:sz w:val="16"/>
            <w:szCs w:val="16"/>
          </w:rPr>
          <w:t>OECD 2025:</w:t>
        </w:r>
      </w:hyperlink>
      <w:hyperlink r:id="rId62" w:history="1">
        <w:r w:rsidRPr="009438EA">
          <w:rPr>
            <w:rStyle w:val="Hyperlink"/>
            <w:rFonts w:ascii="Times New Roman" w:hAnsi="Times New Roman" w:cs="Times New Roman"/>
            <w:sz w:val="16"/>
            <w:szCs w:val="16"/>
          </w:rPr>
          <w:t xml:space="preserve"> Monitoring and Assessing the Impact of National Action Plans Against Racism</w:t>
        </w:r>
      </w:hyperlink>
      <w:r w:rsidRPr="009438EA">
        <w:rPr>
          <w:rFonts w:ascii="Times New Roman" w:hAnsi="Times New Roman" w:cs="Times New Roman"/>
          <w:sz w:val="16"/>
          <w:szCs w:val="16"/>
        </w:rPr>
        <w:t xml:space="preserve"> (Suivi et évaluation de l’incidence des plans d’action nationaux contre le racisme) </w:t>
      </w:r>
    </w:p>
  </w:footnote>
  <w:footnote w:id="40">
    <w:p w14:paraId="2D428BBF" w14:textId="17FC2FFF" w:rsidR="00644AB1" w:rsidRPr="009438EA" w:rsidRDefault="00644AB1" w:rsidP="00E119B7">
      <w:pPr>
        <w:pStyle w:val="FootnoteText"/>
        <w:jc w:val="both"/>
        <w:rPr>
          <w:rFonts w:ascii="Times New Roman" w:hAnsi="Times New Roman" w:cs="Times New Roman"/>
          <w:sz w:val="16"/>
          <w:szCs w:val="16"/>
        </w:rPr>
      </w:pPr>
      <w:r w:rsidRPr="009438EA">
        <w:rPr>
          <w:rStyle w:val="FootnoteReference"/>
          <w:rFonts w:ascii="Times New Roman" w:hAnsi="Times New Roman" w:cs="Times New Roman"/>
          <w:sz w:val="16"/>
          <w:szCs w:val="16"/>
        </w:rPr>
        <w:footnoteRef/>
      </w:r>
      <w:r w:rsidRPr="009438EA">
        <w:rPr>
          <w:rFonts w:ascii="Times New Roman" w:hAnsi="Times New Roman" w:cs="Times New Roman"/>
          <w:sz w:val="16"/>
          <w:szCs w:val="16"/>
        </w:rPr>
        <w:t xml:space="preserve"> </w:t>
      </w:r>
      <w:hyperlink r:id="rId63" w:history="1">
        <w:r w:rsidRPr="009438EA">
          <w:rPr>
            <w:rStyle w:val="Hyperlink"/>
            <w:rFonts w:ascii="Times New Roman" w:hAnsi="Times New Roman" w:cs="Times New Roman"/>
            <w:sz w:val="16"/>
            <w:szCs w:val="16"/>
          </w:rPr>
          <w:t>Highlights Report | Good Practice Webinar: ‘Rural Housing’ | Rural Pact Community Platform</w:t>
        </w:r>
      </w:hyperlink>
      <w:r w:rsidRPr="009438EA">
        <w:rPr>
          <w:rFonts w:ascii="Times New Roman" w:hAnsi="Times New Roman" w:cs="Times New Roman"/>
          <w:sz w:val="16"/>
          <w:szCs w:val="16"/>
        </w:rPr>
        <w:t xml:space="preserve"> (webinaire sur les bonnes pratiques dans le domaine du logement en zones rurales)</w:t>
      </w:r>
    </w:p>
  </w:footnote>
  <w:footnote w:id="41">
    <w:p w14:paraId="6C22475D" w14:textId="2C95A249" w:rsidR="00AF48AF" w:rsidRPr="009438EA" w:rsidRDefault="00AF48AF" w:rsidP="00E119B7">
      <w:pPr>
        <w:pStyle w:val="FootnoteText"/>
        <w:jc w:val="both"/>
        <w:rPr>
          <w:rFonts w:ascii="Times New Roman" w:hAnsi="Times New Roman" w:cs="Times New Roman"/>
          <w:sz w:val="16"/>
          <w:szCs w:val="16"/>
        </w:rPr>
      </w:pPr>
      <w:r w:rsidRPr="009438EA">
        <w:rPr>
          <w:rStyle w:val="FootnoteReference"/>
          <w:rFonts w:ascii="Times New Roman" w:hAnsi="Times New Roman" w:cs="Times New Roman"/>
          <w:sz w:val="16"/>
          <w:szCs w:val="16"/>
        </w:rPr>
        <w:footnoteRef/>
      </w:r>
      <w:r w:rsidRPr="009438EA">
        <w:rPr>
          <w:rFonts w:ascii="Times New Roman" w:hAnsi="Times New Roman" w:cs="Times New Roman"/>
          <w:sz w:val="16"/>
          <w:szCs w:val="16"/>
        </w:rPr>
        <w:t xml:space="preserve"> Toolkit «Social </w:t>
      </w:r>
      <w:hyperlink r:id="rId64" w:history="1">
        <w:r w:rsidRPr="009438EA">
          <w:rPr>
            <w:rStyle w:val="Hyperlink"/>
            <w:rFonts w:ascii="Times New Roman" w:hAnsi="Times New Roman" w:cs="Times New Roman"/>
            <w:sz w:val="16"/>
            <w:szCs w:val="16"/>
          </w:rPr>
          <w:t>housing</w:t>
        </w:r>
      </w:hyperlink>
      <w:r w:rsidRPr="009438EA">
        <w:rPr>
          <w:rFonts w:ascii="Times New Roman" w:hAnsi="Times New Roman" w:cs="Times New Roman"/>
          <w:sz w:val="16"/>
          <w:szCs w:val="16"/>
        </w:rPr>
        <w:t xml:space="preserve"> and beyond» (Boîte à outils «Logement social et au-delà»).</w:t>
      </w:r>
    </w:p>
  </w:footnote>
  <w:footnote w:id="42">
    <w:p w14:paraId="1D3755CC" w14:textId="5E3C1D62" w:rsidR="00855A87" w:rsidRPr="009438EA" w:rsidRDefault="00855A87" w:rsidP="00855A87">
      <w:pPr>
        <w:pStyle w:val="FootnoteText"/>
        <w:jc w:val="both"/>
        <w:rPr>
          <w:rFonts w:ascii="Times New Roman" w:hAnsi="Times New Roman" w:cs="Times New Roman"/>
          <w:sz w:val="16"/>
          <w:szCs w:val="16"/>
        </w:rPr>
      </w:pPr>
      <w:r w:rsidRPr="009438EA">
        <w:rPr>
          <w:rStyle w:val="FootnoteReference"/>
          <w:rFonts w:ascii="Times New Roman" w:hAnsi="Times New Roman" w:cs="Times New Roman"/>
          <w:sz w:val="16"/>
          <w:szCs w:val="16"/>
        </w:rPr>
        <w:footnoteRef/>
      </w:r>
      <w:r w:rsidRPr="009438EA">
        <w:rPr>
          <w:rFonts w:ascii="Times New Roman" w:hAnsi="Times New Roman" w:cs="Times New Roman"/>
          <w:sz w:val="16"/>
          <w:szCs w:val="16"/>
        </w:rPr>
        <w:t xml:space="preserve"> Gender equality and health in the EU (Égalité de genre et santé dans l’UE):  </w:t>
      </w:r>
      <w:hyperlink r:id="rId65" w:history="1">
        <w:r w:rsidRPr="009438EA">
          <w:rPr>
            <w:rStyle w:val="Hyperlink"/>
            <w:rFonts w:ascii="Times New Roman" w:hAnsi="Times New Roman" w:cs="Times New Roman"/>
            <w:sz w:val="16"/>
            <w:szCs w:val="16"/>
          </w:rPr>
          <w:t>https://www.saage-network.eu/sites/default/files/media/publication/DS0320880ENN-en.pdf</w:t>
        </w:r>
      </w:hyperlink>
      <w:r w:rsidRPr="009438EA">
        <w:rPr>
          <w:rFonts w:ascii="Times New Roman" w:hAnsi="Times New Roman" w:cs="Times New Roman"/>
          <w:sz w:val="16"/>
          <w:szCs w:val="16"/>
        </w:rPr>
        <w:t xml:space="preserve"> </w:t>
      </w:r>
    </w:p>
  </w:footnote>
  <w:footnote w:id="43">
    <w:p w14:paraId="61BDCBC4" w14:textId="77777777" w:rsidR="00F41F44" w:rsidRPr="009438EA" w:rsidRDefault="00F41F44" w:rsidP="00F41F44">
      <w:pPr>
        <w:pStyle w:val="FootnoteText"/>
        <w:jc w:val="both"/>
        <w:rPr>
          <w:rFonts w:ascii="Times New Roman" w:hAnsi="Times New Roman" w:cs="Times New Roman"/>
          <w:sz w:val="16"/>
          <w:szCs w:val="16"/>
        </w:rPr>
      </w:pPr>
      <w:r w:rsidRPr="009438EA">
        <w:rPr>
          <w:rStyle w:val="FootnoteReference"/>
          <w:rFonts w:ascii="Times New Roman" w:hAnsi="Times New Roman" w:cs="Times New Roman"/>
          <w:sz w:val="16"/>
          <w:szCs w:val="16"/>
        </w:rPr>
        <w:footnoteRef/>
      </w:r>
      <w:r w:rsidRPr="009438EA">
        <w:rPr>
          <w:rFonts w:ascii="Times New Roman" w:hAnsi="Times New Roman" w:cs="Times New Roman"/>
          <w:sz w:val="16"/>
          <w:szCs w:val="16"/>
        </w:rPr>
        <w:t xml:space="preserve"> </w:t>
      </w:r>
      <w:hyperlink r:id="rId66" w:history="1">
        <w:r w:rsidRPr="009438EA">
          <w:rPr>
            <w:rStyle w:val="Hyperlink"/>
            <w:rFonts w:ascii="Times New Roman" w:hAnsi="Times New Roman" w:cs="Times New Roman"/>
            <w:sz w:val="16"/>
            <w:szCs w:val="16"/>
          </w:rPr>
          <w:t>WHO:</w:t>
        </w:r>
      </w:hyperlink>
      <w:hyperlink r:id="rId67" w:history="1">
        <w:r w:rsidRPr="009438EA">
          <w:rPr>
            <w:rStyle w:val="Hyperlink"/>
            <w:rFonts w:ascii="Times New Roman" w:hAnsi="Times New Roman" w:cs="Times New Roman"/>
            <w:sz w:val="16"/>
            <w:szCs w:val="16"/>
          </w:rPr>
          <w:t xml:space="preserve"> Tackling structural racism and ethnicity based discrimination in health</w:t>
        </w:r>
      </w:hyperlink>
      <w:r w:rsidRPr="009438EA">
        <w:rPr>
          <w:rFonts w:ascii="Times New Roman" w:hAnsi="Times New Roman" w:cs="Times New Roman"/>
          <w:sz w:val="16"/>
          <w:szCs w:val="16"/>
        </w:rPr>
        <w:t xml:space="preserve"> (Lutter contre le racisme structurel et la discrimination fondée sur l’appartenance ethnique dans le domaine de la santé)</w:t>
      </w:r>
    </w:p>
  </w:footnote>
  <w:footnote w:id="44">
    <w:p w14:paraId="68EAEF6A" w14:textId="434024A6" w:rsidR="00644AB1" w:rsidRPr="009438EA" w:rsidRDefault="00644AB1" w:rsidP="00E119B7">
      <w:pPr>
        <w:pStyle w:val="FootnoteText"/>
        <w:jc w:val="both"/>
        <w:rPr>
          <w:rFonts w:ascii="Times New Roman" w:hAnsi="Times New Roman" w:cs="Times New Roman"/>
          <w:sz w:val="16"/>
          <w:szCs w:val="16"/>
        </w:rPr>
      </w:pPr>
      <w:r w:rsidRPr="009438EA">
        <w:rPr>
          <w:rStyle w:val="FootnoteReference"/>
          <w:rFonts w:ascii="Times New Roman" w:hAnsi="Times New Roman" w:cs="Times New Roman"/>
          <w:sz w:val="16"/>
          <w:szCs w:val="16"/>
        </w:rPr>
        <w:footnoteRef/>
      </w:r>
      <w:r w:rsidRPr="009438EA">
        <w:rPr>
          <w:rFonts w:ascii="Times New Roman" w:hAnsi="Times New Roman" w:cs="Times New Roman"/>
          <w:sz w:val="16"/>
          <w:szCs w:val="16"/>
        </w:rPr>
        <w:t xml:space="preserve"> </w:t>
      </w:r>
      <w:hyperlink r:id="rId68" w:history="1">
        <w:r w:rsidRPr="009438EA">
          <w:rPr>
            <w:rStyle w:val="Hyperlink"/>
            <w:rFonts w:ascii="Times New Roman" w:hAnsi="Times New Roman" w:cs="Times New Roman"/>
            <w:sz w:val="16"/>
            <w:szCs w:val="16"/>
          </w:rPr>
          <w:t>Communication de la Commission européenne — Une vision à long terme pour les zones rurales de l’UE</w:t>
        </w:r>
      </w:hyperlink>
    </w:p>
  </w:footnote>
  <w:footnote w:id="45">
    <w:p w14:paraId="77AE9956" w14:textId="06F5047C" w:rsidR="00A83756" w:rsidRPr="009438EA" w:rsidRDefault="00A83756">
      <w:pPr>
        <w:pStyle w:val="FootnoteText"/>
        <w:rPr>
          <w:rFonts w:ascii="Times New Roman" w:hAnsi="Times New Roman" w:cs="Times New Roman"/>
          <w:sz w:val="16"/>
          <w:szCs w:val="16"/>
        </w:rPr>
      </w:pPr>
      <w:r w:rsidRPr="009438EA">
        <w:rPr>
          <w:rStyle w:val="FootnoteReference"/>
          <w:rFonts w:ascii="Times New Roman" w:hAnsi="Times New Roman" w:cs="Times New Roman"/>
          <w:sz w:val="16"/>
          <w:szCs w:val="16"/>
        </w:rPr>
        <w:footnoteRef/>
      </w:r>
      <w:r w:rsidRPr="009438EA">
        <w:rPr>
          <w:rFonts w:ascii="Times New Roman" w:hAnsi="Times New Roman" w:cs="Times New Roman"/>
          <w:sz w:val="16"/>
          <w:szCs w:val="16"/>
        </w:rPr>
        <w:t xml:space="preserve"> Telles que la </w:t>
      </w:r>
      <w:hyperlink r:id="rId69" w:history="1">
        <w:r w:rsidRPr="009438EA">
          <w:rPr>
            <w:rStyle w:val="Hyperlink"/>
            <w:rFonts w:ascii="Times New Roman" w:hAnsi="Times New Roman" w:cs="Times New Roman"/>
            <w:sz w:val="16"/>
            <w:szCs w:val="16"/>
          </w:rPr>
          <w:t>Décennie internationale des personnes d’ascendance africaine, proclamée par les Nations unies,</w:t>
        </w:r>
      </w:hyperlink>
      <w:r w:rsidRPr="009438EA">
        <w:rPr>
          <w:rFonts w:ascii="Times New Roman" w:hAnsi="Times New Roman" w:cs="Times New Roman"/>
          <w:sz w:val="16"/>
          <w:szCs w:val="16"/>
        </w:rPr>
        <w:t xml:space="preserve"> et l’</w:t>
      </w:r>
      <w:hyperlink r:id="rId70" w:history="1">
        <w:r w:rsidRPr="009438EA">
          <w:rPr>
            <w:rStyle w:val="Hyperlink"/>
            <w:rFonts w:ascii="Times New Roman" w:hAnsi="Times New Roman" w:cs="Times New Roman"/>
            <w:sz w:val="16"/>
            <w:szCs w:val="16"/>
          </w:rPr>
          <w:t>Alliance mondiale de l’UNESCO contre le racisme et les discriminations</w:t>
        </w:r>
      </w:hyperlink>
      <w:r w:rsidRPr="009438EA">
        <w:rPr>
          <w:rFonts w:ascii="Times New Roman" w:hAnsi="Times New Roman" w:cs="Times New Roman"/>
          <w:sz w:val="16"/>
          <w:szCs w:val="16"/>
        </w:rPr>
        <w:t>.</w:t>
      </w:r>
    </w:p>
  </w:footnote>
  <w:footnote w:id="46">
    <w:p w14:paraId="73A9E201" w14:textId="34FB3534" w:rsidR="00044518" w:rsidRPr="009438EA" w:rsidRDefault="00044518" w:rsidP="00E119B7">
      <w:pPr>
        <w:pStyle w:val="FootnoteText"/>
        <w:jc w:val="both"/>
        <w:rPr>
          <w:rFonts w:ascii="Times New Roman" w:hAnsi="Times New Roman" w:cs="Times New Roman"/>
          <w:sz w:val="16"/>
          <w:szCs w:val="16"/>
        </w:rPr>
      </w:pPr>
      <w:r w:rsidRPr="009438EA">
        <w:rPr>
          <w:rStyle w:val="FootnoteReference"/>
          <w:rFonts w:ascii="Times New Roman" w:hAnsi="Times New Roman" w:cs="Times New Roman"/>
          <w:sz w:val="16"/>
          <w:szCs w:val="16"/>
        </w:rPr>
        <w:footnoteRef/>
      </w:r>
      <w:r w:rsidRPr="009438EA">
        <w:rPr>
          <w:rFonts w:ascii="Times New Roman" w:hAnsi="Times New Roman" w:cs="Times New Roman"/>
          <w:sz w:val="16"/>
          <w:szCs w:val="16"/>
        </w:rPr>
        <w:t xml:space="preserve"> Rapports 2023-2025 des missions d’observation électorale </w:t>
      </w:r>
      <w:hyperlink r:id="rId71" w:history="1">
        <w:r w:rsidRPr="009438EA">
          <w:rPr>
            <w:rStyle w:val="Hyperlink"/>
            <w:rFonts w:ascii="Times New Roman" w:hAnsi="Times New Roman" w:cs="Times New Roman"/>
            <w:sz w:val="16"/>
            <w:szCs w:val="16"/>
          </w:rPr>
          <w:t>Missions d’observation électorale de l’UE | SEAE</w:t>
        </w:r>
      </w:hyperlink>
    </w:p>
  </w:footnote>
  <w:footnote w:id="47">
    <w:p w14:paraId="336EBC3D" w14:textId="77777777" w:rsidR="00C627F2" w:rsidRPr="009438EA" w:rsidRDefault="00C627F2" w:rsidP="00E119B7">
      <w:pPr>
        <w:pStyle w:val="FootnoteText"/>
        <w:jc w:val="both"/>
        <w:rPr>
          <w:rFonts w:ascii="Times New Roman" w:hAnsi="Times New Roman" w:cs="Times New Roman"/>
          <w:sz w:val="16"/>
          <w:szCs w:val="16"/>
        </w:rPr>
      </w:pPr>
      <w:r w:rsidRPr="009438EA">
        <w:rPr>
          <w:rStyle w:val="FootnoteReference"/>
          <w:rFonts w:ascii="Times New Roman" w:hAnsi="Times New Roman" w:cs="Times New Roman"/>
          <w:sz w:val="16"/>
          <w:szCs w:val="16"/>
        </w:rPr>
        <w:footnoteRef/>
      </w:r>
      <w:r w:rsidRPr="009438EA">
        <w:rPr>
          <w:rFonts w:ascii="Times New Roman" w:hAnsi="Times New Roman" w:cs="Times New Roman"/>
          <w:sz w:val="16"/>
          <w:szCs w:val="16"/>
        </w:rPr>
        <w:t xml:space="preserve"> </w:t>
      </w:r>
      <w:hyperlink r:id="rId72" w:history="1">
        <w:r w:rsidRPr="009438EA">
          <w:rPr>
            <w:rStyle w:val="Hyperlink"/>
            <w:rFonts w:ascii="Times New Roman" w:hAnsi="Times New Roman" w:cs="Times New Roman"/>
            <w:sz w:val="16"/>
            <w:szCs w:val="16"/>
          </w:rPr>
          <w:t>Communiqué de presse — Réunion de coordination sur la lutte contre la haine envers les musulmans | Commission européenne</w:t>
        </w:r>
      </w:hyperlink>
    </w:p>
  </w:footnote>
  <w:footnote w:id="48">
    <w:p w14:paraId="4799E39C" w14:textId="14E5F808" w:rsidR="008E598E" w:rsidRPr="009438EA" w:rsidRDefault="008E598E" w:rsidP="008E598E">
      <w:pPr>
        <w:pStyle w:val="FootnoteText"/>
        <w:jc w:val="both"/>
        <w:rPr>
          <w:rFonts w:ascii="Times New Roman" w:hAnsi="Times New Roman" w:cs="Times New Roman"/>
          <w:sz w:val="16"/>
          <w:szCs w:val="16"/>
        </w:rPr>
      </w:pPr>
      <w:r w:rsidRPr="009438EA">
        <w:rPr>
          <w:rStyle w:val="FootnoteReference"/>
          <w:rFonts w:ascii="Times New Roman" w:hAnsi="Times New Roman" w:cs="Times New Roman"/>
          <w:sz w:val="16"/>
          <w:szCs w:val="16"/>
        </w:rPr>
        <w:footnoteRef/>
      </w:r>
      <w:r w:rsidRPr="009438EA">
        <w:rPr>
          <w:rFonts w:ascii="Times New Roman" w:hAnsi="Times New Roman" w:cs="Times New Roman"/>
          <w:sz w:val="16"/>
          <w:szCs w:val="16"/>
        </w:rPr>
        <w:t xml:space="preserve"> Sous-groupe du </w:t>
      </w:r>
      <w:hyperlink r:id="rId73" w:history="1">
        <w:r w:rsidRPr="009438EA">
          <w:rPr>
            <w:rStyle w:val="Hyperlink"/>
            <w:rFonts w:ascii="Times New Roman" w:hAnsi="Times New Roman" w:cs="Times New Roman"/>
            <w:sz w:val="16"/>
            <w:szCs w:val="16"/>
          </w:rPr>
          <w:t>groupe de haut niveau sur la non-discrimination, l’égalité et la diversité</w:t>
        </w:r>
      </w:hyperlink>
      <w:r w:rsidRPr="009438EA">
        <w:rPr>
          <w:rFonts w:ascii="Times New Roman" w:hAnsi="Times New Roman" w:cs="Times New Roman"/>
          <w:sz w:val="16"/>
          <w:szCs w:val="16"/>
        </w:rPr>
        <w:t xml:space="preserve"> et du </w:t>
      </w:r>
      <w:hyperlink r:id="rId74" w:history="1">
        <w:r w:rsidRPr="009438EA">
          <w:rPr>
            <w:rStyle w:val="Hyperlink"/>
            <w:rFonts w:ascii="Times New Roman" w:hAnsi="Times New Roman" w:cs="Times New Roman"/>
            <w:sz w:val="16"/>
            <w:szCs w:val="16"/>
          </w:rPr>
          <w:t>groupe de haut niveau sur la lutte contre les crimes de haine et les discours de haine</w:t>
        </w:r>
      </w:hyperlink>
      <w:r w:rsidRPr="009438EA">
        <w:rPr>
          <w:rFonts w:ascii="Times New Roman" w:hAnsi="Times New Roman" w:cs="Times New Roman"/>
          <w:sz w:val="16"/>
          <w:szCs w:val="16"/>
        </w:rPr>
        <w:t>.</w:t>
      </w:r>
    </w:p>
  </w:footnote>
  <w:footnote w:id="49">
    <w:p w14:paraId="46B23B95" w14:textId="3E2A03CF" w:rsidR="00C7378E" w:rsidRPr="009438EA" w:rsidRDefault="00C7378E">
      <w:pPr>
        <w:pStyle w:val="FootnoteText"/>
        <w:rPr>
          <w:rFonts w:ascii="Times New Roman" w:hAnsi="Times New Roman" w:cs="Times New Roman"/>
          <w:sz w:val="16"/>
          <w:szCs w:val="16"/>
        </w:rPr>
      </w:pPr>
      <w:r w:rsidRPr="009438EA">
        <w:rPr>
          <w:rStyle w:val="FootnoteReference"/>
          <w:rFonts w:ascii="Times New Roman" w:hAnsi="Times New Roman" w:cs="Times New Roman"/>
          <w:sz w:val="16"/>
          <w:szCs w:val="16"/>
        </w:rPr>
        <w:footnoteRef/>
      </w:r>
      <w:r w:rsidRPr="009438EA">
        <w:rPr>
          <w:rStyle w:val="FootnoteReference"/>
          <w:rFonts w:ascii="Times New Roman" w:hAnsi="Times New Roman" w:cs="Times New Roman"/>
          <w:sz w:val="16"/>
          <w:szCs w:val="16"/>
        </w:rPr>
        <w:t xml:space="preserve"> </w:t>
      </w:r>
      <w:r w:rsidRPr="009438EA">
        <w:rPr>
          <w:rFonts w:ascii="Times New Roman" w:hAnsi="Times New Roman" w:cs="Times New Roman"/>
          <w:sz w:val="16"/>
          <w:szCs w:val="16"/>
        </w:rPr>
        <w:t xml:space="preserve">Tels que les </w:t>
      </w:r>
      <w:hyperlink r:id="rId75" w:history="1">
        <w:r w:rsidRPr="009438EA">
          <w:rPr>
            <w:rStyle w:val="Hyperlink"/>
            <w:rFonts w:ascii="Times New Roman" w:hAnsi="Times New Roman" w:cs="Times New Roman"/>
            <w:sz w:val="16"/>
            <w:szCs w:val="16"/>
          </w:rPr>
          <w:t>principes directeurs communs relatifs aux plans d’action nationaux contre le racisme et la discrimination raciale</w:t>
        </w:r>
      </w:hyperlink>
      <w:r w:rsidRPr="009438EA">
        <w:rPr>
          <w:rFonts w:ascii="Times New Roman" w:hAnsi="Times New Roman" w:cs="Times New Roman"/>
          <w:sz w:val="16"/>
          <w:szCs w:val="16"/>
        </w:rPr>
        <w:t>.</w:t>
      </w:r>
    </w:p>
  </w:footnote>
  <w:footnote w:id="50">
    <w:p w14:paraId="78F5E039" w14:textId="77777777" w:rsidR="00F0775D" w:rsidRPr="009438EA" w:rsidRDefault="00F0775D" w:rsidP="00E119B7">
      <w:pPr>
        <w:pStyle w:val="FootnoteText"/>
        <w:jc w:val="both"/>
        <w:rPr>
          <w:rFonts w:ascii="Times New Roman" w:hAnsi="Times New Roman" w:cs="Times New Roman"/>
          <w:sz w:val="16"/>
          <w:szCs w:val="16"/>
        </w:rPr>
      </w:pPr>
      <w:r w:rsidRPr="009438EA">
        <w:rPr>
          <w:rStyle w:val="FootnoteReference"/>
          <w:rFonts w:ascii="Times New Roman" w:hAnsi="Times New Roman" w:cs="Times New Roman"/>
          <w:sz w:val="16"/>
          <w:szCs w:val="16"/>
        </w:rPr>
        <w:footnoteRef/>
      </w:r>
      <w:r w:rsidRPr="009438EA">
        <w:rPr>
          <w:rFonts w:ascii="Times New Roman" w:hAnsi="Times New Roman" w:cs="Times New Roman"/>
          <w:sz w:val="16"/>
          <w:szCs w:val="16"/>
        </w:rPr>
        <w:t xml:space="preserve"> </w:t>
      </w:r>
      <w:hyperlink r:id="rId76" w:history="1">
        <w:r w:rsidRPr="009438EA">
          <w:rPr>
            <w:rStyle w:val="Hyperlink"/>
            <w:rFonts w:ascii="Times New Roman" w:hAnsi="Times New Roman" w:cs="Times New Roman"/>
            <w:sz w:val="16"/>
            <w:szCs w:val="16"/>
          </w:rPr>
          <w:t>Principes directeurs communs pour l’élaboration des plans d’action nationaux contre le racisme</w:t>
        </w:r>
      </w:hyperlink>
    </w:p>
  </w:footnote>
  <w:footnote w:id="51">
    <w:p w14:paraId="480DC1C3" w14:textId="015CD65E" w:rsidR="00066083" w:rsidRPr="009438EA" w:rsidRDefault="00845314" w:rsidP="00E119B7">
      <w:pPr>
        <w:pStyle w:val="FootnoteText"/>
        <w:jc w:val="both"/>
        <w:rPr>
          <w:rFonts w:ascii="Times New Roman" w:hAnsi="Times New Roman" w:cs="Times New Roman"/>
          <w:sz w:val="16"/>
          <w:szCs w:val="16"/>
        </w:rPr>
      </w:pPr>
      <w:r w:rsidRPr="009438EA">
        <w:rPr>
          <w:rStyle w:val="FootnoteReference"/>
          <w:rFonts w:ascii="Times New Roman" w:hAnsi="Times New Roman" w:cs="Times New Roman"/>
          <w:sz w:val="16"/>
          <w:szCs w:val="16"/>
        </w:rPr>
        <w:footnoteRef/>
      </w:r>
      <w:r w:rsidRPr="009438EA">
        <w:rPr>
          <w:rFonts w:ascii="Times New Roman" w:hAnsi="Times New Roman" w:cs="Times New Roman"/>
          <w:sz w:val="16"/>
          <w:szCs w:val="16"/>
        </w:rPr>
        <w:t xml:space="preserve"> </w:t>
      </w:r>
      <w:hyperlink r:id="rId77" w:history="1">
        <w:r w:rsidRPr="009438EA">
          <w:rPr>
            <w:rStyle w:val="Hyperlink"/>
            <w:rFonts w:ascii="Times New Roman" w:hAnsi="Times New Roman" w:cs="Times New Roman"/>
            <w:sz w:val="16"/>
            <w:szCs w:val="16"/>
          </w:rPr>
          <w:t xml:space="preserve">European Policy Centre 2025: Securing Europe‘s civic space </w:t>
        </w:r>
      </w:hyperlink>
      <w:r w:rsidRPr="009438EA">
        <w:rPr>
          <w:rFonts w:ascii="Times New Roman" w:hAnsi="Times New Roman" w:cs="Times New Roman"/>
          <w:sz w:val="16"/>
          <w:szCs w:val="16"/>
        </w:rPr>
        <w:t xml:space="preserve">(Protéger l’espace civique de l’Europe); </w:t>
      </w:r>
      <w:hyperlink r:id="rId78" w:history="1">
        <w:r w:rsidRPr="009438EA">
          <w:rPr>
            <w:rStyle w:val="Hyperlink"/>
            <w:rFonts w:ascii="Times New Roman" w:hAnsi="Times New Roman" w:cs="Times New Roman"/>
            <w:sz w:val="16"/>
            <w:szCs w:val="16"/>
          </w:rPr>
          <w:t xml:space="preserve">FRA 2024: Summary of key findings from FRA‘s civic space consultation covering 2024 </w:t>
        </w:r>
      </w:hyperlink>
      <w:r w:rsidRPr="009438EA">
        <w:rPr>
          <w:rFonts w:ascii="Times New Roman" w:hAnsi="Times New Roman" w:cs="Times New Roman"/>
          <w:sz w:val="16"/>
          <w:szCs w:val="16"/>
        </w:rPr>
        <w:t xml:space="preserve"> (Résumé des principales conclusions de la consultation de la FRA sur l’espace civique couvrant 2024); </w:t>
      </w:r>
      <w:hyperlink r:id="rId79" w:history="1">
        <w:r w:rsidRPr="009438EA">
          <w:rPr>
            <w:rStyle w:val="Hyperlink"/>
            <w:rFonts w:ascii="Times New Roman" w:hAnsi="Times New Roman" w:cs="Times New Roman"/>
            <w:sz w:val="16"/>
            <w:szCs w:val="16"/>
          </w:rPr>
          <w:t xml:space="preserve"> Civil Society Europe 2025: Contribution to the 2025 Annual Rule of Law Report </w:t>
        </w:r>
      </w:hyperlink>
      <w:r w:rsidRPr="009438EA">
        <w:rPr>
          <w:rFonts w:ascii="Times New Roman" w:hAnsi="Times New Roman" w:cs="Times New Roman"/>
          <w:sz w:val="16"/>
          <w:szCs w:val="16"/>
        </w:rPr>
        <w:t>(Contribution au rapport annuel 2025 sur l’état de droit).</w:t>
      </w:r>
    </w:p>
  </w:footnote>
  <w:footnote w:id="52">
    <w:p w14:paraId="54AD430E" w14:textId="77777777" w:rsidR="001536B5" w:rsidRPr="006F7F1A" w:rsidRDefault="001536B5" w:rsidP="006F7F1A">
      <w:pPr>
        <w:pStyle w:val="FootnoteText"/>
        <w:rPr>
          <w:rFonts w:ascii="Times New Roman" w:hAnsi="Times New Roman" w:cs="Times New Roman"/>
          <w:sz w:val="16"/>
          <w:szCs w:val="16"/>
        </w:rPr>
      </w:pPr>
      <w:r w:rsidRPr="009438EA">
        <w:rPr>
          <w:rStyle w:val="FootnoteReference"/>
          <w:rFonts w:ascii="Times New Roman" w:hAnsi="Times New Roman" w:cs="Times New Roman"/>
          <w:sz w:val="16"/>
          <w:szCs w:val="16"/>
        </w:rPr>
        <w:footnoteRef/>
      </w:r>
      <w:r w:rsidRPr="009438EA">
        <w:rPr>
          <w:rFonts w:ascii="Times New Roman" w:hAnsi="Times New Roman" w:cs="Times New Roman"/>
          <w:sz w:val="16"/>
          <w:szCs w:val="16"/>
        </w:rPr>
        <w:t xml:space="preserve"> </w:t>
      </w:r>
      <w:hyperlink r:id="rId80" w:history="1">
        <w:r w:rsidRPr="009438EA">
          <w:rPr>
            <w:rStyle w:val="Hyperlink"/>
            <w:rFonts w:ascii="Times New Roman" w:hAnsi="Times New Roman" w:cs="Times New Roman"/>
            <w:sz w:val="16"/>
            <w:szCs w:val="16"/>
          </w:rPr>
          <w:t>Diversité et inclusion — Commission européenne</w:t>
        </w:r>
      </w:hyperlink>
      <w:r w:rsidRPr="009438EA">
        <w:rPr>
          <w:rFonts w:ascii="Times New Roman" w:hAnsi="Times New Roman" w:cs="Times New Roman"/>
          <w:sz w:val="16"/>
          <w:szCs w:val="16"/>
        </w:rPr>
        <w:t>,</w:t>
      </w:r>
      <w:r>
        <w:rPr>
          <w:rFonts w:ascii="Times New Roman" w:hAnsi="Times New Roman"/>
          <w:sz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9E2F86" w14:textId="77777777" w:rsidR="00275CA5" w:rsidRPr="00275CA5" w:rsidRDefault="00275CA5" w:rsidP="00275CA5">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ACED56" w14:textId="77777777" w:rsidR="00275CA5" w:rsidRPr="00275CA5" w:rsidRDefault="00275CA5" w:rsidP="00275CA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4B1403" w14:textId="77777777" w:rsidR="00275CA5" w:rsidRPr="00275CA5" w:rsidRDefault="00275CA5" w:rsidP="00275CA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EB8170" w14:textId="77777777" w:rsidR="00BF6E0E" w:rsidRDefault="00BF6E0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D160E2" w14:textId="77777777" w:rsidR="00BF6E0E" w:rsidRDefault="00BF6E0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14A6FF" w14:textId="77777777" w:rsidR="00BF6E0E" w:rsidRDefault="00BF6E0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00C4DC" w14:textId="77777777" w:rsidR="00BF6E0E" w:rsidRDefault="00BF6E0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78EC1F" w14:textId="77777777" w:rsidR="00BF6E0E" w:rsidRDefault="00BF6E0E">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C99B94" w14:textId="77777777" w:rsidR="00BF6E0E" w:rsidRDefault="00BF6E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7FF823F"/>
    <w:multiLevelType w:val="singleLevel"/>
    <w:tmpl w:val="59C8B518"/>
    <w:lvl w:ilvl="0">
      <w:start w:val="1"/>
      <w:numFmt w:val="bullet"/>
      <w:lvlText w:val=""/>
      <w:lvlJc w:val="left"/>
      <w:pPr>
        <w:ind w:left="360" w:hanging="360"/>
      </w:pPr>
      <w:rPr>
        <w:rFonts w:ascii="Symbol" w:hAnsi="Symbol" w:hint="default"/>
        <w:sz w:val="22"/>
        <w:szCs w:val="22"/>
        <w:lang w:val="de-DE"/>
      </w:rPr>
    </w:lvl>
  </w:abstractNum>
  <w:abstractNum w:abstractNumId="1" w15:restartNumberingAfterBreak="0">
    <w:nsid w:val="D7FF8B57"/>
    <w:multiLevelType w:val="singleLevel"/>
    <w:tmpl w:val="D7FF8B57"/>
    <w:lvl w:ilvl="0">
      <w:start w:val="1"/>
      <w:numFmt w:val="bullet"/>
      <w:lvlText w:val=""/>
      <w:lvlJc w:val="left"/>
      <w:pPr>
        <w:tabs>
          <w:tab w:val="left" w:pos="420"/>
        </w:tabs>
        <w:ind w:left="420" w:hanging="420"/>
      </w:pPr>
      <w:rPr>
        <w:rFonts w:ascii="Wingdings" w:hAnsi="Wingdings" w:hint="default"/>
      </w:rPr>
    </w:lvl>
  </w:abstractNum>
  <w:abstractNum w:abstractNumId="2" w15:restartNumberingAfterBreak="0">
    <w:nsid w:val="E57FDE0F"/>
    <w:multiLevelType w:val="singleLevel"/>
    <w:tmpl w:val="0809000B"/>
    <w:lvl w:ilvl="0">
      <w:start w:val="1"/>
      <w:numFmt w:val="bullet"/>
      <w:lvlText w:val=""/>
      <w:lvlJc w:val="left"/>
      <w:pPr>
        <w:ind w:left="360" w:hanging="360"/>
      </w:pPr>
      <w:rPr>
        <w:rFonts w:ascii="Wingdings" w:hAnsi="Wingdings" w:hint="default"/>
        <w:sz w:val="18"/>
        <w:szCs w:val="18"/>
      </w:rPr>
    </w:lvl>
  </w:abstractNum>
  <w:abstractNum w:abstractNumId="3" w15:restartNumberingAfterBreak="0">
    <w:nsid w:val="E760E8A4"/>
    <w:multiLevelType w:val="singleLevel"/>
    <w:tmpl w:val="0809000B"/>
    <w:lvl w:ilvl="0">
      <w:start w:val="1"/>
      <w:numFmt w:val="bullet"/>
      <w:lvlText w:val=""/>
      <w:lvlJc w:val="left"/>
      <w:pPr>
        <w:ind w:left="360" w:hanging="360"/>
      </w:pPr>
      <w:rPr>
        <w:rFonts w:ascii="Wingdings" w:hAnsi="Wingdings" w:hint="default"/>
      </w:rPr>
    </w:lvl>
  </w:abstractNum>
  <w:abstractNum w:abstractNumId="4" w15:restartNumberingAfterBreak="0">
    <w:nsid w:val="EDF69A95"/>
    <w:multiLevelType w:val="singleLevel"/>
    <w:tmpl w:val="EDF69A95"/>
    <w:lvl w:ilvl="0">
      <w:start w:val="1"/>
      <w:numFmt w:val="bullet"/>
      <w:lvlText w:val=""/>
      <w:lvlJc w:val="left"/>
      <w:pPr>
        <w:tabs>
          <w:tab w:val="left" w:pos="420"/>
        </w:tabs>
        <w:ind w:left="420" w:hanging="420"/>
      </w:pPr>
      <w:rPr>
        <w:rFonts w:ascii="Wingdings" w:hAnsi="Wingdings" w:hint="default"/>
      </w:rPr>
    </w:lvl>
  </w:abstractNum>
  <w:abstractNum w:abstractNumId="5" w15:restartNumberingAfterBreak="0">
    <w:nsid w:val="039D6061"/>
    <w:multiLevelType w:val="multilevel"/>
    <w:tmpl w:val="039D6061"/>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 w15:restartNumberingAfterBreak="0">
    <w:nsid w:val="0A17473D"/>
    <w:multiLevelType w:val="hybridMultilevel"/>
    <w:tmpl w:val="166CA2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AE9410D"/>
    <w:multiLevelType w:val="hybridMultilevel"/>
    <w:tmpl w:val="A9C09CEA"/>
    <w:lvl w:ilvl="0" w:tplc="ACAA6B5C">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001184B"/>
    <w:multiLevelType w:val="hybridMultilevel"/>
    <w:tmpl w:val="3176FF1C"/>
    <w:lvl w:ilvl="0" w:tplc="ACAA6B5C">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0E26F32"/>
    <w:multiLevelType w:val="multilevel"/>
    <w:tmpl w:val="10E26F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14E849D0"/>
    <w:multiLevelType w:val="hybridMultilevel"/>
    <w:tmpl w:val="DCD42B90"/>
    <w:lvl w:ilvl="0" w:tplc="ACAA6B5C">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18C276B2"/>
    <w:multiLevelType w:val="hybridMultilevel"/>
    <w:tmpl w:val="B01A431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AF72C12"/>
    <w:multiLevelType w:val="hybridMultilevel"/>
    <w:tmpl w:val="F11ECDB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3" w15:restartNumberingAfterBreak="0">
    <w:nsid w:val="1D9E6F97"/>
    <w:multiLevelType w:val="hybridMultilevel"/>
    <w:tmpl w:val="730AB9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F1BB012"/>
    <w:multiLevelType w:val="hybridMultilevel"/>
    <w:tmpl w:val="FBAED548"/>
    <w:lvl w:ilvl="0" w:tplc="ACAA6B5C">
      <w:start w:val="1"/>
      <w:numFmt w:val="bullet"/>
      <w:lvlText w:val="·"/>
      <w:lvlJc w:val="left"/>
      <w:pPr>
        <w:ind w:left="720" w:hanging="360"/>
      </w:pPr>
      <w:rPr>
        <w:rFonts w:ascii="Symbol" w:hAnsi="Symbol" w:hint="default"/>
      </w:rPr>
    </w:lvl>
    <w:lvl w:ilvl="1" w:tplc="05A4BE92">
      <w:start w:val="1"/>
      <w:numFmt w:val="bullet"/>
      <w:lvlText w:val="o"/>
      <w:lvlJc w:val="left"/>
      <w:pPr>
        <w:ind w:left="1440" w:hanging="360"/>
      </w:pPr>
      <w:rPr>
        <w:rFonts w:ascii="Courier New" w:hAnsi="Courier New" w:hint="default"/>
      </w:rPr>
    </w:lvl>
    <w:lvl w:ilvl="2" w:tplc="8FF8ADE2">
      <w:start w:val="1"/>
      <w:numFmt w:val="bullet"/>
      <w:lvlText w:val=""/>
      <w:lvlJc w:val="left"/>
      <w:pPr>
        <w:ind w:left="2160" w:hanging="360"/>
      </w:pPr>
      <w:rPr>
        <w:rFonts w:ascii="Wingdings" w:hAnsi="Wingdings" w:hint="default"/>
      </w:rPr>
    </w:lvl>
    <w:lvl w:ilvl="3" w:tplc="5F022848">
      <w:start w:val="1"/>
      <w:numFmt w:val="bullet"/>
      <w:lvlText w:val=""/>
      <w:lvlJc w:val="left"/>
      <w:pPr>
        <w:ind w:left="2880" w:hanging="360"/>
      </w:pPr>
      <w:rPr>
        <w:rFonts w:ascii="Symbol" w:hAnsi="Symbol" w:hint="default"/>
      </w:rPr>
    </w:lvl>
    <w:lvl w:ilvl="4" w:tplc="B94651B2">
      <w:start w:val="1"/>
      <w:numFmt w:val="bullet"/>
      <w:lvlText w:val="o"/>
      <w:lvlJc w:val="left"/>
      <w:pPr>
        <w:ind w:left="3600" w:hanging="360"/>
      </w:pPr>
      <w:rPr>
        <w:rFonts w:ascii="Courier New" w:hAnsi="Courier New" w:hint="default"/>
      </w:rPr>
    </w:lvl>
    <w:lvl w:ilvl="5" w:tplc="7464C30C">
      <w:start w:val="1"/>
      <w:numFmt w:val="bullet"/>
      <w:lvlText w:val=""/>
      <w:lvlJc w:val="left"/>
      <w:pPr>
        <w:ind w:left="4320" w:hanging="360"/>
      </w:pPr>
      <w:rPr>
        <w:rFonts w:ascii="Wingdings" w:hAnsi="Wingdings" w:hint="default"/>
      </w:rPr>
    </w:lvl>
    <w:lvl w:ilvl="6" w:tplc="528C17D0">
      <w:start w:val="1"/>
      <w:numFmt w:val="bullet"/>
      <w:lvlText w:val=""/>
      <w:lvlJc w:val="left"/>
      <w:pPr>
        <w:ind w:left="5040" w:hanging="360"/>
      </w:pPr>
      <w:rPr>
        <w:rFonts w:ascii="Symbol" w:hAnsi="Symbol" w:hint="default"/>
      </w:rPr>
    </w:lvl>
    <w:lvl w:ilvl="7" w:tplc="DA60453E">
      <w:start w:val="1"/>
      <w:numFmt w:val="bullet"/>
      <w:lvlText w:val="o"/>
      <w:lvlJc w:val="left"/>
      <w:pPr>
        <w:ind w:left="5760" w:hanging="360"/>
      </w:pPr>
      <w:rPr>
        <w:rFonts w:ascii="Courier New" w:hAnsi="Courier New" w:hint="default"/>
      </w:rPr>
    </w:lvl>
    <w:lvl w:ilvl="8" w:tplc="A6E4ECEA">
      <w:start w:val="1"/>
      <w:numFmt w:val="bullet"/>
      <w:lvlText w:val=""/>
      <w:lvlJc w:val="left"/>
      <w:pPr>
        <w:ind w:left="6480" w:hanging="360"/>
      </w:pPr>
      <w:rPr>
        <w:rFonts w:ascii="Wingdings" w:hAnsi="Wingdings" w:hint="default"/>
      </w:rPr>
    </w:lvl>
  </w:abstractNum>
  <w:abstractNum w:abstractNumId="15" w15:restartNumberingAfterBreak="0">
    <w:nsid w:val="20F75499"/>
    <w:multiLevelType w:val="hybridMultilevel"/>
    <w:tmpl w:val="6C02F3F6"/>
    <w:lvl w:ilvl="0" w:tplc="ACAA6B5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4BA2962"/>
    <w:multiLevelType w:val="hybridMultilevel"/>
    <w:tmpl w:val="7CB6BAA6"/>
    <w:lvl w:ilvl="0" w:tplc="ACAA6B5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7150DD1"/>
    <w:multiLevelType w:val="hybridMultilevel"/>
    <w:tmpl w:val="A2427028"/>
    <w:lvl w:ilvl="0" w:tplc="ACAA6B5C">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A303C5B"/>
    <w:multiLevelType w:val="hybridMultilevel"/>
    <w:tmpl w:val="EDCA18BC"/>
    <w:lvl w:ilvl="0" w:tplc="ACAA6B5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D292E17"/>
    <w:multiLevelType w:val="hybridMultilevel"/>
    <w:tmpl w:val="D916A98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2E4D05D3"/>
    <w:multiLevelType w:val="hybridMultilevel"/>
    <w:tmpl w:val="4CC0C8B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2F866775"/>
    <w:multiLevelType w:val="hybridMultilevel"/>
    <w:tmpl w:val="78A4AE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27E3F23"/>
    <w:multiLevelType w:val="hybridMultilevel"/>
    <w:tmpl w:val="E8E09BC0"/>
    <w:lvl w:ilvl="0" w:tplc="ACAA6B5C">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3BE4396"/>
    <w:multiLevelType w:val="hybridMultilevel"/>
    <w:tmpl w:val="3F1CA322"/>
    <w:lvl w:ilvl="0" w:tplc="4718B912">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3E017B48"/>
    <w:multiLevelType w:val="hybridMultilevel"/>
    <w:tmpl w:val="2AC63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16D39F3"/>
    <w:multiLevelType w:val="hybridMultilevel"/>
    <w:tmpl w:val="9F7A8F0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445A725C"/>
    <w:multiLevelType w:val="hybridMultilevel"/>
    <w:tmpl w:val="19787E26"/>
    <w:lvl w:ilvl="0" w:tplc="ACAA6B5C">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C8F5AFE"/>
    <w:multiLevelType w:val="hybridMultilevel"/>
    <w:tmpl w:val="02EE9C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4D4C1CEE"/>
    <w:multiLevelType w:val="multilevel"/>
    <w:tmpl w:val="4D4C1CE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52926F20"/>
    <w:multiLevelType w:val="hybridMultilevel"/>
    <w:tmpl w:val="DF28A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42A118B"/>
    <w:multiLevelType w:val="hybridMultilevel"/>
    <w:tmpl w:val="5D608A3A"/>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4FC1603"/>
    <w:multiLevelType w:val="multilevel"/>
    <w:tmpl w:val="54FC160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5511299B"/>
    <w:multiLevelType w:val="hybridMultilevel"/>
    <w:tmpl w:val="C6B6F17E"/>
    <w:lvl w:ilvl="0" w:tplc="4718B912">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5D6418AD"/>
    <w:multiLevelType w:val="multilevel"/>
    <w:tmpl w:val="5D6418A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5DEEE573"/>
    <w:multiLevelType w:val="hybridMultilevel"/>
    <w:tmpl w:val="7A2A08A6"/>
    <w:lvl w:ilvl="0" w:tplc="4718B912">
      <w:start w:val="1"/>
      <w:numFmt w:val="bullet"/>
      <w:lvlText w:val="·"/>
      <w:lvlJc w:val="left"/>
      <w:pPr>
        <w:ind w:left="720" w:hanging="360"/>
      </w:pPr>
      <w:rPr>
        <w:rFonts w:ascii="Symbol" w:hAnsi="Symbol" w:hint="default"/>
      </w:rPr>
    </w:lvl>
    <w:lvl w:ilvl="1" w:tplc="A13637CA">
      <w:start w:val="1"/>
      <w:numFmt w:val="bullet"/>
      <w:lvlText w:val="o"/>
      <w:lvlJc w:val="left"/>
      <w:pPr>
        <w:ind w:left="1440" w:hanging="360"/>
      </w:pPr>
      <w:rPr>
        <w:rFonts w:ascii="Courier New" w:hAnsi="Courier New" w:hint="default"/>
      </w:rPr>
    </w:lvl>
    <w:lvl w:ilvl="2" w:tplc="C6CE843A">
      <w:start w:val="1"/>
      <w:numFmt w:val="bullet"/>
      <w:lvlText w:val=""/>
      <w:lvlJc w:val="left"/>
      <w:pPr>
        <w:ind w:left="2160" w:hanging="360"/>
      </w:pPr>
      <w:rPr>
        <w:rFonts w:ascii="Wingdings" w:hAnsi="Wingdings" w:hint="default"/>
      </w:rPr>
    </w:lvl>
    <w:lvl w:ilvl="3" w:tplc="1E089128">
      <w:start w:val="1"/>
      <w:numFmt w:val="bullet"/>
      <w:lvlText w:val=""/>
      <w:lvlJc w:val="left"/>
      <w:pPr>
        <w:ind w:left="2880" w:hanging="360"/>
      </w:pPr>
      <w:rPr>
        <w:rFonts w:ascii="Symbol" w:hAnsi="Symbol" w:hint="default"/>
      </w:rPr>
    </w:lvl>
    <w:lvl w:ilvl="4" w:tplc="291EE6E4">
      <w:start w:val="1"/>
      <w:numFmt w:val="bullet"/>
      <w:lvlText w:val="o"/>
      <w:lvlJc w:val="left"/>
      <w:pPr>
        <w:ind w:left="3600" w:hanging="360"/>
      </w:pPr>
      <w:rPr>
        <w:rFonts w:ascii="Courier New" w:hAnsi="Courier New" w:hint="default"/>
      </w:rPr>
    </w:lvl>
    <w:lvl w:ilvl="5" w:tplc="6D945E22">
      <w:start w:val="1"/>
      <w:numFmt w:val="bullet"/>
      <w:lvlText w:val=""/>
      <w:lvlJc w:val="left"/>
      <w:pPr>
        <w:ind w:left="4320" w:hanging="360"/>
      </w:pPr>
      <w:rPr>
        <w:rFonts w:ascii="Wingdings" w:hAnsi="Wingdings" w:hint="default"/>
      </w:rPr>
    </w:lvl>
    <w:lvl w:ilvl="6" w:tplc="A95CC6CA">
      <w:start w:val="1"/>
      <w:numFmt w:val="bullet"/>
      <w:lvlText w:val=""/>
      <w:lvlJc w:val="left"/>
      <w:pPr>
        <w:ind w:left="5040" w:hanging="360"/>
      </w:pPr>
      <w:rPr>
        <w:rFonts w:ascii="Symbol" w:hAnsi="Symbol" w:hint="default"/>
      </w:rPr>
    </w:lvl>
    <w:lvl w:ilvl="7" w:tplc="BCDE3388">
      <w:start w:val="1"/>
      <w:numFmt w:val="bullet"/>
      <w:lvlText w:val="o"/>
      <w:lvlJc w:val="left"/>
      <w:pPr>
        <w:ind w:left="5760" w:hanging="360"/>
      </w:pPr>
      <w:rPr>
        <w:rFonts w:ascii="Courier New" w:hAnsi="Courier New" w:hint="default"/>
      </w:rPr>
    </w:lvl>
    <w:lvl w:ilvl="8" w:tplc="444EE770">
      <w:start w:val="1"/>
      <w:numFmt w:val="bullet"/>
      <w:lvlText w:val=""/>
      <w:lvlJc w:val="left"/>
      <w:pPr>
        <w:ind w:left="6480" w:hanging="360"/>
      </w:pPr>
      <w:rPr>
        <w:rFonts w:ascii="Wingdings" w:hAnsi="Wingdings" w:hint="default"/>
      </w:rPr>
    </w:lvl>
  </w:abstractNum>
  <w:abstractNum w:abstractNumId="35" w15:restartNumberingAfterBreak="0">
    <w:nsid w:val="66ED6F90"/>
    <w:multiLevelType w:val="multilevel"/>
    <w:tmpl w:val="64B62C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15:restartNumberingAfterBreak="0">
    <w:nsid w:val="68AA053F"/>
    <w:multiLevelType w:val="hybridMultilevel"/>
    <w:tmpl w:val="EE68D5C0"/>
    <w:lvl w:ilvl="0" w:tplc="4718B91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CAF4331"/>
    <w:multiLevelType w:val="hybridMultilevel"/>
    <w:tmpl w:val="BCCC51F0"/>
    <w:lvl w:ilvl="0" w:tplc="ACAA6B5C">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70AC3C33"/>
    <w:multiLevelType w:val="hybridMultilevel"/>
    <w:tmpl w:val="586CB94C"/>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15:restartNumberingAfterBreak="0">
    <w:nsid w:val="7B8C7DD4"/>
    <w:multiLevelType w:val="multilevel"/>
    <w:tmpl w:val="7B8C7D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7BBA5F82"/>
    <w:multiLevelType w:val="hybridMultilevel"/>
    <w:tmpl w:val="89805D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7BDB57B5"/>
    <w:multiLevelType w:val="hybridMultilevel"/>
    <w:tmpl w:val="FE6E49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BEE1E0B"/>
    <w:multiLevelType w:val="hybridMultilevel"/>
    <w:tmpl w:val="BE487C6E"/>
    <w:lvl w:ilvl="0" w:tplc="4718B912">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43" w15:restartNumberingAfterBreak="0">
    <w:nsid w:val="7FFA3EF3"/>
    <w:multiLevelType w:val="singleLevel"/>
    <w:tmpl w:val="7FFA3EF3"/>
    <w:lvl w:ilvl="0">
      <w:start w:val="1"/>
      <w:numFmt w:val="bullet"/>
      <w:lvlText w:val=""/>
      <w:lvlJc w:val="left"/>
      <w:pPr>
        <w:tabs>
          <w:tab w:val="left" w:pos="420"/>
        </w:tabs>
        <w:ind w:left="420" w:hanging="420"/>
      </w:pPr>
      <w:rPr>
        <w:rFonts w:ascii="Wingdings" w:hAnsi="Wingdings" w:hint="default"/>
      </w:rPr>
    </w:lvl>
  </w:abstractNum>
  <w:num w:numId="1">
    <w:abstractNumId w:val="14"/>
  </w:num>
  <w:num w:numId="2">
    <w:abstractNumId w:val="34"/>
  </w:num>
  <w:num w:numId="3">
    <w:abstractNumId w:val="2"/>
  </w:num>
  <w:num w:numId="4">
    <w:abstractNumId w:val="5"/>
  </w:num>
  <w:num w:numId="5">
    <w:abstractNumId w:val="0"/>
  </w:num>
  <w:num w:numId="6">
    <w:abstractNumId w:val="33"/>
  </w:num>
  <w:num w:numId="7">
    <w:abstractNumId w:val="28"/>
  </w:num>
  <w:num w:numId="8">
    <w:abstractNumId w:val="3"/>
  </w:num>
  <w:num w:numId="9">
    <w:abstractNumId w:val="39"/>
  </w:num>
  <w:num w:numId="10">
    <w:abstractNumId w:val="4"/>
  </w:num>
  <w:num w:numId="11">
    <w:abstractNumId w:val="9"/>
  </w:num>
  <w:num w:numId="12">
    <w:abstractNumId w:val="1"/>
  </w:num>
  <w:num w:numId="13">
    <w:abstractNumId w:val="31"/>
  </w:num>
  <w:num w:numId="14">
    <w:abstractNumId w:val="43"/>
  </w:num>
  <w:num w:numId="15">
    <w:abstractNumId w:val="20"/>
  </w:num>
  <w:num w:numId="16">
    <w:abstractNumId w:val="13"/>
  </w:num>
  <w:num w:numId="17">
    <w:abstractNumId w:val="27"/>
  </w:num>
  <w:num w:numId="18">
    <w:abstractNumId w:val="40"/>
  </w:num>
  <w:num w:numId="19">
    <w:abstractNumId w:val="12"/>
  </w:num>
  <w:num w:numId="20">
    <w:abstractNumId w:val="30"/>
  </w:num>
  <w:num w:numId="21">
    <w:abstractNumId w:val="26"/>
  </w:num>
  <w:num w:numId="22">
    <w:abstractNumId w:val="22"/>
  </w:num>
  <w:num w:numId="23">
    <w:abstractNumId w:val="6"/>
  </w:num>
  <w:num w:numId="24">
    <w:abstractNumId w:val="21"/>
  </w:num>
  <w:num w:numId="25">
    <w:abstractNumId w:val="29"/>
  </w:num>
  <w:num w:numId="26">
    <w:abstractNumId w:val="15"/>
  </w:num>
  <w:num w:numId="27">
    <w:abstractNumId w:val="18"/>
  </w:num>
  <w:num w:numId="28">
    <w:abstractNumId w:val="42"/>
  </w:num>
  <w:num w:numId="29">
    <w:abstractNumId w:val="7"/>
  </w:num>
  <w:num w:numId="30">
    <w:abstractNumId w:val="16"/>
  </w:num>
  <w:num w:numId="31">
    <w:abstractNumId w:val="19"/>
  </w:num>
  <w:num w:numId="32">
    <w:abstractNumId w:val="38"/>
  </w:num>
  <w:num w:numId="33">
    <w:abstractNumId w:val="8"/>
  </w:num>
  <w:num w:numId="34">
    <w:abstractNumId w:val="25"/>
  </w:num>
  <w:num w:numId="35">
    <w:abstractNumId w:val="37"/>
  </w:num>
  <w:num w:numId="36">
    <w:abstractNumId w:val="10"/>
  </w:num>
  <w:num w:numId="37">
    <w:abstractNumId w:val="11"/>
  </w:num>
  <w:num w:numId="38">
    <w:abstractNumId w:val="24"/>
  </w:num>
  <w:num w:numId="39">
    <w:abstractNumId w:val="41"/>
  </w:num>
  <w:num w:numId="40">
    <w:abstractNumId w:val="17"/>
  </w:num>
  <w:num w:numId="41">
    <w:abstractNumId w:val="36"/>
  </w:num>
  <w:num w:numId="42">
    <w:abstractNumId w:val="23"/>
  </w:num>
  <w:num w:numId="43">
    <w:abstractNumId w:val="32"/>
  </w:num>
  <w:num w:numId="4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noPunctuationKerning/>
  <w:characterSpacingControl w:val="doNotCompress"/>
  <w:hdrShapeDefaults>
    <o:shapedefaults v:ext="edit" spidmax="2051"/>
  </w:hdrShapeDefaults>
  <w:footnotePr>
    <w:footnote w:id="-1"/>
    <w:footnote w:id="0"/>
    <w:footnote w:id="1"/>
  </w:footnotePr>
  <w:endnotePr>
    <w:endnote w:id="-1"/>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265FD831-98B5-4AE8-8542-0007D07DF048"/>
    <w:docVar w:name="LW_COVERPAGE_TYPE" w:val="1"/>
    <w:docVar w:name="LW_CROSSREFERENCE" w:val="&lt;UNUSED&gt;"/>
    <w:docVar w:name="LW_DocType" w:val="NORMAL"/>
    <w:docVar w:name="LW_EMISSION" w:val="20.1.2026"/>
    <w:docVar w:name="LW_EMISSION_ISODATE" w:val="2026-01-20"/>
    <w:docVar w:name="LW_EMISSION_LOCATION" w:val="STR"/>
    <w:docVar w:name="LW_EMISSION_PREFIX" w:val="Strasbourg,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1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Union de l\u8217?égalité: stratégie de lutte contre le racisme 2026-2030"/>
    <w:docVar w:name="LW_TYPE.DOC.CP" w:val="COMMUNICATION DE LA COMMISSION AU PARLEMENT EUROPÉEN, AU CONSEIL, AU COMITÉ ÉCONOMIQUE ET SOCIAL EUROPÉEN ET AU COMITÉ DES RÉGIONS"/>
    <w:docVar w:name="LW_TYPE.DOC.CP.USERTEXT" w:val="&lt;EMPTY&gt;"/>
    <w:docVar w:name="LwApiVersions" w:val="LW4CoDe 1.24.5.0; LW 9.2, Build 20251112"/>
  </w:docVars>
  <w:rsids>
    <w:rsidRoot w:val="00505E28"/>
    <w:rsid w:val="D7DFF81B"/>
    <w:rsid w:val="E5D9A0F3"/>
    <w:rsid w:val="FAFB9F08"/>
    <w:rsid w:val="0000002D"/>
    <w:rsid w:val="0000054F"/>
    <w:rsid w:val="00000CF9"/>
    <w:rsid w:val="000013D3"/>
    <w:rsid w:val="00001641"/>
    <w:rsid w:val="000017D1"/>
    <w:rsid w:val="00002035"/>
    <w:rsid w:val="00002897"/>
    <w:rsid w:val="00002E97"/>
    <w:rsid w:val="00003007"/>
    <w:rsid w:val="00003940"/>
    <w:rsid w:val="00003A2D"/>
    <w:rsid w:val="00003F4A"/>
    <w:rsid w:val="0000477F"/>
    <w:rsid w:val="000047FC"/>
    <w:rsid w:val="00004AD3"/>
    <w:rsid w:val="00005566"/>
    <w:rsid w:val="000056AE"/>
    <w:rsid w:val="00005F1B"/>
    <w:rsid w:val="0000663F"/>
    <w:rsid w:val="00006789"/>
    <w:rsid w:val="000068B9"/>
    <w:rsid w:val="000069CD"/>
    <w:rsid w:val="000069F0"/>
    <w:rsid w:val="00006B11"/>
    <w:rsid w:val="0000708F"/>
    <w:rsid w:val="00007794"/>
    <w:rsid w:val="00007AA0"/>
    <w:rsid w:val="00007FB3"/>
    <w:rsid w:val="00010254"/>
    <w:rsid w:val="000106D4"/>
    <w:rsid w:val="00011646"/>
    <w:rsid w:val="0001213A"/>
    <w:rsid w:val="0001253A"/>
    <w:rsid w:val="00012AC4"/>
    <w:rsid w:val="00012DE6"/>
    <w:rsid w:val="00013218"/>
    <w:rsid w:val="000134DC"/>
    <w:rsid w:val="00013694"/>
    <w:rsid w:val="000136FD"/>
    <w:rsid w:val="00013F7D"/>
    <w:rsid w:val="00013FEB"/>
    <w:rsid w:val="00014154"/>
    <w:rsid w:val="0001436C"/>
    <w:rsid w:val="000146B8"/>
    <w:rsid w:val="00014EF6"/>
    <w:rsid w:val="0001555B"/>
    <w:rsid w:val="00015BC4"/>
    <w:rsid w:val="00015BF3"/>
    <w:rsid w:val="00015D66"/>
    <w:rsid w:val="00015F0D"/>
    <w:rsid w:val="00015FE2"/>
    <w:rsid w:val="0001661A"/>
    <w:rsid w:val="000171A6"/>
    <w:rsid w:val="000173FC"/>
    <w:rsid w:val="0002017B"/>
    <w:rsid w:val="00020DF7"/>
    <w:rsid w:val="000219AF"/>
    <w:rsid w:val="00021FAA"/>
    <w:rsid w:val="0002201E"/>
    <w:rsid w:val="00022359"/>
    <w:rsid w:val="000225A0"/>
    <w:rsid w:val="000226B1"/>
    <w:rsid w:val="00022F5A"/>
    <w:rsid w:val="00022FD7"/>
    <w:rsid w:val="00022FE5"/>
    <w:rsid w:val="00023159"/>
    <w:rsid w:val="00023290"/>
    <w:rsid w:val="0002426D"/>
    <w:rsid w:val="00025490"/>
    <w:rsid w:val="00026B2A"/>
    <w:rsid w:val="00026D32"/>
    <w:rsid w:val="00027AE9"/>
    <w:rsid w:val="00030690"/>
    <w:rsid w:val="00030EDB"/>
    <w:rsid w:val="0003105B"/>
    <w:rsid w:val="000310E1"/>
    <w:rsid w:val="0003118E"/>
    <w:rsid w:val="0003178B"/>
    <w:rsid w:val="00031DD1"/>
    <w:rsid w:val="00031ECA"/>
    <w:rsid w:val="00032F85"/>
    <w:rsid w:val="000332C8"/>
    <w:rsid w:val="00033415"/>
    <w:rsid w:val="0003645D"/>
    <w:rsid w:val="000367F1"/>
    <w:rsid w:val="00036A47"/>
    <w:rsid w:val="00036B63"/>
    <w:rsid w:val="00036C2E"/>
    <w:rsid w:val="0003717B"/>
    <w:rsid w:val="00037893"/>
    <w:rsid w:val="00037927"/>
    <w:rsid w:val="00037C16"/>
    <w:rsid w:val="00040F96"/>
    <w:rsid w:val="00041745"/>
    <w:rsid w:val="00042448"/>
    <w:rsid w:val="000425CC"/>
    <w:rsid w:val="0004261A"/>
    <w:rsid w:val="00042B2F"/>
    <w:rsid w:val="00042CF9"/>
    <w:rsid w:val="00042DBA"/>
    <w:rsid w:val="000431B2"/>
    <w:rsid w:val="000440A8"/>
    <w:rsid w:val="00044518"/>
    <w:rsid w:val="000450D3"/>
    <w:rsid w:val="00046125"/>
    <w:rsid w:val="00046138"/>
    <w:rsid w:val="000461D1"/>
    <w:rsid w:val="00047742"/>
    <w:rsid w:val="00047752"/>
    <w:rsid w:val="000487F3"/>
    <w:rsid w:val="0005057B"/>
    <w:rsid w:val="0005092E"/>
    <w:rsid w:val="00050B21"/>
    <w:rsid w:val="000510E9"/>
    <w:rsid w:val="0005147B"/>
    <w:rsid w:val="00052501"/>
    <w:rsid w:val="00053F5A"/>
    <w:rsid w:val="00054274"/>
    <w:rsid w:val="000543B5"/>
    <w:rsid w:val="00054461"/>
    <w:rsid w:val="00054705"/>
    <w:rsid w:val="00054E50"/>
    <w:rsid w:val="00055340"/>
    <w:rsid w:val="000564C2"/>
    <w:rsid w:val="000566DE"/>
    <w:rsid w:val="00057933"/>
    <w:rsid w:val="00057A4A"/>
    <w:rsid w:val="00057F79"/>
    <w:rsid w:val="000609F9"/>
    <w:rsid w:val="00060C1E"/>
    <w:rsid w:val="0006150B"/>
    <w:rsid w:val="000622AF"/>
    <w:rsid w:val="0006269B"/>
    <w:rsid w:val="000626B3"/>
    <w:rsid w:val="000627DD"/>
    <w:rsid w:val="000627F6"/>
    <w:rsid w:val="00062D6B"/>
    <w:rsid w:val="000632C5"/>
    <w:rsid w:val="00063546"/>
    <w:rsid w:val="00063B04"/>
    <w:rsid w:val="00063E6A"/>
    <w:rsid w:val="00064408"/>
    <w:rsid w:val="00065054"/>
    <w:rsid w:val="00065ACB"/>
    <w:rsid w:val="00065EAB"/>
    <w:rsid w:val="00066083"/>
    <w:rsid w:val="0006614B"/>
    <w:rsid w:val="0006666D"/>
    <w:rsid w:val="00066EA5"/>
    <w:rsid w:val="00067073"/>
    <w:rsid w:val="00067316"/>
    <w:rsid w:val="00067738"/>
    <w:rsid w:val="00067C11"/>
    <w:rsid w:val="000701B8"/>
    <w:rsid w:val="00070386"/>
    <w:rsid w:val="0007090E"/>
    <w:rsid w:val="00070A44"/>
    <w:rsid w:val="00070F31"/>
    <w:rsid w:val="00071CE2"/>
    <w:rsid w:val="00071DA3"/>
    <w:rsid w:val="0007248E"/>
    <w:rsid w:val="00072869"/>
    <w:rsid w:val="00072AC6"/>
    <w:rsid w:val="00072D34"/>
    <w:rsid w:val="00072E1B"/>
    <w:rsid w:val="000739F1"/>
    <w:rsid w:val="00073C09"/>
    <w:rsid w:val="00073DC1"/>
    <w:rsid w:val="000742CB"/>
    <w:rsid w:val="00074449"/>
    <w:rsid w:val="0007478C"/>
    <w:rsid w:val="00074CFE"/>
    <w:rsid w:val="00075ACD"/>
    <w:rsid w:val="00076181"/>
    <w:rsid w:val="00076637"/>
    <w:rsid w:val="00076BAF"/>
    <w:rsid w:val="00076F17"/>
    <w:rsid w:val="00077130"/>
    <w:rsid w:val="00077B43"/>
    <w:rsid w:val="00077E08"/>
    <w:rsid w:val="00080387"/>
    <w:rsid w:val="0008041D"/>
    <w:rsid w:val="00080EC6"/>
    <w:rsid w:val="00080F93"/>
    <w:rsid w:val="0008156F"/>
    <w:rsid w:val="00081ED1"/>
    <w:rsid w:val="00082598"/>
    <w:rsid w:val="00082AE7"/>
    <w:rsid w:val="00082E76"/>
    <w:rsid w:val="00082F53"/>
    <w:rsid w:val="000831BD"/>
    <w:rsid w:val="00084062"/>
    <w:rsid w:val="000840ED"/>
    <w:rsid w:val="00084506"/>
    <w:rsid w:val="00084D85"/>
    <w:rsid w:val="00085014"/>
    <w:rsid w:val="0008569D"/>
    <w:rsid w:val="00085B26"/>
    <w:rsid w:val="00085C38"/>
    <w:rsid w:val="00085E54"/>
    <w:rsid w:val="00086381"/>
    <w:rsid w:val="00086544"/>
    <w:rsid w:val="000865B9"/>
    <w:rsid w:val="00086725"/>
    <w:rsid w:val="000868C0"/>
    <w:rsid w:val="00086963"/>
    <w:rsid w:val="000871A1"/>
    <w:rsid w:val="000871E3"/>
    <w:rsid w:val="00087AD8"/>
    <w:rsid w:val="0009013C"/>
    <w:rsid w:val="00090640"/>
    <w:rsid w:val="000908C7"/>
    <w:rsid w:val="000912B6"/>
    <w:rsid w:val="0009184B"/>
    <w:rsid w:val="00091D93"/>
    <w:rsid w:val="00092AB7"/>
    <w:rsid w:val="00092DC1"/>
    <w:rsid w:val="000938CB"/>
    <w:rsid w:val="00094227"/>
    <w:rsid w:val="00094395"/>
    <w:rsid w:val="00094A0D"/>
    <w:rsid w:val="00094D7B"/>
    <w:rsid w:val="00094E8F"/>
    <w:rsid w:val="00095BAC"/>
    <w:rsid w:val="0009678C"/>
    <w:rsid w:val="000968B1"/>
    <w:rsid w:val="00096EB7"/>
    <w:rsid w:val="00097169"/>
    <w:rsid w:val="00097B81"/>
    <w:rsid w:val="000A052D"/>
    <w:rsid w:val="000A058F"/>
    <w:rsid w:val="000A06AF"/>
    <w:rsid w:val="000A0889"/>
    <w:rsid w:val="000A160A"/>
    <w:rsid w:val="000A2D9C"/>
    <w:rsid w:val="000A302D"/>
    <w:rsid w:val="000A3F2E"/>
    <w:rsid w:val="000A429C"/>
    <w:rsid w:val="000A4B7E"/>
    <w:rsid w:val="000A4C70"/>
    <w:rsid w:val="000A5D0A"/>
    <w:rsid w:val="000A66CE"/>
    <w:rsid w:val="000A717C"/>
    <w:rsid w:val="000A7E54"/>
    <w:rsid w:val="000B0471"/>
    <w:rsid w:val="000B0590"/>
    <w:rsid w:val="000B0EDC"/>
    <w:rsid w:val="000B18ED"/>
    <w:rsid w:val="000B1E15"/>
    <w:rsid w:val="000B2727"/>
    <w:rsid w:val="000B2E34"/>
    <w:rsid w:val="000B2F31"/>
    <w:rsid w:val="000B3220"/>
    <w:rsid w:val="000B35BF"/>
    <w:rsid w:val="000B40E4"/>
    <w:rsid w:val="000B4890"/>
    <w:rsid w:val="000B4926"/>
    <w:rsid w:val="000B4F6C"/>
    <w:rsid w:val="000B5760"/>
    <w:rsid w:val="000B5A1C"/>
    <w:rsid w:val="000B5BAD"/>
    <w:rsid w:val="000B63B1"/>
    <w:rsid w:val="000B69ED"/>
    <w:rsid w:val="000B7667"/>
    <w:rsid w:val="000B7A1F"/>
    <w:rsid w:val="000C0141"/>
    <w:rsid w:val="000C0EE6"/>
    <w:rsid w:val="000C1748"/>
    <w:rsid w:val="000C1847"/>
    <w:rsid w:val="000C1BB2"/>
    <w:rsid w:val="000C2257"/>
    <w:rsid w:val="000C243B"/>
    <w:rsid w:val="000C2644"/>
    <w:rsid w:val="000C2A3D"/>
    <w:rsid w:val="000C34B2"/>
    <w:rsid w:val="000C39E3"/>
    <w:rsid w:val="000C4035"/>
    <w:rsid w:val="000C445C"/>
    <w:rsid w:val="000C47B7"/>
    <w:rsid w:val="000C4C3F"/>
    <w:rsid w:val="000C58C0"/>
    <w:rsid w:val="000C5C48"/>
    <w:rsid w:val="000C6649"/>
    <w:rsid w:val="000C6E6D"/>
    <w:rsid w:val="000C6F28"/>
    <w:rsid w:val="000C775C"/>
    <w:rsid w:val="000D013B"/>
    <w:rsid w:val="000D0715"/>
    <w:rsid w:val="000D0788"/>
    <w:rsid w:val="000D0ACF"/>
    <w:rsid w:val="000D1924"/>
    <w:rsid w:val="000D2239"/>
    <w:rsid w:val="000D29C0"/>
    <w:rsid w:val="000D345B"/>
    <w:rsid w:val="000D38F9"/>
    <w:rsid w:val="000D3B94"/>
    <w:rsid w:val="000D3D47"/>
    <w:rsid w:val="000D3F9A"/>
    <w:rsid w:val="000D4707"/>
    <w:rsid w:val="000D578C"/>
    <w:rsid w:val="000D59B7"/>
    <w:rsid w:val="000D5A34"/>
    <w:rsid w:val="000D5D64"/>
    <w:rsid w:val="000D64B2"/>
    <w:rsid w:val="000D69F5"/>
    <w:rsid w:val="000D6DE5"/>
    <w:rsid w:val="000D6EEA"/>
    <w:rsid w:val="000D7426"/>
    <w:rsid w:val="000E0784"/>
    <w:rsid w:val="000E0A9C"/>
    <w:rsid w:val="000E110C"/>
    <w:rsid w:val="000E1267"/>
    <w:rsid w:val="000E18AF"/>
    <w:rsid w:val="000E1CD8"/>
    <w:rsid w:val="000E20C5"/>
    <w:rsid w:val="000E2706"/>
    <w:rsid w:val="000E2D7F"/>
    <w:rsid w:val="000E2E75"/>
    <w:rsid w:val="000E3139"/>
    <w:rsid w:val="000E361F"/>
    <w:rsid w:val="000E4467"/>
    <w:rsid w:val="000E44F2"/>
    <w:rsid w:val="000E50B2"/>
    <w:rsid w:val="000E53F9"/>
    <w:rsid w:val="000E5847"/>
    <w:rsid w:val="000E58BD"/>
    <w:rsid w:val="000E5AA8"/>
    <w:rsid w:val="000E5D09"/>
    <w:rsid w:val="000E5DF0"/>
    <w:rsid w:val="000E62B3"/>
    <w:rsid w:val="000E72CD"/>
    <w:rsid w:val="000E78CE"/>
    <w:rsid w:val="000F00D3"/>
    <w:rsid w:val="000F04E9"/>
    <w:rsid w:val="000F0BB3"/>
    <w:rsid w:val="000F0E1B"/>
    <w:rsid w:val="000F12A6"/>
    <w:rsid w:val="000F175C"/>
    <w:rsid w:val="000F19B4"/>
    <w:rsid w:val="000F1DE9"/>
    <w:rsid w:val="000F2567"/>
    <w:rsid w:val="000F283A"/>
    <w:rsid w:val="000F2972"/>
    <w:rsid w:val="000F3040"/>
    <w:rsid w:val="000F390F"/>
    <w:rsid w:val="000F3D70"/>
    <w:rsid w:val="000F4263"/>
    <w:rsid w:val="000F4264"/>
    <w:rsid w:val="000F45B4"/>
    <w:rsid w:val="000F4957"/>
    <w:rsid w:val="000F4A47"/>
    <w:rsid w:val="000F6022"/>
    <w:rsid w:val="000F6794"/>
    <w:rsid w:val="000F6942"/>
    <w:rsid w:val="000F7176"/>
    <w:rsid w:val="000F7ADB"/>
    <w:rsid w:val="000F7E39"/>
    <w:rsid w:val="00100473"/>
    <w:rsid w:val="00100889"/>
    <w:rsid w:val="0010092F"/>
    <w:rsid w:val="001009C4"/>
    <w:rsid w:val="001012B0"/>
    <w:rsid w:val="00101F55"/>
    <w:rsid w:val="00102959"/>
    <w:rsid w:val="00102EDB"/>
    <w:rsid w:val="001037FA"/>
    <w:rsid w:val="0010432E"/>
    <w:rsid w:val="00104543"/>
    <w:rsid w:val="001049D9"/>
    <w:rsid w:val="00105393"/>
    <w:rsid w:val="00105496"/>
    <w:rsid w:val="00105B07"/>
    <w:rsid w:val="00105F5B"/>
    <w:rsid w:val="0010602E"/>
    <w:rsid w:val="001066BB"/>
    <w:rsid w:val="001071EC"/>
    <w:rsid w:val="00107A99"/>
    <w:rsid w:val="00110FD9"/>
    <w:rsid w:val="0011140A"/>
    <w:rsid w:val="0011199D"/>
    <w:rsid w:val="00111DA6"/>
    <w:rsid w:val="00112287"/>
    <w:rsid w:val="00112549"/>
    <w:rsid w:val="001125EB"/>
    <w:rsid w:val="00112617"/>
    <w:rsid w:val="00112E16"/>
    <w:rsid w:val="00113073"/>
    <w:rsid w:val="00113126"/>
    <w:rsid w:val="0011382E"/>
    <w:rsid w:val="00113941"/>
    <w:rsid w:val="00114942"/>
    <w:rsid w:val="001149C5"/>
    <w:rsid w:val="001149E8"/>
    <w:rsid w:val="00114DA2"/>
    <w:rsid w:val="00115239"/>
    <w:rsid w:val="001157E5"/>
    <w:rsid w:val="00116445"/>
    <w:rsid w:val="00116719"/>
    <w:rsid w:val="001171F1"/>
    <w:rsid w:val="0011788B"/>
    <w:rsid w:val="00117A06"/>
    <w:rsid w:val="00117B7B"/>
    <w:rsid w:val="00117D8B"/>
    <w:rsid w:val="00117EF6"/>
    <w:rsid w:val="0012015F"/>
    <w:rsid w:val="00120234"/>
    <w:rsid w:val="00120C44"/>
    <w:rsid w:val="0012105C"/>
    <w:rsid w:val="00121295"/>
    <w:rsid w:val="00121F3B"/>
    <w:rsid w:val="0012232C"/>
    <w:rsid w:val="001226F6"/>
    <w:rsid w:val="00122A53"/>
    <w:rsid w:val="001232D1"/>
    <w:rsid w:val="00123445"/>
    <w:rsid w:val="001235A6"/>
    <w:rsid w:val="001237BB"/>
    <w:rsid w:val="00123F37"/>
    <w:rsid w:val="00123F49"/>
    <w:rsid w:val="00124158"/>
    <w:rsid w:val="00124571"/>
    <w:rsid w:val="0012493C"/>
    <w:rsid w:val="0012529E"/>
    <w:rsid w:val="00126ADC"/>
    <w:rsid w:val="00127437"/>
    <w:rsid w:val="00127467"/>
    <w:rsid w:val="00127C03"/>
    <w:rsid w:val="001303BB"/>
    <w:rsid w:val="00130936"/>
    <w:rsid w:val="00130DCB"/>
    <w:rsid w:val="00130E9E"/>
    <w:rsid w:val="0013121D"/>
    <w:rsid w:val="0013238A"/>
    <w:rsid w:val="0013275F"/>
    <w:rsid w:val="00132C5E"/>
    <w:rsid w:val="001334B1"/>
    <w:rsid w:val="00133531"/>
    <w:rsid w:val="00133825"/>
    <w:rsid w:val="0013395A"/>
    <w:rsid w:val="0013495E"/>
    <w:rsid w:val="00134F89"/>
    <w:rsid w:val="001358BB"/>
    <w:rsid w:val="00135C88"/>
    <w:rsid w:val="00135E5E"/>
    <w:rsid w:val="00137130"/>
    <w:rsid w:val="00137D90"/>
    <w:rsid w:val="00137F08"/>
    <w:rsid w:val="00140434"/>
    <w:rsid w:val="0014131D"/>
    <w:rsid w:val="0014138B"/>
    <w:rsid w:val="00141486"/>
    <w:rsid w:val="00141688"/>
    <w:rsid w:val="001425C8"/>
    <w:rsid w:val="001427BB"/>
    <w:rsid w:val="00142BD7"/>
    <w:rsid w:val="00142C00"/>
    <w:rsid w:val="00142CA6"/>
    <w:rsid w:val="00142CB4"/>
    <w:rsid w:val="00143065"/>
    <w:rsid w:val="001434C1"/>
    <w:rsid w:val="00143BEB"/>
    <w:rsid w:val="00143F4A"/>
    <w:rsid w:val="001440E4"/>
    <w:rsid w:val="00144D00"/>
    <w:rsid w:val="00144FAB"/>
    <w:rsid w:val="001453B5"/>
    <w:rsid w:val="00145CB4"/>
    <w:rsid w:val="00145E3D"/>
    <w:rsid w:val="001468A2"/>
    <w:rsid w:val="001469C3"/>
    <w:rsid w:val="00146ACE"/>
    <w:rsid w:val="00147265"/>
    <w:rsid w:val="00147557"/>
    <w:rsid w:val="0014792D"/>
    <w:rsid w:val="001479D1"/>
    <w:rsid w:val="00147A79"/>
    <w:rsid w:val="00147C81"/>
    <w:rsid w:val="0015023D"/>
    <w:rsid w:val="00150E9D"/>
    <w:rsid w:val="00151188"/>
    <w:rsid w:val="00151625"/>
    <w:rsid w:val="00151756"/>
    <w:rsid w:val="00151BDD"/>
    <w:rsid w:val="001520BE"/>
    <w:rsid w:val="001524BC"/>
    <w:rsid w:val="0015301B"/>
    <w:rsid w:val="00153595"/>
    <w:rsid w:val="001536B5"/>
    <w:rsid w:val="00154357"/>
    <w:rsid w:val="0015563F"/>
    <w:rsid w:val="00155D7D"/>
    <w:rsid w:val="00155FA6"/>
    <w:rsid w:val="001561DB"/>
    <w:rsid w:val="00156DDB"/>
    <w:rsid w:val="001574E8"/>
    <w:rsid w:val="00160484"/>
    <w:rsid w:val="00160759"/>
    <w:rsid w:val="001609A6"/>
    <w:rsid w:val="00160B35"/>
    <w:rsid w:val="001610E7"/>
    <w:rsid w:val="00161323"/>
    <w:rsid w:val="0016163C"/>
    <w:rsid w:val="00161A44"/>
    <w:rsid w:val="00161C3A"/>
    <w:rsid w:val="00161E46"/>
    <w:rsid w:val="0016212E"/>
    <w:rsid w:val="001621CE"/>
    <w:rsid w:val="0016257B"/>
    <w:rsid w:val="00162643"/>
    <w:rsid w:val="001629FE"/>
    <w:rsid w:val="00162E7F"/>
    <w:rsid w:val="001632E3"/>
    <w:rsid w:val="0016345F"/>
    <w:rsid w:val="0016391B"/>
    <w:rsid w:val="001643EA"/>
    <w:rsid w:val="00164632"/>
    <w:rsid w:val="00164639"/>
    <w:rsid w:val="00164749"/>
    <w:rsid w:val="0016480B"/>
    <w:rsid w:val="0016539A"/>
    <w:rsid w:val="00165FB4"/>
    <w:rsid w:val="001662B1"/>
    <w:rsid w:val="00166C5A"/>
    <w:rsid w:val="00167AF4"/>
    <w:rsid w:val="001708A6"/>
    <w:rsid w:val="001708DC"/>
    <w:rsid w:val="00170935"/>
    <w:rsid w:val="00170AC9"/>
    <w:rsid w:val="00171156"/>
    <w:rsid w:val="00171AA3"/>
    <w:rsid w:val="001723EB"/>
    <w:rsid w:val="001723F0"/>
    <w:rsid w:val="0017273C"/>
    <w:rsid w:val="00172D73"/>
    <w:rsid w:val="001731A3"/>
    <w:rsid w:val="00173C2B"/>
    <w:rsid w:val="00173F9E"/>
    <w:rsid w:val="001748F7"/>
    <w:rsid w:val="00175253"/>
    <w:rsid w:val="0017557B"/>
    <w:rsid w:val="00175DE8"/>
    <w:rsid w:val="0017619A"/>
    <w:rsid w:val="001761F0"/>
    <w:rsid w:val="00176C50"/>
    <w:rsid w:val="0017725C"/>
    <w:rsid w:val="00177296"/>
    <w:rsid w:val="00177F0F"/>
    <w:rsid w:val="00177FD1"/>
    <w:rsid w:val="00180D53"/>
    <w:rsid w:val="0018105A"/>
    <w:rsid w:val="0018164F"/>
    <w:rsid w:val="0018172A"/>
    <w:rsid w:val="00182E64"/>
    <w:rsid w:val="00184351"/>
    <w:rsid w:val="001844D5"/>
    <w:rsid w:val="00185680"/>
    <w:rsid w:val="0018583B"/>
    <w:rsid w:val="00185BA8"/>
    <w:rsid w:val="00185C52"/>
    <w:rsid w:val="00185D3B"/>
    <w:rsid w:val="001861B2"/>
    <w:rsid w:val="001864B5"/>
    <w:rsid w:val="00186C47"/>
    <w:rsid w:val="00186CE4"/>
    <w:rsid w:val="00187351"/>
    <w:rsid w:val="00187BCD"/>
    <w:rsid w:val="00190A31"/>
    <w:rsid w:val="00190C91"/>
    <w:rsid w:val="00191528"/>
    <w:rsid w:val="001916A0"/>
    <w:rsid w:val="0019329F"/>
    <w:rsid w:val="0019356A"/>
    <w:rsid w:val="001937F5"/>
    <w:rsid w:val="00193B73"/>
    <w:rsid w:val="00194D4D"/>
    <w:rsid w:val="00194EB5"/>
    <w:rsid w:val="00196639"/>
    <w:rsid w:val="00196F9F"/>
    <w:rsid w:val="00197540"/>
    <w:rsid w:val="001976BD"/>
    <w:rsid w:val="00197D92"/>
    <w:rsid w:val="001A042C"/>
    <w:rsid w:val="001A10F4"/>
    <w:rsid w:val="001A16F3"/>
    <w:rsid w:val="001A1A21"/>
    <w:rsid w:val="001A1AE8"/>
    <w:rsid w:val="001A1E77"/>
    <w:rsid w:val="001A246B"/>
    <w:rsid w:val="001A273F"/>
    <w:rsid w:val="001A2CB7"/>
    <w:rsid w:val="001A2E14"/>
    <w:rsid w:val="001A37FE"/>
    <w:rsid w:val="001A3E2E"/>
    <w:rsid w:val="001A4C24"/>
    <w:rsid w:val="001A4F84"/>
    <w:rsid w:val="001A50B0"/>
    <w:rsid w:val="001A535F"/>
    <w:rsid w:val="001A607E"/>
    <w:rsid w:val="001A616F"/>
    <w:rsid w:val="001A6354"/>
    <w:rsid w:val="001A688D"/>
    <w:rsid w:val="001A6A3F"/>
    <w:rsid w:val="001A6EB2"/>
    <w:rsid w:val="001A761A"/>
    <w:rsid w:val="001A77B6"/>
    <w:rsid w:val="001A7AB3"/>
    <w:rsid w:val="001A7EF2"/>
    <w:rsid w:val="001B01C8"/>
    <w:rsid w:val="001B03E9"/>
    <w:rsid w:val="001B0607"/>
    <w:rsid w:val="001B10E6"/>
    <w:rsid w:val="001B121D"/>
    <w:rsid w:val="001B14B3"/>
    <w:rsid w:val="001B27D6"/>
    <w:rsid w:val="001B2BA4"/>
    <w:rsid w:val="001B2C4F"/>
    <w:rsid w:val="001B377F"/>
    <w:rsid w:val="001B4973"/>
    <w:rsid w:val="001B4DDF"/>
    <w:rsid w:val="001B503E"/>
    <w:rsid w:val="001B5A6D"/>
    <w:rsid w:val="001B6024"/>
    <w:rsid w:val="001B622E"/>
    <w:rsid w:val="001B6456"/>
    <w:rsid w:val="001B70D7"/>
    <w:rsid w:val="001C066F"/>
    <w:rsid w:val="001C08CA"/>
    <w:rsid w:val="001C0EBD"/>
    <w:rsid w:val="001C1860"/>
    <w:rsid w:val="001C1BDE"/>
    <w:rsid w:val="001C2588"/>
    <w:rsid w:val="001C289D"/>
    <w:rsid w:val="001C2CEB"/>
    <w:rsid w:val="001C4B0F"/>
    <w:rsid w:val="001C4DFF"/>
    <w:rsid w:val="001C4F24"/>
    <w:rsid w:val="001C59BB"/>
    <w:rsid w:val="001C5A66"/>
    <w:rsid w:val="001C5A70"/>
    <w:rsid w:val="001C70AB"/>
    <w:rsid w:val="001C7DA6"/>
    <w:rsid w:val="001D04C7"/>
    <w:rsid w:val="001D0B04"/>
    <w:rsid w:val="001D0BB3"/>
    <w:rsid w:val="001D1538"/>
    <w:rsid w:val="001D15B7"/>
    <w:rsid w:val="001D1D70"/>
    <w:rsid w:val="001D1EDA"/>
    <w:rsid w:val="001D1F31"/>
    <w:rsid w:val="001D2041"/>
    <w:rsid w:val="001D215D"/>
    <w:rsid w:val="001D2AF8"/>
    <w:rsid w:val="001D2F0B"/>
    <w:rsid w:val="001D2F52"/>
    <w:rsid w:val="001D3EF2"/>
    <w:rsid w:val="001D448A"/>
    <w:rsid w:val="001D4668"/>
    <w:rsid w:val="001D4848"/>
    <w:rsid w:val="001D6915"/>
    <w:rsid w:val="001D75C0"/>
    <w:rsid w:val="001E0238"/>
    <w:rsid w:val="001E0521"/>
    <w:rsid w:val="001E0BCE"/>
    <w:rsid w:val="001E0C16"/>
    <w:rsid w:val="001E10BB"/>
    <w:rsid w:val="001E1A65"/>
    <w:rsid w:val="001E1F9D"/>
    <w:rsid w:val="001E20C4"/>
    <w:rsid w:val="001E2852"/>
    <w:rsid w:val="001E2AE8"/>
    <w:rsid w:val="001E2FFF"/>
    <w:rsid w:val="001E369A"/>
    <w:rsid w:val="001E3ADD"/>
    <w:rsid w:val="001E40B8"/>
    <w:rsid w:val="001E4235"/>
    <w:rsid w:val="001E47E2"/>
    <w:rsid w:val="001E4F18"/>
    <w:rsid w:val="001E50E0"/>
    <w:rsid w:val="001E6A25"/>
    <w:rsid w:val="001E6B7A"/>
    <w:rsid w:val="001E6CE7"/>
    <w:rsid w:val="001E6D27"/>
    <w:rsid w:val="001E7842"/>
    <w:rsid w:val="001F033A"/>
    <w:rsid w:val="001F0E26"/>
    <w:rsid w:val="001F0E3F"/>
    <w:rsid w:val="001F1DB0"/>
    <w:rsid w:val="001F2666"/>
    <w:rsid w:val="001F34D7"/>
    <w:rsid w:val="001F3E9B"/>
    <w:rsid w:val="001F4154"/>
    <w:rsid w:val="001F41FC"/>
    <w:rsid w:val="001F4659"/>
    <w:rsid w:val="001F4ADB"/>
    <w:rsid w:val="001F5071"/>
    <w:rsid w:val="001F54AA"/>
    <w:rsid w:val="001F54C8"/>
    <w:rsid w:val="001F63DF"/>
    <w:rsid w:val="001F6466"/>
    <w:rsid w:val="001F68F1"/>
    <w:rsid w:val="001F74C0"/>
    <w:rsid w:val="001F758D"/>
    <w:rsid w:val="001F75B5"/>
    <w:rsid w:val="002003D4"/>
    <w:rsid w:val="00200403"/>
    <w:rsid w:val="00201008"/>
    <w:rsid w:val="002014CF"/>
    <w:rsid w:val="002020FE"/>
    <w:rsid w:val="00202B01"/>
    <w:rsid w:val="002034D0"/>
    <w:rsid w:val="00203970"/>
    <w:rsid w:val="00203BCF"/>
    <w:rsid w:val="00203CF6"/>
    <w:rsid w:val="002054E2"/>
    <w:rsid w:val="00205837"/>
    <w:rsid w:val="00206512"/>
    <w:rsid w:val="0020685C"/>
    <w:rsid w:val="00206C72"/>
    <w:rsid w:val="00207277"/>
    <w:rsid w:val="0020758A"/>
    <w:rsid w:val="00207DB7"/>
    <w:rsid w:val="002101BA"/>
    <w:rsid w:val="00210BA0"/>
    <w:rsid w:val="0021120A"/>
    <w:rsid w:val="00211671"/>
    <w:rsid w:val="00211FCB"/>
    <w:rsid w:val="00212470"/>
    <w:rsid w:val="0021265F"/>
    <w:rsid w:val="00212820"/>
    <w:rsid w:val="00213961"/>
    <w:rsid w:val="00213D42"/>
    <w:rsid w:val="00213F04"/>
    <w:rsid w:val="002140E0"/>
    <w:rsid w:val="0021469A"/>
    <w:rsid w:val="0021528A"/>
    <w:rsid w:val="002153EE"/>
    <w:rsid w:val="0021582C"/>
    <w:rsid w:val="00215B79"/>
    <w:rsid w:val="00216CDE"/>
    <w:rsid w:val="002171BE"/>
    <w:rsid w:val="002175A3"/>
    <w:rsid w:val="002178E7"/>
    <w:rsid w:val="00217FA7"/>
    <w:rsid w:val="00220503"/>
    <w:rsid w:val="002207D9"/>
    <w:rsid w:val="00220A9C"/>
    <w:rsid w:val="00221A10"/>
    <w:rsid w:val="00221B42"/>
    <w:rsid w:val="00222620"/>
    <w:rsid w:val="00222969"/>
    <w:rsid w:val="002231D0"/>
    <w:rsid w:val="0022355F"/>
    <w:rsid w:val="0022411D"/>
    <w:rsid w:val="00224437"/>
    <w:rsid w:val="00224BC7"/>
    <w:rsid w:val="00224BF4"/>
    <w:rsid w:val="00224C8E"/>
    <w:rsid w:val="00224D2F"/>
    <w:rsid w:val="00224E14"/>
    <w:rsid w:val="00224F8F"/>
    <w:rsid w:val="002254F6"/>
    <w:rsid w:val="002255A2"/>
    <w:rsid w:val="00225F22"/>
    <w:rsid w:val="00226109"/>
    <w:rsid w:val="00226484"/>
    <w:rsid w:val="00226C66"/>
    <w:rsid w:val="00226D6A"/>
    <w:rsid w:val="002271B1"/>
    <w:rsid w:val="00227AF4"/>
    <w:rsid w:val="002302C3"/>
    <w:rsid w:val="0023055E"/>
    <w:rsid w:val="00230D6C"/>
    <w:rsid w:val="002325C2"/>
    <w:rsid w:val="00232D6E"/>
    <w:rsid w:val="00233CE2"/>
    <w:rsid w:val="00233E4A"/>
    <w:rsid w:val="00234496"/>
    <w:rsid w:val="002345FB"/>
    <w:rsid w:val="00234878"/>
    <w:rsid w:val="00234A98"/>
    <w:rsid w:val="00234EC1"/>
    <w:rsid w:val="002351F0"/>
    <w:rsid w:val="00235786"/>
    <w:rsid w:val="00236D06"/>
    <w:rsid w:val="00236EAC"/>
    <w:rsid w:val="00237737"/>
    <w:rsid w:val="00240684"/>
    <w:rsid w:val="0024138D"/>
    <w:rsid w:val="00241F0A"/>
    <w:rsid w:val="0024255B"/>
    <w:rsid w:val="00242636"/>
    <w:rsid w:val="00242921"/>
    <w:rsid w:val="00242922"/>
    <w:rsid w:val="00242C15"/>
    <w:rsid w:val="002434AF"/>
    <w:rsid w:val="0024381B"/>
    <w:rsid w:val="002440A7"/>
    <w:rsid w:val="0024425E"/>
    <w:rsid w:val="00244548"/>
    <w:rsid w:val="002447C3"/>
    <w:rsid w:val="002448C3"/>
    <w:rsid w:val="00245C71"/>
    <w:rsid w:val="00245C9A"/>
    <w:rsid w:val="00245D38"/>
    <w:rsid w:val="0024618C"/>
    <w:rsid w:val="0024634E"/>
    <w:rsid w:val="0024687D"/>
    <w:rsid w:val="00250C36"/>
    <w:rsid w:val="00250C80"/>
    <w:rsid w:val="00251083"/>
    <w:rsid w:val="00251394"/>
    <w:rsid w:val="00252552"/>
    <w:rsid w:val="00252710"/>
    <w:rsid w:val="00252C94"/>
    <w:rsid w:val="002532B2"/>
    <w:rsid w:val="00253720"/>
    <w:rsid w:val="00253A04"/>
    <w:rsid w:val="00253C88"/>
    <w:rsid w:val="002545E0"/>
    <w:rsid w:val="00254649"/>
    <w:rsid w:val="0025489C"/>
    <w:rsid w:val="00254D7F"/>
    <w:rsid w:val="00255318"/>
    <w:rsid w:val="0025549A"/>
    <w:rsid w:val="00255819"/>
    <w:rsid w:val="002558EF"/>
    <w:rsid w:val="00255C1E"/>
    <w:rsid w:val="00256BCA"/>
    <w:rsid w:val="002571BF"/>
    <w:rsid w:val="002573B8"/>
    <w:rsid w:val="00260835"/>
    <w:rsid w:val="00260C8E"/>
    <w:rsid w:val="00261C1B"/>
    <w:rsid w:val="002620A4"/>
    <w:rsid w:val="00262333"/>
    <w:rsid w:val="00262359"/>
    <w:rsid w:val="00263335"/>
    <w:rsid w:val="00263561"/>
    <w:rsid w:val="0026498A"/>
    <w:rsid w:val="00264E24"/>
    <w:rsid w:val="0026526E"/>
    <w:rsid w:val="00265739"/>
    <w:rsid w:val="00265FCA"/>
    <w:rsid w:val="00266397"/>
    <w:rsid w:val="00266768"/>
    <w:rsid w:val="0026E86F"/>
    <w:rsid w:val="00270A3C"/>
    <w:rsid w:val="002715FB"/>
    <w:rsid w:val="00272035"/>
    <w:rsid w:val="002724DA"/>
    <w:rsid w:val="00273698"/>
    <w:rsid w:val="002738BC"/>
    <w:rsid w:val="00273A42"/>
    <w:rsid w:val="0027443E"/>
    <w:rsid w:val="002745A3"/>
    <w:rsid w:val="0027480E"/>
    <w:rsid w:val="00274D7E"/>
    <w:rsid w:val="00275727"/>
    <w:rsid w:val="00275B82"/>
    <w:rsid w:val="00275CA5"/>
    <w:rsid w:val="00275D4F"/>
    <w:rsid w:val="00276118"/>
    <w:rsid w:val="002763F8"/>
    <w:rsid w:val="002769C9"/>
    <w:rsid w:val="002808ED"/>
    <w:rsid w:val="00280E61"/>
    <w:rsid w:val="00280F9F"/>
    <w:rsid w:val="002814D3"/>
    <w:rsid w:val="00281BF3"/>
    <w:rsid w:val="00281E6B"/>
    <w:rsid w:val="00281FA1"/>
    <w:rsid w:val="00282ACD"/>
    <w:rsid w:val="0028398C"/>
    <w:rsid w:val="002839CA"/>
    <w:rsid w:val="0028533D"/>
    <w:rsid w:val="002854AD"/>
    <w:rsid w:val="002867AD"/>
    <w:rsid w:val="00287114"/>
    <w:rsid w:val="0028746E"/>
    <w:rsid w:val="002874E7"/>
    <w:rsid w:val="00287DB7"/>
    <w:rsid w:val="00287DFF"/>
    <w:rsid w:val="00290453"/>
    <w:rsid w:val="00290653"/>
    <w:rsid w:val="00290A3C"/>
    <w:rsid w:val="00290A53"/>
    <w:rsid w:val="00290EC2"/>
    <w:rsid w:val="0029175C"/>
    <w:rsid w:val="00291BFD"/>
    <w:rsid w:val="00292551"/>
    <w:rsid w:val="00292953"/>
    <w:rsid w:val="0029356C"/>
    <w:rsid w:val="00293E6C"/>
    <w:rsid w:val="0029510B"/>
    <w:rsid w:val="00295D2B"/>
    <w:rsid w:val="00296006"/>
    <w:rsid w:val="002960C5"/>
    <w:rsid w:val="00296205"/>
    <w:rsid w:val="002962D9"/>
    <w:rsid w:val="002968E5"/>
    <w:rsid w:val="002969FE"/>
    <w:rsid w:val="00296D73"/>
    <w:rsid w:val="00297A3F"/>
    <w:rsid w:val="002A07C0"/>
    <w:rsid w:val="002A0B96"/>
    <w:rsid w:val="002A0C46"/>
    <w:rsid w:val="002A1341"/>
    <w:rsid w:val="002A17EA"/>
    <w:rsid w:val="002A2153"/>
    <w:rsid w:val="002A2290"/>
    <w:rsid w:val="002A242E"/>
    <w:rsid w:val="002A301C"/>
    <w:rsid w:val="002A35F3"/>
    <w:rsid w:val="002A5B21"/>
    <w:rsid w:val="002A5FC7"/>
    <w:rsid w:val="002A619B"/>
    <w:rsid w:val="002A679B"/>
    <w:rsid w:val="002A72AA"/>
    <w:rsid w:val="002A7433"/>
    <w:rsid w:val="002A7466"/>
    <w:rsid w:val="002A7653"/>
    <w:rsid w:val="002A792C"/>
    <w:rsid w:val="002B01A7"/>
    <w:rsid w:val="002B02E6"/>
    <w:rsid w:val="002B0935"/>
    <w:rsid w:val="002B0DCC"/>
    <w:rsid w:val="002B18D1"/>
    <w:rsid w:val="002B19A6"/>
    <w:rsid w:val="002B1CEB"/>
    <w:rsid w:val="002B1F57"/>
    <w:rsid w:val="002B2499"/>
    <w:rsid w:val="002B293B"/>
    <w:rsid w:val="002B3004"/>
    <w:rsid w:val="002B35E3"/>
    <w:rsid w:val="002B3823"/>
    <w:rsid w:val="002B3AF3"/>
    <w:rsid w:val="002B3F15"/>
    <w:rsid w:val="002B4708"/>
    <w:rsid w:val="002B4C6B"/>
    <w:rsid w:val="002B5870"/>
    <w:rsid w:val="002B5FB0"/>
    <w:rsid w:val="002B6045"/>
    <w:rsid w:val="002B6389"/>
    <w:rsid w:val="002B6A91"/>
    <w:rsid w:val="002B73C8"/>
    <w:rsid w:val="002B7A70"/>
    <w:rsid w:val="002B7D5E"/>
    <w:rsid w:val="002B7FC6"/>
    <w:rsid w:val="002C0314"/>
    <w:rsid w:val="002C0D69"/>
    <w:rsid w:val="002C12D5"/>
    <w:rsid w:val="002C12DE"/>
    <w:rsid w:val="002C14BF"/>
    <w:rsid w:val="002C1633"/>
    <w:rsid w:val="002C1A00"/>
    <w:rsid w:val="002C1E6F"/>
    <w:rsid w:val="002C2C6E"/>
    <w:rsid w:val="002C2F05"/>
    <w:rsid w:val="002C3A3D"/>
    <w:rsid w:val="002C3BE7"/>
    <w:rsid w:val="002C4162"/>
    <w:rsid w:val="002C41F5"/>
    <w:rsid w:val="002C4616"/>
    <w:rsid w:val="002C4725"/>
    <w:rsid w:val="002C5A11"/>
    <w:rsid w:val="002C5C85"/>
    <w:rsid w:val="002C5E91"/>
    <w:rsid w:val="002C5FA9"/>
    <w:rsid w:val="002C601F"/>
    <w:rsid w:val="002C68AF"/>
    <w:rsid w:val="002C6995"/>
    <w:rsid w:val="002C6CC1"/>
    <w:rsid w:val="002C6E1F"/>
    <w:rsid w:val="002C7489"/>
    <w:rsid w:val="002C752C"/>
    <w:rsid w:val="002C761A"/>
    <w:rsid w:val="002C7888"/>
    <w:rsid w:val="002C7A1E"/>
    <w:rsid w:val="002C7C32"/>
    <w:rsid w:val="002C7FDC"/>
    <w:rsid w:val="002D070C"/>
    <w:rsid w:val="002D0888"/>
    <w:rsid w:val="002D08E9"/>
    <w:rsid w:val="002D0DF3"/>
    <w:rsid w:val="002D17D4"/>
    <w:rsid w:val="002D1FA1"/>
    <w:rsid w:val="002D391B"/>
    <w:rsid w:val="002D419D"/>
    <w:rsid w:val="002D4FBF"/>
    <w:rsid w:val="002D5B4F"/>
    <w:rsid w:val="002D5C1E"/>
    <w:rsid w:val="002D5E80"/>
    <w:rsid w:val="002D73E6"/>
    <w:rsid w:val="002D7E84"/>
    <w:rsid w:val="002E0C09"/>
    <w:rsid w:val="002E1082"/>
    <w:rsid w:val="002E134E"/>
    <w:rsid w:val="002E134F"/>
    <w:rsid w:val="002E2158"/>
    <w:rsid w:val="002E239E"/>
    <w:rsid w:val="002E2561"/>
    <w:rsid w:val="002E2662"/>
    <w:rsid w:val="002E2819"/>
    <w:rsid w:val="002E2846"/>
    <w:rsid w:val="002E2C0D"/>
    <w:rsid w:val="002E333E"/>
    <w:rsid w:val="002E37BF"/>
    <w:rsid w:val="002E3B1F"/>
    <w:rsid w:val="002E3CB6"/>
    <w:rsid w:val="002E3EA9"/>
    <w:rsid w:val="002E4189"/>
    <w:rsid w:val="002E5F6E"/>
    <w:rsid w:val="002E7181"/>
    <w:rsid w:val="002E73AE"/>
    <w:rsid w:val="002E77AE"/>
    <w:rsid w:val="002F0BFB"/>
    <w:rsid w:val="002F1038"/>
    <w:rsid w:val="002F10CE"/>
    <w:rsid w:val="002F12C7"/>
    <w:rsid w:val="002F168A"/>
    <w:rsid w:val="002F1815"/>
    <w:rsid w:val="002F1A98"/>
    <w:rsid w:val="002F1D7D"/>
    <w:rsid w:val="002F2978"/>
    <w:rsid w:val="002F2B64"/>
    <w:rsid w:val="002F2DAA"/>
    <w:rsid w:val="002F3385"/>
    <w:rsid w:val="002F3D98"/>
    <w:rsid w:val="002F4067"/>
    <w:rsid w:val="002F41D7"/>
    <w:rsid w:val="002F42CA"/>
    <w:rsid w:val="002F43B1"/>
    <w:rsid w:val="002F4462"/>
    <w:rsid w:val="002F5807"/>
    <w:rsid w:val="002F58B8"/>
    <w:rsid w:val="002F665A"/>
    <w:rsid w:val="0030035C"/>
    <w:rsid w:val="003003C6"/>
    <w:rsid w:val="003004EC"/>
    <w:rsid w:val="00300BD7"/>
    <w:rsid w:val="00301221"/>
    <w:rsid w:val="00301937"/>
    <w:rsid w:val="003019A9"/>
    <w:rsid w:val="00302EFA"/>
    <w:rsid w:val="00302F55"/>
    <w:rsid w:val="00303726"/>
    <w:rsid w:val="00303D5A"/>
    <w:rsid w:val="00304F0C"/>
    <w:rsid w:val="003052E1"/>
    <w:rsid w:val="00305B52"/>
    <w:rsid w:val="003062DE"/>
    <w:rsid w:val="00306590"/>
    <w:rsid w:val="0030694F"/>
    <w:rsid w:val="00306FF2"/>
    <w:rsid w:val="003071D1"/>
    <w:rsid w:val="00307C45"/>
    <w:rsid w:val="00307E37"/>
    <w:rsid w:val="00310600"/>
    <w:rsid w:val="00310659"/>
    <w:rsid w:val="00310D87"/>
    <w:rsid w:val="00311127"/>
    <w:rsid w:val="003112C1"/>
    <w:rsid w:val="00311AFD"/>
    <w:rsid w:val="00312712"/>
    <w:rsid w:val="00312A28"/>
    <w:rsid w:val="0031302E"/>
    <w:rsid w:val="003130E2"/>
    <w:rsid w:val="003131F7"/>
    <w:rsid w:val="00313978"/>
    <w:rsid w:val="00313B82"/>
    <w:rsid w:val="00313F09"/>
    <w:rsid w:val="003144C8"/>
    <w:rsid w:val="003149BA"/>
    <w:rsid w:val="00315598"/>
    <w:rsid w:val="0031607E"/>
    <w:rsid w:val="00316467"/>
    <w:rsid w:val="003167F5"/>
    <w:rsid w:val="003173CE"/>
    <w:rsid w:val="00317677"/>
    <w:rsid w:val="00317CAD"/>
    <w:rsid w:val="00317D02"/>
    <w:rsid w:val="00320974"/>
    <w:rsid w:val="00320D27"/>
    <w:rsid w:val="00320D41"/>
    <w:rsid w:val="003217AC"/>
    <w:rsid w:val="00321D4F"/>
    <w:rsid w:val="003231DA"/>
    <w:rsid w:val="003234C7"/>
    <w:rsid w:val="003240BC"/>
    <w:rsid w:val="003243C6"/>
    <w:rsid w:val="003245B8"/>
    <w:rsid w:val="00325064"/>
    <w:rsid w:val="003255FF"/>
    <w:rsid w:val="00325847"/>
    <w:rsid w:val="00325BB5"/>
    <w:rsid w:val="00325EF3"/>
    <w:rsid w:val="00325FAC"/>
    <w:rsid w:val="0032652B"/>
    <w:rsid w:val="00326700"/>
    <w:rsid w:val="0032682E"/>
    <w:rsid w:val="00326C84"/>
    <w:rsid w:val="003271E7"/>
    <w:rsid w:val="003274C4"/>
    <w:rsid w:val="0032755B"/>
    <w:rsid w:val="00327ED7"/>
    <w:rsid w:val="003310FA"/>
    <w:rsid w:val="0033128B"/>
    <w:rsid w:val="003313F7"/>
    <w:rsid w:val="003314C6"/>
    <w:rsid w:val="00331717"/>
    <w:rsid w:val="00331AFB"/>
    <w:rsid w:val="00331DAA"/>
    <w:rsid w:val="003322EF"/>
    <w:rsid w:val="0033288F"/>
    <w:rsid w:val="003329B7"/>
    <w:rsid w:val="00332B13"/>
    <w:rsid w:val="00333C3E"/>
    <w:rsid w:val="00333CFB"/>
    <w:rsid w:val="00333D74"/>
    <w:rsid w:val="003345DE"/>
    <w:rsid w:val="00334AC6"/>
    <w:rsid w:val="0033521F"/>
    <w:rsid w:val="003353A5"/>
    <w:rsid w:val="0033642C"/>
    <w:rsid w:val="00336473"/>
    <w:rsid w:val="00336D81"/>
    <w:rsid w:val="00336E6A"/>
    <w:rsid w:val="003372B4"/>
    <w:rsid w:val="0033734D"/>
    <w:rsid w:val="0033753B"/>
    <w:rsid w:val="003376D1"/>
    <w:rsid w:val="00337EB1"/>
    <w:rsid w:val="00340953"/>
    <w:rsid w:val="00341298"/>
    <w:rsid w:val="003412FC"/>
    <w:rsid w:val="0034174C"/>
    <w:rsid w:val="00341E8D"/>
    <w:rsid w:val="00342ED1"/>
    <w:rsid w:val="003434F5"/>
    <w:rsid w:val="003448B3"/>
    <w:rsid w:val="00344A4B"/>
    <w:rsid w:val="00345490"/>
    <w:rsid w:val="00345CD4"/>
    <w:rsid w:val="003460E1"/>
    <w:rsid w:val="003462FD"/>
    <w:rsid w:val="00346774"/>
    <w:rsid w:val="003475A0"/>
    <w:rsid w:val="00347984"/>
    <w:rsid w:val="00347D7D"/>
    <w:rsid w:val="00347EF7"/>
    <w:rsid w:val="00347FEE"/>
    <w:rsid w:val="0035016C"/>
    <w:rsid w:val="003509CF"/>
    <w:rsid w:val="00350C72"/>
    <w:rsid w:val="00351C81"/>
    <w:rsid w:val="00351F0E"/>
    <w:rsid w:val="003521A1"/>
    <w:rsid w:val="003527CA"/>
    <w:rsid w:val="00352F56"/>
    <w:rsid w:val="003537BE"/>
    <w:rsid w:val="00353881"/>
    <w:rsid w:val="00353AA1"/>
    <w:rsid w:val="00353D2A"/>
    <w:rsid w:val="00353FBF"/>
    <w:rsid w:val="0035408F"/>
    <w:rsid w:val="00354560"/>
    <w:rsid w:val="003545BC"/>
    <w:rsid w:val="003546C8"/>
    <w:rsid w:val="003550B3"/>
    <w:rsid w:val="00355102"/>
    <w:rsid w:val="00355E32"/>
    <w:rsid w:val="00356270"/>
    <w:rsid w:val="003562F3"/>
    <w:rsid w:val="0035639F"/>
    <w:rsid w:val="0035670B"/>
    <w:rsid w:val="0035689F"/>
    <w:rsid w:val="00356A66"/>
    <w:rsid w:val="00356EE6"/>
    <w:rsid w:val="003602E8"/>
    <w:rsid w:val="0036066B"/>
    <w:rsid w:val="00360AB6"/>
    <w:rsid w:val="00360F61"/>
    <w:rsid w:val="0036149A"/>
    <w:rsid w:val="00361D94"/>
    <w:rsid w:val="00361FFB"/>
    <w:rsid w:val="00362603"/>
    <w:rsid w:val="00362A09"/>
    <w:rsid w:val="00362BC9"/>
    <w:rsid w:val="0036389E"/>
    <w:rsid w:val="003649E8"/>
    <w:rsid w:val="003650A0"/>
    <w:rsid w:val="003651EF"/>
    <w:rsid w:val="00365368"/>
    <w:rsid w:val="00366251"/>
    <w:rsid w:val="00366535"/>
    <w:rsid w:val="00366735"/>
    <w:rsid w:val="00366995"/>
    <w:rsid w:val="00366D21"/>
    <w:rsid w:val="00366DB5"/>
    <w:rsid w:val="00366E4C"/>
    <w:rsid w:val="00366F8E"/>
    <w:rsid w:val="0036733B"/>
    <w:rsid w:val="00367381"/>
    <w:rsid w:val="003674C0"/>
    <w:rsid w:val="00370067"/>
    <w:rsid w:val="003703E7"/>
    <w:rsid w:val="003711C6"/>
    <w:rsid w:val="003715BF"/>
    <w:rsid w:val="00371817"/>
    <w:rsid w:val="0037243A"/>
    <w:rsid w:val="00372502"/>
    <w:rsid w:val="003729A6"/>
    <w:rsid w:val="00373083"/>
    <w:rsid w:val="00373085"/>
    <w:rsid w:val="00373DBF"/>
    <w:rsid w:val="003746B6"/>
    <w:rsid w:val="00374CD1"/>
    <w:rsid w:val="003754CD"/>
    <w:rsid w:val="0037569F"/>
    <w:rsid w:val="00375DC3"/>
    <w:rsid w:val="00375ED0"/>
    <w:rsid w:val="00376461"/>
    <w:rsid w:val="00376FB2"/>
    <w:rsid w:val="003774CC"/>
    <w:rsid w:val="003776C2"/>
    <w:rsid w:val="003800D9"/>
    <w:rsid w:val="00380204"/>
    <w:rsid w:val="00380399"/>
    <w:rsid w:val="00380447"/>
    <w:rsid w:val="003807A2"/>
    <w:rsid w:val="00380ADB"/>
    <w:rsid w:val="003810D9"/>
    <w:rsid w:val="00381219"/>
    <w:rsid w:val="00381466"/>
    <w:rsid w:val="00381E33"/>
    <w:rsid w:val="00382939"/>
    <w:rsid w:val="00382A38"/>
    <w:rsid w:val="00383677"/>
    <w:rsid w:val="003837F4"/>
    <w:rsid w:val="00383A58"/>
    <w:rsid w:val="00383E45"/>
    <w:rsid w:val="00384394"/>
    <w:rsid w:val="00384C43"/>
    <w:rsid w:val="00384DBA"/>
    <w:rsid w:val="00384EBC"/>
    <w:rsid w:val="00385A3E"/>
    <w:rsid w:val="00385B5C"/>
    <w:rsid w:val="003866DC"/>
    <w:rsid w:val="00386EB3"/>
    <w:rsid w:val="00387001"/>
    <w:rsid w:val="0038747D"/>
    <w:rsid w:val="003876AF"/>
    <w:rsid w:val="003877E0"/>
    <w:rsid w:val="00387CB4"/>
    <w:rsid w:val="003900A0"/>
    <w:rsid w:val="00390393"/>
    <w:rsid w:val="003906DA"/>
    <w:rsid w:val="00390B95"/>
    <w:rsid w:val="00390C52"/>
    <w:rsid w:val="003912D2"/>
    <w:rsid w:val="00391471"/>
    <w:rsid w:val="003914AE"/>
    <w:rsid w:val="00391DF0"/>
    <w:rsid w:val="0039265F"/>
    <w:rsid w:val="003929B3"/>
    <w:rsid w:val="00392B77"/>
    <w:rsid w:val="00393989"/>
    <w:rsid w:val="003946DA"/>
    <w:rsid w:val="00394F7B"/>
    <w:rsid w:val="003958CF"/>
    <w:rsid w:val="003966A6"/>
    <w:rsid w:val="00396B6C"/>
    <w:rsid w:val="00397871"/>
    <w:rsid w:val="00397999"/>
    <w:rsid w:val="00397EEA"/>
    <w:rsid w:val="003A107A"/>
    <w:rsid w:val="003A17D4"/>
    <w:rsid w:val="003A1D3D"/>
    <w:rsid w:val="003A2740"/>
    <w:rsid w:val="003A2970"/>
    <w:rsid w:val="003A39B0"/>
    <w:rsid w:val="003A4421"/>
    <w:rsid w:val="003A5CDD"/>
    <w:rsid w:val="003A6586"/>
    <w:rsid w:val="003A690E"/>
    <w:rsid w:val="003A699B"/>
    <w:rsid w:val="003A6A0C"/>
    <w:rsid w:val="003A6C92"/>
    <w:rsid w:val="003A70C9"/>
    <w:rsid w:val="003A7B00"/>
    <w:rsid w:val="003A7B5A"/>
    <w:rsid w:val="003A7D22"/>
    <w:rsid w:val="003A7EF9"/>
    <w:rsid w:val="003A7FAF"/>
    <w:rsid w:val="003B02F7"/>
    <w:rsid w:val="003B0391"/>
    <w:rsid w:val="003B062A"/>
    <w:rsid w:val="003B0CEA"/>
    <w:rsid w:val="003B1C1C"/>
    <w:rsid w:val="003B2FF6"/>
    <w:rsid w:val="003B3225"/>
    <w:rsid w:val="003B5206"/>
    <w:rsid w:val="003B584A"/>
    <w:rsid w:val="003B5FC1"/>
    <w:rsid w:val="003B6670"/>
    <w:rsid w:val="003C000D"/>
    <w:rsid w:val="003C0076"/>
    <w:rsid w:val="003C0A99"/>
    <w:rsid w:val="003C0B33"/>
    <w:rsid w:val="003C0BBD"/>
    <w:rsid w:val="003C0C73"/>
    <w:rsid w:val="003C1521"/>
    <w:rsid w:val="003C2A12"/>
    <w:rsid w:val="003C3B19"/>
    <w:rsid w:val="003C464B"/>
    <w:rsid w:val="003C4AE5"/>
    <w:rsid w:val="003C59DC"/>
    <w:rsid w:val="003C5E1D"/>
    <w:rsid w:val="003C723B"/>
    <w:rsid w:val="003C7447"/>
    <w:rsid w:val="003C788E"/>
    <w:rsid w:val="003D08F1"/>
    <w:rsid w:val="003D0BC3"/>
    <w:rsid w:val="003D1AD9"/>
    <w:rsid w:val="003D1E83"/>
    <w:rsid w:val="003D27AF"/>
    <w:rsid w:val="003D2965"/>
    <w:rsid w:val="003D2CF1"/>
    <w:rsid w:val="003D342B"/>
    <w:rsid w:val="003D3C0C"/>
    <w:rsid w:val="003D406A"/>
    <w:rsid w:val="003D41EA"/>
    <w:rsid w:val="003D423A"/>
    <w:rsid w:val="003D49B3"/>
    <w:rsid w:val="003D4D21"/>
    <w:rsid w:val="003D513D"/>
    <w:rsid w:val="003D5249"/>
    <w:rsid w:val="003D52B7"/>
    <w:rsid w:val="003D5ACA"/>
    <w:rsid w:val="003D5CEF"/>
    <w:rsid w:val="003D604D"/>
    <w:rsid w:val="003D6673"/>
    <w:rsid w:val="003D690E"/>
    <w:rsid w:val="003D7104"/>
    <w:rsid w:val="003D7E5B"/>
    <w:rsid w:val="003E0423"/>
    <w:rsid w:val="003E0764"/>
    <w:rsid w:val="003E094F"/>
    <w:rsid w:val="003E1AA8"/>
    <w:rsid w:val="003E267D"/>
    <w:rsid w:val="003E2A91"/>
    <w:rsid w:val="003E373D"/>
    <w:rsid w:val="003E377E"/>
    <w:rsid w:val="003E3FD8"/>
    <w:rsid w:val="003E43EE"/>
    <w:rsid w:val="003E4544"/>
    <w:rsid w:val="003E4FFD"/>
    <w:rsid w:val="003E5726"/>
    <w:rsid w:val="003E58E0"/>
    <w:rsid w:val="003E6145"/>
    <w:rsid w:val="003E6831"/>
    <w:rsid w:val="003E70D4"/>
    <w:rsid w:val="003E795F"/>
    <w:rsid w:val="003E7A36"/>
    <w:rsid w:val="003E7ADD"/>
    <w:rsid w:val="003F07A4"/>
    <w:rsid w:val="003F082C"/>
    <w:rsid w:val="003F09A7"/>
    <w:rsid w:val="003F0B59"/>
    <w:rsid w:val="003F1436"/>
    <w:rsid w:val="003F15EA"/>
    <w:rsid w:val="003F1839"/>
    <w:rsid w:val="003F2A47"/>
    <w:rsid w:val="003F3407"/>
    <w:rsid w:val="003F35EF"/>
    <w:rsid w:val="003F38F5"/>
    <w:rsid w:val="003F4A15"/>
    <w:rsid w:val="003F4D79"/>
    <w:rsid w:val="003F5057"/>
    <w:rsid w:val="003F5074"/>
    <w:rsid w:val="003F518D"/>
    <w:rsid w:val="003F5634"/>
    <w:rsid w:val="003F5649"/>
    <w:rsid w:val="003F6265"/>
    <w:rsid w:val="003F6500"/>
    <w:rsid w:val="003F6B79"/>
    <w:rsid w:val="003F6CEC"/>
    <w:rsid w:val="003F6F03"/>
    <w:rsid w:val="003F73AA"/>
    <w:rsid w:val="003F73D5"/>
    <w:rsid w:val="003F73F0"/>
    <w:rsid w:val="003F7627"/>
    <w:rsid w:val="003F78D3"/>
    <w:rsid w:val="003F7A0A"/>
    <w:rsid w:val="0040090A"/>
    <w:rsid w:val="00400E57"/>
    <w:rsid w:val="0040194C"/>
    <w:rsid w:val="004019F6"/>
    <w:rsid w:val="00401A4C"/>
    <w:rsid w:val="00401B7D"/>
    <w:rsid w:val="00401ECF"/>
    <w:rsid w:val="00402281"/>
    <w:rsid w:val="004029EB"/>
    <w:rsid w:val="00403D1B"/>
    <w:rsid w:val="00403E31"/>
    <w:rsid w:val="00403F00"/>
    <w:rsid w:val="00404744"/>
    <w:rsid w:val="00404E22"/>
    <w:rsid w:val="004057AE"/>
    <w:rsid w:val="00405EDE"/>
    <w:rsid w:val="0040607E"/>
    <w:rsid w:val="0040612C"/>
    <w:rsid w:val="00406628"/>
    <w:rsid w:val="004067DD"/>
    <w:rsid w:val="00406989"/>
    <w:rsid w:val="00406F96"/>
    <w:rsid w:val="0040736D"/>
    <w:rsid w:val="00407D80"/>
    <w:rsid w:val="00407FE5"/>
    <w:rsid w:val="00410A37"/>
    <w:rsid w:val="00411286"/>
    <w:rsid w:val="0041151F"/>
    <w:rsid w:val="004115E4"/>
    <w:rsid w:val="0041194F"/>
    <w:rsid w:val="00411A75"/>
    <w:rsid w:val="004121A3"/>
    <w:rsid w:val="0041229E"/>
    <w:rsid w:val="004129CF"/>
    <w:rsid w:val="00412AC1"/>
    <w:rsid w:val="004135C7"/>
    <w:rsid w:val="004138BD"/>
    <w:rsid w:val="00413BAB"/>
    <w:rsid w:val="004148CD"/>
    <w:rsid w:val="00415536"/>
    <w:rsid w:val="004162E7"/>
    <w:rsid w:val="00416B06"/>
    <w:rsid w:val="00416D54"/>
    <w:rsid w:val="0041787D"/>
    <w:rsid w:val="0042039D"/>
    <w:rsid w:val="004203BB"/>
    <w:rsid w:val="004211EE"/>
    <w:rsid w:val="00421415"/>
    <w:rsid w:val="004215CB"/>
    <w:rsid w:val="0042188F"/>
    <w:rsid w:val="00421BC5"/>
    <w:rsid w:val="00421D49"/>
    <w:rsid w:val="00421E32"/>
    <w:rsid w:val="004220DD"/>
    <w:rsid w:val="00422702"/>
    <w:rsid w:val="00422A59"/>
    <w:rsid w:val="004231C9"/>
    <w:rsid w:val="0042374F"/>
    <w:rsid w:val="004239F8"/>
    <w:rsid w:val="00423BAB"/>
    <w:rsid w:val="00423ED1"/>
    <w:rsid w:val="00425566"/>
    <w:rsid w:val="00425580"/>
    <w:rsid w:val="00425F88"/>
    <w:rsid w:val="00426B38"/>
    <w:rsid w:val="004276F1"/>
    <w:rsid w:val="0042783E"/>
    <w:rsid w:val="00427E7C"/>
    <w:rsid w:val="00430043"/>
    <w:rsid w:val="004308D6"/>
    <w:rsid w:val="0043096E"/>
    <w:rsid w:val="00431211"/>
    <w:rsid w:val="00431377"/>
    <w:rsid w:val="00431830"/>
    <w:rsid w:val="00431CF9"/>
    <w:rsid w:val="004324CC"/>
    <w:rsid w:val="00432A3C"/>
    <w:rsid w:val="00432A95"/>
    <w:rsid w:val="00432BAC"/>
    <w:rsid w:val="00432CA8"/>
    <w:rsid w:val="00432CC5"/>
    <w:rsid w:val="0043329C"/>
    <w:rsid w:val="0043409C"/>
    <w:rsid w:val="00434C29"/>
    <w:rsid w:val="00434F8B"/>
    <w:rsid w:val="00435A69"/>
    <w:rsid w:val="00435B8F"/>
    <w:rsid w:val="0043700A"/>
    <w:rsid w:val="004373DD"/>
    <w:rsid w:val="004377FF"/>
    <w:rsid w:val="004400E3"/>
    <w:rsid w:val="004401A4"/>
    <w:rsid w:val="00440A84"/>
    <w:rsid w:val="004411C8"/>
    <w:rsid w:val="00442FB2"/>
    <w:rsid w:val="0044326B"/>
    <w:rsid w:val="00443350"/>
    <w:rsid w:val="00443A70"/>
    <w:rsid w:val="00443C21"/>
    <w:rsid w:val="00443EB3"/>
    <w:rsid w:val="00443F34"/>
    <w:rsid w:val="0044416E"/>
    <w:rsid w:val="004448A8"/>
    <w:rsid w:val="0044492C"/>
    <w:rsid w:val="00444E3F"/>
    <w:rsid w:val="00445910"/>
    <w:rsid w:val="004459F1"/>
    <w:rsid w:val="0044636A"/>
    <w:rsid w:val="00446967"/>
    <w:rsid w:val="00447858"/>
    <w:rsid w:val="004507F3"/>
    <w:rsid w:val="0045117B"/>
    <w:rsid w:val="0045134C"/>
    <w:rsid w:val="0045138F"/>
    <w:rsid w:val="00451A97"/>
    <w:rsid w:val="00451BC9"/>
    <w:rsid w:val="004526FF"/>
    <w:rsid w:val="00452CC1"/>
    <w:rsid w:val="0045341A"/>
    <w:rsid w:val="00453A12"/>
    <w:rsid w:val="00453AC0"/>
    <w:rsid w:val="00453B2E"/>
    <w:rsid w:val="00453BAB"/>
    <w:rsid w:val="0045422E"/>
    <w:rsid w:val="0045451E"/>
    <w:rsid w:val="004547BE"/>
    <w:rsid w:val="00454862"/>
    <w:rsid w:val="00454B1E"/>
    <w:rsid w:val="00455A9F"/>
    <w:rsid w:val="00455F1A"/>
    <w:rsid w:val="0045623B"/>
    <w:rsid w:val="004562E9"/>
    <w:rsid w:val="0045653F"/>
    <w:rsid w:val="00456C48"/>
    <w:rsid w:val="00456E06"/>
    <w:rsid w:val="00456F45"/>
    <w:rsid w:val="0045703A"/>
    <w:rsid w:val="00457900"/>
    <w:rsid w:val="00457AF7"/>
    <w:rsid w:val="00457E7A"/>
    <w:rsid w:val="004601E1"/>
    <w:rsid w:val="004602C8"/>
    <w:rsid w:val="004602D9"/>
    <w:rsid w:val="004604D5"/>
    <w:rsid w:val="00460942"/>
    <w:rsid w:val="00461133"/>
    <w:rsid w:val="00461394"/>
    <w:rsid w:val="004614EB"/>
    <w:rsid w:val="00461628"/>
    <w:rsid w:val="00461C2C"/>
    <w:rsid w:val="004625F0"/>
    <w:rsid w:val="0046398B"/>
    <w:rsid w:val="00463AD0"/>
    <w:rsid w:val="0046444A"/>
    <w:rsid w:val="00464A1B"/>
    <w:rsid w:val="00464B0E"/>
    <w:rsid w:val="004655C6"/>
    <w:rsid w:val="00465800"/>
    <w:rsid w:val="00465F20"/>
    <w:rsid w:val="004663DA"/>
    <w:rsid w:val="0046688B"/>
    <w:rsid w:val="0046762D"/>
    <w:rsid w:val="00470433"/>
    <w:rsid w:val="00470B4C"/>
    <w:rsid w:val="00472316"/>
    <w:rsid w:val="004725F4"/>
    <w:rsid w:val="004726AE"/>
    <w:rsid w:val="00472784"/>
    <w:rsid w:val="004728DB"/>
    <w:rsid w:val="004733C1"/>
    <w:rsid w:val="00473550"/>
    <w:rsid w:val="00473653"/>
    <w:rsid w:val="00473C50"/>
    <w:rsid w:val="00473E04"/>
    <w:rsid w:val="00474447"/>
    <w:rsid w:val="00474507"/>
    <w:rsid w:val="0047501B"/>
    <w:rsid w:val="004753A9"/>
    <w:rsid w:val="0047550B"/>
    <w:rsid w:val="004758B4"/>
    <w:rsid w:val="0047599E"/>
    <w:rsid w:val="00476137"/>
    <w:rsid w:val="00476C86"/>
    <w:rsid w:val="00477289"/>
    <w:rsid w:val="004772D1"/>
    <w:rsid w:val="00477C04"/>
    <w:rsid w:val="00480708"/>
    <w:rsid w:val="004807CB"/>
    <w:rsid w:val="00480C46"/>
    <w:rsid w:val="00480F59"/>
    <w:rsid w:val="00481021"/>
    <w:rsid w:val="00481925"/>
    <w:rsid w:val="0048207A"/>
    <w:rsid w:val="004820F5"/>
    <w:rsid w:val="0048294C"/>
    <w:rsid w:val="00482AAD"/>
    <w:rsid w:val="0048304F"/>
    <w:rsid w:val="0048348F"/>
    <w:rsid w:val="00483C09"/>
    <w:rsid w:val="00483C52"/>
    <w:rsid w:val="004842DE"/>
    <w:rsid w:val="0048445E"/>
    <w:rsid w:val="00484A4B"/>
    <w:rsid w:val="0048579A"/>
    <w:rsid w:val="0048581C"/>
    <w:rsid w:val="00486080"/>
    <w:rsid w:val="0048653C"/>
    <w:rsid w:val="00486592"/>
    <w:rsid w:val="00486B8E"/>
    <w:rsid w:val="00486BB9"/>
    <w:rsid w:val="00487315"/>
    <w:rsid w:val="00487799"/>
    <w:rsid w:val="00487BEC"/>
    <w:rsid w:val="00487D41"/>
    <w:rsid w:val="00490C43"/>
    <w:rsid w:val="00491673"/>
    <w:rsid w:val="004919AA"/>
    <w:rsid w:val="00491EBC"/>
    <w:rsid w:val="00492971"/>
    <w:rsid w:val="00493190"/>
    <w:rsid w:val="0049328F"/>
    <w:rsid w:val="0049341C"/>
    <w:rsid w:val="004937D1"/>
    <w:rsid w:val="004940A0"/>
    <w:rsid w:val="00494375"/>
    <w:rsid w:val="00494A90"/>
    <w:rsid w:val="00494A94"/>
    <w:rsid w:val="00494D9F"/>
    <w:rsid w:val="00494FB9"/>
    <w:rsid w:val="0049521E"/>
    <w:rsid w:val="00495BB3"/>
    <w:rsid w:val="00496A7F"/>
    <w:rsid w:val="004973A8"/>
    <w:rsid w:val="00497779"/>
    <w:rsid w:val="0049797A"/>
    <w:rsid w:val="00497E07"/>
    <w:rsid w:val="004A0A0A"/>
    <w:rsid w:val="004A0C56"/>
    <w:rsid w:val="004A1157"/>
    <w:rsid w:val="004A1797"/>
    <w:rsid w:val="004A1E21"/>
    <w:rsid w:val="004A1FC8"/>
    <w:rsid w:val="004A23CA"/>
    <w:rsid w:val="004A2ACB"/>
    <w:rsid w:val="004A3438"/>
    <w:rsid w:val="004A494A"/>
    <w:rsid w:val="004A4B47"/>
    <w:rsid w:val="004A4CB7"/>
    <w:rsid w:val="004A6390"/>
    <w:rsid w:val="004A656F"/>
    <w:rsid w:val="004A6BBA"/>
    <w:rsid w:val="004A6EFE"/>
    <w:rsid w:val="004A75A1"/>
    <w:rsid w:val="004A7D39"/>
    <w:rsid w:val="004AD9B6"/>
    <w:rsid w:val="004B046D"/>
    <w:rsid w:val="004B062D"/>
    <w:rsid w:val="004B1379"/>
    <w:rsid w:val="004B18F9"/>
    <w:rsid w:val="004B1982"/>
    <w:rsid w:val="004B1B3B"/>
    <w:rsid w:val="004B1D42"/>
    <w:rsid w:val="004B26DD"/>
    <w:rsid w:val="004B2D2B"/>
    <w:rsid w:val="004B2E37"/>
    <w:rsid w:val="004B4541"/>
    <w:rsid w:val="004B4843"/>
    <w:rsid w:val="004B5588"/>
    <w:rsid w:val="004B60AE"/>
    <w:rsid w:val="004B61D1"/>
    <w:rsid w:val="004B6280"/>
    <w:rsid w:val="004B6FC0"/>
    <w:rsid w:val="004B7A1A"/>
    <w:rsid w:val="004C0361"/>
    <w:rsid w:val="004C0469"/>
    <w:rsid w:val="004C04E3"/>
    <w:rsid w:val="004C064F"/>
    <w:rsid w:val="004C0843"/>
    <w:rsid w:val="004C0973"/>
    <w:rsid w:val="004C0C55"/>
    <w:rsid w:val="004C12B2"/>
    <w:rsid w:val="004C157D"/>
    <w:rsid w:val="004C163C"/>
    <w:rsid w:val="004C1F1F"/>
    <w:rsid w:val="004C2047"/>
    <w:rsid w:val="004C23A9"/>
    <w:rsid w:val="004C2631"/>
    <w:rsid w:val="004C270B"/>
    <w:rsid w:val="004C284E"/>
    <w:rsid w:val="004C41FE"/>
    <w:rsid w:val="004C47D9"/>
    <w:rsid w:val="004C4A97"/>
    <w:rsid w:val="004C5549"/>
    <w:rsid w:val="004C6724"/>
    <w:rsid w:val="004C6D67"/>
    <w:rsid w:val="004C754D"/>
    <w:rsid w:val="004C7B5D"/>
    <w:rsid w:val="004C7DFF"/>
    <w:rsid w:val="004C7F30"/>
    <w:rsid w:val="004D004A"/>
    <w:rsid w:val="004D01B8"/>
    <w:rsid w:val="004D01E5"/>
    <w:rsid w:val="004D0591"/>
    <w:rsid w:val="004D0CF4"/>
    <w:rsid w:val="004D1AE6"/>
    <w:rsid w:val="004D1D09"/>
    <w:rsid w:val="004D1D5A"/>
    <w:rsid w:val="004D1E8F"/>
    <w:rsid w:val="004D2368"/>
    <w:rsid w:val="004D239B"/>
    <w:rsid w:val="004D253D"/>
    <w:rsid w:val="004D2A3D"/>
    <w:rsid w:val="004D3DE9"/>
    <w:rsid w:val="004D42A3"/>
    <w:rsid w:val="004D4C1A"/>
    <w:rsid w:val="004D5D86"/>
    <w:rsid w:val="004D60D6"/>
    <w:rsid w:val="004D67DB"/>
    <w:rsid w:val="004D779B"/>
    <w:rsid w:val="004D7802"/>
    <w:rsid w:val="004D7948"/>
    <w:rsid w:val="004E0288"/>
    <w:rsid w:val="004E06BE"/>
    <w:rsid w:val="004E1E5D"/>
    <w:rsid w:val="004E2022"/>
    <w:rsid w:val="004E29FB"/>
    <w:rsid w:val="004E2D07"/>
    <w:rsid w:val="004E2E76"/>
    <w:rsid w:val="004E3FF0"/>
    <w:rsid w:val="004E4442"/>
    <w:rsid w:val="004E46D1"/>
    <w:rsid w:val="004E4C10"/>
    <w:rsid w:val="004E4E3C"/>
    <w:rsid w:val="004E4E9D"/>
    <w:rsid w:val="004E53A5"/>
    <w:rsid w:val="004E5F75"/>
    <w:rsid w:val="004E663F"/>
    <w:rsid w:val="004E6D87"/>
    <w:rsid w:val="004E6DEB"/>
    <w:rsid w:val="004E741D"/>
    <w:rsid w:val="004E7F5B"/>
    <w:rsid w:val="004F0156"/>
    <w:rsid w:val="004F064C"/>
    <w:rsid w:val="004F084C"/>
    <w:rsid w:val="004F0C23"/>
    <w:rsid w:val="004F174A"/>
    <w:rsid w:val="004F17D7"/>
    <w:rsid w:val="004F1810"/>
    <w:rsid w:val="004F20CD"/>
    <w:rsid w:val="004F2765"/>
    <w:rsid w:val="004F37B9"/>
    <w:rsid w:val="004F37E4"/>
    <w:rsid w:val="004F3FD8"/>
    <w:rsid w:val="004F4D6C"/>
    <w:rsid w:val="004F5746"/>
    <w:rsid w:val="004F58A6"/>
    <w:rsid w:val="004F5C10"/>
    <w:rsid w:val="004F5F2A"/>
    <w:rsid w:val="004F6642"/>
    <w:rsid w:val="004F6705"/>
    <w:rsid w:val="004F6E37"/>
    <w:rsid w:val="004F743F"/>
    <w:rsid w:val="004F7B4B"/>
    <w:rsid w:val="005000D7"/>
    <w:rsid w:val="005008E1"/>
    <w:rsid w:val="005009A9"/>
    <w:rsid w:val="00500E2B"/>
    <w:rsid w:val="00502F1C"/>
    <w:rsid w:val="005034DF"/>
    <w:rsid w:val="00504D1C"/>
    <w:rsid w:val="00505600"/>
    <w:rsid w:val="00505E28"/>
    <w:rsid w:val="00505F80"/>
    <w:rsid w:val="005065B1"/>
    <w:rsid w:val="00506688"/>
    <w:rsid w:val="00506AF6"/>
    <w:rsid w:val="00506F28"/>
    <w:rsid w:val="005074B9"/>
    <w:rsid w:val="00507680"/>
    <w:rsid w:val="0051020E"/>
    <w:rsid w:val="00510266"/>
    <w:rsid w:val="00510E8B"/>
    <w:rsid w:val="0051104C"/>
    <w:rsid w:val="00511121"/>
    <w:rsid w:val="005119C9"/>
    <w:rsid w:val="00511AD8"/>
    <w:rsid w:val="005122A6"/>
    <w:rsid w:val="005122A7"/>
    <w:rsid w:val="00512BCA"/>
    <w:rsid w:val="00512D12"/>
    <w:rsid w:val="00512D72"/>
    <w:rsid w:val="0051320D"/>
    <w:rsid w:val="00513771"/>
    <w:rsid w:val="0051399D"/>
    <w:rsid w:val="00513E28"/>
    <w:rsid w:val="00514762"/>
    <w:rsid w:val="00514F51"/>
    <w:rsid w:val="00515991"/>
    <w:rsid w:val="00515AC1"/>
    <w:rsid w:val="00515BD8"/>
    <w:rsid w:val="00515FDF"/>
    <w:rsid w:val="005160EF"/>
    <w:rsid w:val="005174B1"/>
    <w:rsid w:val="005175AC"/>
    <w:rsid w:val="00520455"/>
    <w:rsid w:val="005207F0"/>
    <w:rsid w:val="00520AF1"/>
    <w:rsid w:val="00520C6A"/>
    <w:rsid w:val="00520E61"/>
    <w:rsid w:val="00520EA0"/>
    <w:rsid w:val="00521CEE"/>
    <w:rsid w:val="00522228"/>
    <w:rsid w:val="00522B03"/>
    <w:rsid w:val="00522B0D"/>
    <w:rsid w:val="00522C98"/>
    <w:rsid w:val="00523D64"/>
    <w:rsid w:val="00523DB9"/>
    <w:rsid w:val="00523EB4"/>
    <w:rsid w:val="00523FCC"/>
    <w:rsid w:val="005240E2"/>
    <w:rsid w:val="0052468F"/>
    <w:rsid w:val="0052490C"/>
    <w:rsid w:val="0052494A"/>
    <w:rsid w:val="005253A9"/>
    <w:rsid w:val="005259F0"/>
    <w:rsid w:val="00525D98"/>
    <w:rsid w:val="00526688"/>
    <w:rsid w:val="005302B2"/>
    <w:rsid w:val="00530E76"/>
    <w:rsid w:val="0053115A"/>
    <w:rsid w:val="0053139F"/>
    <w:rsid w:val="00531DB0"/>
    <w:rsid w:val="00532038"/>
    <w:rsid w:val="0053208C"/>
    <w:rsid w:val="00532345"/>
    <w:rsid w:val="0053308E"/>
    <w:rsid w:val="005336B6"/>
    <w:rsid w:val="00533BE5"/>
    <w:rsid w:val="00533CC5"/>
    <w:rsid w:val="005342FC"/>
    <w:rsid w:val="00534525"/>
    <w:rsid w:val="0053467A"/>
    <w:rsid w:val="00535527"/>
    <w:rsid w:val="00536D8B"/>
    <w:rsid w:val="00536DB3"/>
    <w:rsid w:val="00536EF3"/>
    <w:rsid w:val="00537007"/>
    <w:rsid w:val="005370FA"/>
    <w:rsid w:val="00537E7D"/>
    <w:rsid w:val="00540710"/>
    <w:rsid w:val="00540741"/>
    <w:rsid w:val="00540AF2"/>
    <w:rsid w:val="00540B74"/>
    <w:rsid w:val="00541666"/>
    <w:rsid w:val="005417E2"/>
    <w:rsid w:val="0054226A"/>
    <w:rsid w:val="005429A8"/>
    <w:rsid w:val="00542E17"/>
    <w:rsid w:val="00543A08"/>
    <w:rsid w:val="00543B16"/>
    <w:rsid w:val="00543DE8"/>
    <w:rsid w:val="005440AC"/>
    <w:rsid w:val="0054470A"/>
    <w:rsid w:val="00544E9B"/>
    <w:rsid w:val="00545148"/>
    <w:rsid w:val="00545457"/>
    <w:rsid w:val="00546087"/>
    <w:rsid w:val="00546097"/>
    <w:rsid w:val="00546C8C"/>
    <w:rsid w:val="00546D8F"/>
    <w:rsid w:val="00547109"/>
    <w:rsid w:val="00547CFC"/>
    <w:rsid w:val="00551372"/>
    <w:rsid w:val="00551A2A"/>
    <w:rsid w:val="00551BA2"/>
    <w:rsid w:val="00551D7D"/>
    <w:rsid w:val="00552666"/>
    <w:rsid w:val="00552D93"/>
    <w:rsid w:val="0055390E"/>
    <w:rsid w:val="00553992"/>
    <w:rsid w:val="00553F0F"/>
    <w:rsid w:val="005543EB"/>
    <w:rsid w:val="00554AE5"/>
    <w:rsid w:val="00555191"/>
    <w:rsid w:val="0055551A"/>
    <w:rsid w:val="00555906"/>
    <w:rsid w:val="005565F9"/>
    <w:rsid w:val="005566B9"/>
    <w:rsid w:val="00556700"/>
    <w:rsid w:val="00556AD0"/>
    <w:rsid w:val="005575B9"/>
    <w:rsid w:val="0055779C"/>
    <w:rsid w:val="00557B30"/>
    <w:rsid w:val="00560055"/>
    <w:rsid w:val="00560194"/>
    <w:rsid w:val="00560BB4"/>
    <w:rsid w:val="00560CC9"/>
    <w:rsid w:val="00560E12"/>
    <w:rsid w:val="0056112D"/>
    <w:rsid w:val="0056120F"/>
    <w:rsid w:val="005616EF"/>
    <w:rsid w:val="00562ACF"/>
    <w:rsid w:val="005631AF"/>
    <w:rsid w:val="00563741"/>
    <w:rsid w:val="00563D62"/>
    <w:rsid w:val="00564149"/>
    <w:rsid w:val="00564F98"/>
    <w:rsid w:val="0056583C"/>
    <w:rsid w:val="00566112"/>
    <w:rsid w:val="00566BC7"/>
    <w:rsid w:val="00566F4F"/>
    <w:rsid w:val="005671E0"/>
    <w:rsid w:val="00567210"/>
    <w:rsid w:val="00567561"/>
    <w:rsid w:val="00567C54"/>
    <w:rsid w:val="00567E49"/>
    <w:rsid w:val="0057047F"/>
    <w:rsid w:val="005706AE"/>
    <w:rsid w:val="005710E1"/>
    <w:rsid w:val="00571BFC"/>
    <w:rsid w:val="00571C3F"/>
    <w:rsid w:val="00572003"/>
    <w:rsid w:val="0057254E"/>
    <w:rsid w:val="00572703"/>
    <w:rsid w:val="00573493"/>
    <w:rsid w:val="00573B1F"/>
    <w:rsid w:val="00574628"/>
    <w:rsid w:val="00574B1E"/>
    <w:rsid w:val="0057565E"/>
    <w:rsid w:val="005758B2"/>
    <w:rsid w:val="00575DED"/>
    <w:rsid w:val="00576230"/>
    <w:rsid w:val="005767FE"/>
    <w:rsid w:val="005769C8"/>
    <w:rsid w:val="00576BE5"/>
    <w:rsid w:val="00576F24"/>
    <w:rsid w:val="0057784F"/>
    <w:rsid w:val="00577BBC"/>
    <w:rsid w:val="005804A7"/>
    <w:rsid w:val="005804F8"/>
    <w:rsid w:val="00580959"/>
    <w:rsid w:val="005809BC"/>
    <w:rsid w:val="005809C8"/>
    <w:rsid w:val="00580C4A"/>
    <w:rsid w:val="0058110D"/>
    <w:rsid w:val="00581195"/>
    <w:rsid w:val="005813F4"/>
    <w:rsid w:val="0058143F"/>
    <w:rsid w:val="0058180D"/>
    <w:rsid w:val="0058196A"/>
    <w:rsid w:val="00582F0C"/>
    <w:rsid w:val="00582FB1"/>
    <w:rsid w:val="0058367E"/>
    <w:rsid w:val="00583C30"/>
    <w:rsid w:val="005846BF"/>
    <w:rsid w:val="005848CA"/>
    <w:rsid w:val="00584A36"/>
    <w:rsid w:val="00584E3D"/>
    <w:rsid w:val="00584FCF"/>
    <w:rsid w:val="00585AA9"/>
    <w:rsid w:val="00586345"/>
    <w:rsid w:val="00586956"/>
    <w:rsid w:val="00586A52"/>
    <w:rsid w:val="00586AFC"/>
    <w:rsid w:val="00586DB0"/>
    <w:rsid w:val="0058706C"/>
    <w:rsid w:val="005873BF"/>
    <w:rsid w:val="00587D0C"/>
    <w:rsid w:val="005904FE"/>
    <w:rsid w:val="00590DF6"/>
    <w:rsid w:val="00590FC4"/>
    <w:rsid w:val="005919A7"/>
    <w:rsid w:val="00592102"/>
    <w:rsid w:val="00592B26"/>
    <w:rsid w:val="00592C08"/>
    <w:rsid w:val="00592E09"/>
    <w:rsid w:val="00593AE2"/>
    <w:rsid w:val="005953B2"/>
    <w:rsid w:val="0059543A"/>
    <w:rsid w:val="00595763"/>
    <w:rsid w:val="00596097"/>
    <w:rsid w:val="00596FBF"/>
    <w:rsid w:val="00596FE0"/>
    <w:rsid w:val="0059748E"/>
    <w:rsid w:val="00597B5A"/>
    <w:rsid w:val="005A005A"/>
    <w:rsid w:val="005A020A"/>
    <w:rsid w:val="005A05C5"/>
    <w:rsid w:val="005A0DE4"/>
    <w:rsid w:val="005A12F2"/>
    <w:rsid w:val="005A17D1"/>
    <w:rsid w:val="005A2176"/>
    <w:rsid w:val="005A2767"/>
    <w:rsid w:val="005A28B1"/>
    <w:rsid w:val="005A316D"/>
    <w:rsid w:val="005A3517"/>
    <w:rsid w:val="005A463F"/>
    <w:rsid w:val="005A4682"/>
    <w:rsid w:val="005A4DB7"/>
    <w:rsid w:val="005A5635"/>
    <w:rsid w:val="005A568E"/>
    <w:rsid w:val="005A5732"/>
    <w:rsid w:val="005A58BC"/>
    <w:rsid w:val="005A61A3"/>
    <w:rsid w:val="005A76A3"/>
    <w:rsid w:val="005A7E7D"/>
    <w:rsid w:val="005B0473"/>
    <w:rsid w:val="005B0BD9"/>
    <w:rsid w:val="005B0D7E"/>
    <w:rsid w:val="005B18D7"/>
    <w:rsid w:val="005B190B"/>
    <w:rsid w:val="005B1C0C"/>
    <w:rsid w:val="005B2934"/>
    <w:rsid w:val="005B36D6"/>
    <w:rsid w:val="005B3894"/>
    <w:rsid w:val="005B486C"/>
    <w:rsid w:val="005B5915"/>
    <w:rsid w:val="005B616E"/>
    <w:rsid w:val="005B6205"/>
    <w:rsid w:val="005B64E7"/>
    <w:rsid w:val="005B661B"/>
    <w:rsid w:val="005B6BDB"/>
    <w:rsid w:val="005B76B5"/>
    <w:rsid w:val="005B7A83"/>
    <w:rsid w:val="005B7F3A"/>
    <w:rsid w:val="005B7F50"/>
    <w:rsid w:val="005C031B"/>
    <w:rsid w:val="005C04E9"/>
    <w:rsid w:val="005C06C5"/>
    <w:rsid w:val="005C0A13"/>
    <w:rsid w:val="005C0D3A"/>
    <w:rsid w:val="005C0EC8"/>
    <w:rsid w:val="005C2A61"/>
    <w:rsid w:val="005C2B04"/>
    <w:rsid w:val="005C2C84"/>
    <w:rsid w:val="005C2DCE"/>
    <w:rsid w:val="005C3673"/>
    <w:rsid w:val="005C3726"/>
    <w:rsid w:val="005C3D9E"/>
    <w:rsid w:val="005C3F1A"/>
    <w:rsid w:val="005C49E0"/>
    <w:rsid w:val="005C4AC7"/>
    <w:rsid w:val="005C5654"/>
    <w:rsid w:val="005C5A7A"/>
    <w:rsid w:val="005C5B27"/>
    <w:rsid w:val="005C5D3C"/>
    <w:rsid w:val="005C5F08"/>
    <w:rsid w:val="005C5FFA"/>
    <w:rsid w:val="005C6D3D"/>
    <w:rsid w:val="005C75D0"/>
    <w:rsid w:val="005D0111"/>
    <w:rsid w:val="005D04EA"/>
    <w:rsid w:val="005D059F"/>
    <w:rsid w:val="005D0647"/>
    <w:rsid w:val="005D0A41"/>
    <w:rsid w:val="005D0F29"/>
    <w:rsid w:val="005D0F78"/>
    <w:rsid w:val="005D1D80"/>
    <w:rsid w:val="005D2641"/>
    <w:rsid w:val="005D285C"/>
    <w:rsid w:val="005D2C0E"/>
    <w:rsid w:val="005D2E1C"/>
    <w:rsid w:val="005D2E7D"/>
    <w:rsid w:val="005D31A9"/>
    <w:rsid w:val="005D3C6A"/>
    <w:rsid w:val="005D5014"/>
    <w:rsid w:val="005D51EF"/>
    <w:rsid w:val="005D52A4"/>
    <w:rsid w:val="005D5B2D"/>
    <w:rsid w:val="005D6392"/>
    <w:rsid w:val="005D6534"/>
    <w:rsid w:val="005E0DE1"/>
    <w:rsid w:val="005E0F94"/>
    <w:rsid w:val="005E1166"/>
    <w:rsid w:val="005E1885"/>
    <w:rsid w:val="005E1F24"/>
    <w:rsid w:val="005E2898"/>
    <w:rsid w:val="005E2941"/>
    <w:rsid w:val="005E2B1B"/>
    <w:rsid w:val="005E2D78"/>
    <w:rsid w:val="005E32B0"/>
    <w:rsid w:val="005E420B"/>
    <w:rsid w:val="005E4567"/>
    <w:rsid w:val="005E7028"/>
    <w:rsid w:val="005E7167"/>
    <w:rsid w:val="005E7509"/>
    <w:rsid w:val="005E7D59"/>
    <w:rsid w:val="005E7E13"/>
    <w:rsid w:val="005E7FF6"/>
    <w:rsid w:val="005F04BD"/>
    <w:rsid w:val="005F0898"/>
    <w:rsid w:val="005F0E45"/>
    <w:rsid w:val="005F1567"/>
    <w:rsid w:val="005F1776"/>
    <w:rsid w:val="005F1D50"/>
    <w:rsid w:val="005F2B77"/>
    <w:rsid w:val="005F3EFE"/>
    <w:rsid w:val="005F41EE"/>
    <w:rsid w:val="005F489B"/>
    <w:rsid w:val="005F4A5B"/>
    <w:rsid w:val="005F4A8B"/>
    <w:rsid w:val="005F57FC"/>
    <w:rsid w:val="005F5857"/>
    <w:rsid w:val="005F5F5D"/>
    <w:rsid w:val="005F66FB"/>
    <w:rsid w:val="005F6CF3"/>
    <w:rsid w:val="005F6E6C"/>
    <w:rsid w:val="005F71A1"/>
    <w:rsid w:val="005F7437"/>
    <w:rsid w:val="005F74C9"/>
    <w:rsid w:val="005F75AD"/>
    <w:rsid w:val="005F7CC0"/>
    <w:rsid w:val="00600028"/>
    <w:rsid w:val="006006B4"/>
    <w:rsid w:val="006011AF"/>
    <w:rsid w:val="006014BC"/>
    <w:rsid w:val="006015C5"/>
    <w:rsid w:val="0060194E"/>
    <w:rsid w:val="00602194"/>
    <w:rsid w:val="00603008"/>
    <w:rsid w:val="00603167"/>
    <w:rsid w:val="006037D4"/>
    <w:rsid w:val="00603BBC"/>
    <w:rsid w:val="0060428F"/>
    <w:rsid w:val="0060431F"/>
    <w:rsid w:val="00604470"/>
    <w:rsid w:val="006045B3"/>
    <w:rsid w:val="006051E9"/>
    <w:rsid w:val="00605E10"/>
    <w:rsid w:val="00605EF4"/>
    <w:rsid w:val="0060649B"/>
    <w:rsid w:val="006065CD"/>
    <w:rsid w:val="00606709"/>
    <w:rsid w:val="00606AB8"/>
    <w:rsid w:val="00607391"/>
    <w:rsid w:val="00607AC6"/>
    <w:rsid w:val="00607D90"/>
    <w:rsid w:val="006107F8"/>
    <w:rsid w:val="00611079"/>
    <w:rsid w:val="00612004"/>
    <w:rsid w:val="006122C4"/>
    <w:rsid w:val="00612537"/>
    <w:rsid w:val="00612820"/>
    <w:rsid w:val="00612A4A"/>
    <w:rsid w:val="00612EB0"/>
    <w:rsid w:val="0061326E"/>
    <w:rsid w:val="00613EB2"/>
    <w:rsid w:val="006149B1"/>
    <w:rsid w:val="00614B25"/>
    <w:rsid w:val="006157DA"/>
    <w:rsid w:val="0061640C"/>
    <w:rsid w:val="00616A0F"/>
    <w:rsid w:val="0061737F"/>
    <w:rsid w:val="00617BFA"/>
    <w:rsid w:val="00621007"/>
    <w:rsid w:val="00621AD5"/>
    <w:rsid w:val="00621C9C"/>
    <w:rsid w:val="00621F6D"/>
    <w:rsid w:val="006222F8"/>
    <w:rsid w:val="006224E7"/>
    <w:rsid w:val="006225D1"/>
    <w:rsid w:val="0062297B"/>
    <w:rsid w:val="006241B3"/>
    <w:rsid w:val="0062432E"/>
    <w:rsid w:val="00624A1C"/>
    <w:rsid w:val="00625115"/>
    <w:rsid w:val="00625545"/>
    <w:rsid w:val="006260A8"/>
    <w:rsid w:val="00627523"/>
    <w:rsid w:val="006275CC"/>
    <w:rsid w:val="006300E9"/>
    <w:rsid w:val="00631349"/>
    <w:rsid w:val="00631C50"/>
    <w:rsid w:val="00632B8A"/>
    <w:rsid w:val="00632BA5"/>
    <w:rsid w:val="006335F1"/>
    <w:rsid w:val="00633ADC"/>
    <w:rsid w:val="00633BA4"/>
    <w:rsid w:val="00634135"/>
    <w:rsid w:val="00634171"/>
    <w:rsid w:val="00634FE9"/>
    <w:rsid w:val="00635850"/>
    <w:rsid w:val="00637137"/>
    <w:rsid w:val="006371B1"/>
    <w:rsid w:val="00640898"/>
    <w:rsid w:val="00640CF1"/>
    <w:rsid w:val="0064195A"/>
    <w:rsid w:val="00641E52"/>
    <w:rsid w:val="00641FE3"/>
    <w:rsid w:val="00642891"/>
    <w:rsid w:val="00642D85"/>
    <w:rsid w:val="00642DF7"/>
    <w:rsid w:val="006434BA"/>
    <w:rsid w:val="00643889"/>
    <w:rsid w:val="00643A1C"/>
    <w:rsid w:val="006440E7"/>
    <w:rsid w:val="0064425D"/>
    <w:rsid w:val="00644AB1"/>
    <w:rsid w:val="00644B48"/>
    <w:rsid w:val="00644DD8"/>
    <w:rsid w:val="006454AF"/>
    <w:rsid w:val="006454BB"/>
    <w:rsid w:val="00645A9D"/>
    <w:rsid w:val="00645AA0"/>
    <w:rsid w:val="006467C1"/>
    <w:rsid w:val="00646AD0"/>
    <w:rsid w:val="00646BDD"/>
    <w:rsid w:val="00646F75"/>
    <w:rsid w:val="00647C58"/>
    <w:rsid w:val="00650111"/>
    <w:rsid w:val="0065023B"/>
    <w:rsid w:val="00651690"/>
    <w:rsid w:val="00651732"/>
    <w:rsid w:val="006517B8"/>
    <w:rsid w:val="00651B12"/>
    <w:rsid w:val="00651C83"/>
    <w:rsid w:val="006521FB"/>
    <w:rsid w:val="00652237"/>
    <w:rsid w:val="00652814"/>
    <w:rsid w:val="0065290B"/>
    <w:rsid w:val="00652A87"/>
    <w:rsid w:val="00652AF5"/>
    <w:rsid w:val="00652E1F"/>
    <w:rsid w:val="00653459"/>
    <w:rsid w:val="00653F1A"/>
    <w:rsid w:val="00654263"/>
    <w:rsid w:val="00654A4F"/>
    <w:rsid w:val="006566E8"/>
    <w:rsid w:val="00656710"/>
    <w:rsid w:val="006569EC"/>
    <w:rsid w:val="00657CD1"/>
    <w:rsid w:val="00657FE9"/>
    <w:rsid w:val="006601A6"/>
    <w:rsid w:val="00660A3A"/>
    <w:rsid w:val="00660F4A"/>
    <w:rsid w:val="00661C7B"/>
    <w:rsid w:val="00661F59"/>
    <w:rsid w:val="00662421"/>
    <w:rsid w:val="006629AE"/>
    <w:rsid w:val="0066304C"/>
    <w:rsid w:val="00663068"/>
    <w:rsid w:val="00663F01"/>
    <w:rsid w:val="00664135"/>
    <w:rsid w:val="006641FE"/>
    <w:rsid w:val="00664258"/>
    <w:rsid w:val="00664360"/>
    <w:rsid w:val="00666126"/>
    <w:rsid w:val="00667B3B"/>
    <w:rsid w:val="00667C4D"/>
    <w:rsid w:val="00667CAF"/>
    <w:rsid w:val="00667ED9"/>
    <w:rsid w:val="00670619"/>
    <w:rsid w:val="00670E07"/>
    <w:rsid w:val="006715DF"/>
    <w:rsid w:val="00671E1C"/>
    <w:rsid w:val="006721BB"/>
    <w:rsid w:val="0067248C"/>
    <w:rsid w:val="00672E7B"/>
    <w:rsid w:val="00673199"/>
    <w:rsid w:val="00673522"/>
    <w:rsid w:val="00673883"/>
    <w:rsid w:val="006738BD"/>
    <w:rsid w:val="00673F40"/>
    <w:rsid w:val="006746DA"/>
    <w:rsid w:val="00674766"/>
    <w:rsid w:val="00674F97"/>
    <w:rsid w:val="00675192"/>
    <w:rsid w:val="006751AC"/>
    <w:rsid w:val="00675D3D"/>
    <w:rsid w:val="00675D65"/>
    <w:rsid w:val="00676155"/>
    <w:rsid w:val="00676378"/>
    <w:rsid w:val="006763E1"/>
    <w:rsid w:val="0067709D"/>
    <w:rsid w:val="00677663"/>
    <w:rsid w:val="0067796F"/>
    <w:rsid w:val="006779C0"/>
    <w:rsid w:val="00677BB4"/>
    <w:rsid w:val="00677C2F"/>
    <w:rsid w:val="00677D0E"/>
    <w:rsid w:val="00677D48"/>
    <w:rsid w:val="006801DA"/>
    <w:rsid w:val="0068034D"/>
    <w:rsid w:val="00680FB4"/>
    <w:rsid w:val="00681221"/>
    <w:rsid w:val="0068137E"/>
    <w:rsid w:val="00681502"/>
    <w:rsid w:val="00681566"/>
    <w:rsid w:val="00681A4B"/>
    <w:rsid w:val="00681AA6"/>
    <w:rsid w:val="0068236D"/>
    <w:rsid w:val="00682632"/>
    <w:rsid w:val="006831B1"/>
    <w:rsid w:val="00683DAE"/>
    <w:rsid w:val="006840F3"/>
    <w:rsid w:val="00684BAD"/>
    <w:rsid w:val="006854A7"/>
    <w:rsid w:val="006855E4"/>
    <w:rsid w:val="00685817"/>
    <w:rsid w:val="00685C36"/>
    <w:rsid w:val="00686B8A"/>
    <w:rsid w:val="00686C2C"/>
    <w:rsid w:val="00687155"/>
    <w:rsid w:val="00687269"/>
    <w:rsid w:val="00687490"/>
    <w:rsid w:val="00687B03"/>
    <w:rsid w:val="00690A36"/>
    <w:rsid w:val="00690F19"/>
    <w:rsid w:val="006923E0"/>
    <w:rsid w:val="00692912"/>
    <w:rsid w:val="00693685"/>
    <w:rsid w:val="00693726"/>
    <w:rsid w:val="006937AB"/>
    <w:rsid w:val="00693FBD"/>
    <w:rsid w:val="006942A0"/>
    <w:rsid w:val="006944C2"/>
    <w:rsid w:val="0069459D"/>
    <w:rsid w:val="00694B9D"/>
    <w:rsid w:val="00694D7C"/>
    <w:rsid w:val="00695373"/>
    <w:rsid w:val="00695774"/>
    <w:rsid w:val="00696855"/>
    <w:rsid w:val="00696AEE"/>
    <w:rsid w:val="0069740C"/>
    <w:rsid w:val="006978A6"/>
    <w:rsid w:val="006A00C2"/>
    <w:rsid w:val="006A0510"/>
    <w:rsid w:val="006A0E4E"/>
    <w:rsid w:val="006A1198"/>
    <w:rsid w:val="006A1395"/>
    <w:rsid w:val="006A1471"/>
    <w:rsid w:val="006A1775"/>
    <w:rsid w:val="006A1CA8"/>
    <w:rsid w:val="006A2587"/>
    <w:rsid w:val="006A2B52"/>
    <w:rsid w:val="006A3A60"/>
    <w:rsid w:val="006A3BA7"/>
    <w:rsid w:val="006A4312"/>
    <w:rsid w:val="006A508A"/>
    <w:rsid w:val="006A5092"/>
    <w:rsid w:val="006A5226"/>
    <w:rsid w:val="006A5E6F"/>
    <w:rsid w:val="006A67D6"/>
    <w:rsid w:val="006A6A70"/>
    <w:rsid w:val="006A700A"/>
    <w:rsid w:val="006B0C72"/>
    <w:rsid w:val="006B125B"/>
    <w:rsid w:val="006B14E1"/>
    <w:rsid w:val="006B1FD6"/>
    <w:rsid w:val="006B280A"/>
    <w:rsid w:val="006B2AEB"/>
    <w:rsid w:val="006B34E8"/>
    <w:rsid w:val="006B534F"/>
    <w:rsid w:val="006B5850"/>
    <w:rsid w:val="006B5D64"/>
    <w:rsid w:val="006B64D6"/>
    <w:rsid w:val="006B675A"/>
    <w:rsid w:val="006B6BA6"/>
    <w:rsid w:val="006B733B"/>
    <w:rsid w:val="006B7383"/>
    <w:rsid w:val="006B7917"/>
    <w:rsid w:val="006B7C87"/>
    <w:rsid w:val="006BFEED"/>
    <w:rsid w:val="006C0CE7"/>
    <w:rsid w:val="006C119C"/>
    <w:rsid w:val="006C1675"/>
    <w:rsid w:val="006C19BA"/>
    <w:rsid w:val="006C1BCC"/>
    <w:rsid w:val="006C2491"/>
    <w:rsid w:val="006C24E3"/>
    <w:rsid w:val="006C2D5D"/>
    <w:rsid w:val="006C2EF4"/>
    <w:rsid w:val="006C3770"/>
    <w:rsid w:val="006C3FE5"/>
    <w:rsid w:val="006C446C"/>
    <w:rsid w:val="006C4552"/>
    <w:rsid w:val="006C46C1"/>
    <w:rsid w:val="006C49C0"/>
    <w:rsid w:val="006C576A"/>
    <w:rsid w:val="006C5D14"/>
    <w:rsid w:val="006C65FF"/>
    <w:rsid w:val="006D18BA"/>
    <w:rsid w:val="006D1AE3"/>
    <w:rsid w:val="006D1CA6"/>
    <w:rsid w:val="006D1DE8"/>
    <w:rsid w:val="006D214D"/>
    <w:rsid w:val="006D23CC"/>
    <w:rsid w:val="006D33C2"/>
    <w:rsid w:val="006D3B8F"/>
    <w:rsid w:val="006D43D8"/>
    <w:rsid w:val="006D46B3"/>
    <w:rsid w:val="006D49C5"/>
    <w:rsid w:val="006D4A44"/>
    <w:rsid w:val="006D4CD5"/>
    <w:rsid w:val="006D5AC4"/>
    <w:rsid w:val="006D5E0E"/>
    <w:rsid w:val="006D7622"/>
    <w:rsid w:val="006D7631"/>
    <w:rsid w:val="006D7693"/>
    <w:rsid w:val="006E0021"/>
    <w:rsid w:val="006E023F"/>
    <w:rsid w:val="006E063A"/>
    <w:rsid w:val="006E086C"/>
    <w:rsid w:val="006E0A6F"/>
    <w:rsid w:val="006E0C02"/>
    <w:rsid w:val="006E0FCE"/>
    <w:rsid w:val="006E1CD0"/>
    <w:rsid w:val="006E2872"/>
    <w:rsid w:val="006E2986"/>
    <w:rsid w:val="006E3070"/>
    <w:rsid w:val="006E3303"/>
    <w:rsid w:val="006E52CF"/>
    <w:rsid w:val="006E5C69"/>
    <w:rsid w:val="006E6117"/>
    <w:rsid w:val="006E62A0"/>
    <w:rsid w:val="006E6FD1"/>
    <w:rsid w:val="006E7F91"/>
    <w:rsid w:val="006F0316"/>
    <w:rsid w:val="006F05FE"/>
    <w:rsid w:val="006F0648"/>
    <w:rsid w:val="006F0689"/>
    <w:rsid w:val="006F0FBD"/>
    <w:rsid w:val="006F1463"/>
    <w:rsid w:val="006F2269"/>
    <w:rsid w:val="006F24A1"/>
    <w:rsid w:val="006F2912"/>
    <w:rsid w:val="006F2C85"/>
    <w:rsid w:val="006F2F5F"/>
    <w:rsid w:val="006F32F4"/>
    <w:rsid w:val="006F33C4"/>
    <w:rsid w:val="006F35B4"/>
    <w:rsid w:val="006F44D6"/>
    <w:rsid w:val="006F66F5"/>
    <w:rsid w:val="006F6737"/>
    <w:rsid w:val="006F6A34"/>
    <w:rsid w:val="006F7135"/>
    <w:rsid w:val="006F72DB"/>
    <w:rsid w:val="006F74AC"/>
    <w:rsid w:val="006F7C6A"/>
    <w:rsid w:val="006F7F1A"/>
    <w:rsid w:val="00700147"/>
    <w:rsid w:val="0070030A"/>
    <w:rsid w:val="00700401"/>
    <w:rsid w:val="00700E04"/>
    <w:rsid w:val="00701579"/>
    <w:rsid w:val="00701850"/>
    <w:rsid w:val="007020B4"/>
    <w:rsid w:val="0070284A"/>
    <w:rsid w:val="00703187"/>
    <w:rsid w:val="007031E5"/>
    <w:rsid w:val="007036AB"/>
    <w:rsid w:val="007042C0"/>
    <w:rsid w:val="00705551"/>
    <w:rsid w:val="00705BCC"/>
    <w:rsid w:val="0070622E"/>
    <w:rsid w:val="0071053A"/>
    <w:rsid w:val="0071175F"/>
    <w:rsid w:val="007123CB"/>
    <w:rsid w:val="0071286A"/>
    <w:rsid w:val="00712C88"/>
    <w:rsid w:val="00712EB4"/>
    <w:rsid w:val="00713139"/>
    <w:rsid w:val="007136AA"/>
    <w:rsid w:val="007137EA"/>
    <w:rsid w:val="007139BB"/>
    <w:rsid w:val="00713A37"/>
    <w:rsid w:val="0071400C"/>
    <w:rsid w:val="007149E7"/>
    <w:rsid w:val="007158B5"/>
    <w:rsid w:val="00716DB0"/>
    <w:rsid w:val="00717636"/>
    <w:rsid w:val="007177F8"/>
    <w:rsid w:val="00717BC7"/>
    <w:rsid w:val="00717C01"/>
    <w:rsid w:val="007201C1"/>
    <w:rsid w:val="007206CE"/>
    <w:rsid w:val="0072081A"/>
    <w:rsid w:val="00720867"/>
    <w:rsid w:val="00721639"/>
    <w:rsid w:val="00722433"/>
    <w:rsid w:val="007224C1"/>
    <w:rsid w:val="00722E41"/>
    <w:rsid w:val="00722EB1"/>
    <w:rsid w:val="00723918"/>
    <w:rsid w:val="0072442B"/>
    <w:rsid w:val="00724D16"/>
    <w:rsid w:val="0072506D"/>
    <w:rsid w:val="00725539"/>
    <w:rsid w:val="0072594D"/>
    <w:rsid w:val="00726812"/>
    <w:rsid w:val="0072749B"/>
    <w:rsid w:val="0072751E"/>
    <w:rsid w:val="00727F14"/>
    <w:rsid w:val="0073069A"/>
    <w:rsid w:val="007312F4"/>
    <w:rsid w:val="007316C2"/>
    <w:rsid w:val="007325EF"/>
    <w:rsid w:val="0073279C"/>
    <w:rsid w:val="00732916"/>
    <w:rsid w:val="00733124"/>
    <w:rsid w:val="007336B8"/>
    <w:rsid w:val="00733B4B"/>
    <w:rsid w:val="007344E9"/>
    <w:rsid w:val="00734543"/>
    <w:rsid w:val="0073462B"/>
    <w:rsid w:val="00734687"/>
    <w:rsid w:val="00734FB4"/>
    <w:rsid w:val="00735317"/>
    <w:rsid w:val="00735AFE"/>
    <w:rsid w:val="00735EFA"/>
    <w:rsid w:val="007367E2"/>
    <w:rsid w:val="00737363"/>
    <w:rsid w:val="00737578"/>
    <w:rsid w:val="0073774E"/>
    <w:rsid w:val="007378A3"/>
    <w:rsid w:val="007400AD"/>
    <w:rsid w:val="00740539"/>
    <w:rsid w:val="007405AB"/>
    <w:rsid w:val="00740E0B"/>
    <w:rsid w:val="00740E36"/>
    <w:rsid w:val="0074110D"/>
    <w:rsid w:val="007415A3"/>
    <w:rsid w:val="0074183E"/>
    <w:rsid w:val="007418E8"/>
    <w:rsid w:val="00742005"/>
    <w:rsid w:val="007425E9"/>
    <w:rsid w:val="00742D5B"/>
    <w:rsid w:val="007432CB"/>
    <w:rsid w:val="00743554"/>
    <w:rsid w:val="007439BF"/>
    <w:rsid w:val="00743E3D"/>
    <w:rsid w:val="00744F4D"/>
    <w:rsid w:val="007450D3"/>
    <w:rsid w:val="00745682"/>
    <w:rsid w:val="0074573C"/>
    <w:rsid w:val="00745A1E"/>
    <w:rsid w:val="0074603E"/>
    <w:rsid w:val="00746754"/>
    <w:rsid w:val="00746F04"/>
    <w:rsid w:val="00747415"/>
    <w:rsid w:val="00747BAF"/>
    <w:rsid w:val="00747BC0"/>
    <w:rsid w:val="00747D5A"/>
    <w:rsid w:val="0075005A"/>
    <w:rsid w:val="00750314"/>
    <w:rsid w:val="00750D4F"/>
    <w:rsid w:val="00750D91"/>
    <w:rsid w:val="007512A4"/>
    <w:rsid w:val="00751306"/>
    <w:rsid w:val="007526B1"/>
    <w:rsid w:val="00752F79"/>
    <w:rsid w:val="00753079"/>
    <w:rsid w:val="00753638"/>
    <w:rsid w:val="00753D61"/>
    <w:rsid w:val="00754046"/>
    <w:rsid w:val="00754459"/>
    <w:rsid w:val="0075456F"/>
    <w:rsid w:val="007550E1"/>
    <w:rsid w:val="00755BDA"/>
    <w:rsid w:val="00757673"/>
    <w:rsid w:val="00757C97"/>
    <w:rsid w:val="00757D68"/>
    <w:rsid w:val="0076045D"/>
    <w:rsid w:val="00761230"/>
    <w:rsid w:val="007617CE"/>
    <w:rsid w:val="007619A2"/>
    <w:rsid w:val="00761E98"/>
    <w:rsid w:val="00762532"/>
    <w:rsid w:val="007626A3"/>
    <w:rsid w:val="0076270F"/>
    <w:rsid w:val="007627CA"/>
    <w:rsid w:val="00762E0B"/>
    <w:rsid w:val="0076322E"/>
    <w:rsid w:val="0076344C"/>
    <w:rsid w:val="00763799"/>
    <w:rsid w:val="00763A55"/>
    <w:rsid w:val="00764B44"/>
    <w:rsid w:val="00764FDF"/>
    <w:rsid w:val="00765AE0"/>
    <w:rsid w:val="007660B7"/>
    <w:rsid w:val="007662AD"/>
    <w:rsid w:val="007664F6"/>
    <w:rsid w:val="0076655A"/>
    <w:rsid w:val="00766662"/>
    <w:rsid w:val="007668A2"/>
    <w:rsid w:val="007670B6"/>
    <w:rsid w:val="0076729C"/>
    <w:rsid w:val="00767FD3"/>
    <w:rsid w:val="00770104"/>
    <w:rsid w:val="00770DDA"/>
    <w:rsid w:val="0077131A"/>
    <w:rsid w:val="007715B9"/>
    <w:rsid w:val="00771B65"/>
    <w:rsid w:val="00772002"/>
    <w:rsid w:val="007720CF"/>
    <w:rsid w:val="00772586"/>
    <w:rsid w:val="00774061"/>
    <w:rsid w:val="0077430D"/>
    <w:rsid w:val="007747F5"/>
    <w:rsid w:val="007749BF"/>
    <w:rsid w:val="00774C84"/>
    <w:rsid w:val="00774CFE"/>
    <w:rsid w:val="0077521C"/>
    <w:rsid w:val="007752CC"/>
    <w:rsid w:val="00775B92"/>
    <w:rsid w:val="00776CB1"/>
    <w:rsid w:val="00776FC8"/>
    <w:rsid w:val="0077725E"/>
    <w:rsid w:val="00777762"/>
    <w:rsid w:val="00777952"/>
    <w:rsid w:val="007812D8"/>
    <w:rsid w:val="007813B4"/>
    <w:rsid w:val="007814E5"/>
    <w:rsid w:val="00781598"/>
    <w:rsid w:val="00781784"/>
    <w:rsid w:val="00782244"/>
    <w:rsid w:val="00782C5A"/>
    <w:rsid w:val="007830A2"/>
    <w:rsid w:val="00783172"/>
    <w:rsid w:val="007844C3"/>
    <w:rsid w:val="00784C49"/>
    <w:rsid w:val="00784D50"/>
    <w:rsid w:val="00784E93"/>
    <w:rsid w:val="0078553E"/>
    <w:rsid w:val="007859BB"/>
    <w:rsid w:val="00785B38"/>
    <w:rsid w:val="00786E93"/>
    <w:rsid w:val="00787031"/>
    <w:rsid w:val="00787317"/>
    <w:rsid w:val="007879A3"/>
    <w:rsid w:val="007905A8"/>
    <w:rsid w:val="00790ACE"/>
    <w:rsid w:val="00791746"/>
    <w:rsid w:val="00792358"/>
    <w:rsid w:val="00792439"/>
    <w:rsid w:val="00792913"/>
    <w:rsid w:val="00792BB5"/>
    <w:rsid w:val="00792D3F"/>
    <w:rsid w:val="00792FD6"/>
    <w:rsid w:val="007933BD"/>
    <w:rsid w:val="0079405E"/>
    <w:rsid w:val="00794700"/>
    <w:rsid w:val="0079498E"/>
    <w:rsid w:val="0079499D"/>
    <w:rsid w:val="007966C3"/>
    <w:rsid w:val="00796C93"/>
    <w:rsid w:val="00796DB9"/>
    <w:rsid w:val="007970D9"/>
    <w:rsid w:val="007972AB"/>
    <w:rsid w:val="00797DAA"/>
    <w:rsid w:val="007A0544"/>
    <w:rsid w:val="007A05C1"/>
    <w:rsid w:val="007A1477"/>
    <w:rsid w:val="007A1672"/>
    <w:rsid w:val="007A170A"/>
    <w:rsid w:val="007A1922"/>
    <w:rsid w:val="007A1DE9"/>
    <w:rsid w:val="007A204A"/>
    <w:rsid w:val="007A23FF"/>
    <w:rsid w:val="007A2574"/>
    <w:rsid w:val="007A26B0"/>
    <w:rsid w:val="007A2AB3"/>
    <w:rsid w:val="007A2DD6"/>
    <w:rsid w:val="007A2E82"/>
    <w:rsid w:val="007A2ECB"/>
    <w:rsid w:val="007A3107"/>
    <w:rsid w:val="007A3191"/>
    <w:rsid w:val="007A31AD"/>
    <w:rsid w:val="007A36D5"/>
    <w:rsid w:val="007A39D2"/>
    <w:rsid w:val="007A3AFE"/>
    <w:rsid w:val="007A3BE9"/>
    <w:rsid w:val="007A3F43"/>
    <w:rsid w:val="007A3FE0"/>
    <w:rsid w:val="007A45B9"/>
    <w:rsid w:val="007A46A6"/>
    <w:rsid w:val="007A57F3"/>
    <w:rsid w:val="007A6280"/>
    <w:rsid w:val="007A74CC"/>
    <w:rsid w:val="007A7C79"/>
    <w:rsid w:val="007B0713"/>
    <w:rsid w:val="007B2190"/>
    <w:rsid w:val="007B31E2"/>
    <w:rsid w:val="007B389C"/>
    <w:rsid w:val="007B5927"/>
    <w:rsid w:val="007B5A19"/>
    <w:rsid w:val="007B61AC"/>
    <w:rsid w:val="007B67D1"/>
    <w:rsid w:val="007B6C18"/>
    <w:rsid w:val="007B6DA5"/>
    <w:rsid w:val="007B73F0"/>
    <w:rsid w:val="007B759C"/>
    <w:rsid w:val="007C0366"/>
    <w:rsid w:val="007C0784"/>
    <w:rsid w:val="007C07A3"/>
    <w:rsid w:val="007C1342"/>
    <w:rsid w:val="007C13D3"/>
    <w:rsid w:val="007C16E0"/>
    <w:rsid w:val="007C1E0D"/>
    <w:rsid w:val="007C24AB"/>
    <w:rsid w:val="007C2644"/>
    <w:rsid w:val="007C3622"/>
    <w:rsid w:val="007C44FF"/>
    <w:rsid w:val="007C453C"/>
    <w:rsid w:val="007C521C"/>
    <w:rsid w:val="007C52D3"/>
    <w:rsid w:val="007C52FC"/>
    <w:rsid w:val="007C580E"/>
    <w:rsid w:val="007C6B9A"/>
    <w:rsid w:val="007C708C"/>
    <w:rsid w:val="007C7659"/>
    <w:rsid w:val="007C7818"/>
    <w:rsid w:val="007D008F"/>
    <w:rsid w:val="007D0822"/>
    <w:rsid w:val="007D186F"/>
    <w:rsid w:val="007D1B97"/>
    <w:rsid w:val="007D1D8B"/>
    <w:rsid w:val="007D2CF9"/>
    <w:rsid w:val="007D42CB"/>
    <w:rsid w:val="007D46C1"/>
    <w:rsid w:val="007D4A52"/>
    <w:rsid w:val="007D4E1C"/>
    <w:rsid w:val="007D53FA"/>
    <w:rsid w:val="007D6D17"/>
    <w:rsid w:val="007D6DE4"/>
    <w:rsid w:val="007D7539"/>
    <w:rsid w:val="007D7BF9"/>
    <w:rsid w:val="007E01D4"/>
    <w:rsid w:val="007E0470"/>
    <w:rsid w:val="007E07C9"/>
    <w:rsid w:val="007E092E"/>
    <w:rsid w:val="007E1EA3"/>
    <w:rsid w:val="007E29C4"/>
    <w:rsid w:val="007E3501"/>
    <w:rsid w:val="007E38A0"/>
    <w:rsid w:val="007E3B0F"/>
    <w:rsid w:val="007E405F"/>
    <w:rsid w:val="007E4230"/>
    <w:rsid w:val="007E4248"/>
    <w:rsid w:val="007E4B98"/>
    <w:rsid w:val="007E5193"/>
    <w:rsid w:val="007E5F03"/>
    <w:rsid w:val="007E6A84"/>
    <w:rsid w:val="007E7188"/>
    <w:rsid w:val="007E7902"/>
    <w:rsid w:val="007E7FB8"/>
    <w:rsid w:val="007F00FD"/>
    <w:rsid w:val="007F040C"/>
    <w:rsid w:val="007F086E"/>
    <w:rsid w:val="007F1354"/>
    <w:rsid w:val="007F195A"/>
    <w:rsid w:val="007F1D6B"/>
    <w:rsid w:val="007F2812"/>
    <w:rsid w:val="007F2A8C"/>
    <w:rsid w:val="007F337E"/>
    <w:rsid w:val="007F3C51"/>
    <w:rsid w:val="007F3FD0"/>
    <w:rsid w:val="007F425C"/>
    <w:rsid w:val="007F4875"/>
    <w:rsid w:val="007F4CCC"/>
    <w:rsid w:val="007F532E"/>
    <w:rsid w:val="007F547B"/>
    <w:rsid w:val="007F5E4F"/>
    <w:rsid w:val="007F62FF"/>
    <w:rsid w:val="007F7280"/>
    <w:rsid w:val="007F7BF7"/>
    <w:rsid w:val="0080006B"/>
    <w:rsid w:val="00800F4E"/>
    <w:rsid w:val="00800F85"/>
    <w:rsid w:val="008013BE"/>
    <w:rsid w:val="008016CE"/>
    <w:rsid w:val="00801CEB"/>
    <w:rsid w:val="008021F1"/>
    <w:rsid w:val="00802837"/>
    <w:rsid w:val="00802B19"/>
    <w:rsid w:val="00802D95"/>
    <w:rsid w:val="00803D13"/>
    <w:rsid w:val="00803E29"/>
    <w:rsid w:val="008042B4"/>
    <w:rsid w:val="00804BCE"/>
    <w:rsid w:val="0080506A"/>
    <w:rsid w:val="0080555F"/>
    <w:rsid w:val="00805742"/>
    <w:rsid w:val="00805E43"/>
    <w:rsid w:val="00805EB4"/>
    <w:rsid w:val="008063C4"/>
    <w:rsid w:val="0080644B"/>
    <w:rsid w:val="00806A83"/>
    <w:rsid w:val="00806C74"/>
    <w:rsid w:val="00806F95"/>
    <w:rsid w:val="0080795A"/>
    <w:rsid w:val="00810698"/>
    <w:rsid w:val="00810CAC"/>
    <w:rsid w:val="00811069"/>
    <w:rsid w:val="00811111"/>
    <w:rsid w:val="00811508"/>
    <w:rsid w:val="008115A1"/>
    <w:rsid w:val="00811649"/>
    <w:rsid w:val="00811851"/>
    <w:rsid w:val="00811C60"/>
    <w:rsid w:val="00811FEF"/>
    <w:rsid w:val="00812FB4"/>
    <w:rsid w:val="00813C9C"/>
    <w:rsid w:val="008143D0"/>
    <w:rsid w:val="008143E9"/>
    <w:rsid w:val="0081525D"/>
    <w:rsid w:val="00815792"/>
    <w:rsid w:val="00815A03"/>
    <w:rsid w:val="00817254"/>
    <w:rsid w:val="00817B8C"/>
    <w:rsid w:val="008206D2"/>
    <w:rsid w:val="008206F7"/>
    <w:rsid w:val="008208F5"/>
    <w:rsid w:val="0082094F"/>
    <w:rsid w:val="008212E0"/>
    <w:rsid w:val="008215C2"/>
    <w:rsid w:val="00821F7C"/>
    <w:rsid w:val="00822152"/>
    <w:rsid w:val="0082356E"/>
    <w:rsid w:val="00823C38"/>
    <w:rsid w:val="00823F2E"/>
    <w:rsid w:val="00825AF4"/>
    <w:rsid w:val="00825B87"/>
    <w:rsid w:val="008269F9"/>
    <w:rsid w:val="00826BB4"/>
    <w:rsid w:val="00827445"/>
    <w:rsid w:val="0082750B"/>
    <w:rsid w:val="008275B5"/>
    <w:rsid w:val="00830132"/>
    <w:rsid w:val="00830657"/>
    <w:rsid w:val="0083069F"/>
    <w:rsid w:val="00831144"/>
    <w:rsid w:val="00831B80"/>
    <w:rsid w:val="00831BF7"/>
    <w:rsid w:val="00831D9B"/>
    <w:rsid w:val="00831DF2"/>
    <w:rsid w:val="00832019"/>
    <w:rsid w:val="0083212D"/>
    <w:rsid w:val="00832333"/>
    <w:rsid w:val="0083279D"/>
    <w:rsid w:val="00832927"/>
    <w:rsid w:val="008330B3"/>
    <w:rsid w:val="0083341D"/>
    <w:rsid w:val="00833A5D"/>
    <w:rsid w:val="00834760"/>
    <w:rsid w:val="008349FB"/>
    <w:rsid w:val="00834BA3"/>
    <w:rsid w:val="00834DA7"/>
    <w:rsid w:val="00835102"/>
    <w:rsid w:val="008351CB"/>
    <w:rsid w:val="0083548A"/>
    <w:rsid w:val="00835C23"/>
    <w:rsid w:val="00836B77"/>
    <w:rsid w:val="00837079"/>
    <w:rsid w:val="0083759F"/>
    <w:rsid w:val="00840337"/>
    <w:rsid w:val="008420B8"/>
    <w:rsid w:val="00842AEE"/>
    <w:rsid w:val="00843378"/>
    <w:rsid w:val="008446BD"/>
    <w:rsid w:val="00844D09"/>
    <w:rsid w:val="00845314"/>
    <w:rsid w:val="008458CE"/>
    <w:rsid w:val="00847196"/>
    <w:rsid w:val="008471FC"/>
    <w:rsid w:val="00847D3F"/>
    <w:rsid w:val="00847D9D"/>
    <w:rsid w:val="00847F24"/>
    <w:rsid w:val="00850011"/>
    <w:rsid w:val="008509CF"/>
    <w:rsid w:val="00850FB6"/>
    <w:rsid w:val="008526ED"/>
    <w:rsid w:val="00852B9F"/>
    <w:rsid w:val="00852CFA"/>
    <w:rsid w:val="00852D36"/>
    <w:rsid w:val="008539D1"/>
    <w:rsid w:val="008540BC"/>
    <w:rsid w:val="00854DE6"/>
    <w:rsid w:val="0085552F"/>
    <w:rsid w:val="00855A87"/>
    <w:rsid w:val="00855E81"/>
    <w:rsid w:val="008563DE"/>
    <w:rsid w:val="00856719"/>
    <w:rsid w:val="00856988"/>
    <w:rsid w:val="00856CD8"/>
    <w:rsid w:val="0085707B"/>
    <w:rsid w:val="00857728"/>
    <w:rsid w:val="00857742"/>
    <w:rsid w:val="00860C02"/>
    <w:rsid w:val="00861B0E"/>
    <w:rsid w:val="008620D5"/>
    <w:rsid w:val="0086241F"/>
    <w:rsid w:val="0086242D"/>
    <w:rsid w:val="0086290C"/>
    <w:rsid w:val="00863351"/>
    <w:rsid w:val="00863F5A"/>
    <w:rsid w:val="00864278"/>
    <w:rsid w:val="008642FE"/>
    <w:rsid w:val="0086453E"/>
    <w:rsid w:val="008660D3"/>
    <w:rsid w:val="00866436"/>
    <w:rsid w:val="0086707B"/>
    <w:rsid w:val="0086726A"/>
    <w:rsid w:val="0086791C"/>
    <w:rsid w:val="00867EB6"/>
    <w:rsid w:val="00867F16"/>
    <w:rsid w:val="0087020F"/>
    <w:rsid w:val="00870212"/>
    <w:rsid w:val="00870356"/>
    <w:rsid w:val="00870674"/>
    <w:rsid w:val="00870735"/>
    <w:rsid w:val="00870BD2"/>
    <w:rsid w:val="00870C37"/>
    <w:rsid w:val="00870EF6"/>
    <w:rsid w:val="00872164"/>
    <w:rsid w:val="00873005"/>
    <w:rsid w:val="0087475F"/>
    <w:rsid w:val="008749E6"/>
    <w:rsid w:val="00874A52"/>
    <w:rsid w:val="00874AD0"/>
    <w:rsid w:val="00874DF6"/>
    <w:rsid w:val="0087546A"/>
    <w:rsid w:val="008758AB"/>
    <w:rsid w:val="00875A09"/>
    <w:rsid w:val="00875C53"/>
    <w:rsid w:val="00876A7B"/>
    <w:rsid w:val="00876F4B"/>
    <w:rsid w:val="00877A63"/>
    <w:rsid w:val="00880C1E"/>
    <w:rsid w:val="00880D2C"/>
    <w:rsid w:val="00881457"/>
    <w:rsid w:val="00881538"/>
    <w:rsid w:val="00881A24"/>
    <w:rsid w:val="00881D1C"/>
    <w:rsid w:val="008825E2"/>
    <w:rsid w:val="008827BD"/>
    <w:rsid w:val="00882EA0"/>
    <w:rsid w:val="00883012"/>
    <w:rsid w:val="00883852"/>
    <w:rsid w:val="00884F59"/>
    <w:rsid w:val="00885E55"/>
    <w:rsid w:val="00886356"/>
    <w:rsid w:val="00886833"/>
    <w:rsid w:val="00890507"/>
    <w:rsid w:val="00890C87"/>
    <w:rsid w:val="00890EC8"/>
    <w:rsid w:val="0089116F"/>
    <w:rsid w:val="00891DA8"/>
    <w:rsid w:val="00891E83"/>
    <w:rsid w:val="00892C2E"/>
    <w:rsid w:val="00892D6C"/>
    <w:rsid w:val="00893077"/>
    <w:rsid w:val="008934AB"/>
    <w:rsid w:val="0089353C"/>
    <w:rsid w:val="00893732"/>
    <w:rsid w:val="008937FC"/>
    <w:rsid w:val="00893D1A"/>
    <w:rsid w:val="008941D5"/>
    <w:rsid w:val="00894962"/>
    <w:rsid w:val="008949C4"/>
    <w:rsid w:val="00894DCF"/>
    <w:rsid w:val="008952B1"/>
    <w:rsid w:val="008954C3"/>
    <w:rsid w:val="008958D1"/>
    <w:rsid w:val="00895B24"/>
    <w:rsid w:val="00895EDF"/>
    <w:rsid w:val="00896121"/>
    <w:rsid w:val="00896BFF"/>
    <w:rsid w:val="00896C72"/>
    <w:rsid w:val="00897A09"/>
    <w:rsid w:val="00897A2F"/>
    <w:rsid w:val="00897E79"/>
    <w:rsid w:val="00897FD0"/>
    <w:rsid w:val="008A0BB1"/>
    <w:rsid w:val="008A1194"/>
    <w:rsid w:val="008A18ED"/>
    <w:rsid w:val="008A1972"/>
    <w:rsid w:val="008A1B05"/>
    <w:rsid w:val="008A1DA5"/>
    <w:rsid w:val="008A214F"/>
    <w:rsid w:val="008A29C3"/>
    <w:rsid w:val="008A2B8E"/>
    <w:rsid w:val="008A320B"/>
    <w:rsid w:val="008A3769"/>
    <w:rsid w:val="008A3EEB"/>
    <w:rsid w:val="008A4E1B"/>
    <w:rsid w:val="008A541C"/>
    <w:rsid w:val="008A551E"/>
    <w:rsid w:val="008A5621"/>
    <w:rsid w:val="008A5B0C"/>
    <w:rsid w:val="008A5FDD"/>
    <w:rsid w:val="008A5FDF"/>
    <w:rsid w:val="008A646B"/>
    <w:rsid w:val="008A665B"/>
    <w:rsid w:val="008A6972"/>
    <w:rsid w:val="008A6CCC"/>
    <w:rsid w:val="008A772E"/>
    <w:rsid w:val="008A789F"/>
    <w:rsid w:val="008A7D21"/>
    <w:rsid w:val="008B0C96"/>
    <w:rsid w:val="008B0F2E"/>
    <w:rsid w:val="008B1B8A"/>
    <w:rsid w:val="008B211E"/>
    <w:rsid w:val="008B2856"/>
    <w:rsid w:val="008B2F8C"/>
    <w:rsid w:val="008B3291"/>
    <w:rsid w:val="008B36E7"/>
    <w:rsid w:val="008B442A"/>
    <w:rsid w:val="008B4F65"/>
    <w:rsid w:val="008B501D"/>
    <w:rsid w:val="008B553C"/>
    <w:rsid w:val="008B5D22"/>
    <w:rsid w:val="008B63C4"/>
    <w:rsid w:val="008B66A7"/>
    <w:rsid w:val="008B6C43"/>
    <w:rsid w:val="008B6C6B"/>
    <w:rsid w:val="008B7BBD"/>
    <w:rsid w:val="008B7BC3"/>
    <w:rsid w:val="008C0CD5"/>
    <w:rsid w:val="008C16BF"/>
    <w:rsid w:val="008C17D4"/>
    <w:rsid w:val="008C25FD"/>
    <w:rsid w:val="008C2A44"/>
    <w:rsid w:val="008C2EBD"/>
    <w:rsid w:val="008C315B"/>
    <w:rsid w:val="008C38C3"/>
    <w:rsid w:val="008C3EB9"/>
    <w:rsid w:val="008C440F"/>
    <w:rsid w:val="008C44BE"/>
    <w:rsid w:val="008C483E"/>
    <w:rsid w:val="008C4A4E"/>
    <w:rsid w:val="008C561D"/>
    <w:rsid w:val="008C5E52"/>
    <w:rsid w:val="008C6051"/>
    <w:rsid w:val="008C6E3E"/>
    <w:rsid w:val="008C73A0"/>
    <w:rsid w:val="008C73A3"/>
    <w:rsid w:val="008C78BC"/>
    <w:rsid w:val="008C7C40"/>
    <w:rsid w:val="008C7D0B"/>
    <w:rsid w:val="008C7DE4"/>
    <w:rsid w:val="008D0606"/>
    <w:rsid w:val="008D07AB"/>
    <w:rsid w:val="008D08F3"/>
    <w:rsid w:val="008D0E16"/>
    <w:rsid w:val="008D12B6"/>
    <w:rsid w:val="008D163F"/>
    <w:rsid w:val="008D199A"/>
    <w:rsid w:val="008D3519"/>
    <w:rsid w:val="008D35CF"/>
    <w:rsid w:val="008D3DE1"/>
    <w:rsid w:val="008D4018"/>
    <w:rsid w:val="008D5456"/>
    <w:rsid w:val="008D5D8F"/>
    <w:rsid w:val="008D657F"/>
    <w:rsid w:val="008D6936"/>
    <w:rsid w:val="008D69E6"/>
    <w:rsid w:val="008D6DBB"/>
    <w:rsid w:val="008D7AE1"/>
    <w:rsid w:val="008D7D1C"/>
    <w:rsid w:val="008E00B8"/>
    <w:rsid w:val="008E04A7"/>
    <w:rsid w:val="008E1FDE"/>
    <w:rsid w:val="008E2C3F"/>
    <w:rsid w:val="008E2F3F"/>
    <w:rsid w:val="008E31CA"/>
    <w:rsid w:val="008E32BD"/>
    <w:rsid w:val="008E32C8"/>
    <w:rsid w:val="008E33D7"/>
    <w:rsid w:val="008E42F0"/>
    <w:rsid w:val="008E4492"/>
    <w:rsid w:val="008E4511"/>
    <w:rsid w:val="008E4825"/>
    <w:rsid w:val="008E4A41"/>
    <w:rsid w:val="008E536B"/>
    <w:rsid w:val="008E538B"/>
    <w:rsid w:val="008E5477"/>
    <w:rsid w:val="008E55D6"/>
    <w:rsid w:val="008E589A"/>
    <w:rsid w:val="008E598E"/>
    <w:rsid w:val="008E5AC3"/>
    <w:rsid w:val="008E5C2F"/>
    <w:rsid w:val="008E6482"/>
    <w:rsid w:val="008E653C"/>
    <w:rsid w:val="008E6A14"/>
    <w:rsid w:val="008E6D74"/>
    <w:rsid w:val="008E7AD1"/>
    <w:rsid w:val="008E7E9C"/>
    <w:rsid w:val="008E7FA5"/>
    <w:rsid w:val="008F056A"/>
    <w:rsid w:val="008F0934"/>
    <w:rsid w:val="008F11B8"/>
    <w:rsid w:val="008F1297"/>
    <w:rsid w:val="008F2FA8"/>
    <w:rsid w:val="008F3037"/>
    <w:rsid w:val="008F308F"/>
    <w:rsid w:val="008F3FE0"/>
    <w:rsid w:val="008F4705"/>
    <w:rsid w:val="008F4751"/>
    <w:rsid w:val="008F4F26"/>
    <w:rsid w:val="008F5336"/>
    <w:rsid w:val="008F55A8"/>
    <w:rsid w:val="008F5C29"/>
    <w:rsid w:val="008F6CDD"/>
    <w:rsid w:val="008F6EBA"/>
    <w:rsid w:val="008F70E4"/>
    <w:rsid w:val="008F717D"/>
    <w:rsid w:val="008F7680"/>
    <w:rsid w:val="008F7C7E"/>
    <w:rsid w:val="008F7E72"/>
    <w:rsid w:val="008F7EFB"/>
    <w:rsid w:val="00900207"/>
    <w:rsid w:val="00900669"/>
    <w:rsid w:val="00900F93"/>
    <w:rsid w:val="0090105F"/>
    <w:rsid w:val="0090107E"/>
    <w:rsid w:val="009015EA"/>
    <w:rsid w:val="009025F4"/>
    <w:rsid w:val="0090268B"/>
    <w:rsid w:val="00902991"/>
    <w:rsid w:val="00903B73"/>
    <w:rsid w:val="009046AB"/>
    <w:rsid w:val="00905584"/>
    <w:rsid w:val="00905587"/>
    <w:rsid w:val="00906075"/>
    <w:rsid w:val="0090647E"/>
    <w:rsid w:val="00906560"/>
    <w:rsid w:val="00906E66"/>
    <w:rsid w:val="00906FC3"/>
    <w:rsid w:val="009074EE"/>
    <w:rsid w:val="00907555"/>
    <w:rsid w:val="00907EFF"/>
    <w:rsid w:val="00910AC8"/>
    <w:rsid w:val="00910CF1"/>
    <w:rsid w:val="0091165F"/>
    <w:rsid w:val="00912285"/>
    <w:rsid w:val="00912938"/>
    <w:rsid w:val="00912D2F"/>
    <w:rsid w:val="00912D4F"/>
    <w:rsid w:val="009135C1"/>
    <w:rsid w:val="009135E4"/>
    <w:rsid w:val="00913DD3"/>
    <w:rsid w:val="00913F34"/>
    <w:rsid w:val="00914270"/>
    <w:rsid w:val="00914281"/>
    <w:rsid w:val="009145A9"/>
    <w:rsid w:val="009146F3"/>
    <w:rsid w:val="00915293"/>
    <w:rsid w:val="0091531B"/>
    <w:rsid w:val="009157B9"/>
    <w:rsid w:val="00915C5D"/>
    <w:rsid w:val="0091662E"/>
    <w:rsid w:val="00916BD7"/>
    <w:rsid w:val="00916FA6"/>
    <w:rsid w:val="00917311"/>
    <w:rsid w:val="0091736C"/>
    <w:rsid w:val="009175FE"/>
    <w:rsid w:val="009208ED"/>
    <w:rsid w:val="009209FA"/>
    <w:rsid w:val="00920B96"/>
    <w:rsid w:val="00920DA8"/>
    <w:rsid w:val="00921206"/>
    <w:rsid w:val="00921608"/>
    <w:rsid w:val="00921961"/>
    <w:rsid w:val="00921C6E"/>
    <w:rsid w:val="00921EA9"/>
    <w:rsid w:val="00922090"/>
    <w:rsid w:val="00922B16"/>
    <w:rsid w:val="00922FCF"/>
    <w:rsid w:val="009243E7"/>
    <w:rsid w:val="00925264"/>
    <w:rsid w:val="009252C0"/>
    <w:rsid w:val="0092588C"/>
    <w:rsid w:val="009259F9"/>
    <w:rsid w:val="00925E39"/>
    <w:rsid w:val="00926A4C"/>
    <w:rsid w:val="00927323"/>
    <w:rsid w:val="00930897"/>
    <w:rsid w:val="009315DF"/>
    <w:rsid w:val="0093220C"/>
    <w:rsid w:val="00932B2C"/>
    <w:rsid w:val="00932E05"/>
    <w:rsid w:val="00934631"/>
    <w:rsid w:val="00934DD0"/>
    <w:rsid w:val="009355E4"/>
    <w:rsid w:val="00935E68"/>
    <w:rsid w:val="009361CF"/>
    <w:rsid w:val="0093629D"/>
    <w:rsid w:val="0093696C"/>
    <w:rsid w:val="00937158"/>
    <w:rsid w:val="00940698"/>
    <w:rsid w:val="00941520"/>
    <w:rsid w:val="009419EE"/>
    <w:rsid w:val="00941C10"/>
    <w:rsid w:val="00941DB5"/>
    <w:rsid w:val="00942048"/>
    <w:rsid w:val="009425C7"/>
    <w:rsid w:val="00942832"/>
    <w:rsid w:val="00942AE8"/>
    <w:rsid w:val="00942CAA"/>
    <w:rsid w:val="00942EDD"/>
    <w:rsid w:val="00943443"/>
    <w:rsid w:val="00943523"/>
    <w:rsid w:val="009436CE"/>
    <w:rsid w:val="009438EA"/>
    <w:rsid w:val="00943ABC"/>
    <w:rsid w:val="00943B13"/>
    <w:rsid w:val="00943CF0"/>
    <w:rsid w:val="00944BFA"/>
    <w:rsid w:val="00944F13"/>
    <w:rsid w:val="00945336"/>
    <w:rsid w:val="009458BA"/>
    <w:rsid w:val="00946450"/>
    <w:rsid w:val="00946656"/>
    <w:rsid w:val="009471B3"/>
    <w:rsid w:val="00947693"/>
    <w:rsid w:val="0095119D"/>
    <w:rsid w:val="00951CB8"/>
    <w:rsid w:val="0095200D"/>
    <w:rsid w:val="00952C4C"/>
    <w:rsid w:val="00952DAE"/>
    <w:rsid w:val="00953C19"/>
    <w:rsid w:val="00954055"/>
    <w:rsid w:val="009542A3"/>
    <w:rsid w:val="009545EB"/>
    <w:rsid w:val="00954882"/>
    <w:rsid w:val="0095583D"/>
    <w:rsid w:val="009559A5"/>
    <w:rsid w:val="00955EF1"/>
    <w:rsid w:val="00956170"/>
    <w:rsid w:val="00956A78"/>
    <w:rsid w:val="009576BA"/>
    <w:rsid w:val="00957747"/>
    <w:rsid w:val="009577C6"/>
    <w:rsid w:val="00957A60"/>
    <w:rsid w:val="00957F26"/>
    <w:rsid w:val="00960D41"/>
    <w:rsid w:val="00961238"/>
    <w:rsid w:val="0096179C"/>
    <w:rsid w:val="0096281D"/>
    <w:rsid w:val="009639BD"/>
    <w:rsid w:val="00963DE5"/>
    <w:rsid w:val="0096404F"/>
    <w:rsid w:val="0096450E"/>
    <w:rsid w:val="0096482D"/>
    <w:rsid w:val="00964BAF"/>
    <w:rsid w:val="00964DE9"/>
    <w:rsid w:val="00965494"/>
    <w:rsid w:val="00965B74"/>
    <w:rsid w:val="00965E10"/>
    <w:rsid w:val="00965ECE"/>
    <w:rsid w:val="00965FBA"/>
    <w:rsid w:val="009665F7"/>
    <w:rsid w:val="009667D3"/>
    <w:rsid w:val="00966821"/>
    <w:rsid w:val="00966AD9"/>
    <w:rsid w:val="00966D25"/>
    <w:rsid w:val="00967227"/>
    <w:rsid w:val="00967544"/>
    <w:rsid w:val="00967F76"/>
    <w:rsid w:val="00967FB5"/>
    <w:rsid w:val="009711BF"/>
    <w:rsid w:val="009711EC"/>
    <w:rsid w:val="00971511"/>
    <w:rsid w:val="00971BF6"/>
    <w:rsid w:val="00971D9B"/>
    <w:rsid w:val="00971E41"/>
    <w:rsid w:val="00972C13"/>
    <w:rsid w:val="00972FBE"/>
    <w:rsid w:val="009730E0"/>
    <w:rsid w:val="00974184"/>
    <w:rsid w:val="00974463"/>
    <w:rsid w:val="00974894"/>
    <w:rsid w:val="00974F12"/>
    <w:rsid w:val="00975B56"/>
    <w:rsid w:val="00975E10"/>
    <w:rsid w:val="00976706"/>
    <w:rsid w:val="00976B74"/>
    <w:rsid w:val="00977514"/>
    <w:rsid w:val="009776A0"/>
    <w:rsid w:val="009804CA"/>
    <w:rsid w:val="0098083B"/>
    <w:rsid w:val="00981817"/>
    <w:rsid w:val="00981A50"/>
    <w:rsid w:val="00981A62"/>
    <w:rsid w:val="00981D30"/>
    <w:rsid w:val="00981FE5"/>
    <w:rsid w:val="009828AC"/>
    <w:rsid w:val="00983C28"/>
    <w:rsid w:val="00984005"/>
    <w:rsid w:val="009843C7"/>
    <w:rsid w:val="009847D8"/>
    <w:rsid w:val="00984D83"/>
    <w:rsid w:val="00985283"/>
    <w:rsid w:val="00985461"/>
    <w:rsid w:val="00985786"/>
    <w:rsid w:val="00985C66"/>
    <w:rsid w:val="00986237"/>
    <w:rsid w:val="0098690A"/>
    <w:rsid w:val="00987217"/>
    <w:rsid w:val="0098728E"/>
    <w:rsid w:val="009876CC"/>
    <w:rsid w:val="00990D83"/>
    <w:rsid w:val="009910F6"/>
    <w:rsid w:val="00991281"/>
    <w:rsid w:val="009914DF"/>
    <w:rsid w:val="00991CCB"/>
    <w:rsid w:val="00991EA2"/>
    <w:rsid w:val="0099225E"/>
    <w:rsid w:val="009923F1"/>
    <w:rsid w:val="00992587"/>
    <w:rsid w:val="009925B4"/>
    <w:rsid w:val="00992E44"/>
    <w:rsid w:val="00992E91"/>
    <w:rsid w:val="00993682"/>
    <w:rsid w:val="00993D02"/>
    <w:rsid w:val="00994AA8"/>
    <w:rsid w:val="00994D3C"/>
    <w:rsid w:val="00995373"/>
    <w:rsid w:val="00995380"/>
    <w:rsid w:val="00995569"/>
    <w:rsid w:val="00995814"/>
    <w:rsid w:val="00995898"/>
    <w:rsid w:val="00995977"/>
    <w:rsid w:val="00995D7E"/>
    <w:rsid w:val="00996690"/>
    <w:rsid w:val="00996CB5"/>
    <w:rsid w:val="00997056"/>
    <w:rsid w:val="009971F8"/>
    <w:rsid w:val="009973CB"/>
    <w:rsid w:val="00997F5A"/>
    <w:rsid w:val="009A15D6"/>
    <w:rsid w:val="009A1A97"/>
    <w:rsid w:val="009A243F"/>
    <w:rsid w:val="009A27DE"/>
    <w:rsid w:val="009A293B"/>
    <w:rsid w:val="009A2A0E"/>
    <w:rsid w:val="009A2D8A"/>
    <w:rsid w:val="009A2E81"/>
    <w:rsid w:val="009A2EE1"/>
    <w:rsid w:val="009A3206"/>
    <w:rsid w:val="009A3AEF"/>
    <w:rsid w:val="009A40B4"/>
    <w:rsid w:val="009A411B"/>
    <w:rsid w:val="009A4D53"/>
    <w:rsid w:val="009A5138"/>
    <w:rsid w:val="009A51FB"/>
    <w:rsid w:val="009A589A"/>
    <w:rsid w:val="009A58F7"/>
    <w:rsid w:val="009A5E88"/>
    <w:rsid w:val="009A6349"/>
    <w:rsid w:val="009A6C3D"/>
    <w:rsid w:val="009A6F33"/>
    <w:rsid w:val="009A71D6"/>
    <w:rsid w:val="009A75DE"/>
    <w:rsid w:val="009A7916"/>
    <w:rsid w:val="009A7BF0"/>
    <w:rsid w:val="009B0769"/>
    <w:rsid w:val="009B0AB2"/>
    <w:rsid w:val="009B0FAB"/>
    <w:rsid w:val="009B1722"/>
    <w:rsid w:val="009B17AE"/>
    <w:rsid w:val="009B253B"/>
    <w:rsid w:val="009B254A"/>
    <w:rsid w:val="009B28BF"/>
    <w:rsid w:val="009B462F"/>
    <w:rsid w:val="009B52DC"/>
    <w:rsid w:val="009B59D5"/>
    <w:rsid w:val="009B5C97"/>
    <w:rsid w:val="009B5EA2"/>
    <w:rsid w:val="009B636F"/>
    <w:rsid w:val="009B64F5"/>
    <w:rsid w:val="009B7026"/>
    <w:rsid w:val="009B71B6"/>
    <w:rsid w:val="009C02B3"/>
    <w:rsid w:val="009C0346"/>
    <w:rsid w:val="009C0A64"/>
    <w:rsid w:val="009C10C5"/>
    <w:rsid w:val="009C11A5"/>
    <w:rsid w:val="009C1597"/>
    <w:rsid w:val="009C1DCA"/>
    <w:rsid w:val="009C3A5D"/>
    <w:rsid w:val="009C48DA"/>
    <w:rsid w:val="009C4B03"/>
    <w:rsid w:val="009C642C"/>
    <w:rsid w:val="009C69FB"/>
    <w:rsid w:val="009C7048"/>
    <w:rsid w:val="009C7398"/>
    <w:rsid w:val="009C7863"/>
    <w:rsid w:val="009C7F50"/>
    <w:rsid w:val="009D036C"/>
    <w:rsid w:val="009D046C"/>
    <w:rsid w:val="009D127A"/>
    <w:rsid w:val="009D1891"/>
    <w:rsid w:val="009D1993"/>
    <w:rsid w:val="009D1D95"/>
    <w:rsid w:val="009D2562"/>
    <w:rsid w:val="009D2A67"/>
    <w:rsid w:val="009D2E2F"/>
    <w:rsid w:val="009D2E4A"/>
    <w:rsid w:val="009D2EB4"/>
    <w:rsid w:val="009D3374"/>
    <w:rsid w:val="009D3417"/>
    <w:rsid w:val="009D34CA"/>
    <w:rsid w:val="009D36C3"/>
    <w:rsid w:val="009D3973"/>
    <w:rsid w:val="009D39B4"/>
    <w:rsid w:val="009D3BD6"/>
    <w:rsid w:val="009D3F90"/>
    <w:rsid w:val="009D41AF"/>
    <w:rsid w:val="009D459A"/>
    <w:rsid w:val="009D4CBA"/>
    <w:rsid w:val="009D5065"/>
    <w:rsid w:val="009D54FA"/>
    <w:rsid w:val="009D5E5E"/>
    <w:rsid w:val="009D62BF"/>
    <w:rsid w:val="009D7034"/>
    <w:rsid w:val="009D77A6"/>
    <w:rsid w:val="009E05D2"/>
    <w:rsid w:val="009E0C67"/>
    <w:rsid w:val="009E0E1F"/>
    <w:rsid w:val="009E1589"/>
    <w:rsid w:val="009E17D5"/>
    <w:rsid w:val="009E196E"/>
    <w:rsid w:val="009E1D8A"/>
    <w:rsid w:val="009E1DCE"/>
    <w:rsid w:val="009E206A"/>
    <w:rsid w:val="009E21ED"/>
    <w:rsid w:val="009E2263"/>
    <w:rsid w:val="009E22D6"/>
    <w:rsid w:val="009E26F8"/>
    <w:rsid w:val="009E28DE"/>
    <w:rsid w:val="009E2DE7"/>
    <w:rsid w:val="009E312D"/>
    <w:rsid w:val="009E496C"/>
    <w:rsid w:val="009E5235"/>
    <w:rsid w:val="009E529D"/>
    <w:rsid w:val="009E5388"/>
    <w:rsid w:val="009E5485"/>
    <w:rsid w:val="009E5D8D"/>
    <w:rsid w:val="009E5F05"/>
    <w:rsid w:val="009E690F"/>
    <w:rsid w:val="009E6CAF"/>
    <w:rsid w:val="009E6F40"/>
    <w:rsid w:val="009E75BE"/>
    <w:rsid w:val="009E7B79"/>
    <w:rsid w:val="009E7BF9"/>
    <w:rsid w:val="009F001C"/>
    <w:rsid w:val="009F00BB"/>
    <w:rsid w:val="009F00C2"/>
    <w:rsid w:val="009F0738"/>
    <w:rsid w:val="009F19BD"/>
    <w:rsid w:val="009F2146"/>
    <w:rsid w:val="009F218E"/>
    <w:rsid w:val="009F2C2D"/>
    <w:rsid w:val="009F2C95"/>
    <w:rsid w:val="009F2CC3"/>
    <w:rsid w:val="009F3517"/>
    <w:rsid w:val="009F38A4"/>
    <w:rsid w:val="009F43CA"/>
    <w:rsid w:val="009F52AF"/>
    <w:rsid w:val="009F53D0"/>
    <w:rsid w:val="009F5A0E"/>
    <w:rsid w:val="009F5E72"/>
    <w:rsid w:val="009F6FA1"/>
    <w:rsid w:val="009F6FDD"/>
    <w:rsid w:val="009F785A"/>
    <w:rsid w:val="009F7874"/>
    <w:rsid w:val="009F7DF4"/>
    <w:rsid w:val="00A00874"/>
    <w:rsid w:val="00A00CF8"/>
    <w:rsid w:val="00A00D9D"/>
    <w:rsid w:val="00A00FCD"/>
    <w:rsid w:val="00A010FE"/>
    <w:rsid w:val="00A016F8"/>
    <w:rsid w:val="00A01BCA"/>
    <w:rsid w:val="00A01EE9"/>
    <w:rsid w:val="00A02779"/>
    <w:rsid w:val="00A02B3B"/>
    <w:rsid w:val="00A0382A"/>
    <w:rsid w:val="00A03DC3"/>
    <w:rsid w:val="00A03E7E"/>
    <w:rsid w:val="00A0532B"/>
    <w:rsid w:val="00A0553A"/>
    <w:rsid w:val="00A05D7F"/>
    <w:rsid w:val="00A05F00"/>
    <w:rsid w:val="00A0611A"/>
    <w:rsid w:val="00A06370"/>
    <w:rsid w:val="00A06455"/>
    <w:rsid w:val="00A06610"/>
    <w:rsid w:val="00A0684E"/>
    <w:rsid w:val="00A06DBE"/>
    <w:rsid w:val="00A06E82"/>
    <w:rsid w:val="00A071E6"/>
    <w:rsid w:val="00A07223"/>
    <w:rsid w:val="00A07311"/>
    <w:rsid w:val="00A07A63"/>
    <w:rsid w:val="00A07E1A"/>
    <w:rsid w:val="00A10258"/>
    <w:rsid w:val="00A1058B"/>
    <w:rsid w:val="00A10808"/>
    <w:rsid w:val="00A10AEA"/>
    <w:rsid w:val="00A1134E"/>
    <w:rsid w:val="00A11DDD"/>
    <w:rsid w:val="00A12002"/>
    <w:rsid w:val="00A1217D"/>
    <w:rsid w:val="00A12D75"/>
    <w:rsid w:val="00A12D96"/>
    <w:rsid w:val="00A13141"/>
    <w:rsid w:val="00A136E0"/>
    <w:rsid w:val="00A13EF3"/>
    <w:rsid w:val="00A14065"/>
    <w:rsid w:val="00A14454"/>
    <w:rsid w:val="00A1499A"/>
    <w:rsid w:val="00A14F32"/>
    <w:rsid w:val="00A15008"/>
    <w:rsid w:val="00A15047"/>
    <w:rsid w:val="00A16083"/>
    <w:rsid w:val="00A16AFF"/>
    <w:rsid w:val="00A170F2"/>
    <w:rsid w:val="00A17766"/>
    <w:rsid w:val="00A17A38"/>
    <w:rsid w:val="00A2090B"/>
    <w:rsid w:val="00A20F44"/>
    <w:rsid w:val="00A21381"/>
    <w:rsid w:val="00A2147E"/>
    <w:rsid w:val="00A2203C"/>
    <w:rsid w:val="00A221A3"/>
    <w:rsid w:val="00A22345"/>
    <w:rsid w:val="00A22B5F"/>
    <w:rsid w:val="00A23041"/>
    <w:rsid w:val="00A23929"/>
    <w:rsid w:val="00A23C07"/>
    <w:rsid w:val="00A24B4B"/>
    <w:rsid w:val="00A25C54"/>
    <w:rsid w:val="00A269F8"/>
    <w:rsid w:val="00A26AC0"/>
    <w:rsid w:val="00A27326"/>
    <w:rsid w:val="00A27B97"/>
    <w:rsid w:val="00A27E70"/>
    <w:rsid w:val="00A27FA7"/>
    <w:rsid w:val="00A300F2"/>
    <w:rsid w:val="00A30166"/>
    <w:rsid w:val="00A3077F"/>
    <w:rsid w:val="00A30972"/>
    <w:rsid w:val="00A30E06"/>
    <w:rsid w:val="00A31296"/>
    <w:rsid w:val="00A31473"/>
    <w:rsid w:val="00A31538"/>
    <w:rsid w:val="00A31677"/>
    <w:rsid w:val="00A31B6F"/>
    <w:rsid w:val="00A320D7"/>
    <w:rsid w:val="00A322B3"/>
    <w:rsid w:val="00A322E2"/>
    <w:rsid w:val="00A324E9"/>
    <w:rsid w:val="00A3286A"/>
    <w:rsid w:val="00A3286D"/>
    <w:rsid w:val="00A32D74"/>
    <w:rsid w:val="00A3345B"/>
    <w:rsid w:val="00A3361C"/>
    <w:rsid w:val="00A33879"/>
    <w:rsid w:val="00A33C90"/>
    <w:rsid w:val="00A33E46"/>
    <w:rsid w:val="00A3448F"/>
    <w:rsid w:val="00A3489C"/>
    <w:rsid w:val="00A34B90"/>
    <w:rsid w:val="00A34C10"/>
    <w:rsid w:val="00A35F11"/>
    <w:rsid w:val="00A369CD"/>
    <w:rsid w:val="00A3733D"/>
    <w:rsid w:val="00A37D26"/>
    <w:rsid w:val="00A4054A"/>
    <w:rsid w:val="00A40CD1"/>
    <w:rsid w:val="00A41719"/>
    <w:rsid w:val="00A41F53"/>
    <w:rsid w:val="00A424D2"/>
    <w:rsid w:val="00A426AE"/>
    <w:rsid w:val="00A42E51"/>
    <w:rsid w:val="00A42F1C"/>
    <w:rsid w:val="00A43CA5"/>
    <w:rsid w:val="00A43E87"/>
    <w:rsid w:val="00A44236"/>
    <w:rsid w:val="00A44579"/>
    <w:rsid w:val="00A448F2"/>
    <w:rsid w:val="00A44B7C"/>
    <w:rsid w:val="00A450DD"/>
    <w:rsid w:val="00A45550"/>
    <w:rsid w:val="00A45872"/>
    <w:rsid w:val="00A45A74"/>
    <w:rsid w:val="00A45D18"/>
    <w:rsid w:val="00A45F94"/>
    <w:rsid w:val="00A46031"/>
    <w:rsid w:val="00A46070"/>
    <w:rsid w:val="00A46A56"/>
    <w:rsid w:val="00A46D40"/>
    <w:rsid w:val="00A46DCC"/>
    <w:rsid w:val="00A47158"/>
    <w:rsid w:val="00A47950"/>
    <w:rsid w:val="00A50293"/>
    <w:rsid w:val="00A508A6"/>
    <w:rsid w:val="00A50CB7"/>
    <w:rsid w:val="00A50D67"/>
    <w:rsid w:val="00A5132B"/>
    <w:rsid w:val="00A51D18"/>
    <w:rsid w:val="00A51E08"/>
    <w:rsid w:val="00A537A5"/>
    <w:rsid w:val="00A54702"/>
    <w:rsid w:val="00A5563C"/>
    <w:rsid w:val="00A557CC"/>
    <w:rsid w:val="00A55D28"/>
    <w:rsid w:val="00A56B73"/>
    <w:rsid w:val="00A570CE"/>
    <w:rsid w:val="00A57490"/>
    <w:rsid w:val="00A57730"/>
    <w:rsid w:val="00A607D6"/>
    <w:rsid w:val="00A60BD7"/>
    <w:rsid w:val="00A60CAC"/>
    <w:rsid w:val="00A6108A"/>
    <w:rsid w:val="00A611D6"/>
    <w:rsid w:val="00A611E0"/>
    <w:rsid w:val="00A61214"/>
    <w:rsid w:val="00A61377"/>
    <w:rsid w:val="00A613F1"/>
    <w:rsid w:val="00A61881"/>
    <w:rsid w:val="00A621B0"/>
    <w:rsid w:val="00A62233"/>
    <w:rsid w:val="00A62282"/>
    <w:rsid w:val="00A62BFA"/>
    <w:rsid w:val="00A62D01"/>
    <w:rsid w:val="00A62D59"/>
    <w:rsid w:val="00A6311F"/>
    <w:rsid w:val="00A63416"/>
    <w:rsid w:val="00A6381D"/>
    <w:rsid w:val="00A639DE"/>
    <w:rsid w:val="00A649FA"/>
    <w:rsid w:val="00A650D0"/>
    <w:rsid w:val="00A65299"/>
    <w:rsid w:val="00A65463"/>
    <w:rsid w:val="00A65C6D"/>
    <w:rsid w:val="00A660D1"/>
    <w:rsid w:val="00A66523"/>
    <w:rsid w:val="00A67156"/>
    <w:rsid w:val="00A675A9"/>
    <w:rsid w:val="00A67A25"/>
    <w:rsid w:val="00A70180"/>
    <w:rsid w:val="00A70391"/>
    <w:rsid w:val="00A70E9A"/>
    <w:rsid w:val="00A7119B"/>
    <w:rsid w:val="00A713C2"/>
    <w:rsid w:val="00A71AFF"/>
    <w:rsid w:val="00A7213E"/>
    <w:rsid w:val="00A72449"/>
    <w:rsid w:val="00A72D73"/>
    <w:rsid w:val="00A73EFE"/>
    <w:rsid w:val="00A74307"/>
    <w:rsid w:val="00A751A1"/>
    <w:rsid w:val="00A75E72"/>
    <w:rsid w:val="00A75F95"/>
    <w:rsid w:val="00A76312"/>
    <w:rsid w:val="00A76F47"/>
    <w:rsid w:val="00A771A4"/>
    <w:rsid w:val="00A7724B"/>
    <w:rsid w:val="00A7724C"/>
    <w:rsid w:val="00A774F9"/>
    <w:rsid w:val="00A77D36"/>
    <w:rsid w:val="00A80018"/>
    <w:rsid w:val="00A805D0"/>
    <w:rsid w:val="00A8067C"/>
    <w:rsid w:val="00A8094E"/>
    <w:rsid w:val="00A81521"/>
    <w:rsid w:val="00A8206A"/>
    <w:rsid w:val="00A82152"/>
    <w:rsid w:val="00A8297E"/>
    <w:rsid w:val="00A8303A"/>
    <w:rsid w:val="00A8316F"/>
    <w:rsid w:val="00A8322C"/>
    <w:rsid w:val="00A8346F"/>
    <w:rsid w:val="00A83528"/>
    <w:rsid w:val="00A83756"/>
    <w:rsid w:val="00A84413"/>
    <w:rsid w:val="00A849AB"/>
    <w:rsid w:val="00A849FE"/>
    <w:rsid w:val="00A84D9F"/>
    <w:rsid w:val="00A84FEC"/>
    <w:rsid w:val="00A851A8"/>
    <w:rsid w:val="00A858AC"/>
    <w:rsid w:val="00A85A6A"/>
    <w:rsid w:val="00A86989"/>
    <w:rsid w:val="00A86A21"/>
    <w:rsid w:val="00A8718F"/>
    <w:rsid w:val="00A8757F"/>
    <w:rsid w:val="00A87A65"/>
    <w:rsid w:val="00A87AB1"/>
    <w:rsid w:val="00A87F94"/>
    <w:rsid w:val="00A900AA"/>
    <w:rsid w:val="00A908EF"/>
    <w:rsid w:val="00A911C9"/>
    <w:rsid w:val="00A91614"/>
    <w:rsid w:val="00A91BE0"/>
    <w:rsid w:val="00A91D8C"/>
    <w:rsid w:val="00A91E92"/>
    <w:rsid w:val="00A92468"/>
    <w:rsid w:val="00A92F87"/>
    <w:rsid w:val="00A94458"/>
    <w:rsid w:val="00A94595"/>
    <w:rsid w:val="00A94A05"/>
    <w:rsid w:val="00A94CC9"/>
    <w:rsid w:val="00A957EF"/>
    <w:rsid w:val="00A95C51"/>
    <w:rsid w:val="00A96018"/>
    <w:rsid w:val="00A9604A"/>
    <w:rsid w:val="00A96159"/>
    <w:rsid w:val="00A96D79"/>
    <w:rsid w:val="00A97060"/>
    <w:rsid w:val="00A974FA"/>
    <w:rsid w:val="00AA041B"/>
    <w:rsid w:val="00AA050B"/>
    <w:rsid w:val="00AA0B92"/>
    <w:rsid w:val="00AA109D"/>
    <w:rsid w:val="00AA1494"/>
    <w:rsid w:val="00AA1876"/>
    <w:rsid w:val="00AA199D"/>
    <w:rsid w:val="00AA2FB1"/>
    <w:rsid w:val="00AA3821"/>
    <w:rsid w:val="00AA4A55"/>
    <w:rsid w:val="00AA4BB6"/>
    <w:rsid w:val="00AA4E93"/>
    <w:rsid w:val="00AA5618"/>
    <w:rsid w:val="00AA5BB4"/>
    <w:rsid w:val="00AA5DD6"/>
    <w:rsid w:val="00AA5FFD"/>
    <w:rsid w:val="00AA6362"/>
    <w:rsid w:val="00AA6866"/>
    <w:rsid w:val="00AA6D00"/>
    <w:rsid w:val="00AA72B6"/>
    <w:rsid w:val="00AA74A8"/>
    <w:rsid w:val="00AA781A"/>
    <w:rsid w:val="00AA7A38"/>
    <w:rsid w:val="00AB0576"/>
    <w:rsid w:val="00AB0DF6"/>
    <w:rsid w:val="00AB0EFD"/>
    <w:rsid w:val="00AB11CC"/>
    <w:rsid w:val="00AB12A3"/>
    <w:rsid w:val="00AB19A8"/>
    <w:rsid w:val="00AB1E07"/>
    <w:rsid w:val="00AB1ED5"/>
    <w:rsid w:val="00AB1EF4"/>
    <w:rsid w:val="00AB1F71"/>
    <w:rsid w:val="00AB2318"/>
    <w:rsid w:val="00AB2396"/>
    <w:rsid w:val="00AB2A52"/>
    <w:rsid w:val="00AB3047"/>
    <w:rsid w:val="00AB3A67"/>
    <w:rsid w:val="00AB3E82"/>
    <w:rsid w:val="00AB4250"/>
    <w:rsid w:val="00AB42EE"/>
    <w:rsid w:val="00AB59A0"/>
    <w:rsid w:val="00AB5C0B"/>
    <w:rsid w:val="00AB608D"/>
    <w:rsid w:val="00AB6472"/>
    <w:rsid w:val="00AB6931"/>
    <w:rsid w:val="00AB6CB2"/>
    <w:rsid w:val="00AB6F85"/>
    <w:rsid w:val="00AB7112"/>
    <w:rsid w:val="00AB77E1"/>
    <w:rsid w:val="00AB78C5"/>
    <w:rsid w:val="00AB7E0C"/>
    <w:rsid w:val="00AC0189"/>
    <w:rsid w:val="00AC03FE"/>
    <w:rsid w:val="00AC0A74"/>
    <w:rsid w:val="00AC0C84"/>
    <w:rsid w:val="00AC146C"/>
    <w:rsid w:val="00AC17C2"/>
    <w:rsid w:val="00AC198E"/>
    <w:rsid w:val="00AC1CB0"/>
    <w:rsid w:val="00AC1E62"/>
    <w:rsid w:val="00AC2BF6"/>
    <w:rsid w:val="00AC2F82"/>
    <w:rsid w:val="00AC30C1"/>
    <w:rsid w:val="00AC3182"/>
    <w:rsid w:val="00AC33C3"/>
    <w:rsid w:val="00AC430A"/>
    <w:rsid w:val="00AC629B"/>
    <w:rsid w:val="00AC6F7F"/>
    <w:rsid w:val="00AC71C7"/>
    <w:rsid w:val="00AC7884"/>
    <w:rsid w:val="00AD04D3"/>
    <w:rsid w:val="00AD12A0"/>
    <w:rsid w:val="00AD1332"/>
    <w:rsid w:val="00AD22B1"/>
    <w:rsid w:val="00AD2621"/>
    <w:rsid w:val="00AD2CA9"/>
    <w:rsid w:val="00AD31F3"/>
    <w:rsid w:val="00AD32AC"/>
    <w:rsid w:val="00AD390B"/>
    <w:rsid w:val="00AD3B3C"/>
    <w:rsid w:val="00AD3D2B"/>
    <w:rsid w:val="00AD43EC"/>
    <w:rsid w:val="00AD4C33"/>
    <w:rsid w:val="00AD4C98"/>
    <w:rsid w:val="00AD4D59"/>
    <w:rsid w:val="00AD585C"/>
    <w:rsid w:val="00AD5D64"/>
    <w:rsid w:val="00AD7032"/>
    <w:rsid w:val="00AD717E"/>
    <w:rsid w:val="00AD7280"/>
    <w:rsid w:val="00AD74FF"/>
    <w:rsid w:val="00AD762A"/>
    <w:rsid w:val="00AD7D15"/>
    <w:rsid w:val="00AE0805"/>
    <w:rsid w:val="00AE12E4"/>
    <w:rsid w:val="00AE159A"/>
    <w:rsid w:val="00AE25A6"/>
    <w:rsid w:val="00AE2683"/>
    <w:rsid w:val="00AE26D4"/>
    <w:rsid w:val="00AE2D97"/>
    <w:rsid w:val="00AE2FEB"/>
    <w:rsid w:val="00AE36DA"/>
    <w:rsid w:val="00AE3763"/>
    <w:rsid w:val="00AE3B66"/>
    <w:rsid w:val="00AE3F53"/>
    <w:rsid w:val="00AE57E0"/>
    <w:rsid w:val="00AE6234"/>
    <w:rsid w:val="00AE7CD9"/>
    <w:rsid w:val="00AE7FAE"/>
    <w:rsid w:val="00AF0135"/>
    <w:rsid w:val="00AF03C4"/>
    <w:rsid w:val="00AF0C79"/>
    <w:rsid w:val="00AF15C2"/>
    <w:rsid w:val="00AF1E57"/>
    <w:rsid w:val="00AF214C"/>
    <w:rsid w:val="00AF2227"/>
    <w:rsid w:val="00AF257F"/>
    <w:rsid w:val="00AF27D9"/>
    <w:rsid w:val="00AF28F4"/>
    <w:rsid w:val="00AF2CBE"/>
    <w:rsid w:val="00AF3051"/>
    <w:rsid w:val="00AF34AF"/>
    <w:rsid w:val="00AF3A75"/>
    <w:rsid w:val="00AF3BDD"/>
    <w:rsid w:val="00AF4222"/>
    <w:rsid w:val="00AF4884"/>
    <w:rsid w:val="00AF48AF"/>
    <w:rsid w:val="00AF4A17"/>
    <w:rsid w:val="00AF4C23"/>
    <w:rsid w:val="00AF4E09"/>
    <w:rsid w:val="00AF5003"/>
    <w:rsid w:val="00AF5152"/>
    <w:rsid w:val="00AF60E2"/>
    <w:rsid w:val="00AF6AC5"/>
    <w:rsid w:val="00AF6E5C"/>
    <w:rsid w:val="00AF7801"/>
    <w:rsid w:val="00B00014"/>
    <w:rsid w:val="00B00E3A"/>
    <w:rsid w:val="00B0149C"/>
    <w:rsid w:val="00B017E9"/>
    <w:rsid w:val="00B01901"/>
    <w:rsid w:val="00B024DC"/>
    <w:rsid w:val="00B02522"/>
    <w:rsid w:val="00B02CF9"/>
    <w:rsid w:val="00B034C0"/>
    <w:rsid w:val="00B03519"/>
    <w:rsid w:val="00B0447C"/>
    <w:rsid w:val="00B049D7"/>
    <w:rsid w:val="00B05187"/>
    <w:rsid w:val="00B05238"/>
    <w:rsid w:val="00B05503"/>
    <w:rsid w:val="00B05871"/>
    <w:rsid w:val="00B06177"/>
    <w:rsid w:val="00B064BB"/>
    <w:rsid w:val="00B06641"/>
    <w:rsid w:val="00B07989"/>
    <w:rsid w:val="00B10400"/>
    <w:rsid w:val="00B10626"/>
    <w:rsid w:val="00B10A19"/>
    <w:rsid w:val="00B11968"/>
    <w:rsid w:val="00B11B36"/>
    <w:rsid w:val="00B11DCF"/>
    <w:rsid w:val="00B11E5A"/>
    <w:rsid w:val="00B1204C"/>
    <w:rsid w:val="00B12111"/>
    <w:rsid w:val="00B126B3"/>
    <w:rsid w:val="00B126E3"/>
    <w:rsid w:val="00B1286A"/>
    <w:rsid w:val="00B13C5F"/>
    <w:rsid w:val="00B14077"/>
    <w:rsid w:val="00B140B0"/>
    <w:rsid w:val="00B142E4"/>
    <w:rsid w:val="00B145B0"/>
    <w:rsid w:val="00B14B46"/>
    <w:rsid w:val="00B15617"/>
    <w:rsid w:val="00B16C0B"/>
    <w:rsid w:val="00B17554"/>
    <w:rsid w:val="00B17CEC"/>
    <w:rsid w:val="00B20885"/>
    <w:rsid w:val="00B209A8"/>
    <w:rsid w:val="00B2146D"/>
    <w:rsid w:val="00B214DF"/>
    <w:rsid w:val="00B21663"/>
    <w:rsid w:val="00B2230E"/>
    <w:rsid w:val="00B224D6"/>
    <w:rsid w:val="00B229F7"/>
    <w:rsid w:val="00B22D63"/>
    <w:rsid w:val="00B22DEB"/>
    <w:rsid w:val="00B22E77"/>
    <w:rsid w:val="00B244CB"/>
    <w:rsid w:val="00B24683"/>
    <w:rsid w:val="00B24C21"/>
    <w:rsid w:val="00B24D4C"/>
    <w:rsid w:val="00B255E9"/>
    <w:rsid w:val="00B258B8"/>
    <w:rsid w:val="00B2631D"/>
    <w:rsid w:val="00B2632F"/>
    <w:rsid w:val="00B2649A"/>
    <w:rsid w:val="00B26724"/>
    <w:rsid w:val="00B27080"/>
    <w:rsid w:val="00B272A9"/>
    <w:rsid w:val="00B272EE"/>
    <w:rsid w:val="00B300E1"/>
    <w:rsid w:val="00B3011B"/>
    <w:rsid w:val="00B308C5"/>
    <w:rsid w:val="00B30A4A"/>
    <w:rsid w:val="00B30BF6"/>
    <w:rsid w:val="00B3141B"/>
    <w:rsid w:val="00B319AF"/>
    <w:rsid w:val="00B31A36"/>
    <w:rsid w:val="00B31D62"/>
    <w:rsid w:val="00B32375"/>
    <w:rsid w:val="00B32447"/>
    <w:rsid w:val="00B32DD0"/>
    <w:rsid w:val="00B334ED"/>
    <w:rsid w:val="00B33C05"/>
    <w:rsid w:val="00B33C2B"/>
    <w:rsid w:val="00B33D1B"/>
    <w:rsid w:val="00B33E8A"/>
    <w:rsid w:val="00B3427B"/>
    <w:rsid w:val="00B3440E"/>
    <w:rsid w:val="00B3466D"/>
    <w:rsid w:val="00B3467D"/>
    <w:rsid w:val="00B34C69"/>
    <w:rsid w:val="00B34D90"/>
    <w:rsid w:val="00B350BF"/>
    <w:rsid w:val="00B351D9"/>
    <w:rsid w:val="00B35279"/>
    <w:rsid w:val="00B36CFA"/>
    <w:rsid w:val="00B37189"/>
    <w:rsid w:val="00B37FF4"/>
    <w:rsid w:val="00B40944"/>
    <w:rsid w:val="00B40999"/>
    <w:rsid w:val="00B40D73"/>
    <w:rsid w:val="00B417BB"/>
    <w:rsid w:val="00B424CD"/>
    <w:rsid w:val="00B436DE"/>
    <w:rsid w:val="00B43A66"/>
    <w:rsid w:val="00B43BE9"/>
    <w:rsid w:val="00B43FC3"/>
    <w:rsid w:val="00B4430E"/>
    <w:rsid w:val="00B44C9E"/>
    <w:rsid w:val="00B45864"/>
    <w:rsid w:val="00B4668B"/>
    <w:rsid w:val="00B46715"/>
    <w:rsid w:val="00B47F06"/>
    <w:rsid w:val="00B503AE"/>
    <w:rsid w:val="00B506D1"/>
    <w:rsid w:val="00B5072D"/>
    <w:rsid w:val="00B50C7F"/>
    <w:rsid w:val="00B50E28"/>
    <w:rsid w:val="00B5120A"/>
    <w:rsid w:val="00B5159B"/>
    <w:rsid w:val="00B52E19"/>
    <w:rsid w:val="00B5349C"/>
    <w:rsid w:val="00B5386D"/>
    <w:rsid w:val="00B539F9"/>
    <w:rsid w:val="00B54165"/>
    <w:rsid w:val="00B541E8"/>
    <w:rsid w:val="00B54AD5"/>
    <w:rsid w:val="00B54F7D"/>
    <w:rsid w:val="00B5535B"/>
    <w:rsid w:val="00B555E7"/>
    <w:rsid w:val="00B55B77"/>
    <w:rsid w:val="00B5609F"/>
    <w:rsid w:val="00B56736"/>
    <w:rsid w:val="00B56C81"/>
    <w:rsid w:val="00B5733C"/>
    <w:rsid w:val="00B57983"/>
    <w:rsid w:val="00B57B93"/>
    <w:rsid w:val="00B57BD9"/>
    <w:rsid w:val="00B600A0"/>
    <w:rsid w:val="00B60142"/>
    <w:rsid w:val="00B6016A"/>
    <w:rsid w:val="00B6037B"/>
    <w:rsid w:val="00B6106A"/>
    <w:rsid w:val="00B6115F"/>
    <w:rsid w:val="00B61273"/>
    <w:rsid w:val="00B6252A"/>
    <w:rsid w:val="00B62D7D"/>
    <w:rsid w:val="00B62D8A"/>
    <w:rsid w:val="00B63C0F"/>
    <w:rsid w:val="00B63FC9"/>
    <w:rsid w:val="00B6469E"/>
    <w:rsid w:val="00B646A5"/>
    <w:rsid w:val="00B64FE7"/>
    <w:rsid w:val="00B65609"/>
    <w:rsid w:val="00B65A8C"/>
    <w:rsid w:val="00B65EA3"/>
    <w:rsid w:val="00B669DD"/>
    <w:rsid w:val="00B67E7E"/>
    <w:rsid w:val="00B70D99"/>
    <w:rsid w:val="00B71048"/>
    <w:rsid w:val="00B7143A"/>
    <w:rsid w:val="00B725B2"/>
    <w:rsid w:val="00B72BE5"/>
    <w:rsid w:val="00B72F37"/>
    <w:rsid w:val="00B73286"/>
    <w:rsid w:val="00B73675"/>
    <w:rsid w:val="00B7373D"/>
    <w:rsid w:val="00B73898"/>
    <w:rsid w:val="00B73FB5"/>
    <w:rsid w:val="00B741B6"/>
    <w:rsid w:val="00B74C31"/>
    <w:rsid w:val="00B75874"/>
    <w:rsid w:val="00B75A86"/>
    <w:rsid w:val="00B7675E"/>
    <w:rsid w:val="00B76A70"/>
    <w:rsid w:val="00B76D76"/>
    <w:rsid w:val="00B76FA1"/>
    <w:rsid w:val="00B801BC"/>
    <w:rsid w:val="00B80484"/>
    <w:rsid w:val="00B809CA"/>
    <w:rsid w:val="00B80B42"/>
    <w:rsid w:val="00B80E6D"/>
    <w:rsid w:val="00B8115A"/>
    <w:rsid w:val="00B81318"/>
    <w:rsid w:val="00B8137C"/>
    <w:rsid w:val="00B81836"/>
    <w:rsid w:val="00B82680"/>
    <w:rsid w:val="00B8295A"/>
    <w:rsid w:val="00B82BE4"/>
    <w:rsid w:val="00B82C42"/>
    <w:rsid w:val="00B8327B"/>
    <w:rsid w:val="00B83BBB"/>
    <w:rsid w:val="00B83CD9"/>
    <w:rsid w:val="00B83FD0"/>
    <w:rsid w:val="00B847F0"/>
    <w:rsid w:val="00B84F94"/>
    <w:rsid w:val="00B8563A"/>
    <w:rsid w:val="00B85667"/>
    <w:rsid w:val="00B8589F"/>
    <w:rsid w:val="00B859EC"/>
    <w:rsid w:val="00B85B1A"/>
    <w:rsid w:val="00B85FA5"/>
    <w:rsid w:val="00B86507"/>
    <w:rsid w:val="00B866C1"/>
    <w:rsid w:val="00B86ADC"/>
    <w:rsid w:val="00B86EE6"/>
    <w:rsid w:val="00B87460"/>
    <w:rsid w:val="00B8759E"/>
    <w:rsid w:val="00B87B9F"/>
    <w:rsid w:val="00B87C06"/>
    <w:rsid w:val="00B87F4A"/>
    <w:rsid w:val="00B90C7E"/>
    <w:rsid w:val="00B914A3"/>
    <w:rsid w:val="00B91F39"/>
    <w:rsid w:val="00B929D7"/>
    <w:rsid w:val="00B93FC9"/>
    <w:rsid w:val="00B94A7B"/>
    <w:rsid w:val="00B94B78"/>
    <w:rsid w:val="00B9511C"/>
    <w:rsid w:val="00B965E9"/>
    <w:rsid w:val="00B96A20"/>
    <w:rsid w:val="00B96D6A"/>
    <w:rsid w:val="00B9717F"/>
    <w:rsid w:val="00B972AB"/>
    <w:rsid w:val="00B9765B"/>
    <w:rsid w:val="00B976B2"/>
    <w:rsid w:val="00B97961"/>
    <w:rsid w:val="00B97B48"/>
    <w:rsid w:val="00B97D9A"/>
    <w:rsid w:val="00BA0547"/>
    <w:rsid w:val="00BA0736"/>
    <w:rsid w:val="00BA0756"/>
    <w:rsid w:val="00BA1153"/>
    <w:rsid w:val="00BA17B6"/>
    <w:rsid w:val="00BA1DB0"/>
    <w:rsid w:val="00BA205F"/>
    <w:rsid w:val="00BA21CE"/>
    <w:rsid w:val="00BA231D"/>
    <w:rsid w:val="00BA3ADF"/>
    <w:rsid w:val="00BA3BA1"/>
    <w:rsid w:val="00BA3F47"/>
    <w:rsid w:val="00BA4137"/>
    <w:rsid w:val="00BA44A8"/>
    <w:rsid w:val="00BA481E"/>
    <w:rsid w:val="00BA4B22"/>
    <w:rsid w:val="00BA4DCF"/>
    <w:rsid w:val="00BA56D3"/>
    <w:rsid w:val="00BA5A53"/>
    <w:rsid w:val="00BA5F15"/>
    <w:rsid w:val="00BA5F88"/>
    <w:rsid w:val="00BA6128"/>
    <w:rsid w:val="00BA653D"/>
    <w:rsid w:val="00BA6908"/>
    <w:rsid w:val="00BA7023"/>
    <w:rsid w:val="00BA772C"/>
    <w:rsid w:val="00BA77C9"/>
    <w:rsid w:val="00BA7BEF"/>
    <w:rsid w:val="00BA7CBE"/>
    <w:rsid w:val="00BB041F"/>
    <w:rsid w:val="00BB086F"/>
    <w:rsid w:val="00BB0F8D"/>
    <w:rsid w:val="00BB0F9A"/>
    <w:rsid w:val="00BB11FE"/>
    <w:rsid w:val="00BB2173"/>
    <w:rsid w:val="00BB2205"/>
    <w:rsid w:val="00BB2741"/>
    <w:rsid w:val="00BB27C1"/>
    <w:rsid w:val="00BB2A38"/>
    <w:rsid w:val="00BB2A4D"/>
    <w:rsid w:val="00BB3132"/>
    <w:rsid w:val="00BB3E26"/>
    <w:rsid w:val="00BB430A"/>
    <w:rsid w:val="00BB4E02"/>
    <w:rsid w:val="00BB50FC"/>
    <w:rsid w:val="00BB5491"/>
    <w:rsid w:val="00BB59AD"/>
    <w:rsid w:val="00BB5C95"/>
    <w:rsid w:val="00BB5E9C"/>
    <w:rsid w:val="00BB6506"/>
    <w:rsid w:val="00BB6759"/>
    <w:rsid w:val="00BB6976"/>
    <w:rsid w:val="00BB699B"/>
    <w:rsid w:val="00BB6BEE"/>
    <w:rsid w:val="00BC005A"/>
    <w:rsid w:val="00BC1B7C"/>
    <w:rsid w:val="00BC1EE8"/>
    <w:rsid w:val="00BC235D"/>
    <w:rsid w:val="00BC23B2"/>
    <w:rsid w:val="00BC3BAC"/>
    <w:rsid w:val="00BC3D1B"/>
    <w:rsid w:val="00BC4AE9"/>
    <w:rsid w:val="00BC4DA3"/>
    <w:rsid w:val="00BC52F4"/>
    <w:rsid w:val="00BC54F7"/>
    <w:rsid w:val="00BC5DA1"/>
    <w:rsid w:val="00BC64EB"/>
    <w:rsid w:val="00BC76C5"/>
    <w:rsid w:val="00BC77C3"/>
    <w:rsid w:val="00BD001E"/>
    <w:rsid w:val="00BD06BF"/>
    <w:rsid w:val="00BD0E47"/>
    <w:rsid w:val="00BD1C6A"/>
    <w:rsid w:val="00BD25D7"/>
    <w:rsid w:val="00BD3EFD"/>
    <w:rsid w:val="00BD4A36"/>
    <w:rsid w:val="00BD5681"/>
    <w:rsid w:val="00BD5D4B"/>
    <w:rsid w:val="00BD7264"/>
    <w:rsid w:val="00BD7F30"/>
    <w:rsid w:val="00BD7FC5"/>
    <w:rsid w:val="00BE0205"/>
    <w:rsid w:val="00BE076F"/>
    <w:rsid w:val="00BE244B"/>
    <w:rsid w:val="00BE257D"/>
    <w:rsid w:val="00BE32C8"/>
    <w:rsid w:val="00BE3683"/>
    <w:rsid w:val="00BE3A93"/>
    <w:rsid w:val="00BE4532"/>
    <w:rsid w:val="00BE4C27"/>
    <w:rsid w:val="00BE52AF"/>
    <w:rsid w:val="00BE5629"/>
    <w:rsid w:val="00BE5672"/>
    <w:rsid w:val="00BE5C2D"/>
    <w:rsid w:val="00BE6403"/>
    <w:rsid w:val="00BE65F2"/>
    <w:rsid w:val="00BE69BB"/>
    <w:rsid w:val="00BE6ABB"/>
    <w:rsid w:val="00BE6EE2"/>
    <w:rsid w:val="00BE70B6"/>
    <w:rsid w:val="00BE7167"/>
    <w:rsid w:val="00BE7925"/>
    <w:rsid w:val="00BE7A1A"/>
    <w:rsid w:val="00BE7C9F"/>
    <w:rsid w:val="00BE7CB3"/>
    <w:rsid w:val="00BF08E3"/>
    <w:rsid w:val="00BF0B5B"/>
    <w:rsid w:val="00BF0CB8"/>
    <w:rsid w:val="00BF1719"/>
    <w:rsid w:val="00BF266D"/>
    <w:rsid w:val="00BF3225"/>
    <w:rsid w:val="00BF32FD"/>
    <w:rsid w:val="00BF3B0F"/>
    <w:rsid w:val="00BF3DB3"/>
    <w:rsid w:val="00BF3DCB"/>
    <w:rsid w:val="00BF3EB7"/>
    <w:rsid w:val="00BF45A5"/>
    <w:rsid w:val="00BF4D4B"/>
    <w:rsid w:val="00BF4FC2"/>
    <w:rsid w:val="00BF5621"/>
    <w:rsid w:val="00BF5EE1"/>
    <w:rsid w:val="00BF63E2"/>
    <w:rsid w:val="00BF666C"/>
    <w:rsid w:val="00BF67A3"/>
    <w:rsid w:val="00BF6D35"/>
    <w:rsid w:val="00BF6E0E"/>
    <w:rsid w:val="00BF7809"/>
    <w:rsid w:val="00BF7C1E"/>
    <w:rsid w:val="00BF7C7F"/>
    <w:rsid w:val="00C0041B"/>
    <w:rsid w:val="00C00A8B"/>
    <w:rsid w:val="00C00D9F"/>
    <w:rsid w:val="00C01140"/>
    <w:rsid w:val="00C016EC"/>
    <w:rsid w:val="00C0295D"/>
    <w:rsid w:val="00C02BC7"/>
    <w:rsid w:val="00C02F1B"/>
    <w:rsid w:val="00C030B7"/>
    <w:rsid w:val="00C030BE"/>
    <w:rsid w:val="00C038C7"/>
    <w:rsid w:val="00C03EC2"/>
    <w:rsid w:val="00C04BD0"/>
    <w:rsid w:val="00C04CFC"/>
    <w:rsid w:val="00C04E8B"/>
    <w:rsid w:val="00C04ECD"/>
    <w:rsid w:val="00C04FE4"/>
    <w:rsid w:val="00C0576A"/>
    <w:rsid w:val="00C05AEB"/>
    <w:rsid w:val="00C05C77"/>
    <w:rsid w:val="00C05E38"/>
    <w:rsid w:val="00C06377"/>
    <w:rsid w:val="00C06403"/>
    <w:rsid w:val="00C06854"/>
    <w:rsid w:val="00C069CC"/>
    <w:rsid w:val="00C06D2C"/>
    <w:rsid w:val="00C07452"/>
    <w:rsid w:val="00C07579"/>
    <w:rsid w:val="00C07899"/>
    <w:rsid w:val="00C07B01"/>
    <w:rsid w:val="00C07B18"/>
    <w:rsid w:val="00C07EB7"/>
    <w:rsid w:val="00C10139"/>
    <w:rsid w:val="00C106C5"/>
    <w:rsid w:val="00C10817"/>
    <w:rsid w:val="00C10DA3"/>
    <w:rsid w:val="00C10F3E"/>
    <w:rsid w:val="00C1170F"/>
    <w:rsid w:val="00C11B9D"/>
    <w:rsid w:val="00C11BF2"/>
    <w:rsid w:val="00C123FA"/>
    <w:rsid w:val="00C13636"/>
    <w:rsid w:val="00C13841"/>
    <w:rsid w:val="00C14259"/>
    <w:rsid w:val="00C1442D"/>
    <w:rsid w:val="00C1474B"/>
    <w:rsid w:val="00C14C8B"/>
    <w:rsid w:val="00C14F6F"/>
    <w:rsid w:val="00C1512F"/>
    <w:rsid w:val="00C15796"/>
    <w:rsid w:val="00C157BE"/>
    <w:rsid w:val="00C15A75"/>
    <w:rsid w:val="00C15D1D"/>
    <w:rsid w:val="00C16194"/>
    <w:rsid w:val="00C165DB"/>
    <w:rsid w:val="00C1678B"/>
    <w:rsid w:val="00C1746E"/>
    <w:rsid w:val="00C17AC9"/>
    <w:rsid w:val="00C21093"/>
    <w:rsid w:val="00C2187A"/>
    <w:rsid w:val="00C22EE1"/>
    <w:rsid w:val="00C22F0E"/>
    <w:rsid w:val="00C22F8A"/>
    <w:rsid w:val="00C23392"/>
    <w:rsid w:val="00C236C6"/>
    <w:rsid w:val="00C238FF"/>
    <w:rsid w:val="00C23F9D"/>
    <w:rsid w:val="00C245C3"/>
    <w:rsid w:val="00C24968"/>
    <w:rsid w:val="00C24EFC"/>
    <w:rsid w:val="00C24F78"/>
    <w:rsid w:val="00C25814"/>
    <w:rsid w:val="00C25AA2"/>
    <w:rsid w:val="00C2626D"/>
    <w:rsid w:val="00C26651"/>
    <w:rsid w:val="00C26EB3"/>
    <w:rsid w:val="00C2708B"/>
    <w:rsid w:val="00C271C0"/>
    <w:rsid w:val="00C2792A"/>
    <w:rsid w:val="00C27D8C"/>
    <w:rsid w:val="00C3008F"/>
    <w:rsid w:val="00C3117B"/>
    <w:rsid w:val="00C3150E"/>
    <w:rsid w:val="00C31842"/>
    <w:rsid w:val="00C319B5"/>
    <w:rsid w:val="00C31B03"/>
    <w:rsid w:val="00C31B72"/>
    <w:rsid w:val="00C32585"/>
    <w:rsid w:val="00C32E67"/>
    <w:rsid w:val="00C332FB"/>
    <w:rsid w:val="00C332FF"/>
    <w:rsid w:val="00C342BA"/>
    <w:rsid w:val="00C34697"/>
    <w:rsid w:val="00C34BEA"/>
    <w:rsid w:val="00C35A53"/>
    <w:rsid w:val="00C365DC"/>
    <w:rsid w:val="00C368A2"/>
    <w:rsid w:val="00C37484"/>
    <w:rsid w:val="00C40D03"/>
    <w:rsid w:val="00C41391"/>
    <w:rsid w:val="00C417DA"/>
    <w:rsid w:val="00C4197C"/>
    <w:rsid w:val="00C419CD"/>
    <w:rsid w:val="00C41EFA"/>
    <w:rsid w:val="00C41F15"/>
    <w:rsid w:val="00C422AD"/>
    <w:rsid w:val="00C42491"/>
    <w:rsid w:val="00C424F0"/>
    <w:rsid w:val="00C42695"/>
    <w:rsid w:val="00C4288D"/>
    <w:rsid w:val="00C42C47"/>
    <w:rsid w:val="00C43355"/>
    <w:rsid w:val="00C43DEA"/>
    <w:rsid w:val="00C43FC6"/>
    <w:rsid w:val="00C44451"/>
    <w:rsid w:val="00C44AD4"/>
    <w:rsid w:val="00C44B87"/>
    <w:rsid w:val="00C44F5A"/>
    <w:rsid w:val="00C45784"/>
    <w:rsid w:val="00C46B3F"/>
    <w:rsid w:val="00C474F0"/>
    <w:rsid w:val="00C503FE"/>
    <w:rsid w:val="00C50CA6"/>
    <w:rsid w:val="00C50E61"/>
    <w:rsid w:val="00C5166D"/>
    <w:rsid w:val="00C51FF4"/>
    <w:rsid w:val="00C524AC"/>
    <w:rsid w:val="00C52B8C"/>
    <w:rsid w:val="00C53247"/>
    <w:rsid w:val="00C5356E"/>
    <w:rsid w:val="00C53CDE"/>
    <w:rsid w:val="00C541EF"/>
    <w:rsid w:val="00C54D6A"/>
    <w:rsid w:val="00C550CE"/>
    <w:rsid w:val="00C556CE"/>
    <w:rsid w:val="00C56E8A"/>
    <w:rsid w:val="00C57290"/>
    <w:rsid w:val="00C60761"/>
    <w:rsid w:val="00C60A0F"/>
    <w:rsid w:val="00C611DB"/>
    <w:rsid w:val="00C62621"/>
    <w:rsid w:val="00C627F2"/>
    <w:rsid w:val="00C6299B"/>
    <w:rsid w:val="00C62C78"/>
    <w:rsid w:val="00C63912"/>
    <w:rsid w:val="00C64461"/>
    <w:rsid w:val="00C65024"/>
    <w:rsid w:val="00C651BE"/>
    <w:rsid w:val="00C65202"/>
    <w:rsid w:val="00C65325"/>
    <w:rsid w:val="00C66078"/>
    <w:rsid w:val="00C66FDB"/>
    <w:rsid w:val="00C67018"/>
    <w:rsid w:val="00C70092"/>
    <w:rsid w:val="00C70571"/>
    <w:rsid w:val="00C70F91"/>
    <w:rsid w:val="00C71CF7"/>
    <w:rsid w:val="00C72006"/>
    <w:rsid w:val="00C72465"/>
    <w:rsid w:val="00C73423"/>
    <w:rsid w:val="00C7378E"/>
    <w:rsid w:val="00C737EB"/>
    <w:rsid w:val="00C741B8"/>
    <w:rsid w:val="00C74F90"/>
    <w:rsid w:val="00C75049"/>
    <w:rsid w:val="00C76247"/>
    <w:rsid w:val="00C76248"/>
    <w:rsid w:val="00C76432"/>
    <w:rsid w:val="00C77184"/>
    <w:rsid w:val="00C7786C"/>
    <w:rsid w:val="00C8044A"/>
    <w:rsid w:val="00C806F1"/>
    <w:rsid w:val="00C809D7"/>
    <w:rsid w:val="00C810F1"/>
    <w:rsid w:val="00C819CD"/>
    <w:rsid w:val="00C820A6"/>
    <w:rsid w:val="00C8277E"/>
    <w:rsid w:val="00C82821"/>
    <w:rsid w:val="00C82BEB"/>
    <w:rsid w:val="00C838C5"/>
    <w:rsid w:val="00C838C7"/>
    <w:rsid w:val="00C84200"/>
    <w:rsid w:val="00C856BE"/>
    <w:rsid w:val="00C856C6"/>
    <w:rsid w:val="00C862BA"/>
    <w:rsid w:val="00C86B50"/>
    <w:rsid w:val="00C870A7"/>
    <w:rsid w:val="00C873E5"/>
    <w:rsid w:val="00C87787"/>
    <w:rsid w:val="00C879CA"/>
    <w:rsid w:val="00C87CDA"/>
    <w:rsid w:val="00C87D5B"/>
    <w:rsid w:val="00C90233"/>
    <w:rsid w:val="00C905ED"/>
    <w:rsid w:val="00C90741"/>
    <w:rsid w:val="00C90BF6"/>
    <w:rsid w:val="00C90E4F"/>
    <w:rsid w:val="00C91261"/>
    <w:rsid w:val="00C91D6F"/>
    <w:rsid w:val="00C9223F"/>
    <w:rsid w:val="00C92259"/>
    <w:rsid w:val="00C92590"/>
    <w:rsid w:val="00C92A30"/>
    <w:rsid w:val="00C92FE5"/>
    <w:rsid w:val="00C937E0"/>
    <w:rsid w:val="00C93B95"/>
    <w:rsid w:val="00C946E2"/>
    <w:rsid w:val="00C947E6"/>
    <w:rsid w:val="00C9482C"/>
    <w:rsid w:val="00C94AA7"/>
    <w:rsid w:val="00C94F20"/>
    <w:rsid w:val="00C95C48"/>
    <w:rsid w:val="00C95F07"/>
    <w:rsid w:val="00C95FE6"/>
    <w:rsid w:val="00C9622C"/>
    <w:rsid w:val="00C96793"/>
    <w:rsid w:val="00C971BA"/>
    <w:rsid w:val="00C972B5"/>
    <w:rsid w:val="00C975EE"/>
    <w:rsid w:val="00CA03A2"/>
    <w:rsid w:val="00CA04F1"/>
    <w:rsid w:val="00CA1B73"/>
    <w:rsid w:val="00CA1C89"/>
    <w:rsid w:val="00CA1D75"/>
    <w:rsid w:val="00CA243D"/>
    <w:rsid w:val="00CA2B04"/>
    <w:rsid w:val="00CA2B3C"/>
    <w:rsid w:val="00CA2DB0"/>
    <w:rsid w:val="00CA2F20"/>
    <w:rsid w:val="00CA3545"/>
    <w:rsid w:val="00CA3CB1"/>
    <w:rsid w:val="00CA40C3"/>
    <w:rsid w:val="00CA40F2"/>
    <w:rsid w:val="00CA551A"/>
    <w:rsid w:val="00CA55E0"/>
    <w:rsid w:val="00CA57C8"/>
    <w:rsid w:val="00CA5E70"/>
    <w:rsid w:val="00CA62B3"/>
    <w:rsid w:val="00CA67CE"/>
    <w:rsid w:val="00CA703E"/>
    <w:rsid w:val="00CA7200"/>
    <w:rsid w:val="00CA73DA"/>
    <w:rsid w:val="00CA772A"/>
    <w:rsid w:val="00CB014C"/>
    <w:rsid w:val="00CB06D2"/>
    <w:rsid w:val="00CB0DC0"/>
    <w:rsid w:val="00CB1E64"/>
    <w:rsid w:val="00CB273E"/>
    <w:rsid w:val="00CB36C9"/>
    <w:rsid w:val="00CB395D"/>
    <w:rsid w:val="00CB399F"/>
    <w:rsid w:val="00CB4799"/>
    <w:rsid w:val="00CB4D9F"/>
    <w:rsid w:val="00CB4FE3"/>
    <w:rsid w:val="00CB58DA"/>
    <w:rsid w:val="00CB618C"/>
    <w:rsid w:val="00CB67A4"/>
    <w:rsid w:val="00CB695E"/>
    <w:rsid w:val="00CB69E1"/>
    <w:rsid w:val="00CB6D19"/>
    <w:rsid w:val="00CC0EB4"/>
    <w:rsid w:val="00CC11A3"/>
    <w:rsid w:val="00CC1265"/>
    <w:rsid w:val="00CC139F"/>
    <w:rsid w:val="00CC13DE"/>
    <w:rsid w:val="00CC1645"/>
    <w:rsid w:val="00CC1F31"/>
    <w:rsid w:val="00CC25DF"/>
    <w:rsid w:val="00CC2A86"/>
    <w:rsid w:val="00CC2DA8"/>
    <w:rsid w:val="00CC3563"/>
    <w:rsid w:val="00CC37BA"/>
    <w:rsid w:val="00CC380A"/>
    <w:rsid w:val="00CC3B11"/>
    <w:rsid w:val="00CC3B44"/>
    <w:rsid w:val="00CC3B8A"/>
    <w:rsid w:val="00CC3FD5"/>
    <w:rsid w:val="00CC4475"/>
    <w:rsid w:val="00CC4634"/>
    <w:rsid w:val="00CC478C"/>
    <w:rsid w:val="00CC489C"/>
    <w:rsid w:val="00CC4D5B"/>
    <w:rsid w:val="00CC5093"/>
    <w:rsid w:val="00CC660F"/>
    <w:rsid w:val="00CC740F"/>
    <w:rsid w:val="00CC7680"/>
    <w:rsid w:val="00CC77D9"/>
    <w:rsid w:val="00CD01BA"/>
    <w:rsid w:val="00CD0972"/>
    <w:rsid w:val="00CD0B7C"/>
    <w:rsid w:val="00CD0DF2"/>
    <w:rsid w:val="00CD1844"/>
    <w:rsid w:val="00CD2010"/>
    <w:rsid w:val="00CD2580"/>
    <w:rsid w:val="00CD2FB4"/>
    <w:rsid w:val="00CD33C3"/>
    <w:rsid w:val="00CD353D"/>
    <w:rsid w:val="00CD3DBF"/>
    <w:rsid w:val="00CD408C"/>
    <w:rsid w:val="00CD4321"/>
    <w:rsid w:val="00CD4526"/>
    <w:rsid w:val="00CD4529"/>
    <w:rsid w:val="00CD4907"/>
    <w:rsid w:val="00CD56A7"/>
    <w:rsid w:val="00CD5AB6"/>
    <w:rsid w:val="00CD7B1A"/>
    <w:rsid w:val="00CD7BE8"/>
    <w:rsid w:val="00CE0137"/>
    <w:rsid w:val="00CE0D2F"/>
    <w:rsid w:val="00CE0FD6"/>
    <w:rsid w:val="00CE1494"/>
    <w:rsid w:val="00CE1767"/>
    <w:rsid w:val="00CE19F7"/>
    <w:rsid w:val="00CE1AF0"/>
    <w:rsid w:val="00CE1F24"/>
    <w:rsid w:val="00CE2484"/>
    <w:rsid w:val="00CE26F9"/>
    <w:rsid w:val="00CE3340"/>
    <w:rsid w:val="00CE3EC2"/>
    <w:rsid w:val="00CE3F81"/>
    <w:rsid w:val="00CE4839"/>
    <w:rsid w:val="00CE5323"/>
    <w:rsid w:val="00CE532A"/>
    <w:rsid w:val="00CE549F"/>
    <w:rsid w:val="00CE5D5A"/>
    <w:rsid w:val="00CE5F18"/>
    <w:rsid w:val="00CE6544"/>
    <w:rsid w:val="00CE669D"/>
    <w:rsid w:val="00CE6D15"/>
    <w:rsid w:val="00CE7455"/>
    <w:rsid w:val="00CE7877"/>
    <w:rsid w:val="00CE78C7"/>
    <w:rsid w:val="00CF0EF3"/>
    <w:rsid w:val="00CF1E01"/>
    <w:rsid w:val="00CF2856"/>
    <w:rsid w:val="00CF2DEE"/>
    <w:rsid w:val="00CF2E8C"/>
    <w:rsid w:val="00CF30B1"/>
    <w:rsid w:val="00CF30C8"/>
    <w:rsid w:val="00CF353A"/>
    <w:rsid w:val="00CF3701"/>
    <w:rsid w:val="00CF5623"/>
    <w:rsid w:val="00CF5C29"/>
    <w:rsid w:val="00CF69E3"/>
    <w:rsid w:val="00CF6ADA"/>
    <w:rsid w:val="00CF6BE6"/>
    <w:rsid w:val="00CF6CB4"/>
    <w:rsid w:val="00CF7ACD"/>
    <w:rsid w:val="00CF7BB1"/>
    <w:rsid w:val="00D00009"/>
    <w:rsid w:val="00D0074E"/>
    <w:rsid w:val="00D009FF"/>
    <w:rsid w:val="00D00EDA"/>
    <w:rsid w:val="00D00FA8"/>
    <w:rsid w:val="00D01737"/>
    <w:rsid w:val="00D01751"/>
    <w:rsid w:val="00D0219C"/>
    <w:rsid w:val="00D0322F"/>
    <w:rsid w:val="00D033A9"/>
    <w:rsid w:val="00D03AAB"/>
    <w:rsid w:val="00D03E13"/>
    <w:rsid w:val="00D03EFA"/>
    <w:rsid w:val="00D0436E"/>
    <w:rsid w:val="00D04B66"/>
    <w:rsid w:val="00D04CB6"/>
    <w:rsid w:val="00D04E2B"/>
    <w:rsid w:val="00D05602"/>
    <w:rsid w:val="00D06210"/>
    <w:rsid w:val="00D0671E"/>
    <w:rsid w:val="00D068B2"/>
    <w:rsid w:val="00D06C7C"/>
    <w:rsid w:val="00D06F36"/>
    <w:rsid w:val="00D070F7"/>
    <w:rsid w:val="00D077A4"/>
    <w:rsid w:val="00D07A18"/>
    <w:rsid w:val="00D10069"/>
    <w:rsid w:val="00D100C8"/>
    <w:rsid w:val="00D102AF"/>
    <w:rsid w:val="00D1042B"/>
    <w:rsid w:val="00D1053A"/>
    <w:rsid w:val="00D106BE"/>
    <w:rsid w:val="00D10B96"/>
    <w:rsid w:val="00D122AA"/>
    <w:rsid w:val="00D12CEC"/>
    <w:rsid w:val="00D12F23"/>
    <w:rsid w:val="00D1312C"/>
    <w:rsid w:val="00D13C51"/>
    <w:rsid w:val="00D13C8B"/>
    <w:rsid w:val="00D13E16"/>
    <w:rsid w:val="00D14139"/>
    <w:rsid w:val="00D14168"/>
    <w:rsid w:val="00D14488"/>
    <w:rsid w:val="00D145E5"/>
    <w:rsid w:val="00D14A82"/>
    <w:rsid w:val="00D14EF4"/>
    <w:rsid w:val="00D156C2"/>
    <w:rsid w:val="00D16B03"/>
    <w:rsid w:val="00D1781D"/>
    <w:rsid w:val="00D20FB9"/>
    <w:rsid w:val="00D2150F"/>
    <w:rsid w:val="00D21738"/>
    <w:rsid w:val="00D218F7"/>
    <w:rsid w:val="00D22E89"/>
    <w:rsid w:val="00D236CF"/>
    <w:rsid w:val="00D248F7"/>
    <w:rsid w:val="00D2552D"/>
    <w:rsid w:val="00D25943"/>
    <w:rsid w:val="00D25AF0"/>
    <w:rsid w:val="00D269E6"/>
    <w:rsid w:val="00D271BC"/>
    <w:rsid w:val="00D27688"/>
    <w:rsid w:val="00D27DAB"/>
    <w:rsid w:val="00D27E39"/>
    <w:rsid w:val="00D30447"/>
    <w:rsid w:val="00D306E0"/>
    <w:rsid w:val="00D30B2F"/>
    <w:rsid w:val="00D30C94"/>
    <w:rsid w:val="00D31093"/>
    <w:rsid w:val="00D31449"/>
    <w:rsid w:val="00D3159D"/>
    <w:rsid w:val="00D31672"/>
    <w:rsid w:val="00D31AFD"/>
    <w:rsid w:val="00D32679"/>
    <w:rsid w:val="00D32A02"/>
    <w:rsid w:val="00D32E64"/>
    <w:rsid w:val="00D33180"/>
    <w:rsid w:val="00D331B5"/>
    <w:rsid w:val="00D3332D"/>
    <w:rsid w:val="00D33547"/>
    <w:rsid w:val="00D348ED"/>
    <w:rsid w:val="00D34DB4"/>
    <w:rsid w:val="00D34F6A"/>
    <w:rsid w:val="00D35973"/>
    <w:rsid w:val="00D359BF"/>
    <w:rsid w:val="00D35AC2"/>
    <w:rsid w:val="00D35D1C"/>
    <w:rsid w:val="00D35D51"/>
    <w:rsid w:val="00D35EDE"/>
    <w:rsid w:val="00D36104"/>
    <w:rsid w:val="00D36490"/>
    <w:rsid w:val="00D36925"/>
    <w:rsid w:val="00D36AC4"/>
    <w:rsid w:val="00D36C23"/>
    <w:rsid w:val="00D36E89"/>
    <w:rsid w:val="00D37579"/>
    <w:rsid w:val="00D37BCF"/>
    <w:rsid w:val="00D400CD"/>
    <w:rsid w:val="00D405B6"/>
    <w:rsid w:val="00D406D0"/>
    <w:rsid w:val="00D40ACA"/>
    <w:rsid w:val="00D40B3B"/>
    <w:rsid w:val="00D41C35"/>
    <w:rsid w:val="00D4255F"/>
    <w:rsid w:val="00D42C67"/>
    <w:rsid w:val="00D433D7"/>
    <w:rsid w:val="00D437AB"/>
    <w:rsid w:val="00D44295"/>
    <w:rsid w:val="00D44C9A"/>
    <w:rsid w:val="00D44DFA"/>
    <w:rsid w:val="00D45194"/>
    <w:rsid w:val="00D45249"/>
    <w:rsid w:val="00D46290"/>
    <w:rsid w:val="00D46AE9"/>
    <w:rsid w:val="00D505F9"/>
    <w:rsid w:val="00D5075C"/>
    <w:rsid w:val="00D5097B"/>
    <w:rsid w:val="00D50E6B"/>
    <w:rsid w:val="00D50EAB"/>
    <w:rsid w:val="00D50F61"/>
    <w:rsid w:val="00D50F73"/>
    <w:rsid w:val="00D5152F"/>
    <w:rsid w:val="00D515BC"/>
    <w:rsid w:val="00D51B64"/>
    <w:rsid w:val="00D51F7F"/>
    <w:rsid w:val="00D52465"/>
    <w:rsid w:val="00D525F4"/>
    <w:rsid w:val="00D52F13"/>
    <w:rsid w:val="00D5371F"/>
    <w:rsid w:val="00D53905"/>
    <w:rsid w:val="00D53A8E"/>
    <w:rsid w:val="00D55337"/>
    <w:rsid w:val="00D55460"/>
    <w:rsid w:val="00D556CA"/>
    <w:rsid w:val="00D55871"/>
    <w:rsid w:val="00D564B4"/>
    <w:rsid w:val="00D56614"/>
    <w:rsid w:val="00D568CA"/>
    <w:rsid w:val="00D60AAB"/>
    <w:rsid w:val="00D61A06"/>
    <w:rsid w:val="00D61C71"/>
    <w:rsid w:val="00D620FC"/>
    <w:rsid w:val="00D6243D"/>
    <w:rsid w:val="00D62CC6"/>
    <w:rsid w:val="00D63691"/>
    <w:rsid w:val="00D63BD3"/>
    <w:rsid w:val="00D63C1C"/>
    <w:rsid w:val="00D64098"/>
    <w:rsid w:val="00D64130"/>
    <w:rsid w:val="00D64C8B"/>
    <w:rsid w:val="00D6559D"/>
    <w:rsid w:val="00D65A09"/>
    <w:rsid w:val="00D65C25"/>
    <w:rsid w:val="00D6615B"/>
    <w:rsid w:val="00D66488"/>
    <w:rsid w:val="00D6678D"/>
    <w:rsid w:val="00D67143"/>
    <w:rsid w:val="00D67DDD"/>
    <w:rsid w:val="00D70795"/>
    <w:rsid w:val="00D709DD"/>
    <w:rsid w:val="00D70A87"/>
    <w:rsid w:val="00D70B8E"/>
    <w:rsid w:val="00D70C1A"/>
    <w:rsid w:val="00D70E09"/>
    <w:rsid w:val="00D71392"/>
    <w:rsid w:val="00D715B7"/>
    <w:rsid w:val="00D7169A"/>
    <w:rsid w:val="00D730ED"/>
    <w:rsid w:val="00D731E6"/>
    <w:rsid w:val="00D737DD"/>
    <w:rsid w:val="00D74F01"/>
    <w:rsid w:val="00D761CF"/>
    <w:rsid w:val="00D76FD5"/>
    <w:rsid w:val="00D77A3D"/>
    <w:rsid w:val="00D77F18"/>
    <w:rsid w:val="00D77FC2"/>
    <w:rsid w:val="00D80663"/>
    <w:rsid w:val="00D80E70"/>
    <w:rsid w:val="00D81639"/>
    <w:rsid w:val="00D81ACE"/>
    <w:rsid w:val="00D8214F"/>
    <w:rsid w:val="00D824AC"/>
    <w:rsid w:val="00D83849"/>
    <w:rsid w:val="00D83B71"/>
    <w:rsid w:val="00D83BFE"/>
    <w:rsid w:val="00D8530F"/>
    <w:rsid w:val="00D855CC"/>
    <w:rsid w:val="00D8568A"/>
    <w:rsid w:val="00D85E02"/>
    <w:rsid w:val="00D86E22"/>
    <w:rsid w:val="00D870EA"/>
    <w:rsid w:val="00D908AF"/>
    <w:rsid w:val="00D908D5"/>
    <w:rsid w:val="00D90EC2"/>
    <w:rsid w:val="00D9132E"/>
    <w:rsid w:val="00D9147A"/>
    <w:rsid w:val="00D91FD0"/>
    <w:rsid w:val="00D92715"/>
    <w:rsid w:val="00D92D6D"/>
    <w:rsid w:val="00D92F39"/>
    <w:rsid w:val="00D934CB"/>
    <w:rsid w:val="00D93753"/>
    <w:rsid w:val="00D93B55"/>
    <w:rsid w:val="00D94607"/>
    <w:rsid w:val="00D94B2F"/>
    <w:rsid w:val="00D94CC4"/>
    <w:rsid w:val="00D94ED5"/>
    <w:rsid w:val="00D954AA"/>
    <w:rsid w:val="00D9559A"/>
    <w:rsid w:val="00D955BA"/>
    <w:rsid w:val="00D95B2C"/>
    <w:rsid w:val="00D966CA"/>
    <w:rsid w:val="00D96902"/>
    <w:rsid w:val="00D96E7C"/>
    <w:rsid w:val="00D96EB4"/>
    <w:rsid w:val="00D96F3A"/>
    <w:rsid w:val="00D97CAF"/>
    <w:rsid w:val="00DA0160"/>
    <w:rsid w:val="00DA0C68"/>
    <w:rsid w:val="00DA11D1"/>
    <w:rsid w:val="00DA140F"/>
    <w:rsid w:val="00DA16B1"/>
    <w:rsid w:val="00DA1C19"/>
    <w:rsid w:val="00DA1DD4"/>
    <w:rsid w:val="00DA1E9E"/>
    <w:rsid w:val="00DA28CF"/>
    <w:rsid w:val="00DA2950"/>
    <w:rsid w:val="00DA29C0"/>
    <w:rsid w:val="00DA29EE"/>
    <w:rsid w:val="00DA2AA4"/>
    <w:rsid w:val="00DA2DB7"/>
    <w:rsid w:val="00DA3651"/>
    <w:rsid w:val="00DA3BE4"/>
    <w:rsid w:val="00DA3F4D"/>
    <w:rsid w:val="00DA413B"/>
    <w:rsid w:val="00DA43D4"/>
    <w:rsid w:val="00DA4668"/>
    <w:rsid w:val="00DA4784"/>
    <w:rsid w:val="00DA495E"/>
    <w:rsid w:val="00DA4E01"/>
    <w:rsid w:val="00DA66F2"/>
    <w:rsid w:val="00DA6B40"/>
    <w:rsid w:val="00DA6E7E"/>
    <w:rsid w:val="00DA7342"/>
    <w:rsid w:val="00DA738A"/>
    <w:rsid w:val="00DA73B6"/>
    <w:rsid w:val="00DA7A06"/>
    <w:rsid w:val="00DA7CC0"/>
    <w:rsid w:val="00DB003A"/>
    <w:rsid w:val="00DB00F3"/>
    <w:rsid w:val="00DB02CE"/>
    <w:rsid w:val="00DB0CEC"/>
    <w:rsid w:val="00DB0E08"/>
    <w:rsid w:val="00DB111F"/>
    <w:rsid w:val="00DB145A"/>
    <w:rsid w:val="00DB1801"/>
    <w:rsid w:val="00DB23A7"/>
    <w:rsid w:val="00DB26D5"/>
    <w:rsid w:val="00DB278E"/>
    <w:rsid w:val="00DB2F54"/>
    <w:rsid w:val="00DB40F8"/>
    <w:rsid w:val="00DB42B3"/>
    <w:rsid w:val="00DB5165"/>
    <w:rsid w:val="00DB58F6"/>
    <w:rsid w:val="00DB6856"/>
    <w:rsid w:val="00DB6A4D"/>
    <w:rsid w:val="00DB6FF8"/>
    <w:rsid w:val="00DB7239"/>
    <w:rsid w:val="00DB7590"/>
    <w:rsid w:val="00DB780F"/>
    <w:rsid w:val="00DB7948"/>
    <w:rsid w:val="00DC03B3"/>
    <w:rsid w:val="00DC08D1"/>
    <w:rsid w:val="00DC0AE4"/>
    <w:rsid w:val="00DC0CDE"/>
    <w:rsid w:val="00DC19C9"/>
    <w:rsid w:val="00DC1CFE"/>
    <w:rsid w:val="00DC2A92"/>
    <w:rsid w:val="00DC2C94"/>
    <w:rsid w:val="00DC3062"/>
    <w:rsid w:val="00DC33D3"/>
    <w:rsid w:val="00DC3B43"/>
    <w:rsid w:val="00DC3B6A"/>
    <w:rsid w:val="00DC40D3"/>
    <w:rsid w:val="00DC443C"/>
    <w:rsid w:val="00DC50F4"/>
    <w:rsid w:val="00DC5146"/>
    <w:rsid w:val="00DC5D71"/>
    <w:rsid w:val="00DC6C43"/>
    <w:rsid w:val="00DC6D69"/>
    <w:rsid w:val="00DC718F"/>
    <w:rsid w:val="00DC7C4D"/>
    <w:rsid w:val="00DD0269"/>
    <w:rsid w:val="00DD05A6"/>
    <w:rsid w:val="00DD0E9A"/>
    <w:rsid w:val="00DD0F2F"/>
    <w:rsid w:val="00DD1173"/>
    <w:rsid w:val="00DD194F"/>
    <w:rsid w:val="00DD1A76"/>
    <w:rsid w:val="00DD241E"/>
    <w:rsid w:val="00DD24DC"/>
    <w:rsid w:val="00DD2DCD"/>
    <w:rsid w:val="00DD391A"/>
    <w:rsid w:val="00DD3984"/>
    <w:rsid w:val="00DD3D2E"/>
    <w:rsid w:val="00DD4FDC"/>
    <w:rsid w:val="00DD5AB2"/>
    <w:rsid w:val="00DD6014"/>
    <w:rsid w:val="00DD691A"/>
    <w:rsid w:val="00DD7368"/>
    <w:rsid w:val="00DD774A"/>
    <w:rsid w:val="00DD7DBF"/>
    <w:rsid w:val="00DD7DDA"/>
    <w:rsid w:val="00DD7FD9"/>
    <w:rsid w:val="00DE04F4"/>
    <w:rsid w:val="00DE0CDD"/>
    <w:rsid w:val="00DE123F"/>
    <w:rsid w:val="00DE1671"/>
    <w:rsid w:val="00DE1971"/>
    <w:rsid w:val="00DE1C5B"/>
    <w:rsid w:val="00DE1CF9"/>
    <w:rsid w:val="00DE200C"/>
    <w:rsid w:val="00DE2CE8"/>
    <w:rsid w:val="00DE2F29"/>
    <w:rsid w:val="00DE3324"/>
    <w:rsid w:val="00DE3A9F"/>
    <w:rsid w:val="00DE3B00"/>
    <w:rsid w:val="00DE3BF7"/>
    <w:rsid w:val="00DE3E25"/>
    <w:rsid w:val="00DE443C"/>
    <w:rsid w:val="00DE5134"/>
    <w:rsid w:val="00DE59F2"/>
    <w:rsid w:val="00DE5E9F"/>
    <w:rsid w:val="00DE6CD4"/>
    <w:rsid w:val="00DE6E3C"/>
    <w:rsid w:val="00DE76EE"/>
    <w:rsid w:val="00DE7E9B"/>
    <w:rsid w:val="00DF000E"/>
    <w:rsid w:val="00DF03CE"/>
    <w:rsid w:val="00DF0D70"/>
    <w:rsid w:val="00DF10E8"/>
    <w:rsid w:val="00DF1369"/>
    <w:rsid w:val="00DF14A6"/>
    <w:rsid w:val="00DF1888"/>
    <w:rsid w:val="00DF23D1"/>
    <w:rsid w:val="00DF32F0"/>
    <w:rsid w:val="00DF33B8"/>
    <w:rsid w:val="00DF41B3"/>
    <w:rsid w:val="00DF41E2"/>
    <w:rsid w:val="00DF4D7E"/>
    <w:rsid w:val="00DF4EBB"/>
    <w:rsid w:val="00DF541A"/>
    <w:rsid w:val="00DF5F19"/>
    <w:rsid w:val="00DF615B"/>
    <w:rsid w:val="00DF6584"/>
    <w:rsid w:val="00DF7307"/>
    <w:rsid w:val="00DF7930"/>
    <w:rsid w:val="00DF7B3F"/>
    <w:rsid w:val="00DF7BE5"/>
    <w:rsid w:val="00DF7C5D"/>
    <w:rsid w:val="00E00507"/>
    <w:rsid w:val="00E014AF"/>
    <w:rsid w:val="00E018DB"/>
    <w:rsid w:val="00E01BDF"/>
    <w:rsid w:val="00E02988"/>
    <w:rsid w:val="00E029E3"/>
    <w:rsid w:val="00E02AC5"/>
    <w:rsid w:val="00E0387A"/>
    <w:rsid w:val="00E039F0"/>
    <w:rsid w:val="00E0513A"/>
    <w:rsid w:val="00E052A1"/>
    <w:rsid w:val="00E05C80"/>
    <w:rsid w:val="00E063E2"/>
    <w:rsid w:val="00E064BE"/>
    <w:rsid w:val="00E06D6C"/>
    <w:rsid w:val="00E076F1"/>
    <w:rsid w:val="00E07852"/>
    <w:rsid w:val="00E07994"/>
    <w:rsid w:val="00E07E80"/>
    <w:rsid w:val="00E10AB3"/>
    <w:rsid w:val="00E10DF8"/>
    <w:rsid w:val="00E1188A"/>
    <w:rsid w:val="00E119B7"/>
    <w:rsid w:val="00E124CA"/>
    <w:rsid w:val="00E126F5"/>
    <w:rsid w:val="00E12949"/>
    <w:rsid w:val="00E14385"/>
    <w:rsid w:val="00E14603"/>
    <w:rsid w:val="00E14C02"/>
    <w:rsid w:val="00E15112"/>
    <w:rsid w:val="00E15596"/>
    <w:rsid w:val="00E156DA"/>
    <w:rsid w:val="00E16743"/>
    <w:rsid w:val="00E16A01"/>
    <w:rsid w:val="00E172BA"/>
    <w:rsid w:val="00E179B3"/>
    <w:rsid w:val="00E2047E"/>
    <w:rsid w:val="00E214AE"/>
    <w:rsid w:val="00E215D6"/>
    <w:rsid w:val="00E21B68"/>
    <w:rsid w:val="00E21E3E"/>
    <w:rsid w:val="00E22055"/>
    <w:rsid w:val="00E225F3"/>
    <w:rsid w:val="00E233CB"/>
    <w:rsid w:val="00E24163"/>
    <w:rsid w:val="00E24801"/>
    <w:rsid w:val="00E25619"/>
    <w:rsid w:val="00E266A1"/>
    <w:rsid w:val="00E2726D"/>
    <w:rsid w:val="00E273DE"/>
    <w:rsid w:val="00E27658"/>
    <w:rsid w:val="00E278AD"/>
    <w:rsid w:val="00E2796A"/>
    <w:rsid w:val="00E27AF2"/>
    <w:rsid w:val="00E27C75"/>
    <w:rsid w:val="00E27CFC"/>
    <w:rsid w:val="00E27F97"/>
    <w:rsid w:val="00E309AF"/>
    <w:rsid w:val="00E31364"/>
    <w:rsid w:val="00E31F6F"/>
    <w:rsid w:val="00E321AE"/>
    <w:rsid w:val="00E32204"/>
    <w:rsid w:val="00E322FE"/>
    <w:rsid w:val="00E330D8"/>
    <w:rsid w:val="00E333EC"/>
    <w:rsid w:val="00E338B8"/>
    <w:rsid w:val="00E33A9F"/>
    <w:rsid w:val="00E34000"/>
    <w:rsid w:val="00E3467F"/>
    <w:rsid w:val="00E346D5"/>
    <w:rsid w:val="00E34834"/>
    <w:rsid w:val="00E34B0A"/>
    <w:rsid w:val="00E358A8"/>
    <w:rsid w:val="00E3607A"/>
    <w:rsid w:val="00E364CC"/>
    <w:rsid w:val="00E3694F"/>
    <w:rsid w:val="00E36B91"/>
    <w:rsid w:val="00E37013"/>
    <w:rsid w:val="00E37178"/>
    <w:rsid w:val="00E371BA"/>
    <w:rsid w:val="00E375D9"/>
    <w:rsid w:val="00E37859"/>
    <w:rsid w:val="00E400CD"/>
    <w:rsid w:val="00E4064E"/>
    <w:rsid w:val="00E41169"/>
    <w:rsid w:val="00E41262"/>
    <w:rsid w:val="00E42587"/>
    <w:rsid w:val="00E42985"/>
    <w:rsid w:val="00E42ECB"/>
    <w:rsid w:val="00E438C1"/>
    <w:rsid w:val="00E43962"/>
    <w:rsid w:val="00E43C27"/>
    <w:rsid w:val="00E43F7C"/>
    <w:rsid w:val="00E44523"/>
    <w:rsid w:val="00E44CD2"/>
    <w:rsid w:val="00E44D1D"/>
    <w:rsid w:val="00E44DD4"/>
    <w:rsid w:val="00E45045"/>
    <w:rsid w:val="00E4530D"/>
    <w:rsid w:val="00E4538E"/>
    <w:rsid w:val="00E45604"/>
    <w:rsid w:val="00E46206"/>
    <w:rsid w:val="00E467CF"/>
    <w:rsid w:val="00E46D36"/>
    <w:rsid w:val="00E46F52"/>
    <w:rsid w:val="00E46F9C"/>
    <w:rsid w:val="00E47A1F"/>
    <w:rsid w:val="00E47E07"/>
    <w:rsid w:val="00E50348"/>
    <w:rsid w:val="00E508AD"/>
    <w:rsid w:val="00E50CA9"/>
    <w:rsid w:val="00E511A4"/>
    <w:rsid w:val="00E51214"/>
    <w:rsid w:val="00E514EF"/>
    <w:rsid w:val="00E528EC"/>
    <w:rsid w:val="00E52B7B"/>
    <w:rsid w:val="00E532D0"/>
    <w:rsid w:val="00E53355"/>
    <w:rsid w:val="00E5353F"/>
    <w:rsid w:val="00E53806"/>
    <w:rsid w:val="00E53BB0"/>
    <w:rsid w:val="00E541AA"/>
    <w:rsid w:val="00E546E2"/>
    <w:rsid w:val="00E548C7"/>
    <w:rsid w:val="00E54B49"/>
    <w:rsid w:val="00E55677"/>
    <w:rsid w:val="00E56613"/>
    <w:rsid w:val="00E571BD"/>
    <w:rsid w:val="00E572A6"/>
    <w:rsid w:val="00E57869"/>
    <w:rsid w:val="00E57CE4"/>
    <w:rsid w:val="00E602E2"/>
    <w:rsid w:val="00E603B9"/>
    <w:rsid w:val="00E603E0"/>
    <w:rsid w:val="00E60527"/>
    <w:rsid w:val="00E60EB0"/>
    <w:rsid w:val="00E62509"/>
    <w:rsid w:val="00E6281C"/>
    <w:rsid w:val="00E63461"/>
    <w:rsid w:val="00E64FF4"/>
    <w:rsid w:val="00E652B7"/>
    <w:rsid w:val="00E65394"/>
    <w:rsid w:val="00E6688E"/>
    <w:rsid w:val="00E66B4B"/>
    <w:rsid w:val="00E66BA4"/>
    <w:rsid w:val="00E66EF3"/>
    <w:rsid w:val="00E673AE"/>
    <w:rsid w:val="00E678F6"/>
    <w:rsid w:val="00E679AA"/>
    <w:rsid w:val="00E70D6B"/>
    <w:rsid w:val="00E70DBA"/>
    <w:rsid w:val="00E70E3F"/>
    <w:rsid w:val="00E70EAF"/>
    <w:rsid w:val="00E71102"/>
    <w:rsid w:val="00E714BB"/>
    <w:rsid w:val="00E71806"/>
    <w:rsid w:val="00E71BDB"/>
    <w:rsid w:val="00E71E54"/>
    <w:rsid w:val="00E723B5"/>
    <w:rsid w:val="00E7245F"/>
    <w:rsid w:val="00E72856"/>
    <w:rsid w:val="00E7295A"/>
    <w:rsid w:val="00E72EFB"/>
    <w:rsid w:val="00E74039"/>
    <w:rsid w:val="00E74CC2"/>
    <w:rsid w:val="00E74DCC"/>
    <w:rsid w:val="00E74E4C"/>
    <w:rsid w:val="00E74E90"/>
    <w:rsid w:val="00E74EFC"/>
    <w:rsid w:val="00E7502A"/>
    <w:rsid w:val="00E7546B"/>
    <w:rsid w:val="00E75886"/>
    <w:rsid w:val="00E75C2E"/>
    <w:rsid w:val="00E75CA7"/>
    <w:rsid w:val="00E7619E"/>
    <w:rsid w:val="00E766E0"/>
    <w:rsid w:val="00E769EA"/>
    <w:rsid w:val="00E76F61"/>
    <w:rsid w:val="00E77925"/>
    <w:rsid w:val="00E77B55"/>
    <w:rsid w:val="00E77BC3"/>
    <w:rsid w:val="00E80419"/>
    <w:rsid w:val="00E8113C"/>
    <w:rsid w:val="00E8122B"/>
    <w:rsid w:val="00E82449"/>
    <w:rsid w:val="00E83038"/>
    <w:rsid w:val="00E832C2"/>
    <w:rsid w:val="00E83720"/>
    <w:rsid w:val="00E83B0F"/>
    <w:rsid w:val="00E83DAA"/>
    <w:rsid w:val="00E83F0B"/>
    <w:rsid w:val="00E841D3"/>
    <w:rsid w:val="00E84734"/>
    <w:rsid w:val="00E853A0"/>
    <w:rsid w:val="00E85E86"/>
    <w:rsid w:val="00E86083"/>
    <w:rsid w:val="00E86684"/>
    <w:rsid w:val="00E87106"/>
    <w:rsid w:val="00E8780E"/>
    <w:rsid w:val="00E87BFD"/>
    <w:rsid w:val="00E87E64"/>
    <w:rsid w:val="00E87FEF"/>
    <w:rsid w:val="00E90423"/>
    <w:rsid w:val="00E91184"/>
    <w:rsid w:val="00E91AEB"/>
    <w:rsid w:val="00E922D1"/>
    <w:rsid w:val="00E92707"/>
    <w:rsid w:val="00E92763"/>
    <w:rsid w:val="00E92CAA"/>
    <w:rsid w:val="00E92D57"/>
    <w:rsid w:val="00E92D66"/>
    <w:rsid w:val="00E9347A"/>
    <w:rsid w:val="00E93789"/>
    <w:rsid w:val="00E938D5"/>
    <w:rsid w:val="00E93D40"/>
    <w:rsid w:val="00E940A1"/>
    <w:rsid w:val="00E9488F"/>
    <w:rsid w:val="00E94A4B"/>
    <w:rsid w:val="00E94D19"/>
    <w:rsid w:val="00E95577"/>
    <w:rsid w:val="00E95F89"/>
    <w:rsid w:val="00E9653C"/>
    <w:rsid w:val="00E967BF"/>
    <w:rsid w:val="00E96DCD"/>
    <w:rsid w:val="00E97B8F"/>
    <w:rsid w:val="00E97EE5"/>
    <w:rsid w:val="00E97FEA"/>
    <w:rsid w:val="00EA03AD"/>
    <w:rsid w:val="00EA0CCF"/>
    <w:rsid w:val="00EA0E87"/>
    <w:rsid w:val="00EA1017"/>
    <w:rsid w:val="00EA1038"/>
    <w:rsid w:val="00EA10D2"/>
    <w:rsid w:val="00EA18C7"/>
    <w:rsid w:val="00EA1993"/>
    <w:rsid w:val="00EA2168"/>
    <w:rsid w:val="00EA2472"/>
    <w:rsid w:val="00EA2669"/>
    <w:rsid w:val="00EA2E4D"/>
    <w:rsid w:val="00EA38D4"/>
    <w:rsid w:val="00EA39AC"/>
    <w:rsid w:val="00EA3D9F"/>
    <w:rsid w:val="00EA40C8"/>
    <w:rsid w:val="00EA4C4B"/>
    <w:rsid w:val="00EA541E"/>
    <w:rsid w:val="00EA594D"/>
    <w:rsid w:val="00EA68B2"/>
    <w:rsid w:val="00EA6B7D"/>
    <w:rsid w:val="00EA6C42"/>
    <w:rsid w:val="00EA6CC5"/>
    <w:rsid w:val="00EA7198"/>
    <w:rsid w:val="00EA76A6"/>
    <w:rsid w:val="00EB002E"/>
    <w:rsid w:val="00EB0D8D"/>
    <w:rsid w:val="00EB0FA0"/>
    <w:rsid w:val="00EB1EB8"/>
    <w:rsid w:val="00EB26C6"/>
    <w:rsid w:val="00EB3E79"/>
    <w:rsid w:val="00EB4059"/>
    <w:rsid w:val="00EB4657"/>
    <w:rsid w:val="00EB4982"/>
    <w:rsid w:val="00EB4A95"/>
    <w:rsid w:val="00EB4DB7"/>
    <w:rsid w:val="00EB4EC4"/>
    <w:rsid w:val="00EB5287"/>
    <w:rsid w:val="00EB575F"/>
    <w:rsid w:val="00EB5919"/>
    <w:rsid w:val="00EB627C"/>
    <w:rsid w:val="00EB686C"/>
    <w:rsid w:val="00EB696D"/>
    <w:rsid w:val="00EB6A6E"/>
    <w:rsid w:val="00EB6BCC"/>
    <w:rsid w:val="00EB6D5F"/>
    <w:rsid w:val="00EB6EB1"/>
    <w:rsid w:val="00EB7BC3"/>
    <w:rsid w:val="00EB7F24"/>
    <w:rsid w:val="00EC066A"/>
    <w:rsid w:val="00EC06D5"/>
    <w:rsid w:val="00EC07C1"/>
    <w:rsid w:val="00EC0D50"/>
    <w:rsid w:val="00EC122C"/>
    <w:rsid w:val="00EC1520"/>
    <w:rsid w:val="00EC15F8"/>
    <w:rsid w:val="00EC1A6A"/>
    <w:rsid w:val="00EC2FCE"/>
    <w:rsid w:val="00EC3222"/>
    <w:rsid w:val="00EC3A88"/>
    <w:rsid w:val="00EC40F1"/>
    <w:rsid w:val="00EC41E2"/>
    <w:rsid w:val="00EC4B54"/>
    <w:rsid w:val="00EC5386"/>
    <w:rsid w:val="00EC53C4"/>
    <w:rsid w:val="00EC5BE8"/>
    <w:rsid w:val="00EC5DC2"/>
    <w:rsid w:val="00EC61E0"/>
    <w:rsid w:val="00EC6E18"/>
    <w:rsid w:val="00EC6EEE"/>
    <w:rsid w:val="00EC7445"/>
    <w:rsid w:val="00ED095D"/>
    <w:rsid w:val="00ED18B7"/>
    <w:rsid w:val="00ED19D6"/>
    <w:rsid w:val="00ED2564"/>
    <w:rsid w:val="00ED2E7C"/>
    <w:rsid w:val="00ED3302"/>
    <w:rsid w:val="00ED34FA"/>
    <w:rsid w:val="00ED352F"/>
    <w:rsid w:val="00ED36FE"/>
    <w:rsid w:val="00ED3A45"/>
    <w:rsid w:val="00ED3B70"/>
    <w:rsid w:val="00ED4773"/>
    <w:rsid w:val="00ED59E9"/>
    <w:rsid w:val="00ED5B0B"/>
    <w:rsid w:val="00ED5CA5"/>
    <w:rsid w:val="00ED5D1E"/>
    <w:rsid w:val="00ED64D4"/>
    <w:rsid w:val="00ED6AA3"/>
    <w:rsid w:val="00ED7196"/>
    <w:rsid w:val="00ED7222"/>
    <w:rsid w:val="00ED730C"/>
    <w:rsid w:val="00ED78D9"/>
    <w:rsid w:val="00ED7938"/>
    <w:rsid w:val="00ED7A64"/>
    <w:rsid w:val="00ED7ADF"/>
    <w:rsid w:val="00EE023C"/>
    <w:rsid w:val="00EE126E"/>
    <w:rsid w:val="00EE1CD1"/>
    <w:rsid w:val="00EE2054"/>
    <w:rsid w:val="00EE248F"/>
    <w:rsid w:val="00EE2571"/>
    <w:rsid w:val="00EE2CC2"/>
    <w:rsid w:val="00EE2CC4"/>
    <w:rsid w:val="00EE3282"/>
    <w:rsid w:val="00EE3AD2"/>
    <w:rsid w:val="00EE3CA1"/>
    <w:rsid w:val="00EE40AC"/>
    <w:rsid w:val="00EE42BE"/>
    <w:rsid w:val="00EE456C"/>
    <w:rsid w:val="00EE47FD"/>
    <w:rsid w:val="00EE499A"/>
    <w:rsid w:val="00EE4B8C"/>
    <w:rsid w:val="00EE4EF6"/>
    <w:rsid w:val="00EE5290"/>
    <w:rsid w:val="00EE5302"/>
    <w:rsid w:val="00EE682A"/>
    <w:rsid w:val="00EE6A1B"/>
    <w:rsid w:val="00EE74D0"/>
    <w:rsid w:val="00EE7ED9"/>
    <w:rsid w:val="00EF06A2"/>
    <w:rsid w:val="00EF0B52"/>
    <w:rsid w:val="00EF0D0D"/>
    <w:rsid w:val="00EF14C8"/>
    <w:rsid w:val="00EF1F4C"/>
    <w:rsid w:val="00EF201D"/>
    <w:rsid w:val="00EF215E"/>
    <w:rsid w:val="00EF24D7"/>
    <w:rsid w:val="00EF25E7"/>
    <w:rsid w:val="00EF2843"/>
    <w:rsid w:val="00EF2862"/>
    <w:rsid w:val="00EF2C6B"/>
    <w:rsid w:val="00EF3188"/>
    <w:rsid w:val="00EF329C"/>
    <w:rsid w:val="00EF359C"/>
    <w:rsid w:val="00EF367D"/>
    <w:rsid w:val="00EF3724"/>
    <w:rsid w:val="00EF3E3F"/>
    <w:rsid w:val="00EF3F63"/>
    <w:rsid w:val="00EF4A43"/>
    <w:rsid w:val="00EF4B5E"/>
    <w:rsid w:val="00EF54AF"/>
    <w:rsid w:val="00EF567D"/>
    <w:rsid w:val="00EF5E6F"/>
    <w:rsid w:val="00EF60CE"/>
    <w:rsid w:val="00EF6199"/>
    <w:rsid w:val="00EF63D3"/>
    <w:rsid w:val="00EF69A5"/>
    <w:rsid w:val="00EF6BA7"/>
    <w:rsid w:val="00EF6BEC"/>
    <w:rsid w:val="00EF6ED2"/>
    <w:rsid w:val="00EF763D"/>
    <w:rsid w:val="00F0019C"/>
    <w:rsid w:val="00F00C60"/>
    <w:rsid w:val="00F00CCC"/>
    <w:rsid w:val="00F00E7F"/>
    <w:rsid w:val="00F00EB4"/>
    <w:rsid w:val="00F012BD"/>
    <w:rsid w:val="00F018C1"/>
    <w:rsid w:val="00F01FF1"/>
    <w:rsid w:val="00F023A1"/>
    <w:rsid w:val="00F025E4"/>
    <w:rsid w:val="00F02D75"/>
    <w:rsid w:val="00F03CF5"/>
    <w:rsid w:val="00F03EA8"/>
    <w:rsid w:val="00F04936"/>
    <w:rsid w:val="00F04A22"/>
    <w:rsid w:val="00F05F8E"/>
    <w:rsid w:val="00F06312"/>
    <w:rsid w:val="00F068C8"/>
    <w:rsid w:val="00F0698C"/>
    <w:rsid w:val="00F06C7C"/>
    <w:rsid w:val="00F06D9F"/>
    <w:rsid w:val="00F0775D"/>
    <w:rsid w:val="00F07F4E"/>
    <w:rsid w:val="00F10064"/>
    <w:rsid w:val="00F106C6"/>
    <w:rsid w:val="00F10B83"/>
    <w:rsid w:val="00F10DB2"/>
    <w:rsid w:val="00F1137E"/>
    <w:rsid w:val="00F11834"/>
    <w:rsid w:val="00F11FC9"/>
    <w:rsid w:val="00F12B33"/>
    <w:rsid w:val="00F12E97"/>
    <w:rsid w:val="00F12FB3"/>
    <w:rsid w:val="00F13275"/>
    <w:rsid w:val="00F13BF0"/>
    <w:rsid w:val="00F14238"/>
    <w:rsid w:val="00F14CBC"/>
    <w:rsid w:val="00F14F66"/>
    <w:rsid w:val="00F15FA4"/>
    <w:rsid w:val="00F1603D"/>
    <w:rsid w:val="00F16204"/>
    <w:rsid w:val="00F1652F"/>
    <w:rsid w:val="00F1670A"/>
    <w:rsid w:val="00F16FA8"/>
    <w:rsid w:val="00F200EA"/>
    <w:rsid w:val="00F202F0"/>
    <w:rsid w:val="00F2033B"/>
    <w:rsid w:val="00F20503"/>
    <w:rsid w:val="00F21377"/>
    <w:rsid w:val="00F21A25"/>
    <w:rsid w:val="00F21BC1"/>
    <w:rsid w:val="00F21C4F"/>
    <w:rsid w:val="00F21E5E"/>
    <w:rsid w:val="00F2378D"/>
    <w:rsid w:val="00F2407D"/>
    <w:rsid w:val="00F245C7"/>
    <w:rsid w:val="00F24BE4"/>
    <w:rsid w:val="00F24FB4"/>
    <w:rsid w:val="00F25253"/>
    <w:rsid w:val="00F258F1"/>
    <w:rsid w:val="00F25CE4"/>
    <w:rsid w:val="00F260CF"/>
    <w:rsid w:val="00F2695F"/>
    <w:rsid w:val="00F27450"/>
    <w:rsid w:val="00F27486"/>
    <w:rsid w:val="00F27EA7"/>
    <w:rsid w:val="00F27F71"/>
    <w:rsid w:val="00F30BD2"/>
    <w:rsid w:val="00F3123C"/>
    <w:rsid w:val="00F315A9"/>
    <w:rsid w:val="00F318B8"/>
    <w:rsid w:val="00F320F5"/>
    <w:rsid w:val="00F3232D"/>
    <w:rsid w:val="00F32F93"/>
    <w:rsid w:val="00F33B72"/>
    <w:rsid w:val="00F33D3F"/>
    <w:rsid w:val="00F34123"/>
    <w:rsid w:val="00F34180"/>
    <w:rsid w:val="00F34205"/>
    <w:rsid w:val="00F342CE"/>
    <w:rsid w:val="00F3435A"/>
    <w:rsid w:val="00F34689"/>
    <w:rsid w:val="00F34BD8"/>
    <w:rsid w:val="00F35AA1"/>
    <w:rsid w:val="00F35F3C"/>
    <w:rsid w:val="00F35FE9"/>
    <w:rsid w:val="00F366CD"/>
    <w:rsid w:val="00F374A1"/>
    <w:rsid w:val="00F375FE"/>
    <w:rsid w:val="00F40443"/>
    <w:rsid w:val="00F40933"/>
    <w:rsid w:val="00F40F07"/>
    <w:rsid w:val="00F41F44"/>
    <w:rsid w:val="00F4217C"/>
    <w:rsid w:val="00F4323F"/>
    <w:rsid w:val="00F434F4"/>
    <w:rsid w:val="00F44992"/>
    <w:rsid w:val="00F44A42"/>
    <w:rsid w:val="00F45045"/>
    <w:rsid w:val="00F459D6"/>
    <w:rsid w:val="00F4605E"/>
    <w:rsid w:val="00F461CE"/>
    <w:rsid w:val="00F46BF4"/>
    <w:rsid w:val="00F46D8A"/>
    <w:rsid w:val="00F473FC"/>
    <w:rsid w:val="00F4750C"/>
    <w:rsid w:val="00F47B73"/>
    <w:rsid w:val="00F50340"/>
    <w:rsid w:val="00F507D3"/>
    <w:rsid w:val="00F50927"/>
    <w:rsid w:val="00F51995"/>
    <w:rsid w:val="00F521CE"/>
    <w:rsid w:val="00F52C58"/>
    <w:rsid w:val="00F5327E"/>
    <w:rsid w:val="00F53603"/>
    <w:rsid w:val="00F53928"/>
    <w:rsid w:val="00F5488B"/>
    <w:rsid w:val="00F54895"/>
    <w:rsid w:val="00F54BDE"/>
    <w:rsid w:val="00F54CA3"/>
    <w:rsid w:val="00F55102"/>
    <w:rsid w:val="00F551F5"/>
    <w:rsid w:val="00F55627"/>
    <w:rsid w:val="00F55AFF"/>
    <w:rsid w:val="00F55D19"/>
    <w:rsid w:val="00F56BF2"/>
    <w:rsid w:val="00F570E1"/>
    <w:rsid w:val="00F572DC"/>
    <w:rsid w:val="00F57672"/>
    <w:rsid w:val="00F577AB"/>
    <w:rsid w:val="00F57E67"/>
    <w:rsid w:val="00F60006"/>
    <w:rsid w:val="00F604B6"/>
    <w:rsid w:val="00F60D5A"/>
    <w:rsid w:val="00F60DF5"/>
    <w:rsid w:val="00F6149A"/>
    <w:rsid w:val="00F61507"/>
    <w:rsid w:val="00F62076"/>
    <w:rsid w:val="00F6207B"/>
    <w:rsid w:val="00F62B71"/>
    <w:rsid w:val="00F62F26"/>
    <w:rsid w:val="00F62F46"/>
    <w:rsid w:val="00F63EE2"/>
    <w:rsid w:val="00F63FAF"/>
    <w:rsid w:val="00F6408B"/>
    <w:rsid w:val="00F640B3"/>
    <w:rsid w:val="00F6416B"/>
    <w:rsid w:val="00F648E7"/>
    <w:rsid w:val="00F652EB"/>
    <w:rsid w:val="00F65674"/>
    <w:rsid w:val="00F66DF7"/>
    <w:rsid w:val="00F67029"/>
    <w:rsid w:val="00F673CF"/>
    <w:rsid w:val="00F67DEC"/>
    <w:rsid w:val="00F717DD"/>
    <w:rsid w:val="00F72F5B"/>
    <w:rsid w:val="00F73796"/>
    <w:rsid w:val="00F74F34"/>
    <w:rsid w:val="00F75256"/>
    <w:rsid w:val="00F759F8"/>
    <w:rsid w:val="00F75A98"/>
    <w:rsid w:val="00F75D0D"/>
    <w:rsid w:val="00F767EB"/>
    <w:rsid w:val="00F76963"/>
    <w:rsid w:val="00F77752"/>
    <w:rsid w:val="00F777D9"/>
    <w:rsid w:val="00F77A06"/>
    <w:rsid w:val="00F77C79"/>
    <w:rsid w:val="00F80608"/>
    <w:rsid w:val="00F806EE"/>
    <w:rsid w:val="00F8195C"/>
    <w:rsid w:val="00F81DE0"/>
    <w:rsid w:val="00F8204E"/>
    <w:rsid w:val="00F8300E"/>
    <w:rsid w:val="00F83A45"/>
    <w:rsid w:val="00F83BB3"/>
    <w:rsid w:val="00F83CFC"/>
    <w:rsid w:val="00F83F14"/>
    <w:rsid w:val="00F83F98"/>
    <w:rsid w:val="00F84E9D"/>
    <w:rsid w:val="00F851A9"/>
    <w:rsid w:val="00F85F0E"/>
    <w:rsid w:val="00F85FDF"/>
    <w:rsid w:val="00F864E5"/>
    <w:rsid w:val="00F866EA"/>
    <w:rsid w:val="00F868AB"/>
    <w:rsid w:val="00F904B7"/>
    <w:rsid w:val="00F90525"/>
    <w:rsid w:val="00F90658"/>
    <w:rsid w:val="00F9098A"/>
    <w:rsid w:val="00F90A5D"/>
    <w:rsid w:val="00F90AC8"/>
    <w:rsid w:val="00F916A6"/>
    <w:rsid w:val="00F91734"/>
    <w:rsid w:val="00F917E7"/>
    <w:rsid w:val="00F91FFC"/>
    <w:rsid w:val="00F92192"/>
    <w:rsid w:val="00F92B77"/>
    <w:rsid w:val="00F9306B"/>
    <w:rsid w:val="00F9312C"/>
    <w:rsid w:val="00F93511"/>
    <w:rsid w:val="00F93E74"/>
    <w:rsid w:val="00F95838"/>
    <w:rsid w:val="00F9589C"/>
    <w:rsid w:val="00F95AAA"/>
    <w:rsid w:val="00F95D10"/>
    <w:rsid w:val="00F96136"/>
    <w:rsid w:val="00F9624B"/>
    <w:rsid w:val="00F966C8"/>
    <w:rsid w:val="00F96A60"/>
    <w:rsid w:val="00F9706B"/>
    <w:rsid w:val="00F9709E"/>
    <w:rsid w:val="00F97451"/>
    <w:rsid w:val="00F9748F"/>
    <w:rsid w:val="00FA0460"/>
    <w:rsid w:val="00FA0605"/>
    <w:rsid w:val="00FA081F"/>
    <w:rsid w:val="00FA0855"/>
    <w:rsid w:val="00FA0B9B"/>
    <w:rsid w:val="00FA10A3"/>
    <w:rsid w:val="00FA123D"/>
    <w:rsid w:val="00FA15DF"/>
    <w:rsid w:val="00FA1B69"/>
    <w:rsid w:val="00FA1DAB"/>
    <w:rsid w:val="00FA1FA4"/>
    <w:rsid w:val="00FA2200"/>
    <w:rsid w:val="00FA2499"/>
    <w:rsid w:val="00FA2E5C"/>
    <w:rsid w:val="00FA2F71"/>
    <w:rsid w:val="00FA38FC"/>
    <w:rsid w:val="00FA3BAA"/>
    <w:rsid w:val="00FA42B0"/>
    <w:rsid w:val="00FA43CA"/>
    <w:rsid w:val="00FA4FE3"/>
    <w:rsid w:val="00FA5784"/>
    <w:rsid w:val="00FA589A"/>
    <w:rsid w:val="00FA62CD"/>
    <w:rsid w:val="00FA6497"/>
    <w:rsid w:val="00FA64E4"/>
    <w:rsid w:val="00FA6999"/>
    <w:rsid w:val="00FA6DDA"/>
    <w:rsid w:val="00FA7C98"/>
    <w:rsid w:val="00FB0316"/>
    <w:rsid w:val="00FB0EE9"/>
    <w:rsid w:val="00FB1E28"/>
    <w:rsid w:val="00FB2405"/>
    <w:rsid w:val="00FB2A45"/>
    <w:rsid w:val="00FB2D00"/>
    <w:rsid w:val="00FB2E88"/>
    <w:rsid w:val="00FB2EB9"/>
    <w:rsid w:val="00FB33B2"/>
    <w:rsid w:val="00FB3CDB"/>
    <w:rsid w:val="00FB4FB3"/>
    <w:rsid w:val="00FB5091"/>
    <w:rsid w:val="00FB5714"/>
    <w:rsid w:val="00FB5858"/>
    <w:rsid w:val="00FB5F9C"/>
    <w:rsid w:val="00FB6D0C"/>
    <w:rsid w:val="00FB6F5D"/>
    <w:rsid w:val="00FB7AF9"/>
    <w:rsid w:val="00FB7FF8"/>
    <w:rsid w:val="00FC04FB"/>
    <w:rsid w:val="00FC1279"/>
    <w:rsid w:val="00FC15F0"/>
    <w:rsid w:val="00FC1A5C"/>
    <w:rsid w:val="00FC1E5F"/>
    <w:rsid w:val="00FC1EE1"/>
    <w:rsid w:val="00FC2005"/>
    <w:rsid w:val="00FC2313"/>
    <w:rsid w:val="00FC2415"/>
    <w:rsid w:val="00FC312B"/>
    <w:rsid w:val="00FC3746"/>
    <w:rsid w:val="00FC3A1F"/>
    <w:rsid w:val="00FC3A4D"/>
    <w:rsid w:val="00FC3A68"/>
    <w:rsid w:val="00FC3C2B"/>
    <w:rsid w:val="00FC3F20"/>
    <w:rsid w:val="00FC4000"/>
    <w:rsid w:val="00FC403F"/>
    <w:rsid w:val="00FC497C"/>
    <w:rsid w:val="00FC49F4"/>
    <w:rsid w:val="00FC4C90"/>
    <w:rsid w:val="00FC4C9D"/>
    <w:rsid w:val="00FC4FAF"/>
    <w:rsid w:val="00FC5150"/>
    <w:rsid w:val="00FC51D9"/>
    <w:rsid w:val="00FC5327"/>
    <w:rsid w:val="00FC5375"/>
    <w:rsid w:val="00FC53E3"/>
    <w:rsid w:val="00FC5915"/>
    <w:rsid w:val="00FC5DB7"/>
    <w:rsid w:val="00FC6231"/>
    <w:rsid w:val="00FC6C1E"/>
    <w:rsid w:val="00FC74EF"/>
    <w:rsid w:val="00FC7FEE"/>
    <w:rsid w:val="00FD0412"/>
    <w:rsid w:val="00FD0692"/>
    <w:rsid w:val="00FD089B"/>
    <w:rsid w:val="00FD0EB8"/>
    <w:rsid w:val="00FD2041"/>
    <w:rsid w:val="00FD357C"/>
    <w:rsid w:val="00FD3BAA"/>
    <w:rsid w:val="00FD3ED6"/>
    <w:rsid w:val="00FD561B"/>
    <w:rsid w:val="00FD576C"/>
    <w:rsid w:val="00FD6501"/>
    <w:rsid w:val="00FD6D7C"/>
    <w:rsid w:val="00FD78A7"/>
    <w:rsid w:val="00FE0668"/>
    <w:rsid w:val="00FE09A6"/>
    <w:rsid w:val="00FE0F90"/>
    <w:rsid w:val="00FE147D"/>
    <w:rsid w:val="00FE19D9"/>
    <w:rsid w:val="00FE28BE"/>
    <w:rsid w:val="00FE2AA4"/>
    <w:rsid w:val="00FE2ABA"/>
    <w:rsid w:val="00FE2CBF"/>
    <w:rsid w:val="00FE2DB6"/>
    <w:rsid w:val="00FE38C0"/>
    <w:rsid w:val="00FE3945"/>
    <w:rsid w:val="00FE3B53"/>
    <w:rsid w:val="00FE3CB3"/>
    <w:rsid w:val="00FE44B3"/>
    <w:rsid w:val="00FE4BAC"/>
    <w:rsid w:val="00FE4E80"/>
    <w:rsid w:val="00FE57D3"/>
    <w:rsid w:val="00FE5EEB"/>
    <w:rsid w:val="00FE69CA"/>
    <w:rsid w:val="00FE6F93"/>
    <w:rsid w:val="00FE77D6"/>
    <w:rsid w:val="00FE7B45"/>
    <w:rsid w:val="00FE7E08"/>
    <w:rsid w:val="00FE7FE9"/>
    <w:rsid w:val="00FF0188"/>
    <w:rsid w:val="00FF0C9F"/>
    <w:rsid w:val="00FF1492"/>
    <w:rsid w:val="00FF19D9"/>
    <w:rsid w:val="00FF2011"/>
    <w:rsid w:val="00FF3494"/>
    <w:rsid w:val="00FF3F9C"/>
    <w:rsid w:val="00FF4C7F"/>
    <w:rsid w:val="00FF52D8"/>
    <w:rsid w:val="00FF5EE8"/>
    <w:rsid w:val="00FF6015"/>
    <w:rsid w:val="00FF6666"/>
    <w:rsid w:val="00FF729E"/>
    <w:rsid w:val="01038B6B"/>
    <w:rsid w:val="010559D0"/>
    <w:rsid w:val="0128391B"/>
    <w:rsid w:val="012A4793"/>
    <w:rsid w:val="01514403"/>
    <w:rsid w:val="016D0D09"/>
    <w:rsid w:val="017610D8"/>
    <w:rsid w:val="017B9145"/>
    <w:rsid w:val="0182CE2D"/>
    <w:rsid w:val="01949AA3"/>
    <w:rsid w:val="01A7AC5A"/>
    <w:rsid w:val="01B17C91"/>
    <w:rsid w:val="01B2397F"/>
    <w:rsid w:val="01BBD68F"/>
    <w:rsid w:val="01DA8920"/>
    <w:rsid w:val="0223098C"/>
    <w:rsid w:val="022C44EE"/>
    <w:rsid w:val="022FC8C5"/>
    <w:rsid w:val="023978ED"/>
    <w:rsid w:val="0242D9DA"/>
    <w:rsid w:val="02496476"/>
    <w:rsid w:val="0298CC1D"/>
    <w:rsid w:val="02EE8C6B"/>
    <w:rsid w:val="02F4FB36"/>
    <w:rsid w:val="02FDFCAC"/>
    <w:rsid w:val="032A4DB8"/>
    <w:rsid w:val="035C1F5D"/>
    <w:rsid w:val="03686085"/>
    <w:rsid w:val="03739730"/>
    <w:rsid w:val="03761283"/>
    <w:rsid w:val="037C06F7"/>
    <w:rsid w:val="03A872CE"/>
    <w:rsid w:val="03BDE13D"/>
    <w:rsid w:val="03BFBA38"/>
    <w:rsid w:val="03C74717"/>
    <w:rsid w:val="03D6E6E2"/>
    <w:rsid w:val="03EBF2B5"/>
    <w:rsid w:val="04206BE9"/>
    <w:rsid w:val="04261CE3"/>
    <w:rsid w:val="04276E5F"/>
    <w:rsid w:val="04608553"/>
    <w:rsid w:val="0468B9CB"/>
    <w:rsid w:val="04A64AB6"/>
    <w:rsid w:val="04C687A5"/>
    <w:rsid w:val="04E737B7"/>
    <w:rsid w:val="051462B1"/>
    <w:rsid w:val="051F3AA9"/>
    <w:rsid w:val="052DBFD2"/>
    <w:rsid w:val="05346EA4"/>
    <w:rsid w:val="058DB169"/>
    <w:rsid w:val="0597293F"/>
    <w:rsid w:val="05A0FC51"/>
    <w:rsid w:val="05C4E02C"/>
    <w:rsid w:val="05DF09E1"/>
    <w:rsid w:val="05FF7BD9"/>
    <w:rsid w:val="0609C32A"/>
    <w:rsid w:val="0628F370"/>
    <w:rsid w:val="062B9E79"/>
    <w:rsid w:val="064FC44B"/>
    <w:rsid w:val="065F9F1C"/>
    <w:rsid w:val="066C424A"/>
    <w:rsid w:val="066D756F"/>
    <w:rsid w:val="067B09DA"/>
    <w:rsid w:val="067F0B11"/>
    <w:rsid w:val="067FD050"/>
    <w:rsid w:val="069646CB"/>
    <w:rsid w:val="06AF7224"/>
    <w:rsid w:val="06B07BD8"/>
    <w:rsid w:val="06B97908"/>
    <w:rsid w:val="06BB4D2B"/>
    <w:rsid w:val="06D5080A"/>
    <w:rsid w:val="06E3EE04"/>
    <w:rsid w:val="07156858"/>
    <w:rsid w:val="07359BAA"/>
    <w:rsid w:val="07385835"/>
    <w:rsid w:val="0745C9F0"/>
    <w:rsid w:val="0789C5F4"/>
    <w:rsid w:val="0791F473"/>
    <w:rsid w:val="07A9F7B3"/>
    <w:rsid w:val="07F89CD9"/>
    <w:rsid w:val="07FB4DF4"/>
    <w:rsid w:val="0821ED96"/>
    <w:rsid w:val="083714C9"/>
    <w:rsid w:val="085E596C"/>
    <w:rsid w:val="087BE24B"/>
    <w:rsid w:val="0886A104"/>
    <w:rsid w:val="08D17A67"/>
    <w:rsid w:val="08D49577"/>
    <w:rsid w:val="08F8CDF9"/>
    <w:rsid w:val="09122583"/>
    <w:rsid w:val="095774B2"/>
    <w:rsid w:val="0957B98E"/>
    <w:rsid w:val="098D9411"/>
    <w:rsid w:val="09ABFE10"/>
    <w:rsid w:val="09C42E9A"/>
    <w:rsid w:val="0A1DAC01"/>
    <w:rsid w:val="0A28164D"/>
    <w:rsid w:val="0A57E380"/>
    <w:rsid w:val="0A7EFDEA"/>
    <w:rsid w:val="0A914C97"/>
    <w:rsid w:val="0AC8070C"/>
    <w:rsid w:val="0AD6BF7C"/>
    <w:rsid w:val="0AF88F0F"/>
    <w:rsid w:val="0B03EE6D"/>
    <w:rsid w:val="0B2D0536"/>
    <w:rsid w:val="0B2F240E"/>
    <w:rsid w:val="0B371F96"/>
    <w:rsid w:val="0B37AD54"/>
    <w:rsid w:val="0B7792E0"/>
    <w:rsid w:val="0B848F5B"/>
    <w:rsid w:val="0BA592E5"/>
    <w:rsid w:val="0BC9CC07"/>
    <w:rsid w:val="0BF84631"/>
    <w:rsid w:val="0C2CFC85"/>
    <w:rsid w:val="0C4DEA72"/>
    <w:rsid w:val="0C4F8C34"/>
    <w:rsid w:val="0C4FA820"/>
    <w:rsid w:val="0C517459"/>
    <w:rsid w:val="0C914902"/>
    <w:rsid w:val="0C982F4A"/>
    <w:rsid w:val="0C9E9848"/>
    <w:rsid w:val="0CA9D3E4"/>
    <w:rsid w:val="0CDB224F"/>
    <w:rsid w:val="0CF02201"/>
    <w:rsid w:val="0CF06D17"/>
    <w:rsid w:val="0CFEC720"/>
    <w:rsid w:val="0D22B4D1"/>
    <w:rsid w:val="0D5E2D9C"/>
    <w:rsid w:val="0D71E39C"/>
    <w:rsid w:val="0D73E718"/>
    <w:rsid w:val="0DB4C6F9"/>
    <w:rsid w:val="0DC5CDEA"/>
    <w:rsid w:val="0DDFC8B0"/>
    <w:rsid w:val="0DDFF04B"/>
    <w:rsid w:val="0DECA567"/>
    <w:rsid w:val="0DEEE47C"/>
    <w:rsid w:val="0DEF3E3A"/>
    <w:rsid w:val="0E11626F"/>
    <w:rsid w:val="0E1943DD"/>
    <w:rsid w:val="0E266D2F"/>
    <w:rsid w:val="0E2DA73B"/>
    <w:rsid w:val="0E322D57"/>
    <w:rsid w:val="0E3DE47B"/>
    <w:rsid w:val="0E415D7D"/>
    <w:rsid w:val="0E51A944"/>
    <w:rsid w:val="0E650580"/>
    <w:rsid w:val="0E6D033B"/>
    <w:rsid w:val="0E91F653"/>
    <w:rsid w:val="0E924EC4"/>
    <w:rsid w:val="0E9C1BAD"/>
    <w:rsid w:val="0E9FE3D8"/>
    <w:rsid w:val="0EA4350B"/>
    <w:rsid w:val="0EC3FFAF"/>
    <w:rsid w:val="0EE02836"/>
    <w:rsid w:val="0F28CDE1"/>
    <w:rsid w:val="0F3DCE0F"/>
    <w:rsid w:val="0F64073F"/>
    <w:rsid w:val="0FA007F1"/>
    <w:rsid w:val="0FA44546"/>
    <w:rsid w:val="0FA615F7"/>
    <w:rsid w:val="0FA99FB6"/>
    <w:rsid w:val="0FBA7DA6"/>
    <w:rsid w:val="0FDC920B"/>
    <w:rsid w:val="10026D43"/>
    <w:rsid w:val="103F3A27"/>
    <w:rsid w:val="105193C3"/>
    <w:rsid w:val="10524DC3"/>
    <w:rsid w:val="1072CA32"/>
    <w:rsid w:val="1091CD64"/>
    <w:rsid w:val="109EBA8B"/>
    <w:rsid w:val="10BCC595"/>
    <w:rsid w:val="10F77575"/>
    <w:rsid w:val="11249441"/>
    <w:rsid w:val="11279E4F"/>
    <w:rsid w:val="11289E5F"/>
    <w:rsid w:val="115105DD"/>
    <w:rsid w:val="11617B73"/>
    <w:rsid w:val="11994F8E"/>
    <w:rsid w:val="11C8100D"/>
    <w:rsid w:val="11D5ECDA"/>
    <w:rsid w:val="11E4A7BC"/>
    <w:rsid w:val="12210AB8"/>
    <w:rsid w:val="12218520"/>
    <w:rsid w:val="123EC415"/>
    <w:rsid w:val="124C7A73"/>
    <w:rsid w:val="12561F65"/>
    <w:rsid w:val="126D60E8"/>
    <w:rsid w:val="1280EC2B"/>
    <w:rsid w:val="12886296"/>
    <w:rsid w:val="12933E72"/>
    <w:rsid w:val="12A141E0"/>
    <w:rsid w:val="12BF800B"/>
    <w:rsid w:val="12D8B44D"/>
    <w:rsid w:val="12F7A5A5"/>
    <w:rsid w:val="12FAE74B"/>
    <w:rsid w:val="1304B8F7"/>
    <w:rsid w:val="136F5A45"/>
    <w:rsid w:val="138B4F9E"/>
    <w:rsid w:val="139D9055"/>
    <w:rsid w:val="13A126B2"/>
    <w:rsid w:val="13A3723C"/>
    <w:rsid w:val="13BC188B"/>
    <w:rsid w:val="13BF1348"/>
    <w:rsid w:val="140A8DFC"/>
    <w:rsid w:val="141B2A05"/>
    <w:rsid w:val="144AFCB0"/>
    <w:rsid w:val="1457A53C"/>
    <w:rsid w:val="145A06C5"/>
    <w:rsid w:val="14976584"/>
    <w:rsid w:val="14A72619"/>
    <w:rsid w:val="14AC6CDE"/>
    <w:rsid w:val="150AC148"/>
    <w:rsid w:val="15143877"/>
    <w:rsid w:val="152F74FA"/>
    <w:rsid w:val="15324BA9"/>
    <w:rsid w:val="1536F6D3"/>
    <w:rsid w:val="153A4A1C"/>
    <w:rsid w:val="154EF7C7"/>
    <w:rsid w:val="1555CC26"/>
    <w:rsid w:val="15A58005"/>
    <w:rsid w:val="15AE025C"/>
    <w:rsid w:val="15B08E21"/>
    <w:rsid w:val="15B7B44E"/>
    <w:rsid w:val="15D1FEF2"/>
    <w:rsid w:val="15D45698"/>
    <w:rsid w:val="15DD555B"/>
    <w:rsid w:val="15EAD13C"/>
    <w:rsid w:val="16012F4D"/>
    <w:rsid w:val="16060892"/>
    <w:rsid w:val="160F8173"/>
    <w:rsid w:val="16277B8F"/>
    <w:rsid w:val="163635BB"/>
    <w:rsid w:val="1638FC09"/>
    <w:rsid w:val="1652DE38"/>
    <w:rsid w:val="1657B5BF"/>
    <w:rsid w:val="1666C21E"/>
    <w:rsid w:val="166AB0B4"/>
    <w:rsid w:val="16869F88"/>
    <w:rsid w:val="168B4F60"/>
    <w:rsid w:val="168CA8D5"/>
    <w:rsid w:val="16B8D6EF"/>
    <w:rsid w:val="16D0C562"/>
    <w:rsid w:val="16D92323"/>
    <w:rsid w:val="16DC787F"/>
    <w:rsid w:val="170430DF"/>
    <w:rsid w:val="17091BD5"/>
    <w:rsid w:val="171B2BEB"/>
    <w:rsid w:val="171DEE17"/>
    <w:rsid w:val="171E31D5"/>
    <w:rsid w:val="172715E4"/>
    <w:rsid w:val="1738ABCC"/>
    <w:rsid w:val="173CF0FA"/>
    <w:rsid w:val="1745EBBA"/>
    <w:rsid w:val="1758DE56"/>
    <w:rsid w:val="176D23AD"/>
    <w:rsid w:val="178EDB25"/>
    <w:rsid w:val="179047D1"/>
    <w:rsid w:val="17ABFB61"/>
    <w:rsid w:val="17B829C5"/>
    <w:rsid w:val="17BA3368"/>
    <w:rsid w:val="17E1DD18"/>
    <w:rsid w:val="1846444B"/>
    <w:rsid w:val="185A8377"/>
    <w:rsid w:val="187EB8C1"/>
    <w:rsid w:val="18A795B3"/>
    <w:rsid w:val="18BA1332"/>
    <w:rsid w:val="18C0D512"/>
    <w:rsid w:val="18EAADF6"/>
    <w:rsid w:val="19311266"/>
    <w:rsid w:val="193AFD36"/>
    <w:rsid w:val="193FF3AB"/>
    <w:rsid w:val="1948F800"/>
    <w:rsid w:val="194A54A9"/>
    <w:rsid w:val="194B3A04"/>
    <w:rsid w:val="195E3D35"/>
    <w:rsid w:val="19AB8D7C"/>
    <w:rsid w:val="19C25C30"/>
    <w:rsid w:val="1A0A1D62"/>
    <w:rsid w:val="1A12D6D2"/>
    <w:rsid w:val="1A1F6CE6"/>
    <w:rsid w:val="1A2E0978"/>
    <w:rsid w:val="1A495BF1"/>
    <w:rsid w:val="1A4CEEDF"/>
    <w:rsid w:val="1A50BA49"/>
    <w:rsid w:val="1A6F006B"/>
    <w:rsid w:val="1A7CBA07"/>
    <w:rsid w:val="1A7F61DA"/>
    <w:rsid w:val="1AA6B126"/>
    <w:rsid w:val="1AB649BD"/>
    <w:rsid w:val="1AC555C8"/>
    <w:rsid w:val="1ACAB265"/>
    <w:rsid w:val="1ACE6DC9"/>
    <w:rsid w:val="1AD2A872"/>
    <w:rsid w:val="1AD73135"/>
    <w:rsid w:val="1AF1D73D"/>
    <w:rsid w:val="1AF8E224"/>
    <w:rsid w:val="1B09EA45"/>
    <w:rsid w:val="1B0BFD1C"/>
    <w:rsid w:val="1B37F04E"/>
    <w:rsid w:val="1B5C8DCD"/>
    <w:rsid w:val="1B687FEB"/>
    <w:rsid w:val="1B73AD4C"/>
    <w:rsid w:val="1B77EB18"/>
    <w:rsid w:val="1B9B9C2A"/>
    <w:rsid w:val="1BA84ECC"/>
    <w:rsid w:val="1BA85848"/>
    <w:rsid w:val="1BB120F1"/>
    <w:rsid w:val="1BB311A0"/>
    <w:rsid w:val="1BB536E9"/>
    <w:rsid w:val="1BC405EE"/>
    <w:rsid w:val="1BD52A2C"/>
    <w:rsid w:val="1BE0C5E7"/>
    <w:rsid w:val="1BE70330"/>
    <w:rsid w:val="1BE81217"/>
    <w:rsid w:val="1BEBE14D"/>
    <w:rsid w:val="1C1AD7A6"/>
    <w:rsid w:val="1C3BC71E"/>
    <w:rsid w:val="1C634EAE"/>
    <w:rsid w:val="1C63C045"/>
    <w:rsid w:val="1C8E024A"/>
    <w:rsid w:val="1C9397CB"/>
    <w:rsid w:val="1CA2843B"/>
    <w:rsid w:val="1CB7A3CC"/>
    <w:rsid w:val="1CB854CA"/>
    <w:rsid w:val="1CBE166B"/>
    <w:rsid w:val="1CC5EF66"/>
    <w:rsid w:val="1CEFEDE5"/>
    <w:rsid w:val="1D118940"/>
    <w:rsid w:val="1D15A50D"/>
    <w:rsid w:val="1D29C8E9"/>
    <w:rsid w:val="1D429B95"/>
    <w:rsid w:val="1D55146A"/>
    <w:rsid w:val="1DBF051C"/>
    <w:rsid w:val="1DC7EC23"/>
    <w:rsid w:val="1DCAD1DD"/>
    <w:rsid w:val="1DDFF037"/>
    <w:rsid w:val="1DEBCB10"/>
    <w:rsid w:val="1DF99E18"/>
    <w:rsid w:val="1DFB1B31"/>
    <w:rsid w:val="1E126966"/>
    <w:rsid w:val="1E1A2B04"/>
    <w:rsid w:val="1E1BD462"/>
    <w:rsid w:val="1E2E08D0"/>
    <w:rsid w:val="1E3D9785"/>
    <w:rsid w:val="1E9BE515"/>
    <w:rsid w:val="1EA8C4B4"/>
    <w:rsid w:val="1EC05C7A"/>
    <w:rsid w:val="1EDEEB31"/>
    <w:rsid w:val="1EDF61D8"/>
    <w:rsid w:val="1F2AE371"/>
    <w:rsid w:val="1F33398E"/>
    <w:rsid w:val="1F6F36B2"/>
    <w:rsid w:val="1FB18D13"/>
    <w:rsid w:val="1FBCC8A1"/>
    <w:rsid w:val="2023BDD1"/>
    <w:rsid w:val="203841D7"/>
    <w:rsid w:val="203D1209"/>
    <w:rsid w:val="2064A34A"/>
    <w:rsid w:val="2068B4A8"/>
    <w:rsid w:val="206AAAE9"/>
    <w:rsid w:val="20AEC603"/>
    <w:rsid w:val="20BAA0F0"/>
    <w:rsid w:val="20BBB250"/>
    <w:rsid w:val="20C69FE6"/>
    <w:rsid w:val="20D341DF"/>
    <w:rsid w:val="20E725F6"/>
    <w:rsid w:val="21256120"/>
    <w:rsid w:val="2154731C"/>
    <w:rsid w:val="2163A49B"/>
    <w:rsid w:val="217769CD"/>
    <w:rsid w:val="21896973"/>
    <w:rsid w:val="21928A05"/>
    <w:rsid w:val="21A39C1A"/>
    <w:rsid w:val="21B56F3D"/>
    <w:rsid w:val="21FB3048"/>
    <w:rsid w:val="2203DE7B"/>
    <w:rsid w:val="2206142C"/>
    <w:rsid w:val="22183795"/>
    <w:rsid w:val="2234F0BE"/>
    <w:rsid w:val="223F8EF9"/>
    <w:rsid w:val="224504C2"/>
    <w:rsid w:val="2278A219"/>
    <w:rsid w:val="2278E687"/>
    <w:rsid w:val="2295BB5A"/>
    <w:rsid w:val="22AF8598"/>
    <w:rsid w:val="22B5AD06"/>
    <w:rsid w:val="22BC3FB2"/>
    <w:rsid w:val="22E18481"/>
    <w:rsid w:val="22F742F8"/>
    <w:rsid w:val="231D43A7"/>
    <w:rsid w:val="23226C7A"/>
    <w:rsid w:val="2365FB15"/>
    <w:rsid w:val="2367FD86"/>
    <w:rsid w:val="2371D495"/>
    <w:rsid w:val="237A9165"/>
    <w:rsid w:val="239CF719"/>
    <w:rsid w:val="23C21F41"/>
    <w:rsid w:val="23C70D47"/>
    <w:rsid w:val="23E12773"/>
    <w:rsid w:val="23E3B78F"/>
    <w:rsid w:val="23F1A770"/>
    <w:rsid w:val="240EAE85"/>
    <w:rsid w:val="2413E765"/>
    <w:rsid w:val="2422340E"/>
    <w:rsid w:val="24252A41"/>
    <w:rsid w:val="2463993D"/>
    <w:rsid w:val="246467A8"/>
    <w:rsid w:val="2477BF56"/>
    <w:rsid w:val="2483C221"/>
    <w:rsid w:val="2488396B"/>
    <w:rsid w:val="249624F3"/>
    <w:rsid w:val="24A5620B"/>
    <w:rsid w:val="24C56258"/>
    <w:rsid w:val="24E437AF"/>
    <w:rsid w:val="24E67007"/>
    <w:rsid w:val="24EAD174"/>
    <w:rsid w:val="2523EE30"/>
    <w:rsid w:val="25297239"/>
    <w:rsid w:val="2542A085"/>
    <w:rsid w:val="2542A086"/>
    <w:rsid w:val="2557AC25"/>
    <w:rsid w:val="257D51A1"/>
    <w:rsid w:val="25A70CD5"/>
    <w:rsid w:val="25B6D13E"/>
    <w:rsid w:val="25C971BC"/>
    <w:rsid w:val="25D7A7A2"/>
    <w:rsid w:val="260DADCC"/>
    <w:rsid w:val="26108EED"/>
    <w:rsid w:val="26585D94"/>
    <w:rsid w:val="265BBD60"/>
    <w:rsid w:val="26665110"/>
    <w:rsid w:val="26805F6F"/>
    <w:rsid w:val="26970F7F"/>
    <w:rsid w:val="269FA28B"/>
    <w:rsid w:val="26A29CE4"/>
    <w:rsid w:val="26ACAB83"/>
    <w:rsid w:val="26AEA98F"/>
    <w:rsid w:val="26E018F7"/>
    <w:rsid w:val="26F6DB98"/>
    <w:rsid w:val="26FCD8C3"/>
    <w:rsid w:val="271B712F"/>
    <w:rsid w:val="2723F1D4"/>
    <w:rsid w:val="27840542"/>
    <w:rsid w:val="278A5652"/>
    <w:rsid w:val="279CD79A"/>
    <w:rsid w:val="27CB14D2"/>
    <w:rsid w:val="27F79023"/>
    <w:rsid w:val="283A0FDD"/>
    <w:rsid w:val="283A969A"/>
    <w:rsid w:val="283C07DE"/>
    <w:rsid w:val="284C623A"/>
    <w:rsid w:val="286091D0"/>
    <w:rsid w:val="287126AB"/>
    <w:rsid w:val="289963D0"/>
    <w:rsid w:val="28A5C2B7"/>
    <w:rsid w:val="28BCA50A"/>
    <w:rsid w:val="28CF37E8"/>
    <w:rsid w:val="28F14E13"/>
    <w:rsid w:val="28F16701"/>
    <w:rsid w:val="28FCB716"/>
    <w:rsid w:val="296B8048"/>
    <w:rsid w:val="296BC7ED"/>
    <w:rsid w:val="297A8C1E"/>
    <w:rsid w:val="298FE984"/>
    <w:rsid w:val="29977C8C"/>
    <w:rsid w:val="29C130BE"/>
    <w:rsid w:val="29C5FA57"/>
    <w:rsid w:val="29CBFE5E"/>
    <w:rsid w:val="29D54DB9"/>
    <w:rsid w:val="29F23407"/>
    <w:rsid w:val="2A270B88"/>
    <w:rsid w:val="2A4AA904"/>
    <w:rsid w:val="2A8E6DFB"/>
    <w:rsid w:val="2A949CEC"/>
    <w:rsid w:val="2AA03987"/>
    <w:rsid w:val="2AAD09CD"/>
    <w:rsid w:val="2AAE2EFE"/>
    <w:rsid w:val="2AC53A26"/>
    <w:rsid w:val="2ACC73BB"/>
    <w:rsid w:val="2AD2C19E"/>
    <w:rsid w:val="2AF91D1C"/>
    <w:rsid w:val="2B07E2A5"/>
    <w:rsid w:val="2B1977AD"/>
    <w:rsid w:val="2B3E0172"/>
    <w:rsid w:val="2B5B1488"/>
    <w:rsid w:val="2B88373D"/>
    <w:rsid w:val="2B93C242"/>
    <w:rsid w:val="2BA22AC4"/>
    <w:rsid w:val="2BA8B74F"/>
    <w:rsid w:val="2BC16E3F"/>
    <w:rsid w:val="2BDA429A"/>
    <w:rsid w:val="2BFD4302"/>
    <w:rsid w:val="2C23BEC6"/>
    <w:rsid w:val="2C2FD8C5"/>
    <w:rsid w:val="2C311C02"/>
    <w:rsid w:val="2C4B9775"/>
    <w:rsid w:val="2C9823AA"/>
    <w:rsid w:val="2CD0F721"/>
    <w:rsid w:val="2CE5D4CA"/>
    <w:rsid w:val="2CFEF73A"/>
    <w:rsid w:val="2D3072A0"/>
    <w:rsid w:val="2D50F593"/>
    <w:rsid w:val="2D6104ED"/>
    <w:rsid w:val="2D62E093"/>
    <w:rsid w:val="2D8C7C90"/>
    <w:rsid w:val="2DA2CA99"/>
    <w:rsid w:val="2DB62BDD"/>
    <w:rsid w:val="2DC37D83"/>
    <w:rsid w:val="2DEC8C51"/>
    <w:rsid w:val="2E05EF81"/>
    <w:rsid w:val="2E0B678A"/>
    <w:rsid w:val="2E170C7E"/>
    <w:rsid w:val="2E1F91A2"/>
    <w:rsid w:val="2E2801F1"/>
    <w:rsid w:val="2E3E46E0"/>
    <w:rsid w:val="2E88D971"/>
    <w:rsid w:val="2E970E7B"/>
    <w:rsid w:val="2E9BE741"/>
    <w:rsid w:val="2EC594E5"/>
    <w:rsid w:val="2EDE5EA7"/>
    <w:rsid w:val="2EE1B9BA"/>
    <w:rsid w:val="2EF87F79"/>
    <w:rsid w:val="2EFFCF66"/>
    <w:rsid w:val="2F03E480"/>
    <w:rsid w:val="2F0B3239"/>
    <w:rsid w:val="2F96AD67"/>
    <w:rsid w:val="2F9DF528"/>
    <w:rsid w:val="2FB3F0B1"/>
    <w:rsid w:val="2FD03ACC"/>
    <w:rsid w:val="2FD5BC54"/>
    <w:rsid w:val="2FE2F4B8"/>
    <w:rsid w:val="2FEF0954"/>
    <w:rsid w:val="2FF0A1E4"/>
    <w:rsid w:val="2FFFC5AA"/>
    <w:rsid w:val="30069B62"/>
    <w:rsid w:val="30255859"/>
    <w:rsid w:val="305F773C"/>
    <w:rsid w:val="306F1241"/>
    <w:rsid w:val="307CCB03"/>
    <w:rsid w:val="30C7BA3D"/>
    <w:rsid w:val="30DE4692"/>
    <w:rsid w:val="30F08C10"/>
    <w:rsid w:val="30FED5EC"/>
    <w:rsid w:val="310147A1"/>
    <w:rsid w:val="313F5B72"/>
    <w:rsid w:val="3184CA9C"/>
    <w:rsid w:val="31BDD781"/>
    <w:rsid w:val="31D2056F"/>
    <w:rsid w:val="31DEC54C"/>
    <w:rsid w:val="31F35F71"/>
    <w:rsid w:val="3209EA21"/>
    <w:rsid w:val="320B582B"/>
    <w:rsid w:val="3242609B"/>
    <w:rsid w:val="328B73CD"/>
    <w:rsid w:val="32DB7465"/>
    <w:rsid w:val="32DFB0F2"/>
    <w:rsid w:val="32F08B6C"/>
    <w:rsid w:val="330102BB"/>
    <w:rsid w:val="330B5301"/>
    <w:rsid w:val="331400DF"/>
    <w:rsid w:val="336D845D"/>
    <w:rsid w:val="337D48F3"/>
    <w:rsid w:val="337D86CA"/>
    <w:rsid w:val="338685D7"/>
    <w:rsid w:val="33AC3596"/>
    <w:rsid w:val="33C2F5A5"/>
    <w:rsid w:val="33CD689C"/>
    <w:rsid w:val="33D28E69"/>
    <w:rsid w:val="33DF564E"/>
    <w:rsid w:val="340F25D9"/>
    <w:rsid w:val="34396A2D"/>
    <w:rsid w:val="34410640"/>
    <w:rsid w:val="3450BA7C"/>
    <w:rsid w:val="34580745"/>
    <w:rsid w:val="34648F59"/>
    <w:rsid w:val="349C08D4"/>
    <w:rsid w:val="349EE8B5"/>
    <w:rsid w:val="3512D992"/>
    <w:rsid w:val="351CD91A"/>
    <w:rsid w:val="351F02CC"/>
    <w:rsid w:val="353BEE3B"/>
    <w:rsid w:val="357EFDC0"/>
    <w:rsid w:val="35A0A440"/>
    <w:rsid w:val="35A98BA8"/>
    <w:rsid w:val="35A9B4CB"/>
    <w:rsid w:val="35AC28F0"/>
    <w:rsid w:val="362519F7"/>
    <w:rsid w:val="362B757F"/>
    <w:rsid w:val="362CABF9"/>
    <w:rsid w:val="36348C9B"/>
    <w:rsid w:val="365B7EA8"/>
    <w:rsid w:val="3689BAEA"/>
    <w:rsid w:val="3689DF6F"/>
    <w:rsid w:val="369CC6F5"/>
    <w:rsid w:val="36B0FF55"/>
    <w:rsid w:val="36D0E942"/>
    <w:rsid w:val="36E10B1C"/>
    <w:rsid w:val="370DB3A7"/>
    <w:rsid w:val="3712AA27"/>
    <w:rsid w:val="3743C720"/>
    <w:rsid w:val="3744DA09"/>
    <w:rsid w:val="37460E9B"/>
    <w:rsid w:val="3749E15A"/>
    <w:rsid w:val="374EA3A0"/>
    <w:rsid w:val="37A1E67D"/>
    <w:rsid w:val="37B24BB6"/>
    <w:rsid w:val="37CF8718"/>
    <w:rsid w:val="37EA24C8"/>
    <w:rsid w:val="37EC55D3"/>
    <w:rsid w:val="3825CF60"/>
    <w:rsid w:val="383EA52C"/>
    <w:rsid w:val="38861535"/>
    <w:rsid w:val="3886836B"/>
    <w:rsid w:val="38A9B9D9"/>
    <w:rsid w:val="38A9D915"/>
    <w:rsid w:val="38B3A8F9"/>
    <w:rsid w:val="38C4EBCE"/>
    <w:rsid w:val="38CBF151"/>
    <w:rsid w:val="391F6170"/>
    <w:rsid w:val="3920A79D"/>
    <w:rsid w:val="39238360"/>
    <w:rsid w:val="39383108"/>
    <w:rsid w:val="393E3417"/>
    <w:rsid w:val="394F911B"/>
    <w:rsid w:val="396E3821"/>
    <w:rsid w:val="39910D8D"/>
    <w:rsid w:val="39BD6E38"/>
    <w:rsid w:val="39CC3EE5"/>
    <w:rsid w:val="3A1363A8"/>
    <w:rsid w:val="3A15D104"/>
    <w:rsid w:val="3A1C36D6"/>
    <w:rsid w:val="3A244917"/>
    <w:rsid w:val="3A5CED9C"/>
    <w:rsid w:val="3A661663"/>
    <w:rsid w:val="3A6875F3"/>
    <w:rsid w:val="3A79ECDF"/>
    <w:rsid w:val="3A88FF6E"/>
    <w:rsid w:val="3A8DE7B0"/>
    <w:rsid w:val="3AA679C1"/>
    <w:rsid w:val="3AA78183"/>
    <w:rsid w:val="3AB9A26F"/>
    <w:rsid w:val="3ABAF56C"/>
    <w:rsid w:val="3AC68EAA"/>
    <w:rsid w:val="3AD00FA5"/>
    <w:rsid w:val="3B0CC8EC"/>
    <w:rsid w:val="3B0F1EFD"/>
    <w:rsid w:val="3B186123"/>
    <w:rsid w:val="3B58682B"/>
    <w:rsid w:val="3B666718"/>
    <w:rsid w:val="3B7261A9"/>
    <w:rsid w:val="3BEDB0E8"/>
    <w:rsid w:val="3BEFC715"/>
    <w:rsid w:val="3BF0A324"/>
    <w:rsid w:val="3BF1008F"/>
    <w:rsid w:val="3C398296"/>
    <w:rsid w:val="3C4CF3E3"/>
    <w:rsid w:val="3C635039"/>
    <w:rsid w:val="3C72C11F"/>
    <w:rsid w:val="3C7412B7"/>
    <w:rsid w:val="3C787328"/>
    <w:rsid w:val="3CA12831"/>
    <w:rsid w:val="3CC36522"/>
    <w:rsid w:val="3D0ABA6F"/>
    <w:rsid w:val="3D2C9076"/>
    <w:rsid w:val="3D3A0F00"/>
    <w:rsid w:val="3D6A3BFD"/>
    <w:rsid w:val="3D72433B"/>
    <w:rsid w:val="3D96829B"/>
    <w:rsid w:val="3DAAE042"/>
    <w:rsid w:val="3DBB43FE"/>
    <w:rsid w:val="3DCAD50C"/>
    <w:rsid w:val="3E0BC39E"/>
    <w:rsid w:val="3E117009"/>
    <w:rsid w:val="3E376230"/>
    <w:rsid w:val="3E4B5E44"/>
    <w:rsid w:val="3E5B11B8"/>
    <w:rsid w:val="3E673213"/>
    <w:rsid w:val="3EB1160C"/>
    <w:rsid w:val="3EC20EC0"/>
    <w:rsid w:val="3EC51202"/>
    <w:rsid w:val="3F0A651E"/>
    <w:rsid w:val="3F21B24F"/>
    <w:rsid w:val="3F31A1E5"/>
    <w:rsid w:val="3F6E38A4"/>
    <w:rsid w:val="3F97CBE4"/>
    <w:rsid w:val="3F987A21"/>
    <w:rsid w:val="3F989D80"/>
    <w:rsid w:val="3FBF0DD5"/>
    <w:rsid w:val="3FCE0E49"/>
    <w:rsid w:val="3FD75804"/>
    <w:rsid w:val="3FF11AF0"/>
    <w:rsid w:val="3FF9163C"/>
    <w:rsid w:val="3FFC5E85"/>
    <w:rsid w:val="4008DB20"/>
    <w:rsid w:val="4010BA96"/>
    <w:rsid w:val="4012AF84"/>
    <w:rsid w:val="4014062E"/>
    <w:rsid w:val="40153F80"/>
    <w:rsid w:val="4015BE37"/>
    <w:rsid w:val="401DF988"/>
    <w:rsid w:val="402CAF60"/>
    <w:rsid w:val="4034CCE9"/>
    <w:rsid w:val="4038FFEC"/>
    <w:rsid w:val="404A7ADA"/>
    <w:rsid w:val="4063C7BA"/>
    <w:rsid w:val="40689F8A"/>
    <w:rsid w:val="406FD7E0"/>
    <w:rsid w:val="4081434E"/>
    <w:rsid w:val="409E8465"/>
    <w:rsid w:val="40C0CB9D"/>
    <w:rsid w:val="40D36674"/>
    <w:rsid w:val="40D6E888"/>
    <w:rsid w:val="40D70686"/>
    <w:rsid w:val="40F815B0"/>
    <w:rsid w:val="4139A327"/>
    <w:rsid w:val="4154F66E"/>
    <w:rsid w:val="415F1B9F"/>
    <w:rsid w:val="416E3D75"/>
    <w:rsid w:val="4184CC9C"/>
    <w:rsid w:val="41862E64"/>
    <w:rsid w:val="4186E05D"/>
    <w:rsid w:val="41974B3E"/>
    <w:rsid w:val="419C5A27"/>
    <w:rsid w:val="41C26833"/>
    <w:rsid w:val="41C41502"/>
    <w:rsid w:val="41E66B1A"/>
    <w:rsid w:val="41F6FDAA"/>
    <w:rsid w:val="422D2A40"/>
    <w:rsid w:val="423444B5"/>
    <w:rsid w:val="4258BE30"/>
    <w:rsid w:val="4262EA7A"/>
    <w:rsid w:val="4263F33A"/>
    <w:rsid w:val="428A2E55"/>
    <w:rsid w:val="428BE65C"/>
    <w:rsid w:val="42904A3D"/>
    <w:rsid w:val="42947AA4"/>
    <w:rsid w:val="42975A0F"/>
    <w:rsid w:val="42D4E3A8"/>
    <w:rsid w:val="433BF6BC"/>
    <w:rsid w:val="437085D9"/>
    <w:rsid w:val="43821568"/>
    <w:rsid w:val="43A61030"/>
    <w:rsid w:val="43B9A6C2"/>
    <w:rsid w:val="43D13FA6"/>
    <w:rsid w:val="43DFCA9D"/>
    <w:rsid w:val="43E78FED"/>
    <w:rsid w:val="43EA8897"/>
    <w:rsid w:val="43EE1D1B"/>
    <w:rsid w:val="440E1D23"/>
    <w:rsid w:val="44279541"/>
    <w:rsid w:val="44568532"/>
    <w:rsid w:val="4456A225"/>
    <w:rsid w:val="44743F0C"/>
    <w:rsid w:val="448979D0"/>
    <w:rsid w:val="44AE69A3"/>
    <w:rsid w:val="44BCB642"/>
    <w:rsid w:val="44F25A38"/>
    <w:rsid w:val="44F4021A"/>
    <w:rsid w:val="44FED232"/>
    <w:rsid w:val="4510F3AF"/>
    <w:rsid w:val="452B60AB"/>
    <w:rsid w:val="45429957"/>
    <w:rsid w:val="45471837"/>
    <w:rsid w:val="454A8041"/>
    <w:rsid w:val="454BD50C"/>
    <w:rsid w:val="45539DB4"/>
    <w:rsid w:val="4567B2B8"/>
    <w:rsid w:val="456AEE64"/>
    <w:rsid w:val="457F2541"/>
    <w:rsid w:val="45854A22"/>
    <w:rsid w:val="45A55A0C"/>
    <w:rsid w:val="45CF5A01"/>
    <w:rsid w:val="45D7BE90"/>
    <w:rsid w:val="45DEF356"/>
    <w:rsid w:val="45E957F9"/>
    <w:rsid w:val="45F06717"/>
    <w:rsid w:val="45F3061C"/>
    <w:rsid w:val="46061DBA"/>
    <w:rsid w:val="46147F83"/>
    <w:rsid w:val="466345D2"/>
    <w:rsid w:val="4675452E"/>
    <w:rsid w:val="46C70C89"/>
    <w:rsid w:val="46CAB956"/>
    <w:rsid w:val="46D59BAF"/>
    <w:rsid w:val="46D785DA"/>
    <w:rsid w:val="46E01CC9"/>
    <w:rsid w:val="46E79AD9"/>
    <w:rsid w:val="470A16C0"/>
    <w:rsid w:val="4711D351"/>
    <w:rsid w:val="471553FA"/>
    <w:rsid w:val="471E76F8"/>
    <w:rsid w:val="471F3414"/>
    <w:rsid w:val="47354C4D"/>
    <w:rsid w:val="477896A3"/>
    <w:rsid w:val="477AD166"/>
    <w:rsid w:val="47878F18"/>
    <w:rsid w:val="4790250E"/>
    <w:rsid w:val="47BE7092"/>
    <w:rsid w:val="47BF21AF"/>
    <w:rsid w:val="47FDEDE1"/>
    <w:rsid w:val="480BC2A3"/>
    <w:rsid w:val="480BF126"/>
    <w:rsid w:val="481D921B"/>
    <w:rsid w:val="4825E1AC"/>
    <w:rsid w:val="488E1C66"/>
    <w:rsid w:val="48A66ACE"/>
    <w:rsid w:val="48A6D75D"/>
    <w:rsid w:val="48C511DB"/>
    <w:rsid w:val="48D08C19"/>
    <w:rsid w:val="48F49275"/>
    <w:rsid w:val="49058406"/>
    <w:rsid w:val="492E7F68"/>
    <w:rsid w:val="494B1639"/>
    <w:rsid w:val="49566A09"/>
    <w:rsid w:val="49639993"/>
    <w:rsid w:val="49769371"/>
    <w:rsid w:val="49B9EEAC"/>
    <w:rsid w:val="49C39DE5"/>
    <w:rsid w:val="49E5312A"/>
    <w:rsid w:val="49ECC033"/>
    <w:rsid w:val="49F7DCA2"/>
    <w:rsid w:val="4A072250"/>
    <w:rsid w:val="4A1CFAE4"/>
    <w:rsid w:val="4A247730"/>
    <w:rsid w:val="4A2DC937"/>
    <w:rsid w:val="4A3CE6CD"/>
    <w:rsid w:val="4A51FAEF"/>
    <w:rsid w:val="4A798BCC"/>
    <w:rsid w:val="4A8C925F"/>
    <w:rsid w:val="4A9D815A"/>
    <w:rsid w:val="4ACE95CC"/>
    <w:rsid w:val="4AD4FA4A"/>
    <w:rsid w:val="4AF15FCC"/>
    <w:rsid w:val="4AFDE919"/>
    <w:rsid w:val="4B0EF6E8"/>
    <w:rsid w:val="4B132A94"/>
    <w:rsid w:val="4B14DCC7"/>
    <w:rsid w:val="4B4E2DE7"/>
    <w:rsid w:val="4B83E803"/>
    <w:rsid w:val="4B9CF080"/>
    <w:rsid w:val="4BBD41EF"/>
    <w:rsid w:val="4BBED512"/>
    <w:rsid w:val="4BE9C53E"/>
    <w:rsid w:val="4BF93B16"/>
    <w:rsid w:val="4C0CC062"/>
    <w:rsid w:val="4C31B9C9"/>
    <w:rsid w:val="4C3FB5B5"/>
    <w:rsid w:val="4C48DA9A"/>
    <w:rsid w:val="4C603A98"/>
    <w:rsid w:val="4C6D8CD4"/>
    <w:rsid w:val="4C8898F5"/>
    <w:rsid w:val="4CDB17C4"/>
    <w:rsid w:val="4CDCDD10"/>
    <w:rsid w:val="4CE2146E"/>
    <w:rsid w:val="4CF4BD06"/>
    <w:rsid w:val="4CF7ED47"/>
    <w:rsid w:val="4CFF6F50"/>
    <w:rsid w:val="4D1D6F42"/>
    <w:rsid w:val="4D1E9B70"/>
    <w:rsid w:val="4D378605"/>
    <w:rsid w:val="4D49606D"/>
    <w:rsid w:val="4D599AA1"/>
    <w:rsid w:val="4D8396E9"/>
    <w:rsid w:val="4DA4FD6E"/>
    <w:rsid w:val="4DBA0377"/>
    <w:rsid w:val="4DC80ABE"/>
    <w:rsid w:val="4DCB157C"/>
    <w:rsid w:val="4E002A7F"/>
    <w:rsid w:val="4E18EFCB"/>
    <w:rsid w:val="4E6644F3"/>
    <w:rsid w:val="4EAD69A1"/>
    <w:rsid w:val="4EB6C4D2"/>
    <w:rsid w:val="4EC4E9D7"/>
    <w:rsid w:val="4EFF986D"/>
    <w:rsid w:val="4F1BEAB4"/>
    <w:rsid w:val="4F35C68D"/>
    <w:rsid w:val="4F51793B"/>
    <w:rsid w:val="4F56C235"/>
    <w:rsid w:val="4F712083"/>
    <w:rsid w:val="4F81CBA4"/>
    <w:rsid w:val="4F99AF2B"/>
    <w:rsid w:val="4F9E3481"/>
    <w:rsid w:val="4FAA6BD4"/>
    <w:rsid w:val="4FBDBF73"/>
    <w:rsid w:val="4FDE806B"/>
    <w:rsid w:val="4FE7144A"/>
    <w:rsid w:val="4FFE44DF"/>
    <w:rsid w:val="501FE15C"/>
    <w:rsid w:val="5030095F"/>
    <w:rsid w:val="5046BEDB"/>
    <w:rsid w:val="504BBC8E"/>
    <w:rsid w:val="50790C7F"/>
    <w:rsid w:val="5097175F"/>
    <w:rsid w:val="50A26554"/>
    <w:rsid w:val="50E6125C"/>
    <w:rsid w:val="510BA9C6"/>
    <w:rsid w:val="51183D37"/>
    <w:rsid w:val="511C0386"/>
    <w:rsid w:val="511EBA0C"/>
    <w:rsid w:val="5140041D"/>
    <w:rsid w:val="51518F91"/>
    <w:rsid w:val="5155E957"/>
    <w:rsid w:val="515B2229"/>
    <w:rsid w:val="516833FE"/>
    <w:rsid w:val="51832A62"/>
    <w:rsid w:val="5192FB15"/>
    <w:rsid w:val="5193675E"/>
    <w:rsid w:val="51B88693"/>
    <w:rsid w:val="51C34CC8"/>
    <w:rsid w:val="521E2A7B"/>
    <w:rsid w:val="52263F49"/>
    <w:rsid w:val="52328FD5"/>
    <w:rsid w:val="525600E4"/>
    <w:rsid w:val="5265372F"/>
    <w:rsid w:val="52690442"/>
    <w:rsid w:val="527A770A"/>
    <w:rsid w:val="528C9344"/>
    <w:rsid w:val="52A3A701"/>
    <w:rsid w:val="52A59565"/>
    <w:rsid w:val="52D5E10D"/>
    <w:rsid w:val="52E8D090"/>
    <w:rsid w:val="52F7371F"/>
    <w:rsid w:val="53107884"/>
    <w:rsid w:val="532900AA"/>
    <w:rsid w:val="5334559E"/>
    <w:rsid w:val="5391721E"/>
    <w:rsid w:val="5395B5F4"/>
    <w:rsid w:val="539F7C33"/>
    <w:rsid w:val="53BA3A2A"/>
    <w:rsid w:val="53BCAFA5"/>
    <w:rsid w:val="53C59CC7"/>
    <w:rsid w:val="5417AB3E"/>
    <w:rsid w:val="543F161F"/>
    <w:rsid w:val="5486327F"/>
    <w:rsid w:val="5490CB24"/>
    <w:rsid w:val="54A38D94"/>
    <w:rsid w:val="54AE5870"/>
    <w:rsid w:val="54D75A87"/>
    <w:rsid w:val="54D97B0F"/>
    <w:rsid w:val="550452BE"/>
    <w:rsid w:val="55219D15"/>
    <w:rsid w:val="55337791"/>
    <w:rsid w:val="553EFF5D"/>
    <w:rsid w:val="5549882D"/>
    <w:rsid w:val="5575A17B"/>
    <w:rsid w:val="5589BBB7"/>
    <w:rsid w:val="55944A77"/>
    <w:rsid w:val="55B3DE1F"/>
    <w:rsid w:val="55D0843B"/>
    <w:rsid w:val="55E0F441"/>
    <w:rsid w:val="55EDBC41"/>
    <w:rsid w:val="5636F217"/>
    <w:rsid w:val="565C8023"/>
    <w:rsid w:val="56641252"/>
    <w:rsid w:val="566BCDBB"/>
    <w:rsid w:val="56755FCE"/>
    <w:rsid w:val="56820AE2"/>
    <w:rsid w:val="56B9E262"/>
    <w:rsid w:val="56C0264A"/>
    <w:rsid w:val="56CF5225"/>
    <w:rsid w:val="56E85A38"/>
    <w:rsid w:val="56F90839"/>
    <w:rsid w:val="56FD6604"/>
    <w:rsid w:val="57038F2C"/>
    <w:rsid w:val="571CDD3D"/>
    <w:rsid w:val="57228E0A"/>
    <w:rsid w:val="577E92CC"/>
    <w:rsid w:val="577F4657"/>
    <w:rsid w:val="57B63BEF"/>
    <w:rsid w:val="57C77124"/>
    <w:rsid w:val="57F3D3D8"/>
    <w:rsid w:val="57F8246A"/>
    <w:rsid w:val="57FDDB26"/>
    <w:rsid w:val="580758B7"/>
    <w:rsid w:val="581A2748"/>
    <w:rsid w:val="582433B7"/>
    <w:rsid w:val="5855E86E"/>
    <w:rsid w:val="586DCC5D"/>
    <w:rsid w:val="58725FAE"/>
    <w:rsid w:val="5873D666"/>
    <w:rsid w:val="588CF435"/>
    <w:rsid w:val="58A606F8"/>
    <w:rsid w:val="58B8841E"/>
    <w:rsid w:val="58C9D5D1"/>
    <w:rsid w:val="58D1275E"/>
    <w:rsid w:val="58D6C216"/>
    <w:rsid w:val="58E26FD6"/>
    <w:rsid w:val="58FAFC79"/>
    <w:rsid w:val="5906FC59"/>
    <w:rsid w:val="59088690"/>
    <w:rsid w:val="59159B01"/>
    <w:rsid w:val="591A6127"/>
    <w:rsid w:val="5921BFF9"/>
    <w:rsid w:val="592804E2"/>
    <w:rsid w:val="59398FE5"/>
    <w:rsid w:val="593E70BD"/>
    <w:rsid w:val="59401102"/>
    <w:rsid w:val="595D2A2B"/>
    <w:rsid w:val="59E1BC64"/>
    <w:rsid w:val="5A08702F"/>
    <w:rsid w:val="5A1C98EA"/>
    <w:rsid w:val="5A3C903F"/>
    <w:rsid w:val="5A4963C1"/>
    <w:rsid w:val="5A4BE429"/>
    <w:rsid w:val="5A5CA7BD"/>
    <w:rsid w:val="5A60CF3B"/>
    <w:rsid w:val="5A670477"/>
    <w:rsid w:val="5A6F54AB"/>
    <w:rsid w:val="5A7984D3"/>
    <w:rsid w:val="5A802A9F"/>
    <w:rsid w:val="5ABB4E9E"/>
    <w:rsid w:val="5AC3C874"/>
    <w:rsid w:val="5B1B8B6B"/>
    <w:rsid w:val="5B2B4B6A"/>
    <w:rsid w:val="5B2D1E33"/>
    <w:rsid w:val="5B5A6096"/>
    <w:rsid w:val="5B664B18"/>
    <w:rsid w:val="5B889713"/>
    <w:rsid w:val="5B98DB8A"/>
    <w:rsid w:val="5BAD2860"/>
    <w:rsid w:val="5C229D51"/>
    <w:rsid w:val="5C3C5EC4"/>
    <w:rsid w:val="5C458287"/>
    <w:rsid w:val="5C76E6B5"/>
    <w:rsid w:val="5C78E072"/>
    <w:rsid w:val="5C7F6F05"/>
    <w:rsid w:val="5C87A398"/>
    <w:rsid w:val="5CC9146D"/>
    <w:rsid w:val="5CD1851C"/>
    <w:rsid w:val="5D1D8D93"/>
    <w:rsid w:val="5D410E1B"/>
    <w:rsid w:val="5D598F91"/>
    <w:rsid w:val="5D61F9BB"/>
    <w:rsid w:val="5D6B95B0"/>
    <w:rsid w:val="5D6D3133"/>
    <w:rsid w:val="5D792DF0"/>
    <w:rsid w:val="5DA68EF3"/>
    <w:rsid w:val="5DABEA44"/>
    <w:rsid w:val="5DD4803A"/>
    <w:rsid w:val="5DE1A1D5"/>
    <w:rsid w:val="5DE6AF9D"/>
    <w:rsid w:val="5DF04620"/>
    <w:rsid w:val="5DF92E7D"/>
    <w:rsid w:val="5E1D4B30"/>
    <w:rsid w:val="5E24EDB1"/>
    <w:rsid w:val="5E29CF95"/>
    <w:rsid w:val="5E471177"/>
    <w:rsid w:val="5E7595F1"/>
    <w:rsid w:val="5EAD85D2"/>
    <w:rsid w:val="5ED8628A"/>
    <w:rsid w:val="5ED8A3AA"/>
    <w:rsid w:val="5EEEC62A"/>
    <w:rsid w:val="5F28508C"/>
    <w:rsid w:val="5F89F2C0"/>
    <w:rsid w:val="5F916701"/>
    <w:rsid w:val="5FA8F973"/>
    <w:rsid w:val="5FDD10E9"/>
    <w:rsid w:val="60042572"/>
    <w:rsid w:val="60406459"/>
    <w:rsid w:val="6043A507"/>
    <w:rsid w:val="6046AC98"/>
    <w:rsid w:val="604703D2"/>
    <w:rsid w:val="604C3314"/>
    <w:rsid w:val="604E0AF9"/>
    <w:rsid w:val="607189A9"/>
    <w:rsid w:val="6091058E"/>
    <w:rsid w:val="60A377E4"/>
    <w:rsid w:val="60A5604F"/>
    <w:rsid w:val="60A9708B"/>
    <w:rsid w:val="60BD251E"/>
    <w:rsid w:val="611D2C66"/>
    <w:rsid w:val="612A5BD9"/>
    <w:rsid w:val="613B9B54"/>
    <w:rsid w:val="61481568"/>
    <w:rsid w:val="6152F915"/>
    <w:rsid w:val="615B2E9C"/>
    <w:rsid w:val="617E884F"/>
    <w:rsid w:val="619EFA23"/>
    <w:rsid w:val="61AFCE5A"/>
    <w:rsid w:val="61B1C55C"/>
    <w:rsid w:val="61BDEBCB"/>
    <w:rsid w:val="61DBA1E3"/>
    <w:rsid w:val="61FEDF00"/>
    <w:rsid w:val="6216A90C"/>
    <w:rsid w:val="621728D4"/>
    <w:rsid w:val="623A7E06"/>
    <w:rsid w:val="6255FA85"/>
    <w:rsid w:val="625BD9EC"/>
    <w:rsid w:val="626D6032"/>
    <w:rsid w:val="6288125A"/>
    <w:rsid w:val="629831DF"/>
    <w:rsid w:val="62C0A122"/>
    <w:rsid w:val="62C1D01C"/>
    <w:rsid w:val="62C45A7C"/>
    <w:rsid w:val="62CCBE85"/>
    <w:rsid w:val="62D1198E"/>
    <w:rsid w:val="6300A213"/>
    <w:rsid w:val="6314D6BE"/>
    <w:rsid w:val="6323B465"/>
    <w:rsid w:val="63330B0B"/>
    <w:rsid w:val="636D4F9F"/>
    <w:rsid w:val="636F3E81"/>
    <w:rsid w:val="63A81066"/>
    <w:rsid w:val="63CF599F"/>
    <w:rsid w:val="63D5B095"/>
    <w:rsid w:val="63E0A0A6"/>
    <w:rsid w:val="63EA6503"/>
    <w:rsid w:val="63F6A2BD"/>
    <w:rsid w:val="63FA4014"/>
    <w:rsid w:val="640F1A57"/>
    <w:rsid w:val="641D4230"/>
    <w:rsid w:val="641FC282"/>
    <w:rsid w:val="64200D09"/>
    <w:rsid w:val="64441DF5"/>
    <w:rsid w:val="64590428"/>
    <w:rsid w:val="646B7F4A"/>
    <w:rsid w:val="647062F6"/>
    <w:rsid w:val="6470A9E5"/>
    <w:rsid w:val="649C0C18"/>
    <w:rsid w:val="64A15CB8"/>
    <w:rsid w:val="64C25E6A"/>
    <w:rsid w:val="64FA8A28"/>
    <w:rsid w:val="65350507"/>
    <w:rsid w:val="654C86C9"/>
    <w:rsid w:val="657D6827"/>
    <w:rsid w:val="65888EDB"/>
    <w:rsid w:val="6596832C"/>
    <w:rsid w:val="659D9169"/>
    <w:rsid w:val="65B00969"/>
    <w:rsid w:val="65CFD987"/>
    <w:rsid w:val="65FB92F0"/>
    <w:rsid w:val="66084FDC"/>
    <w:rsid w:val="6632DFF9"/>
    <w:rsid w:val="66543071"/>
    <w:rsid w:val="6659696A"/>
    <w:rsid w:val="665A5FD3"/>
    <w:rsid w:val="66B540A3"/>
    <w:rsid w:val="66C2A86E"/>
    <w:rsid w:val="66EFB280"/>
    <w:rsid w:val="66F8DC8C"/>
    <w:rsid w:val="67016509"/>
    <w:rsid w:val="671B881E"/>
    <w:rsid w:val="6722178D"/>
    <w:rsid w:val="6723783D"/>
    <w:rsid w:val="6739E95F"/>
    <w:rsid w:val="677FE83D"/>
    <w:rsid w:val="678C93F2"/>
    <w:rsid w:val="67A4FEB7"/>
    <w:rsid w:val="67AE69B4"/>
    <w:rsid w:val="67B61C1F"/>
    <w:rsid w:val="67F5239A"/>
    <w:rsid w:val="680AB2A3"/>
    <w:rsid w:val="6823931E"/>
    <w:rsid w:val="6831071B"/>
    <w:rsid w:val="6851C054"/>
    <w:rsid w:val="68548E5A"/>
    <w:rsid w:val="685BB4CA"/>
    <w:rsid w:val="68A05B61"/>
    <w:rsid w:val="68B1800F"/>
    <w:rsid w:val="68C84837"/>
    <w:rsid w:val="68CE8195"/>
    <w:rsid w:val="693C6A01"/>
    <w:rsid w:val="6949510E"/>
    <w:rsid w:val="69578021"/>
    <w:rsid w:val="69863429"/>
    <w:rsid w:val="699DB849"/>
    <w:rsid w:val="69C64CE8"/>
    <w:rsid w:val="69CAA63C"/>
    <w:rsid w:val="69CD13E0"/>
    <w:rsid w:val="69CD592D"/>
    <w:rsid w:val="69EC6E49"/>
    <w:rsid w:val="69EF2D08"/>
    <w:rsid w:val="6A01F5A4"/>
    <w:rsid w:val="6A22176C"/>
    <w:rsid w:val="6A464764"/>
    <w:rsid w:val="6A5F42A0"/>
    <w:rsid w:val="6A85B244"/>
    <w:rsid w:val="6A9A26F6"/>
    <w:rsid w:val="6AA25C31"/>
    <w:rsid w:val="6ADA6A4D"/>
    <w:rsid w:val="6ADDC4C3"/>
    <w:rsid w:val="6AE09EE6"/>
    <w:rsid w:val="6AE8D3EE"/>
    <w:rsid w:val="6B2F239F"/>
    <w:rsid w:val="6B3A3125"/>
    <w:rsid w:val="6B40022E"/>
    <w:rsid w:val="6B46640B"/>
    <w:rsid w:val="6B4C5C37"/>
    <w:rsid w:val="6B59EB40"/>
    <w:rsid w:val="6B64C23E"/>
    <w:rsid w:val="6B6A9F48"/>
    <w:rsid w:val="6B6E971E"/>
    <w:rsid w:val="6B6FD616"/>
    <w:rsid w:val="6B7A215F"/>
    <w:rsid w:val="6B8B3CF2"/>
    <w:rsid w:val="6BA9DFEE"/>
    <w:rsid w:val="6BBC03E1"/>
    <w:rsid w:val="6BC1B96B"/>
    <w:rsid w:val="6BD0F5CC"/>
    <w:rsid w:val="6BFAD7D8"/>
    <w:rsid w:val="6BFBEA89"/>
    <w:rsid w:val="6C26DBF7"/>
    <w:rsid w:val="6C2EDB7D"/>
    <w:rsid w:val="6C370604"/>
    <w:rsid w:val="6C496F0F"/>
    <w:rsid w:val="6C54B7D5"/>
    <w:rsid w:val="6C7B3B0D"/>
    <w:rsid w:val="6C840127"/>
    <w:rsid w:val="6C95363E"/>
    <w:rsid w:val="6CC3E2D2"/>
    <w:rsid w:val="6CD261AE"/>
    <w:rsid w:val="6CEFB11B"/>
    <w:rsid w:val="6CFD8DDD"/>
    <w:rsid w:val="6D0F176A"/>
    <w:rsid w:val="6D259B36"/>
    <w:rsid w:val="6D373BEF"/>
    <w:rsid w:val="6D3C148B"/>
    <w:rsid w:val="6D4C7D5C"/>
    <w:rsid w:val="6D61BC6B"/>
    <w:rsid w:val="6D75177A"/>
    <w:rsid w:val="6D75D8BC"/>
    <w:rsid w:val="6D770052"/>
    <w:rsid w:val="6D81E147"/>
    <w:rsid w:val="6DB0E390"/>
    <w:rsid w:val="6DE3AA03"/>
    <w:rsid w:val="6DEB6EC8"/>
    <w:rsid w:val="6DF948DE"/>
    <w:rsid w:val="6E02FEAB"/>
    <w:rsid w:val="6E11A144"/>
    <w:rsid w:val="6E18F8BB"/>
    <w:rsid w:val="6E225366"/>
    <w:rsid w:val="6E4FEA87"/>
    <w:rsid w:val="6E684BE9"/>
    <w:rsid w:val="6E79CDC6"/>
    <w:rsid w:val="6E9028BA"/>
    <w:rsid w:val="6E969E13"/>
    <w:rsid w:val="6EB9D85C"/>
    <w:rsid w:val="6EDC0851"/>
    <w:rsid w:val="6EEAF92C"/>
    <w:rsid w:val="6EEFFD95"/>
    <w:rsid w:val="6EF7AB74"/>
    <w:rsid w:val="6F0669F2"/>
    <w:rsid w:val="6F076F35"/>
    <w:rsid w:val="6F1C5113"/>
    <w:rsid w:val="6F27FB89"/>
    <w:rsid w:val="6F3BEEC9"/>
    <w:rsid w:val="6F468C12"/>
    <w:rsid w:val="6F4942D1"/>
    <w:rsid w:val="6F4A24A8"/>
    <w:rsid w:val="6F6CB051"/>
    <w:rsid w:val="6F89DCCB"/>
    <w:rsid w:val="6FB5B76F"/>
    <w:rsid w:val="6FDCDD11"/>
    <w:rsid w:val="6FE1B1F2"/>
    <w:rsid w:val="6FE6A9DA"/>
    <w:rsid w:val="7019D5F6"/>
    <w:rsid w:val="7032AA84"/>
    <w:rsid w:val="70491DE8"/>
    <w:rsid w:val="706A6A63"/>
    <w:rsid w:val="708E28E6"/>
    <w:rsid w:val="70CE170F"/>
    <w:rsid w:val="70FD5EB5"/>
    <w:rsid w:val="7138876B"/>
    <w:rsid w:val="714833B0"/>
    <w:rsid w:val="715487DB"/>
    <w:rsid w:val="71560FD6"/>
    <w:rsid w:val="71572C15"/>
    <w:rsid w:val="715E8969"/>
    <w:rsid w:val="717D6B22"/>
    <w:rsid w:val="71BDA308"/>
    <w:rsid w:val="71C677E6"/>
    <w:rsid w:val="71CD6872"/>
    <w:rsid w:val="71D89928"/>
    <w:rsid w:val="71DDF477"/>
    <w:rsid w:val="71E29CFE"/>
    <w:rsid w:val="723FC924"/>
    <w:rsid w:val="7246DA70"/>
    <w:rsid w:val="725B9310"/>
    <w:rsid w:val="726DE4EB"/>
    <w:rsid w:val="7273C3A0"/>
    <w:rsid w:val="7278B54B"/>
    <w:rsid w:val="7278F13A"/>
    <w:rsid w:val="7298EFA3"/>
    <w:rsid w:val="7299EBB3"/>
    <w:rsid w:val="72A75E6A"/>
    <w:rsid w:val="72E914B8"/>
    <w:rsid w:val="72EB750C"/>
    <w:rsid w:val="72ED02C1"/>
    <w:rsid w:val="72F3818F"/>
    <w:rsid w:val="72FFBA03"/>
    <w:rsid w:val="7330C6D3"/>
    <w:rsid w:val="733596B0"/>
    <w:rsid w:val="7335F79C"/>
    <w:rsid w:val="73515014"/>
    <w:rsid w:val="73584B63"/>
    <w:rsid w:val="73587B8F"/>
    <w:rsid w:val="7363F399"/>
    <w:rsid w:val="736CCB25"/>
    <w:rsid w:val="7383F72A"/>
    <w:rsid w:val="73A787E1"/>
    <w:rsid w:val="73AD7576"/>
    <w:rsid w:val="73B95AF0"/>
    <w:rsid w:val="73E5E33D"/>
    <w:rsid w:val="73F6D9BD"/>
    <w:rsid w:val="73F837C5"/>
    <w:rsid w:val="740FD627"/>
    <w:rsid w:val="74476B97"/>
    <w:rsid w:val="7448A440"/>
    <w:rsid w:val="744F3E0B"/>
    <w:rsid w:val="7467A94C"/>
    <w:rsid w:val="7475E847"/>
    <w:rsid w:val="7491E569"/>
    <w:rsid w:val="74DEF40B"/>
    <w:rsid w:val="750B6CE5"/>
    <w:rsid w:val="751F220B"/>
    <w:rsid w:val="7525437B"/>
    <w:rsid w:val="753DC64C"/>
    <w:rsid w:val="756BB46A"/>
    <w:rsid w:val="759201CE"/>
    <w:rsid w:val="7597C148"/>
    <w:rsid w:val="76100DC9"/>
    <w:rsid w:val="76199908"/>
    <w:rsid w:val="7633D833"/>
    <w:rsid w:val="7688CF69"/>
    <w:rsid w:val="769DBF6A"/>
    <w:rsid w:val="76A40AC7"/>
    <w:rsid w:val="76C9D8D7"/>
    <w:rsid w:val="76CE93B9"/>
    <w:rsid w:val="76DDAD41"/>
    <w:rsid w:val="76E7793C"/>
    <w:rsid w:val="76F47539"/>
    <w:rsid w:val="771F108B"/>
    <w:rsid w:val="77224532"/>
    <w:rsid w:val="77328F16"/>
    <w:rsid w:val="773CC18F"/>
    <w:rsid w:val="774BE394"/>
    <w:rsid w:val="774F978E"/>
    <w:rsid w:val="7754B907"/>
    <w:rsid w:val="778791DC"/>
    <w:rsid w:val="7799C51A"/>
    <w:rsid w:val="779AD00B"/>
    <w:rsid w:val="77C1B2F3"/>
    <w:rsid w:val="77DCA94D"/>
    <w:rsid w:val="77E41EBC"/>
    <w:rsid w:val="77ECB5DB"/>
    <w:rsid w:val="77F95C15"/>
    <w:rsid w:val="781E6021"/>
    <w:rsid w:val="785E8060"/>
    <w:rsid w:val="78689AAB"/>
    <w:rsid w:val="78705AE0"/>
    <w:rsid w:val="789D8AAF"/>
    <w:rsid w:val="78BB18AC"/>
    <w:rsid w:val="78BE99FE"/>
    <w:rsid w:val="78C86FF2"/>
    <w:rsid w:val="78D33940"/>
    <w:rsid w:val="78F6BA46"/>
    <w:rsid w:val="78F6FE4B"/>
    <w:rsid w:val="79941AEA"/>
    <w:rsid w:val="7995D1AE"/>
    <w:rsid w:val="79D5F066"/>
    <w:rsid w:val="79D89C63"/>
    <w:rsid w:val="79E27989"/>
    <w:rsid w:val="7A1A5208"/>
    <w:rsid w:val="7A417BC6"/>
    <w:rsid w:val="7A61E8FC"/>
    <w:rsid w:val="7A713637"/>
    <w:rsid w:val="7A837EA6"/>
    <w:rsid w:val="7AAD114B"/>
    <w:rsid w:val="7AAD233A"/>
    <w:rsid w:val="7AB19883"/>
    <w:rsid w:val="7AE091A2"/>
    <w:rsid w:val="7AE82B0B"/>
    <w:rsid w:val="7AF216EB"/>
    <w:rsid w:val="7AF79B55"/>
    <w:rsid w:val="7B08B588"/>
    <w:rsid w:val="7B25A96F"/>
    <w:rsid w:val="7B3F2F81"/>
    <w:rsid w:val="7B8B0AE6"/>
    <w:rsid w:val="7B972E72"/>
    <w:rsid w:val="7B9C6BAB"/>
    <w:rsid w:val="7BB2F42C"/>
    <w:rsid w:val="7BCF511F"/>
    <w:rsid w:val="7BE7CC02"/>
    <w:rsid w:val="7C11B9AA"/>
    <w:rsid w:val="7C15E5A9"/>
    <w:rsid w:val="7C24D9DB"/>
    <w:rsid w:val="7C3492A9"/>
    <w:rsid w:val="7C3A963E"/>
    <w:rsid w:val="7C7BBAB0"/>
    <w:rsid w:val="7C8DB8C3"/>
    <w:rsid w:val="7CB8C88D"/>
    <w:rsid w:val="7CBBE62E"/>
    <w:rsid w:val="7CCFF28D"/>
    <w:rsid w:val="7CDEB5B4"/>
    <w:rsid w:val="7CEB7042"/>
    <w:rsid w:val="7CF9B35F"/>
    <w:rsid w:val="7D414067"/>
    <w:rsid w:val="7D532655"/>
    <w:rsid w:val="7D7E14E2"/>
    <w:rsid w:val="7D97DB31"/>
    <w:rsid w:val="7DA9CA11"/>
    <w:rsid w:val="7DDB4323"/>
    <w:rsid w:val="7E30FC7B"/>
    <w:rsid w:val="7E5116FE"/>
    <w:rsid w:val="7E9C7463"/>
    <w:rsid w:val="7ED879D3"/>
    <w:rsid w:val="7ED93C65"/>
    <w:rsid w:val="7EEACED8"/>
    <w:rsid w:val="7F020102"/>
    <w:rsid w:val="7F1A886B"/>
    <w:rsid w:val="7F2CD22B"/>
    <w:rsid w:val="7F2D8054"/>
    <w:rsid w:val="7F30E0E3"/>
    <w:rsid w:val="7F9BF5B5"/>
    <w:rsid w:val="7FAFAAFF"/>
    <w:rsid w:val="7FE372FA"/>
    <w:rsid w:val="7FF7AAFC"/>
  </w:rsids>
  <m:mathPr>
    <m:mathFont m:val="Cambria Math"/>
    <m:brkBin m:val="before"/>
    <m:brkBinSub m:val="--"/>
    <m:smallFrac m:val="0"/>
    <m:dispDef/>
    <m:lMargin m:val="0"/>
    <m:rMargin m:val="0"/>
    <m:defJc m:val="centerGroup"/>
    <m:wrapIndent m:val="1440"/>
    <m:intLim m:val="subSup"/>
    <m:naryLim m:val="undOvr"/>
  </m:mathPr>
  <w:themeFontLang w:val="en-IE"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6B1CB4D"/>
  <w15:docId w15:val="{63B7A6A4-ACF5-4883-B67B-BA10DAF32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fr-FR" w:eastAsia="en-I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rFonts w:asciiTheme="minorHAnsi" w:eastAsiaTheme="minorHAnsi" w:hAnsiTheme="minorHAnsi" w:cstheme="minorBidi"/>
      <w:sz w:val="22"/>
      <w:szCs w:val="22"/>
      <w:lang w:eastAsia="en-US"/>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Pr>
      <w:b/>
      <w:bCs/>
    </w:rPr>
  </w:style>
  <w:style w:type="character" w:styleId="CommentReference">
    <w:name w:val="annotation reference"/>
    <w:basedOn w:val="DefaultParagraphFont"/>
    <w:uiPriority w:val="99"/>
    <w:semiHidden/>
    <w:unhideWhenUsed/>
    <w:rPr>
      <w:sz w:val="16"/>
      <w:szCs w:val="16"/>
    </w:rPr>
  </w:style>
  <w:style w:type="character" w:styleId="FootnoteReference">
    <w:name w:val="footnote reference"/>
    <w:aliases w:val="Footnote Reference Superscript,BVI fnr, BVI fnr,Footnote symbol,Footnote reference number,note TESI,Appel note de bas de p,Nota,SUPERS,Footnote number,EN Footnote Reference,-E Fußnotenzeichen,number Char Char,number,Ref,styl,styli,fr"/>
    <w:basedOn w:val="DefaultParagraphFont"/>
    <w:link w:val="ftrefCharCharCharCharCharCharCharCharChar"/>
    <w:uiPriority w:val="99"/>
    <w:unhideWhenUsed/>
    <w:qFormat/>
    <w:rPr>
      <w:vertAlign w:val="superscript"/>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pPr>
      <w:spacing w:line="240" w:lineRule="exact"/>
      <w:jc w:val="both"/>
    </w:pPr>
    <w:rPr>
      <w:vertAlign w:val="superscript"/>
    </w:rPr>
  </w:style>
  <w:style w:type="character" w:styleId="FollowedHyperlink">
    <w:name w:val="FollowedHyperlink"/>
    <w:uiPriority w:val="99"/>
    <w:semiHidden/>
    <w:unhideWhenUsed/>
    <w:rPr>
      <w:color w:val="800080"/>
      <w:u w:val="single"/>
    </w:rPr>
  </w:style>
  <w:style w:type="character" w:styleId="Hyperlink">
    <w:name w:val="Hyperlink"/>
    <w:uiPriority w:val="99"/>
    <w:rPr>
      <w:color w:val="0000FF"/>
      <w:u w:val="single"/>
    </w:rPr>
  </w:style>
  <w:style w:type="paragraph" w:styleId="CommentText">
    <w:name w:val="annotation text"/>
    <w:basedOn w:val="Normal"/>
    <w:link w:val="CommentTextChar"/>
    <w:uiPriority w:val="99"/>
    <w:unhideWhenUsed/>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rPr>
      <w:b/>
      <w:bCs/>
    </w:r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_EP-LC,single space,FOOTNOT"/>
    <w:basedOn w:val="Normal"/>
    <w:link w:val="FootnoteTextChar"/>
    <w:uiPriority w:val="99"/>
    <w:unhideWhenUsed/>
    <w:qFormat/>
    <w:pPr>
      <w:spacing w:after="0" w:line="240" w:lineRule="auto"/>
    </w:pPr>
    <w:rPr>
      <w:sz w:val="20"/>
      <w:szCs w:val="20"/>
    </w:rPr>
  </w:style>
  <w:style w:type="paragraph" w:styleId="Header">
    <w:name w:val="header"/>
    <w:basedOn w:val="Normal"/>
    <w:link w:val="HeaderChar"/>
    <w:uiPriority w:val="99"/>
    <w:unhideWhenUsed/>
    <w:pPr>
      <w:tabs>
        <w:tab w:val="center" w:pos="4513"/>
        <w:tab w:val="right" w:pos="9026"/>
      </w:tabs>
      <w:spacing w:after="0" w:line="240" w:lineRule="auto"/>
    </w:pPr>
  </w:style>
  <w:style w:type="paragraph" w:styleId="Footer">
    <w:name w:val="footer"/>
    <w:basedOn w:val="Normal"/>
    <w:link w:val="FooterChar"/>
    <w:uiPriority w:val="99"/>
    <w:unhideWhenUsed/>
    <w:pPr>
      <w:tabs>
        <w:tab w:val="center" w:pos="4513"/>
        <w:tab w:val="right" w:pos="9026"/>
      </w:tabs>
      <w:spacing w:after="0" w:line="240" w:lineRule="auto"/>
    </w:pPr>
  </w:style>
  <w:style w:type="paragraph" w:styleId="NormalWeb">
    <w:name w:val="Normal (Web)"/>
    <w:uiPriority w:val="99"/>
    <w:unhideWhenUsed/>
    <w:pPr>
      <w:spacing w:beforeAutospacing="1" w:afterAutospacing="1"/>
    </w:pPr>
    <w:rPr>
      <w:sz w:val="24"/>
      <w:szCs w:val="24"/>
      <w:lang w:eastAsia="zh-CN"/>
    </w:rPr>
  </w:style>
  <w:style w:type="paragraph" w:styleId="Subtitle">
    <w:name w:val="Subtitle"/>
    <w:basedOn w:val="Normal"/>
    <w:next w:val="Normal"/>
    <w:link w:val="SubtitleChar"/>
    <w:uiPriority w:val="11"/>
    <w:qFormat/>
    <w:rPr>
      <w:rFonts w:eastAsiaTheme="majorEastAsia" w:cstheme="majorBidi"/>
      <w:color w:val="595959" w:themeColor="text1" w:themeTint="A6"/>
      <w:spacing w:val="15"/>
      <w:sz w:val="28"/>
      <w:szCs w:val="2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Pr>
      <w:i/>
      <w:iCs/>
      <w:color w:val="2F5496" w:themeColor="accent1" w:themeShade="BF"/>
    </w:rPr>
  </w:style>
  <w:style w:type="character" w:customStyle="1" w:styleId="IntenseReference1">
    <w:name w:val="Intense Reference1"/>
    <w:basedOn w:val="DefaultParagraphFont"/>
    <w:uiPriority w:val="32"/>
    <w:qFormat/>
    <w:rPr>
      <w:b/>
      <w:bCs/>
      <w:smallCaps/>
      <w:color w:val="2F5496" w:themeColor="accent1" w:themeShade="BF"/>
      <w:spacing w:val="5"/>
    </w:rPr>
  </w:style>
  <w:style w:type="character" w:customStyle="1" w:styleId="Marker">
    <w:name w:val="Marker"/>
    <w:basedOn w:val="DefaultParagraphFont"/>
    <w:rPr>
      <w:color w:val="0000FF"/>
      <w:shd w:val="clear" w:color="auto" w:fill="auto"/>
    </w:r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eastAsiaTheme="minorHAnsi"/>
      <w:sz w:val="24"/>
      <w:szCs w:val="22"/>
      <w:lang w:eastAsia="en-US"/>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eastAsiaTheme="minorHAnsi"/>
      <w:b/>
      <w:sz w:val="32"/>
      <w:szCs w:val="22"/>
      <w:lang w:eastAsia="en-US"/>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eastAsiaTheme="minorHAnsi"/>
      <w:sz w:val="24"/>
      <w:szCs w:val="22"/>
      <w:lang w:eastAsia="en-US"/>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eastAsiaTheme="minorHAnsi"/>
      <w:b/>
      <w:sz w:val="32"/>
      <w:szCs w:val="22"/>
      <w:lang w:eastAsia="en-US"/>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eastAsiaTheme="minorHAnsi"/>
      <w:sz w:val="28"/>
      <w:szCs w:val="22"/>
      <w:lang w:eastAsia="en-US"/>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
    <w:basedOn w:val="DefaultParagraphFont"/>
    <w:link w:val="FootnoteText"/>
    <w:uiPriority w:val="99"/>
    <w:qFormat/>
    <w:rPr>
      <w:sz w:val="20"/>
      <w:szCs w:val="20"/>
    </w:rPr>
  </w:style>
  <w:style w:type="character" w:customStyle="1" w:styleId="FootnoteTextChar1">
    <w:name w:val="Footnote Text Char1"/>
    <w:basedOn w:val="DefaultParagraphFont"/>
    <w:uiPriority w:val="99"/>
    <w:semiHidden/>
    <w:rPr>
      <w:sz w:val="20"/>
      <w:szCs w:val="20"/>
    </w:rPr>
  </w:style>
  <w:style w:type="character" w:customStyle="1" w:styleId="CommentTextChar">
    <w:name w:val="Comment Text Char"/>
    <w:basedOn w:val="DefaultParagraphFont"/>
    <w:link w:val="CommentText"/>
    <w:uiPriority w:val="99"/>
    <w:rPr>
      <w:sz w:val="20"/>
      <w:szCs w:val="20"/>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Revision1">
    <w:name w:val="Revision1"/>
    <w:hidden/>
    <w:uiPriority w:val="99"/>
    <w:semiHidden/>
    <w:rPr>
      <w:rFonts w:asciiTheme="minorHAnsi" w:eastAsiaTheme="minorHAnsi" w:hAnsiTheme="minorHAnsi" w:cstheme="minorBidi"/>
      <w:sz w:val="22"/>
      <w:szCs w:val="22"/>
      <w:lang w:eastAsia="en-US"/>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normaltextrun">
    <w:name w:val="normaltextrun"/>
    <w:basedOn w:val="DefaultParagraphFont"/>
  </w:style>
  <w:style w:type="paragraph" w:customStyle="1" w:styleId="paragraph">
    <w:name w:val="paragraph"/>
    <w:basedOn w:val="Normal"/>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UnresolvedMention2">
    <w:name w:val="Unresolved Mention2"/>
    <w:basedOn w:val="DefaultParagraphFont"/>
    <w:uiPriority w:val="99"/>
    <w:semiHidden/>
    <w:unhideWhenUsed/>
    <w:rsid w:val="008E2C3F"/>
    <w:rPr>
      <w:color w:val="605E5C"/>
      <w:shd w:val="clear" w:color="auto" w:fill="E1DFDD"/>
    </w:rPr>
  </w:style>
  <w:style w:type="paragraph" w:styleId="Revision">
    <w:name w:val="Revision"/>
    <w:hidden/>
    <w:uiPriority w:val="99"/>
    <w:unhideWhenUsed/>
    <w:rsid w:val="002E134E"/>
    <w:rPr>
      <w:rFonts w:asciiTheme="minorHAnsi" w:eastAsiaTheme="minorHAnsi" w:hAnsiTheme="minorHAnsi" w:cstheme="minorBidi"/>
      <w:sz w:val="22"/>
      <w:szCs w:val="22"/>
      <w:lang w:eastAsia="en-US"/>
    </w:rPr>
  </w:style>
  <w:style w:type="table" w:styleId="TableGrid">
    <w:name w:val="Table Grid"/>
    <w:basedOn w:val="TableNormal"/>
    <w:uiPriority w:val="3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Languesfaisantfoi">
    <w:name w:val="Langues faisant foi"/>
    <w:basedOn w:val="Normal"/>
    <w:next w:val="Normal"/>
    <w:rsid w:val="001D2041"/>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1D2041"/>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1D2041"/>
    <w:pPr>
      <w:spacing w:after="0"/>
    </w:pPr>
  </w:style>
  <w:style w:type="paragraph" w:customStyle="1" w:styleId="IntrtEEEPagedecouverture">
    <w:name w:val="Intérêt EEE (Page de couverture)"/>
    <w:basedOn w:val="IntrtEEE"/>
    <w:next w:val="Normal"/>
    <w:rsid w:val="001D2041"/>
  </w:style>
  <w:style w:type="paragraph" w:styleId="BalloonText">
    <w:name w:val="Balloon Text"/>
    <w:basedOn w:val="Normal"/>
    <w:link w:val="BalloonTextChar"/>
    <w:uiPriority w:val="99"/>
    <w:semiHidden/>
    <w:unhideWhenUsed/>
    <w:rsid w:val="00C44A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4AD4"/>
    <w:rPr>
      <w:rFonts w:ascii="Segoe UI" w:eastAsiaTheme="minorHAns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857661">
      <w:bodyDiv w:val="1"/>
      <w:marLeft w:val="0"/>
      <w:marRight w:val="0"/>
      <w:marTop w:val="0"/>
      <w:marBottom w:val="0"/>
      <w:divBdr>
        <w:top w:val="none" w:sz="0" w:space="0" w:color="auto"/>
        <w:left w:val="none" w:sz="0" w:space="0" w:color="auto"/>
        <w:bottom w:val="none" w:sz="0" w:space="0" w:color="auto"/>
        <w:right w:val="none" w:sz="0" w:space="0" w:color="auto"/>
      </w:divBdr>
    </w:div>
    <w:div w:id="158740842">
      <w:bodyDiv w:val="1"/>
      <w:marLeft w:val="0"/>
      <w:marRight w:val="0"/>
      <w:marTop w:val="0"/>
      <w:marBottom w:val="0"/>
      <w:divBdr>
        <w:top w:val="none" w:sz="0" w:space="0" w:color="auto"/>
        <w:left w:val="none" w:sz="0" w:space="0" w:color="auto"/>
        <w:bottom w:val="none" w:sz="0" w:space="0" w:color="auto"/>
        <w:right w:val="none" w:sz="0" w:space="0" w:color="auto"/>
      </w:divBdr>
    </w:div>
    <w:div w:id="225116541">
      <w:bodyDiv w:val="1"/>
      <w:marLeft w:val="0"/>
      <w:marRight w:val="0"/>
      <w:marTop w:val="0"/>
      <w:marBottom w:val="0"/>
      <w:divBdr>
        <w:top w:val="none" w:sz="0" w:space="0" w:color="auto"/>
        <w:left w:val="none" w:sz="0" w:space="0" w:color="auto"/>
        <w:bottom w:val="none" w:sz="0" w:space="0" w:color="auto"/>
        <w:right w:val="none" w:sz="0" w:space="0" w:color="auto"/>
      </w:divBdr>
    </w:div>
    <w:div w:id="273250502">
      <w:bodyDiv w:val="1"/>
      <w:marLeft w:val="0"/>
      <w:marRight w:val="0"/>
      <w:marTop w:val="0"/>
      <w:marBottom w:val="0"/>
      <w:divBdr>
        <w:top w:val="none" w:sz="0" w:space="0" w:color="auto"/>
        <w:left w:val="none" w:sz="0" w:space="0" w:color="auto"/>
        <w:bottom w:val="none" w:sz="0" w:space="0" w:color="auto"/>
        <w:right w:val="none" w:sz="0" w:space="0" w:color="auto"/>
      </w:divBdr>
    </w:div>
    <w:div w:id="282079533">
      <w:bodyDiv w:val="1"/>
      <w:marLeft w:val="0"/>
      <w:marRight w:val="0"/>
      <w:marTop w:val="0"/>
      <w:marBottom w:val="0"/>
      <w:divBdr>
        <w:top w:val="none" w:sz="0" w:space="0" w:color="auto"/>
        <w:left w:val="none" w:sz="0" w:space="0" w:color="auto"/>
        <w:bottom w:val="none" w:sz="0" w:space="0" w:color="auto"/>
        <w:right w:val="none" w:sz="0" w:space="0" w:color="auto"/>
      </w:divBdr>
    </w:div>
    <w:div w:id="338241149">
      <w:bodyDiv w:val="1"/>
      <w:marLeft w:val="0"/>
      <w:marRight w:val="0"/>
      <w:marTop w:val="0"/>
      <w:marBottom w:val="0"/>
      <w:divBdr>
        <w:top w:val="none" w:sz="0" w:space="0" w:color="auto"/>
        <w:left w:val="none" w:sz="0" w:space="0" w:color="auto"/>
        <w:bottom w:val="none" w:sz="0" w:space="0" w:color="auto"/>
        <w:right w:val="none" w:sz="0" w:space="0" w:color="auto"/>
      </w:divBdr>
    </w:div>
    <w:div w:id="472214323">
      <w:bodyDiv w:val="1"/>
      <w:marLeft w:val="0"/>
      <w:marRight w:val="0"/>
      <w:marTop w:val="0"/>
      <w:marBottom w:val="0"/>
      <w:divBdr>
        <w:top w:val="none" w:sz="0" w:space="0" w:color="auto"/>
        <w:left w:val="none" w:sz="0" w:space="0" w:color="auto"/>
        <w:bottom w:val="none" w:sz="0" w:space="0" w:color="auto"/>
        <w:right w:val="none" w:sz="0" w:space="0" w:color="auto"/>
      </w:divBdr>
    </w:div>
    <w:div w:id="474562989">
      <w:bodyDiv w:val="1"/>
      <w:marLeft w:val="0"/>
      <w:marRight w:val="0"/>
      <w:marTop w:val="0"/>
      <w:marBottom w:val="0"/>
      <w:divBdr>
        <w:top w:val="none" w:sz="0" w:space="0" w:color="auto"/>
        <w:left w:val="none" w:sz="0" w:space="0" w:color="auto"/>
        <w:bottom w:val="none" w:sz="0" w:space="0" w:color="auto"/>
        <w:right w:val="none" w:sz="0" w:space="0" w:color="auto"/>
      </w:divBdr>
    </w:div>
    <w:div w:id="487475767">
      <w:bodyDiv w:val="1"/>
      <w:marLeft w:val="0"/>
      <w:marRight w:val="0"/>
      <w:marTop w:val="0"/>
      <w:marBottom w:val="0"/>
      <w:divBdr>
        <w:top w:val="none" w:sz="0" w:space="0" w:color="auto"/>
        <w:left w:val="none" w:sz="0" w:space="0" w:color="auto"/>
        <w:bottom w:val="none" w:sz="0" w:space="0" w:color="auto"/>
        <w:right w:val="none" w:sz="0" w:space="0" w:color="auto"/>
      </w:divBdr>
    </w:div>
    <w:div w:id="521749170">
      <w:bodyDiv w:val="1"/>
      <w:marLeft w:val="0"/>
      <w:marRight w:val="0"/>
      <w:marTop w:val="0"/>
      <w:marBottom w:val="0"/>
      <w:divBdr>
        <w:top w:val="none" w:sz="0" w:space="0" w:color="auto"/>
        <w:left w:val="none" w:sz="0" w:space="0" w:color="auto"/>
        <w:bottom w:val="none" w:sz="0" w:space="0" w:color="auto"/>
        <w:right w:val="none" w:sz="0" w:space="0" w:color="auto"/>
      </w:divBdr>
    </w:div>
    <w:div w:id="583535577">
      <w:bodyDiv w:val="1"/>
      <w:marLeft w:val="0"/>
      <w:marRight w:val="0"/>
      <w:marTop w:val="0"/>
      <w:marBottom w:val="0"/>
      <w:divBdr>
        <w:top w:val="none" w:sz="0" w:space="0" w:color="auto"/>
        <w:left w:val="none" w:sz="0" w:space="0" w:color="auto"/>
        <w:bottom w:val="none" w:sz="0" w:space="0" w:color="auto"/>
        <w:right w:val="none" w:sz="0" w:space="0" w:color="auto"/>
      </w:divBdr>
    </w:div>
    <w:div w:id="591360942">
      <w:bodyDiv w:val="1"/>
      <w:marLeft w:val="0"/>
      <w:marRight w:val="0"/>
      <w:marTop w:val="0"/>
      <w:marBottom w:val="0"/>
      <w:divBdr>
        <w:top w:val="none" w:sz="0" w:space="0" w:color="auto"/>
        <w:left w:val="none" w:sz="0" w:space="0" w:color="auto"/>
        <w:bottom w:val="none" w:sz="0" w:space="0" w:color="auto"/>
        <w:right w:val="none" w:sz="0" w:space="0" w:color="auto"/>
      </w:divBdr>
    </w:div>
    <w:div w:id="674576381">
      <w:bodyDiv w:val="1"/>
      <w:marLeft w:val="0"/>
      <w:marRight w:val="0"/>
      <w:marTop w:val="0"/>
      <w:marBottom w:val="0"/>
      <w:divBdr>
        <w:top w:val="none" w:sz="0" w:space="0" w:color="auto"/>
        <w:left w:val="none" w:sz="0" w:space="0" w:color="auto"/>
        <w:bottom w:val="none" w:sz="0" w:space="0" w:color="auto"/>
        <w:right w:val="none" w:sz="0" w:space="0" w:color="auto"/>
      </w:divBdr>
    </w:div>
    <w:div w:id="709650216">
      <w:bodyDiv w:val="1"/>
      <w:marLeft w:val="0"/>
      <w:marRight w:val="0"/>
      <w:marTop w:val="0"/>
      <w:marBottom w:val="0"/>
      <w:divBdr>
        <w:top w:val="none" w:sz="0" w:space="0" w:color="auto"/>
        <w:left w:val="none" w:sz="0" w:space="0" w:color="auto"/>
        <w:bottom w:val="none" w:sz="0" w:space="0" w:color="auto"/>
        <w:right w:val="none" w:sz="0" w:space="0" w:color="auto"/>
      </w:divBdr>
    </w:div>
    <w:div w:id="711921598">
      <w:bodyDiv w:val="1"/>
      <w:marLeft w:val="0"/>
      <w:marRight w:val="0"/>
      <w:marTop w:val="0"/>
      <w:marBottom w:val="0"/>
      <w:divBdr>
        <w:top w:val="none" w:sz="0" w:space="0" w:color="auto"/>
        <w:left w:val="none" w:sz="0" w:space="0" w:color="auto"/>
        <w:bottom w:val="none" w:sz="0" w:space="0" w:color="auto"/>
        <w:right w:val="none" w:sz="0" w:space="0" w:color="auto"/>
      </w:divBdr>
    </w:div>
    <w:div w:id="741950171">
      <w:bodyDiv w:val="1"/>
      <w:marLeft w:val="0"/>
      <w:marRight w:val="0"/>
      <w:marTop w:val="0"/>
      <w:marBottom w:val="0"/>
      <w:divBdr>
        <w:top w:val="none" w:sz="0" w:space="0" w:color="auto"/>
        <w:left w:val="none" w:sz="0" w:space="0" w:color="auto"/>
        <w:bottom w:val="none" w:sz="0" w:space="0" w:color="auto"/>
        <w:right w:val="none" w:sz="0" w:space="0" w:color="auto"/>
      </w:divBdr>
    </w:div>
    <w:div w:id="744423516">
      <w:bodyDiv w:val="1"/>
      <w:marLeft w:val="0"/>
      <w:marRight w:val="0"/>
      <w:marTop w:val="0"/>
      <w:marBottom w:val="0"/>
      <w:divBdr>
        <w:top w:val="none" w:sz="0" w:space="0" w:color="auto"/>
        <w:left w:val="none" w:sz="0" w:space="0" w:color="auto"/>
        <w:bottom w:val="none" w:sz="0" w:space="0" w:color="auto"/>
        <w:right w:val="none" w:sz="0" w:space="0" w:color="auto"/>
      </w:divBdr>
    </w:div>
    <w:div w:id="773019639">
      <w:bodyDiv w:val="1"/>
      <w:marLeft w:val="0"/>
      <w:marRight w:val="0"/>
      <w:marTop w:val="0"/>
      <w:marBottom w:val="0"/>
      <w:divBdr>
        <w:top w:val="none" w:sz="0" w:space="0" w:color="auto"/>
        <w:left w:val="none" w:sz="0" w:space="0" w:color="auto"/>
        <w:bottom w:val="none" w:sz="0" w:space="0" w:color="auto"/>
        <w:right w:val="none" w:sz="0" w:space="0" w:color="auto"/>
      </w:divBdr>
    </w:div>
    <w:div w:id="861087207">
      <w:bodyDiv w:val="1"/>
      <w:marLeft w:val="0"/>
      <w:marRight w:val="0"/>
      <w:marTop w:val="0"/>
      <w:marBottom w:val="0"/>
      <w:divBdr>
        <w:top w:val="none" w:sz="0" w:space="0" w:color="auto"/>
        <w:left w:val="none" w:sz="0" w:space="0" w:color="auto"/>
        <w:bottom w:val="none" w:sz="0" w:space="0" w:color="auto"/>
        <w:right w:val="none" w:sz="0" w:space="0" w:color="auto"/>
      </w:divBdr>
    </w:div>
    <w:div w:id="884216522">
      <w:bodyDiv w:val="1"/>
      <w:marLeft w:val="0"/>
      <w:marRight w:val="0"/>
      <w:marTop w:val="0"/>
      <w:marBottom w:val="0"/>
      <w:divBdr>
        <w:top w:val="none" w:sz="0" w:space="0" w:color="auto"/>
        <w:left w:val="none" w:sz="0" w:space="0" w:color="auto"/>
        <w:bottom w:val="none" w:sz="0" w:space="0" w:color="auto"/>
        <w:right w:val="none" w:sz="0" w:space="0" w:color="auto"/>
      </w:divBdr>
    </w:div>
    <w:div w:id="994449968">
      <w:bodyDiv w:val="1"/>
      <w:marLeft w:val="0"/>
      <w:marRight w:val="0"/>
      <w:marTop w:val="0"/>
      <w:marBottom w:val="0"/>
      <w:divBdr>
        <w:top w:val="none" w:sz="0" w:space="0" w:color="auto"/>
        <w:left w:val="none" w:sz="0" w:space="0" w:color="auto"/>
        <w:bottom w:val="none" w:sz="0" w:space="0" w:color="auto"/>
        <w:right w:val="none" w:sz="0" w:space="0" w:color="auto"/>
      </w:divBdr>
    </w:div>
    <w:div w:id="1018502447">
      <w:bodyDiv w:val="1"/>
      <w:marLeft w:val="0"/>
      <w:marRight w:val="0"/>
      <w:marTop w:val="0"/>
      <w:marBottom w:val="0"/>
      <w:divBdr>
        <w:top w:val="none" w:sz="0" w:space="0" w:color="auto"/>
        <w:left w:val="none" w:sz="0" w:space="0" w:color="auto"/>
        <w:bottom w:val="none" w:sz="0" w:space="0" w:color="auto"/>
        <w:right w:val="none" w:sz="0" w:space="0" w:color="auto"/>
      </w:divBdr>
    </w:div>
    <w:div w:id="1045443684">
      <w:bodyDiv w:val="1"/>
      <w:marLeft w:val="0"/>
      <w:marRight w:val="0"/>
      <w:marTop w:val="0"/>
      <w:marBottom w:val="0"/>
      <w:divBdr>
        <w:top w:val="none" w:sz="0" w:space="0" w:color="auto"/>
        <w:left w:val="none" w:sz="0" w:space="0" w:color="auto"/>
        <w:bottom w:val="none" w:sz="0" w:space="0" w:color="auto"/>
        <w:right w:val="none" w:sz="0" w:space="0" w:color="auto"/>
      </w:divBdr>
    </w:div>
    <w:div w:id="1064569373">
      <w:bodyDiv w:val="1"/>
      <w:marLeft w:val="0"/>
      <w:marRight w:val="0"/>
      <w:marTop w:val="0"/>
      <w:marBottom w:val="0"/>
      <w:divBdr>
        <w:top w:val="none" w:sz="0" w:space="0" w:color="auto"/>
        <w:left w:val="none" w:sz="0" w:space="0" w:color="auto"/>
        <w:bottom w:val="none" w:sz="0" w:space="0" w:color="auto"/>
        <w:right w:val="none" w:sz="0" w:space="0" w:color="auto"/>
      </w:divBdr>
    </w:div>
    <w:div w:id="1097947955">
      <w:bodyDiv w:val="1"/>
      <w:marLeft w:val="0"/>
      <w:marRight w:val="0"/>
      <w:marTop w:val="0"/>
      <w:marBottom w:val="0"/>
      <w:divBdr>
        <w:top w:val="none" w:sz="0" w:space="0" w:color="auto"/>
        <w:left w:val="none" w:sz="0" w:space="0" w:color="auto"/>
        <w:bottom w:val="none" w:sz="0" w:space="0" w:color="auto"/>
        <w:right w:val="none" w:sz="0" w:space="0" w:color="auto"/>
      </w:divBdr>
    </w:div>
    <w:div w:id="1101610908">
      <w:bodyDiv w:val="1"/>
      <w:marLeft w:val="0"/>
      <w:marRight w:val="0"/>
      <w:marTop w:val="0"/>
      <w:marBottom w:val="0"/>
      <w:divBdr>
        <w:top w:val="none" w:sz="0" w:space="0" w:color="auto"/>
        <w:left w:val="none" w:sz="0" w:space="0" w:color="auto"/>
        <w:bottom w:val="none" w:sz="0" w:space="0" w:color="auto"/>
        <w:right w:val="none" w:sz="0" w:space="0" w:color="auto"/>
      </w:divBdr>
    </w:div>
    <w:div w:id="1140881254">
      <w:bodyDiv w:val="1"/>
      <w:marLeft w:val="0"/>
      <w:marRight w:val="0"/>
      <w:marTop w:val="0"/>
      <w:marBottom w:val="0"/>
      <w:divBdr>
        <w:top w:val="none" w:sz="0" w:space="0" w:color="auto"/>
        <w:left w:val="none" w:sz="0" w:space="0" w:color="auto"/>
        <w:bottom w:val="none" w:sz="0" w:space="0" w:color="auto"/>
        <w:right w:val="none" w:sz="0" w:space="0" w:color="auto"/>
      </w:divBdr>
    </w:div>
    <w:div w:id="1171994821">
      <w:bodyDiv w:val="1"/>
      <w:marLeft w:val="0"/>
      <w:marRight w:val="0"/>
      <w:marTop w:val="0"/>
      <w:marBottom w:val="0"/>
      <w:divBdr>
        <w:top w:val="none" w:sz="0" w:space="0" w:color="auto"/>
        <w:left w:val="none" w:sz="0" w:space="0" w:color="auto"/>
        <w:bottom w:val="none" w:sz="0" w:space="0" w:color="auto"/>
        <w:right w:val="none" w:sz="0" w:space="0" w:color="auto"/>
      </w:divBdr>
    </w:div>
    <w:div w:id="1184398170">
      <w:bodyDiv w:val="1"/>
      <w:marLeft w:val="0"/>
      <w:marRight w:val="0"/>
      <w:marTop w:val="0"/>
      <w:marBottom w:val="0"/>
      <w:divBdr>
        <w:top w:val="none" w:sz="0" w:space="0" w:color="auto"/>
        <w:left w:val="none" w:sz="0" w:space="0" w:color="auto"/>
        <w:bottom w:val="none" w:sz="0" w:space="0" w:color="auto"/>
        <w:right w:val="none" w:sz="0" w:space="0" w:color="auto"/>
      </w:divBdr>
    </w:div>
    <w:div w:id="1189877413">
      <w:bodyDiv w:val="1"/>
      <w:marLeft w:val="0"/>
      <w:marRight w:val="0"/>
      <w:marTop w:val="0"/>
      <w:marBottom w:val="0"/>
      <w:divBdr>
        <w:top w:val="none" w:sz="0" w:space="0" w:color="auto"/>
        <w:left w:val="none" w:sz="0" w:space="0" w:color="auto"/>
        <w:bottom w:val="none" w:sz="0" w:space="0" w:color="auto"/>
        <w:right w:val="none" w:sz="0" w:space="0" w:color="auto"/>
      </w:divBdr>
    </w:div>
    <w:div w:id="1199318160">
      <w:bodyDiv w:val="1"/>
      <w:marLeft w:val="0"/>
      <w:marRight w:val="0"/>
      <w:marTop w:val="0"/>
      <w:marBottom w:val="0"/>
      <w:divBdr>
        <w:top w:val="none" w:sz="0" w:space="0" w:color="auto"/>
        <w:left w:val="none" w:sz="0" w:space="0" w:color="auto"/>
        <w:bottom w:val="none" w:sz="0" w:space="0" w:color="auto"/>
        <w:right w:val="none" w:sz="0" w:space="0" w:color="auto"/>
      </w:divBdr>
    </w:div>
    <w:div w:id="1274479986">
      <w:bodyDiv w:val="1"/>
      <w:marLeft w:val="0"/>
      <w:marRight w:val="0"/>
      <w:marTop w:val="0"/>
      <w:marBottom w:val="0"/>
      <w:divBdr>
        <w:top w:val="none" w:sz="0" w:space="0" w:color="auto"/>
        <w:left w:val="none" w:sz="0" w:space="0" w:color="auto"/>
        <w:bottom w:val="none" w:sz="0" w:space="0" w:color="auto"/>
        <w:right w:val="none" w:sz="0" w:space="0" w:color="auto"/>
      </w:divBdr>
    </w:div>
    <w:div w:id="1277178052">
      <w:bodyDiv w:val="1"/>
      <w:marLeft w:val="0"/>
      <w:marRight w:val="0"/>
      <w:marTop w:val="0"/>
      <w:marBottom w:val="0"/>
      <w:divBdr>
        <w:top w:val="none" w:sz="0" w:space="0" w:color="auto"/>
        <w:left w:val="none" w:sz="0" w:space="0" w:color="auto"/>
        <w:bottom w:val="none" w:sz="0" w:space="0" w:color="auto"/>
        <w:right w:val="none" w:sz="0" w:space="0" w:color="auto"/>
      </w:divBdr>
    </w:div>
    <w:div w:id="1308440762">
      <w:bodyDiv w:val="1"/>
      <w:marLeft w:val="0"/>
      <w:marRight w:val="0"/>
      <w:marTop w:val="0"/>
      <w:marBottom w:val="0"/>
      <w:divBdr>
        <w:top w:val="none" w:sz="0" w:space="0" w:color="auto"/>
        <w:left w:val="none" w:sz="0" w:space="0" w:color="auto"/>
        <w:bottom w:val="none" w:sz="0" w:space="0" w:color="auto"/>
        <w:right w:val="none" w:sz="0" w:space="0" w:color="auto"/>
      </w:divBdr>
    </w:div>
    <w:div w:id="1344209647">
      <w:bodyDiv w:val="1"/>
      <w:marLeft w:val="0"/>
      <w:marRight w:val="0"/>
      <w:marTop w:val="0"/>
      <w:marBottom w:val="0"/>
      <w:divBdr>
        <w:top w:val="none" w:sz="0" w:space="0" w:color="auto"/>
        <w:left w:val="none" w:sz="0" w:space="0" w:color="auto"/>
        <w:bottom w:val="none" w:sz="0" w:space="0" w:color="auto"/>
        <w:right w:val="none" w:sz="0" w:space="0" w:color="auto"/>
      </w:divBdr>
    </w:div>
    <w:div w:id="1346639407">
      <w:bodyDiv w:val="1"/>
      <w:marLeft w:val="0"/>
      <w:marRight w:val="0"/>
      <w:marTop w:val="0"/>
      <w:marBottom w:val="0"/>
      <w:divBdr>
        <w:top w:val="none" w:sz="0" w:space="0" w:color="auto"/>
        <w:left w:val="none" w:sz="0" w:space="0" w:color="auto"/>
        <w:bottom w:val="none" w:sz="0" w:space="0" w:color="auto"/>
        <w:right w:val="none" w:sz="0" w:space="0" w:color="auto"/>
      </w:divBdr>
    </w:div>
    <w:div w:id="1348483749">
      <w:bodyDiv w:val="1"/>
      <w:marLeft w:val="0"/>
      <w:marRight w:val="0"/>
      <w:marTop w:val="0"/>
      <w:marBottom w:val="0"/>
      <w:divBdr>
        <w:top w:val="none" w:sz="0" w:space="0" w:color="auto"/>
        <w:left w:val="none" w:sz="0" w:space="0" w:color="auto"/>
        <w:bottom w:val="none" w:sz="0" w:space="0" w:color="auto"/>
        <w:right w:val="none" w:sz="0" w:space="0" w:color="auto"/>
      </w:divBdr>
    </w:div>
    <w:div w:id="1371420073">
      <w:bodyDiv w:val="1"/>
      <w:marLeft w:val="0"/>
      <w:marRight w:val="0"/>
      <w:marTop w:val="0"/>
      <w:marBottom w:val="0"/>
      <w:divBdr>
        <w:top w:val="none" w:sz="0" w:space="0" w:color="auto"/>
        <w:left w:val="none" w:sz="0" w:space="0" w:color="auto"/>
        <w:bottom w:val="none" w:sz="0" w:space="0" w:color="auto"/>
        <w:right w:val="none" w:sz="0" w:space="0" w:color="auto"/>
      </w:divBdr>
    </w:div>
    <w:div w:id="1419476904">
      <w:bodyDiv w:val="1"/>
      <w:marLeft w:val="0"/>
      <w:marRight w:val="0"/>
      <w:marTop w:val="0"/>
      <w:marBottom w:val="0"/>
      <w:divBdr>
        <w:top w:val="none" w:sz="0" w:space="0" w:color="auto"/>
        <w:left w:val="none" w:sz="0" w:space="0" w:color="auto"/>
        <w:bottom w:val="none" w:sz="0" w:space="0" w:color="auto"/>
        <w:right w:val="none" w:sz="0" w:space="0" w:color="auto"/>
      </w:divBdr>
    </w:div>
    <w:div w:id="1491218865">
      <w:bodyDiv w:val="1"/>
      <w:marLeft w:val="0"/>
      <w:marRight w:val="0"/>
      <w:marTop w:val="0"/>
      <w:marBottom w:val="0"/>
      <w:divBdr>
        <w:top w:val="none" w:sz="0" w:space="0" w:color="auto"/>
        <w:left w:val="none" w:sz="0" w:space="0" w:color="auto"/>
        <w:bottom w:val="none" w:sz="0" w:space="0" w:color="auto"/>
        <w:right w:val="none" w:sz="0" w:space="0" w:color="auto"/>
      </w:divBdr>
    </w:div>
    <w:div w:id="1560238571">
      <w:bodyDiv w:val="1"/>
      <w:marLeft w:val="0"/>
      <w:marRight w:val="0"/>
      <w:marTop w:val="0"/>
      <w:marBottom w:val="0"/>
      <w:divBdr>
        <w:top w:val="none" w:sz="0" w:space="0" w:color="auto"/>
        <w:left w:val="none" w:sz="0" w:space="0" w:color="auto"/>
        <w:bottom w:val="none" w:sz="0" w:space="0" w:color="auto"/>
        <w:right w:val="none" w:sz="0" w:space="0" w:color="auto"/>
      </w:divBdr>
    </w:div>
    <w:div w:id="1564483972">
      <w:bodyDiv w:val="1"/>
      <w:marLeft w:val="0"/>
      <w:marRight w:val="0"/>
      <w:marTop w:val="0"/>
      <w:marBottom w:val="0"/>
      <w:divBdr>
        <w:top w:val="none" w:sz="0" w:space="0" w:color="auto"/>
        <w:left w:val="none" w:sz="0" w:space="0" w:color="auto"/>
        <w:bottom w:val="none" w:sz="0" w:space="0" w:color="auto"/>
        <w:right w:val="none" w:sz="0" w:space="0" w:color="auto"/>
      </w:divBdr>
    </w:div>
    <w:div w:id="1667980901">
      <w:bodyDiv w:val="1"/>
      <w:marLeft w:val="0"/>
      <w:marRight w:val="0"/>
      <w:marTop w:val="0"/>
      <w:marBottom w:val="0"/>
      <w:divBdr>
        <w:top w:val="none" w:sz="0" w:space="0" w:color="auto"/>
        <w:left w:val="none" w:sz="0" w:space="0" w:color="auto"/>
        <w:bottom w:val="none" w:sz="0" w:space="0" w:color="auto"/>
        <w:right w:val="none" w:sz="0" w:space="0" w:color="auto"/>
      </w:divBdr>
    </w:div>
    <w:div w:id="1699697288">
      <w:bodyDiv w:val="1"/>
      <w:marLeft w:val="0"/>
      <w:marRight w:val="0"/>
      <w:marTop w:val="0"/>
      <w:marBottom w:val="0"/>
      <w:divBdr>
        <w:top w:val="none" w:sz="0" w:space="0" w:color="auto"/>
        <w:left w:val="none" w:sz="0" w:space="0" w:color="auto"/>
        <w:bottom w:val="none" w:sz="0" w:space="0" w:color="auto"/>
        <w:right w:val="none" w:sz="0" w:space="0" w:color="auto"/>
      </w:divBdr>
    </w:div>
    <w:div w:id="1712805794">
      <w:bodyDiv w:val="1"/>
      <w:marLeft w:val="0"/>
      <w:marRight w:val="0"/>
      <w:marTop w:val="0"/>
      <w:marBottom w:val="0"/>
      <w:divBdr>
        <w:top w:val="none" w:sz="0" w:space="0" w:color="auto"/>
        <w:left w:val="none" w:sz="0" w:space="0" w:color="auto"/>
        <w:bottom w:val="none" w:sz="0" w:space="0" w:color="auto"/>
        <w:right w:val="none" w:sz="0" w:space="0" w:color="auto"/>
      </w:divBdr>
    </w:div>
    <w:div w:id="1731417006">
      <w:bodyDiv w:val="1"/>
      <w:marLeft w:val="0"/>
      <w:marRight w:val="0"/>
      <w:marTop w:val="0"/>
      <w:marBottom w:val="0"/>
      <w:divBdr>
        <w:top w:val="none" w:sz="0" w:space="0" w:color="auto"/>
        <w:left w:val="none" w:sz="0" w:space="0" w:color="auto"/>
        <w:bottom w:val="none" w:sz="0" w:space="0" w:color="auto"/>
        <w:right w:val="none" w:sz="0" w:space="0" w:color="auto"/>
      </w:divBdr>
    </w:div>
    <w:div w:id="1733114439">
      <w:bodyDiv w:val="1"/>
      <w:marLeft w:val="0"/>
      <w:marRight w:val="0"/>
      <w:marTop w:val="0"/>
      <w:marBottom w:val="0"/>
      <w:divBdr>
        <w:top w:val="none" w:sz="0" w:space="0" w:color="auto"/>
        <w:left w:val="none" w:sz="0" w:space="0" w:color="auto"/>
        <w:bottom w:val="none" w:sz="0" w:space="0" w:color="auto"/>
        <w:right w:val="none" w:sz="0" w:space="0" w:color="auto"/>
      </w:divBdr>
    </w:div>
    <w:div w:id="1752464286">
      <w:bodyDiv w:val="1"/>
      <w:marLeft w:val="0"/>
      <w:marRight w:val="0"/>
      <w:marTop w:val="0"/>
      <w:marBottom w:val="0"/>
      <w:divBdr>
        <w:top w:val="none" w:sz="0" w:space="0" w:color="auto"/>
        <w:left w:val="none" w:sz="0" w:space="0" w:color="auto"/>
        <w:bottom w:val="none" w:sz="0" w:space="0" w:color="auto"/>
        <w:right w:val="none" w:sz="0" w:space="0" w:color="auto"/>
      </w:divBdr>
    </w:div>
    <w:div w:id="1770276656">
      <w:bodyDiv w:val="1"/>
      <w:marLeft w:val="0"/>
      <w:marRight w:val="0"/>
      <w:marTop w:val="0"/>
      <w:marBottom w:val="0"/>
      <w:divBdr>
        <w:top w:val="none" w:sz="0" w:space="0" w:color="auto"/>
        <w:left w:val="none" w:sz="0" w:space="0" w:color="auto"/>
        <w:bottom w:val="none" w:sz="0" w:space="0" w:color="auto"/>
        <w:right w:val="none" w:sz="0" w:space="0" w:color="auto"/>
      </w:divBdr>
    </w:div>
    <w:div w:id="1823041776">
      <w:bodyDiv w:val="1"/>
      <w:marLeft w:val="0"/>
      <w:marRight w:val="0"/>
      <w:marTop w:val="0"/>
      <w:marBottom w:val="0"/>
      <w:divBdr>
        <w:top w:val="none" w:sz="0" w:space="0" w:color="auto"/>
        <w:left w:val="none" w:sz="0" w:space="0" w:color="auto"/>
        <w:bottom w:val="none" w:sz="0" w:space="0" w:color="auto"/>
        <w:right w:val="none" w:sz="0" w:space="0" w:color="auto"/>
      </w:divBdr>
    </w:div>
    <w:div w:id="1831825820">
      <w:bodyDiv w:val="1"/>
      <w:marLeft w:val="0"/>
      <w:marRight w:val="0"/>
      <w:marTop w:val="0"/>
      <w:marBottom w:val="0"/>
      <w:divBdr>
        <w:top w:val="none" w:sz="0" w:space="0" w:color="auto"/>
        <w:left w:val="none" w:sz="0" w:space="0" w:color="auto"/>
        <w:bottom w:val="none" w:sz="0" w:space="0" w:color="auto"/>
        <w:right w:val="none" w:sz="0" w:space="0" w:color="auto"/>
      </w:divBdr>
    </w:div>
    <w:div w:id="1881505610">
      <w:bodyDiv w:val="1"/>
      <w:marLeft w:val="0"/>
      <w:marRight w:val="0"/>
      <w:marTop w:val="0"/>
      <w:marBottom w:val="0"/>
      <w:divBdr>
        <w:top w:val="none" w:sz="0" w:space="0" w:color="auto"/>
        <w:left w:val="none" w:sz="0" w:space="0" w:color="auto"/>
        <w:bottom w:val="none" w:sz="0" w:space="0" w:color="auto"/>
        <w:right w:val="none" w:sz="0" w:space="0" w:color="auto"/>
      </w:divBdr>
    </w:div>
    <w:div w:id="1891384683">
      <w:bodyDiv w:val="1"/>
      <w:marLeft w:val="0"/>
      <w:marRight w:val="0"/>
      <w:marTop w:val="0"/>
      <w:marBottom w:val="0"/>
      <w:divBdr>
        <w:top w:val="none" w:sz="0" w:space="0" w:color="auto"/>
        <w:left w:val="none" w:sz="0" w:space="0" w:color="auto"/>
        <w:bottom w:val="none" w:sz="0" w:space="0" w:color="auto"/>
        <w:right w:val="none" w:sz="0" w:space="0" w:color="auto"/>
      </w:divBdr>
    </w:div>
    <w:div w:id="1917083799">
      <w:bodyDiv w:val="1"/>
      <w:marLeft w:val="0"/>
      <w:marRight w:val="0"/>
      <w:marTop w:val="0"/>
      <w:marBottom w:val="0"/>
      <w:divBdr>
        <w:top w:val="none" w:sz="0" w:space="0" w:color="auto"/>
        <w:left w:val="none" w:sz="0" w:space="0" w:color="auto"/>
        <w:bottom w:val="none" w:sz="0" w:space="0" w:color="auto"/>
        <w:right w:val="none" w:sz="0" w:space="0" w:color="auto"/>
      </w:divBdr>
    </w:div>
    <w:div w:id="1982466410">
      <w:bodyDiv w:val="1"/>
      <w:marLeft w:val="0"/>
      <w:marRight w:val="0"/>
      <w:marTop w:val="0"/>
      <w:marBottom w:val="0"/>
      <w:divBdr>
        <w:top w:val="none" w:sz="0" w:space="0" w:color="auto"/>
        <w:left w:val="none" w:sz="0" w:space="0" w:color="auto"/>
        <w:bottom w:val="none" w:sz="0" w:space="0" w:color="auto"/>
        <w:right w:val="none" w:sz="0" w:space="0" w:color="auto"/>
      </w:divBdr>
    </w:div>
    <w:div w:id="1987277213">
      <w:bodyDiv w:val="1"/>
      <w:marLeft w:val="0"/>
      <w:marRight w:val="0"/>
      <w:marTop w:val="0"/>
      <w:marBottom w:val="0"/>
      <w:divBdr>
        <w:top w:val="none" w:sz="0" w:space="0" w:color="auto"/>
        <w:left w:val="none" w:sz="0" w:space="0" w:color="auto"/>
        <w:bottom w:val="none" w:sz="0" w:space="0" w:color="auto"/>
        <w:right w:val="none" w:sz="0" w:space="0" w:color="auto"/>
      </w:divBdr>
    </w:div>
    <w:div w:id="2020083520">
      <w:bodyDiv w:val="1"/>
      <w:marLeft w:val="0"/>
      <w:marRight w:val="0"/>
      <w:marTop w:val="0"/>
      <w:marBottom w:val="0"/>
      <w:divBdr>
        <w:top w:val="none" w:sz="0" w:space="0" w:color="auto"/>
        <w:left w:val="none" w:sz="0" w:space="0" w:color="auto"/>
        <w:bottom w:val="none" w:sz="0" w:space="0" w:color="auto"/>
        <w:right w:val="none" w:sz="0" w:space="0" w:color="auto"/>
      </w:divBdr>
    </w:div>
    <w:div w:id="2020348882">
      <w:bodyDiv w:val="1"/>
      <w:marLeft w:val="0"/>
      <w:marRight w:val="0"/>
      <w:marTop w:val="0"/>
      <w:marBottom w:val="0"/>
      <w:divBdr>
        <w:top w:val="none" w:sz="0" w:space="0" w:color="auto"/>
        <w:left w:val="none" w:sz="0" w:space="0" w:color="auto"/>
        <w:bottom w:val="none" w:sz="0" w:space="0" w:color="auto"/>
        <w:right w:val="none" w:sz="0" w:space="0" w:color="auto"/>
      </w:divBdr>
    </w:div>
    <w:div w:id="2027514500">
      <w:bodyDiv w:val="1"/>
      <w:marLeft w:val="0"/>
      <w:marRight w:val="0"/>
      <w:marTop w:val="0"/>
      <w:marBottom w:val="0"/>
      <w:divBdr>
        <w:top w:val="none" w:sz="0" w:space="0" w:color="auto"/>
        <w:left w:val="none" w:sz="0" w:space="0" w:color="auto"/>
        <w:bottom w:val="none" w:sz="0" w:space="0" w:color="auto"/>
        <w:right w:val="none" w:sz="0" w:space="0" w:color="auto"/>
      </w:divBdr>
    </w:div>
    <w:div w:id="2074740427">
      <w:bodyDiv w:val="1"/>
      <w:marLeft w:val="0"/>
      <w:marRight w:val="0"/>
      <w:marTop w:val="0"/>
      <w:marBottom w:val="0"/>
      <w:divBdr>
        <w:top w:val="none" w:sz="0" w:space="0" w:color="auto"/>
        <w:left w:val="none" w:sz="0" w:space="0" w:color="auto"/>
        <w:bottom w:val="none" w:sz="0" w:space="0" w:color="auto"/>
        <w:right w:val="none" w:sz="0" w:space="0" w:color="auto"/>
      </w:divBdr>
    </w:div>
    <w:div w:id="20804003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commission.europa.eu/strategy-and-policy/state-union/state-union-2022/building-union-equality_fr" TargetMode="External"/><Relationship Id="rId117" Type="http://schemas.openxmlformats.org/officeDocument/2006/relationships/fontTable" Target="fontTable.xml"/><Relationship Id="rId21" Type="http://schemas.openxmlformats.org/officeDocument/2006/relationships/hyperlink" Target="https://commission.europa.eu/strategy-and-policy/policies/justice-and-fundamental-rights/combatting-discrimination/racism-and-xenophobia/commissions-coordinator-combating-racism_en" TargetMode="External"/><Relationship Id="rId42" Type="http://schemas.openxmlformats.org/officeDocument/2006/relationships/hyperlink" Target="https://commission.europa.eu/system/files/2021-01/eu_roma_strategic_framework_for_equality_inclusion_and_participation_for_2020_-_2030_0.pdf" TargetMode="External"/><Relationship Id="rId47" Type="http://schemas.openxmlformats.org/officeDocument/2006/relationships/hyperlink" Target="https://eur-lex.europa.eu/eli/reg/2024/1689/oj/fra" TargetMode="External"/><Relationship Id="rId63" Type="http://schemas.openxmlformats.org/officeDocument/2006/relationships/hyperlink" Target="https://fra.europa.eu/sites/default/files/fra_uploads/fra-2024-addressing-racism-in-policing_en.pdf" TargetMode="External"/><Relationship Id="rId68" Type="http://schemas.openxmlformats.org/officeDocument/2006/relationships/hyperlink" Target="https://european-social-fund-plus.ec.europa.eu/fr" TargetMode="External"/><Relationship Id="rId84" Type="http://schemas.openxmlformats.org/officeDocument/2006/relationships/hyperlink" Target="https://commission.europa.eu/document/download/8c30975d-bc1c-4415-8dcd-a71cb28f3662_en?filename=JUST_template_comingsoon_standard.pdf" TargetMode="External"/><Relationship Id="rId89" Type="http://schemas.openxmlformats.org/officeDocument/2006/relationships/hyperlink" Target="https://www.ohchr.org/en/special-procedures/sr-racism" TargetMode="External"/><Relationship Id="rId112" Type="http://schemas.openxmlformats.org/officeDocument/2006/relationships/header" Target="header8.xml"/><Relationship Id="rId16" Type="http://schemas.openxmlformats.org/officeDocument/2006/relationships/header" Target="header3.xml"/><Relationship Id="rId107" Type="http://schemas.openxmlformats.org/officeDocument/2006/relationships/footer" Target="footer4.xml"/><Relationship Id="rId11" Type="http://schemas.openxmlformats.org/officeDocument/2006/relationships/image" Target="media/image1.emf"/><Relationship Id="rId24" Type="http://schemas.openxmlformats.org/officeDocument/2006/relationships/hyperlink" Target="https://commission.europa.eu/document/download/e6cd4328-673c-4e7a-8683-f63ffb2cf648_fr?filename=Political%20Guidelines%202024-2029_FR.pdf" TargetMode="External"/><Relationship Id="rId32" Type="http://schemas.openxmlformats.org/officeDocument/2006/relationships/hyperlink" Target="https://youth.europa.eu/strategy_fr" TargetMode="External"/><Relationship Id="rId37" Type="http://schemas.openxmlformats.org/officeDocument/2006/relationships/hyperlink" Target="https://fra.europa.eu/en/project/2019/subgroup-equality-data" TargetMode="External"/><Relationship Id="rId40" Type="http://schemas.openxmlformats.org/officeDocument/2006/relationships/hyperlink" Target="https://eige.europa.eu/" TargetMode="External"/><Relationship Id="rId45" Type="http://schemas.openxmlformats.org/officeDocument/2006/relationships/hyperlink" Target="https://eur-lex.europa.eu/FR/legal-content/summary/standards-for-equality-bodies-in-the-field-of-equal-treatment-and-equal-opportunities.html" TargetMode="External"/><Relationship Id="rId53" Type="http://schemas.openxmlformats.org/officeDocument/2006/relationships/hyperlink" Target="https://eur-lex.europa.eu/eli/treaty/tfeu_2008/art_83/oj/fra" TargetMode="External"/><Relationship Id="rId58" Type="http://schemas.openxmlformats.org/officeDocument/2006/relationships/hyperlink" Target="https://digital-strategy.ec.europa.eu/fr/library/code-conduct-countering-illegal-hate-speech-online" TargetMode="External"/><Relationship Id="rId66" Type="http://schemas.openxmlformats.org/officeDocument/2006/relationships/hyperlink" Target="https://eur-lex.europa.eu/legal-content/FR/TXT/?uri=CELEX:32021G0226%2801%29" TargetMode="External"/><Relationship Id="rId74" Type="http://schemas.openxmlformats.org/officeDocument/2006/relationships/hyperlink" Target="https://commission.europa.eu/funding-tenders/find-funding/eu-funding-programmes/european-regional-development-fund-erdf_en" TargetMode="External"/><Relationship Id="rId79" Type="http://schemas.openxmlformats.org/officeDocument/2006/relationships/hyperlink" Target="https://eur-lex.europa.eu/legal-content/FR/TXT/?uri=oj:JOC_2023_041_R_0001" TargetMode="External"/><Relationship Id="rId87" Type="http://schemas.openxmlformats.org/officeDocument/2006/relationships/hyperlink" Target="https://www.echr.coe.int" TargetMode="External"/><Relationship Id="rId102" Type="http://schemas.openxmlformats.org/officeDocument/2006/relationships/hyperlink" Target="https://commission.europa.eu/document/download/196676b9-9b29-4034-84ca-d75d3cd5912c_en?filename=fact-sheet-diversity-inclusion-in-workplace-action-plan-2023-2024_en_0.pdf" TargetMode="External"/><Relationship Id="rId110" Type="http://schemas.openxmlformats.org/officeDocument/2006/relationships/footer" Target="footer6.xml"/><Relationship Id="rId115" Type="http://schemas.openxmlformats.org/officeDocument/2006/relationships/header" Target="header9.xml"/><Relationship Id="rId5" Type="http://schemas.openxmlformats.org/officeDocument/2006/relationships/numbering" Target="numbering.xml"/><Relationship Id="rId61" Type="http://schemas.openxmlformats.org/officeDocument/2006/relationships/hyperlink" Target="https://digital-strategy.ec.europa.eu/fr/library/code-conduct-disinformation" TargetMode="External"/><Relationship Id="rId82" Type="http://schemas.openxmlformats.org/officeDocument/2006/relationships/hyperlink" Target="https://commission.europa.eu/strategy-and-policy/policies/justice-and-fundamental-rights/combatting-discrimination/racism-and-xenophobia/commissions-coordinator-combating-racism_en" TargetMode="External"/><Relationship Id="rId90" Type="http://schemas.openxmlformats.org/officeDocument/2006/relationships/hyperlink" Target="https://north-africa-middle-east-gulf.ec.europa.eu/what-we-do/pact-mediterranean_en" TargetMode="External"/><Relationship Id="rId95" Type="http://schemas.openxmlformats.org/officeDocument/2006/relationships/hyperlink" Target="https://commission.europa.eu/strategy-and-policy/eu-budget/long-term-eu-budget/eu-budget-2028-2034_en" TargetMode="External"/><Relationship Id="rId19" Type="http://schemas.openxmlformats.org/officeDocument/2006/relationships/hyperlink" Target="https://eur-lex.europa.eu/legal-content/FR/TXT/?uri=CELEX%3A52020DC0565&amp;qid=1758870120076" TargetMode="External"/><Relationship Id="rId14" Type="http://schemas.openxmlformats.org/officeDocument/2006/relationships/footer" Target="footer1.xml"/><Relationship Id="rId22" Type="http://schemas.openxmlformats.org/officeDocument/2006/relationships/hyperlink" Target="https://commission.europa.eu/document/download/4968fa88-5350-48d9-bf36-abd3c0142aa8_fr?filename=Report%20Antiracism.pdf" TargetMode="External"/><Relationship Id="rId27" Type="http://schemas.openxmlformats.org/officeDocument/2006/relationships/hyperlink" Target="https://citizens.ec.europa.eu/european-citizens-panels/tackling-hatred-society-panel_fr" TargetMode="External"/><Relationship Id="rId30" Type="http://schemas.openxmlformats.org/officeDocument/2006/relationships/hyperlink" Target="https://commission.europa.eu/publications/new-eu-roma-strategic-framework-equality-inclusion-and-participation-full-package_en" TargetMode="External"/><Relationship Id="rId35" Type="http://schemas.openxmlformats.org/officeDocument/2006/relationships/hyperlink" Target="https://research-and-innovation.ec.europa.eu/funding/funding-opportunities/funding-programmes-and-open-calls/horizon-europe_fr" TargetMode="External"/><Relationship Id="rId43" Type="http://schemas.openxmlformats.org/officeDocument/2006/relationships/hyperlink" Target="https://eur-lex.europa.eu/eli/treaty/char_2012/oj/fra" TargetMode="External"/><Relationship Id="rId48" Type="http://schemas.openxmlformats.org/officeDocument/2006/relationships/hyperlink" Target="https://eur-lex.europa.eu/FR/legal-content/summary/standards-for-equality-bodies-in-the-field-of-equal-treatment-and-equal-opportunities.html" TargetMode="External"/><Relationship Id="rId56" Type="http://schemas.openxmlformats.org/officeDocument/2006/relationships/hyperlink" Target="https://eur-lex.europa.eu/legal-content/FR/TXT/?uri=CELEX%3A52020DC0258" TargetMode="External"/><Relationship Id="rId64" Type="http://schemas.openxmlformats.org/officeDocument/2006/relationships/hyperlink" Target="https://commission.europa.eu/document/download/e03c60e7-4139-430b-9216-3340f7c73c20_en?filename=social-summit-european-pillar-social-rights-booklet_en.pdf" TargetMode="External"/><Relationship Id="rId69" Type="http://schemas.openxmlformats.org/officeDocument/2006/relationships/hyperlink" Target="https://research-and-innovation.ec.europa.eu/funding/funding-opportunities/funding-programmes-and-open-calls/horizon-europe_fr" TargetMode="External"/><Relationship Id="rId77" Type="http://schemas.openxmlformats.org/officeDocument/2006/relationships/hyperlink" Target="https://ec.europa.eu/info/law/better-regulation/have-your-say/initiatives/14683-Strategie-europeenne-de-lutte-contre-la-pauvrete_fr" TargetMode="External"/><Relationship Id="rId100" Type="http://schemas.openxmlformats.org/officeDocument/2006/relationships/hyperlink" Target="https://commission.europa.eu/system/files/2022-04/c_2022_2229_2_en_act_part1_v12.pdf" TargetMode="External"/><Relationship Id="rId105" Type="http://schemas.openxmlformats.org/officeDocument/2006/relationships/header" Target="header4.xml"/><Relationship Id="rId113" Type="http://schemas.openxmlformats.org/officeDocument/2006/relationships/footer" Target="footer7.xml"/><Relationship Id="rId118"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ec.europa.eu/transparency/expert-groups-register/screen/expert-groups/consult?lang=fr&amp;groupID=3425" TargetMode="External"/><Relationship Id="rId72" Type="http://schemas.openxmlformats.org/officeDocument/2006/relationships/hyperlink" Target="https://www.urbanagenda.urban-initiative.eu/" TargetMode="External"/><Relationship Id="rId80" Type="http://schemas.openxmlformats.org/officeDocument/2006/relationships/hyperlink" Target="https://eu-diversity-inclusion.campaign.europa.eu/european-capitals-inclusion-and-diversity-award_fr" TargetMode="External"/><Relationship Id="rId85" Type="http://schemas.openxmlformats.org/officeDocument/2006/relationships/hyperlink" Target="https://www.ohchr.org/en/instruments-mechanisms/instruments/international-convention-elimination-all-forms-racial" TargetMode="External"/><Relationship Id="rId93" Type="http://schemas.openxmlformats.org/officeDocument/2006/relationships/hyperlink" Target="https://enlargement.ec.europa.eu/enlargement-policy/strategy-and-reports_en" TargetMode="External"/><Relationship Id="rId98" Type="http://schemas.openxmlformats.org/officeDocument/2006/relationships/hyperlink" Target="https://commission.europa.eu/funding-tenders/find-funding/funding-management-mode/common-provisions-regulation_en"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www.oecd.org/en/publications/combatting-discrimination-in-the-european-union_29c2c36a-en/full-report.html" TargetMode="External"/><Relationship Id="rId33" Type="http://schemas.openxmlformats.org/officeDocument/2006/relationships/hyperlink" Target="https://european-research-area.ec.europa.eu/era-policy-agenda-2025-2027" TargetMode="External"/><Relationship Id="rId38" Type="http://schemas.openxmlformats.org/officeDocument/2006/relationships/hyperlink" Target="https://ec.europa.eu/transparency/expert-groups-register/screen/expert-groups/consult?lang=fr&amp;groupId=3328&amp;fromNews=true" TargetMode="External"/><Relationship Id="rId46" Type="http://schemas.openxmlformats.org/officeDocument/2006/relationships/hyperlink" Target="https://eur-lex.europa.eu/FR/legal-content/summary/framework-decision-on-combating-certain-forms-and-expressions-of-racism-and-xenophobia-by-means-of-criminal-law.html" TargetMode="External"/><Relationship Id="rId59" Type="http://schemas.openxmlformats.org/officeDocument/2006/relationships/hyperlink" Target="https://education.ec.europa.eu/news/guidelines-for-teachers-and-educators-on-tackling-disinformation-and-promoting-digital-literacy-through-education-and-training" TargetMode="External"/><Relationship Id="rId67" Type="http://schemas.openxmlformats.org/officeDocument/2006/relationships/hyperlink" Target="https://erasmus-plus.ec.europa.eu/fr" TargetMode="External"/><Relationship Id="rId103" Type="http://schemas.openxmlformats.org/officeDocument/2006/relationships/hyperlink" Target="https://eu-careers.europa.eu/fr" TargetMode="External"/><Relationship Id="rId108" Type="http://schemas.openxmlformats.org/officeDocument/2006/relationships/footer" Target="footer5.xml"/><Relationship Id="rId116" Type="http://schemas.openxmlformats.org/officeDocument/2006/relationships/footer" Target="footer9.xml"/><Relationship Id="rId20" Type="http://schemas.openxmlformats.org/officeDocument/2006/relationships/hyperlink" Target="https://ec.europa.eu/info/funding-tenders/opportunities/portal/screen/programmes/cerv" TargetMode="External"/><Relationship Id="rId41" Type="http://schemas.openxmlformats.org/officeDocument/2006/relationships/hyperlink" Target="https://fra.europa.eu/en/project/2022/eu-survey-immigrants-and-descendants-immigrants" TargetMode="External"/><Relationship Id="rId54" Type="http://schemas.openxmlformats.org/officeDocument/2006/relationships/hyperlink" Target="https://citizens.ec.europa.eu/european-citizens-panels/tackling-hatred-society-panel_fr" TargetMode="External"/><Relationship Id="rId62" Type="http://schemas.openxmlformats.org/officeDocument/2006/relationships/hyperlink" Target="chrome-extension://efaidnbmnnnibpcajpcglclefindmkaj/https://data.consilium.europa.eu/doc/document/ST-9771-2024-INIT/fr/pdf" TargetMode="External"/><Relationship Id="rId70" Type="http://schemas.openxmlformats.org/officeDocument/2006/relationships/hyperlink" Target="https://eur-lex.europa.eu/legal-content/FR/TXT/?uri=CELEX%3A52020DC0758" TargetMode="External"/><Relationship Id="rId75" Type="http://schemas.openxmlformats.org/officeDocument/2006/relationships/hyperlink" Target="https://health.ec.europa.eu/non-communicable-diseases/mental-health_fr" TargetMode="External"/><Relationship Id="rId83" Type="http://schemas.openxmlformats.org/officeDocument/2006/relationships/hyperlink" Target="https://commission.europa.eu/strategy-and-policy/policies/justice-and-fundamental-rights/combatting-discrimination/racism-and-xenophobia/consultation-process_en" TargetMode="External"/><Relationship Id="rId88" Type="http://schemas.openxmlformats.org/officeDocument/2006/relationships/hyperlink" Target="https://www.coe.int/en/web/european-commission-against-racism-and-intolerance" TargetMode="External"/><Relationship Id="rId91" Type="http://schemas.openxmlformats.org/officeDocument/2006/relationships/hyperlink" Target="https://www.consilium.europa.eu/media/hlyf1gsa/eu-guidelines-human-rights-non-discrimination.pdf" TargetMode="External"/><Relationship Id="rId96" Type="http://schemas.openxmlformats.org/officeDocument/2006/relationships/hyperlink" Target="https://commission.europa.eu/strategy-and-policy/eu-budget/how-it-works/annual-lifecycle/implementation/anti-fraud-measures/edes/edes-database_fr" TargetMode="External"/><Relationship Id="rId111"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hyperlink" Target="https://eur-lex.europa.eu/resource.html?uri=cellar:2bf140bf-a3f8-4ab2-b506-fd71826e6da6.0023.02/DOC_1&amp;format=PDF" TargetMode="External"/><Relationship Id="rId28" Type="http://schemas.openxmlformats.org/officeDocument/2006/relationships/hyperlink" Target="https://rm.coe.int/recommandation-de-politique-generale-n-7-revisee-de-l-ecri-sur-la-legi/16808b5ab0" TargetMode="External"/><Relationship Id="rId36" Type="http://schemas.openxmlformats.org/officeDocument/2006/relationships/hyperlink" Target="https://marie-sklodowska-curie-actions.ec.europa.eu/" TargetMode="External"/><Relationship Id="rId49" Type="http://schemas.openxmlformats.org/officeDocument/2006/relationships/hyperlink" Target="https://eur-lex.europa.eu/eli/dir/2024/1385/oj/fra" TargetMode="External"/><Relationship Id="rId57" Type="http://schemas.openxmlformats.org/officeDocument/2006/relationships/hyperlink" Target="https://eur-lex.europa.eu/FR/legal-content/summary/unfair-commercial-practices.html" TargetMode="External"/><Relationship Id="rId106" Type="http://schemas.openxmlformats.org/officeDocument/2006/relationships/header" Target="header5.xml"/><Relationship Id="rId114" Type="http://schemas.openxmlformats.org/officeDocument/2006/relationships/footer" Target="footer8.xml"/><Relationship Id="rId10" Type="http://schemas.openxmlformats.org/officeDocument/2006/relationships/endnotes" Target="endnotes.xml"/><Relationship Id="rId31" Type="http://schemas.openxmlformats.org/officeDocument/2006/relationships/hyperlink" Target="https://eur-lex.europa.eu/FR/legal-content/summary/strategic-framework-for-european-cooperation-in-education-and-training-towards-the-european-education-area-and-beyond.html" TargetMode="External"/><Relationship Id="rId44" Type="http://schemas.openxmlformats.org/officeDocument/2006/relationships/hyperlink" Target="https://eur-lex.europa.eu/eli/dir/2000/43/oj/fra" TargetMode="External"/><Relationship Id="rId52" Type="http://schemas.openxmlformats.org/officeDocument/2006/relationships/hyperlink" Target="https://eur-lex.europa.eu/legal-content/FR/TXT/?uri=CELEX:52021DC0777" TargetMode="External"/><Relationship Id="rId60" Type="http://schemas.openxmlformats.org/officeDocument/2006/relationships/hyperlink" Target="https://education.ec.europa.eu/focus-topics/digital-education/action-plan" TargetMode="External"/><Relationship Id="rId65" Type="http://schemas.openxmlformats.org/officeDocument/2006/relationships/hyperlink" Target="https://eur-lex.europa.eu/legal-content/FR/TXT/PDF/?uri=CELEX%3A52025DC0090" TargetMode="External"/><Relationship Id="rId73" Type="http://schemas.openxmlformats.org/officeDocument/2006/relationships/hyperlink" Target="https://ec.europa.eu/regional_policy/information-sources/publications/communications/2025/eu-agenda-for-cities-2025_fr" TargetMode="External"/><Relationship Id="rId78" Type="http://schemas.openxmlformats.org/officeDocument/2006/relationships/hyperlink" Target="https://eur-lex.europa.eu/eli/reco/2021/1004/oj/fra" TargetMode="External"/><Relationship Id="rId81" Type="http://schemas.openxmlformats.org/officeDocument/2006/relationships/hyperlink" Target="https://commission.europa.eu/strategy-and-policy/policies/justice-and-fundamental-rights/combatting-discrimination/tackling-discrimination/diversity-and-inclusion-initiatives/european-diversity-month_en?prefLang=fr" TargetMode="External"/><Relationship Id="rId86" Type="http://schemas.openxmlformats.org/officeDocument/2006/relationships/hyperlink" Target="https://www.un.org/en/fight-racism/background/durban-declaration-and-programme-of-action" TargetMode="External"/><Relationship Id="rId94" Type="http://schemas.openxmlformats.org/officeDocument/2006/relationships/hyperlink" Target="https://commission.europa.eu/funding-tenders/find-funding/eu-funding-programmes/citizens-equality-rights-and-values-programme/citizens-equality-rights-and-values-programme-overview_fr" TargetMode="External"/><Relationship Id="rId99" Type="http://schemas.openxmlformats.org/officeDocument/2006/relationships/hyperlink" Target="https://commission.europa.eu/topics/budget/eu-budget-2028-2034-explained/investing-people-member-states-and-regions_fr" TargetMode="External"/><Relationship Id="rId101" Type="http://schemas.openxmlformats.org/officeDocument/2006/relationships/hyperlink" Target="https://commission.europa.eu/document/download/91926dd1-3dd2-4000-98e7-726597189d12_en?filename=Factsheet-diversity-and-inclusion-survey_en.pdf"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yperlink" Target="https://commission.europa.eu/strategy-and-policy/state-union/state-union-2022/building-union-equality_fr" TargetMode="External"/><Relationship Id="rId39" Type="http://schemas.openxmlformats.org/officeDocument/2006/relationships/hyperlink" Target="https://european-union.europa.eu/institutions-law-budget/institutions-and-bodies/search-all-eu-institutions-and-bodies/eurofound_fr" TargetMode="External"/><Relationship Id="rId109" Type="http://schemas.openxmlformats.org/officeDocument/2006/relationships/header" Target="header6.xml"/><Relationship Id="rId34" Type="http://schemas.openxmlformats.org/officeDocument/2006/relationships/hyperlink" Target="https://european-research-area.ec.europa.eu/" TargetMode="External"/><Relationship Id="rId50" Type="http://schemas.openxmlformats.org/officeDocument/2006/relationships/hyperlink" Target="https://eur-lex.europa.eu/eli/dec_framw/2008/913/oj/fra" TargetMode="External"/><Relationship Id="rId55" Type="http://schemas.openxmlformats.org/officeDocument/2006/relationships/hyperlink" Target="https://eur-lex.europa.eu/legal-content/FR/TXT/PDF/?uri=CELEX:52025DC0148" TargetMode="External"/><Relationship Id="rId76" Type="http://schemas.openxmlformats.org/officeDocument/2006/relationships/hyperlink" Target="https://health.ec.europa.eu/funding/eu4health-programme-2021-2027-vision-healthier-european-union_fr" TargetMode="External"/><Relationship Id="rId97" Type="http://schemas.openxmlformats.org/officeDocument/2006/relationships/hyperlink" Target="https://ec.europa.eu/regional_policy/policy/what/glossary/enabling-conditions_en" TargetMode="External"/><Relationship Id="rId104" Type="http://schemas.openxmlformats.org/officeDocument/2006/relationships/hyperlink" Target="https://www.era.europa.eu/system/files/2024-05/MB%20Decision%20n%C2%B0%20350%20-%20Annex%20-%20C_2023_8630_F1_COMMISSION_DECISION_EN_V6_P1_3034149.pdf?t=1716299982" TargetMode="External"/><Relationship Id="rId7" Type="http://schemas.openxmlformats.org/officeDocument/2006/relationships/settings" Target="settings.xml"/><Relationship Id="rId71" Type="http://schemas.openxmlformats.org/officeDocument/2006/relationships/hyperlink" Target="https://housing.ec.europa.eu/document/download/756915b5-d1b1-4bde-ac82-03532d2d3d90_en?filename=0.pdf" TargetMode="External"/><Relationship Id="rId92" Type="http://schemas.openxmlformats.org/officeDocument/2006/relationships/hyperlink" Target="https://www.eeas.europa.eu/eeas/eu-extends-its-action-plan-human-rights-and-democracy-until-2027_en" TargetMode="External"/><Relationship Id="rId2" Type="http://schemas.openxmlformats.org/officeDocument/2006/relationships/customXml" Target="../customXml/item2.xml"/><Relationship Id="rId29" Type="http://schemas.openxmlformats.org/officeDocument/2006/relationships/hyperlink" Target="https://commission.europa.eu/strategy-and-policy/policies/justice-and-fundamental-rights/combatting-discrimination/racism-and-xenophobia/combating-antisemitism/eu-strategy-combating-antisemitism-and-fostering-jewish-life-2021-2030/about-eu-strategy_en"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op.europa.eu/fr/publication-detail/-/publication/3e1e2228-7c97-11eb-9ac9-01aa75ed71a1/language-fr" TargetMode="External"/><Relationship Id="rId18" Type="http://schemas.openxmlformats.org/officeDocument/2006/relationships/hyperlink" Target="https://commission.europa.eu/document/download/86b296ab-95ee-4139-aad3-d7016e096195_fr?filename=ds0821040frn_002.pdf" TargetMode="External"/><Relationship Id="rId26" Type="http://schemas.openxmlformats.org/officeDocument/2006/relationships/hyperlink" Target="https://fra.europa.eu/sites/default/files/fra_uploads/fra-2025-roma-survey-2024_en.pdf" TargetMode="External"/><Relationship Id="rId39" Type="http://schemas.openxmlformats.org/officeDocument/2006/relationships/hyperlink" Target="https://europa.eu/eurobarometer/surveys/detail/2972" TargetMode="External"/><Relationship Id="rId21" Type="http://schemas.openxmlformats.org/officeDocument/2006/relationships/hyperlink" Target="https://ec.europa.eu/commission/presscorner/detail/fr/ip_25_2660" TargetMode="External"/><Relationship Id="rId34" Type="http://schemas.openxmlformats.org/officeDocument/2006/relationships/hyperlink" Target="https://eur-lex.europa.eu/legal-content/FR/TXT/PDF/?uri=CELEX:52015IP0095" TargetMode="External"/><Relationship Id="rId42" Type="http://schemas.openxmlformats.org/officeDocument/2006/relationships/hyperlink" Target="https://fra.europa.eu/sites/default/files/fra_uploads/fra-2023-being-black_in_the_eu_en.pdf" TargetMode="External"/><Relationship Id="rId47" Type="http://schemas.openxmlformats.org/officeDocument/2006/relationships/hyperlink" Target="https://ec.europa.eu/implementing-eu-law/member-state-infringement-cases/fr" TargetMode="External"/><Relationship Id="rId50" Type="http://schemas.openxmlformats.org/officeDocument/2006/relationships/hyperlink" Target="https://eucpn.org/sites/default/files/document/files/POLICY%20PAPER%202019%20COP_ENG_LR.pdf" TargetMode="External"/><Relationship Id="rId55" Type="http://schemas.openxmlformats.org/officeDocument/2006/relationships/hyperlink" Target="https://fra.europa.eu/sites/default/files/fra_uploads/fra-2025-roma-survey-2024_en.pdf" TargetMode="External"/><Relationship Id="rId63" Type="http://schemas.openxmlformats.org/officeDocument/2006/relationships/hyperlink" Target="https://ruralpact.rural-vision.europa.eu/publications/highlights-report-good-practice-webinar-rural-housing_en" TargetMode="External"/><Relationship Id="rId68" Type="http://schemas.openxmlformats.org/officeDocument/2006/relationships/hyperlink" Target="https://eur-lex.europa.eu/resource.html?uri=cellar:6c924246-da52-11eb-895a-01aa75ed71a1.0001.02/DOC_1&amp;format=PDF" TargetMode="External"/><Relationship Id="rId76" Type="http://schemas.openxmlformats.org/officeDocument/2006/relationships/hyperlink" Target="https://commission.europa.eu/document/download/d23174d0-9a1f-46da-992d-a47ccd56391a_en?filename=common_guiding_principles_for_national_action_plans_against_racism_and_racial_discrimination.pdf" TargetMode="External"/><Relationship Id="rId7" Type="http://schemas.openxmlformats.org/officeDocument/2006/relationships/hyperlink" Target="https://www.consilium.europa.eu/fr/meetings/jha/2024/10/11/" TargetMode="External"/><Relationship Id="rId71" Type="http://schemas.openxmlformats.org/officeDocument/2006/relationships/hyperlink" Target="https://www.eeas.europa.eu/eeas/eu-election-observation-missions-1_en?page_lang=fr" TargetMode="External"/><Relationship Id="rId2" Type="http://schemas.openxmlformats.org/officeDocument/2006/relationships/hyperlink" Target="https://commission.europa.eu/document/download/4968fa88-5350-48d9-bf36-abd3c0142aa8_fr?filename=Report%20Antiracism.pdf" TargetMode="External"/><Relationship Id="rId16" Type="http://schemas.openxmlformats.org/officeDocument/2006/relationships/hyperlink" Target="https://op.europa.eu/fr/publication-detail/-/publication/bb47d489-a2b1-11eb-9585-01aa75ed71a1/language-fr" TargetMode="External"/><Relationship Id="rId29" Type="http://schemas.openxmlformats.org/officeDocument/2006/relationships/hyperlink" Target="https://ec.europa.eu/transparency/expert-groups-register/screen/expert-groups/consult?lang=fr&amp;groupID=3425" TargetMode="External"/><Relationship Id="rId11" Type="http://schemas.openxmlformats.org/officeDocument/2006/relationships/hyperlink" Target="https://eur-lex.europa.eu/resource.html?uri=cellar:2fbb2780-fb4e-11ef-b7db-01aa75ed71a1.0003.02/DOC_1&amp;format=PDF" TargetMode="External"/><Relationship Id="rId24" Type="http://schemas.openxmlformats.org/officeDocument/2006/relationships/hyperlink" Target="https://www.oecd.org/en/publications/monitoring-and-assessing-the-impact-of-national-action-plans-against-racism_13e32676-en/full-report.html" TargetMode="External"/><Relationship Id="rId32" Type="http://schemas.openxmlformats.org/officeDocument/2006/relationships/hyperlink" Target="https://www.europarl.europa.eu/doceo/document/TA-9-2020-0173_FR.html" TargetMode="External"/><Relationship Id="rId37" Type="http://schemas.openxmlformats.org/officeDocument/2006/relationships/hyperlink" Target="https://op.europa.eu/fr/publication-detail/-/publication/db43f6ca-da14-11ef-be2a-01aa75ed71a1/language-fr" TargetMode="External"/><Relationship Id="rId40" Type="http://schemas.openxmlformats.org/officeDocument/2006/relationships/hyperlink" Target="https://europa.eu/eurobarometer/surveys/detail/2972" TargetMode="External"/><Relationship Id="rId45" Type="http://schemas.openxmlformats.org/officeDocument/2006/relationships/hyperlink" Target="https://fra.europa.eu/sites/default/files/fra_uploads/fra-2024-experiences-perceptions-antisemitism-survey_en.pdf" TargetMode="External"/><Relationship Id="rId53" Type="http://schemas.openxmlformats.org/officeDocument/2006/relationships/hyperlink" Target="https://europa.eu/eurobarometer/surveys/detail/2972" TargetMode="External"/><Relationship Id="rId58" Type="http://schemas.openxmlformats.org/officeDocument/2006/relationships/hyperlink" Target="https://www.oecd.org/content/dam/oecd/en/publications/reports/2025/03/monitoring-and-assessing-the-impact-of-national-action-plans-against-racism_0d72a33d/13e32676-en.pdf" TargetMode="External"/><Relationship Id="rId66" Type="http://schemas.openxmlformats.org/officeDocument/2006/relationships/hyperlink" Target="https://www.who.int/activities/tackling-structural-racism-and-ethnicity-based-discrimination-in-health" TargetMode="External"/><Relationship Id="rId74" Type="http://schemas.openxmlformats.org/officeDocument/2006/relationships/hyperlink" Target="https://ec.europa.eu/transparency/expert-groups-register/screen/expert-groups/consult?lang=fr&amp;groupID=3425" TargetMode="External"/><Relationship Id="rId79" Type="http://schemas.openxmlformats.org/officeDocument/2006/relationships/hyperlink" Target="https://civilsocietyeurope.eu/wp-content/uploads/2025/06/Joint-Civil-Society-Contribution-on-Civic-Space-to-the-2025-Rule-of-Law-Report.docx.pdf" TargetMode="External"/><Relationship Id="rId5" Type="http://schemas.openxmlformats.org/officeDocument/2006/relationships/hyperlink" Target="https://www.consilium.europa.eu/fr/press/press-releases/2022/03/04/council-adopts-conclusions-on-combating-racism-and-antisemitism/" TargetMode="External"/><Relationship Id="rId61" Type="http://schemas.openxmlformats.org/officeDocument/2006/relationships/hyperlink" Target="https://www.oecd.org/content/dam/oecd/en/publications/reports/2025/03/monitoring-and-assessing-the-impact-of-national-action-plans-against-racism_0d72a33d/13e32676-en.pdf" TargetMode="External"/><Relationship Id="rId10" Type="http://schemas.openxmlformats.org/officeDocument/2006/relationships/hyperlink" Target="https://eur-lex.europa.eu/legal-content/FR/ALL/?uri=COM:2021:615:FIN&amp;pk_campaign=doc&amp;pk_source=EUR-Lex&amp;pk_medium=tw&amp;pk_keyword=No2Antisemitism" TargetMode="External"/><Relationship Id="rId19" Type="http://schemas.openxmlformats.org/officeDocument/2006/relationships/hyperlink" Target="https://commission.europa.eu/topics/eu-competitiveness/union-skills_fr" TargetMode="External"/><Relationship Id="rId31" Type="http://schemas.openxmlformats.org/officeDocument/2006/relationships/hyperlink" Target="https://www.un.org/fr/observances/end-racism-day" TargetMode="External"/><Relationship Id="rId44" Type="http://schemas.openxmlformats.org/officeDocument/2006/relationships/hyperlink" Target="https://fra.europa.eu/sites/default/files/fra_uploads/fra-2024-being-muslim-in-the-eu_en.pdf" TargetMode="External"/><Relationship Id="rId52" Type="http://schemas.openxmlformats.org/officeDocument/2006/relationships/hyperlink" Target="https://ec.europa.eu/info/law/better-regulation/have-your-say/initiatives/14552-Strategie-de-lutte-contre-le-racisme_fr" TargetMode="External"/><Relationship Id="rId60" Type="http://schemas.openxmlformats.org/officeDocument/2006/relationships/hyperlink" Target="https://bibliothek.wzb.eu/pdf/2018/vi18-104.pdf" TargetMode="External"/><Relationship Id="rId65" Type="http://schemas.openxmlformats.org/officeDocument/2006/relationships/hyperlink" Target="https://www.saage-network.eu/sites/default/files/media/publication/DS0320880ENN-en.pdf" TargetMode="External"/><Relationship Id="rId73" Type="http://schemas.openxmlformats.org/officeDocument/2006/relationships/hyperlink" Target="https://ec.europa.eu/transparency/expert-groups-register/screen/expert-groups/consult?lang=fr&amp;do=groupDetail.groupDetail&amp;groupID=3328" TargetMode="External"/><Relationship Id="rId78" Type="http://schemas.openxmlformats.org/officeDocument/2006/relationships/hyperlink" Target="https://fra.europa.eu/sites/default/files/fra_uploads/report-key-findings-fra-civic-space-consultation-2024_en_0.pdf" TargetMode="External"/><Relationship Id="rId4" Type="http://schemas.openxmlformats.org/officeDocument/2006/relationships/hyperlink" Target="https://eur-lex.europa.eu/legal-content/FR/TXT/?uri=OJ%3AJOC_2023_161_R_0003" TargetMode="External"/><Relationship Id="rId9" Type="http://schemas.openxmlformats.org/officeDocument/2006/relationships/hyperlink" Target="https://commission.europa.eu/system/files/2021-01/eu_roma_strategic_framework_for_equality_inclusion_and_participation_for_2020_-_2030_0.pdf" TargetMode="External"/><Relationship Id="rId14" Type="http://schemas.openxmlformats.org/officeDocument/2006/relationships/hyperlink" Target="https://commission.europa.eu/strategy-and-policy/policies/justice-and-fundamental-rights/combatting-discrimination/racism-and-xenophobia/combating-anti-muslim-hatred_en" TargetMode="External"/><Relationship Id="rId22" Type="http://schemas.openxmlformats.org/officeDocument/2006/relationships/hyperlink" Target="https://ec.europa.eu/info/law/better-regulation/have-your-say/initiatives/14552-Strategie-de-lutte-contre-le-racisme_fr" TargetMode="External"/><Relationship Id="rId27" Type="http://schemas.openxmlformats.org/officeDocument/2006/relationships/hyperlink" Target="https://fra.europa.eu/en/news/2024/muslims-europe-face-ever-more-racism-and-discrimination" TargetMode="External"/><Relationship Id="rId30" Type="http://schemas.openxmlformats.org/officeDocument/2006/relationships/hyperlink" Target="https://commission.europa.eu/strategy-and-policy/policies/justice-and-fundamental-rights/combatting-discrimination/tackling-discrimination/network-experts-field-anti-discrimination_en" TargetMode="External"/><Relationship Id="rId35" Type="http://schemas.openxmlformats.org/officeDocument/2006/relationships/hyperlink" Target="https://data.consilium.europa.eu/doc/document/ST-12000-2023-INIT/fr/pdf" TargetMode="External"/><Relationship Id="rId43" Type="http://schemas.openxmlformats.org/officeDocument/2006/relationships/hyperlink" Target="https://fra.europa.eu/sites/default/files/fra_uploads/fra-2024-addressing-racism-in-policing_en.pdf" TargetMode="External"/><Relationship Id="rId48" Type="http://schemas.openxmlformats.org/officeDocument/2006/relationships/hyperlink" Target="https://commission.europa.eu/strategy-and-policy/policies/justice-and-fundamental-rights/criminal-justice/protecting-victims-rights/victims-rights-eu_en" TargetMode="External"/><Relationship Id="rId56" Type="http://schemas.openxmlformats.org/officeDocument/2006/relationships/hyperlink" Target="https://fra.europa.eu/sites/default/files/fra_uploads/fra-2024-being-muslim-in-the-eu_en.pdf" TargetMode="External"/><Relationship Id="rId64" Type="http://schemas.openxmlformats.org/officeDocument/2006/relationships/hyperlink" Target="file:///https://op.europa.eu/en/publication-detail/-/publication/042f7559-fd3f-11ee-a251-01aa75ed71a1" TargetMode="External"/><Relationship Id="rId69" Type="http://schemas.openxmlformats.org/officeDocument/2006/relationships/hyperlink" Target="https://www.un.org/fr/observances/decade-people-african-descent" TargetMode="External"/><Relationship Id="rId77" Type="http://schemas.openxmlformats.org/officeDocument/2006/relationships/hyperlink" Target="https://epc-web-s3.s3.amazonaws.com/uploads/ckeditor/2025/06/25/securing-europes-civil-space_final.pdf" TargetMode="External"/><Relationship Id="rId8" Type="http://schemas.openxmlformats.org/officeDocument/2006/relationships/hyperlink" Target="https://www.consilium.europa.eu/fr/meetings/epsco/2023/11/27-28/" TargetMode="External"/><Relationship Id="rId51" Type="http://schemas.openxmlformats.org/officeDocument/2006/relationships/hyperlink" Target="https://fra.europa.eu/sites/default/files/fra_uploads/fra-2024-addressing-racism-in-policing_en.pdf" TargetMode="External"/><Relationship Id="rId72" Type="http://schemas.openxmlformats.org/officeDocument/2006/relationships/hyperlink" Target="https://commission.europa.eu/document/2587f7c6-7353-4a65-9ca2-3d5e2a41489d_fr" TargetMode="External"/><Relationship Id="rId80" Type="http://schemas.openxmlformats.org/officeDocument/2006/relationships/hyperlink" Target="https://commission.europa.eu/about/service-standards-and-principles/modernising-european-commission/diversity-and-inclusion_fr" TargetMode="External"/><Relationship Id="rId3" Type="http://schemas.openxmlformats.org/officeDocument/2006/relationships/hyperlink" Target="https://europa.eu/eurobarometer/surveys/detail/2972" TargetMode="External"/><Relationship Id="rId12" Type="http://schemas.openxmlformats.org/officeDocument/2006/relationships/hyperlink" Target="https://commission.europa.eu/document/download/b4952371-4308-47ad-b995-02c539b75dda_en?filename=JUST_template_comingsoon_standard.pdf" TargetMode="External"/><Relationship Id="rId17" Type="http://schemas.openxmlformats.org/officeDocument/2006/relationships/hyperlink" Target="https://commission.europa.eu/document/86b296ab-95ee-4139-aad3-d7016e096195_fr" TargetMode="External"/><Relationship Id="rId25" Type="http://schemas.openxmlformats.org/officeDocument/2006/relationships/hyperlink" Target="https://www.oecd.org/en/publications/monitoring-and-assessing-the-impact-of-national-action-plans-against-racism_13e32676-en/full-report.html" TargetMode="External"/><Relationship Id="rId33" Type="http://schemas.openxmlformats.org/officeDocument/2006/relationships/hyperlink" Target="https://commission.europa.eu/news-and-media/news/holocaust-remembrance-european-commission-and-polish-presidency-host-international-conference-and-2025-01-20_en" TargetMode="External"/><Relationship Id="rId38" Type="http://schemas.openxmlformats.org/officeDocument/2006/relationships/hyperlink" Target="https://commission.europa.eu/system/files/2022-02/guidance_note_on_the_collection_and_use_of_equality_data_based_on_racial_or_ethnic_origin_final.pdf" TargetMode="External"/><Relationship Id="rId46" Type="http://schemas.openxmlformats.org/officeDocument/2006/relationships/hyperlink" Target="https://commission.europa.eu/document/download/f713e60d-403a-41eb-934b-a70f65ec66a8_en?filename=Study%20on%20sanctions%20for%20discrimination%20on%20racial%2Cethnic%2Creligious%20grounds.pdf" TargetMode="External"/><Relationship Id="rId59" Type="http://schemas.openxmlformats.org/officeDocument/2006/relationships/hyperlink" Target="https://education.ec.europa.eu/news/new-issue-paper-tackling-prejudice-and-discrimination-in-and-through-education-and-training" TargetMode="External"/><Relationship Id="rId67" Type="http://schemas.openxmlformats.org/officeDocument/2006/relationships/hyperlink" Target="https://www.who.int/activities/tackling-structural-racism-and-ethnicity-based-discrimination-in-health" TargetMode="External"/><Relationship Id="rId20" Type="http://schemas.openxmlformats.org/officeDocument/2006/relationships/hyperlink" Target="https://ec.europa.eu/info/law/better-regulation/have-your-say/initiatives/14683-Strategie-europeenne-de-lutte-contre-la-pauvrete_fr" TargetMode="External"/><Relationship Id="rId41" Type="http://schemas.openxmlformats.org/officeDocument/2006/relationships/hyperlink" Target="https://fra.europa.eu/sites/default/files/fra_uploads/fra-2024-experiences-perceptions-antisemitism-survey_en.pdf" TargetMode="External"/><Relationship Id="rId54" Type="http://schemas.openxmlformats.org/officeDocument/2006/relationships/hyperlink" Target="https://europa.eu/eurobarometer/surveys/detail/2972" TargetMode="External"/><Relationship Id="rId62" Type="http://schemas.openxmlformats.org/officeDocument/2006/relationships/hyperlink" Target="https://www.oecd.org/content/dam/oecd/en/publications/reports/2025/03/monitoring-and-assessing-the-impact-of-national-action-plans-against-racism_0d72a33d/13e32676-en.pdf" TargetMode="External"/><Relationship Id="rId70" Type="http://schemas.openxmlformats.org/officeDocument/2006/relationships/hyperlink" Target="https://www.unesco.org/en/articles/unesco-launches-global-alliance-racism-and-discriminations-after-4th-edition-global-forum" TargetMode="External"/><Relationship Id="rId75" Type="http://schemas.openxmlformats.org/officeDocument/2006/relationships/hyperlink" Target="https://commission.europa.eu/system/files/2022-05/common_guiding_principles_for_national_action_plans_against_racism_and_racial_discrimination.pdf" TargetMode="External"/><Relationship Id="rId1" Type="http://schemas.openxmlformats.org/officeDocument/2006/relationships/hyperlink" Target="https://eur-lex.europa.eu/legal-content/FR/TXT/?uri=CELEX:12016M/TXT" TargetMode="External"/><Relationship Id="rId6" Type="http://schemas.openxmlformats.org/officeDocument/2006/relationships/hyperlink" Target="https://data.consilium.europa.eu/doc/document/ST-24-2025-INIT/fr/pdf" TargetMode="External"/><Relationship Id="rId15" Type="http://schemas.openxmlformats.org/officeDocument/2006/relationships/hyperlink" Target="https://commission.europa.eu/strategy-and-policy/policies/justice-and-fundamental-rights/combatting-discrimination/racism-and-xenophobia/combating-hate-speech-and-hate-crime_en" TargetMode="External"/><Relationship Id="rId23" Type="http://schemas.openxmlformats.org/officeDocument/2006/relationships/hyperlink" Target="https://fra.europa.eu/sites/default/files/fra_uploads/fra-2023-being-black_in_the_eu_en.pdf" TargetMode="External"/><Relationship Id="rId28" Type="http://schemas.openxmlformats.org/officeDocument/2006/relationships/hyperlink" Target="https://fra.europa.eu/en/news/2024/muslims-europe-face-ever-more-racism-and-discrimination" TargetMode="External"/><Relationship Id="rId36" Type="http://schemas.openxmlformats.org/officeDocument/2006/relationships/hyperlink" Target="https://ec.europa.eu/commission/presscorner/detail/fr/ip_23_2087" TargetMode="External"/><Relationship Id="rId49" Type="http://schemas.openxmlformats.org/officeDocument/2006/relationships/hyperlink" Target="https://ec.europa.eu/commission/presscorner/detail/fr/ip_25_3017" TargetMode="External"/><Relationship Id="rId57" Type="http://schemas.openxmlformats.org/officeDocument/2006/relationships/hyperlink" Target="https://www.oecd.org/content/dam/oecd/en/publications/reports/2025/03/monitoring-and-assessing-the-impact-of-national-action-plans-against-racism_0d72a33d/13e32676-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3DEBFA01D8CDE41AAE050D7D7CF61F9" ma:contentTypeVersion="12" ma:contentTypeDescription="Create a new document." ma:contentTypeScope="" ma:versionID="c37d121bfc176b0c30af95a18dc293e8">
  <xsd:schema xmlns:xsd="http://www.w3.org/2001/XMLSchema" xmlns:xs="http://www.w3.org/2001/XMLSchema" xmlns:p="http://schemas.microsoft.com/office/2006/metadata/properties" xmlns:ns2="38bf3bd7-73ad-4948-8b71-aa2c92f53103" targetNamespace="http://schemas.microsoft.com/office/2006/metadata/properties" ma:root="true" ma:fieldsID="b09be03f80295138cbedb8362737638c" ns2:_="">
    <xsd:import namespace="38bf3bd7-73ad-4948-8b71-aa2c92f5310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bf3bd7-73ad-4948-8b71-aa2c92f531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8bf3bd7-73ad-4948-8b71-aa2c92f53103">
      <Terms xmlns="http://schemas.microsoft.com/office/infopath/2007/PartnerControls"/>
    </lcf76f155ced4ddcb4097134ff3c332f>
  </documentManagement>
</p:properties>
</file>

<file path=customXml/item4.xml><?xml version="1.0" encoding="utf-8"?>
<b:Sources xmlns="http://schemas.openxmlformats.org/officeDocument/2006/bibliography" xmlns:b="http://schemas.openxmlformats.org/officeDocument/2006/bibliography" Version="6" StyleName="APA" SelectedStyle="\APASixthEditionOfficeOnline.xsl"/>
</file>

<file path=customXml/itemProps1.xml><?xml version="1.0" encoding="utf-8"?>
<ds:datastoreItem xmlns:ds="http://schemas.openxmlformats.org/officeDocument/2006/customXml" ds:itemID="{36630F7B-4566-44DC-BCE9-E8DC5E0758E0}">
  <ds:schemaRefs>
    <ds:schemaRef ds:uri="http://schemas.microsoft.com/sharepoint/v3/contenttype/forms"/>
  </ds:schemaRefs>
</ds:datastoreItem>
</file>

<file path=customXml/itemProps2.xml><?xml version="1.0" encoding="utf-8"?>
<ds:datastoreItem xmlns:ds="http://schemas.openxmlformats.org/officeDocument/2006/customXml" ds:itemID="{8431CAEF-2F00-4FF0-9279-F60D8EBAB7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bf3bd7-73ad-4948-8b71-aa2c92f531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5DC02BE-28C5-4697-A6CF-840EBD1E15FB}">
  <ds:schemaRefs>
    <ds:schemaRef ds:uri="http://schemas.microsoft.com/office/2006/metadata/properties"/>
    <ds:schemaRef ds:uri="http://schemas.microsoft.com/office/infopath/2007/PartnerControls"/>
    <ds:schemaRef ds:uri="38bf3bd7-73ad-4948-8b71-aa2c92f53103"/>
  </ds:schemaRefs>
</ds:datastoreItem>
</file>

<file path=customXml/itemProps4.xml><?xml version="1.0" encoding="utf-8"?>
<ds:datastoreItem xmlns:ds="http://schemas.openxmlformats.org/officeDocument/2006/customXml" ds:itemID="{F0EAA199-5DFF-4677-9D31-ADB660EF99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24</Pages>
  <Words>11214</Words>
  <Characters>63920</Characters>
  <Application>Microsoft Office Word</Application>
  <DocSecurity>0</DocSecurity>
  <Lines>532</Lines>
  <Paragraphs>149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74985</CharactersWithSpaces>
  <SharedDoc>false</SharedDoc>
  <HLinks>
    <vt:vector size="990" baseType="variant">
      <vt:variant>
        <vt:i4>2031676</vt:i4>
      </vt:variant>
      <vt:variant>
        <vt:i4>333</vt:i4>
      </vt:variant>
      <vt:variant>
        <vt:i4>0</vt:i4>
      </vt:variant>
      <vt:variant>
        <vt:i4>5</vt:i4>
      </vt:variant>
      <vt:variant>
        <vt:lpwstr>https://commission.europa.eu/strategy-and-policy/policies/justice-and-fundamental-rights/combatting-discrimination/tackling-discrimination/diversity-and-inclusion-initiatives/european-diversity-month_en</vt:lpwstr>
      </vt:variant>
      <vt:variant>
        <vt:lpwstr/>
      </vt:variant>
      <vt:variant>
        <vt:i4>2228321</vt:i4>
      </vt:variant>
      <vt:variant>
        <vt:i4>330</vt:i4>
      </vt:variant>
      <vt:variant>
        <vt:i4>0</vt:i4>
      </vt:variant>
      <vt:variant>
        <vt:i4>5</vt:i4>
      </vt:variant>
      <vt:variant>
        <vt:lpwstr>https://eur-lex.europa.eu/legal-content/EN/TXT/HTML/?uri=CELEX:32024D1043</vt:lpwstr>
      </vt:variant>
      <vt:variant>
        <vt:lpwstr>:~:text=The%20Commission%20has%20put%20in%20place%20a%20policy,for%20in%20Commission%20Decision%20C%20%282023%29%208630%20%283%29.</vt:lpwstr>
      </vt:variant>
      <vt:variant>
        <vt:i4>2752600</vt:i4>
      </vt:variant>
      <vt:variant>
        <vt:i4>327</vt:i4>
      </vt:variant>
      <vt:variant>
        <vt:i4>0</vt:i4>
      </vt:variant>
      <vt:variant>
        <vt:i4>5</vt:i4>
      </vt:variant>
      <vt:variant>
        <vt:lpwstr>https://commission.europa.eu/about/service-standards-and-principles/ethics-and-good-administration/commissioners-and-ethics/code-conduct-members-european-commission_en</vt:lpwstr>
      </vt:variant>
      <vt:variant>
        <vt:lpwstr>:~:text=The%20Code%20of%20Conduct%20sets%20out%20how%20European,version%20came%20into%20force%20on%201%20February%202018.</vt:lpwstr>
      </vt:variant>
      <vt:variant>
        <vt:i4>4653056</vt:i4>
      </vt:variant>
      <vt:variant>
        <vt:i4>324</vt:i4>
      </vt:variant>
      <vt:variant>
        <vt:i4>0</vt:i4>
      </vt:variant>
      <vt:variant>
        <vt:i4>5</vt:i4>
      </vt:variant>
      <vt:variant>
        <vt:lpwstr>https://commission.europa.eu/document/download/91926dd1-3dd2-4000-98e7-726597189d12_en?filename=Factsheet-diversity-and-inclusion-survey_en.pdf</vt:lpwstr>
      </vt:variant>
      <vt:variant>
        <vt:lpwstr/>
      </vt:variant>
      <vt:variant>
        <vt:i4>5046310</vt:i4>
      </vt:variant>
      <vt:variant>
        <vt:i4>321</vt:i4>
      </vt:variant>
      <vt:variant>
        <vt:i4>0</vt:i4>
      </vt:variant>
      <vt:variant>
        <vt:i4>5</vt:i4>
      </vt:variant>
      <vt:variant>
        <vt:lpwstr>https://traineeships.ec.europa.eu/index_de</vt:lpwstr>
      </vt:variant>
      <vt:variant>
        <vt:lpwstr/>
      </vt:variant>
      <vt:variant>
        <vt:i4>8323111</vt:i4>
      </vt:variant>
      <vt:variant>
        <vt:i4>318</vt:i4>
      </vt:variant>
      <vt:variant>
        <vt:i4>0</vt:i4>
      </vt:variant>
      <vt:variant>
        <vt:i4>5</vt:i4>
      </vt:variant>
      <vt:variant>
        <vt:lpwstr>https://commission.europa.eu/system/files/2023-09/fact-sheet-diversity-inclusion-in-workplace-action-plan-2023-2024_en_0.pdf</vt:lpwstr>
      </vt:variant>
      <vt:variant>
        <vt:lpwstr/>
      </vt:variant>
      <vt:variant>
        <vt:i4>3801185</vt:i4>
      </vt:variant>
      <vt:variant>
        <vt:i4>315</vt:i4>
      </vt:variant>
      <vt:variant>
        <vt:i4>0</vt:i4>
      </vt:variant>
      <vt:variant>
        <vt:i4>5</vt:i4>
      </vt:variant>
      <vt:variant>
        <vt:lpwstr>https://eu-careers.europa.eu/en</vt:lpwstr>
      </vt:variant>
      <vt:variant>
        <vt:lpwstr/>
      </vt:variant>
      <vt:variant>
        <vt:i4>2162802</vt:i4>
      </vt:variant>
      <vt:variant>
        <vt:i4>312</vt:i4>
      </vt:variant>
      <vt:variant>
        <vt:i4>0</vt:i4>
      </vt:variant>
      <vt:variant>
        <vt:i4>5</vt:i4>
      </vt:variant>
      <vt:variant>
        <vt:lpwstr>https://eige.europa.eu/</vt:lpwstr>
      </vt:variant>
      <vt:variant>
        <vt:lpwstr/>
      </vt:variant>
      <vt:variant>
        <vt:i4>2424922</vt:i4>
      </vt:variant>
      <vt:variant>
        <vt:i4>309</vt:i4>
      </vt:variant>
      <vt:variant>
        <vt:i4>0</vt:i4>
      </vt:variant>
      <vt:variant>
        <vt:i4>5</vt:i4>
      </vt:variant>
      <vt:variant>
        <vt:lpwstr>https://european-union.europa.eu/institutions-law-budget/institutions-and-bodies/search-all-eu-institutions-and-bodies/eurofound_en</vt:lpwstr>
      </vt:variant>
      <vt:variant>
        <vt:lpwstr/>
      </vt:variant>
      <vt:variant>
        <vt:i4>1572935</vt:i4>
      </vt:variant>
      <vt:variant>
        <vt:i4>306</vt:i4>
      </vt:variant>
      <vt:variant>
        <vt:i4>0</vt:i4>
      </vt:variant>
      <vt:variant>
        <vt:i4>5</vt:i4>
      </vt:variant>
      <vt:variant>
        <vt:lpwstr>https://fra.europa.eu/en/project/2019/subgroup-equality-data</vt:lpwstr>
      </vt:variant>
      <vt:variant>
        <vt:lpwstr/>
      </vt:variant>
      <vt:variant>
        <vt:i4>65658</vt:i4>
      </vt:variant>
      <vt:variant>
        <vt:i4>303</vt:i4>
      </vt:variant>
      <vt:variant>
        <vt:i4>0</vt:i4>
      </vt:variant>
      <vt:variant>
        <vt:i4>5</vt:i4>
      </vt:variant>
      <vt:variant>
        <vt:lpwstr>https://commission.europa.eu/system/files/2021-01/eu_roma_strategic_framework_for_equality_inclusion_and_participation_for_2020_-_2030_0.pdf</vt:lpwstr>
      </vt:variant>
      <vt:variant>
        <vt:lpwstr/>
      </vt:variant>
      <vt:variant>
        <vt:i4>983058</vt:i4>
      </vt:variant>
      <vt:variant>
        <vt:i4>300</vt:i4>
      </vt:variant>
      <vt:variant>
        <vt:i4>0</vt:i4>
      </vt:variant>
      <vt:variant>
        <vt:i4>5</vt:i4>
      </vt:variant>
      <vt:variant>
        <vt:lpwstr>https://www.unesco.org/en/articles/unesco-launches-global-alliance-racism-and-discriminations-after-4th-edition-global-forum</vt:lpwstr>
      </vt:variant>
      <vt:variant>
        <vt:lpwstr/>
      </vt:variant>
      <vt:variant>
        <vt:i4>2424933</vt:i4>
      </vt:variant>
      <vt:variant>
        <vt:i4>297</vt:i4>
      </vt:variant>
      <vt:variant>
        <vt:i4>0</vt:i4>
      </vt:variant>
      <vt:variant>
        <vt:i4>5</vt:i4>
      </vt:variant>
      <vt:variant>
        <vt:lpwstr>https://www.un.org/en/observances/decade-people-african-descent</vt:lpwstr>
      </vt:variant>
      <vt:variant>
        <vt:lpwstr/>
      </vt:variant>
      <vt:variant>
        <vt:i4>1245185</vt:i4>
      </vt:variant>
      <vt:variant>
        <vt:i4>294</vt:i4>
      </vt:variant>
      <vt:variant>
        <vt:i4>0</vt:i4>
      </vt:variant>
      <vt:variant>
        <vt:i4>5</vt:i4>
      </vt:variant>
      <vt:variant>
        <vt:lpwstr>https://www.ohchr.org/en/special-procedures/sr-racism</vt:lpwstr>
      </vt:variant>
      <vt:variant>
        <vt:lpwstr/>
      </vt:variant>
      <vt:variant>
        <vt:i4>4325452</vt:i4>
      </vt:variant>
      <vt:variant>
        <vt:i4>291</vt:i4>
      </vt:variant>
      <vt:variant>
        <vt:i4>0</vt:i4>
      </vt:variant>
      <vt:variant>
        <vt:i4>5</vt:i4>
      </vt:variant>
      <vt:variant>
        <vt:lpwstr>https://www.echr.coe.int/</vt:lpwstr>
      </vt:variant>
      <vt:variant>
        <vt:lpwstr/>
      </vt:variant>
      <vt:variant>
        <vt:i4>5242944</vt:i4>
      </vt:variant>
      <vt:variant>
        <vt:i4>288</vt:i4>
      </vt:variant>
      <vt:variant>
        <vt:i4>0</vt:i4>
      </vt:variant>
      <vt:variant>
        <vt:i4>5</vt:i4>
      </vt:variant>
      <vt:variant>
        <vt:lpwstr>https://www.coe.int/en/web/portal</vt:lpwstr>
      </vt:variant>
      <vt:variant>
        <vt:lpwstr/>
      </vt:variant>
      <vt:variant>
        <vt:i4>196688</vt:i4>
      </vt:variant>
      <vt:variant>
        <vt:i4>285</vt:i4>
      </vt:variant>
      <vt:variant>
        <vt:i4>0</vt:i4>
      </vt:variant>
      <vt:variant>
        <vt:i4>5</vt:i4>
      </vt:variant>
      <vt:variant>
        <vt:lpwstr>https://www.ohchr.org/en/instruments-mechanisms/instruments/international-convention-elimination-all-forms-racial</vt:lpwstr>
      </vt:variant>
      <vt:variant>
        <vt:lpwstr/>
      </vt:variant>
      <vt:variant>
        <vt:i4>8192094</vt:i4>
      </vt:variant>
      <vt:variant>
        <vt:i4>282</vt:i4>
      </vt:variant>
      <vt:variant>
        <vt:i4>0</vt:i4>
      </vt:variant>
      <vt:variant>
        <vt:i4>5</vt:i4>
      </vt:variant>
      <vt:variant>
        <vt:lpwstr>https://commission.europa.eu/strategy-and-policy/policies/justice-and-fundamental-rights/combatting-discrimination/racism-and-xenophobia/consultation-process_en</vt:lpwstr>
      </vt:variant>
      <vt:variant>
        <vt:lpwstr/>
      </vt:variant>
      <vt:variant>
        <vt:i4>2490445</vt:i4>
      </vt:variant>
      <vt:variant>
        <vt:i4>279</vt:i4>
      </vt:variant>
      <vt:variant>
        <vt:i4>0</vt:i4>
      </vt:variant>
      <vt:variant>
        <vt:i4>5</vt:i4>
      </vt:variant>
      <vt:variant>
        <vt:lpwstr>https://commission.europa.eu/system/files/2022-05/common_guiding_principles_for_national_action_plans_against_racism_and_racial_discrimination.pdf</vt:lpwstr>
      </vt:variant>
      <vt:variant>
        <vt:lpwstr/>
      </vt:variant>
      <vt:variant>
        <vt:i4>7405649</vt:i4>
      </vt:variant>
      <vt:variant>
        <vt:i4>276</vt:i4>
      </vt:variant>
      <vt:variant>
        <vt:i4>0</vt:i4>
      </vt:variant>
      <vt:variant>
        <vt:i4>5</vt:i4>
      </vt:variant>
      <vt:variant>
        <vt:lpwstr>https://commission.europa.eu/strategy-and-policy/policies/justice-and-fundamental-rights/combatting-discrimination/racism-and-xenophobia/combating-anti-muslim-hatred_en</vt:lpwstr>
      </vt:variant>
      <vt:variant>
        <vt:lpwstr/>
      </vt:variant>
      <vt:variant>
        <vt:i4>7471119</vt:i4>
      </vt:variant>
      <vt:variant>
        <vt:i4>273</vt:i4>
      </vt:variant>
      <vt:variant>
        <vt:i4>0</vt:i4>
      </vt:variant>
      <vt:variant>
        <vt:i4>5</vt:i4>
      </vt:variant>
      <vt:variant>
        <vt:lpwstr>https://commission.europa.eu/strategy-and-policy/policies/justice-and-fundamental-rights/combatting-discrimination/racism-and-xenophobia/commissions-coordinator-combating-racism_en</vt:lpwstr>
      </vt:variant>
      <vt:variant>
        <vt:lpwstr>:~:text=In%20addition%2C%20the%20coordinator%20joins,ever%20nominated%20Coordinator%20(2021).</vt:lpwstr>
      </vt:variant>
      <vt:variant>
        <vt:i4>3473426</vt:i4>
      </vt:variant>
      <vt:variant>
        <vt:i4>267</vt:i4>
      </vt:variant>
      <vt:variant>
        <vt:i4>0</vt:i4>
      </vt:variant>
      <vt:variant>
        <vt:i4>5</vt:i4>
      </vt:variant>
      <vt:variant>
        <vt:lpwstr>https://ec.europa.eu/info/law/better-regulation/have-your-say/initiatives/14552-Anti-racism-Strategy_en</vt:lpwstr>
      </vt:variant>
      <vt:variant>
        <vt:lpwstr/>
      </vt:variant>
      <vt:variant>
        <vt:i4>5570623</vt:i4>
      </vt:variant>
      <vt:variant>
        <vt:i4>264</vt:i4>
      </vt:variant>
      <vt:variant>
        <vt:i4>0</vt:i4>
      </vt:variant>
      <vt:variant>
        <vt:i4>5</vt:i4>
      </vt:variant>
      <vt:variant>
        <vt:lpwstr>https://commission.europa.eu/document/download/4968fa88-5350-48d9-bf36-abd3c0142aa8_en?filename=Report%20Antiracism.pdf</vt:lpwstr>
      </vt:variant>
      <vt:variant>
        <vt:lpwstr/>
      </vt:variant>
      <vt:variant>
        <vt:i4>5177352</vt:i4>
      </vt:variant>
      <vt:variant>
        <vt:i4>261</vt:i4>
      </vt:variant>
      <vt:variant>
        <vt:i4>0</vt:i4>
      </vt:variant>
      <vt:variant>
        <vt:i4>5</vt:i4>
      </vt:variant>
      <vt:variant>
        <vt:lpwstr>https://ec.europa.eu/regional_policy/policy/what/glossary/enabling-conditions_en</vt:lpwstr>
      </vt:variant>
      <vt:variant>
        <vt:lpwstr/>
      </vt:variant>
      <vt:variant>
        <vt:i4>983083</vt:i4>
      </vt:variant>
      <vt:variant>
        <vt:i4>258</vt:i4>
      </vt:variant>
      <vt:variant>
        <vt:i4>0</vt:i4>
      </vt:variant>
      <vt:variant>
        <vt:i4>5</vt:i4>
      </vt:variant>
      <vt:variant>
        <vt:lpwstr>https://commission.europa.eu/topics/budget/eu-budget-2028-2034-explained/investing-people-member-states-and-regions_en</vt:lpwstr>
      </vt:variant>
      <vt:variant>
        <vt:lpwstr/>
      </vt:variant>
      <vt:variant>
        <vt:i4>8061035</vt:i4>
      </vt:variant>
      <vt:variant>
        <vt:i4>255</vt:i4>
      </vt:variant>
      <vt:variant>
        <vt:i4>0</vt:i4>
      </vt:variant>
      <vt:variant>
        <vt:i4>5</vt:i4>
      </vt:variant>
      <vt:variant>
        <vt:lpwstr>https://eur-lex.europa.eu/eli/reg/2024/2509/oj/eng</vt:lpwstr>
      </vt:variant>
      <vt:variant>
        <vt:lpwstr/>
      </vt:variant>
      <vt:variant>
        <vt:i4>458877</vt:i4>
      </vt:variant>
      <vt:variant>
        <vt:i4>252</vt:i4>
      </vt:variant>
      <vt:variant>
        <vt:i4>0</vt:i4>
      </vt:variant>
      <vt:variant>
        <vt:i4>5</vt:i4>
      </vt:variant>
      <vt:variant>
        <vt:lpwstr>https://commission.europa.eu/funding-tenders/find-funding/funding-management-mode/common-provisions-regulation_en</vt:lpwstr>
      </vt:variant>
      <vt:variant>
        <vt:lpwstr/>
      </vt:variant>
      <vt:variant>
        <vt:i4>5177352</vt:i4>
      </vt:variant>
      <vt:variant>
        <vt:i4>249</vt:i4>
      </vt:variant>
      <vt:variant>
        <vt:i4>0</vt:i4>
      </vt:variant>
      <vt:variant>
        <vt:i4>5</vt:i4>
      </vt:variant>
      <vt:variant>
        <vt:lpwstr>https://ec.europa.eu/regional_policy/policy/what/glossary/enabling-conditions_en</vt:lpwstr>
      </vt:variant>
      <vt:variant>
        <vt:lpwstr/>
      </vt:variant>
      <vt:variant>
        <vt:i4>3866625</vt:i4>
      </vt:variant>
      <vt:variant>
        <vt:i4>246</vt:i4>
      </vt:variant>
      <vt:variant>
        <vt:i4>0</vt:i4>
      </vt:variant>
      <vt:variant>
        <vt:i4>5</vt:i4>
      </vt:variant>
      <vt:variant>
        <vt:lpwstr>https://www.google.com/search?client=safari&amp;cs=0&amp;sca_esv=5187336602293079&amp;sxsrf=AE3TifO7u2ws-s-axKVJP7yuUI1WxQw9UA%3A1761316588389&amp;q=Citizens%2C+Equality%2C+Rights+and+Values+%28CERV%29+Programme&amp;sa=X&amp;ved=2ahUKEwjyoYDLh72QAxXi4wIHHYbGJf0QxccNegQIAxAC&amp;mstk=AUtExfDQ-WoerNc9AtexZkuk0C8h7_5X9w0sbioJWqehlC5jzw6BqvHCYshYLTYgGQT8z9pjV666c6FJG8_Yqr7Qvz3LJlEaHgCPfZrejanWEhgeTUFiwnFbDzrd9DDvLDUCNbq4Mp8oOzQ2j0kichCLSXMbdtiNAk1oNntom1IYDOs7sII&amp;csui=3</vt:lpwstr>
      </vt:variant>
      <vt:variant>
        <vt:lpwstr/>
      </vt:variant>
      <vt:variant>
        <vt:i4>2555927</vt:i4>
      </vt:variant>
      <vt:variant>
        <vt:i4>243</vt:i4>
      </vt:variant>
      <vt:variant>
        <vt:i4>0</vt:i4>
      </vt:variant>
      <vt:variant>
        <vt:i4>5</vt:i4>
      </vt:variant>
      <vt:variant>
        <vt:lpwstr>https://www.google.com/search?client=safari&amp;cs=0&amp;sca_esv=5187336602293079&amp;sxsrf=AE3TifO7u2ws-s-axKVJP7yuUI1WxQw9UA%3A1761316588389&amp;q=Recovery+and+Resilience+Facility&amp;sa=X&amp;ved=2ahUKEwjyoYDLh72QAxXi4wIHHYbGJf0QxccNegQIAxAB&amp;mstk=AUtExfDQ-WoerNc9AtexZkuk0C8h7_5X9w0sbioJWqehlC5jzw6BqvHCYshYLTYgGQT8z9pjV666c6FJG8_Yqr7Qvz3LJlEaHgCPfZrejanWEhgeTUFiwnFbDzrd9DDvLDUCNbq4Mp8oOzQ2j0kichCLSXMbdtiNAk1oNntom1IYDOs7sII&amp;csui=3</vt:lpwstr>
      </vt:variant>
      <vt:variant>
        <vt:lpwstr/>
      </vt:variant>
      <vt:variant>
        <vt:i4>2621513</vt:i4>
      </vt:variant>
      <vt:variant>
        <vt:i4>240</vt:i4>
      </vt:variant>
      <vt:variant>
        <vt:i4>0</vt:i4>
      </vt:variant>
      <vt:variant>
        <vt:i4>5</vt:i4>
      </vt:variant>
      <vt:variant>
        <vt:lpwstr>https://commission.europa.eu/publications/agoraeu_en</vt:lpwstr>
      </vt:variant>
      <vt:variant>
        <vt:lpwstr/>
      </vt:variant>
      <vt:variant>
        <vt:i4>1900598</vt:i4>
      </vt:variant>
      <vt:variant>
        <vt:i4>237</vt:i4>
      </vt:variant>
      <vt:variant>
        <vt:i4>0</vt:i4>
      </vt:variant>
      <vt:variant>
        <vt:i4>5</vt:i4>
      </vt:variant>
      <vt:variant>
        <vt:lpwstr>https://commission.europa.eu/strategy-and-policy/eu-budget/long-term-eu-budget/eu-budget-2028-2034_en</vt:lpwstr>
      </vt:variant>
      <vt:variant>
        <vt:lpwstr/>
      </vt:variant>
      <vt:variant>
        <vt:i4>3866625</vt:i4>
      </vt:variant>
      <vt:variant>
        <vt:i4>234</vt:i4>
      </vt:variant>
      <vt:variant>
        <vt:i4>0</vt:i4>
      </vt:variant>
      <vt:variant>
        <vt:i4>5</vt:i4>
      </vt:variant>
      <vt:variant>
        <vt:lpwstr>https://www.google.com/search?client=safari&amp;cs=0&amp;sca_esv=5187336602293079&amp;sxsrf=AE3TifO7u2ws-s-axKVJP7yuUI1WxQw9UA%3A1761316588389&amp;q=Citizens%2C+Equality%2C+Rights+and+Values+%28CERV%29+Programme&amp;sa=X&amp;ved=2ahUKEwjyoYDLh72QAxXi4wIHHYbGJf0QxccNegQIAxAC&amp;mstk=AUtExfDQ-WoerNc9AtexZkuk0C8h7_5X9w0sbioJWqehlC5jzw6BqvHCYshYLTYgGQT8z9pjV666c6FJG8_Yqr7Qvz3LJlEaHgCPfZrejanWEhgeTUFiwnFbDzrd9DDvLDUCNbq4Mp8oOzQ2j0kichCLSXMbdtiNAk1oNntom1IYDOs7sII&amp;csui=3</vt:lpwstr>
      </vt:variant>
      <vt:variant>
        <vt:lpwstr/>
      </vt:variant>
      <vt:variant>
        <vt:i4>2555927</vt:i4>
      </vt:variant>
      <vt:variant>
        <vt:i4>231</vt:i4>
      </vt:variant>
      <vt:variant>
        <vt:i4>0</vt:i4>
      </vt:variant>
      <vt:variant>
        <vt:i4>5</vt:i4>
      </vt:variant>
      <vt:variant>
        <vt:lpwstr>https://www.google.com/search?client=safari&amp;cs=0&amp;sca_esv=5187336602293079&amp;sxsrf=AE3TifO7u2ws-s-axKVJP7yuUI1WxQw9UA%3A1761316588389&amp;q=Recovery+and+Resilience+Facility&amp;sa=X&amp;ved=2ahUKEwjyoYDLh72QAxXi4wIHHYbGJf0QxccNegQIAxAB&amp;mstk=AUtExfDQ-WoerNc9AtexZkuk0C8h7_5X9w0sbioJWqehlC5jzw6BqvHCYshYLTYgGQT8z9pjV666c6FJG8_Yqr7Qvz3LJlEaHgCPfZrejanWEhgeTUFiwnFbDzrd9DDvLDUCNbq4Mp8oOzQ2j0kichCLSXMbdtiNAk1oNntom1IYDOs7sII&amp;csui=3</vt:lpwstr>
      </vt:variant>
      <vt:variant>
        <vt:lpwstr/>
      </vt:variant>
      <vt:variant>
        <vt:i4>2031676</vt:i4>
      </vt:variant>
      <vt:variant>
        <vt:i4>216</vt:i4>
      </vt:variant>
      <vt:variant>
        <vt:i4>0</vt:i4>
      </vt:variant>
      <vt:variant>
        <vt:i4>5</vt:i4>
      </vt:variant>
      <vt:variant>
        <vt:lpwstr>https://commission.europa.eu/strategy-and-policy/policies/justice-and-fundamental-rights/combatting-discrimination/tackling-discrimination/diversity-and-inclusion-initiatives/european-diversity-month_en</vt:lpwstr>
      </vt:variant>
      <vt:variant>
        <vt:lpwstr/>
      </vt:variant>
      <vt:variant>
        <vt:i4>3014665</vt:i4>
      </vt:variant>
      <vt:variant>
        <vt:i4>213</vt:i4>
      </vt:variant>
      <vt:variant>
        <vt:i4>0</vt:i4>
      </vt:variant>
      <vt:variant>
        <vt:i4>5</vt:i4>
      </vt:variant>
      <vt:variant>
        <vt:lpwstr>https://eu-diversity-inclusion.campaign.europa.eu/european-capitals-inclusion-and-diversity-award_en</vt:lpwstr>
      </vt:variant>
      <vt:variant>
        <vt:lpwstr/>
      </vt:variant>
      <vt:variant>
        <vt:i4>3014680</vt:i4>
      </vt:variant>
      <vt:variant>
        <vt:i4>210</vt:i4>
      </vt:variant>
      <vt:variant>
        <vt:i4>0</vt:i4>
      </vt:variant>
      <vt:variant>
        <vt:i4>5</vt:i4>
      </vt:variant>
      <vt:variant>
        <vt:lpwstr>https://employment-social-affairs.ec.europa.eu/policies-and-activities/european-pillar-social-rights-building-fairer-and-more-inclusive-european-union/european-pillar-social-rights-action-plan_en</vt:lpwstr>
      </vt:variant>
      <vt:variant>
        <vt:lpwstr/>
      </vt:variant>
      <vt:variant>
        <vt:i4>5701648</vt:i4>
      </vt:variant>
      <vt:variant>
        <vt:i4>207</vt:i4>
      </vt:variant>
      <vt:variant>
        <vt:i4>0</vt:i4>
      </vt:variant>
      <vt:variant>
        <vt:i4>5</vt:i4>
      </vt:variant>
      <vt:variant>
        <vt:lpwstr>https://eur-lex.europa.eu/legal-content/EN/TXT/?uri=oj:JOC_2023_041_R_0001</vt:lpwstr>
      </vt:variant>
      <vt:variant>
        <vt:lpwstr/>
      </vt:variant>
      <vt:variant>
        <vt:i4>8323181</vt:i4>
      </vt:variant>
      <vt:variant>
        <vt:i4>204</vt:i4>
      </vt:variant>
      <vt:variant>
        <vt:i4>0</vt:i4>
      </vt:variant>
      <vt:variant>
        <vt:i4>5</vt:i4>
      </vt:variant>
      <vt:variant>
        <vt:lpwstr>https://eur-lex.europa.eu/eli/reco/2021/1004/oj/eng</vt:lpwstr>
      </vt:variant>
      <vt:variant>
        <vt:lpwstr/>
      </vt:variant>
      <vt:variant>
        <vt:i4>7208975</vt:i4>
      </vt:variant>
      <vt:variant>
        <vt:i4>201</vt:i4>
      </vt:variant>
      <vt:variant>
        <vt:i4>0</vt:i4>
      </vt:variant>
      <vt:variant>
        <vt:i4>5</vt:i4>
      </vt:variant>
      <vt:variant>
        <vt:lpwstr>https://ec.europa.eu/info/law/better-regulation/have-your-say/initiatives/14683-EU-Anti-Poverty-Strategy_en</vt:lpwstr>
      </vt:variant>
      <vt:variant>
        <vt:lpwstr/>
      </vt:variant>
      <vt:variant>
        <vt:i4>7602269</vt:i4>
      </vt:variant>
      <vt:variant>
        <vt:i4>198</vt:i4>
      </vt:variant>
      <vt:variant>
        <vt:i4>0</vt:i4>
      </vt:variant>
      <vt:variant>
        <vt:i4>5</vt:i4>
      </vt:variant>
      <vt:variant>
        <vt:lpwstr>https://health.ec.europa.eu/funding/eu4health-programme-2021-2027-vision-healthier-european-union_en</vt:lpwstr>
      </vt:variant>
      <vt:variant>
        <vt:lpwstr/>
      </vt:variant>
      <vt:variant>
        <vt:i4>6225983</vt:i4>
      </vt:variant>
      <vt:variant>
        <vt:i4>195</vt:i4>
      </vt:variant>
      <vt:variant>
        <vt:i4>0</vt:i4>
      </vt:variant>
      <vt:variant>
        <vt:i4>5</vt:i4>
      </vt:variant>
      <vt:variant>
        <vt:lpwstr>https://single-market-economy.ec.europa.eu/sectors/proximity-and-social-economy/social-economy-eu/affordable-housing-initiative_en</vt:lpwstr>
      </vt:variant>
      <vt:variant>
        <vt:lpwstr/>
      </vt:variant>
      <vt:variant>
        <vt:i4>5898303</vt:i4>
      </vt:variant>
      <vt:variant>
        <vt:i4>192</vt:i4>
      </vt:variant>
      <vt:variant>
        <vt:i4>0</vt:i4>
      </vt:variant>
      <vt:variant>
        <vt:i4>5</vt:i4>
      </vt:variant>
      <vt:variant>
        <vt:lpwstr>https://commission.europa.eu/funding-tenders/find-funding/eu-funding-programmes/european-regional-development-fund-erdf_en</vt:lpwstr>
      </vt:variant>
      <vt:variant>
        <vt:lpwstr/>
      </vt:variant>
      <vt:variant>
        <vt:i4>131105</vt:i4>
      </vt:variant>
      <vt:variant>
        <vt:i4>189</vt:i4>
      </vt:variant>
      <vt:variant>
        <vt:i4>0</vt:i4>
      </vt:variant>
      <vt:variant>
        <vt:i4>5</vt:i4>
      </vt:variant>
      <vt:variant>
        <vt:lpwstr>https://commission.europa.eu/eu-regional-and-urban-development/topics/cities-and-urban-development/urban-agenda-eu_en</vt:lpwstr>
      </vt:variant>
      <vt:variant>
        <vt:lpwstr/>
      </vt:variant>
      <vt:variant>
        <vt:i4>3539029</vt:i4>
      </vt:variant>
      <vt:variant>
        <vt:i4>186</vt:i4>
      </vt:variant>
      <vt:variant>
        <vt:i4>0</vt:i4>
      </vt:variant>
      <vt:variant>
        <vt:i4>5</vt:i4>
      </vt:variant>
      <vt:variant>
        <vt:lpwstr>https://employment-social-affairs.ec.europa.eu/policies-and-activities/funding/european-social-fund-plus-esf_en</vt:lpwstr>
      </vt:variant>
      <vt:variant>
        <vt:lpwstr/>
      </vt:variant>
      <vt:variant>
        <vt:i4>3014680</vt:i4>
      </vt:variant>
      <vt:variant>
        <vt:i4>183</vt:i4>
      </vt:variant>
      <vt:variant>
        <vt:i4>0</vt:i4>
      </vt:variant>
      <vt:variant>
        <vt:i4>5</vt:i4>
      </vt:variant>
      <vt:variant>
        <vt:lpwstr>https://employment-social-affairs.ec.europa.eu/policies-and-activities/european-pillar-social-rights-building-fairer-and-more-inclusive-european-union/european-pillar-social-rights-action-plan_en</vt:lpwstr>
      </vt:variant>
      <vt:variant>
        <vt:lpwstr/>
      </vt:variant>
      <vt:variant>
        <vt:i4>4849748</vt:i4>
      </vt:variant>
      <vt:variant>
        <vt:i4>180</vt:i4>
      </vt:variant>
      <vt:variant>
        <vt:i4>0</vt:i4>
      </vt:variant>
      <vt:variant>
        <vt:i4>5</vt:i4>
      </vt:variant>
      <vt:variant>
        <vt:lpwstr>https://ec.europa.eu/commission/presscorner/detail/en/ip_25_657</vt:lpwstr>
      </vt:variant>
      <vt:variant>
        <vt:lpwstr/>
      </vt:variant>
      <vt:variant>
        <vt:i4>4784239</vt:i4>
      </vt:variant>
      <vt:variant>
        <vt:i4>177</vt:i4>
      </vt:variant>
      <vt:variant>
        <vt:i4>0</vt:i4>
      </vt:variant>
      <vt:variant>
        <vt:i4>5</vt:i4>
      </vt:variant>
      <vt:variant>
        <vt:lpwstr>https://research-and-innovation.ec.europa.eu/funding/funding-opportunities/funding-programmes-and-open-calls/horizon-europe_en</vt:lpwstr>
      </vt:variant>
      <vt:variant>
        <vt:lpwstr/>
      </vt:variant>
      <vt:variant>
        <vt:i4>4718666</vt:i4>
      </vt:variant>
      <vt:variant>
        <vt:i4>174</vt:i4>
      </vt:variant>
      <vt:variant>
        <vt:i4>0</vt:i4>
      </vt:variant>
      <vt:variant>
        <vt:i4>5</vt:i4>
      </vt:variant>
      <vt:variant>
        <vt:lpwstr>https://erasmus-plus.ec.europa.eu/de</vt:lpwstr>
      </vt:variant>
      <vt:variant>
        <vt:lpwstr/>
      </vt:variant>
      <vt:variant>
        <vt:i4>8126563</vt:i4>
      </vt:variant>
      <vt:variant>
        <vt:i4>171</vt:i4>
      </vt:variant>
      <vt:variant>
        <vt:i4>0</vt:i4>
      </vt:variant>
      <vt:variant>
        <vt:i4>5</vt:i4>
      </vt:variant>
      <vt:variant>
        <vt:lpwstr>https://education.ec.europa.eu/</vt:lpwstr>
      </vt:variant>
      <vt:variant>
        <vt:lpwstr/>
      </vt:variant>
      <vt:variant>
        <vt:i4>7340154</vt:i4>
      </vt:variant>
      <vt:variant>
        <vt:i4>168</vt:i4>
      </vt:variant>
      <vt:variant>
        <vt:i4>0</vt:i4>
      </vt:variant>
      <vt:variant>
        <vt:i4>5</vt:i4>
      </vt:variant>
      <vt:variant>
        <vt:lpwstr>https://www.coe.int/en/web/istanbul-convention/about-the-convention</vt:lpwstr>
      </vt:variant>
      <vt:variant>
        <vt:lpwstr/>
      </vt:variant>
      <vt:variant>
        <vt:i4>8126562</vt:i4>
      </vt:variant>
      <vt:variant>
        <vt:i4>165</vt:i4>
      </vt:variant>
      <vt:variant>
        <vt:i4>0</vt:i4>
      </vt:variant>
      <vt:variant>
        <vt:i4>5</vt:i4>
      </vt:variant>
      <vt:variant>
        <vt:lpwstr>https://eur-lex.europa.eu/eli/dir/2024/1385/oj/eng</vt:lpwstr>
      </vt:variant>
      <vt:variant>
        <vt:lpwstr/>
      </vt:variant>
      <vt:variant>
        <vt:i4>3276809</vt:i4>
      </vt:variant>
      <vt:variant>
        <vt:i4>159</vt:i4>
      </vt:variant>
      <vt:variant>
        <vt:i4>0</vt:i4>
      </vt:variant>
      <vt:variant>
        <vt:i4>5</vt:i4>
      </vt:variant>
      <vt:variant>
        <vt:lpwstr>https://commission.europa.eu/strategy-and-policy/priorities-2019-2024/europe-fit-digital-age/digital-services-act_en</vt:lpwstr>
      </vt:variant>
      <vt:variant>
        <vt:lpwstr/>
      </vt:variant>
      <vt:variant>
        <vt:i4>1507364</vt:i4>
      </vt:variant>
      <vt:variant>
        <vt:i4>156</vt:i4>
      </vt:variant>
      <vt:variant>
        <vt:i4>0</vt:i4>
      </vt:variant>
      <vt:variant>
        <vt:i4>5</vt:i4>
      </vt:variant>
      <vt:variant>
        <vt:lpwstr>https://commission.europa.eu/strategy-and-policy/policies/justice-and-fundamental-rights/combatting-discrimination/racism-and-xenophobia/eu-code-conduct-countering-illegal-hate-speech-online_en</vt:lpwstr>
      </vt:variant>
      <vt:variant>
        <vt:lpwstr/>
      </vt:variant>
      <vt:variant>
        <vt:i4>1441811</vt:i4>
      </vt:variant>
      <vt:variant>
        <vt:i4>150</vt:i4>
      </vt:variant>
      <vt:variant>
        <vt:i4>0</vt:i4>
      </vt:variant>
      <vt:variant>
        <vt:i4>5</vt:i4>
      </vt:variant>
      <vt:variant>
        <vt:lpwstr>https://eur-lex.europa.eu/legal-content/EN/TXT/?uri=celex:52023PC0424</vt:lpwstr>
      </vt:variant>
      <vt:variant>
        <vt:lpwstr/>
      </vt:variant>
      <vt:variant>
        <vt:i4>2949145</vt:i4>
      </vt:variant>
      <vt:variant>
        <vt:i4>147</vt:i4>
      </vt:variant>
      <vt:variant>
        <vt:i4>0</vt:i4>
      </vt:variant>
      <vt:variant>
        <vt:i4>5</vt:i4>
      </vt:variant>
      <vt:variant>
        <vt:lpwstr>https://commission.europa.eu/strategy-and-policy/policies/justice-and-fundamental-rights/criminal-justice/protecting-victims-rights/eu-strategy-victims-rights-2020-2025_en</vt:lpwstr>
      </vt:variant>
      <vt:variant>
        <vt:lpwstr/>
      </vt:variant>
      <vt:variant>
        <vt:i4>8257559</vt:i4>
      </vt:variant>
      <vt:variant>
        <vt:i4>144</vt:i4>
      </vt:variant>
      <vt:variant>
        <vt:i4>0</vt:i4>
      </vt:variant>
      <vt:variant>
        <vt:i4>5</vt:i4>
      </vt:variant>
      <vt:variant>
        <vt:lpwstr>https://commission.europa.eu/strategy-and-policy/policies/justice-and-fundamental-rights/criminal-justice/protecting-victims-rights/victims-rights-eu_en</vt:lpwstr>
      </vt:variant>
      <vt:variant>
        <vt:lpwstr/>
      </vt:variant>
      <vt:variant>
        <vt:i4>8060983</vt:i4>
      </vt:variant>
      <vt:variant>
        <vt:i4>141</vt:i4>
      </vt:variant>
      <vt:variant>
        <vt:i4>0</vt:i4>
      </vt:variant>
      <vt:variant>
        <vt:i4>5</vt:i4>
      </vt:variant>
      <vt:variant>
        <vt:lpwstr>https://ec.europa.eu/transparency/expert-groups-register/screen/expert-groups/consult?lang=en&amp;groupID=3425</vt:lpwstr>
      </vt:variant>
      <vt:variant>
        <vt:lpwstr/>
      </vt:variant>
      <vt:variant>
        <vt:i4>6488106</vt:i4>
      </vt:variant>
      <vt:variant>
        <vt:i4>138</vt:i4>
      </vt:variant>
      <vt:variant>
        <vt:i4>0</vt:i4>
      </vt:variant>
      <vt:variant>
        <vt:i4>5</vt:i4>
      </vt:variant>
      <vt:variant>
        <vt:lpwstr>https://commission.europa.eu/document/download/beb25da4-e6b9-459e-89f7-bcdbd3a8f0c8_en?filename=a_union_of_equality_eu_action_plan_against_racism_2020_-2025_en.pdf</vt:lpwstr>
      </vt:variant>
      <vt:variant>
        <vt:lpwstr/>
      </vt:variant>
      <vt:variant>
        <vt:i4>5636152</vt:i4>
      </vt:variant>
      <vt:variant>
        <vt:i4>135</vt:i4>
      </vt:variant>
      <vt:variant>
        <vt:i4>0</vt:i4>
      </vt:variant>
      <vt:variant>
        <vt:i4>5</vt:i4>
      </vt:variant>
      <vt:variant>
        <vt:lpwstr>https://eur-lex.europa.eu/eli/dec_framw/2008/913/oj/eng</vt:lpwstr>
      </vt:variant>
      <vt:variant>
        <vt:lpwstr/>
      </vt:variant>
      <vt:variant>
        <vt:i4>196628</vt:i4>
      </vt:variant>
      <vt:variant>
        <vt:i4>132</vt:i4>
      </vt:variant>
      <vt:variant>
        <vt:i4>0</vt:i4>
      </vt:variant>
      <vt:variant>
        <vt:i4>5</vt:i4>
      </vt:variant>
      <vt:variant>
        <vt:lpwstr>https://eur-lex.europa.eu/legal-content/EN/TXT/?uri=celex:52021DC0139</vt:lpwstr>
      </vt:variant>
      <vt:variant>
        <vt:lpwstr/>
      </vt:variant>
      <vt:variant>
        <vt:i4>4390999</vt:i4>
      </vt:variant>
      <vt:variant>
        <vt:i4>129</vt:i4>
      </vt:variant>
      <vt:variant>
        <vt:i4>0</vt:i4>
      </vt:variant>
      <vt:variant>
        <vt:i4>5</vt:i4>
      </vt:variant>
      <vt:variant>
        <vt:lpwstr>https://eur-lex.europa.eu/EN/legal-content/summary/standards-for-equality-bodies-in-the-field-of-equal-treatment-and-equal-opportunities.html</vt:lpwstr>
      </vt:variant>
      <vt:variant>
        <vt:lpwstr/>
      </vt:variant>
      <vt:variant>
        <vt:i4>4259966</vt:i4>
      </vt:variant>
      <vt:variant>
        <vt:i4>111</vt:i4>
      </vt:variant>
      <vt:variant>
        <vt:i4>0</vt:i4>
      </vt:variant>
      <vt:variant>
        <vt:i4>5</vt:i4>
      </vt:variant>
      <vt:variant>
        <vt:lpwstr>https://fra.europa.eu/sites/default/files/fra_uploads/fra-2023-being-black_in_the_eu_en.pdf</vt:lpwstr>
      </vt:variant>
      <vt:variant>
        <vt:lpwstr/>
      </vt:variant>
      <vt:variant>
        <vt:i4>4849748</vt:i4>
      </vt:variant>
      <vt:variant>
        <vt:i4>108</vt:i4>
      </vt:variant>
      <vt:variant>
        <vt:i4>0</vt:i4>
      </vt:variant>
      <vt:variant>
        <vt:i4>5</vt:i4>
      </vt:variant>
      <vt:variant>
        <vt:lpwstr>https://marie-sklodowska-curie-actions.ec.europa.eu/</vt:lpwstr>
      </vt:variant>
      <vt:variant>
        <vt:lpwstr/>
      </vt:variant>
      <vt:variant>
        <vt:i4>4784239</vt:i4>
      </vt:variant>
      <vt:variant>
        <vt:i4>105</vt:i4>
      </vt:variant>
      <vt:variant>
        <vt:i4>0</vt:i4>
      </vt:variant>
      <vt:variant>
        <vt:i4>5</vt:i4>
      </vt:variant>
      <vt:variant>
        <vt:lpwstr>https://research-and-innovation.ec.europa.eu/funding/funding-opportunities/funding-programmes-and-open-calls/horizon-europe_en</vt:lpwstr>
      </vt:variant>
      <vt:variant>
        <vt:lpwstr/>
      </vt:variant>
      <vt:variant>
        <vt:i4>5177417</vt:i4>
      </vt:variant>
      <vt:variant>
        <vt:i4>102</vt:i4>
      </vt:variant>
      <vt:variant>
        <vt:i4>0</vt:i4>
      </vt:variant>
      <vt:variant>
        <vt:i4>5</vt:i4>
      </vt:variant>
      <vt:variant>
        <vt:lpwstr>https://fra.europa.eu/sites/default/files/fra_uploads/fra-2024-addressing-racism-in-policing_en.pdf</vt:lpwstr>
      </vt:variant>
      <vt:variant>
        <vt:lpwstr/>
      </vt:variant>
      <vt:variant>
        <vt:i4>20</vt:i4>
      </vt:variant>
      <vt:variant>
        <vt:i4>99</vt:i4>
      </vt:variant>
      <vt:variant>
        <vt:i4>0</vt:i4>
      </vt:variant>
      <vt:variant>
        <vt:i4>5</vt:i4>
      </vt:variant>
      <vt:variant>
        <vt:lpwstr>https://www.eccar.info/en</vt:lpwstr>
      </vt:variant>
      <vt:variant>
        <vt:lpwstr/>
      </vt:variant>
      <vt:variant>
        <vt:i4>6881357</vt:i4>
      </vt:variant>
      <vt:variant>
        <vt:i4>96</vt:i4>
      </vt:variant>
      <vt:variant>
        <vt:i4>0</vt:i4>
      </vt:variant>
      <vt:variant>
        <vt:i4>5</vt:i4>
      </vt:variant>
      <vt:variant>
        <vt:lpwstr>https://eu-diversity-inclusion.campaign.europa.eu/eu-platform-diversity-charters_en</vt:lpwstr>
      </vt:variant>
      <vt:variant>
        <vt:lpwstr/>
      </vt:variant>
      <vt:variant>
        <vt:i4>7471125</vt:i4>
      </vt:variant>
      <vt:variant>
        <vt:i4>93</vt:i4>
      </vt:variant>
      <vt:variant>
        <vt:i4>0</vt:i4>
      </vt:variant>
      <vt:variant>
        <vt:i4>5</vt:i4>
      </vt:variant>
      <vt:variant>
        <vt:lpwstr>https://commission.europa.eu/news-and-media/news/holocaust-remembrance-european-commission-and-polish-presidency-host-international-conference-and-2025-01-20_en</vt:lpwstr>
      </vt:variant>
      <vt:variant>
        <vt:lpwstr/>
      </vt:variant>
      <vt:variant>
        <vt:i4>1114185</vt:i4>
      </vt:variant>
      <vt:variant>
        <vt:i4>90</vt:i4>
      </vt:variant>
      <vt:variant>
        <vt:i4>0</vt:i4>
      </vt:variant>
      <vt:variant>
        <vt:i4>5</vt:i4>
      </vt:variant>
      <vt:variant>
        <vt:lpwstr>https://eur-lex.europa.eu/legal-content/EN/TXT/PDF/?uri=CELEX:52015IP0095</vt:lpwstr>
      </vt:variant>
      <vt:variant>
        <vt:lpwstr/>
      </vt:variant>
      <vt:variant>
        <vt:i4>262179</vt:i4>
      </vt:variant>
      <vt:variant>
        <vt:i4>87</vt:i4>
      </vt:variant>
      <vt:variant>
        <vt:i4>0</vt:i4>
      </vt:variant>
      <vt:variant>
        <vt:i4>5</vt:i4>
      </vt:variant>
      <vt:variant>
        <vt:lpwstr>https://www.europarl.europa.eu/doceo/document/TA-9-2020-0173_EN.html</vt:lpwstr>
      </vt:variant>
      <vt:variant>
        <vt:lpwstr/>
      </vt:variant>
      <vt:variant>
        <vt:i4>655384</vt:i4>
      </vt:variant>
      <vt:variant>
        <vt:i4>84</vt:i4>
      </vt:variant>
      <vt:variant>
        <vt:i4>0</vt:i4>
      </vt:variant>
      <vt:variant>
        <vt:i4>5</vt:i4>
      </vt:variant>
      <vt:variant>
        <vt:lpwstr>https://www.un.org/en/observances/end-racism-day</vt:lpwstr>
      </vt:variant>
      <vt:variant>
        <vt:lpwstr/>
      </vt:variant>
      <vt:variant>
        <vt:i4>4390999</vt:i4>
      </vt:variant>
      <vt:variant>
        <vt:i4>81</vt:i4>
      </vt:variant>
      <vt:variant>
        <vt:i4>0</vt:i4>
      </vt:variant>
      <vt:variant>
        <vt:i4>5</vt:i4>
      </vt:variant>
      <vt:variant>
        <vt:lpwstr>https://eur-lex.europa.eu/EN/legal-content/summary/standards-for-equality-bodies-in-the-field-of-equal-treatment-and-equal-opportunities.html</vt:lpwstr>
      </vt:variant>
      <vt:variant>
        <vt:lpwstr/>
      </vt:variant>
      <vt:variant>
        <vt:i4>4522069</vt:i4>
      </vt:variant>
      <vt:variant>
        <vt:i4>78</vt:i4>
      </vt:variant>
      <vt:variant>
        <vt:i4>0</vt:i4>
      </vt:variant>
      <vt:variant>
        <vt:i4>5</vt:i4>
      </vt:variant>
      <vt:variant>
        <vt:lpwstr>https://eur-lex.europa.eu/eli/dir/2000/43/oj/eng</vt:lpwstr>
      </vt:variant>
      <vt:variant>
        <vt:lpwstr/>
      </vt:variant>
      <vt:variant>
        <vt:i4>5636152</vt:i4>
      </vt:variant>
      <vt:variant>
        <vt:i4>75</vt:i4>
      </vt:variant>
      <vt:variant>
        <vt:i4>0</vt:i4>
      </vt:variant>
      <vt:variant>
        <vt:i4>5</vt:i4>
      </vt:variant>
      <vt:variant>
        <vt:lpwstr>https://eur-lex.europa.eu/eli/dec_framw/2008/913/oj/eng</vt:lpwstr>
      </vt:variant>
      <vt:variant>
        <vt:lpwstr/>
      </vt:variant>
      <vt:variant>
        <vt:i4>7012352</vt:i4>
      </vt:variant>
      <vt:variant>
        <vt:i4>72</vt:i4>
      </vt:variant>
      <vt:variant>
        <vt:i4>0</vt:i4>
      </vt:variant>
      <vt:variant>
        <vt:i4>5</vt:i4>
      </vt:variant>
      <vt:variant>
        <vt:lpwstr>https://eur-lex.europa.eu/eli/treaty/char_2012/oj/eng</vt:lpwstr>
      </vt:variant>
      <vt:variant>
        <vt:lpwstr/>
      </vt:variant>
      <vt:variant>
        <vt:i4>6291511</vt:i4>
      </vt:variant>
      <vt:variant>
        <vt:i4>33</vt:i4>
      </vt:variant>
      <vt:variant>
        <vt:i4>0</vt:i4>
      </vt:variant>
      <vt:variant>
        <vt:i4>5</vt:i4>
      </vt:variant>
      <vt:variant>
        <vt:lpwstr>https://rm.coe.int/ecri-opinion-on-the-concept-of-racialisation/1680a4dcc2</vt:lpwstr>
      </vt:variant>
      <vt:variant>
        <vt:lpwstr/>
      </vt:variant>
      <vt:variant>
        <vt:i4>1966145</vt:i4>
      </vt:variant>
      <vt:variant>
        <vt:i4>30</vt:i4>
      </vt:variant>
      <vt:variant>
        <vt:i4>0</vt:i4>
      </vt:variant>
      <vt:variant>
        <vt:i4>5</vt:i4>
      </vt:variant>
      <vt:variant>
        <vt:lpwstr>https://www.coe.int/en/web/european-commission-against-racism-and-intolerance</vt:lpwstr>
      </vt:variant>
      <vt:variant>
        <vt:lpwstr/>
      </vt:variant>
      <vt:variant>
        <vt:i4>2818077</vt:i4>
      </vt:variant>
      <vt:variant>
        <vt:i4>27</vt:i4>
      </vt:variant>
      <vt:variant>
        <vt:i4>0</vt:i4>
      </vt:variant>
      <vt:variant>
        <vt:i4>5</vt:i4>
      </vt:variant>
      <vt:variant>
        <vt:lpwstr>https://commission.europa.eu/strategy-and-policy/state-union/state-union-2022/building-union-equality_en</vt:lpwstr>
      </vt:variant>
      <vt:variant>
        <vt:lpwstr/>
      </vt:variant>
      <vt:variant>
        <vt:i4>7798889</vt:i4>
      </vt:variant>
      <vt:variant>
        <vt:i4>24</vt:i4>
      </vt:variant>
      <vt:variant>
        <vt:i4>0</vt:i4>
      </vt:variant>
      <vt:variant>
        <vt:i4>5</vt:i4>
      </vt:variant>
      <vt:variant>
        <vt:lpwstr>https://commission.europa.eu/document/download/97e481fd-2dc3-412d-be4c-f152a8232961_en?filename=The%20future%20of%20European%20competitiveness%20_%20A%20competitiveness%20strategy%20for%20Europe.pdf</vt:lpwstr>
      </vt:variant>
      <vt:variant>
        <vt:lpwstr/>
      </vt:variant>
      <vt:variant>
        <vt:i4>7798889</vt:i4>
      </vt:variant>
      <vt:variant>
        <vt:i4>21</vt:i4>
      </vt:variant>
      <vt:variant>
        <vt:i4>0</vt:i4>
      </vt:variant>
      <vt:variant>
        <vt:i4>5</vt:i4>
      </vt:variant>
      <vt:variant>
        <vt:lpwstr>https://commission.europa.eu/document/download/97e481fd-2dc3-412d-be4c-f152a8232961_en?filename=The%20future%20of%20European%20competitiveness%20_%20A%20competitiveness%20strategy%20for%20Europe.pdf</vt:lpwstr>
      </vt:variant>
      <vt:variant>
        <vt:lpwstr/>
      </vt:variant>
      <vt:variant>
        <vt:i4>5505134</vt:i4>
      </vt:variant>
      <vt:variant>
        <vt:i4>18</vt:i4>
      </vt:variant>
      <vt:variant>
        <vt:i4>0</vt:i4>
      </vt:variant>
      <vt:variant>
        <vt:i4>5</vt:i4>
      </vt:variant>
      <vt:variant>
        <vt:lpwstr>https://www.oecd.org/en/publications/combatting-discrimination-in-the-european-union_29c2c36a-en/full-report.html</vt:lpwstr>
      </vt:variant>
      <vt:variant>
        <vt:lpwstr/>
      </vt:variant>
      <vt:variant>
        <vt:i4>3932201</vt:i4>
      </vt:variant>
      <vt:variant>
        <vt:i4>15</vt:i4>
      </vt:variant>
      <vt:variant>
        <vt:i4>0</vt:i4>
      </vt:variant>
      <vt:variant>
        <vt:i4>5</vt:i4>
      </vt:variant>
      <vt:variant>
        <vt:lpwstr>https://commission.europa.eu/document/download/e6cd4328-673c-4e7a-8683-f63ffb2cf648_en?filename=Political%20Guidelines%202024-2029_EN.pdf</vt:lpwstr>
      </vt:variant>
      <vt:variant>
        <vt:lpwstr/>
      </vt:variant>
      <vt:variant>
        <vt:i4>5570623</vt:i4>
      </vt:variant>
      <vt:variant>
        <vt:i4>12</vt:i4>
      </vt:variant>
      <vt:variant>
        <vt:i4>0</vt:i4>
      </vt:variant>
      <vt:variant>
        <vt:i4>5</vt:i4>
      </vt:variant>
      <vt:variant>
        <vt:lpwstr>https://commission.europa.eu/document/download/4968fa88-5350-48d9-bf36-abd3c0142aa8_en?filename=Report%20Antiracism.pdf</vt:lpwstr>
      </vt:variant>
      <vt:variant>
        <vt:lpwstr/>
      </vt:variant>
      <vt:variant>
        <vt:i4>5963895</vt:i4>
      </vt:variant>
      <vt:variant>
        <vt:i4>9</vt:i4>
      </vt:variant>
      <vt:variant>
        <vt:i4>0</vt:i4>
      </vt:variant>
      <vt:variant>
        <vt:i4>5</vt:i4>
      </vt:variant>
      <vt:variant>
        <vt:lpwstr>https://commission.europa.eu/strategy-and-policy/policies/justice-and-fundamental-rights/combatting-discrimination/racism-and-xenophobia/commissions-coordinator-combating-racism_en</vt:lpwstr>
      </vt:variant>
      <vt:variant>
        <vt:lpwstr>:~:text=In%20addition%2C%20the%20coordinator%20joins,ever%20nominated%20Coo</vt:lpwstr>
      </vt:variant>
      <vt:variant>
        <vt:i4>1835089</vt:i4>
      </vt:variant>
      <vt:variant>
        <vt:i4>6</vt:i4>
      </vt:variant>
      <vt:variant>
        <vt:i4>0</vt:i4>
      </vt:variant>
      <vt:variant>
        <vt:i4>5</vt:i4>
      </vt:variant>
      <vt:variant>
        <vt:lpwstr>https://ec.europa.eu/info/funding-tenders/opportunities/portal/screen/programmes/cerv</vt:lpwstr>
      </vt:variant>
      <vt:variant>
        <vt:lpwstr/>
      </vt:variant>
      <vt:variant>
        <vt:i4>262156</vt:i4>
      </vt:variant>
      <vt:variant>
        <vt:i4>3</vt:i4>
      </vt:variant>
      <vt:variant>
        <vt:i4>0</vt:i4>
      </vt:variant>
      <vt:variant>
        <vt:i4>5</vt:i4>
      </vt:variant>
      <vt:variant>
        <vt:lpwstr>https://eur-lex.europa.eu/legal-content/EN/TXT/?uri=CELEX%3A52020DC0565&amp;qid=1758870120076</vt:lpwstr>
      </vt:variant>
      <vt:variant>
        <vt:lpwstr/>
      </vt:variant>
      <vt:variant>
        <vt:i4>2818077</vt:i4>
      </vt:variant>
      <vt:variant>
        <vt:i4>0</vt:i4>
      </vt:variant>
      <vt:variant>
        <vt:i4>0</vt:i4>
      </vt:variant>
      <vt:variant>
        <vt:i4>5</vt:i4>
      </vt:variant>
      <vt:variant>
        <vt:lpwstr>https://commission.europa.eu/strategy-and-policy/state-union/state-union-2022/building-union-equality_en</vt:lpwstr>
      </vt:variant>
      <vt:variant>
        <vt:lpwstr/>
      </vt:variant>
      <vt:variant>
        <vt:i4>4653056</vt:i4>
      </vt:variant>
      <vt:variant>
        <vt:i4>228</vt:i4>
      </vt:variant>
      <vt:variant>
        <vt:i4>0</vt:i4>
      </vt:variant>
      <vt:variant>
        <vt:i4>5</vt:i4>
      </vt:variant>
      <vt:variant>
        <vt:lpwstr>https://commission.europa.eu/document/download/91926dd1-3dd2-4000-98e7-726597189d12_en?filename=Factsheet-diversity-and-inclusion-survey_en.pdf</vt:lpwstr>
      </vt:variant>
      <vt:variant>
        <vt:lpwstr/>
      </vt:variant>
      <vt:variant>
        <vt:i4>7864385</vt:i4>
      </vt:variant>
      <vt:variant>
        <vt:i4>225</vt:i4>
      </vt:variant>
      <vt:variant>
        <vt:i4>0</vt:i4>
      </vt:variant>
      <vt:variant>
        <vt:i4>5</vt:i4>
      </vt:variant>
      <vt:variant>
        <vt:lpwstr>https://commission.europa.eu/document/download/196676b9-9b29-4034-84ca-d75d3cd5912c_en?filename=fact-sheet-diversity-inclusion-in-workplace-action-plan-2023-2024_en_0.pdf</vt:lpwstr>
      </vt:variant>
      <vt:variant>
        <vt:lpwstr/>
      </vt:variant>
      <vt:variant>
        <vt:i4>4522099</vt:i4>
      </vt:variant>
      <vt:variant>
        <vt:i4>222</vt:i4>
      </vt:variant>
      <vt:variant>
        <vt:i4>0</vt:i4>
      </vt:variant>
      <vt:variant>
        <vt:i4>5</vt:i4>
      </vt:variant>
      <vt:variant>
        <vt:lpwstr>https://commission.europa.eu/about/service-standards-and-principles/modernising-european-commission/diversity-and-inclusion_en</vt:lpwstr>
      </vt:variant>
      <vt:variant>
        <vt:lpwstr/>
      </vt:variant>
      <vt:variant>
        <vt:i4>2031713</vt:i4>
      </vt:variant>
      <vt:variant>
        <vt:i4>219</vt:i4>
      </vt:variant>
      <vt:variant>
        <vt:i4>0</vt:i4>
      </vt:variant>
      <vt:variant>
        <vt:i4>5</vt:i4>
      </vt:variant>
      <vt:variant>
        <vt:lpwstr>https://commission.europa.eu/strategy-and-policy/priorities-2019-2024/new-push-european-democracy/protecting-democracy_en</vt:lpwstr>
      </vt:variant>
      <vt:variant>
        <vt:lpwstr/>
      </vt:variant>
      <vt:variant>
        <vt:i4>917529</vt:i4>
      </vt:variant>
      <vt:variant>
        <vt:i4>216</vt:i4>
      </vt:variant>
      <vt:variant>
        <vt:i4>0</vt:i4>
      </vt:variant>
      <vt:variant>
        <vt:i4>5</vt:i4>
      </vt:variant>
      <vt:variant>
        <vt:lpwstr>https://ec.europa.eu/newsroom/just/items/881738/</vt:lpwstr>
      </vt:variant>
      <vt:variant>
        <vt:lpwstr/>
      </vt:variant>
      <vt:variant>
        <vt:i4>4587620</vt:i4>
      </vt:variant>
      <vt:variant>
        <vt:i4>213</vt:i4>
      </vt:variant>
      <vt:variant>
        <vt:i4>0</vt:i4>
      </vt:variant>
      <vt:variant>
        <vt:i4>5</vt:i4>
      </vt:variant>
      <vt:variant>
        <vt:lpwstr>https://ec.europa.eu/info/law/better-regulation/have-your-say/initiatives/14588-EU-Civil-Society-Strategy-_en</vt:lpwstr>
      </vt:variant>
      <vt:variant>
        <vt:lpwstr/>
      </vt:variant>
      <vt:variant>
        <vt:i4>7602274</vt:i4>
      </vt:variant>
      <vt:variant>
        <vt:i4>210</vt:i4>
      </vt:variant>
      <vt:variant>
        <vt:i4>0</vt:i4>
      </vt:variant>
      <vt:variant>
        <vt:i4>5</vt:i4>
      </vt:variant>
      <vt:variant>
        <vt:lpwstr>https://www.consilium.europa.eu/en/press/press-releases/2023/03/10/fundamental-rights-council-approves-conclusions-on-the-role-of-the-civic-space/</vt:lpwstr>
      </vt:variant>
      <vt:variant>
        <vt:lpwstr>:~:text=The%20Council%20today%20approved%20conclusions%20on%20the%20role,society%20and%20the%20proper%20functioning%20of%20public%20life.</vt:lpwstr>
      </vt:variant>
      <vt:variant>
        <vt:i4>7208968</vt:i4>
      </vt:variant>
      <vt:variant>
        <vt:i4>207</vt:i4>
      </vt:variant>
      <vt:variant>
        <vt:i4>0</vt:i4>
      </vt:variant>
      <vt:variant>
        <vt:i4>5</vt:i4>
      </vt:variant>
      <vt:variant>
        <vt:lpwstr>https://commission.europa.eu/document/download/da477dad-fbf8-45ce-b2a0-f432b7efc0cb_en?filename=members_of_the_permanent_anti-racism_csos_forum_2021_en.pdf</vt:lpwstr>
      </vt:variant>
      <vt:variant>
        <vt:lpwstr/>
      </vt:variant>
      <vt:variant>
        <vt:i4>3473426</vt:i4>
      </vt:variant>
      <vt:variant>
        <vt:i4>204</vt:i4>
      </vt:variant>
      <vt:variant>
        <vt:i4>0</vt:i4>
      </vt:variant>
      <vt:variant>
        <vt:i4>5</vt:i4>
      </vt:variant>
      <vt:variant>
        <vt:lpwstr>https://ec.europa.eu/info/law/better-regulation/have-your-say/initiatives/14552-Anti-racism-Strategy_en</vt:lpwstr>
      </vt:variant>
      <vt:variant>
        <vt:lpwstr/>
      </vt:variant>
      <vt:variant>
        <vt:i4>8060983</vt:i4>
      </vt:variant>
      <vt:variant>
        <vt:i4>201</vt:i4>
      </vt:variant>
      <vt:variant>
        <vt:i4>0</vt:i4>
      </vt:variant>
      <vt:variant>
        <vt:i4>5</vt:i4>
      </vt:variant>
      <vt:variant>
        <vt:lpwstr>https://ec.europa.eu/transparency/expert-groups-register/screen/expert-groups/consult?lang=en&amp;groupID=3425</vt:lpwstr>
      </vt:variant>
      <vt:variant>
        <vt:lpwstr/>
      </vt:variant>
      <vt:variant>
        <vt:i4>5963803</vt:i4>
      </vt:variant>
      <vt:variant>
        <vt:i4>198</vt:i4>
      </vt:variant>
      <vt:variant>
        <vt:i4>0</vt:i4>
      </vt:variant>
      <vt:variant>
        <vt:i4>5</vt:i4>
      </vt:variant>
      <vt:variant>
        <vt:lpwstr>https://ec.europa.eu/transparency/expert-groups-register/screen/expert-groups/consult?lang=en&amp;do=groupDetail.groupDetail&amp;groupID=3328</vt:lpwstr>
      </vt:variant>
      <vt:variant>
        <vt:lpwstr/>
      </vt:variant>
      <vt:variant>
        <vt:i4>1376289</vt:i4>
      </vt:variant>
      <vt:variant>
        <vt:i4>195</vt:i4>
      </vt:variant>
      <vt:variant>
        <vt:i4>0</vt:i4>
      </vt:variant>
      <vt:variant>
        <vt:i4>5</vt:i4>
      </vt:variant>
      <vt:variant>
        <vt:lpwstr>https://commission.europa.eu/document/2587f7c6-7353-4a65-9ca2-3d5e2a41489d_en</vt:lpwstr>
      </vt:variant>
      <vt:variant>
        <vt:lpwstr/>
      </vt:variant>
      <vt:variant>
        <vt:i4>1638406</vt:i4>
      </vt:variant>
      <vt:variant>
        <vt:i4>189</vt:i4>
      </vt:variant>
      <vt:variant>
        <vt:i4>0</vt:i4>
      </vt:variant>
      <vt:variant>
        <vt:i4>5</vt:i4>
      </vt:variant>
      <vt:variant>
        <vt:lpwstr>https://eur-lex.europa.eu/legal-content/EN/TXT/?uri=CELEX%3A52025PC0565&amp;qid=1753801752960</vt:lpwstr>
      </vt:variant>
      <vt:variant>
        <vt:lpwstr/>
      </vt:variant>
      <vt:variant>
        <vt:i4>6815860</vt:i4>
      </vt:variant>
      <vt:variant>
        <vt:i4>186</vt:i4>
      </vt:variant>
      <vt:variant>
        <vt:i4>0</vt:i4>
      </vt:variant>
      <vt:variant>
        <vt:i4>5</vt:i4>
      </vt:variant>
      <vt:variant>
        <vt:lpwstr>https://eur-lex.europa.eu/legal-content/EN/TXT/?uri=CELEX%3A32021R1060</vt:lpwstr>
      </vt:variant>
      <vt:variant>
        <vt:lpwstr/>
      </vt:variant>
      <vt:variant>
        <vt:i4>1572936</vt:i4>
      </vt:variant>
      <vt:variant>
        <vt:i4>183</vt:i4>
      </vt:variant>
      <vt:variant>
        <vt:i4>0</vt:i4>
      </vt:variant>
      <vt:variant>
        <vt:i4>5</vt:i4>
      </vt:variant>
      <vt:variant>
        <vt:lpwstr>https://civilsocietyeurope.eu/wp-content/uploads/2025/06/Joint-Civil-Society-Contribution-on-Civic-Space-to-the-2025-Rule-of-Law-Report.docx.pdf</vt:lpwstr>
      </vt:variant>
      <vt:variant>
        <vt:lpwstr/>
      </vt:variant>
      <vt:variant>
        <vt:i4>4718644</vt:i4>
      </vt:variant>
      <vt:variant>
        <vt:i4>180</vt:i4>
      </vt:variant>
      <vt:variant>
        <vt:i4>0</vt:i4>
      </vt:variant>
      <vt:variant>
        <vt:i4>5</vt:i4>
      </vt:variant>
      <vt:variant>
        <vt:lpwstr>https://fra.europa.eu/sites/default/files/fra_uploads/report-key-findings-fra-civic-space-consultation-2024_en_0.pdf</vt:lpwstr>
      </vt:variant>
      <vt:variant>
        <vt:lpwstr/>
      </vt:variant>
      <vt:variant>
        <vt:i4>2424853</vt:i4>
      </vt:variant>
      <vt:variant>
        <vt:i4>177</vt:i4>
      </vt:variant>
      <vt:variant>
        <vt:i4>0</vt:i4>
      </vt:variant>
      <vt:variant>
        <vt:i4>5</vt:i4>
      </vt:variant>
      <vt:variant>
        <vt:lpwstr>https://epc-web-s3.s3.amazonaws.com/uploads/ckeditor/2025/06/25/securing-europes-civil-space_final.pdf</vt:lpwstr>
      </vt:variant>
      <vt:variant>
        <vt:lpwstr/>
      </vt:variant>
      <vt:variant>
        <vt:i4>1245215</vt:i4>
      </vt:variant>
      <vt:variant>
        <vt:i4>165</vt:i4>
      </vt:variant>
      <vt:variant>
        <vt:i4>0</vt:i4>
      </vt:variant>
      <vt:variant>
        <vt:i4>5</vt:i4>
      </vt:variant>
      <vt:variant>
        <vt:lpwstr>https://pmc.ncbi.nlm.nih.gov/articles/PMC4580597/</vt:lpwstr>
      </vt:variant>
      <vt:variant>
        <vt:lpwstr/>
      </vt:variant>
      <vt:variant>
        <vt:i4>2687077</vt:i4>
      </vt:variant>
      <vt:variant>
        <vt:i4>162</vt:i4>
      </vt:variant>
      <vt:variant>
        <vt:i4>0</vt:i4>
      </vt:variant>
      <vt:variant>
        <vt:i4>5</vt:i4>
      </vt:variant>
      <vt:variant>
        <vt:lpwstr>https://www.who.int/activities/tackling-structural-racism-and-ethnicity-based-discrimination-in-health</vt:lpwstr>
      </vt:variant>
      <vt:variant>
        <vt:lpwstr/>
      </vt:variant>
      <vt:variant>
        <vt:i4>7733285</vt:i4>
      </vt:variant>
      <vt:variant>
        <vt:i4>159</vt:i4>
      </vt:variant>
      <vt:variant>
        <vt:i4>0</vt:i4>
      </vt:variant>
      <vt:variant>
        <vt:i4>5</vt:i4>
      </vt:variant>
      <vt:variant>
        <vt:lpwstr>https://www.saage-network.eu/sites/default/files/media/publication/DS0320880ENN-en.pdf</vt:lpwstr>
      </vt:variant>
      <vt:variant>
        <vt:lpwstr/>
      </vt:variant>
      <vt:variant>
        <vt:i4>16</vt:i4>
      </vt:variant>
      <vt:variant>
        <vt:i4>156</vt:i4>
      </vt:variant>
      <vt:variant>
        <vt:i4>0</vt:i4>
      </vt:variant>
      <vt:variant>
        <vt:i4>5</vt:i4>
      </vt:variant>
      <vt:variant>
        <vt:lpwstr>https://www.dezim-institut.de/en/publications/publication-detail/racism-and-its-symptoms/</vt:lpwstr>
      </vt:variant>
      <vt:variant>
        <vt:lpwstr/>
      </vt:variant>
      <vt:variant>
        <vt:i4>5177415</vt:i4>
      </vt:variant>
      <vt:variant>
        <vt:i4>153</vt:i4>
      </vt:variant>
      <vt:variant>
        <vt:i4>0</vt:i4>
      </vt:variant>
      <vt:variant>
        <vt:i4>5</vt:i4>
      </vt:variant>
      <vt:variant>
        <vt:lpwstr>https://ergonetwork.org/2023/11/research-report-on-roma-access-to-quality-and-affordable-housing/</vt:lpwstr>
      </vt:variant>
      <vt:variant>
        <vt:lpwstr/>
      </vt:variant>
      <vt:variant>
        <vt:i4>6357015</vt:i4>
      </vt:variant>
      <vt:variant>
        <vt:i4>150</vt:i4>
      </vt:variant>
      <vt:variant>
        <vt:i4>0</vt:i4>
      </vt:variant>
      <vt:variant>
        <vt:i4>5</vt:i4>
      </vt:variant>
      <vt:variant>
        <vt:lpwstr>https://www.habitat.org/sites/default/files/documents/Habitat for Humanity_Addressing Housing Deprivation of Roma in Central Eastern Europe (3).pdf</vt:lpwstr>
      </vt:variant>
      <vt:variant>
        <vt:lpwstr/>
      </vt:variant>
      <vt:variant>
        <vt:i4>131151</vt:i4>
      </vt:variant>
      <vt:variant>
        <vt:i4>147</vt:i4>
      </vt:variant>
      <vt:variant>
        <vt:i4>0</vt:i4>
      </vt:variant>
      <vt:variant>
        <vt:i4>5</vt:i4>
      </vt:variant>
      <vt:variant>
        <vt:lpwstr>https://www.errc.org/news/eu-calls-for-action-on-housing-segregation-while-many-roma-live-from-expulsion-to-expulsion</vt:lpwstr>
      </vt:variant>
      <vt:variant>
        <vt:lpwstr/>
      </vt:variant>
      <vt:variant>
        <vt:i4>3014680</vt:i4>
      </vt:variant>
      <vt:variant>
        <vt:i4>144</vt:i4>
      </vt:variant>
      <vt:variant>
        <vt:i4>0</vt:i4>
      </vt:variant>
      <vt:variant>
        <vt:i4>5</vt:i4>
      </vt:variant>
      <vt:variant>
        <vt:lpwstr>https://employment-social-affairs.ec.europa.eu/policies-and-activities/european-pillar-social-rights-building-fairer-and-more-inclusive-european-union/european-pillar-social-rights-action-plan_en</vt:lpwstr>
      </vt:variant>
      <vt:variant>
        <vt:lpwstr/>
      </vt:variant>
      <vt:variant>
        <vt:i4>393337</vt:i4>
      </vt:variant>
      <vt:variant>
        <vt:i4>141</vt:i4>
      </vt:variant>
      <vt:variant>
        <vt:i4>0</vt:i4>
      </vt:variant>
      <vt:variant>
        <vt:i4>5</vt:i4>
      </vt:variant>
      <vt:variant>
        <vt:lpwstr>https://ec.europa.eu/eurostat/statistics-explained/index.php?title=Migrant_integration_statistics_-_employment_conditions</vt:lpwstr>
      </vt:variant>
      <vt:variant>
        <vt:lpwstr/>
      </vt:variant>
      <vt:variant>
        <vt:i4>7602217</vt:i4>
      </vt:variant>
      <vt:variant>
        <vt:i4>138</vt:i4>
      </vt:variant>
      <vt:variant>
        <vt:i4>0</vt:i4>
      </vt:variant>
      <vt:variant>
        <vt:i4>5</vt:i4>
      </vt:variant>
      <vt:variant>
        <vt:lpwstr>https://bibliothek.wzb.eu/pdf/2018/vi18-104.pdf</vt:lpwstr>
      </vt:variant>
      <vt:variant>
        <vt:lpwstr/>
      </vt:variant>
      <vt:variant>
        <vt:i4>2818081</vt:i4>
      </vt:variant>
      <vt:variant>
        <vt:i4>135</vt:i4>
      </vt:variant>
      <vt:variant>
        <vt:i4>0</vt:i4>
      </vt:variant>
      <vt:variant>
        <vt:i4>5</vt:i4>
      </vt:variant>
      <vt:variant>
        <vt:lpwstr>https://education.ec.europa.eu/news/new-issue-paper-tackling-prejudice-and-discrimination-in-and-through-education-and-training</vt:lpwstr>
      </vt:variant>
      <vt:variant>
        <vt:lpwstr/>
      </vt:variant>
      <vt:variant>
        <vt:i4>7077935</vt:i4>
      </vt:variant>
      <vt:variant>
        <vt:i4>132</vt:i4>
      </vt:variant>
      <vt:variant>
        <vt:i4>0</vt:i4>
      </vt:variant>
      <vt:variant>
        <vt:i4>5</vt:i4>
      </vt:variant>
      <vt:variant>
        <vt:lpwstr>https://www.euractiv.com/wp-content/uploads/sites/2/special-report/Discrimination-in-Europes-schools-Special-Report-2021-1.pdf</vt:lpwstr>
      </vt:variant>
      <vt:variant>
        <vt:lpwstr/>
      </vt:variant>
      <vt:variant>
        <vt:i4>5242915</vt:i4>
      </vt:variant>
      <vt:variant>
        <vt:i4>129</vt:i4>
      </vt:variant>
      <vt:variant>
        <vt:i4>0</vt:i4>
      </vt:variant>
      <vt:variant>
        <vt:i4>5</vt:i4>
      </vt:variant>
      <vt:variant>
        <vt:lpwstr>https://www.oecd.org/content/dam/oecd/en/publications/reports/2025/03/monitoring-and-assessing-the-impact-of-national-action-plans-against-racism_0d72a33d/13e32676-en.pdf</vt:lpwstr>
      </vt:variant>
      <vt:variant>
        <vt:lpwstr/>
      </vt:variant>
      <vt:variant>
        <vt:i4>5242915</vt:i4>
      </vt:variant>
      <vt:variant>
        <vt:i4>126</vt:i4>
      </vt:variant>
      <vt:variant>
        <vt:i4>0</vt:i4>
      </vt:variant>
      <vt:variant>
        <vt:i4>5</vt:i4>
      </vt:variant>
      <vt:variant>
        <vt:lpwstr>https://www.oecd.org/content/dam/oecd/en/publications/reports/2025/03/monitoring-and-assessing-the-impact-of-national-action-plans-against-racism_0d72a33d/13e32676-en.pdf</vt:lpwstr>
      </vt:variant>
      <vt:variant>
        <vt:lpwstr/>
      </vt:variant>
      <vt:variant>
        <vt:i4>1179738</vt:i4>
      </vt:variant>
      <vt:variant>
        <vt:i4>123</vt:i4>
      </vt:variant>
      <vt:variant>
        <vt:i4>0</vt:i4>
      </vt:variant>
      <vt:variant>
        <vt:i4>5</vt:i4>
      </vt:variant>
      <vt:variant>
        <vt:lpwstr>https://fra.europa.eu/sites/default/files/fra_uploads/fra-2024-being-muslim-in-the-eu_en.pdf</vt:lpwstr>
      </vt:variant>
      <vt:variant>
        <vt:lpwstr/>
      </vt:variant>
      <vt:variant>
        <vt:i4>7798847</vt:i4>
      </vt:variant>
      <vt:variant>
        <vt:i4>120</vt:i4>
      </vt:variant>
      <vt:variant>
        <vt:i4>0</vt:i4>
      </vt:variant>
      <vt:variant>
        <vt:i4>5</vt:i4>
      </vt:variant>
      <vt:variant>
        <vt:lpwstr>https://fra.europa.eu/sites/default/files/fra_uploads/fra-2025-roma-survey-2024_en.pdf</vt:lpwstr>
      </vt:variant>
      <vt:variant>
        <vt:lpwstr/>
      </vt:variant>
      <vt:variant>
        <vt:i4>2293864</vt:i4>
      </vt:variant>
      <vt:variant>
        <vt:i4>117</vt:i4>
      </vt:variant>
      <vt:variant>
        <vt:i4>0</vt:i4>
      </vt:variant>
      <vt:variant>
        <vt:i4>5</vt:i4>
      </vt:variant>
      <vt:variant>
        <vt:lpwstr>https://europa.eu/eurobarometer/surveys/detail/2972</vt:lpwstr>
      </vt:variant>
      <vt:variant>
        <vt:lpwstr/>
      </vt:variant>
      <vt:variant>
        <vt:i4>6029419</vt:i4>
      </vt:variant>
      <vt:variant>
        <vt:i4>114</vt:i4>
      </vt:variant>
      <vt:variant>
        <vt:i4>0</vt:i4>
      </vt:variant>
      <vt:variant>
        <vt:i4>5</vt:i4>
      </vt:variant>
      <vt:variant>
        <vt:lpwstr>https://commission.europa.eu/document/download/f713e60d-403a-41eb-934b-a70f65ec66a8_en?filename=Study%20on%20sanctions%20for%20discrimination%20on%20racial%2Cethnic%2Creligious%20grounds.pdf</vt:lpwstr>
      </vt:variant>
      <vt:variant>
        <vt:lpwstr/>
      </vt:variant>
      <vt:variant>
        <vt:i4>7340151</vt:i4>
      </vt:variant>
      <vt:variant>
        <vt:i4>111</vt:i4>
      </vt:variant>
      <vt:variant>
        <vt:i4>0</vt:i4>
      </vt:variant>
      <vt:variant>
        <vt:i4>5</vt:i4>
      </vt:variant>
      <vt:variant>
        <vt:lpwstr>https://fra.europa.eu/sites/default/files/fra_uploads/fra-2024-experiences-perceptions-antisemitism-survey_en.pdf</vt:lpwstr>
      </vt:variant>
      <vt:variant>
        <vt:lpwstr/>
      </vt:variant>
      <vt:variant>
        <vt:i4>1179738</vt:i4>
      </vt:variant>
      <vt:variant>
        <vt:i4>108</vt:i4>
      </vt:variant>
      <vt:variant>
        <vt:i4>0</vt:i4>
      </vt:variant>
      <vt:variant>
        <vt:i4>5</vt:i4>
      </vt:variant>
      <vt:variant>
        <vt:lpwstr>https://fra.europa.eu/sites/default/files/fra_uploads/fra-2024-being-muslim-in-the-eu_en.pdf</vt:lpwstr>
      </vt:variant>
      <vt:variant>
        <vt:lpwstr/>
      </vt:variant>
      <vt:variant>
        <vt:i4>5177417</vt:i4>
      </vt:variant>
      <vt:variant>
        <vt:i4>105</vt:i4>
      </vt:variant>
      <vt:variant>
        <vt:i4>0</vt:i4>
      </vt:variant>
      <vt:variant>
        <vt:i4>5</vt:i4>
      </vt:variant>
      <vt:variant>
        <vt:lpwstr>https://fra.europa.eu/sites/default/files/fra_uploads/fra-2024-addressing-racism-in-policing_en.pdf</vt:lpwstr>
      </vt:variant>
      <vt:variant>
        <vt:lpwstr/>
      </vt:variant>
      <vt:variant>
        <vt:i4>4259966</vt:i4>
      </vt:variant>
      <vt:variant>
        <vt:i4>102</vt:i4>
      </vt:variant>
      <vt:variant>
        <vt:i4>0</vt:i4>
      </vt:variant>
      <vt:variant>
        <vt:i4>5</vt:i4>
      </vt:variant>
      <vt:variant>
        <vt:lpwstr>https://fra.europa.eu/sites/default/files/fra_uploads/fra-2023-being-black_in_the_eu_en.pdf</vt:lpwstr>
      </vt:variant>
      <vt:variant>
        <vt:lpwstr/>
      </vt:variant>
      <vt:variant>
        <vt:i4>7340151</vt:i4>
      </vt:variant>
      <vt:variant>
        <vt:i4>99</vt:i4>
      </vt:variant>
      <vt:variant>
        <vt:i4>0</vt:i4>
      </vt:variant>
      <vt:variant>
        <vt:i4>5</vt:i4>
      </vt:variant>
      <vt:variant>
        <vt:lpwstr>https://fra.europa.eu/sites/default/files/fra_uploads/fra-2024-experiences-perceptions-antisemitism-survey_en.pdf</vt:lpwstr>
      </vt:variant>
      <vt:variant>
        <vt:lpwstr/>
      </vt:variant>
      <vt:variant>
        <vt:i4>2293864</vt:i4>
      </vt:variant>
      <vt:variant>
        <vt:i4>96</vt:i4>
      </vt:variant>
      <vt:variant>
        <vt:i4>0</vt:i4>
      </vt:variant>
      <vt:variant>
        <vt:i4>5</vt:i4>
      </vt:variant>
      <vt:variant>
        <vt:lpwstr>https://europa.eu/eurobarometer/surveys/detail/2972</vt:lpwstr>
      </vt:variant>
      <vt:variant>
        <vt:lpwstr/>
      </vt:variant>
      <vt:variant>
        <vt:i4>3473426</vt:i4>
      </vt:variant>
      <vt:variant>
        <vt:i4>93</vt:i4>
      </vt:variant>
      <vt:variant>
        <vt:i4>0</vt:i4>
      </vt:variant>
      <vt:variant>
        <vt:i4>5</vt:i4>
      </vt:variant>
      <vt:variant>
        <vt:lpwstr>https://ec.europa.eu/info/law/better-regulation/have-your-say/initiatives/14552-Anti-racism-Strategy_en</vt:lpwstr>
      </vt:variant>
      <vt:variant>
        <vt:lpwstr/>
      </vt:variant>
      <vt:variant>
        <vt:i4>5177417</vt:i4>
      </vt:variant>
      <vt:variant>
        <vt:i4>90</vt:i4>
      </vt:variant>
      <vt:variant>
        <vt:i4>0</vt:i4>
      </vt:variant>
      <vt:variant>
        <vt:i4>5</vt:i4>
      </vt:variant>
      <vt:variant>
        <vt:lpwstr>https://fra.europa.eu/sites/default/files/fra_uploads/fra-2024-addressing-racism-in-policing_en.pdf</vt:lpwstr>
      </vt:variant>
      <vt:variant>
        <vt:lpwstr/>
      </vt:variant>
      <vt:variant>
        <vt:i4>5177417</vt:i4>
      </vt:variant>
      <vt:variant>
        <vt:i4>87</vt:i4>
      </vt:variant>
      <vt:variant>
        <vt:i4>0</vt:i4>
      </vt:variant>
      <vt:variant>
        <vt:i4>5</vt:i4>
      </vt:variant>
      <vt:variant>
        <vt:lpwstr>https://fra.europa.eu/sites/default/files/fra_uploads/fra-2024-addressing-racism-in-policing_en.pdf</vt:lpwstr>
      </vt:variant>
      <vt:variant>
        <vt:lpwstr/>
      </vt:variant>
      <vt:variant>
        <vt:i4>7864430</vt:i4>
      </vt:variant>
      <vt:variant>
        <vt:i4>84</vt:i4>
      </vt:variant>
      <vt:variant>
        <vt:i4>0</vt:i4>
      </vt:variant>
      <vt:variant>
        <vt:i4>5</vt:i4>
      </vt:variant>
      <vt:variant>
        <vt:lpwstr>https://ec.europa.eu/commission/presscorner/detail/en/ip_23_2087</vt:lpwstr>
      </vt:variant>
      <vt:variant>
        <vt:lpwstr/>
      </vt:variant>
      <vt:variant>
        <vt:i4>3538999</vt:i4>
      </vt:variant>
      <vt:variant>
        <vt:i4>81</vt:i4>
      </vt:variant>
      <vt:variant>
        <vt:i4>0</vt:i4>
      </vt:variant>
      <vt:variant>
        <vt:i4>5</vt:i4>
      </vt:variant>
      <vt:variant>
        <vt:lpwstr>https://culture.ec.europa.eu/news/eu-budget-2028-2034-new-agoraeu-programme</vt:lpwstr>
      </vt:variant>
      <vt:variant>
        <vt:lpwstr/>
      </vt:variant>
      <vt:variant>
        <vt:i4>4980783</vt:i4>
      </vt:variant>
      <vt:variant>
        <vt:i4>78</vt:i4>
      </vt:variant>
      <vt:variant>
        <vt:i4>0</vt:i4>
      </vt:variant>
      <vt:variant>
        <vt:i4>5</vt:i4>
      </vt:variant>
      <vt:variant>
        <vt:lpwstr>https://www.oecd.org/en/publications/monitoring-and-assessing-the-impact-of-national-action-plans-against-racism_13e32676-en/full-report.html</vt:lpwstr>
      </vt:variant>
      <vt:variant>
        <vt:lpwstr/>
      </vt:variant>
      <vt:variant>
        <vt:i4>4980783</vt:i4>
      </vt:variant>
      <vt:variant>
        <vt:i4>75</vt:i4>
      </vt:variant>
      <vt:variant>
        <vt:i4>0</vt:i4>
      </vt:variant>
      <vt:variant>
        <vt:i4>5</vt:i4>
      </vt:variant>
      <vt:variant>
        <vt:lpwstr>https://www.oecd.org/en/publications/monitoring-and-assessing-the-impact-of-national-action-plans-against-racism_13e32676-en/full-report.html</vt:lpwstr>
      </vt:variant>
      <vt:variant>
        <vt:lpwstr/>
      </vt:variant>
      <vt:variant>
        <vt:i4>4259966</vt:i4>
      </vt:variant>
      <vt:variant>
        <vt:i4>72</vt:i4>
      </vt:variant>
      <vt:variant>
        <vt:i4>0</vt:i4>
      </vt:variant>
      <vt:variant>
        <vt:i4>5</vt:i4>
      </vt:variant>
      <vt:variant>
        <vt:lpwstr>https://fra.europa.eu/sites/default/files/fra_uploads/fra-2023-being-black_in_the_eu_en.pdf</vt:lpwstr>
      </vt:variant>
      <vt:variant>
        <vt:lpwstr/>
      </vt:variant>
      <vt:variant>
        <vt:i4>6291511</vt:i4>
      </vt:variant>
      <vt:variant>
        <vt:i4>69</vt:i4>
      </vt:variant>
      <vt:variant>
        <vt:i4>0</vt:i4>
      </vt:variant>
      <vt:variant>
        <vt:i4>5</vt:i4>
      </vt:variant>
      <vt:variant>
        <vt:lpwstr>https://rm.coe.int/ecri-opinion-on-the-concept-of-racialisation/1680a4dcc2</vt:lpwstr>
      </vt:variant>
      <vt:variant>
        <vt:lpwstr/>
      </vt:variant>
      <vt:variant>
        <vt:i4>3473528</vt:i4>
      </vt:variant>
      <vt:variant>
        <vt:i4>66</vt:i4>
      </vt:variant>
      <vt:variant>
        <vt:i4>0</vt:i4>
      </vt:variant>
      <vt:variant>
        <vt:i4>5</vt:i4>
      </vt:variant>
      <vt:variant>
        <vt:lpwstr>https://rm.coe.int/ecri-general-policy-recommendation-no-7-revised-on-national-legislatio/16808b5aae</vt:lpwstr>
      </vt:variant>
      <vt:variant>
        <vt:lpwstr>:~:text=%E2%80%9Cracism%E2%80%9D%20shall%20mean%20the%20belief%20that%20a%20ground,of%20a%20person%20or%20a%20group%20of%20persons.</vt:lpwstr>
      </vt:variant>
      <vt:variant>
        <vt:i4>1179738</vt:i4>
      </vt:variant>
      <vt:variant>
        <vt:i4>63</vt:i4>
      </vt:variant>
      <vt:variant>
        <vt:i4>0</vt:i4>
      </vt:variant>
      <vt:variant>
        <vt:i4>5</vt:i4>
      </vt:variant>
      <vt:variant>
        <vt:lpwstr>https://fra.europa.eu/sites/default/files/fra_uploads/fra-2024-being-muslim-in-the-eu_en.pdf</vt:lpwstr>
      </vt:variant>
      <vt:variant>
        <vt:lpwstr/>
      </vt:variant>
      <vt:variant>
        <vt:i4>4259966</vt:i4>
      </vt:variant>
      <vt:variant>
        <vt:i4>60</vt:i4>
      </vt:variant>
      <vt:variant>
        <vt:i4>0</vt:i4>
      </vt:variant>
      <vt:variant>
        <vt:i4>5</vt:i4>
      </vt:variant>
      <vt:variant>
        <vt:lpwstr>https://fra.europa.eu/sites/default/files/fra_uploads/fra-2023-being-black_in_the_eu_en.pdf</vt:lpwstr>
      </vt:variant>
      <vt:variant>
        <vt:lpwstr/>
      </vt:variant>
      <vt:variant>
        <vt:i4>7798847</vt:i4>
      </vt:variant>
      <vt:variant>
        <vt:i4>57</vt:i4>
      </vt:variant>
      <vt:variant>
        <vt:i4>0</vt:i4>
      </vt:variant>
      <vt:variant>
        <vt:i4>5</vt:i4>
      </vt:variant>
      <vt:variant>
        <vt:lpwstr>https://fra.europa.eu/sites/default/files/fra_uploads/fra-2025-roma-survey-2024_en.pdf</vt:lpwstr>
      </vt:variant>
      <vt:variant>
        <vt:lpwstr/>
      </vt:variant>
      <vt:variant>
        <vt:i4>8323097</vt:i4>
      </vt:variant>
      <vt:variant>
        <vt:i4>54</vt:i4>
      </vt:variant>
      <vt:variant>
        <vt:i4>0</vt:i4>
      </vt:variant>
      <vt:variant>
        <vt:i4>5</vt:i4>
      </vt:variant>
      <vt:variant>
        <vt:lpwstr>https://commission.europa.eu/document/download/86b296ab-95ee-4139-aad3-d7016e096195_en?filename=EU%20Strategy%20on%20the%20Rights%20of%20the%20Child%20-%20Illustrated%20version</vt:lpwstr>
      </vt:variant>
      <vt:variant>
        <vt:lpwstr/>
      </vt:variant>
      <vt:variant>
        <vt:i4>2293775</vt:i4>
      </vt:variant>
      <vt:variant>
        <vt:i4>51</vt:i4>
      </vt:variant>
      <vt:variant>
        <vt:i4>0</vt:i4>
      </vt:variant>
      <vt:variant>
        <vt:i4>5</vt:i4>
      </vt:variant>
      <vt:variant>
        <vt:lpwstr>https://commission.europa.eu/strategy-and-policy/policies/justice-and-fundamental-rights/combatting-discrimination/racism-and-xenophobia/combating-hate-speech-and-hate-crime_en</vt:lpwstr>
      </vt:variant>
      <vt:variant>
        <vt:lpwstr/>
      </vt:variant>
      <vt:variant>
        <vt:i4>1376306</vt:i4>
      </vt:variant>
      <vt:variant>
        <vt:i4>48</vt:i4>
      </vt:variant>
      <vt:variant>
        <vt:i4>0</vt:i4>
      </vt:variant>
      <vt:variant>
        <vt:i4>5</vt:i4>
      </vt:variant>
      <vt:variant>
        <vt:lpwstr>https://ec.europa.eu/info/law/better-regulation/have-your-say/initiatives/14588-EU-Strategie-fur-die-Zivilgesellschaft_de</vt:lpwstr>
      </vt:variant>
      <vt:variant>
        <vt:lpwstr/>
      </vt:variant>
      <vt:variant>
        <vt:i4>7208975</vt:i4>
      </vt:variant>
      <vt:variant>
        <vt:i4>45</vt:i4>
      </vt:variant>
      <vt:variant>
        <vt:i4>0</vt:i4>
      </vt:variant>
      <vt:variant>
        <vt:i4>5</vt:i4>
      </vt:variant>
      <vt:variant>
        <vt:lpwstr>https://ec.europa.eu/info/law/better-regulation/have-your-say/initiatives/14683-EU-Anti-Poverty-Strategy_en</vt:lpwstr>
      </vt:variant>
      <vt:variant>
        <vt:lpwstr/>
      </vt:variant>
      <vt:variant>
        <vt:i4>3932252</vt:i4>
      </vt:variant>
      <vt:variant>
        <vt:i4>42</vt:i4>
      </vt:variant>
      <vt:variant>
        <vt:i4>0</vt:i4>
      </vt:variant>
      <vt:variant>
        <vt:i4>5</vt:i4>
      </vt:variant>
      <vt:variant>
        <vt:lpwstr>https://commission.europa.eu/topics/eu-competitiveness/union-skills_en</vt:lpwstr>
      </vt:variant>
      <vt:variant>
        <vt:lpwstr>:~:text=One%20in%20five%20adults%20struggle,thanks%20to%20its%20competitive%20economy.</vt:lpwstr>
      </vt:variant>
      <vt:variant>
        <vt:i4>6225983</vt:i4>
      </vt:variant>
      <vt:variant>
        <vt:i4>39</vt:i4>
      </vt:variant>
      <vt:variant>
        <vt:i4>0</vt:i4>
      </vt:variant>
      <vt:variant>
        <vt:i4>5</vt:i4>
      </vt:variant>
      <vt:variant>
        <vt:lpwstr>https://single-market-economy.ec.europa.eu/sectors/proximity-and-social-economy/social-economy-eu/affordable-housing-initiative_en</vt:lpwstr>
      </vt:variant>
      <vt:variant>
        <vt:lpwstr/>
      </vt:variant>
      <vt:variant>
        <vt:i4>7405649</vt:i4>
      </vt:variant>
      <vt:variant>
        <vt:i4>36</vt:i4>
      </vt:variant>
      <vt:variant>
        <vt:i4>0</vt:i4>
      </vt:variant>
      <vt:variant>
        <vt:i4>5</vt:i4>
      </vt:variant>
      <vt:variant>
        <vt:lpwstr>https://commission.europa.eu/strategy-and-policy/policies/justice-and-fundamental-rights/combatting-discrimination/racism-and-xenophobia/combating-anti-muslim-hatred_en</vt:lpwstr>
      </vt:variant>
      <vt:variant>
        <vt:lpwstr/>
      </vt:variant>
      <vt:variant>
        <vt:i4>4456517</vt:i4>
      </vt:variant>
      <vt:variant>
        <vt:i4>33</vt:i4>
      </vt:variant>
      <vt:variant>
        <vt:i4>0</vt:i4>
      </vt:variant>
      <vt:variant>
        <vt:i4>5</vt:i4>
      </vt:variant>
      <vt:variant>
        <vt:lpwstr>https://op.europa.eu/en/publication-detail/-/publication/3e1e2228-7c97-11eb-9ac9-01aa75ed71a1/language-en</vt:lpwstr>
      </vt:variant>
      <vt:variant>
        <vt:lpwstr/>
      </vt:variant>
      <vt:variant>
        <vt:i4>5308500</vt:i4>
      </vt:variant>
      <vt:variant>
        <vt:i4>30</vt:i4>
      </vt:variant>
      <vt:variant>
        <vt:i4>0</vt:i4>
      </vt:variant>
      <vt:variant>
        <vt:i4>5</vt:i4>
      </vt:variant>
      <vt:variant>
        <vt:lpwstr>https://commission.europa.eu/document/download/b4952371-4308-47ad-b995-02c539b75dda_en?filename=JUST_template_comingsoon_standard.pdf</vt:lpwstr>
      </vt:variant>
      <vt:variant>
        <vt:lpwstr/>
      </vt:variant>
      <vt:variant>
        <vt:i4>2621453</vt:i4>
      </vt:variant>
      <vt:variant>
        <vt:i4>27</vt:i4>
      </vt:variant>
      <vt:variant>
        <vt:i4>0</vt:i4>
      </vt:variant>
      <vt:variant>
        <vt:i4>5</vt:i4>
      </vt:variant>
      <vt:variant>
        <vt:lpwstr>https://commission.europa.eu/document/download/0c3fe55d-9e4f-4377-9d14-93d03398b434_en?filename=Gender%20Equality%20Report%20Chapeau%20Communication.pdf</vt:lpwstr>
      </vt:variant>
      <vt:variant>
        <vt:lpwstr/>
      </vt:variant>
      <vt:variant>
        <vt:i4>5963794</vt:i4>
      </vt:variant>
      <vt:variant>
        <vt:i4>24</vt:i4>
      </vt:variant>
      <vt:variant>
        <vt:i4>0</vt:i4>
      </vt:variant>
      <vt:variant>
        <vt:i4>5</vt:i4>
      </vt:variant>
      <vt:variant>
        <vt:lpwstr>https://eur-lex.europa.eu/legal-content/EN/ALL/?uri=COM:2021:615:FIN&amp;pk_campaign=doc&amp;pk_source=EUR-Lex&amp;pk_medium=tw&amp;pk_keyword=No2Antisemitism</vt:lpwstr>
      </vt:variant>
      <vt:variant>
        <vt:lpwstr/>
      </vt:variant>
      <vt:variant>
        <vt:i4>65658</vt:i4>
      </vt:variant>
      <vt:variant>
        <vt:i4>21</vt:i4>
      </vt:variant>
      <vt:variant>
        <vt:i4>0</vt:i4>
      </vt:variant>
      <vt:variant>
        <vt:i4>5</vt:i4>
      </vt:variant>
      <vt:variant>
        <vt:lpwstr>https://commission.europa.eu/system/files/2021-01/eu_roma_strategic_framework_for_equality_inclusion_and_participation_for_2020_-_2030_0.pdf</vt:lpwstr>
      </vt:variant>
      <vt:variant>
        <vt:lpwstr/>
      </vt:variant>
      <vt:variant>
        <vt:i4>3473426</vt:i4>
      </vt:variant>
      <vt:variant>
        <vt:i4>18</vt:i4>
      </vt:variant>
      <vt:variant>
        <vt:i4>0</vt:i4>
      </vt:variant>
      <vt:variant>
        <vt:i4>5</vt:i4>
      </vt:variant>
      <vt:variant>
        <vt:lpwstr>https://ec.europa.eu/info/law/better-regulation/have-your-say/initiatives/14552-Anti-racism-Strategy_en</vt:lpwstr>
      </vt:variant>
      <vt:variant>
        <vt:lpwstr/>
      </vt:variant>
      <vt:variant>
        <vt:i4>7798889</vt:i4>
      </vt:variant>
      <vt:variant>
        <vt:i4>15</vt:i4>
      </vt:variant>
      <vt:variant>
        <vt:i4>0</vt:i4>
      </vt:variant>
      <vt:variant>
        <vt:i4>5</vt:i4>
      </vt:variant>
      <vt:variant>
        <vt:lpwstr>https://commission.europa.eu/document/download/97e481fd-2dc3-412d-be4c-f152a8232961_en?filename=The%20future%20of%20European%20competitiveness%20_%20A%20competitiveness%20strategy%20for%20Europe.pdf</vt:lpwstr>
      </vt:variant>
      <vt:variant>
        <vt:lpwstr/>
      </vt:variant>
      <vt:variant>
        <vt:i4>7929983</vt:i4>
      </vt:variant>
      <vt:variant>
        <vt:i4>12</vt:i4>
      </vt:variant>
      <vt:variant>
        <vt:i4>0</vt:i4>
      </vt:variant>
      <vt:variant>
        <vt:i4>5</vt:i4>
      </vt:variant>
      <vt:variant>
        <vt:lpwstr>https://www.consilium.europa.eu/en/meetings/jha/2024/10/11/</vt:lpwstr>
      </vt:variant>
      <vt:variant>
        <vt:lpwstr/>
      </vt:variant>
      <vt:variant>
        <vt:i4>6553711</vt:i4>
      </vt:variant>
      <vt:variant>
        <vt:i4>9</vt:i4>
      </vt:variant>
      <vt:variant>
        <vt:i4>0</vt:i4>
      </vt:variant>
      <vt:variant>
        <vt:i4>5</vt:i4>
      </vt:variant>
      <vt:variant>
        <vt:lpwstr>https://eur-lex.europa.eu/legal-content/EN/TXT/?uri=OJ%3AJOC_2023_161_R_0003</vt:lpwstr>
      </vt:variant>
      <vt:variant>
        <vt:lpwstr/>
      </vt:variant>
      <vt:variant>
        <vt:i4>7929983</vt:i4>
      </vt:variant>
      <vt:variant>
        <vt:i4>6</vt:i4>
      </vt:variant>
      <vt:variant>
        <vt:i4>0</vt:i4>
      </vt:variant>
      <vt:variant>
        <vt:i4>5</vt:i4>
      </vt:variant>
      <vt:variant>
        <vt:lpwstr>https://www.consilium.europa.eu/en/meetings/jha/2024/10/11/</vt:lpwstr>
      </vt:variant>
      <vt:variant>
        <vt:lpwstr/>
      </vt:variant>
      <vt:variant>
        <vt:i4>6553711</vt:i4>
      </vt:variant>
      <vt:variant>
        <vt:i4>3</vt:i4>
      </vt:variant>
      <vt:variant>
        <vt:i4>0</vt:i4>
      </vt:variant>
      <vt:variant>
        <vt:i4>5</vt:i4>
      </vt:variant>
      <vt:variant>
        <vt:lpwstr>https://eur-lex.europa.eu/legal-content/EN/TXT/?uri=OJ%3AJOC_2023_161_R_0003</vt:lpwstr>
      </vt:variant>
      <vt:variant>
        <vt:lpwstr/>
      </vt:variant>
      <vt:variant>
        <vt:i4>655378</vt:i4>
      </vt:variant>
      <vt:variant>
        <vt:i4>0</vt:i4>
      </vt:variant>
      <vt:variant>
        <vt:i4>0</vt:i4>
      </vt:variant>
      <vt:variant>
        <vt:i4>5</vt:i4>
      </vt:variant>
      <vt:variant>
        <vt:lpwstr>https://eur-lex.europa.eu/legal-content/EN/TXT/?uri=CELEX:12016M/TXT</vt:lpwstr>
      </vt:variant>
      <vt:variant>
        <vt:lpwstr/>
      </vt:variant>
      <vt:variant>
        <vt:i4>2687077</vt:i4>
      </vt:variant>
      <vt:variant>
        <vt:i4>9</vt:i4>
      </vt:variant>
      <vt:variant>
        <vt:i4>0</vt:i4>
      </vt:variant>
      <vt:variant>
        <vt:i4>5</vt:i4>
      </vt:variant>
      <vt:variant>
        <vt:lpwstr>https://www.who.int/activities/tackling-structural-racism-and-ethnicity-based-discrimination-in-health</vt:lpwstr>
      </vt:variant>
      <vt:variant>
        <vt:lpwstr/>
      </vt:variant>
      <vt:variant>
        <vt:i4>7667785</vt:i4>
      </vt:variant>
      <vt:variant>
        <vt:i4>6</vt:i4>
      </vt:variant>
      <vt:variant>
        <vt:i4>0</vt:i4>
      </vt:variant>
      <vt:variant>
        <vt:i4>5</vt:i4>
      </vt:variant>
      <vt:variant>
        <vt:lpwstr>mailto:Tommaso.ALBERINI@ec.europa.eu</vt:lpwstr>
      </vt:variant>
      <vt:variant>
        <vt:lpwstr/>
      </vt:variant>
      <vt:variant>
        <vt:i4>7667785</vt:i4>
      </vt:variant>
      <vt:variant>
        <vt:i4>3</vt:i4>
      </vt:variant>
      <vt:variant>
        <vt:i4>0</vt:i4>
      </vt:variant>
      <vt:variant>
        <vt:i4>5</vt:i4>
      </vt:variant>
      <vt:variant>
        <vt:lpwstr>mailto:Tommaso.ALBERINI@ec.europa.eu</vt:lpwstr>
      </vt:variant>
      <vt:variant>
        <vt:lpwstr/>
      </vt:variant>
      <vt:variant>
        <vt:i4>852044</vt:i4>
      </vt:variant>
      <vt:variant>
        <vt:i4>0</vt:i4>
      </vt:variant>
      <vt:variant>
        <vt:i4>0</vt:i4>
      </vt:variant>
      <vt:variant>
        <vt:i4>5</vt:i4>
      </vt:variant>
      <vt:variant>
        <vt:lpwstr>https://europa.eu/eurobarometer/api/deliverable/download/file?deliverableId=88556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9</cp:revision>
  <dcterms:created xsi:type="dcterms:W3CDTF">2026-01-17T09:55:00Z</dcterms:created>
  <dcterms:modified xsi:type="dcterms:W3CDTF">2026-02-06T11:21:00Z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2025-12-16T02:48:54Z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a0490164-9051-4abb-aaa5-f39f72392588</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EC_TX_Corporate_x0020_Body">
    <vt:lpwstr/>
  </property>
  <property fmtid="{D5CDD505-2E9C-101B-9397-08002B2CF9AE}" pid="13" name="EC_TX_All_World_Countries">
    <vt:lpwstr/>
  </property>
  <property fmtid="{D5CDD505-2E9C-101B-9397-08002B2CF9AE}" pid="14" name="MediaServiceImageTags">
    <vt:lpwstr/>
  </property>
  <property fmtid="{D5CDD505-2E9C-101B-9397-08002B2CF9AE}" pid="15" name="ContentTypeId">
    <vt:lpwstr>0x01010093DEBFA01D8CDE41AAE050D7D7CF61F9</vt:lpwstr>
  </property>
  <property fmtid="{D5CDD505-2E9C-101B-9397-08002B2CF9AE}" pid="16" name="EC_TX_Corporate Body">
    <vt:lpwstr/>
  </property>
  <property fmtid="{D5CDD505-2E9C-101B-9397-08002B2CF9AE}" pid="17" name="i8c8ab8b63424c5d9f8c4a8434abf670">
    <vt:lpwstr/>
  </property>
  <property fmtid="{D5CDD505-2E9C-101B-9397-08002B2CF9AE}" pid="18" name="p26229aee9004b9f888149fd0449ec68">
    <vt:lpwstr/>
  </property>
  <property fmtid="{D5CDD505-2E9C-101B-9397-08002B2CF9AE}" pid="19" name="eff2cf69f10b4279bbb27215ca009b37">
    <vt:lpwstr/>
  </property>
  <property fmtid="{D5CDD505-2E9C-101B-9397-08002B2CF9AE}" pid="20" name="EC_TX_Resource_Type">
    <vt:lpwstr/>
  </property>
  <property fmtid="{D5CDD505-2E9C-101B-9397-08002B2CF9AE}" pid="21" name="EC_TX_Policy_Area">
    <vt:lpwstr/>
  </property>
  <property fmtid="{D5CDD505-2E9C-101B-9397-08002B2CF9AE}" pid="22" name="EC_TX_EU_Member_State">
    <vt:lpwstr/>
  </property>
  <property fmtid="{D5CDD505-2E9C-101B-9397-08002B2CF9AE}" pid="23" name="j8309f8bc3e645d1a2f07391f8e5795a">
    <vt:lpwstr/>
  </property>
  <property fmtid="{D5CDD505-2E9C-101B-9397-08002B2CF9AE}" pid="24" name="g81cb4d17be94922847ce418ea81f55a">
    <vt:lpwstr/>
  </property>
  <property fmtid="{D5CDD505-2E9C-101B-9397-08002B2CF9AE}" pid="25" name="TaxCatchAll">
    <vt:lpwstr/>
  </property>
  <property fmtid="{D5CDD505-2E9C-101B-9397-08002B2CF9AE}" pid="26" name="k2c54712f93b47eb83e1835ba301b6c6">
    <vt:lpwstr/>
  </property>
  <property fmtid="{D5CDD505-2E9C-101B-9397-08002B2CF9AE}" pid="27" name="EC_TX_Strategic_Priority">
    <vt:lpwstr/>
  </property>
  <property fmtid="{D5CDD505-2E9C-101B-9397-08002B2CF9AE}" pid="28" name="EC_TX_EU_Political_Leader">
    <vt:lpwstr/>
  </property>
  <property fmtid="{D5CDD505-2E9C-101B-9397-08002B2CF9AE}" pid="29" name="p6ffe5294acd41c38db3fcc8ababb05f">
    <vt:lpwstr/>
  </property>
  <property fmtid="{D5CDD505-2E9C-101B-9397-08002B2CF9AE}" pid="30" name="Level of sensitivity">
    <vt:lpwstr>Standard treatment</vt:lpwstr>
  </property>
  <property fmtid="{D5CDD505-2E9C-101B-9397-08002B2CF9AE}" pid="31" name="Part">
    <vt:lpwstr>1</vt:lpwstr>
  </property>
  <property fmtid="{D5CDD505-2E9C-101B-9397-08002B2CF9AE}" pid="32" name="Total parts">
    <vt:lpwstr>1</vt:lpwstr>
  </property>
  <property fmtid="{D5CDD505-2E9C-101B-9397-08002B2CF9AE}" pid="33" name="CPTemplateID">
    <vt:lpwstr>CP-014</vt:lpwstr>
  </property>
</Properties>
</file>