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8D6" w:rsidRDefault="00B266EB" w:rsidP="00B266E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B3ACDC6-3C27-48DA-96EE-67A9D3D8C543" style="width:455.25pt;height:426.75pt">
            <v:imagedata r:id="rId8" o:title=""/>
          </v:shape>
        </w:pict>
      </w:r>
    </w:p>
    <w:p w:rsidR="00B908D6" w:rsidRDefault="00B908D6" w:rsidP="00A6786D">
      <w:pPr>
        <w:rPr>
          <w:noProof/>
        </w:rPr>
        <w:sectPr w:rsidR="00B908D6" w:rsidSect="00B266EB">
          <w:footerReference w:type="even" r:id="rId9"/>
          <w:footerReference w:type="default" r:id="rId10"/>
          <w:pgSz w:w="11907" w:h="16839"/>
          <w:pgMar w:top="1134" w:right="1417" w:bottom="1134" w:left="1417" w:header="709" w:footer="709" w:gutter="0"/>
          <w:pgNumType w:start="0"/>
          <w:cols w:space="720"/>
          <w:docGrid w:linePitch="360"/>
        </w:sectPr>
      </w:pPr>
    </w:p>
    <w:p w:rsidR="00FF06AC" w:rsidRDefault="00FF06AC">
      <w:pPr>
        <w:pStyle w:val="Exposdesmotifstitre"/>
        <w:rPr>
          <w:noProof/>
        </w:rPr>
      </w:pPr>
      <w:bookmarkStart w:id="0" w:name="_GoBack"/>
      <w:bookmarkEnd w:id="0"/>
      <w:r w:rsidRPr="006F770D">
        <w:rPr>
          <w:noProof/>
        </w:rPr>
        <w:lastRenderedPageBreak/>
        <w:t>EXPLANATORY MEMORANDUM</w:t>
      </w:r>
    </w:p>
    <w:p w:rsidR="00FF06AC" w:rsidRPr="007262B1" w:rsidRDefault="00FF06AC" w:rsidP="00DE30A3">
      <w:pPr>
        <w:pStyle w:val="ManualHeading1"/>
        <w:rPr>
          <w:rFonts w:eastAsia="Arial Unicode MS"/>
          <w:noProof/>
        </w:rPr>
      </w:pPr>
      <w:r>
        <w:rPr>
          <w:noProof/>
        </w:rPr>
        <w:t>1.</w:t>
      </w:r>
      <w:r>
        <w:rPr>
          <w:noProof/>
        </w:rPr>
        <w:tab/>
      </w:r>
      <w:r w:rsidRPr="007262B1">
        <w:rPr>
          <w:rFonts w:eastAsia="Arial Unicode MS"/>
          <w:noProof/>
        </w:rPr>
        <w:t>Subject matter of the proposal</w:t>
      </w:r>
    </w:p>
    <w:p w:rsidR="00FF06AC" w:rsidRPr="007262B1" w:rsidRDefault="00FF06AC">
      <w:pPr>
        <w:rPr>
          <w:rFonts w:eastAsia="Arial Unicode MS"/>
          <w:noProof/>
        </w:rPr>
      </w:pPr>
      <w:r w:rsidRPr="007262B1">
        <w:rPr>
          <w:rFonts w:eastAsia="Arial Unicode MS"/>
          <w:noProof/>
        </w:rPr>
        <w:t xml:space="preserve">This proposal concerns the decision establishing the position to be taken on the Union's behalf in the </w:t>
      </w:r>
      <w:r w:rsidR="00BB7250" w:rsidRPr="00D94537">
        <w:rPr>
          <w:noProof/>
        </w:rPr>
        <w:t>Joint Committee</w:t>
      </w:r>
      <w:r w:rsidR="00F20566" w:rsidRPr="007262B1">
        <w:rPr>
          <w:noProof/>
        </w:rPr>
        <w:t xml:space="preserve"> </w:t>
      </w:r>
      <w:r w:rsidR="00F20566" w:rsidRPr="00D94537">
        <w:rPr>
          <w:noProof/>
        </w:rPr>
        <w:t xml:space="preserve">established under the Comprehensive Economic and Trade Agreement </w:t>
      </w:r>
      <w:r w:rsidR="00E06C70" w:rsidRPr="00D94537">
        <w:rPr>
          <w:noProof/>
        </w:rPr>
        <w:t xml:space="preserve">(‘CETA’ or ‘the Agreement’) </w:t>
      </w:r>
      <w:r w:rsidR="00F20566" w:rsidRPr="00D94537">
        <w:rPr>
          <w:noProof/>
        </w:rPr>
        <w:t>between Canada, of the one part, and the European Union and its Member States, of the other part</w:t>
      </w:r>
      <w:r w:rsidR="009830B3" w:rsidRPr="00D94537">
        <w:rPr>
          <w:noProof/>
        </w:rPr>
        <w:t xml:space="preserve"> (‘the Parties’)</w:t>
      </w:r>
      <w:r w:rsidR="00F20566" w:rsidRPr="00D94537">
        <w:rPr>
          <w:noProof/>
        </w:rPr>
        <w:t>,</w:t>
      </w:r>
      <w:r w:rsidRPr="00D94537">
        <w:rPr>
          <w:noProof/>
        </w:rPr>
        <w:t xml:space="preserve"> </w:t>
      </w:r>
      <w:r w:rsidRPr="007262B1">
        <w:rPr>
          <w:rFonts w:eastAsia="Arial Unicode MS"/>
          <w:noProof/>
        </w:rPr>
        <w:t xml:space="preserve">in connection with the envisaged adoption of </w:t>
      </w:r>
      <w:r w:rsidRPr="00D94537">
        <w:rPr>
          <w:noProof/>
        </w:rPr>
        <w:t>a decision concerning</w:t>
      </w:r>
      <w:r w:rsidR="00BB7250" w:rsidRPr="00D94537">
        <w:rPr>
          <w:noProof/>
        </w:rPr>
        <w:t xml:space="preserve"> the inclusion of active pharmaceutical ingredients </w:t>
      </w:r>
      <w:r w:rsidR="001C4A1A" w:rsidRPr="00D94537">
        <w:rPr>
          <w:noProof/>
        </w:rPr>
        <w:t xml:space="preserve">(‘API’) </w:t>
      </w:r>
      <w:r w:rsidR="007262B1" w:rsidRPr="00D94537">
        <w:rPr>
          <w:noProof/>
        </w:rPr>
        <w:t>as</w:t>
      </w:r>
      <w:r w:rsidR="00BB7250" w:rsidRPr="00D94537">
        <w:rPr>
          <w:noProof/>
        </w:rPr>
        <w:t xml:space="preserve"> medicinal products or drugs listed in </w:t>
      </w:r>
      <w:r w:rsidR="007262B1" w:rsidRPr="00D94537">
        <w:rPr>
          <w:noProof/>
        </w:rPr>
        <w:t xml:space="preserve">paragraph 2 of the </w:t>
      </w:r>
      <w:r w:rsidR="00BB7250" w:rsidRPr="00D94537">
        <w:rPr>
          <w:noProof/>
        </w:rPr>
        <w:t>Annex 1 to Protocol on the mutual recognition of the compliance and enforcement programme regarding good manufacturing practices for pharmaceutical products</w:t>
      </w:r>
      <w:r w:rsidRPr="00D94537">
        <w:rPr>
          <w:noProof/>
        </w:rPr>
        <w:t>.</w:t>
      </w:r>
    </w:p>
    <w:p w:rsidR="00FF06AC" w:rsidRPr="007262B1" w:rsidRDefault="00FF06AC">
      <w:pPr>
        <w:pStyle w:val="ManualHeading1"/>
        <w:rPr>
          <w:noProof/>
        </w:rPr>
      </w:pPr>
      <w:r>
        <w:rPr>
          <w:noProof/>
        </w:rPr>
        <w:t>2.</w:t>
      </w:r>
      <w:r>
        <w:rPr>
          <w:noProof/>
        </w:rPr>
        <w:tab/>
      </w:r>
      <w:r w:rsidRPr="007262B1">
        <w:rPr>
          <w:noProof/>
        </w:rPr>
        <w:t>Context of the proposal</w:t>
      </w:r>
    </w:p>
    <w:p w:rsidR="00FF06AC" w:rsidRPr="007262B1" w:rsidRDefault="00FF06AC">
      <w:pPr>
        <w:pStyle w:val="ManualHeading2"/>
        <w:rPr>
          <w:noProof/>
        </w:rPr>
      </w:pPr>
      <w:r>
        <w:rPr>
          <w:noProof/>
        </w:rPr>
        <w:t>2.1.</w:t>
      </w:r>
      <w:r>
        <w:rPr>
          <w:noProof/>
        </w:rPr>
        <w:tab/>
      </w:r>
      <w:r w:rsidRPr="007262B1">
        <w:rPr>
          <w:noProof/>
        </w:rPr>
        <w:t xml:space="preserve">The </w:t>
      </w:r>
      <w:r w:rsidR="00BB7250" w:rsidRPr="00D94537">
        <w:rPr>
          <w:noProof/>
        </w:rPr>
        <w:t xml:space="preserve">Comprehensive Economic and Trade Agreement </w:t>
      </w:r>
    </w:p>
    <w:p w:rsidR="007262B1" w:rsidRPr="00D94537" w:rsidRDefault="003C27AA">
      <w:pPr>
        <w:rPr>
          <w:noProof/>
        </w:rPr>
      </w:pPr>
      <w:r w:rsidRPr="00D94537">
        <w:rPr>
          <w:noProof/>
        </w:rPr>
        <w:t>The C</w:t>
      </w:r>
      <w:r w:rsidR="00E06C70" w:rsidRPr="00D94537">
        <w:rPr>
          <w:noProof/>
        </w:rPr>
        <w:t xml:space="preserve">ETA </w:t>
      </w:r>
      <w:r w:rsidRPr="00D94537">
        <w:rPr>
          <w:noProof/>
        </w:rPr>
        <w:t>aims to liberalise and facilitate trade and investment, as well as to promote a closer economic relationship between the Union and Canada. The Agreement was signed on 30</w:t>
      </w:r>
      <w:r w:rsidR="00363967">
        <w:rPr>
          <w:noProof/>
        </w:rPr>
        <w:t> </w:t>
      </w:r>
      <w:r w:rsidRPr="00D94537">
        <w:rPr>
          <w:noProof/>
        </w:rPr>
        <w:t xml:space="preserve">October 2016 and has been provisionally applied since 21 September 2017. </w:t>
      </w:r>
    </w:p>
    <w:p w:rsidR="00FF06AC" w:rsidRPr="007262B1" w:rsidRDefault="003C27AA">
      <w:pPr>
        <w:rPr>
          <w:noProof/>
        </w:rPr>
      </w:pPr>
      <w:r w:rsidRPr="00D94537">
        <w:rPr>
          <w:noProof/>
        </w:rPr>
        <w:t xml:space="preserve">The Agreement contains the </w:t>
      </w:r>
      <w:r w:rsidR="00BB7250" w:rsidRPr="007262B1">
        <w:rPr>
          <w:rFonts w:eastAsia="Arial Unicode MS"/>
          <w:noProof/>
        </w:rPr>
        <w:t>Protocol on the mutual recognition of the compliance and enforcement programme regarding good manufacturing practices</w:t>
      </w:r>
      <w:r w:rsidR="00AA4EB9">
        <w:rPr>
          <w:rFonts w:eastAsia="Arial Unicode MS"/>
          <w:noProof/>
        </w:rPr>
        <w:t xml:space="preserve"> (‘GMP’)</w:t>
      </w:r>
      <w:r w:rsidR="00BB7250" w:rsidRPr="007262B1">
        <w:rPr>
          <w:rFonts w:eastAsia="Arial Unicode MS"/>
          <w:noProof/>
        </w:rPr>
        <w:t xml:space="preserve"> for pharmaceutical products to the Comprehensive Economic and Trade Agreement </w:t>
      </w:r>
      <w:r w:rsidR="00FF06AC" w:rsidRPr="007262B1">
        <w:rPr>
          <w:rFonts w:eastAsia="Arial Unicode MS"/>
          <w:noProof/>
        </w:rPr>
        <w:t>(‘the</w:t>
      </w:r>
      <w:r w:rsidR="003E55BB">
        <w:rPr>
          <w:rFonts w:eastAsia="Arial Unicode MS"/>
          <w:noProof/>
        </w:rPr>
        <w:t xml:space="preserve"> GMP</w:t>
      </w:r>
      <w:r w:rsidR="00FF06AC" w:rsidRPr="007262B1">
        <w:rPr>
          <w:rFonts w:eastAsia="Arial Unicode MS"/>
          <w:noProof/>
        </w:rPr>
        <w:t xml:space="preserve"> </w:t>
      </w:r>
      <w:r w:rsidR="00BB7250" w:rsidRPr="007262B1">
        <w:rPr>
          <w:rFonts w:eastAsia="Arial Unicode MS"/>
          <w:noProof/>
        </w:rPr>
        <w:t>Protocol</w:t>
      </w:r>
      <w:r w:rsidR="00FF06AC" w:rsidRPr="007262B1">
        <w:rPr>
          <w:rFonts w:eastAsia="Arial Unicode MS"/>
          <w:noProof/>
        </w:rPr>
        <w:t>’)</w:t>
      </w:r>
      <w:r w:rsidR="005C2427">
        <w:rPr>
          <w:rFonts w:eastAsia="Arial Unicode MS"/>
          <w:noProof/>
        </w:rPr>
        <w:t>,</w:t>
      </w:r>
      <w:r w:rsidRPr="007262B1">
        <w:rPr>
          <w:rFonts w:eastAsia="Arial Unicode MS"/>
          <w:noProof/>
        </w:rPr>
        <w:t xml:space="preserve"> which</w:t>
      </w:r>
      <w:r w:rsidR="00FF06AC" w:rsidRPr="007262B1">
        <w:rPr>
          <w:rFonts w:eastAsia="Arial Unicode MS"/>
          <w:noProof/>
        </w:rPr>
        <w:t xml:space="preserve"> aims to </w:t>
      </w:r>
      <w:r w:rsidR="00BB7250" w:rsidRPr="00D94537">
        <w:rPr>
          <w:noProof/>
        </w:rPr>
        <w:t>strengthen the cooperation between the authorities of the Parties in ensuring that medicinal products and drugs meet appropriate quality standards through the mutual recognition of certificates of GMP compliance</w:t>
      </w:r>
      <w:r w:rsidR="00FF06AC" w:rsidRPr="007262B1">
        <w:rPr>
          <w:rFonts w:eastAsia="Arial Unicode MS"/>
          <w:noProof/>
        </w:rPr>
        <w:t xml:space="preserve">. </w:t>
      </w:r>
    </w:p>
    <w:p w:rsidR="00FF06AC" w:rsidRPr="007262B1" w:rsidRDefault="00FF06AC">
      <w:pPr>
        <w:pStyle w:val="ManualHeading2"/>
        <w:rPr>
          <w:noProof/>
        </w:rPr>
      </w:pPr>
      <w:r>
        <w:rPr>
          <w:noProof/>
        </w:rPr>
        <w:t>2.2.</w:t>
      </w:r>
      <w:r>
        <w:rPr>
          <w:noProof/>
        </w:rPr>
        <w:tab/>
      </w:r>
      <w:r w:rsidRPr="007262B1">
        <w:rPr>
          <w:noProof/>
        </w:rPr>
        <w:t xml:space="preserve">The </w:t>
      </w:r>
      <w:r w:rsidR="003C27AA" w:rsidRPr="00D94537">
        <w:rPr>
          <w:noProof/>
        </w:rPr>
        <w:t>CETA Joint Committee</w:t>
      </w:r>
    </w:p>
    <w:p w:rsidR="00F20566" w:rsidRPr="00D94537" w:rsidRDefault="00FF06AC" w:rsidP="00F20566">
      <w:pPr>
        <w:rPr>
          <w:noProof/>
        </w:rPr>
      </w:pPr>
      <w:r w:rsidRPr="007262B1">
        <w:rPr>
          <w:rFonts w:eastAsia="Arial Unicode MS"/>
          <w:noProof/>
        </w:rPr>
        <w:t xml:space="preserve">The </w:t>
      </w:r>
      <w:r w:rsidR="003C27AA" w:rsidRPr="00D94537">
        <w:rPr>
          <w:noProof/>
        </w:rPr>
        <w:t>CETA Joint Committee</w:t>
      </w:r>
      <w:r w:rsidRPr="00D94537">
        <w:rPr>
          <w:noProof/>
        </w:rPr>
        <w:t xml:space="preserve"> </w:t>
      </w:r>
      <w:r w:rsidR="00F20566" w:rsidRPr="00D94537">
        <w:rPr>
          <w:noProof/>
        </w:rPr>
        <w:t>is established under Article 26.1 of the Agreement</w:t>
      </w:r>
      <w:r w:rsidR="007262B1" w:rsidRPr="00D94537">
        <w:rPr>
          <w:noProof/>
        </w:rPr>
        <w:t xml:space="preserve"> and </w:t>
      </w:r>
      <w:r w:rsidR="00F20566" w:rsidRPr="00D94537">
        <w:rPr>
          <w:noProof/>
        </w:rPr>
        <w:t>comprises representatives of the Union and Canada</w:t>
      </w:r>
      <w:r w:rsidR="007262B1" w:rsidRPr="00D94537">
        <w:rPr>
          <w:noProof/>
        </w:rPr>
        <w:t xml:space="preserve">. </w:t>
      </w:r>
      <w:r w:rsidR="00F20566" w:rsidRPr="00D94537">
        <w:rPr>
          <w:noProof/>
        </w:rPr>
        <w:t>The CETA Joint Committee is responsible for all questions concerning trade and investment between the Parties and the implementation and application of the Agreement.</w:t>
      </w:r>
    </w:p>
    <w:p w:rsidR="00F20566" w:rsidRPr="00D94537" w:rsidRDefault="003E55BB" w:rsidP="00F20566">
      <w:pPr>
        <w:rPr>
          <w:noProof/>
        </w:rPr>
      </w:pPr>
      <w:r w:rsidRPr="00D94537">
        <w:rPr>
          <w:noProof/>
        </w:rPr>
        <w:t xml:space="preserve">In accordance with Article 26.1(5)(c) of the Agreement, the CETA Joint Committee </w:t>
      </w:r>
      <w:r w:rsidR="009830B3" w:rsidRPr="00D94537">
        <w:rPr>
          <w:noProof/>
        </w:rPr>
        <w:t>‘</w:t>
      </w:r>
      <w:r w:rsidRPr="00D94537">
        <w:rPr>
          <w:noProof/>
        </w:rPr>
        <w:t>may consider or agree on amendments as provided in this Agreement</w:t>
      </w:r>
      <w:r w:rsidR="009830B3" w:rsidRPr="00D94537">
        <w:rPr>
          <w:noProof/>
        </w:rPr>
        <w:t>’</w:t>
      </w:r>
      <w:r w:rsidRPr="00D94537">
        <w:rPr>
          <w:noProof/>
        </w:rPr>
        <w:t xml:space="preserve">. Relatedly, Article 30.2 of the Agreement provides that </w:t>
      </w:r>
      <w:r w:rsidR="009830B3" w:rsidRPr="00D94537">
        <w:rPr>
          <w:noProof/>
        </w:rPr>
        <w:t>‘</w:t>
      </w:r>
      <w:r w:rsidRPr="00D94537">
        <w:rPr>
          <w:noProof/>
        </w:rPr>
        <w:t>the CETA Joint Committee may decide to amend the protocols and annexes of this Agreement</w:t>
      </w:r>
      <w:r w:rsidR="009830B3" w:rsidRPr="00D94537">
        <w:rPr>
          <w:noProof/>
        </w:rPr>
        <w:t>’</w:t>
      </w:r>
      <w:r w:rsidRPr="00D94537">
        <w:rPr>
          <w:noProof/>
        </w:rPr>
        <w:t>, which includes the GMP Protocol. Pursuant to Article 26.3</w:t>
      </w:r>
      <w:r w:rsidR="001331A5" w:rsidRPr="00D94537">
        <w:rPr>
          <w:noProof/>
        </w:rPr>
        <w:t>(3)</w:t>
      </w:r>
      <w:r w:rsidRPr="00D94537">
        <w:rPr>
          <w:noProof/>
        </w:rPr>
        <w:t xml:space="preserve"> of the Agreement, such decision shall be made by mutual consent of the Parties</w:t>
      </w:r>
      <w:r w:rsidR="001331A5" w:rsidRPr="00D94537">
        <w:rPr>
          <w:noProof/>
        </w:rPr>
        <w:t>.</w:t>
      </w:r>
      <w:r w:rsidRPr="00D94537">
        <w:rPr>
          <w:noProof/>
        </w:rPr>
        <w:t xml:space="preserve"> </w:t>
      </w:r>
    </w:p>
    <w:p w:rsidR="007262B1" w:rsidRPr="007262B1" w:rsidRDefault="007262B1" w:rsidP="007262B1">
      <w:pPr>
        <w:rPr>
          <w:rFonts w:eastAsia="Arial Unicode MS"/>
          <w:noProof/>
        </w:rPr>
      </w:pPr>
      <w:r w:rsidRPr="00D94537">
        <w:rPr>
          <w:noProof/>
        </w:rPr>
        <w:t xml:space="preserve">In accordance with Rule 10.2 of the Rules of Procedure of the CETA Joint Committee, in the period between meetings, the CETA Joint Committee may adopt decisions or recommendations by written procedure if the Parties to the Agreement decide by mutual consent. For that purpose, the text of the proposal will be circulated in writing from the co-chairs to the members of the CETA Joint Committee pursuant to </w:t>
      </w:r>
      <w:r w:rsidR="009830B3" w:rsidRPr="00D94537">
        <w:rPr>
          <w:noProof/>
        </w:rPr>
        <w:t xml:space="preserve">the </w:t>
      </w:r>
      <w:r w:rsidR="00361691" w:rsidRPr="00D94537">
        <w:rPr>
          <w:noProof/>
        </w:rPr>
        <w:t xml:space="preserve">correspondence requirements under </w:t>
      </w:r>
      <w:r w:rsidRPr="00D94537">
        <w:rPr>
          <w:noProof/>
        </w:rPr>
        <w:t>Rule 7</w:t>
      </w:r>
      <w:r w:rsidR="00361691" w:rsidRPr="00D94537">
        <w:rPr>
          <w:noProof/>
        </w:rPr>
        <w:t xml:space="preserve"> of the Rules of Procedure of the CETA Joint Committee</w:t>
      </w:r>
      <w:r w:rsidRPr="00D94537">
        <w:rPr>
          <w:noProof/>
        </w:rPr>
        <w:t xml:space="preserve">, with a time limit within which members will make known any concerns or amendments they wish to make. Adopted proposals will be communicated pursuant to </w:t>
      </w:r>
      <w:r w:rsidR="00361691" w:rsidRPr="00D94537">
        <w:rPr>
          <w:noProof/>
        </w:rPr>
        <w:t>the same correspondence requirements</w:t>
      </w:r>
      <w:r w:rsidRPr="00D94537">
        <w:rPr>
          <w:noProof/>
        </w:rPr>
        <w:t xml:space="preserve"> once the time limit has elapsed and recorded in the minutes of the next meeting.</w:t>
      </w:r>
    </w:p>
    <w:p w:rsidR="00FF06AC" w:rsidRPr="00563082" w:rsidRDefault="00FF06AC">
      <w:pPr>
        <w:pStyle w:val="ManualHeading2"/>
        <w:rPr>
          <w:noProof/>
        </w:rPr>
      </w:pPr>
      <w:r>
        <w:rPr>
          <w:noProof/>
        </w:rPr>
        <w:t>2.3.</w:t>
      </w:r>
      <w:r>
        <w:rPr>
          <w:noProof/>
        </w:rPr>
        <w:tab/>
      </w:r>
      <w:r w:rsidRPr="00563082">
        <w:rPr>
          <w:noProof/>
        </w:rPr>
        <w:t>The envisaged act of the</w:t>
      </w:r>
      <w:r w:rsidRPr="00D94537">
        <w:rPr>
          <w:noProof/>
        </w:rPr>
        <w:t xml:space="preserve"> </w:t>
      </w:r>
      <w:r w:rsidR="003C27AA" w:rsidRPr="00D94537">
        <w:rPr>
          <w:noProof/>
        </w:rPr>
        <w:t>CETA Joint Committee</w:t>
      </w:r>
    </w:p>
    <w:p w:rsidR="008A4CC7" w:rsidRPr="00D94537" w:rsidRDefault="001C70A7" w:rsidP="001331A5">
      <w:pPr>
        <w:rPr>
          <w:noProof/>
        </w:rPr>
      </w:pPr>
      <w:r w:rsidRPr="001C70A7">
        <w:rPr>
          <w:rFonts w:eastAsia="Arial Unicode MS"/>
          <w:noProof/>
        </w:rPr>
        <w:t xml:space="preserve">The </w:t>
      </w:r>
      <w:r w:rsidR="009A5E42" w:rsidRPr="001C70A7">
        <w:rPr>
          <w:rFonts w:eastAsia="Arial Unicode MS"/>
          <w:noProof/>
        </w:rPr>
        <w:t>paragraph 1</w:t>
      </w:r>
      <w:r w:rsidR="009A5E42">
        <w:rPr>
          <w:rFonts w:eastAsia="Arial Unicode MS"/>
          <w:noProof/>
        </w:rPr>
        <w:t xml:space="preserve"> of Annex 1 of the </w:t>
      </w:r>
      <w:r w:rsidRPr="001C70A7">
        <w:rPr>
          <w:rFonts w:eastAsia="Arial Unicode MS"/>
          <w:noProof/>
        </w:rPr>
        <w:t xml:space="preserve">GMP </w:t>
      </w:r>
      <w:r w:rsidR="009A5E42">
        <w:rPr>
          <w:rFonts w:eastAsia="Arial Unicode MS"/>
          <w:noProof/>
        </w:rPr>
        <w:t>P</w:t>
      </w:r>
      <w:r w:rsidRPr="001C70A7">
        <w:rPr>
          <w:rFonts w:eastAsia="Arial Unicode MS"/>
          <w:noProof/>
        </w:rPr>
        <w:t xml:space="preserve">rotocol lists APIs as medicinal products or drugs within the scope of the </w:t>
      </w:r>
      <w:r w:rsidR="009A5E42">
        <w:rPr>
          <w:rFonts w:eastAsia="Arial Unicode MS"/>
          <w:noProof/>
        </w:rPr>
        <w:t>GMP Protocol</w:t>
      </w:r>
      <w:r w:rsidRPr="001C70A7">
        <w:rPr>
          <w:rFonts w:eastAsia="Arial Unicode MS"/>
          <w:noProof/>
        </w:rPr>
        <w:t xml:space="preserve">, but does not yet include them in </w:t>
      </w:r>
      <w:r w:rsidR="009A5E42">
        <w:rPr>
          <w:rFonts w:eastAsia="Arial Unicode MS"/>
          <w:noProof/>
        </w:rPr>
        <w:t>its</w:t>
      </w:r>
      <w:r w:rsidRPr="001C70A7">
        <w:rPr>
          <w:rFonts w:eastAsia="Arial Unicode MS"/>
          <w:noProof/>
        </w:rPr>
        <w:t xml:space="preserve"> operational scope, pending assessment by the Parties. </w:t>
      </w:r>
      <w:r w:rsidR="009A5E42">
        <w:rPr>
          <w:rFonts w:eastAsia="Arial Unicode MS"/>
          <w:noProof/>
        </w:rPr>
        <w:t>Article 15(6) of the GMP Protocol</w:t>
      </w:r>
      <w:r w:rsidRPr="001C70A7">
        <w:rPr>
          <w:rFonts w:eastAsia="Arial Unicode MS"/>
          <w:noProof/>
        </w:rPr>
        <w:t xml:space="preserve"> states that the Joint </w:t>
      </w:r>
      <w:r w:rsidRPr="001C70A7">
        <w:rPr>
          <w:rFonts w:eastAsia="Arial Unicode MS"/>
          <w:noProof/>
        </w:rPr>
        <w:lastRenderedPageBreak/>
        <w:t xml:space="preserve">Sectoral Group </w:t>
      </w:r>
      <w:r w:rsidR="009A5E42">
        <w:rPr>
          <w:rFonts w:eastAsia="Arial Unicode MS"/>
          <w:noProof/>
        </w:rPr>
        <w:t>will</w:t>
      </w:r>
      <w:r w:rsidRPr="001C70A7">
        <w:rPr>
          <w:rFonts w:eastAsia="Arial Unicode MS"/>
          <w:noProof/>
        </w:rPr>
        <w:t xml:space="preserve"> review the operational scope of medicinal products or drugs, with a view to including those listed in </w:t>
      </w:r>
      <w:r w:rsidR="009A5E42">
        <w:rPr>
          <w:rFonts w:eastAsia="Arial Unicode MS"/>
          <w:noProof/>
        </w:rPr>
        <w:t>Annex 1</w:t>
      </w:r>
      <w:r w:rsidRPr="001C70A7">
        <w:rPr>
          <w:rFonts w:eastAsia="Arial Unicode MS"/>
          <w:noProof/>
        </w:rPr>
        <w:t>.</w:t>
      </w:r>
    </w:p>
    <w:p w:rsidR="003458A1" w:rsidRPr="00D94537" w:rsidRDefault="009A5E42" w:rsidP="0071626F">
      <w:pPr>
        <w:rPr>
          <w:noProof/>
        </w:rPr>
      </w:pPr>
      <w:r w:rsidRPr="00D94537">
        <w:rPr>
          <w:noProof/>
        </w:rPr>
        <w:t>B</w:t>
      </w:r>
      <w:r w:rsidR="001331A5" w:rsidRPr="00D94537">
        <w:rPr>
          <w:noProof/>
        </w:rPr>
        <w:t xml:space="preserve">y letter dated 1 October 2018, </w:t>
      </w:r>
      <w:r w:rsidRPr="00D94537">
        <w:rPr>
          <w:noProof/>
        </w:rPr>
        <w:t>Canada requested</w:t>
      </w:r>
      <w:r w:rsidRPr="00D94537" w:rsidDel="008A4CC7">
        <w:rPr>
          <w:noProof/>
        </w:rPr>
        <w:t xml:space="preserve"> </w:t>
      </w:r>
      <w:r w:rsidR="00EA30F9" w:rsidRPr="00EA30F9">
        <w:rPr>
          <w:rFonts w:eastAsia="Arial Unicode MS"/>
          <w:noProof/>
        </w:rPr>
        <w:t>to be included in a list of third countries ensuring an equivalent level of protection of public health</w:t>
      </w:r>
      <w:r w:rsidR="00EA30F9">
        <w:rPr>
          <w:rFonts w:eastAsia="Arial Unicode MS"/>
          <w:noProof/>
        </w:rPr>
        <w:t xml:space="preserve"> </w:t>
      </w:r>
      <w:r w:rsidR="00EA30F9" w:rsidRPr="00D94537">
        <w:rPr>
          <w:noProof/>
        </w:rPr>
        <w:t xml:space="preserve">as regards the </w:t>
      </w:r>
      <w:r w:rsidR="00EA30F9" w:rsidRPr="00EA30F9">
        <w:rPr>
          <w:rFonts w:eastAsia="Arial Unicode MS"/>
          <w:noProof/>
        </w:rPr>
        <w:t>regulatory framework applicable to active substances exported to the Union and the respective control and enforcement activities</w:t>
      </w:r>
      <w:r w:rsidR="008675B0">
        <w:rPr>
          <w:rFonts w:eastAsia="Arial Unicode MS"/>
          <w:noProof/>
        </w:rPr>
        <w:t>,</w:t>
      </w:r>
      <w:r w:rsidR="00EA30F9" w:rsidRPr="00EA30F9">
        <w:rPr>
          <w:rFonts w:eastAsia="Arial Unicode MS"/>
          <w:noProof/>
        </w:rPr>
        <w:t xml:space="preserve"> </w:t>
      </w:r>
      <w:r w:rsidR="008A4CC7" w:rsidRPr="00F246B5">
        <w:rPr>
          <w:noProof/>
        </w:rPr>
        <w:t>in accordance with Article 111b(1) of Directive 2001/83/EC</w:t>
      </w:r>
      <w:r w:rsidR="008A4CC7">
        <w:rPr>
          <w:rStyle w:val="FootnoteReference"/>
          <w:rFonts w:eastAsia="Arial Unicode MS"/>
          <w:noProof/>
        </w:rPr>
        <w:footnoteReference w:id="1"/>
      </w:r>
      <w:r w:rsidR="008A4CC7" w:rsidRPr="00D94537">
        <w:rPr>
          <w:noProof/>
        </w:rPr>
        <w:t>.</w:t>
      </w:r>
      <w:r w:rsidR="00B239E2" w:rsidRPr="00D94537">
        <w:rPr>
          <w:noProof/>
        </w:rPr>
        <w:t xml:space="preserve"> </w:t>
      </w:r>
      <w:r w:rsidR="00713FDD" w:rsidRPr="00D94537">
        <w:rPr>
          <w:noProof/>
        </w:rPr>
        <w:t xml:space="preserve">To decide </w:t>
      </w:r>
      <w:r w:rsidR="003458A1" w:rsidRPr="00D94537">
        <w:rPr>
          <w:noProof/>
        </w:rPr>
        <w:t>on</w:t>
      </w:r>
      <w:r w:rsidR="00713FDD" w:rsidRPr="00D94537">
        <w:rPr>
          <w:noProof/>
        </w:rPr>
        <w:t xml:space="preserve"> </w:t>
      </w:r>
      <w:r w:rsidR="003458A1" w:rsidRPr="00D94537">
        <w:rPr>
          <w:noProof/>
        </w:rPr>
        <w:t>Canada’s</w:t>
      </w:r>
      <w:r w:rsidR="00713FDD" w:rsidRPr="00D94537">
        <w:rPr>
          <w:noProof/>
        </w:rPr>
        <w:t xml:space="preserve"> </w:t>
      </w:r>
      <w:r w:rsidR="003458A1" w:rsidRPr="00D94537">
        <w:rPr>
          <w:noProof/>
        </w:rPr>
        <w:t>request</w:t>
      </w:r>
      <w:r w:rsidR="00713FDD" w:rsidRPr="00D94537">
        <w:rPr>
          <w:noProof/>
        </w:rPr>
        <w:t>, the Commission reviewed the relevant documentation and conducted an on-site audit in Canada</w:t>
      </w:r>
      <w:r w:rsidR="00961FA0" w:rsidRPr="00D94537">
        <w:rPr>
          <w:noProof/>
        </w:rPr>
        <w:t xml:space="preserve"> </w:t>
      </w:r>
      <w:r w:rsidR="001C70A7" w:rsidRPr="00D94537">
        <w:rPr>
          <w:noProof/>
        </w:rPr>
        <w:t>in</w:t>
      </w:r>
      <w:r w:rsidR="001331A5" w:rsidRPr="00D94537">
        <w:rPr>
          <w:noProof/>
        </w:rPr>
        <w:t xml:space="preserve"> June 2022.</w:t>
      </w:r>
      <w:r w:rsidR="00EA30F9" w:rsidRPr="00D94537">
        <w:rPr>
          <w:noProof/>
        </w:rPr>
        <w:t xml:space="preserve"> </w:t>
      </w:r>
    </w:p>
    <w:p w:rsidR="0071626F" w:rsidRPr="0071626F" w:rsidRDefault="0071626F" w:rsidP="0071626F">
      <w:pPr>
        <w:rPr>
          <w:rFonts w:eastAsia="Arial Unicode MS"/>
          <w:noProof/>
          <w:lang w:val="en-IE"/>
        </w:rPr>
      </w:pPr>
      <w:r>
        <w:rPr>
          <w:rFonts w:eastAsia="Arial Unicode MS"/>
          <w:noProof/>
          <w:lang w:val="en-IE"/>
        </w:rPr>
        <w:t>B</w:t>
      </w:r>
      <w:r w:rsidRPr="0071626F">
        <w:rPr>
          <w:rFonts w:eastAsia="Arial Unicode MS"/>
          <w:noProof/>
          <w:lang w:val="en-IE"/>
        </w:rPr>
        <w:t>ased on th</w:t>
      </w:r>
      <w:r>
        <w:rPr>
          <w:rFonts w:eastAsia="Arial Unicode MS"/>
          <w:noProof/>
          <w:lang w:val="en-IE"/>
        </w:rPr>
        <w:t>is</w:t>
      </w:r>
      <w:r w:rsidRPr="0071626F">
        <w:rPr>
          <w:rFonts w:eastAsia="Arial Unicode MS"/>
          <w:noProof/>
          <w:lang w:val="en-IE"/>
        </w:rPr>
        <w:t xml:space="preserve"> </w:t>
      </w:r>
      <w:r>
        <w:rPr>
          <w:rFonts w:eastAsia="Arial Unicode MS"/>
          <w:noProof/>
          <w:lang w:val="en-IE"/>
        </w:rPr>
        <w:t>assessment</w:t>
      </w:r>
      <w:r w:rsidRPr="0071626F">
        <w:rPr>
          <w:rFonts w:eastAsia="Arial Unicode MS"/>
          <w:noProof/>
          <w:lang w:val="en-IE"/>
        </w:rPr>
        <w:t xml:space="preserve">, </w:t>
      </w:r>
      <w:r>
        <w:rPr>
          <w:rFonts w:eastAsia="Arial Unicode MS"/>
          <w:noProof/>
          <w:lang w:val="en-IE"/>
        </w:rPr>
        <w:t>t</w:t>
      </w:r>
      <w:r w:rsidRPr="0071626F">
        <w:rPr>
          <w:rFonts w:eastAsia="Arial Unicode MS"/>
          <w:noProof/>
          <w:lang w:val="en-IE"/>
        </w:rPr>
        <w:t xml:space="preserve">he </w:t>
      </w:r>
      <w:r w:rsidR="00F02750">
        <w:rPr>
          <w:rFonts w:eastAsia="Arial Unicode MS"/>
          <w:noProof/>
          <w:lang w:val="en-IE"/>
        </w:rPr>
        <w:t>a</w:t>
      </w:r>
      <w:r w:rsidRPr="0071626F">
        <w:rPr>
          <w:rFonts w:eastAsia="Arial Unicode MS"/>
          <w:noProof/>
          <w:lang w:val="en-IE"/>
        </w:rPr>
        <w:t xml:space="preserve">nnex to Implementing Decision 2012/715/EU was amended </w:t>
      </w:r>
      <w:r w:rsidR="00F02750">
        <w:rPr>
          <w:rFonts w:eastAsia="Arial Unicode MS"/>
          <w:noProof/>
          <w:lang w:val="en-IE"/>
        </w:rPr>
        <w:t xml:space="preserve">by </w:t>
      </w:r>
      <w:r w:rsidR="00F02750" w:rsidRPr="00800C2E">
        <w:rPr>
          <w:rFonts w:eastAsia="Arial Unicode MS"/>
          <w:noProof/>
          <w:lang w:val="en-IE"/>
        </w:rPr>
        <w:t>Commission Implementing Decision (EU) 2023/172 of 24 January 2023</w:t>
      </w:r>
      <w:r w:rsidR="00F02750" w:rsidRPr="0071626F">
        <w:rPr>
          <w:rFonts w:eastAsia="Arial Unicode MS"/>
          <w:noProof/>
          <w:lang w:val="en-IE"/>
        </w:rPr>
        <w:t xml:space="preserve"> to</w:t>
      </w:r>
      <w:r w:rsidRPr="0071626F">
        <w:rPr>
          <w:rFonts w:eastAsia="Arial Unicode MS"/>
          <w:noProof/>
          <w:lang w:val="en-IE"/>
        </w:rPr>
        <w:t xml:space="preserve"> include Canada in the list of third countries </w:t>
      </w:r>
      <w:r w:rsidR="00EA30F9">
        <w:rPr>
          <w:rFonts w:eastAsia="Arial Unicode MS"/>
          <w:noProof/>
          <w:lang w:val="en-IE"/>
        </w:rPr>
        <w:t>for importation of active substances</w:t>
      </w:r>
      <w:r w:rsidR="00060A1F">
        <w:rPr>
          <w:rFonts w:eastAsia="Arial Unicode MS"/>
          <w:noProof/>
          <w:lang w:val="en-IE"/>
        </w:rPr>
        <w:t>.</w:t>
      </w:r>
      <w:r>
        <w:rPr>
          <w:rFonts w:eastAsia="Arial Unicode MS"/>
          <w:noProof/>
          <w:lang w:val="en-IE"/>
        </w:rPr>
        <w:t xml:space="preserve"> </w:t>
      </w:r>
      <w:r w:rsidR="00D47F10">
        <w:rPr>
          <w:noProof/>
          <w:lang w:eastAsia="en-IE"/>
        </w:rPr>
        <w:t xml:space="preserve">As </w:t>
      </w:r>
      <w:r w:rsidR="00D47F10" w:rsidRPr="00B239E2">
        <w:rPr>
          <w:noProof/>
          <w:lang w:eastAsia="en-IE"/>
        </w:rPr>
        <w:t>a consequence</w:t>
      </w:r>
      <w:r w:rsidR="00C27721">
        <w:rPr>
          <w:noProof/>
          <w:lang w:eastAsia="en-IE"/>
        </w:rPr>
        <w:t xml:space="preserve">, pursuant to </w:t>
      </w:r>
      <w:r w:rsidR="00C27721" w:rsidRPr="00C27721">
        <w:rPr>
          <w:noProof/>
          <w:lang w:eastAsia="en-IE"/>
        </w:rPr>
        <w:t>Article 46b(</w:t>
      </w:r>
      <w:r w:rsidR="00C27721">
        <w:rPr>
          <w:noProof/>
          <w:lang w:eastAsia="en-IE"/>
        </w:rPr>
        <w:t>3</w:t>
      </w:r>
      <w:r w:rsidR="00C27721" w:rsidRPr="00C27721">
        <w:rPr>
          <w:noProof/>
          <w:lang w:eastAsia="en-IE"/>
        </w:rPr>
        <w:t>) of Directive 2001/83/EC</w:t>
      </w:r>
      <w:r w:rsidR="00D47F10" w:rsidRPr="00B239E2">
        <w:rPr>
          <w:noProof/>
          <w:lang w:eastAsia="en-IE"/>
        </w:rPr>
        <w:t xml:space="preserve">, the importers of </w:t>
      </w:r>
      <w:r w:rsidR="003458A1">
        <w:rPr>
          <w:noProof/>
          <w:lang w:eastAsia="en-IE"/>
        </w:rPr>
        <w:t>APIs</w:t>
      </w:r>
      <w:r w:rsidR="00D47F10" w:rsidRPr="00B239E2">
        <w:rPr>
          <w:noProof/>
          <w:lang w:eastAsia="en-IE"/>
        </w:rPr>
        <w:t xml:space="preserve"> manufactured in Canada are no longer required to provide a written confirmation</w:t>
      </w:r>
      <w:r w:rsidR="00C27721">
        <w:rPr>
          <w:noProof/>
          <w:lang w:eastAsia="en-IE"/>
        </w:rPr>
        <w:t>, as</w:t>
      </w:r>
      <w:r w:rsidR="00D47F10" w:rsidRPr="00B239E2">
        <w:rPr>
          <w:noProof/>
          <w:lang w:eastAsia="en-IE"/>
        </w:rPr>
        <w:t xml:space="preserve"> </w:t>
      </w:r>
      <w:r w:rsidR="00C27721">
        <w:rPr>
          <w:noProof/>
          <w:lang w:eastAsia="en-IE"/>
        </w:rPr>
        <w:t xml:space="preserve">foreseen under Article </w:t>
      </w:r>
      <w:r w:rsidR="00C27721" w:rsidRPr="00C27721">
        <w:rPr>
          <w:noProof/>
          <w:lang w:eastAsia="en-IE"/>
        </w:rPr>
        <w:t>46b(2)(b)</w:t>
      </w:r>
      <w:r w:rsidR="00C27721" w:rsidRPr="00C27721">
        <w:rPr>
          <w:noProof/>
        </w:rPr>
        <w:t xml:space="preserve"> </w:t>
      </w:r>
      <w:r w:rsidR="00C27721" w:rsidRPr="00C27721">
        <w:rPr>
          <w:noProof/>
          <w:lang w:eastAsia="en-IE"/>
        </w:rPr>
        <w:t xml:space="preserve">of </w:t>
      </w:r>
      <w:r w:rsidR="00301662">
        <w:rPr>
          <w:noProof/>
          <w:lang w:eastAsia="en-IE"/>
        </w:rPr>
        <w:t xml:space="preserve">that </w:t>
      </w:r>
      <w:r w:rsidR="00C27721" w:rsidRPr="00C27721">
        <w:rPr>
          <w:noProof/>
          <w:lang w:eastAsia="en-IE"/>
        </w:rPr>
        <w:t>Directive</w:t>
      </w:r>
      <w:r w:rsidR="00D47F10">
        <w:rPr>
          <w:noProof/>
          <w:lang w:eastAsia="en-IE"/>
        </w:rPr>
        <w:t>.</w:t>
      </w:r>
    </w:p>
    <w:p w:rsidR="001C4A1A" w:rsidRPr="00D94537" w:rsidRDefault="008A4CC7" w:rsidP="00A32601">
      <w:pPr>
        <w:autoSpaceDE w:val="0"/>
        <w:autoSpaceDN w:val="0"/>
        <w:adjustRightInd w:val="0"/>
        <w:spacing w:before="0"/>
        <w:rPr>
          <w:noProof/>
        </w:rPr>
      </w:pPr>
      <w:r>
        <w:rPr>
          <w:noProof/>
        </w:rPr>
        <w:t>From the Canadian side</w:t>
      </w:r>
      <w:r w:rsidR="001C4A1A" w:rsidRPr="002E631E">
        <w:rPr>
          <w:noProof/>
        </w:rPr>
        <w:t xml:space="preserve">, Heath Canada </w:t>
      </w:r>
      <w:r w:rsidR="001C4A1A">
        <w:rPr>
          <w:noProof/>
        </w:rPr>
        <w:t xml:space="preserve">assessed </w:t>
      </w:r>
      <w:r w:rsidR="001C4A1A" w:rsidRPr="002E631E">
        <w:rPr>
          <w:noProof/>
        </w:rPr>
        <w:t xml:space="preserve">the </w:t>
      </w:r>
      <w:r w:rsidR="001C4A1A">
        <w:rPr>
          <w:noProof/>
        </w:rPr>
        <w:t>competent authorities of the M</w:t>
      </w:r>
      <w:r w:rsidR="001C4A1A" w:rsidRPr="002E631E">
        <w:rPr>
          <w:noProof/>
        </w:rPr>
        <w:t xml:space="preserve">ember </w:t>
      </w:r>
      <w:r w:rsidR="001C4A1A">
        <w:rPr>
          <w:noProof/>
        </w:rPr>
        <w:t>S</w:t>
      </w:r>
      <w:r w:rsidR="001C4A1A" w:rsidRPr="002E631E">
        <w:rPr>
          <w:noProof/>
        </w:rPr>
        <w:t>ta</w:t>
      </w:r>
      <w:r w:rsidR="001C4A1A">
        <w:rPr>
          <w:noProof/>
        </w:rPr>
        <w:t>tes by means of a questionnaire. The conclusion of the assessment and the subsequent recognition of all 24 assessed M</w:t>
      </w:r>
      <w:r w:rsidR="00FC7A82">
        <w:rPr>
          <w:noProof/>
        </w:rPr>
        <w:t xml:space="preserve">ember </w:t>
      </w:r>
      <w:r w:rsidR="001C4A1A">
        <w:rPr>
          <w:noProof/>
        </w:rPr>
        <w:t>S</w:t>
      </w:r>
      <w:r w:rsidR="00FC7A82">
        <w:rPr>
          <w:noProof/>
        </w:rPr>
        <w:t>tates</w:t>
      </w:r>
      <w:r w:rsidR="001C4A1A">
        <w:rPr>
          <w:noProof/>
        </w:rPr>
        <w:t xml:space="preserve"> was published in a report by Health Canada in February 2023. </w:t>
      </w:r>
    </w:p>
    <w:p w:rsidR="00D67ECB" w:rsidRPr="00D94537" w:rsidRDefault="001331A5" w:rsidP="00A32601">
      <w:pPr>
        <w:spacing w:before="0"/>
        <w:rPr>
          <w:noProof/>
        </w:rPr>
      </w:pPr>
      <w:r w:rsidRPr="00D94537">
        <w:rPr>
          <w:noProof/>
        </w:rPr>
        <w:t xml:space="preserve">Based on </w:t>
      </w:r>
      <w:r w:rsidR="0071626F" w:rsidRPr="00D94537">
        <w:rPr>
          <w:noProof/>
        </w:rPr>
        <w:t xml:space="preserve">the </w:t>
      </w:r>
      <w:r w:rsidR="003458A1" w:rsidRPr="00D94537">
        <w:rPr>
          <w:noProof/>
        </w:rPr>
        <w:t>reciprocal</w:t>
      </w:r>
      <w:r w:rsidR="00D67ECB" w:rsidRPr="00D94537">
        <w:rPr>
          <w:noProof/>
        </w:rPr>
        <w:t xml:space="preserve"> </w:t>
      </w:r>
      <w:r w:rsidRPr="00D94537">
        <w:rPr>
          <w:noProof/>
        </w:rPr>
        <w:t>assessment</w:t>
      </w:r>
      <w:r w:rsidR="00D67ECB" w:rsidRPr="00D94537">
        <w:rPr>
          <w:noProof/>
        </w:rPr>
        <w:t>s</w:t>
      </w:r>
      <w:r w:rsidR="0071626F" w:rsidRPr="00D94537">
        <w:rPr>
          <w:noProof/>
        </w:rPr>
        <w:t xml:space="preserve"> described above</w:t>
      </w:r>
      <w:r w:rsidRPr="00D94537">
        <w:rPr>
          <w:noProof/>
        </w:rPr>
        <w:t xml:space="preserve">, </w:t>
      </w:r>
      <w:r w:rsidR="00D67ECB" w:rsidRPr="00D94537">
        <w:rPr>
          <w:noProof/>
        </w:rPr>
        <w:t>the Joint Sectoral Group</w:t>
      </w:r>
      <w:r w:rsidR="00961FA0" w:rsidRPr="00D94537">
        <w:rPr>
          <w:noProof/>
        </w:rPr>
        <w:t>,</w:t>
      </w:r>
      <w:r w:rsidR="00D67ECB" w:rsidRPr="00D94537">
        <w:rPr>
          <w:noProof/>
        </w:rPr>
        <w:t xml:space="preserve"> </w:t>
      </w:r>
      <w:r w:rsidR="003458A1" w:rsidRPr="00D94537">
        <w:rPr>
          <w:noProof/>
        </w:rPr>
        <w:t>established</w:t>
      </w:r>
      <w:r w:rsidR="00D67ECB" w:rsidRPr="00D94537">
        <w:rPr>
          <w:noProof/>
        </w:rPr>
        <w:t xml:space="preserve"> </w:t>
      </w:r>
      <w:r w:rsidR="003458A1" w:rsidRPr="00D94537">
        <w:rPr>
          <w:noProof/>
        </w:rPr>
        <w:t>under</w:t>
      </w:r>
      <w:r w:rsidR="00D67ECB" w:rsidRPr="00D94537">
        <w:rPr>
          <w:noProof/>
        </w:rPr>
        <w:t xml:space="preserve"> Article 15 of the GMP Protocol</w:t>
      </w:r>
      <w:r w:rsidR="00961FA0" w:rsidRPr="00D94537">
        <w:rPr>
          <w:noProof/>
        </w:rPr>
        <w:t>,</w:t>
      </w:r>
      <w:r w:rsidR="00D67ECB" w:rsidRPr="00D94537">
        <w:rPr>
          <w:noProof/>
        </w:rPr>
        <w:t xml:space="preserve"> considered </w:t>
      </w:r>
      <w:r w:rsidR="00961FA0" w:rsidRPr="00D94537">
        <w:rPr>
          <w:noProof/>
        </w:rPr>
        <w:t xml:space="preserve">on 15 December 2022 </w:t>
      </w:r>
      <w:r w:rsidR="00D67ECB" w:rsidRPr="00D94537">
        <w:rPr>
          <w:noProof/>
        </w:rPr>
        <w:t>th</w:t>
      </w:r>
      <w:r w:rsidR="00961FA0" w:rsidRPr="00D94537">
        <w:rPr>
          <w:noProof/>
        </w:rPr>
        <w:t>at</w:t>
      </w:r>
      <w:r w:rsidR="00D67ECB" w:rsidRPr="00D94537">
        <w:rPr>
          <w:noProof/>
        </w:rPr>
        <w:t xml:space="preserve"> both the EU and the Canadian regulatory framework and supervision system applicable to APIs</w:t>
      </w:r>
      <w:r w:rsidR="00961FA0" w:rsidRPr="00D94537">
        <w:rPr>
          <w:noProof/>
        </w:rPr>
        <w:t xml:space="preserve"> were equivalent</w:t>
      </w:r>
      <w:r w:rsidR="00D67ECB" w:rsidRPr="00D94537">
        <w:rPr>
          <w:noProof/>
        </w:rPr>
        <w:t>.</w:t>
      </w:r>
      <w:r w:rsidR="003458A1" w:rsidRPr="00D94537">
        <w:rPr>
          <w:noProof/>
        </w:rPr>
        <w:t xml:space="preserve"> </w:t>
      </w:r>
      <w:r w:rsidR="00D67ECB" w:rsidRPr="00D94537">
        <w:rPr>
          <w:noProof/>
        </w:rPr>
        <w:t xml:space="preserve">Therefore, on that occasion, the Joint Sectoral Group recommended that APIs be included as medicinal products or drugs listed </w:t>
      </w:r>
      <w:r w:rsidR="009D11FD" w:rsidRPr="00D94537">
        <w:rPr>
          <w:noProof/>
        </w:rPr>
        <w:t xml:space="preserve">in </w:t>
      </w:r>
      <w:r w:rsidR="001C70A7" w:rsidRPr="00D94537">
        <w:rPr>
          <w:noProof/>
        </w:rPr>
        <w:t>the operational scope of</w:t>
      </w:r>
      <w:r w:rsidR="00D67ECB" w:rsidRPr="00D94537">
        <w:rPr>
          <w:noProof/>
        </w:rPr>
        <w:t xml:space="preserve"> the GMP Protocol. </w:t>
      </w:r>
      <w:r w:rsidR="00D47F10" w:rsidRPr="00D94537">
        <w:rPr>
          <w:noProof/>
        </w:rPr>
        <w:t xml:space="preserve">Such </w:t>
      </w:r>
      <w:r w:rsidR="003458A1" w:rsidRPr="00D94537">
        <w:rPr>
          <w:noProof/>
        </w:rPr>
        <w:t>inclusion</w:t>
      </w:r>
      <w:r w:rsidR="00D47F10" w:rsidRPr="00D94537">
        <w:rPr>
          <w:noProof/>
        </w:rPr>
        <w:t xml:space="preserve"> would </w:t>
      </w:r>
      <w:r w:rsidR="009D11FD" w:rsidRPr="00D94537">
        <w:rPr>
          <w:noProof/>
        </w:rPr>
        <w:t xml:space="preserve">require Canada to recognise EU GMP certificates for APIs, thus reciprocating the benefits it already derives from its inclusion in the list of recognised countries under </w:t>
      </w:r>
      <w:r w:rsidR="009D11FD" w:rsidRPr="0071626F">
        <w:rPr>
          <w:rFonts w:eastAsia="Arial Unicode MS"/>
          <w:noProof/>
          <w:lang w:val="en-IE"/>
        </w:rPr>
        <w:t>Implementing Decision 2012/715/EU</w:t>
      </w:r>
      <w:r w:rsidR="009D11FD">
        <w:rPr>
          <w:rFonts w:eastAsia="Arial Unicode MS"/>
          <w:noProof/>
          <w:lang w:val="en-IE"/>
        </w:rPr>
        <w:t>.</w:t>
      </w:r>
    </w:p>
    <w:p w:rsidR="00FF06AC" w:rsidRPr="00E34F04" w:rsidRDefault="009D11FD">
      <w:pPr>
        <w:rPr>
          <w:rFonts w:eastAsia="Arial Unicode MS"/>
          <w:noProof/>
        </w:rPr>
      </w:pPr>
      <w:r w:rsidRPr="00D94537">
        <w:rPr>
          <w:noProof/>
        </w:rPr>
        <w:t>Against this backdrop</w:t>
      </w:r>
      <w:r w:rsidR="001331A5" w:rsidRPr="00D94537">
        <w:rPr>
          <w:noProof/>
        </w:rPr>
        <w:t xml:space="preserve">, </w:t>
      </w:r>
      <w:r w:rsidR="001331A5">
        <w:rPr>
          <w:rFonts w:eastAsia="Arial Unicode MS"/>
          <w:noProof/>
        </w:rPr>
        <w:t>t</w:t>
      </w:r>
      <w:r w:rsidR="007E10C8" w:rsidRPr="007E10C8">
        <w:rPr>
          <w:rFonts w:eastAsia="Arial Unicode MS"/>
          <w:noProof/>
        </w:rPr>
        <w:t xml:space="preserve">he CETA Joint Committee is to adopt a </w:t>
      </w:r>
      <w:r w:rsidR="007262B1">
        <w:rPr>
          <w:rFonts w:eastAsia="Arial Unicode MS"/>
          <w:noProof/>
        </w:rPr>
        <w:t>D</w:t>
      </w:r>
      <w:r w:rsidR="007E10C8" w:rsidRPr="007E10C8">
        <w:rPr>
          <w:rFonts w:eastAsia="Arial Unicode MS"/>
          <w:noProof/>
        </w:rPr>
        <w:t>ecision</w:t>
      </w:r>
      <w:r w:rsidR="007E10C8">
        <w:rPr>
          <w:rFonts w:eastAsia="Arial Unicode MS"/>
          <w:noProof/>
        </w:rPr>
        <w:t xml:space="preserve"> </w:t>
      </w:r>
      <w:r w:rsidR="007E10C8" w:rsidRPr="007E10C8">
        <w:rPr>
          <w:rFonts w:eastAsia="Arial Unicode MS"/>
          <w:noProof/>
        </w:rPr>
        <w:t xml:space="preserve">concerning the inclusion of </w:t>
      </w:r>
      <w:r>
        <w:rPr>
          <w:rFonts w:eastAsia="Arial Unicode MS"/>
          <w:noProof/>
        </w:rPr>
        <w:t>APIs</w:t>
      </w:r>
      <w:r w:rsidR="007E10C8" w:rsidRPr="007E10C8">
        <w:rPr>
          <w:rFonts w:eastAsia="Arial Unicode MS"/>
          <w:noProof/>
        </w:rPr>
        <w:t xml:space="preserve"> </w:t>
      </w:r>
      <w:r w:rsidR="007262B1">
        <w:rPr>
          <w:rFonts w:eastAsia="Arial Unicode MS"/>
          <w:noProof/>
        </w:rPr>
        <w:t>as</w:t>
      </w:r>
      <w:r w:rsidR="007E10C8" w:rsidRPr="007E10C8">
        <w:rPr>
          <w:rFonts w:eastAsia="Arial Unicode MS"/>
          <w:noProof/>
        </w:rPr>
        <w:t xml:space="preserve"> medicinal products or drugs listed in Annex 1 to </w:t>
      </w:r>
      <w:r w:rsidR="007262B1">
        <w:rPr>
          <w:rFonts w:eastAsia="Arial Unicode MS"/>
          <w:noProof/>
        </w:rPr>
        <w:t xml:space="preserve">the </w:t>
      </w:r>
      <w:r w:rsidR="001331A5">
        <w:rPr>
          <w:rFonts w:eastAsia="Arial Unicode MS"/>
          <w:noProof/>
        </w:rPr>
        <w:t xml:space="preserve">GMP </w:t>
      </w:r>
      <w:r w:rsidR="007E10C8" w:rsidRPr="007E10C8">
        <w:rPr>
          <w:rFonts w:eastAsia="Arial Unicode MS"/>
          <w:noProof/>
        </w:rPr>
        <w:t>Protocol (‘the envisaged act’).</w:t>
      </w:r>
      <w:r w:rsidR="001331A5" w:rsidRPr="00D94537">
        <w:rPr>
          <w:noProof/>
        </w:rPr>
        <w:t xml:space="preserve"> </w:t>
      </w:r>
      <w:r w:rsidR="007E10C8" w:rsidRPr="007E10C8">
        <w:rPr>
          <w:rFonts w:eastAsia="Arial Unicode MS"/>
          <w:noProof/>
        </w:rPr>
        <w:t>The envisaged act will become binding on the Parties</w:t>
      </w:r>
      <w:r w:rsidR="007E10C8">
        <w:rPr>
          <w:rFonts w:eastAsia="Arial Unicode MS"/>
          <w:noProof/>
        </w:rPr>
        <w:t xml:space="preserve"> in accordance with</w:t>
      </w:r>
      <w:r w:rsidR="007E10C8" w:rsidRPr="007E10C8">
        <w:rPr>
          <w:rFonts w:eastAsia="Arial Unicode MS"/>
          <w:noProof/>
        </w:rPr>
        <w:t xml:space="preserve"> Article 26.3.2</w:t>
      </w:r>
      <w:r>
        <w:rPr>
          <w:rFonts w:eastAsia="Arial Unicode MS"/>
          <w:noProof/>
        </w:rPr>
        <w:t xml:space="preserve"> of CETA</w:t>
      </w:r>
      <w:r w:rsidR="001331A5">
        <w:rPr>
          <w:rFonts w:eastAsia="Arial Unicode MS"/>
          <w:noProof/>
        </w:rPr>
        <w:t xml:space="preserve">, </w:t>
      </w:r>
      <w:r w:rsidR="001331A5" w:rsidRPr="00D94537">
        <w:rPr>
          <w:noProof/>
        </w:rPr>
        <w:t>subject to the completion of any necessary internal requirements and procedures.</w:t>
      </w:r>
    </w:p>
    <w:p w:rsidR="00FF06AC" w:rsidRPr="00305757" w:rsidRDefault="00FF06AC" w:rsidP="00FF06AC">
      <w:pPr>
        <w:pStyle w:val="ManualHeading1"/>
        <w:rPr>
          <w:rFonts w:eastAsia="Arial Unicode MS"/>
          <w:noProof/>
        </w:rPr>
      </w:pPr>
      <w:r>
        <w:rPr>
          <w:noProof/>
        </w:rPr>
        <w:t>3.</w:t>
      </w:r>
      <w:r>
        <w:rPr>
          <w:noProof/>
        </w:rPr>
        <w:tab/>
      </w:r>
      <w:r w:rsidRPr="00305757">
        <w:rPr>
          <w:rFonts w:eastAsia="Arial Unicode MS"/>
          <w:noProof/>
        </w:rPr>
        <w:t>Position to be taken on the Union's behalf</w:t>
      </w:r>
    </w:p>
    <w:p w:rsidR="00AA4EB9" w:rsidRDefault="00AA4EB9" w:rsidP="00AA4EB9">
      <w:pPr>
        <w:rPr>
          <w:noProof/>
          <w:szCs w:val="24"/>
          <w:lang w:val="en-IE"/>
        </w:rPr>
      </w:pPr>
      <w:r>
        <w:rPr>
          <w:noProof/>
          <w:szCs w:val="24"/>
          <w:lang w:val="en-IE"/>
        </w:rPr>
        <w:t xml:space="preserve">The envisaged act </w:t>
      </w:r>
      <w:r>
        <w:rPr>
          <w:rFonts w:eastAsia="Arial Unicode MS"/>
          <w:noProof/>
        </w:rPr>
        <w:t>aims</w:t>
      </w:r>
      <w:r w:rsidRPr="007E10C8">
        <w:rPr>
          <w:rFonts w:eastAsia="Arial Unicode MS"/>
          <w:noProof/>
        </w:rPr>
        <w:t xml:space="preserve"> to</w:t>
      </w:r>
      <w:r>
        <w:rPr>
          <w:rFonts w:eastAsia="Arial Unicode MS"/>
          <w:noProof/>
        </w:rPr>
        <w:t xml:space="preserve"> expand the operational scope of the GMP Protocol by including </w:t>
      </w:r>
      <w:r w:rsidR="00A15584">
        <w:rPr>
          <w:noProof/>
          <w:szCs w:val="24"/>
          <w:lang w:val="en-IE"/>
        </w:rPr>
        <w:t>APIs</w:t>
      </w:r>
      <w:r>
        <w:rPr>
          <w:noProof/>
          <w:szCs w:val="24"/>
          <w:lang w:val="en-IE"/>
        </w:rPr>
        <w:t xml:space="preserve">. This would allow </w:t>
      </w:r>
      <w:r w:rsidRPr="00563082">
        <w:rPr>
          <w:noProof/>
          <w:szCs w:val="24"/>
          <w:lang w:val="en-IE"/>
        </w:rPr>
        <w:t>the mutual recognition of inspections and acceptance of official documents,</w:t>
      </w:r>
      <w:r w:rsidRPr="00563082">
        <w:rPr>
          <w:noProof/>
        </w:rPr>
        <w:t xml:space="preserve"> </w:t>
      </w:r>
      <w:r w:rsidRPr="00563082">
        <w:rPr>
          <w:noProof/>
          <w:szCs w:val="24"/>
          <w:lang w:val="en-IE"/>
        </w:rPr>
        <w:t xml:space="preserve">reduce </w:t>
      </w:r>
      <w:r w:rsidR="0034620E">
        <w:rPr>
          <w:noProof/>
          <w:szCs w:val="24"/>
          <w:lang w:val="en-IE"/>
        </w:rPr>
        <w:t xml:space="preserve">the </w:t>
      </w:r>
      <w:r w:rsidRPr="00563082">
        <w:rPr>
          <w:noProof/>
          <w:szCs w:val="24"/>
          <w:lang w:val="en-IE"/>
        </w:rPr>
        <w:t>costs resulting from duplicative inspections and free capacity of EU and Canadian authorities to focus on inspections of higher risk manufacturers in other countries.</w:t>
      </w:r>
    </w:p>
    <w:p w:rsidR="00AA4EB9" w:rsidRDefault="007E2A7A" w:rsidP="00AA4EB9">
      <w:pPr>
        <w:rPr>
          <w:noProof/>
        </w:rPr>
      </w:pPr>
      <w:r w:rsidRPr="007E2A7A">
        <w:rPr>
          <w:noProof/>
        </w:rPr>
        <w:t xml:space="preserve">It is therefore appropriate to establish the position to be taken on the Union's behalf in the CETA Joint Committee </w:t>
      </w:r>
      <w:r>
        <w:rPr>
          <w:noProof/>
        </w:rPr>
        <w:t>as supporting the adoption of</w:t>
      </w:r>
      <w:r w:rsidRPr="007E2A7A">
        <w:rPr>
          <w:noProof/>
        </w:rPr>
        <w:t xml:space="preserve"> the envisaged act in order to ensure the effective implementation of the Agreement.</w:t>
      </w:r>
    </w:p>
    <w:p w:rsidR="00FF06AC" w:rsidRPr="00E34F04" w:rsidRDefault="007E2A7A" w:rsidP="00F901F9">
      <w:pPr>
        <w:rPr>
          <w:noProof/>
        </w:rPr>
      </w:pPr>
      <w:r w:rsidRPr="007E2A7A">
        <w:rPr>
          <w:noProof/>
        </w:rPr>
        <w:t>The proposed position fits in with other policies, rules or initiatives of the Union.</w:t>
      </w:r>
    </w:p>
    <w:p w:rsidR="007E2A7A" w:rsidRDefault="007E2A7A" w:rsidP="007E2A7A">
      <w:pPr>
        <w:pStyle w:val="ManualHeading1"/>
        <w:rPr>
          <w:noProof/>
        </w:rPr>
      </w:pPr>
      <w:r>
        <w:rPr>
          <w:noProof/>
        </w:rPr>
        <w:lastRenderedPageBreak/>
        <w:t>4.</w:t>
      </w:r>
      <w:r>
        <w:rPr>
          <w:noProof/>
        </w:rPr>
        <w:tab/>
        <w:t>Legal basis</w:t>
      </w:r>
    </w:p>
    <w:p w:rsidR="007E2A7A" w:rsidRPr="007E2A7A" w:rsidRDefault="007E2A7A" w:rsidP="006C46AF">
      <w:pPr>
        <w:pStyle w:val="ManualHeading2"/>
        <w:rPr>
          <w:noProof/>
        </w:rPr>
      </w:pPr>
      <w:r>
        <w:rPr>
          <w:noProof/>
        </w:rPr>
        <w:t>4.1.</w:t>
      </w:r>
      <w:r>
        <w:rPr>
          <w:noProof/>
        </w:rPr>
        <w:tab/>
        <w:t>Procedural legal basis</w:t>
      </w:r>
    </w:p>
    <w:p w:rsidR="00FF06AC" w:rsidRPr="00E34F04" w:rsidRDefault="00FF06AC" w:rsidP="0073674F">
      <w:pPr>
        <w:pStyle w:val="ManualHeading3"/>
        <w:rPr>
          <w:noProof/>
        </w:rPr>
      </w:pPr>
      <w:r>
        <w:rPr>
          <w:noProof/>
        </w:rPr>
        <w:t>4.1.1.</w:t>
      </w:r>
      <w:r>
        <w:rPr>
          <w:noProof/>
        </w:rPr>
        <w:tab/>
      </w:r>
      <w:r w:rsidRPr="00E34F04">
        <w:rPr>
          <w:noProof/>
        </w:rPr>
        <w:t>Principles</w:t>
      </w:r>
    </w:p>
    <w:p w:rsidR="00FF06AC" w:rsidRPr="00E34F04" w:rsidRDefault="00FF06AC">
      <w:pPr>
        <w:rPr>
          <w:noProof/>
        </w:rPr>
      </w:pPr>
      <w:r w:rsidRPr="00E34F04">
        <w:rPr>
          <w:noProof/>
        </w:rPr>
        <w:t>Article 218(9) of the Treaty on the Functioning of the European Union (TFEU) provides for decisions establishing ‘</w:t>
      </w:r>
      <w:r w:rsidRPr="00E34F04">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E34F04">
        <w:rPr>
          <w:noProof/>
        </w:rPr>
        <w:t>.’</w:t>
      </w:r>
    </w:p>
    <w:p w:rsidR="00FF06AC" w:rsidRPr="00E34F04" w:rsidRDefault="00FF06AC">
      <w:pPr>
        <w:rPr>
          <w:noProof/>
        </w:rPr>
      </w:pPr>
      <w:r w:rsidRPr="00E34F04">
        <w:rPr>
          <w:noProof/>
        </w:rPr>
        <w:t>The concept of ‘</w:t>
      </w:r>
      <w:r w:rsidRPr="00E34F04">
        <w:rPr>
          <w:i/>
          <w:noProof/>
        </w:rPr>
        <w:t>acts having legal effects</w:t>
      </w:r>
      <w:r w:rsidRPr="00E34F04">
        <w:rPr>
          <w:noProof/>
        </w:rPr>
        <w:t>’ includes acts that have legal effects by virtue of the rules of international law governing the body in question. It also includes instruments that do not have a binding effect under international law, but that are ‘</w:t>
      </w:r>
      <w:r w:rsidRPr="00E34F04">
        <w:rPr>
          <w:i/>
          <w:noProof/>
        </w:rPr>
        <w:t>capable of decisively influencing the content of the legislation adopted by the EU legislature</w:t>
      </w:r>
      <w:r w:rsidRPr="00E34F04">
        <w:rPr>
          <w:noProof/>
        </w:rPr>
        <w:t>’</w:t>
      </w:r>
      <w:r w:rsidRPr="00E34F04">
        <w:rPr>
          <w:rStyle w:val="FootnoteReference"/>
          <w:noProof/>
        </w:rPr>
        <w:footnoteReference w:id="2"/>
      </w:r>
      <w:r w:rsidRPr="00E34F04">
        <w:rPr>
          <w:noProof/>
        </w:rPr>
        <w:t>.</w:t>
      </w:r>
    </w:p>
    <w:p w:rsidR="00FF06AC" w:rsidRPr="00E34F04" w:rsidRDefault="00FF06AC" w:rsidP="0073674F">
      <w:pPr>
        <w:pStyle w:val="ManualHeading3"/>
        <w:rPr>
          <w:noProof/>
        </w:rPr>
      </w:pPr>
      <w:r>
        <w:rPr>
          <w:noProof/>
        </w:rPr>
        <w:t>4.1.2.</w:t>
      </w:r>
      <w:r>
        <w:rPr>
          <w:noProof/>
        </w:rPr>
        <w:tab/>
      </w:r>
      <w:r w:rsidRPr="00E34F04">
        <w:rPr>
          <w:noProof/>
        </w:rPr>
        <w:t>Application to the present case</w:t>
      </w:r>
    </w:p>
    <w:p w:rsidR="00FF06AC" w:rsidRPr="007262B1" w:rsidRDefault="00FF06AC">
      <w:pPr>
        <w:rPr>
          <w:noProof/>
        </w:rPr>
      </w:pPr>
      <w:r w:rsidRPr="007262B1">
        <w:rPr>
          <w:noProof/>
        </w:rPr>
        <w:t xml:space="preserve">The </w:t>
      </w:r>
      <w:r w:rsidR="003C27AA" w:rsidRPr="00D94537">
        <w:rPr>
          <w:noProof/>
        </w:rPr>
        <w:t>CETA Joint Committee</w:t>
      </w:r>
      <w:r w:rsidRPr="007262B1">
        <w:rPr>
          <w:noProof/>
        </w:rPr>
        <w:t xml:space="preserve"> is a body set up by an agreement, namely </w:t>
      </w:r>
      <w:r w:rsidR="007E2A7A" w:rsidRPr="00D94537">
        <w:rPr>
          <w:noProof/>
        </w:rPr>
        <w:t>CETA.</w:t>
      </w:r>
    </w:p>
    <w:p w:rsidR="007E10C8" w:rsidRPr="007262B1" w:rsidRDefault="00FF06AC">
      <w:pPr>
        <w:rPr>
          <w:noProof/>
        </w:rPr>
      </w:pPr>
      <w:r w:rsidRPr="007262B1">
        <w:rPr>
          <w:noProof/>
        </w:rPr>
        <w:t xml:space="preserve">The </w:t>
      </w:r>
      <w:r w:rsidR="007E2A7A">
        <w:rPr>
          <w:noProof/>
        </w:rPr>
        <w:t>envisaged act</w:t>
      </w:r>
      <w:r w:rsidRPr="007262B1">
        <w:rPr>
          <w:noProof/>
        </w:rPr>
        <w:t xml:space="preserve"> constitutes an act having legal effects. The envisaged act will be binding under international law in accordance with Article </w:t>
      </w:r>
      <w:r w:rsidR="007E10C8" w:rsidRPr="00D94537">
        <w:rPr>
          <w:noProof/>
        </w:rPr>
        <w:t>26.3.2</w:t>
      </w:r>
      <w:r w:rsidRPr="00D94537">
        <w:rPr>
          <w:noProof/>
        </w:rPr>
        <w:t xml:space="preserve"> </w:t>
      </w:r>
      <w:r w:rsidRPr="007262B1">
        <w:rPr>
          <w:noProof/>
        </w:rPr>
        <w:t>of the</w:t>
      </w:r>
      <w:r w:rsidR="007E10C8" w:rsidRPr="007262B1">
        <w:rPr>
          <w:noProof/>
        </w:rPr>
        <w:t xml:space="preserve"> Agreement.</w:t>
      </w:r>
    </w:p>
    <w:p w:rsidR="00FF06AC" w:rsidRPr="007262B1" w:rsidRDefault="00FF06AC">
      <w:pPr>
        <w:rPr>
          <w:noProof/>
        </w:rPr>
      </w:pPr>
      <w:r w:rsidRPr="007262B1">
        <w:rPr>
          <w:noProof/>
        </w:rPr>
        <w:t>The envisaged act does not supplement or amend the institutional framework of the Agreement.</w:t>
      </w:r>
    </w:p>
    <w:p w:rsidR="00FF06AC" w:rsidRPr="007262B1" w:rsidRDefault="00FF06AC">
      <w:pPr>
        <w:rPr>
          <w:noProof/>
        </w:rPr>
      </w:pPr>
      <w:r w:rsidRPr="007262B1">
        <w:rPr>
          <w:noProof/>
        </w:rPr>
        <w:t>Therefore, the procedural legal basis for the proposed decision is Article 218(9) TFEU.</w:t>
      </w:r>
    </w:p>
    <w:p w:rsidR="00FF06AC" w:rsidRPr="00E34F04" w:rsidRDefault="00FF06AC">
      <w:pPr>
        <w:pStyle w:val="ManualHeading2"/>
        <w:rPr>
          <w:noProof/>
        </w:rPr>
      </w:pPr>
      <w:r>
        <w:rPr>
          <w:noProof/>
        </w:rPr>
        <w:t>4.2.</w:t>
      </w:r>
      <w:r>
        <w:rPr>
          <w:noProof/>
        </w:rPr>
        <w:tab/>
      </w:r>
      <w:r w:rsidRPr="00E34F04">
        <w:rPr>
          <w:noProof/>
        </w:rPr>
        <w:t>Substantive legal basis</w:t>
      </w:r>
    </w:p>
    <w:p w:rsidR="00FF06AC" w:rsidRPr="00E34F04" w:rsidRDefault="00FF06AC" w:rsidP="0073674F">
      <w:pPr>
        <w:pStyle w:val="ManualHeading3"/>
        <w:rPr>
          <w:noProof/>
        </w:rPr>
      </w:pPr>
      <w:r>
        <w:rPr>
          <w:noProof/>
        </w:rPr>
        <w:t>4.2.1.</w:t>
      </w:r>
      <w:r>
        <w:rPr>
          <w:noProof/>
        </w:rPr>
        <w:tab/>
      </w:r>
      <w:r w:rsidRPr="00E34F04">
        <w:rPr>
          <w:noProof/>
        </w:rPr>
        <w:t>Principles</w:t>
      </w:r>
    </w:p>
    <w:p w:rsidR="00FF06AC" w:rsidRPr="00E34F04" w:rsidRDefault="00FF06AC">
      <w:pPr>
        <w:rPr>
          <w:noProof/>
        </w:rPr>
      </w:pPr>
      <w:r w:rsidRPr="00E34F04">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FF06AC" w:rsidRPr="00D94537" w:rsidRDefault="00FF06AC" w:rsidP="0073674F">
      <w:pPr>
        <w:pStyle w:val="ManualHeading3"/>
        <w:rPr>
          <w:noProof/>
        </w:rPr>
      </w:pPr>
      <w:r>
        <w:rPr>
          <w:noProof/>
        </w:rPr>
        <w:t>4.2.2.</w:t>
      </w:r>
      <w:r>
        <w:rPr>
          <w:noProof/>
        </w:rPr>
        <w:tab/>
      </w:r>
      <w:r w:rsidRPr="00E34F04">
        <w:rPr>
          <w:noProof/>
        </w:rPr>
        <w:t>Application to the present case</w:t>
      </w:r>
    </w:p>
    <w:p w:rsidR="00FF06AC" w:rsidRPr="00D94537" w:rsidRDefault="00FF06AC">
      <w:pPr>
        <w:rPr>
          <w:noProof/>
        </w:rPr>
      </w:pPr>
      <w:r w:rsidRPr="007262B1">
        <w:rPr>
          <w:noProof/>
        </w:rPr>
        <w:t xml:space="preserve">The main objective and content of the envisaged act relate to </w:t>
      </w:r>
      <w:r w:rsidRPr="00D94537">
        <w:rPr>
          <w:noProof/>
        </w:rPr>
        <w:t>the common commercial policy.</w:t>
      </w:r>
    </w:p>
    <w:p w:rsidR="00FF06AC" w:rsidRPr="007E10C8" w:rsidRDefault="00FF06AC">
      <w:pPr>
        <w:rPr>
          <w:i/>
          <w:noProof/>
        </w:rPr>
      </w:pPr>
      <w:r w:rsidRPr="00E34F04">
        <w:rPr>
          <w:noProof/>
        </w:rPr>
        <w:t xml:space="preserve">Therefore, the substantive legal basis of the proposed decision is </w:t>
      </w:r>
      <w:r w:rsidR="003066D0">
        <w:rPr>
          <w:noProof/>
        </w:rPr>
        <w:t xml:space="preserve">the first subparagraph of </w:t>
      </w:r>
      <w:r w:rsidR="007E10C8" w:rsidRPr="007E10C8">
        <w:rPr>
          <w:noProof/>
        </w:rPr>
        <w:t>Article 207</w:t>
      </w:r>
      <w:r w:rsidR="003066D0">
        <w:rPr>
          <w:noProof/>
        </w:rPr>
        <w:t>(4)</w:t>
      </w:r>
      <w:r w:rsidR="007E10C8" w:rsidRPr="007E10C8">
        <w:rPr>
          <w:noProof/>
        </w:rPr>
        <w:t xml:space="preserve"> TFEU</w:t>
      </w:r>
      <w:r w:rsidRPr="00E34F04">
        <w:rPr>
          <w:noProof/>
        </w:rPr>
        <w:t>.</w:t>
      </w:r>
    </w:p>
    <w:p w:rsidR="00FF06AC" w:rsidRPr="00E34F04" w:rsidRDefault="00FF06AC">
      <w:pPr>
        <w:pStyle w:val="ManualHeading2"/>
        <w:rPr>
          <w:noProof/>
        </w:rPr>
      </w:pPr>
      <w:r>
        <w:rPr>
          <w:noProof/>
        </w:rPr>
        <w:t>4.3.</w:t>
      </w:r>
      <w:r>
        <w:rPr>
          <w:noProof/>
        </w:rPr>
        <w:tab/>
      </w:r>
      <w:r w:rsidRPr="00E34F04">
        <w:rPr>
          <w:noProof/>
        </w:rPr>
        <w:t>Conclusion</w:t>
      </w:r>
    </w:p>
    <w:p w:rsidR="00FF06AC" w:rsidRPr="00E34F04" w:rsidRDefault="00FF06AC">
      <w:pPr>
        <w:rPr>
          <w:noProof/>
        </w:rPr>
      </w:pPr>
      <w:r w:rsidRPr="00E34F04">
        <w:rPr>
          <w:noProof/>
        </w:rPr>
        <w:t>The legal basis of the proposed decision should be</w:t>
      </w:r>
      <w:r w:rsidR="003066D0">
        <w:rPr>
          <w:noProof/>
        </w:rPr>
        <w:t xml:space="preserve"> the first subparagraph of</w:t>
      </w:r>
      <w:r w:rsidRPr="00E34F04">
        <w:rPr>
          <w:noProof/>
        </w:rPr>
        <w:t xml:space="preserve"> </w:t>
      </w:r>
      <w:r w:rsidR="00504917" w:rsidRPr="007E10C8">
        <w:rPr>
          <w:noProof/>
        </w:rPr>
        <w:t>Article 207</w:t>
      </w:r>
      <w:r w:rsidR="003066D0">
        <w:rPr>
          <w:noProof/>
        </w:rPr>
        <w:t>(4)</w:t>
      </w:r>
      <w:r w:rsidR="00504917" w:rsidRPr="007E10C8">
        <w:rPr>
          <w:noProof/>
        </w:rPr>
        <w:t xml:space="preserve"> TFEU</w:t>
      </w:r>
      <w:r w:rsidRPr="00E34F04">
        <w:rPr>
          <w:noProof/>
        </w:rPr>
        <w:t>, in conjunction with Article 218(9) TFEU.</w:t>
      </w:r>
    </w:p>
    <w:p w:rsidR="00FF06AC" w:rsidRPr="00E34F04" w:rsidRDefault="00FF06AC">
      <w:pPr>
        <w:pStyle w:val="ManualHeading1"/>
        <w:rPr>
          <w:noProof/>
        </w:rPr>
      </w:pPr>
      <w:r>
        <w:rPr>
          <w:noProof/>
        </w:rPr>
        <w:t>5.</w:t>
      </w:r>
      <w:r>
        <w:rPr>
          <w:noProof/>
        </w:rPr>
        <w:tab/>
      </w:r>
      <w:r w:rsidRPr="00E34F04">
        <w:rPr>
          <w:noProof/>
        </w:rPr>
        <w:t>Publication of the envisaged act</w:t>
      </w:r>
    </w:p>
    <w:p w:rsidR="00FF06AC" w:rsidRPr="007262B1" w:rsidRDefault="00FF06AC">
      <w:pPr>
        <w:rPr>
          <w:noProof/>
        </w:rPr>
      </w:pPr>
      <w:r w:rsidRPr="007262B1">
        <w:rPr>
          <w:noProof/>
        </w:rPr>
        <w:t xml:space="preserve">As the act of the </w:t>
      </w:r>
      <w:r w:rsidR="00504917" w:rsidRPr="00D94537">
        <w:rPr>
          <w:noProof/>
        </w:rPr>
        <w:t>CETA Joint Committee</w:t>
      </w:r>
      <w:r w:rsidRPr="007262B1">
        <w:rPr>
          <w:noProof/>
        </w:rPr>
        <w:t xml:space="preserve"> will amend</w:t>
      </w:r>
      <w:r w:rsidR="007E2A7A">
        <w:rPr>
          <w:noProof/>
        </w:rPr>
        <w:t xml:space="preserve"> the operational scope of the</w:t>
      </w:r>
      <w:r w:rsidR="00504917" w:rsidRPr="00D94537">
        <w:rPr>
          <w:noProof/>
        </w:rPr>
        <w:t xml:space="preserve"> </w:t>
      </w:r>
      <w:r w:rsidR="007E2A7A" w:rsidRPr="00D94537">
        <w:rPr>
          <w:noProof/>
        </w:rPr>
        <w:t>GMP Protocol</w:t>
      </w:r>
      <w:r w:rsidRPr="00D94537">
        <w:rPr>
          <w:noProof/>
        </w:rPr>
        <w:t xml:space="preserve">, </w:t>
      </w:r>
      <w:r w:rsidRPr="007262B1">
        <w:rPr>
          <w:noProof/>
        </w:rPr>
        <w:t xml:space="preserve">it is appropriate to publish it in the </w:t>
      </w:r>
      <w:r w:rsidRPr="007262B1">
        <w:rPr>
          <w:i/>
          <w:noProof/>
        </w:rPr>
        <w:t xml:space="preserve">Official Journal of the European Union </w:t>
      </w:r>
      <w:r w:rsidRPr="007262B1">
        <w:rPr>
          <w:noProof/>
        </w:rPr>
        <w:t>after its adoption.</w:t>
      </w:r>
    </w:p>
    <w:p w:rsidR="00FF06AC" w:rsidRPr="00FD40BA" w:rsidRDefault="00FF06AC">
      <w:pPr>
        <w:rPr>
          <w:noProof/>
        </w:rPr>
        <w:sectPr w:rsidR="00FF06AC" w:rsidRPr="00FD40BA" w:rsidSect="00B266EB">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8C4401" w:rsidRDefault="00817DD8">
      <w:pPr>
        <w:pStyle w:val="Rfrenceinterinstitutionnelle"/>
        <w:rPr>
          <w:noProof/>
        </w:rPr>
      </w:pPr>
      <w:r>
        <w:rPr>
          <w:noProof/>
        </w:rPr>
        <w:lastRenderedPageBreak/>
        <w:t>2026/0075 (NLE)</w:t>
      </w:r>
    </w:p>
    <w:p w:rsidR="00FF06AC" w:rsidRPr="00E34F04" w:rsidRDefault="008700C5" w:rsidP="008700C5">
      <w:pPr>
        <w:pStyle w:val="Statut"/>
        <w:rPr>
          <w:noProof/>
        </w:rPr>
      </w:pPr>
      <w:r w:rsidRPr="008700C5">
        <w:rPr>
          <w:noProof/>
        </w:rPr>
        <w:t>Proposal for a</w:t>
      </w:r>
    </w:p>
    <w:p w:rsidR="00FF06AC" w:rsidRPr="00E34F04" w:rsidRDefault="008700C5" w:rsidP="008700C5">
      <w:pPr>
        <w:pStyle w:val="Typedudocument"/>
        <w:rPr>
          <w:noProof/>
        </w:rPr>
      </w:pPr>
      <w:r w:rsidRPr="008700C5">
        <w:rPr>
          <w:noProof/>
        </w:rPr>
        <w:t>COUNCIL DECISION</w:t>
      </w:r>
    </w:p>
    <w:p w:rsidR="00FF06AC" w:rsidRPr="00E34F04" w:rsidRDefault="008700C5" w:rsidP="008700C5">
      <w:pPr>
        <w:pStyle w:val="Titreobjet"/>
        <w:rPr>
          <w:noProof/>
        </w:rPr>
      </w:pPr>
      <w:r w:rsidRPr="008700C5">
        <w:rPr>
          <w:noProof/>
        </w:rPr>
        <w:t>on the position to be taken on behalf of the European Union within the CETA Joint Committee established under the Comprehensive Economic and Trade Agreement (CETA) between Canada, of the one part, and the European Union and its Member States, of the other part, as regards the adoption of a decision concerning the inclusion of active pharmaceutical ingredients as the medicinal products or drugs listed in paragraph 2 of the Annex 1 to the Protocol on the mutual recognition of the compliance and enforcement programme regarding good manufacturing practices for pharmaceutical products</w:t>
      </w:r>
    </w:p>
    <w:p w:rsidR="00FF06AC" w:rsidRPr="00A161AB" w:rsidRDefault="00FF06AC">
      <w:pPr>
        <w:pStyle w:val="Institutionquiagit"/>
        <w:rPr>
          <w:noProof/>
        </w:rPr>
      </w:pPr>
      <w:r w:rsidRPr="00A161AB">
        <w:rPr>
          <w:noProof/>
        </w:rPr>
        <w:t>THE COUNCIL OF THE EUROPEAN UNION,</w:t>
      </w:r>
    </w:p>
    <w:p w:rsidR="00FF06AC" w:rsidRPr="00A161AB" w:rsidRDefault="00FF06AC">
      <w:pPr>
        <w:rPr>
          <w:noProof/>
        </w:rPr>
      </w:pPr>
      <w:r w:rsidRPr="00A161AB">
        <w:rPr>
          <w:noProof/>
        </w:rPr>
        <w:t xml:space="preserve">Having regard to the Treaty on the Functioning of the European Union, and in particular </w:t>
      </w:r>
      <w:r w:rsidR="00733CDD" w:rsidRPr="00D94537">
        <w:rPr>
          <w:noProof/>
        </w:rPr>
        <w:t>the first subparagraph of Article 207(4)</w:t>
      </w:r>
      <w:r w:rsidRPr="00D94537">
        <w:rPr>
          <w:noProof/>
        </w:rPr>
        <w:t xml:space="preserve">, </w:t>
      </w:r>
      <w:r w:rsidRPr="00A161AB">
        <w:rPr>
          <w:noProof/>
        </w:rPr>
        <w:t>in conjunction with Article 218(9) thereof,</w:t>
      </w:r>
    </w:p>
    <w:p w:rsidR="00FF06AC" w:rsidRPr="00A161AB" w:rsidRDefault="00FF06AC">
      <w:pPr>
        <w:rPr>
          <w:noProof/>
        </w:rPr>
      </w:pPr>
      <w:r w:rsidRPr="00A161AB">
        <w:rPr>
          <w:noProof/>
        </w:rPr>
        <w:t>Having regard to the proposal from the European Commission,</w:t>
      </w:r>
    </w:p>
    <w:p w:rsidR="00FF06AC" w:rsidRPr="00A161AB" w:rsidRDefault="00FF06AC">
      <w:pPr>
        <w:rPr>
          <w:noProof/>
        </w:rPr>
      </w:pPr>
      <w:r w:rsidRPr="00A161AB">
        <w:rPr>
          <w:noProof/>
        </w:rPr>
        <w:t>Whereas:</w:t>
      </w:r>
    </w:p>
    <w:p w:rsidR="00FF06AC" w:rsidRPr="00A161AB" w:rsidRDefault="00FD39D9" w:rsidP="00DE30A3">
      <w:pPr>
        <w:pStyle w:val="ManualConsidrant"/>
        <w:rPr>
          <w:noProof/>
        </w:rPr>
      </w:pPr>
      <w:r>
        <w:rPr>
          <w:noProof/>
        </w:rPr>
        <w:t>(1)</w:t>
      </w:r>
      <w:r>
        <w:rPr>
          <w:noProof/>
        </w:rPr>
        <w:tab/>
      </w:r>
      <w:r w:rsidRPr="00D94537">
        <w:rPr>
          <w:noProof/>
        </w:rPr>
        <w:t>Council Decision (EU) 2017/37</w:t>
      </w:r>
      <w:r w:rsidR="004748C0">
        <w:rPr>
          <w:rStyle w:val="FootnoteReference"/>
          <w:noProof/>
        </w:rPr>
        <w:footnoteReference w:id="3"/>
      </w:r>
      <w:r w:rsidRPr="00D94537">
        <w:rPr>
          <w:noProof/>
        </w:rPr>
        <w:t xml:space="preserve"> provides for the signing on behalf of the European Union of the Comprehensive Economic and Trade Agreement (CETA) between Canada, of the one part, and the European Union and its Member States, of the other part (‘the Agreement’). The Agreement was signed on 30 October 2016</w:t>
      </w:r>
      <w:r w:rsidR="00FF06AC" w:rsidRPr="00A161AB">
        <w:rPr>
          <w:noProof/>
        </w:rPr>
        <w:t>.</w:t>
      </w:r>
    </w:p>
    <w:p w:rsidR="00FD39D9" w:rsidRPr="00A161AB" w:rsidRDefault="00FD39D9" w:rsidP="00FF06AC">
      <w:pPr>
        <w:pStyle w:val="ManualConsidrant"/>
        <w:rPr>
          <w:noProof/>
        </w:rPr>
      </w:pPr>
      <w:r>
        <w:rPr>
          <w:noProof/>
        </w:rPr>
        <w:t>(2)</w:t>
      </w:r>
      <w:r>
        <w:rPr>
          <w:noProof/>
        </w:rPr>
        <w:tab/>
      </w:r>
      <w:r w:rsidRPr="00A161AB">
        <w:rPr>
          <w:noProof/>
        </w:rPr>
        <w:t>Council Decision (EU) 2017/38</w:t>
      </w:r>
      <w:r w:rsidR="004748C0">
        <w:rPr>
          <w:rStyle w:val="FootnoteReference"/>
          <w:noProof/>
        </w:rPr>
        <w:footnoteReference w:id="4"/>
      </w:r>
      <w:r w:rsidRPr="00A161AB">
        <w:rPr>
          <w:noProof/>
        </w:rPr>
        <w:t xml:space="preserve"> provides for the provisional application of parts of the Agreement, including the establishment of the CETA Joint Committee. The Agreement has been provisionally applied since 21 September 2017.</w:t>
      </w:r>
    </w:p>
    <w:p w:rsidR="00EB54D3" w:rsidRPr="00D94537" w:rsidRDefault="00EB54D3" w:rsidP="00EB54D3">
      <w:pPr>
        <w:pStyle w:val="ManualConsidrant"/>
        <w:rPr>
          <w:noProof/>
        </w:rPr>
      </w:pPr>
      <w:r>
        <w:rPr>
          <w:noProof/>
        </w:rPr>
        <w:t>(3)</w:t>
      </w:r>
      <w:r>
        <w:rPr>
          <w:noProof/>
        </w:rPr>
        <w:tab/>
      </w:r>
      <w:r w:rsidRPr="00D94537">
        <w:rPr>
          <w:noProof/>
        </w:rPr>
        <w:t xml:space="preserve">In accordance with Article 26.1(5)(c) of the Agreement, the CETA Joint Committee may consider or agree on amendments as provided in this Agreement. </w:t>
      </w:r>
    </w:p>
    <w:p w:rsidR="00DA7F41" w:rsidRDefault="00EB54D3" w:rsidP="00EB54D3">
      <w:pPr>
        <w:pStyle w:val="ManualConsidrant"/>
        <w:rPr>
          <w:noProof/>
          <w:lang w:eastAsia="en-IE"/>
        </w:rPr>
      </w:pPr>
      <w:r>
        <w:rPr>
          <w:noProof/>
        </w:rPr>
        <w:t>(4)</w:t>
      </w:r>
      <w:r>
        <w:rPr>
          <w:noProof/>
        </w:rPr>
        <w:tab/>
      </w:r>
      <w:r w:rsidRPr="00D94537">
        <w:rPr>
          <w:noProof/>
        </w:rPr>
        <w:t>Article 30.2 of the Agreement provides that the CETA Joint Committee may decide to amend the protocols and annexes of this Agreement. Pursuant to Article 26.3(3) of the Agreement, such decision shall be made by mutual consent of the Parties</w:t>
      </w:r>
      <w:r w:rsidR="00FF06AC" w:rsidRPr="00D94537">
        <w:rPr>
          <w:noProof/>
        </w:rPr>
        <w:t>.</w:t>
      </w:r>
      <w:r w:rsidR="00FD39D9" w:rsidRPr="00A161AB">
        <w:rPr>
          <w:noProof/>
        </w:rPr>
        <w:t xml:space="preserve"> </w:t>
      </w:r>
    </w:p>
    <w:p w:rsidR="002C1FA1" w:rsidRPr="00A161AB" w:rsidRDefault="002C1FA1" w:rsidP="00EB54D3">
      <w:pPr>
        <w:pStyle w:val="ManualConsidrant"/>
        <w:rPr>
          <w:noProof/>
          <w:lang w:eastAsia="en-IE"/>
        </w:rPr>
      </w:pPr>
      <w:r>
        <w:rPr>
          <w:noProof/>
        </w:rPr>
        <w:t>(5)</w:t>
      </w:r>
      <w:r>
        <w:rPr>
          <w:noProof/>
        </w:rPr>
        <w:tab/>
      </w:r>
      <w:r w:rsidRPr="002C1FA1">
        <w:rPr>
          <w:noProof/>
          <w:lang w:eastAsia="en-IE"/>
        </w:rPr>
        <w:t xml:space="preserve">Pursuant to </w:t>
      </w:r>
      <w:r>
        <w:rPr>
          <w:noProof/>
          <w:lang w:eastAsia="en-IE"/>
        </w:rPr>
        <w:t xml:space="preserve">Article 15(6) of the </w:t>
      </w:r>
      <w:r w:rsidR="00BC1081" w:rsidRPr="00D94537">
        <w:rPr>
          <w:noProof/>
        </w:rPr>
        <w:t xml:space="preserve">Protocol </w:t>
      </w:r>
      <w:r w:rsidR="00BC1081" w:rsidRPr="007262B1">
        <w:rPr>
          <w:rFonts w:eastAsia="Arial Unicode MS"/>
          <w:noProof/>
        </w:rPr>
        <w:t>on the mutual recognition of the compliance and enforcement programme regarding good manufacturing practices</w:t>
      </w:r>
      <w:r w:rsidR="00BC1081">
        <w:rPr>
          <w:rFonts w:eastAsia="Arial Unicode MS"/>
          <w:noProof/>
        </w:rPr>
        <w:t xml:space="preserve"> </w:t>
      </w:r>
      <w:r w:rsidR="00BC1081" w:rsidRPr="007262B1">
        <w:rPr>
          <w:rFonts w:eastAsia="Arial Unicode MS"/>
          <w:noProof/>
        </w:rPr>
        <w:t xml:space="preserve">for pharmaceutical products to </w:t>
      </w:r>
      <w:r w:rsidR="00BC1081">
        <w:rPr>
          <w:rFonts w:eastAsia="Arial Unicode MS"/>
          <w:noProof/>
        </w:rPr>
        <w:t>CETA (‘GMP Protocol’)</w:t>
      </w:r>
      <w:r w:rsidRPr="002C1FA1">
        <w:rPr>
          <w:noProof/>
          <w:lang w:eastAsia="en-IE"/>
        </w:rPr>
        <w:t>, the Joint Sectoral Group shall review the operational scope of medicinal products or drugs under paragraph 2 of Annex 1</w:t>
      </w:r>
      <w:r>
        <w:rPr>
          <w:noProof/>
          <w:lang w:eastAsia="en-IE"/>
        </w:rPr>
        <w:t xml:space="preserve"> of the GMP Protocol</w:t>
      </w:r>
      <w:r w:rsidRPr="002C1FA1">
        <w:rPr>
          <w:noProof/>
          <w:lang w:eastAsia="en-IE"/>
        </w:rPr>
        <w:t>, with a view to including those medicinal products or drugs listed in paragraph 1 of Annex 1</w:t>
      </w:r>
      <w:r>
        <w:rPr>
          <w:noProof/>
          <w:lang w:eastAsia="en-IE"/>
        </w:rPr>
        <w:t xml:space="preserve"> of the GMP Protocol</w:t>
      </w:r>
      <w:r w:rsidRPr="002C1FA1">
        <w:rPr>
          <w:noProof/>
          <w:lang w:eastAsia="en-IE"/>
        </w:rPr>
        <w:t>.</w:t>
      </w:r>
    </w:p>
    <w:p w:rsidR="00FD39D9" w:rsidRPr="00D94537" w:rsidRDefault="00981A85" w:rsidP="00FD39D9">
      <w:pPr>
        <w:pStyle w:val="ManualConsidrant"/>
        <w:rPr>
          <w:noProof/>
        </w:rPr>
      </w:pPr>
      <w:r>
        <w:rPr>
          <w:noProof/>
        </w:rPr>
        <w:lastRenderedPageBreak/>
        <w:t>(6)</w:t>
      </w:r>
      <w:r>
        <w:rPr>
          <w:noProof/>
        </w:rPr>
        <w:tab/>
      </w:r>
      <w:r w:rsidRPr="00D94537">
        <w:rPr>
          <w:noProof/>
        </w:rPr>
        <w:t xml:space="preserve">The Joint Sectoral Group has on </w:t>
      </w:r>
      <w:r w:rsidR="008209EF" w:rsidRPr="00D94537">
        <w:rPr>
          <w:noProof/>
        </w:rPr>
        <w:t>15 December 2022</w:t>
      </w:r>
      <w:r w:rsidRPr="00D94537">
        <w:rPr>
          <w:noProof/>
        </w:rPr>
        <w:t xml:space="preserve"> reviewed the operational scope of the</w:t>
      </w:r>
      <w:r w:rsidR="00EB54D3" w:rsidRPr="00D94537">
        <w:rPr>
          <w:noProof/>
        </w:rPr>
        <w:t xml:space="preserve"> </w:t>
      </w:r>
      <w:r w:rsidR="00EB54D3">
        <w:rPr>
          <w:rFonts w:eastAsia="Arial Unicode MS"/>
          <w:noProof/>
        </w:rPr>
        <w:t xml:space="preserve">GMP Protocol </w:t>
      </w:r>
      <w:r w:rsidRPr="00D94537">
        <w:rPr>
          <w:noProof/>
        </w:rPr>
        <w:t xml:space="preserve">and recommended that </w:t>
      </w:r>
      <w:r w:rsidR="0097369F" w:rsidRPr="00D94537">
        <w:rPr>
          <w:noProof/>
        </w:rPr>
        <w:t xml:space="preserve">active pharmaceutical ingredients which are currently </w:t>
      </w:r>
      <w:r w:rsidR="0097369F" w:rsidRPr="00563082">
        <w:rPr>
          <w:noProof/>
          <w:lang w:eastAsia="en-IE"/>
        </w:rPr>
        <w:t xml:space="preserve">listed in paragraph 1 of Annex 1 to the </w:t>
      </w:r>
      <w:r w:rsidR="00EB54D3">
        <w:rPr>
          <w:noProof/>
          <w:lang w:eastAsia="en-IE"/>
        </w:rPr>
        <w:t xml:space="preserve">GMP </w:t>
      </w:r>
      <w:r w:rsidR="0097369F" w:rsidRPr="00563082">
        <w:rPr>
          <w:noProof/>
          <w:lang w:eastAsia="en-IE"/>
        </w:rPr>
        <w:t>Protocol</w:t>
      </w:r>
      <w:r w:rsidR="0097369F" w:rsidRPr="00D94537">
        <w:rPr>
          <w:noProof/>
        </w:rPr>
        <w:t xml:space="preserve"> be </w:t>
      </w:r>
      <w:r w:rsidR="0097369F" w:rsidRPr="00563082">
        <w:rPr>
          <w:noProof/>
          <w:lang w:eastAsia="en-IE"/>
        </w:rPr>
        <w:t xml:space="preserve">included as medicinal products or drugs listed in paragraph </w:t>
      </w:r>
      <w:r w:rsidR="00A161AB" w:rsidRPr="00563082">
        <w:rPr>
          <w:noProof/>
          <w:lang w:eastAsia="en-IE"/>
        </w:rPr>
        <w:t>2</w:t>
      </w:r>
      <w:r w:rsidR="0097369F" w:rsidRPr="00563082">
        <w:rPr>
          <w:noProof/>
          <w:lang w:eastAsia="en-IE"/>
        </w:rPr>
        <w:t xml:space="preserve"> of Annex 1 to the</w:t>
      </w:r>
      <w:r w:rsidR="00EB54D3">
        <w:rPr>
          <w:noProof/>
          <w:lang w:eastAsia="en-IE"/>
        </w:rPr>
        <w:t xml:space="preserve"> GMP</w:t>
      </w:r>
      <w:r w:rsidR="0097369F" w:rsidRPr="00563082">
        <w:rPr>
          <w:noProof/>
          <w:lang w:eastAsia="en-IE"/>
        </w:rPr>
        <w:t xml:space="preserve"> Protocol.</w:t>
      </w:r>
      <w:r w:rsidR="00060A1F">
        <w:rPr>
          <w:noProof/>
          <w:lang w:eastAsia="en-IE"/>
        </w:rPr>
        <w:t xml:space="preserve"> </w:t>
      </w:r>
    </w:p>
    <w:p w:rsidR="00FF06AC" w:rsidRPr="00A161AB" w:rsidRDefault="00FF06AC" w:rsidP="00FF06AC">
      <w:pPr>
        <w:pStyle w:val="ManualConsidrant"/>
        <w:rPr>
          <w:noProof/>
        </w:rPr>
      </w:pPr>
      <w:r>
        <w:rPr>
          <w:noProof/>
        </w:rPr>
        <w:t>(7)</w:t>
      </w:r>
      <w:r>
        <w:rPr>
          <w:noProof/>
        </w:rPr>
        <w:tab/>
      </w:r>
      <w:r w:rsidRPr="00A161AB">
        <w:rPr>
          <w:noProof/>
        </w:rPr>
        <w:t xml:space="preserve">The </w:t>
      </w:r>
      <w:r w:rsidR="0097369F" w:rsidRPr="00D94537">
        <w:rPr>
          <w:noProof/>
        </w:rPr>
        <w:t xml:space="preserve">CETA Joint Committee </w:t>
      </w:r>
      <w:r w:rsidRPr="00A161AB">
        <w:rPr>
          <w:noProof/>
        </w:rPr>
        <w:t xml:space="preserve">is to adopt </w:t>
      </w:r>
      <w:r w:rsidR="00EB54D3" w:rsidRPr="00D94537">
        <w:rPr>
          <w:noProof/>
        </w:rPr>
        <w:t xml:space="preserve">a </w:t>
      </w:r>
      <w:r w:rsidR="0097369F" w:rsidRPr="00D94537">
        <w:rPr>
          <w:noProof/>
        </w:rPr>
        <w:t>decision</w:t>
      </w:r>
      <w:r w:rsidRPr="00A161AB">
        <w:rPr>
          <w:i/>
          <w:noProof/>
        </w:rPr>
        <w:t xml:space="preserve"> </w:t>
      </w:r>
      <w:r w:rsidRPr="00A161AB">
        <w:rPr>
          <w:noProof/>
        </w:rPr>
        <w:t xml:space="preserve">on </w:t>
      </w:r>
      <w:r w:rsidR="0097369F" w:rsidRPr="00D94537">
        <w:rPr>
          <w:noProof/>
        </w:rPr>
        <w:t xml:space="preserve">the inclusion of the active pharmaceutical ingredients in the operational scope of medicinal products or drugs listed in Annex 1 to the </w:t>
      </w:r>
      <w:r w:rsidR="00EB54D3" w:rsidRPr="00D94537">
        <w:rPr>
          <w:noProof/>
        </w:rPr>
        <w:t xml:space="preserve">GMP </w:t>
      </w:r>
      <w:r w:rsidR="0097369F" w:rsidRPr="00D94537">
        <w:rPr>
          <w:noProof/>
        </w:rPr>
        <w:t>Protocol</w:t>
      </w:r>
      <w:r w:rsidRPr="00A161AB">
        <w:rPr>
          <w:noProof/>
        </w:rPr>
        <w:t>.</w:t>
      </w:r>
    </w:p>
    <w:p w:rsidR="0097369F" w:rsidRPr="00D94537" w:rsidRDefault="00FF06AC" w:rsidP="0097369F">
      <w:pPr>
        <w:pStyle w:val="ManualConsidrant"/>
        <w:rPr>
          <w:noProof/>
        </w:rPr>
      </w:pPr>
      <w:r>
        <w:rPr>
          <w:noProof/>
        </w:rPr>
        <w:t>(8)</w:t>
      </w:r>
      <w:r>
        <w:rPr>
          <w:noProof/>
        </w:rPr>
        <w:tab/>
      </w:r>
      <w:r w:rsidRPr="00A161AB">
        <w:rPr>
          <w:noProof/>
        </w:rPr>
        <w:t xml:space="preserve">It is </w:t>
      </w:r>
      <w:r w:rsidR="00EB54D3">
        <w:rPr>
          <w:noProof/>
        </w:rPr>
        <w:t xml:space="preserve">therefore </w:t>
      </w:r>
      <w:r w:rsidRPr="00A161AB">
        <w:rPr>
          <w:noProof/>
        </w:rPr>
        <w:t xml:space="preserve">appropriate to establish the position to be taken on the Union's behalf in the </w:t>
      </w:r>
      <w:r w:rsidR="0097369F" w:rsidRPr="00F246B5">
        <w:rPr>
          <w:noProof/>
        </w:rPr>
        <w:t>CETA Joint Committee</w:t>
      </w:r>
      <w:r w:rsidR="00EB54D3" w:rsidRPr="00F246B5">
        <w:rPr>
          <w:noProof/>
        </w:rPr>
        <w:t xml:space="preserve"> on the basis of the attached draft decision of the CETA Joint Committee</w:t>
      </w:r>
      <w:r w:rsidR="00EB54D3">
        <w:rPr>
          <w:noProof/>
        </w:rPr>
        <w:t>,</w:t>
      </w:r>
      <w:r w:rsidR="0097369F" w:rsidRPr="00D94537">
        <w:rPr>
          <w:noProof/>
        </w:rPr>
        <w:tab/>
      </w:r>
    </w:p>
    <w:p w:rsidR="00FF06AC" w:rsidRPr="00A161AB" w:rsidRDefault="00FF06AC">
      <w:pPr>
        <w:pStyle w:val="Formuledadoption"/>
        <w:rPr>
          <w:noProof/>
        </w:rPr>
      </w:pPr>
      <w:r w:rsidRPr="00A161AB">
        <w:rPr>
          <w:noProof/>
        </w:rPr>
        <w:t>HAS ADOPTED THIS DECISION:</w:t>
      </w:r>
    </w:p>
    <w:p w:rsidR="00FF06AC" w:rsidRPr="00A161AB" w:rsidRDefault="00FF06AC">
      <w:pPr>
        <w:pStyle w:val="Titrearticle"/>
        <w:rPr>
          <w:noProof/>
        </w:rPr>
      </w:pPr>
      <w:r w:rsidRPr="00A161AB">
        <w:rPr>
          <w:noProof/>
        </w:rPr>
        <w:t>Article 1</w:t>
      </w:r>
    </w:p>
    <w:p w:rsidR="00FF06AC" w:rsidRPr="00A161AB" w:rsidRDefault="00FF06AC">
      <w:pPr>
        <w:jc w:val="left"/>
        <w:rPr>
          <w:i/>
          <w:noProof/>
        </w:rPr>
      </w:pPr>
      <w:r w:rsidRPr="00A161AB">
        <w:rPr>
          <w:noProof/>
        </w:rPr>
        <w:t xml:space="preserve">The position to be taken on the Union's behalf in the </w:t>
      </w:r>
      <w:r w:rsidR="0097369F" w:rsidRPr="00D94537">
        <w:rPr>
          <w:noProof/>
        </w:rPr>
        <w:t xml:space="preserve">CETA Joint </w:t>
      </w:r>
      <w:r w:rsidR="00EB54D3" w:rsidRPr="00D94537">
        <w:rPr>
          <w:noProof/>
        </w:rPr>
        <w:t xml:space="preserve">Committee as regards the adoption of a </w:t>
      </w:r>
      <w:r w:rsidR="00EB54D3">
        <w:rPr>
          <w:rFonts w:eastAsia="Arial Unicode MS"/>
          <w:noProof/>
        </w:rPr>
        <w:t>d</w:t>
      </w:r>
      <w:r w:rsidR="00EB54D3" w:rsidRPr="007E10C8">
        <w:rPr>
          <w:rFonts w:eastAsia="Arial Unicode MS"/>
          <w:noProof/>
        </w:rPr>
        <w:t>ecision</w:t>
      </w:r>
      <w:r w:rsidR="00EB54D3">
        <w:rPr>
          <w:rFonts w:eastAsia="Arial Unicode MS"/>
          <w:noProof/>
        </w:rPr>
        <w:t xml:space="preserve"> </w:t>
      </w:r>
      <w:r w:rsidR="00EB54D3" w:rsidRPr="007E10C8">
        <w:rPr>
          <w:rFonts w:eastAsia="Arial Unicode MS"/>
          <w:noProof/>
        </w:rPr>
        <w:t xml:space="preserve">concerning the inclusion of active pharmaceutical ingredients </w:t>
      </w:r>
      <w:r w:rsidR="00EB54D3">
        <w:rPr>
          <w:rFonts w:eastAsia="Arial Unicode MS"/>
          <w:noProof/>
        </w:rPr>
        <w:t>as</w:t>
      </w:r>
      <w:r w:rsidR="00EB54D3" w:rsidRPr="007E10C8">
        <w:rPr>
          <w:rFonts w:eastAsia="Arial Unicode MS"/>
          <w:noProof/>
        </w:rPr>
        <w:t xml:space="preserve"> medicinal products or drugs listed in Annex 1 to </w:t>
      </w:r>
      <w:r w:rsidR="00EB54D3">
        <w:rPr>
          <w:rFonts w:eastAsia="Arial Unicode MS"/>
          <w:noProof/>
        </w:rPr>
        <w:t xml:space="preserve">the GMP </w:t>
      </w:r>
      <w:r w:rsidR="00EB54D3" w:rsidRPr="007E10C8">
        <w:rPr>
          <w:rFonts w:eastAsia="Arial Unicode MS"/>
          <w:noProof/>
        </w:rPr>
        <w:t xml:space="preserve">Protocol </w:t>
      </w:r>
      <w:r w:rsidR="00EB54D3">
        <w:rPr>
          <w:rFonts w:eastAsia="Arial Unicode MS"/>
          <w:noProof/>
        </w:rPr>
        <w:t xml:space="preserve">to CETA </w:t>
      </w:r>
      <w:r w:rsidRPr="00A161AB">
        <w:rPr>
          <w:noProof/>
        </w:rPr>
        <w:t xml:space="preserve">shall be based on the draft act of the </w:t>
      </w:r>
      <w:r w:rsidR="0097369F" w:rsidRPr="00D94537">
        <w:rPr>
          <w:noProof/>
        </w:rPr>
        <w:t>CETA Joint Committee</w:t>
      </w:r>
      <w:r w:rsidRPr="00A161AB">
        <w:rPr>
          <w:noProof/>
        </w:rPr>
        <w:t xml:space="preserve"> attached to this Decision.</w:t>
      </w:r>
    </w:p>
    <w:p w:rsidR="00FF06AC" w:rsidRPr="00A161AB" w:rsidRDefault="00FF06AC" w:rsidP="00402FA7">
      <w:pPr>
        <w:pStyle w:val="Titrearticle"/>
        <w:rPr>
          <w:noProof/>
        </w:rPr>
      </w:pPr>
      <w:r w:rsidRPr="00A161AB">
        <w:rPr>
          <w:noProof/>
        </w:rPr>
        <w:t xml:space="preserve">Article </w:t>
      </w:r>
      <w:r w:rsidR="00A161AB" w:rsidRPr="00D94537">
        <w:rPr>
          <w:noProof/>
        </w:rPr>
        <w:t>2</w:t>
      </w:r>
    </w:p>
    <w:p w:rsidR="00FF06AC" w:rsidRPr="00A161AB" w:rsidRDefault="00FF06AC">
      <w:pPr>
        <w:rPr>
          <w:noProof/>
        </w:rPr>
      </w:pPr>
      <w:r w:rsidRPr="00A161AB">
        <w:rPr>
          <w:noProof/>
        </w:rPr>
        <w:t>This Decision is addressed to the Commission.</w:t>
      </w:r>
    </w:p>
    <w:p w:rsidR="00FF06AC" w:rsidRPr="00A161AB" w:rsidRDefault="008700C5" w:rsidP="00402FA7">
      <w:pPr>
        <w:pStyle w:val="Fait"/>
        <w:rPr>
          <w:noProof/>
        </w:rPr>
      </w:pPr>
      <w:r>
        <w:rPr>
          <w:noProof/>
        </w:rPr>
        <w:t>Done at Brussels,</w:t>
      </w:r>
    </w:p>
    <w:p w:rsidR="00FF06AC" w:rsidRPr="00A161AB" w:rsidRDefault="00FF06AC" w:rsidP="00402FA7">
      <w:pPr>
        <w:pStyle w:val="Institutionquisigne"/>
        <w:rPr>
          <w:noProof/>
        </w:rPr>
      </w:pPr>
      <w:r w:rsidRPr="00A161AB">
        <w:rPr>
          <w:noProof/>
        </w:rPr>
        <w:tab/>
        <w:t>For the Council</w:t>
      </w:r>
    </w:p>
    <w:p w:rsidR="00FF06AC" w:rsidRPr="00A161AB" w:rsidRDefault="00FF06AC" w:rsidP="00FF06AC">
      <w:pPr>
        <w:pStyle w:val="Personnequisigne"/>
        <w:rPr>
          <w:noProof/>
        </w:rPr>
      </w:pPr>
      <w:r w:rsidRPr="00A161AB">
        <w:rPr>
          <w:noProof/>
        </w:rPr>
        <w:tab/>
        <w:t>The President</w:t>
      </w:r>
    </w:p>
    <w:sectPr w:rsidR="00FF06AC" w:rsidRPr="00A161AB" w:rsidSect="00B266EB">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267E" w:rsidRDefault="001E267E" w:rsidP="00FF06AC">
      <w:pPr>
        <w:spacing w:before="0" w:after="0"/>
      </w:pPr>
      <w:r>
        <w:separator/>
      </w:r>
    </w:p>
  </w:endnote>
  <w:endnote w:type="continuationSeparator" w:id="0">
    <w:p w:rsidR="001E267E" w:rsidRDefault="001E267E" w:rsidP="00FF06A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6EB" w:rsidRPr="00B266EB" w:rsidRDefault="00B266EB" w:rsidP="00B266EB">
    <w:pPr>
      <w:pStyle w:val="Footer"/>
      <w:rPr>
        <w:rFonts w:ascii="Arial" w:hAnsi="Arial" w:cs="Arial"/>
        <w:b/>
        <w:sz w:val="48"/>
      </w:rPr>
    </w:pPr>
    <w:r w:rsidRPr="00B266EB">
      <w:rPr>
        <w:rFonts w:ascii="Arial" w:hAnsi="Arial" w:cs="Arial"/>
        <w:b/>
        <w:sz w:val="48"/>
      </w:rPr>
      <w:t>EN</w:t>
    </w:r>
    <w:r w:rsidRPr="00B266EB">
      <w:rPr>
        <w:rFonts w:ascii="Arial" w:hAnsi="Arial" w:cs="Arial"/>
        <w:b/>
        <w:sz w:val="48"/>
      </w:rPr>
      <w:tab/>
    </w:r>
    <w:r w:rsidRPr="00B266EB">
      <w:rPr>
        <w:rFonts w:ascii="Arial" w:hAnsi="Arial" w:cs="Arial"/>
        <w:b/>
        <w:sz w:val="48"/>
      </w:rPr>
      <w:tab/>
    </w:r>
    <w:r w:rsidRPr="00B266EB">
      <w:tab/>
    </w:r>
    <w:r w:rsidRPr="00B266E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6EB" w:rsidRPr="00B266EB" w:rsidRDefault="00B266EB" w:rsidP="00B266EB">
    <w:pPr>
      <w:pStyle w:val="Footer"/>
      <w:rPr>
        <w:rFonts w:ascii="Arial" w:hAnsi="Arial" w:cs="Arial"/>
        <w:b/>
        <w:sz w:val="48"/>
      </w:rPr>
    </w:pPr>
    <w:r w:rsidRPr="00B266EB">
      <w:rPr>
        <w:rFonts w:ascii="Arial" w:hAnsi="Arial" w:cs="Arial"/>
        <w:b/>
        <w:sz w:val="48"/>
      </w:rPr>
      <w:t>EN</w:t>
    </w:r>
    <w:r w:rsidRPr="00B266EB">
      <w:rPr>
        <w:rFonts w:ascii="Arial" w:hAnsi="Arial" w:cs="Arial"/>
        <w:b/>
        <w:sz w:val="48"/>
      </w:rPr>
      <w:tab/>
    </w:r>
    <w:r w:rsidRPr="00B266EB">
      <w:rPr>
        <w:rFonts w:ascii="Arial" w:hAnsi="Arial" w:cs="Arial"/>
        <w:b/>
        <w:sz w:val="48"/>
      </w:rPr>
      <w:tab/>
    </w:r>
    <w:r w:rsidRPr="00B266EB">
      <w:tab/>
    </w:r>
    <w:r w:rsidRPr="00B266E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6EB" w:rsidRDefault="00B266E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6EB" w:rsidRPr="00B266EB" w:rsidRDefault="00B266EB" w:rsidP="00B266EB">
    <w:pPr>
      <w:pStyle w:val="Footer"/>
      <w:rPr>
        <w:rFonts w:ascii="Arial" w:hAnsi="Arial" w:cs="Arial"/>
        <w:b/>
        <w:sz w:val="48"/>
      </w:rPr>
    </w:pPr>
    <w:r w:rsidRPr="00B266EB">
      <w:rPr>
        <w:rFonts w:ascii="Arial" w:hAnsi="Arial" w:cs="Arial"/>
        <w:b/>
        <w:sz w:val="48"/>
      </w:rPr>
      <w:t>EN</w:t>
    </w:r>
    <w:r w:rsidRPr="00B266EB">
      <w:rPr>
        <w:rFonts w:ascii="Arial" w:hAnsi="Arial" w:cs="Arial"/>
        <w:b/>
        <w:sz w:val="48"/>
      </w:rPr>
      <w:tab/>
    </w:r>
    <w:r>
      <w:fldChar w:fldCharType="begin"/>
    </w:r>
    <w:r>
      <w:instrText xml:space="preserve"> PAGE  \* MERGEFORMAT </w:instrText>
    </w:r>
    <w:r>
      <w:fldChar w:fldCharType="separate"/>
    </w:r>
    <w:r w:rsidR="00402FA7">
      <w:rPr>
        <w:noProof/>
      </w:rPr>
      <w:t>5</w:t>
    </w:r>
    <w:r>
      <w:fldChar w:fldCharType="end"/>
    </w:r>
    <w:r>
      <w:tab/>
    </w:r>
    <w:r w:rsidRPr="00B266EB">
      <w:tab/>
    </w:r>
    <w:r w:rsidRPr="00B266EB">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6EB" w:rsidRDefault="00B266EB" w:rsidP="00B266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267E" w:rsidRDefault="001E267E" w:rsidP="00FF06AC">
      <w:pPr>
        <w:spacing w:before="0" w:after="0"/>
      </w:pPr>
      <w:r>
        <w:separator/>
      </w:r>
    </w:p>
  </w:footnote>
  <w:footnote w:type="continuationSeparator" w:id="0">
    <w:p w:rsidR="001E267E" w:rsidRDefault="001E267E" w:rsidP="00FF06AC">
      <w:pPr>
        <w:spacing w:before="0" w:after="0"/>
      </w:pPr>
      <w:r>
        <w:continuationSeparator/>
      </w:r>
    </w:p>
  </w:footnote>
  <w:footnote w:id="1">
    <w:p w:rsidR="008A4CC7" w:rsidRPr="00947C76" w:rsidRDefault="008A4CC7" w:rsidP="008A4CC7">
      <w:pPr>
        <w:pStyle w:val="FootnoteText"/>
        <w:rPr>
          <w:lang w:val="en-IE"/>
        </w:rPr>
      </w:pPr>
      <w:r w:rsidRPr="00D94537">
        <w:rPr>
          <w:rStyle w:val="FootnoteReference"/>
        </w:rPr>
        <w:footnoteRef/>
      </w:r>
      <w:r w:rsidR="00D94537">
        <w:tab/>
      </w:r>
      <w:r w:rsidRPr="001331A5">
        <w:t>OJ L 311, 28.11.2001, p. 67</w:t>
      </w:r>
      <w:r>
        <w:t>.</w:t>
      </w:r>
    </w:p>
  </w:footnote>
  <w:footnote w:id="2">
    <w:p w:rsidR="00FF06AC" w:rsidRPr="00B035F8" w:rsidRDefault="00FF06AC">
      <w:pPr>
        <w:pStyle w:val="FootnoteText"/>
      </w:pPr>
      <w:r w:rsidRPr="00B035F8">
        <w:rPr>
          <w:rStyle w:val="FootnoteReference"/>
        </w:rPr>
        <w:footnoteRef/>
      </w:r>
      <w:r w:rsidRPr="00B035F8">
        <w:tab/>
        <w:t>Judgment of the Court of Justice of 7 October 2014, Germany v Council, C-399/12, ECLI:EU:C:2014:2258, paragraphs 61</w:t>
      </w:r>
      <w:r>
        <w:t xml:space="preserve"> </w:t>
      </w:r>
      <w:r w:rsidRPr="00B035F8">
        <w:t xml:space="preserve">to 64. </w:t>
      </w:r>
    </w:p>
  </w:footnote>
  <w:footnote w:id="3">
    <w:p w:rsidR="004748C0" w:rsidRPr="00A32601" w:rsidRDefault="004748C0">
      <w:pPr>
        <w:pStyle w:val="FootnoteText"/>
        <w:rPr>
          <w:lang w:val="en-IE"/>
        </w:rPr>
      </w:pPr>
      <w:r w:rsidRPr="00D94537">
        <w:rPr>
          <w:rStyle w:val="FootnoteReference"/>
        </w:rPr>
        <w:footnoteRef/>
      </w:r>
      <w:r w:rsidR="00D94537">
        <w:tab/>
      </w:r>
      <w:r w:rsidRPr="004748C0">
        <w:t>Council Decision (EU) 2017/37 of 28 October 2016 on the signing on behalf of the European Union of the Comprehensive Economic and Trade Agreement (CETA) between Canada, of the one part, and the European Union and its Member States, of the other part (OJ L 11, 14.1.2017, p. 1).</w:t>
      </w:r>
    </w:p>
  </w:footnote>
  <w:footnote w:id="4">
    <w:p w:rsidR="004748C0" w:rsidRPr="00A32601" w:rsidRDefault="004748C0">
      <w:pPr>
        <w:pStyle w:val="FootnoteText"/>
        <w:rPr>
          <w:lang w:val="en-IE"/>
        </w:rPr>
      </w:pPr>
      <w:r w:rsidRPr="00D94537">
        <w:rPr>
          <w:rStyle w:val="FootnoteReference"/>
        </w:rPr>
        <w:footnoteRef/>
      </w:r>
      <w:r w:rsidR="00D94537">
        <w:tab/>
      </w:r>
      <w:r w:rsidRPr="004748C0">
        <w:t>Council Decision (EU) 2017/38 of 28 October 2016 on the provisional application of the Comprehensive Economic and Trade Agreement (CETA) between Canada, of the one part, and the European Union and its Member States, of the other part (OJ L 11, 14.1.2017, p. 1080).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6EB" w:rsidRDefault="00B266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6EB" w:rsidRDefault="00B266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B288A0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C5EB93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A3E730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77015D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
  <w:docVars>
    <w:docVar w:name="CR_RefLast" w:val="0"/>
    <w:docVar w:name="DQCDateTime" w:val="2026-03-31 08:57:4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B3ACDC6-3C27-48DA-96EE-67A9D3D8C543"/>
    <w:docVar w:name="LW_COVERPAGE_TYPE" w:val="1"/>
    <w:docVar w:name="LW_CROSSREFERENCE" w:val="&lt;UNUSED&gt;"/>
    <w:docVar w:name="LW_DocType" w:val="COM"/>
    <w:docVar w:name="LW_EMISSION" w:val="10.4.2026"/>
    <w:docVar w:name="LW_EMISSION_ISODATE" w:val="2026-04-10"/>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75"/>
    <w:docVar w:name="LW_REF.II.NEW.CP_YEAR" w:val="2026"/>
    <w:docVar w:name="LW_REF.INST.NEW" w:val="COM"/>
    <w:docVar w:name="LW_REF.INST.NEW_ADOPTED" w:val="final"/>
    <w:docVar w:name="LW_REF.INST.NEW_TEXT" w:val="(2026) 13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within the CETA Joint Committee established under the Comprehensive Economic and Trade Agreement (CETA) between Canada, of the one part, and the European Union and its Member States, of the other part, as regards the adoption of a decision concerning the inclusion of active pharmaceutical ingredients as the medicinal products or drugs listed in paragraph 2 of the Annex 1 to the Protocol on the mutual recognition of the compliance and enforcement programme regarding good manufacturing practices for pharmaceutical products"/>
    <w:docVar w:name="LW_TYPE.DOC.CP" w:val="COUNCIL DECISION"/>
    <w:docVar w:name="LwApiVersions" w:val="LW4CoDe 1.24.5.0; LW 9.2, Build 20251112"/>
  </w:docVars>
  <w:rsids>
    <w:rsidRoot w:val="00FF06AC"/>
    <w:rsid w:val="0000187A"/>
    <w:rsid w:val="00060A1F"/>
    <w:rsid w:val="000641FC"/>
    <w:rsid w:val="00067D2D"/>
    <w:rsid w:val="000A04D9"/>
    <w:rsid w:val="000C1EAA"/>
    <w:rsid w:val="000D3369"/>
    <w:rsid w:val="000D4CF6"/>
    <w:rsid w:val="001065F5"/>
    <w:rsid w:val="001238EF"/>
    <w:rsid w:val="001331A5"/>
    <w:rsid w:val="0014327C"/>
    <w:rsid w:val="00153E10"/>
    <w:rsid w:val="00170B4C"/>
    <w:rsid w:val="00183C45"/>
    <w:rsid w:val="00187871"/>
    <w:rsid w:val="00197613"/>
    <w:rsid w:val="001A5379"/>
    <w:rsid w:val="001B1310"/>
    <w:rsid w:val="001B58D5"/>
    <w:rsid w:val="001C4A1A"/>
    <w:rsid w:val="001C4CD0"/>
    <w:rsid w:val="001C70A7"/>
    <w:rsid w:val="001D55D3"/>
    <w:rsid w:val="001E267E"/>
    <w:rsid w:val="001F691D"/>
    <w:rsid w:val="00233DC7"/>
    <w:rsid w:val="00247779"/>
    <w:rsid w:val="00285BEE"/>
    <w:rsid w:val="0029533F"/>
    <w:rsid w:val="002A28EA"/>
    <w:rsid w:val="002B11A3"/>
    <w:rsid w:val="002B30AF"/>
    <w:rsid w:val="002B75EE"/>
    <w:rsid w:val="002C1FA1"/>
    <w:rsid w:val="002C46F2"/>
    <w:rsid w:val="00301662"/>
    <w:rsid w:val="00303CE3"/>
    <w:rsid w:val="00305757"/>
    <w:rsid w:val="003066D0"/>
    <w:rsid w:val="003276D4"/>
    <w:rsid w:val="00327C50"/>
    <w:rsid w:val="0033344A"/>
    <w:rsid w:val="003458A1"/>
    <w:rsid w:val="0034620E"/>
    <w:rsid w:val="00361691"/>
    <w:rsid w:val="00363967"/>
    <w:rsid w:val="003712A7"/>
    <w:rsid w:val="003758D1"/>
    <w:rsid w:val="0039119B"/>
    <w:rsid w:val="003A599D"/>
    <w:rsid w:val="003A633B"/>
    <w:rsid w:val="003C27AA"/>
    <w:rsid w:val="003C44A9"/>
    <w:rsid w:val="003C6240"/>
    <w:rsid w:val="003E3FA7"/>
    <w:rsid w:val="003E55BB"/>
    <w:rsid w:val="003F7A43"/>
    <w:rsid w:val="00402FA7"/>
    <w:rsid w:val="00404B93"/>
    <w:rsid w:val="0042648E"/>
    <w:rsid w:val="00447DE1"/>
    <w:rsid w:val="004748C0"/>
    <w:rsid w:val="00476458"/>
    <w:rsid w:val="004936D2"/>
    <w:rsid w:val="004A5114"/>
    <w:rsid w:val="004A556C"/>
    <w:rsid w:val="004C5FB0"/>
    <w:rsid w:val="00504917"/>
    <w:rsid w:val="00507AE0"/>
    <w:rsid w:val="00553BD1"/>
    <w:rsid w:val="005626FC"/>
    <w:rsid w:val="00563082"/>
    <w:rsid w:val="00563AE6"/>
    <w:rsid w:val="005648D2"/>
    <w:rsid w:val="005B1EB6"/>
    <w:rsid w:val="005C2427"/>
    <w:rsid w:val="005C71C7"/>
    <w:rsid w:val="005C7B13"/>
    <w:rsid w:val="005E116A"/>
    <w:rsid w:val="00671FF2"/>
    <w:rsid w:val="006B5CE9"/>
    <w:rsid w:val="006C00BA"/>
    <w:rsid w:val="006C46AF"/>
    <w:rsid w:val="006D23E2"/>
    <w:rsid w:val="006E0D2D"/>
    <w:rsid w:val="006E64B1"/>
    <w:rsid w:val="006F32B7"/>
    <w:rsid w:val="00713FDD"/>
    <w:rsid w:val="00714DFA"/>
    <w:rsid w:val="0071626F"/>
    <w:rsid w:val="007224BD"/>
    <w:rsid w:val="007262B1"/>
    <w:rsid w:val="00733CDD"/>
    <w:rsid w:val="0073674F"/>
    <w:rsid w:val="00773331"/>
    <w:rsid w:val="007932EF"/>
    <w:rsid w:val="007D6762"/>
    <w:rsid w:val="007E05B0"/>
    <w:rsid w:val="007E10C8"/>
    <w:rsid w:val="007E2A7A"/>
    <w:rsid w:val="00800C2E"/>
    <w:rsid w:val="008209EF"/>
    <w:rsid w:val="008606FA"/>
    <w:rsid w:val="008675B0"/>
    <w:rsid w:val="008700C5"/>
    <w:rsid w:val="0087412D"/>
    <w:rsid w:val="00874D22"/>
    <w:rsid w:val="008907F6"/>
    <w:rsid w:val="008A2914"/>
    <w:rsid w:val="008A4CC7"/>
    <w:rsid w:val="008C4401"/>
    <w:rsid w:val="008E4D8E"/>
    <w:rsid w:val="00914D35"/>
    <w:rsid w:val="00934ACF"/>
    <w:rsid w:val="009455AE"/>
    <w:rsid w:val="00954AF3"/>
    <w:rsid w:val="00961FA0"/>
    <w:rsid w:val="0097369F"/>
    <w:rsid w:val="009769F4"/>
    <w:rsid w:val="00976A7C"/>
    <w:rsid w:val="00981A85"/>
    <w:rsid w:val="009830B3"/>
    <w:rsid w:val="009A5E42"/>
    <w:rsid w:val="009D11FD"/>
    <w:rsid w:val="00A148BB"/>
    <w:rsid w:val="00A15584"/>
    <w:rsid w:val="00A161AB"/>
    <w:rsid w:val="00A32601"/>
    <w:rsid w:val="00A45789"/>
    <w:rsid w:val="00A5017D"/>
    <w:rsid w:val="00A56920"/>
    <w:rsid w:val="00A6225E"/>
    <w:rsid w:val="00A6786D"/>
    <w:rsid w:val="00A87D06"/>
    <w:rsid w:val="00AA4EB9"/>
    <w:rsid w:val="00AB3EA7"/>
    <w:rsid w:val="00B15840"/>
    <w:rsid w:val="00B239E2"/>
    <w:rsid w:val="00B266EB"/>
    <w:rsid w:val="00B61389"/>
    <w:rsid w:val="00B873B9"/>
    <w:rsid w:val="00B908D6"/>
    <w:rsid w:val="00BB1AAD"/>
    <w:rsid w:val="00BB70A7"/>
    <w:rsid w:val="00BB7250"/>
    <w:rsid w:val="00BC1081"/>
    <w:rsid w:val="00BC7396"/>
    <w:rsid w:val="00C12301"/>
    <w:rsid w:val="00C27721"/>
    <w:rsid w:val="00C30DE8"/>
    <w:rsid w:val="00C40C40"/>
    <w:rsid w:val="00C50A7A"/>
    <w:rsid w:val="00C65CB9"/>
    <w:rsid w:val="00C709FB"/>
    <w:rsid w:val="00CA127B"/>
    <w:rsid w:val="00CA4C3D"/>
    <w:rsid w:val="00CB40A4"/>
    <w:rsid w:val="00CB586E"/>
    <w:rsid w:val="00CC0721"/>
    <w:rsid w:val="00CF0D3D"/>
    <w:rsid w:val="00D0640C"/>
    <w:rsid w:val="00D16FF1"/>
    <w:rsid w:val="00D20381"/>
    <w:rsid w:val="00D47F10"/>
    <w:rsid w:val="00D63815"/>
    <w:rsid w:val="00D67ECB"/>
    <w:rsid w:val="00D90432"/>
    <w:rsid w:val="00D91FCA"/>
    <w:rsid w:val="00D94537"/>
    <w:rsid w:val="00D94E11"/>
    <w:rsid w:val="00DA42C6"/>
    <w:rsid w:val="00DA7F41"/>
    <w:rsid w:val="00DB4AEB"/>
    <w:rsid w:val="00DE30A3"/>
    <w:rsid w:val="00DE4EDC"/>
    <w:rsid w:val="00DF2C59"/>
    <w:rsid w:val="00E06C70"/>
    <w:rsid w:val="00E22FFE"/>
    <w:rsid w:val="00E412D8"/>
    <w:rsid w:val="00E6428A"/>
    <w:rsid w:val="00E84CE7"/>
    <w:rsid w:val="00E924A5"/>
    <w:rsid w:val="00E932B5"/>
    <w:rsid w:val="00EA30F9"/>
    <w:rsid w:val="00EB54D3"/>
    <w:rsid w:val="00EC128B"/>
    <w:rsid w:val="00EE7982"/>
    <w:rsid w:val="00F02750"/>
    <w:rsid w:val="00F16DDB"/>
    <w:rsid w:val="00F20566"/>
    <w:rsid w:val="00F246B5"/>
    <w:rsid w:val="00F33A42"/>
    <w:rsid w:val="00F37443"/>
    <w:rsid w:val="00F47A7D"/>
    <w:rsid w:val="00F81487"/>
    <w:rsid w:val="00F864C2"/>
    <w:rsid w:val="00F869F5"/>
    <w:rsid w:val="00F901F9"/>
    <w:rsid w:val="00F96D31"/>
    <w:rsid w:val="00FC02F8"/>
    <w:rsid w:val="00FC38F8"/>
    <w:rsid w:val="00FC7A82"/>
    <w:rsid w:val="00FD39D9"/>
    <w:rsid w:val="00FD5086"/>
    <w:rsid w:val="00FD6DFE"/>
    <w:rsid w:val="00FE0DD9"/>
    <w:rsid w:val="00FF0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352E201-99CC-4A09-ABCA-7EFAB3CF4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BB7250"/>
    <w:pPr>
      <w:numPr>
        <w:numId w:val="1"/>
      </w:numPr>
      <w:contextualSpacing/>
    </w:pPr>
  </w:style>
  <w:style w:type="paragraph" w:styleId="ListBullet2">
    <w:name w:val="List Bullet 2"/>
    <w:basedOn w:val="Normal"/>
    <w:uiPriority w:val="99"/>
    <w:semiHidden/>
    <w:unhideWhenUsed/>
    <w:rsid w:val="00BB7250"/>
    <w:pPr>
      <w:numPr>
        <w:numId w:val="2"/>
      </w:numPr>
      <w:contextualSpacing/>
    </w:pPr>
  </w:style>
  <w:style w:type="paragraph" w:styleId="ListBullet3">
    <w:name w:val="List Bullet 3"/>
    <w:basedOn w:val="Normal"/>
    <w:uiPriority w:val="99"/>
    <w:semiHidden/>
    <w:unhideWhenUsed/>
    <w:rsid w:val="00BB7250"/>
    <w:pPr>
      <w:numPr>
        <w:numId w:val="3"/>
      </w:numPr>
      <w:contextualSpacing/>
    </w:pPr>
  </w:style>
  <w:style w:type="paragraph" w:styleId="ListBullet4">
    <w:name w:val="List Bullet 4"/>
    <w:basedOn w:val="Normal"/>
    <w:uiPriority w:val="99"/>
    <w:semiHidden/>
    <w:unhideWhenUsed/>
    <w:rsid w:val="00BB7250"/>
    <w:pPr>
      <w:numPr>
        <w:numId w:val="4"/>
      </w:numPr>
      <w:contextualSpacing/>
    </w:pPr>
  </w:style>
  <w:style w:type="paragraph" w:styleId="Revision">
    <w:name w:val="Revision"/>
    <w:hidden/>
    <w:uiPriority w:val="99"/>
    <w:semiHidden/>
    <w:rsid w:val="00305757"/>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D0640C"/>
    <w:pPr>
      <w:ind w:left="720"/>
      <w:contextualSpacing/>
    </w:pPr>
  </w:style>
  <w:style w:type="character" w:styleId="CommentReference">
    <w:name w:val="annotation reference"/>
    <w:basedOn w:val="DefaultParagraphFont"/>
    <w:uiPriority w:val="99"/>
    <w:semiHidden/>
    <w:unhideWhenUsed/>
    <w:rsid w:val="001331A5"/>
    <w:rPr>
      <w:sz w:val="16"/>
      <w:szCs w:val="16"/>
    </w:rPr>
  </w:style>
  <w:style w:type="paragraph" w:styleId="CommentText">
    <w:name w:val="annotation text"/>
    <w:basedOn w:val="Normal"/>
    <w:link w:val="CommentTextChar"/>
    <w:uiPriority w:val="99"/>
    <w:unhideWhenUsed/>
    <w:rsid w:val="001331A5"/>
    <w:rPr>
      <w:sz w:val="20"/>
      <w:szCs w:val="20"/>
    </w:rPr>
  </w:style>
  <w:style w:type="character" w:customStyle="1" w:styleId="CommentTextChar">
    <w:name w:val="Comment Text Char"/>
    <w:basedOn w:val="DefaultParagraphFont"/>
    <w:link w:val="CommentText"/>
    <w:uiPriority w:val="99"/>
    <w:rsid w:val="001331A5"/>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331A5"/>
    <w:rPr>
      <w:b/>
      <w:bCs/>
    </w:rPr>
  </w:style>
  <w:style w:type="character" w:customStyle="1" w:styleId="CommentSubjectChar">
    <w:name w:val="Comment Subject Char"/>
    <w:basedOn w:val="CommentTextChar"/>
    <w:link w:val="CommentSubject"/>
    <w:uiPriority w:val="99"/>
    <w:semiHidden/>
    <w:rsid w:val="001331A5"/>
    <w:rPr>
      <w:rFonts w:ascii="Times New Roman" w:hAnsi="Times New Roman" w:cs="Times New Roman"/>
      <w:b/>
      <w:bCs/>
      <w:sz w:val="20"/>
      <w:szCs w:val="20"/>
      <w:lang w:val="en-GB"/>
    </w:rPr>
  </w:style>
  <w:style w:type="character" w:styleId="Hyperlink">
    <w:name w:val="Hyperlink"/>
    <w:basedOn w:val="DefaultParagraphFont"/>
    <w:uiPriority w:val="99"/>
    <w:unhideWhenUsed/>
    <w:rsid w:val="00361691"/>
    <w:rPr>
      <w:color w:val="0000FF" w:themeColor="hyperlink"/>
      <w:u w:val="single"/>
    </w:rPr>
  </w:style>
  <w:style w:type="character" w:customStyle="1" w:styleId="UnresolvedMention">
    <w:name w:val="Unresolved Mention"/>
    <w:basedOn w:val="DefaultParagraphFont"/>
    <w:uiPriority w:val="99"/>
    <w:semiHidden/>
    <w:unhideWhenUsed/>
    <w:rsid w:val="00361691"/>
    <w:rPr>
      <w:color w:val="605E5C"/>
      <w:shd w:val="clear" w:color="auto" w:fill="E1DFDD"/>
    </w:rPr>
  </w:style>
  <w:style w:type="character" w:customStyle="1" w:styleId="HeaderChar">
    <w:name w:val="Header Char"/>
    <w:basedOn w:val="DefaultParagraphFont"/>
    <w:link w:val="Header"/>
    <w:uiPriority w:val="99"/>
    <w:rsid w:val="00B266EB"/>
    <w:rPr>
      <w:rFonts w:ascii="Times New Roman" w:hAnsi="Times New Roman" w:cs="Times New Roman"/>
      <w:sz w:val="24"/>
      <w:lang w:val="en-GB"/>
    </w:rPr>
  </w:style>
  <w:style w:type="character" w:customStyle="1" w:styleId="FooterChar">
    <w:name w:val="Footer Char"/>
    <w:basedOn w:val="DefaultParagraphFont"/>
    <w:link w:val="Footer"/>
    <w:uiPriority w:val="99"/>
    <w:rsid w:val="00B266EB"/>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266E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266EB"/>
    <w:pPr>
      <w:spacing w:before="0"/>
      <w:jc w:val="right"/>
    </w:pPr>
    <w:rPr>
      <w:sz w:val="28"/>
    </w:rPr>
  </w:style>
  <w:style w:type="paragraph" w:customStyle="1" w:styleId="FooterSensitivity">
    <w:name w:val="Footer Sensitivity"/>
    <w:basedOn w:val="Normal"/>
    <w:rsid w:val="00B266E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266EB"/>
    <w:pPr>
      <w:tabs>
        <w:tab w:val="center" w:pos="4535"/>
        <w:tab w:val="right" w:pos="9071"/>
      </w:tabs>
      <w:spacing w:before="0"/>
    </w:pPr>
  </w:style>
  <w:style w:type="paragraph" w:customStyle="1" w:styleId="HeaderLandscape">
    <w:name w:val="HeaderLandscape"/>
    <w:basedOn w:val="Normal"/>
    <w:rsid w:val="00B266EB"/>
    <w:pPr>
      <w:tabs>
        <w:tab w:val="center" w:pos="7285"/>
        <w:tab w:val="right" w:pos="14003"/>
      </w:tabs>
      <w:spacing w:before="0"/>
    </w:pPr>
  </w:style>
  <w:style w:type="paragraph" w:styleId="Footer">
    <w:name w:val="footer"/>
    <w:basedOn w:val="Normal"/>
    <w:link w:val="FooterChar"/>
    <w:uiPriority w:val="99"/>
    <w:unhideWhenUsed/>
    <w:rsid w:val="00B266E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266E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788746">
      <w:bodyDiv w:val="1"/>
      <w:marLeft w:val="0"/>
      <w:marRight w:val="0"/>
      <w:marTop w:val="0"/>
      <w:marBottom w:val="0"/>
      <w:divBdr>
        <w:top w:val="none" w:sz="0" w:space="0" w:color="auto"/>
        <w:left w:val="none" w:sz="0" w:space="0" w:color="auto"/>
        <w:bottom w:val="none" w:sz="0" w:space="0" w:color="auto"/>
        <w:right w:val="none" w:sz="0" w:space="0" w:color="auto"/>
      </w:divBdr>
    </w:div>
    <w:div w:id="1508901466">
      <w:bodyDiv w:val="1"/>
      <w:marLeft w:val="0"/>
      <w:marRight w:val="0"/>
      <w:marTop w:val="0"/>
      <w:marBottom w:val="0"/>
      <w:divBdr>
        <w:top w:val="none" w:sz="0" w:space="0" w:color="auto"/>
        <w:left w:val="none" w:sz="0" w:space="0" w:color="auto"/>
        <w:bottom w:val="none" w:sz="0" w:space="0" w:color="auto"/>
        <w:right w:val="none" w:sz="0" w:space="0" w:color="auto"/>
      </w:divBdr>
    </w:div>
    <w:div w:id="1754012591">
      <w:bodyDiv w:val="1"/>
      <w:marLeft w:val="0"/>
      <w:marRight w:val="0"/>
      <w:marTop w:val="0"/>
      <w:marBottom w:val="0"/>
      <w:divBdr>
        <w:top w:val="none" w:sz="0" w:space="0" w:color="auto"/>
        <w:left w:val="none" w:sz="0" w:space="0" w:color="auto"/>
        <w:bottom w:val="none" w:sz="0" w:space="0" w:color="auto"/>
        <w:right w:val="none" w:sz="0" w:space="0" w:color="auto"/>
      </w:divBdr>
    </w:div>
    <w:div w:id="20439008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4CC1D-6BBB-4B0A-A67D-50CE54F03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TotalTime>
  <Pages>6</Pages>
  <Words>1871</Words>
  <Characters>10666</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2026-03-02T10:13:00Z</dcterms:created>
  <dcterms:modified xsi:type="dcterms:W3CDTF">2026-03-31T06:57:00Z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2023-06-16T12:53:15Z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4d8b6b38-0705-4fb4-9910-7d0877b9eb41</vt:lpwstr>
  </property>
  <property fmtid="{D5CDD505-2E9C-101B-9397-08002B2CF9AE}" pid="11" name="MSIP_Label_6bd9ddd1-4d20-43f6-abfa-fc3c07406f94_ContentBits">
    <vt:lpwstr>0</vt:lpwstr>
  </property>
  <property fmtid="{D5CDD505-2E9C-101B-9397-08002B2CF9AE}" pid="12" name="Created using">
    <vt:lpwstr>LW 9.0, Build 20230317</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SJ-043</vt:lpwstr>
  </property>
  <property fmtid="{D5CDD505-2E9C-101B-9397-08002B2CF9AE}" pid="17" name="DQCStatus">
    <vt:lpwstr>Green (DQC version 03)</vt:lpwstr>
  </property>
</Properties>
</file>