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CA1AB" w14:textId="0EBEEF0D" w:rsidR="002D60B0" w:rsidRPr="000735B4" w:rsidRDefault="0088336A" w:rsidP="0088336A">
      <w:pPr>
        <w:pStyle w:val="Pagedecouverture"/>
        <w:rPr>
          <w:noProof/>
        </w:rPr>
      </w:pPr>
      <w:r>
        <w:rPr>
          <w:noProof/>
        </w:rPr>
        <w:pict w14:anchorId="761D0A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2BC7312-EF40-4A39-9A76-77DBCBF7554E" style="width:455.25pt;height:381.75pt">
            <v:imagedata r:id="rId8" o:title=""/>
          </v:shape>
        </w:pict>
      </w:r>
    </w:p>
    <w:p w14:paraId="10E2E2F5" w14:textId="77777777" w:rsidR="002D60B0" w:rsidRPr="000735B4" w:rsidRDefault="002D60B0" w:rsidP="002D60B0">
      <w:pPr>
        <w:rPr>
          <w:noProof/>
        </w:rPr>
        <w:sectPr w:rsidR="002D60B0" w:rsidRPr="000735B4" w:rsidSect="0088336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6B298F91" w14:textId="77777777" w:rsidR="002D60B0" w:rsidRPr="000735B4" w:rsidRDefault="002D60B0" w:rsidP="002D60B0">
      <w:pPr>
        <w:pStyle w:val="Annexetitre"/>
        <w:rPr>
          <w:noProof/>
        </w:rPr>
      </w:pPr>
      <w:bookmarkStart w:id="0" w:name="_GoBack"/>
      <w:bookmarkEnd w:id="0"/>
      <w:r w:rsidRPr="000735B4">
        <w:rPr>
          <w:noProof/>
        </w:rPr>
        <w:lastRenderedPageBreak/>
        <w:t xml:space="preserve">ANEXĂ </w:t>
      </w:r>
    </w:p>
    <w:p w14:paraId="75D61969" w14:textId="77777777" w:rsidR="002D60B0" w:rsidRPr="000735B4" w:rsidRDefault="002D60B0" w:rsidP="002D60B0">
      <w:pPr>
        <w:rPr>
          <w:noProof/>
        </w:rPr>
      </w:pPr>
    </w:p>
    <w:p w14:paraId="3199C1D6" w14:textId="08CE7544" w:rsidR="002D60B0" w:rsidRPr="000735B4" w:rsidRDefault="002D60B0" w:rsidP="0018103C">
      <w:pPr>
        <w:jc w:val="center"/>
        <w:rPr>
          <w:noProof/>
        </w:rPr>
      </w:pPr>
      <w:r w:rsidRPr="000735B4">
        <w:rPr>
          <w:noProof/>
        </w:rPr>
        <w:t>DIRECTIVE PENTRU NEGOCIEREA CONDIȚIILOR DE ADERARE A UNIUNII LA BANCA DE DEZVOLTARE A CONSILIULUI EUROPEI.</w:t>
      </w:r>
    </w:p>
    <w:p w14:paraId="72AE0FC6" w14:textId="77777777" w:rsidR="002D60B0" w:rsidRPr="000735B4" w:rsidRDefault="002D60B0" w:rsidP="002D60B0">
      <w:pPr>
        <w:rPr>
          <w:noProof/>
        </w:rPr>
      </w:pPr>
    </w:p>
    <w:p w14:paraId="1AA00163" w14:textId="77777777" w:rsidR="002D60B0" w:rsidRPr="000735B4" w:rsidRDefault="002D60B0" w:rsidP="002D60B0">
      <w:pPr>
        <w:rPr>
          <w:noProof/>
        </w:rPr>
      </w:pPr>
      <w:r w:rsidRPr="000735B4">
        <w:rPr>
          <w:noProof/>
        </w:rPr>
        <w:t>În ceea ce privește procesul de negociere, Uniunea ar trebui să aibă ca obiectiv să se asigure că:</w:t>
      </w:r>
    </w:p>
    <w:p w14:paraId="07620085" w14:textId="77777777" w:rsidR="002D60B0" w:rsidRPr="000735B4" w:rsidRDefault="002D60B0" w:rsidP="0018103C">
      <w:pPr>
        <w:pStyle w:val="Point0"/>
        <w:rPr>
          <w:noProof/>
        </w:rPr>
      </w:pPr>
      <w:r w:rsidRPr="000735B4">
        <w:rPr>
          <w:noProof/>
        </w:rPr>
        <w:t>(1)</w:t>
      </w:r>
      <w:r w:rsidRPr="000735B4">
        <w:rPr>
          <w:noProof/>
        </w:rPr>
        <w:tab/>
        <w:t xml:space="preserve">procesul de negociere se bazează pe cooperarea cu bună credință; </w:t>
      </w:r>
    </w:p>
    <w:p w14:paraId="55BAA1B7" w14:textId="77777777" w:rsidR="002D60B0" w:rsidRPr="000735B4" w:rsidRDefault="002D60B0" w:rsidP="0018103C">
      <w:pPr>
        <w:pStyle w:val="Point0"/>
        <w:rPr>
          <w:noProof/>
        </w:rPr>
      </w:pPr>
      <w:r w:rsidRPr="000735B4">
        <w:rPr>
          <w:noProof/>
        </w:rPr>
        <w:t>(2)</w:t>
      </w:r>
      <w:r w:rsidRPr="000735B4">
        <w:rPr>
          <w:noProof/>
        </w:rPr>
        <w:tab/>
        <w:t>procesul de negociere se bazează pe considerații realiste, ținând seama de disponibilitatea resurselor bugetare.</w:t>
      </w:r>
    </w:p>
    <w:p w14:paraId="73DADA8B" w14:textId="77777777" w:rsidR="002D60B0" w:rsidRPr="000735B4" w:rsidRDefault="002D60B0" w:rsidP="002D60B0">
      <w:pPr>
        <w:rPr>
          <w:noProof/>
        </w:rPr>
      </w:pPr>
      <w:r w:rsidRPr="000735B4">
        <w:rPr>
          <w:noProof/>
        </w:rPr>
        <w:t>În ceea ce privește obiectivele generale ale negocierilor, Uniunea ar trebui să aibă ca obiectiv să se asigure că:</w:t>
      </w:r>
    </w:p>
    <w:p w14:paraId="2DFF0A5F" w14:textId="77777777" w:rsidR="002D60B0" w:rsidRPr="000735B4" w:rsidRDefault="002D60B0" w:rsidP="0018103C">
      <w:pPr>
        <w:pStyle w:val="Point0"/>
        <w:rPr>
          <w:noProof/>
        </w:rPr>
      </w:pPr>
      <w:r w:rsidRPr="000735B4">
        <w:rPr>
          <w:noProof/>
        </w:rPr>
        <w:t>(1)</w:t>
      </w:r>
      <w:r w:rsidRPr="000735B4">
        <w:rPr>
          <w:noProof/>
        </w:rPr>
        <w:tab/>
        <w:t>rezoluția Consiliului de conducere al BDCE prevede mecanismul adecvat pentru a asigura aderarea Uniunii la Bancă;</w:t>
      </w:r>
    </w:p>
    <w:p w14:paraId="2C3DAC5D" w14:textId="77777777" w:rsidR="002D60B0" w:rsidRPr="000735B4" w:rsidRDefault="002D60B0" w:rsidP="0018103C">
      <w:pPr>
        <w:pStyle w:val="Point0"/>
        <w:rPr>
          <w:noProof/>
        </w:rPr>
      </w:pPr>
      <w:r w:rsidRPr="000735B4">
        <w:rPr>
          <w:noProof/>
        </w:rPr>
        <w:t>(2)</w:t>
      </w:r>
      <w:r w:rsidRPr="000735B4">
        <w:rPr>
          <w:noProof/>
        </w:rPr>
        <w:tab/>
        <w:t>rezoluția Consiliului de conducere al BDCE prevede condiții adecvate pentru aderarea Uniunii, inclusiv în ceea ce privește subscrierea la capital și valoarea certificatelor de participare, cota de capital subscris care trebuie vărsată și valoarea contribuției corespunzătoare la rezerve;</w:t>
      </w:r>
    </w:p>
    <w:p w14:paraId="550A3B0F" w14:textId="77777777" w:rsidR="002D60B0" w:rsidRPr="000735B4" w:rsidRDefault="002D60B0" w:rsidP="0018103C">
      <w:pPr>
        <w:pStyle w:val="Point0"/>
        <w:rPr>
          <w:noProof/>
        </w:rPr>
      </w:pPr>
      <w:r w:rsidRPr="000735B4">
        <w:rPr>
          <w:noProof/>
        </w:rPr>
        <w:t>(3)</w:t>
      </w:r>
      <w:r w:rsidRPr="000735B4">
        <w:rPr>
          <w:noProof/>
        </w:rPr>
        <w:tab/>
        <w:t xml:space="preserve">rezoluția Consiliului de conducere al BDCE prevede condiții adecvate pentru plăți; </w:t>
      </w:r>
    </w:p>
    <w:p w14:paraId="04888F09" w14:textId="77777777" w:rsidR="002D60B0" w:rsidRPr="000735B4" w:rsidRDefault="002D60B0" w:rsidP="0018103C">
      <w:pPr>
        <w:pStyle w:val="Point0"/>
        <w:rPr>
          <w:noProof/>
        </w:rPr>
      </w:pPr>
      <w:r w:rsidRPr="000735B4">
        <w:rPr>
          <w:noProof/>
        </w:rPr>
        <w:t>(4)</w:t>
      </w:r>
      <w:r w:rsidRPr="000735B4">
        <w:rPr>
          <w:noProof/>
        </w:rPr>
        <w:tab/>
        <w:t>rezoluția Consiliului de conducere al BDCE prevede modalitățile de acceptare a Statutului Băncii;</w:t>
      </w:r>
    </w:p>
    <w:p w14:paraId="05E404EB" w14:textId="77777777" w:rsidR="002D60B0" w:rsidRPr="000735B4" w:rsidRDefault="002D60B0" w:rsidP="0018103C">
      <w:pPr>
        <w:pStyle w:val="Point0"/>
        <w:rPr>
          <w:noProof/>
        </w:rPr>
      </w:pPr>
      <w:r w:rsidRPr="000735B4">
        <w:rPr>
          <w:noProof/>
        </w:rPr>
        <w:t>(5)</w:t>
      </w:r>
      <w:r w:rsidRPr="000735B4">
        <w:rPr>
          <w:noProof/>
        </w:rPr>
        <w:tab/>
        <w:t>rezoluția Consiliului de conducere al BDCE prevede modalitățile de recunoaștere a privilegiilor și imunităților;</w:t>
      </w:r>
    </w:p>
    <w:p w14:paraId="179D6B23" w14:textId="77777777" w:rsidR="002D60B0" w:rsidRPr="000735B4" w:rsidRDefault="002D60B0" w:rsidP="0018103C">
      <w:pPr>
        <w:pStyle w:val="Point0"/>
        <w:rPr>
          <w:noProof/>
        </w:rPr>
      </w:pPr>
      <w:r w:rsidRPr="000735B4">
        <w:rPr>
          <w:noProof/>
        </w:rPr>
        <w:t>(6)</w:t>
      </w:r>
      <w:r w:rsidRPr="000735B4">
        <w:rPr>
          <w:noProof/>
        </w:rPr>
        <w:tab/>
        <w:t>rezoluția Consiliului de conducere al BDCE stabilește modalitățile adecvate privind participarea la Acordul parțial, inclusiv necesitatea și nivelul contribuției Uniunii la bugetul acestuia.</w:t>
      </w:r>
    </w:p>
    <w:p w14:paraId="0D23E74C" w14:textId="77777777" w:rsidR="002D60B0" w:rsidRPr="000735B4" w:rsidRDefault="002D60B0" w:rsidP="0018103C">
      <w:pPr>
        <w:pStyle w:val="Point0"/>
        <w:rPr>
          <w:noProof/>
        </w:rPr>
      </w:pPr>
      <w:r w:rsidRPr="000735B4">
        <w:rPr>
          <w:noProof/>
        </w:rPr>
        <w:t>În ceea ce privește fondul negocierilor, Uniunea ar trebui să aibă ca obiectiv să se asigure că:</w:t>
      </w:r>
    </w:p>
    <w:p w14:paraId="356D1053" w14:textId="77777777" w:rsidR="002D60B0" w:rsidRPr="000735B4" w:rsidRDefault="002D60B0" w:rsidP="0018103C">
      <w:pPr>
        <w:pStyle w:val="Point0"/>
        <w:rPr>
          <w:noProof/>
        </w:rPr>
      </w:pPr>
      <w:r w:rsidRPr="000735B4">
        <w:rPr>
          <w:noProof/>
        </w:rPr>
        <w:t>(1)</w:t>
      </w:r>
      <w:r w:rsidRPr="000735B4">
        <w:rPr>
          <w:noProof/>
        </w:rPr>
        <w:tab/>
        <w:t>obiectivele politice ale Uniunii, prin exercitarea dreptului de vot conferit prin asumarea responsabilității, asigură o coerență mai eficace a priorităților BDCE cu prioritățile Uniunii în Europa și contribuie la realizarea obiectivelor Uniunii în domeniul coeziunii sociale și al relațiilor economice externe;</w:t>
      </w:r>
    </w:p>
    <w:p w14:paraId="3417FF18" w14:textId="77777777" w:rsidR="002D60B0" w:rsidRPr="000735B4" w:rsidRDefault="002D60B0" w:rsidP="0018103C">
      <w:pPr>
        <w:pStyle w:val="Point0"/>
        <w:rPr>
          <w:noProof/>
        </w:rPr>
      </w:pPr>
      <w:r w:rsidRPr="000735B4">
        <w:rPr>
          <w:noProof/>
        </w:rPr>
        <w:t>(2)</w:t>
      </w:r>
      <w:r w:rsidRPr="000735B4">
        <w:rPr>
          <w:noProof/>
        </w:rPr>
        <w:tab/>
        <w:t>obține o participație medie la BDCE care o situează aproximativ la mijlocul listei acționarilor BDCE;</w:t>
      </w:r>
    </w:p>
    <w:p w14:paraId="17A20560" w14:textId="77777777" w:rsidR="002D60B0" w:rsidRPr="000735B4" w:rsidRDefault="002D60B0" w:rsidP="0018103C">
      <w:pPr>
        <w:pStyle w:val="Point0"/>
        <w:rPr>
          <w:noProof/>
        </w:rPr>
      </w:pPr>
      <w:r w:rsidRPr="000735B4">
        <w:rPr>
          <w:noProof/>
        </w:rPr>
        <w:t>(3)</w:t>
      </w:r>
      <w:r w:rsidRPr="000735B4">
        <w:rPr>
          <w:noProof/>
        </w:rPr>
        <w:tab/>
        <w:t>achiziționează o cotă directă de aproximativ 0,4 % din totalul capitalului subscris al BDCE;</w:t>
      </w:r>
    </w:p>
    <w:p w14:paraId="3DB4FC8E" w14:textId="77777777" w:rsidR="002D60B0" w:rsidRPr="000735B4" w:rsidRDefault="002D60B0" w:rsidP="0018103C">
      <w:pPr>
        <w:pStyle w:val="Point0"/>
        <w:rPr>
          <w:noProof/>
        </w:rPr>
      </w:pPr>
      <w:r w:rsidRPr="000735B4">
        <w:rPr>
          <w:noProof/>
        </w:rPr>
        <w:t>(4)</w:t>
      </w:r>
      <w:r w:rsidRPr="000735B4">
        <w:rPr>
          <w:noProof/>
        </w:rPr>
        <w:tab/>
        <w:t>obține un loc în organele de conducere ale BDCE, în special în Consiliul de conducere și în Consiliul de administrație;</w:t>
      </w:r>
    </w:p>
    <w:p w14:paraId="6349B4C4" w14:textId="77777777" w:rsidR="002D60B0" w:rsidRPr="000735B4" w:rsidRDefault="002D60B0" w:rsidP="0018103C">
      <w:pPr>
        <w:pStyle w:val="Point0"/>
        <w:rPr>
          <w:noProof/>
        </w:rPr>
      </w:pPr>
      <w:r w:rsidRPr="000735B4">
        <w:rPr>
          <w:noProof/>
        </w:rPr>
        <w:t>(5)</w:t>
      </w:r>
      <w:r w:rsidRPr="000735B4">
        <w:rPr>
          <w:noProof/>
        </w:rPr>
        <w:tab/>
        <w:t>se subscriu certificatele de participare corespunzătoare acțiunilor de capital subscris alocate UE în conformitate cu prezentele directive de negociere;</w:t>
      </w:r>
    </w:p>
    <w:p w14:paraId="1DA8B399" w14:textId="77777777" w:rsidR="002D60B0" w:rsidRPr="000735B4" w:rsidRDefault="002D60B0" w:rsidP="0018103C">
      <w:pPr>
        <w:pStyle w:val="Point0"/>
        <w:rPr>
          <w:noProof/>
        </w:rPr>
      </w:pPr>
      <w:r w:rsidRPr="000735B4">
        <w:rPr>
          <w:noProof/>
        </w:rPr>
        <w:t>(6)</w:t>
      </w:r>
      <w:r w:rsidRPr="000735B4">
        <w:rPr>
          <w:noProof/>
        </w:rPr>
        <w:tab/>
        <w:t>valoarea totală a capitalului subscris care trebuie vărsat și contribuția corespunzătoare la rezerve nu depășesc 20 de milioane EUR;</w:t>
      </w:r>
    </w:p>
    <w:p w14:paraId="6BFEB9BD" w14:textId="77777777" w:rsidR="002D60B0" w:rsidRPr="000735B4" w:rsidRDefault="002D60B0" w:rsidP="0018103C">
      <w:pPr>
        <w:pStyle w:val="Point0"/>
        <w:rPr>
          <w:noProof/>
        </w:rPr>
      </w:pPr>
      <w:r w:rsidRPr="000735B4">
        <w:rPr>
          <w:noProof/>
        </w:rPr>
        <w:t>(7)</w:t>
      </w:r>
      <w:r w:rsidRPr="000735B4">
        <w:rPr>
          <w:noProof/>
        </w:rPr>
        <w:tab/>
        <w:t>aceste plăți urmează să fie efectuate într-o singură tranșă;</w:t>
      </w:r>
    </w:p>
    <w:p w14:paraId="3475A137" w14:textId="26287A9A" w:rsidR="00905D22" w:rsidRPr="00812467" w:rsidRDefault="002D60B0" w:rsidP="0018103C">
      <w:pPr>
        <w:pStyle w:val="Point0"/>
        <w:rPr>
          <w:noProof/>
        </w:rPr>
      </w:pPr>
      <w:r w:rsidRPr="000735B4">
        <w:rPr>
          <w:noProof/>
        </w:rPr>
        <w:t>(8)</w:t>
      </w:r>
      <w:r w:rsidRPr="000735B4">
        <w:rPr>
          <w:noProof/>
        </w:rPr>
        <w:tab/>
        <w:t>contribuția Uniunii la bugetul acordului parțial, în cazul în care urmează să fie plătită, este de natură administrativă și reprezintă o contribuție anuală modestă.</w:t>
      </w:r>
    </w:p>
    <w:sectPr w:rsidR="00905D22" w:rsidRPr="00812467" w:rsidSect="0088336A">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0EDCDC" w14:textId="77777777" w:rsidR="002D60B0" w:rsidRPr="000735B4" w:rsidRDefault="002D60B0" w:rsidP="002D60B0">
      <w:pPr>
        <w:spacing w:before="0" w:after="0"/>
      </w:pPr>
      <w:r w:rsidRPr="000735B4">
        <w:separator/>
      </w:r>
    </w:p>
  </w:endnote>
  <w:endnote w:type="continuationSeparator" w:id="0">
    <w:p w14:paraId="53D663EC" w14:textId="77777777" w:rsidR="002D60B0" w:rsidRPr="000735B4" w:rsidRDefault="002D60B0" w:rsidP="002D60B0">
      <w:pPr>
        <w:spacing w:before="0" w:after="0"/>
      </w:pPr>
      <w:r w:rsidRPr="000735B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68CFF7" w14:textId="660E75A7" w:rsidR="0088336A" w:rsidRPr="0088336A" w:rsidRDefault="0088336A" w:rsidP="0088336A">
    <w:pPr>
      <w:pStyle w:val="Footer"/>
      <w:rPr>
        <w:rFonts w:ascii="Arial" w:hAnsi="Arial" w:cs="Arial"/>
        <w:b/>
        <w:sz w:val="48"/>
      </w:rPr>
    </w:pPr>
    <w:r w:rsidRPr="0088336A">
      <w:rPr>
        <w:rFonts w:ascii="Arial" w:hAnsi="Arial" w:cs="Arial"/>
        <w:b/>
        <w:sz w:val="48"/>
      </w:rPr>
      <w:t>RO</w:t>
    </w:r>
    <w:r w:rsidRPr="0088336A">
      <w:rPr>
        <w:rFonts w:ascii="Arial" w:hAnsi="Arial" w:cs="Arial"/>
        <w:b/>
        <w:sz w:val="48"/>
      </w:rPr>
      <w:tab/>
    </w:r>
    <w:r w:rsidRPr="0088336A">
      <w:rPr>
        <w:rFonts w:ascii="Arial" w:hAnsi="Arial" w:cs="Arial"/>
        <w:b/>
        <w:sz w:val="48"/>
      </w:rPr>
      <w:tab/>
    </w:r>
    <w:r w:rsidRPr="0088336A">
      <w:tab/>
    </w:r>
    <w:r w:rsidRPr="0088336A">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62A8B" w14:textId="6D31B999" w:rsidR="0088336A" w:rsidRPr="0088336A" w:rsidRDefault="0088336A" w:rsidP="0088336A">
    <w:pPr>
      <w:pStyle w:val="Footer"/>
      <w:rPr>
        <w:rFonts w:ascii="Arial" w:hAnsi="Arial" w:cs="Arial"/>
        <w:b/>
        <w:sz w:val="48"/>
      </w:rPr>
    </w:pPr>
    <w:r w:rsidRPr="0088336A">
      <w:rPr>
        <w:rFonts w:ascii="Arial" w:hAnsi="Arial" w:cs="Arial"/>
        <w:b/>
        <w:sz w:val="48"/>
      </w:rPr>
      <w:t>RO</w:t>
    </w:r>
    <w:r w:rsidRPr="0088336A">
      <w:rPr>
        <w:rFonts w:ascii="Arial" w:hAnsi="Arial" w:cs="Arial"/>
        <w:b/>
        <w:sz w:val="48"/>
      </w:rPr>
      <w:tab/>
    </w:r>
    <w:r w:rsidRPr="0088336A">
      <w:rPr>
        <w:rFonts w:ascii="Arial" w:hAnsi="Arial" w:cs="Arial"/>
        <w:b/>
        <w:sz w:val="48"/>
      </w:rPr>
      <w:tab/>
    </w:r>
    <w:r w:rsidRPr="0088336A">
      <w:tab/>
    </w:r>
    <w:r w:rsidRPr="0088336A">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D04FD" w14:textId="77777777" w:rsidR="0088336A" w:rsidRPr="0088336A" w:rsidRDefault="0088336A" w:rsidP="0088336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2786E" w14:textId="77777777" w:rsidR="0088336A" w:rsidRDefault="008833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7C8917" w14:textId="36AEC18C" w:rsidR="0088336A" w:rsidRPr="0088336A" w:rsidRDefault="0088336A" w:rsidP="0088336A">
    <w:pPr>
      <w:pStyle w:val="Footer"/>
      <w:rPr>
        <w:rFonts w:ascii="Arial" w:hAnsi="Arial" w:cs="Arial"/>
        <w:b/>
        <w:sz w:val="48"/>
      </w:rPr>
    </w:pPr>
    <w:r w:rsidRPr="0088336A">
      <w:rPr>
        <w:rFonts w:ascii="Arial" w:hAnsi="Arial" w:cs="Arial"/>
        <w:b/>
        <w:sz w:val="48"/>
      </w:rPr>
      <w:t>RO</w:t>
    </w:r>
    <w:r w:rsidRPr="0088336A">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88336A">
      <w:tab/>
    </w:r>
    <w:r w:rsidRPr="0088336A">
      <w:rPr>
        <w:rFonts w:ascii="Arial" w:hAnsi="Arial" w:cs="Arial"/>
        <w:b/>
        <w:sz w:val="48"/>
      </w:rPr>
      <w:t>RO</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245F63" w14:textId="77777777" w:rsidR="0088336A" w:rsidRDefault="0088336A" w:rsidP="008833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FDC0D" w14:textId="77777777" w:rsidR="002D60B0" w:rsidRPr="000735B4" w:rsidRDefault="002D60B0" w:rsidP="002D60B0">
      <w:pPr>
        <w:spacing w:before="0" w:after="0"/>
      </w:pPr>
      <w:r w:rsidRPr="000735B4">
        <w:separator/>
      </w:r>
    </w:p>
  </w:footnote>
  <w:footnote w:type="continuationSeparator" w:id="0">
    <w:p w14:paraId="4AF00E47" w14:textId="77777777" w:rsidR="002D60B0" w:rsidRPr="000735B4" w:rsidRDefault="002D60B0" w:rsidP="002D60B0">
      <w:pPr>
        <w:spacing w:before="0" w:after="0"/>
      </w:pPr>
      <w:r w:rsidRPr="000735B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3779D" w14:textId="77777777" w:rsidR="0088336A" w:rsidRPr="0088336A" w:rsidRDefault="0088336A" w:rsidP="008833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35E35" w14:textId="77777777" w:rsidR="0088336A" w:rsidRPr="0088336A" w:rsidRDefault="0088336A" w:rsidP="0088336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A02000" w14:textId="77777777" w:rsidR="0088336A" w:rsidRPr="0088336A" w:rsidRDefault="0088336A" w:rsidP="0088336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0FB35" w14:textId="77777777" w:rsidR="0088336A" w:rsidRDefault="008833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7CCD3" w14:textId="77777777" w:rsidR="0088336A" w:rsidRDefault="008833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48A475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2721ED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00CCD032"/>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A476B74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2CB6984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4CE2D1F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1B2A7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9EDE41B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9"/>
  </w:num>
  <w:num w:numId="10">
    <w:abstractNumId w:val="12"/>
  </w:num>
  <w:num w:numId="11">
    <w:abstractNumId w:val="21"/>
  </w:num>
  <w:num w:numId="12">
    <w:abstractNumId w:val="11"/>
  </w:num>
  <w:num w:numId="13">
    <w:abstractNumId w:val="13"/>
  </w:num>
  <w:num w:numId="14">
    <w:abstractNumId w:val="14"/>
  </w:num>
  <w:num w:numId="15">
    <w:abstractNumId w:val="9"/>
  </w:num>
  <w:num w:numId="16">
    <w:abstractNumId w:val="20"/>
  </w:num>
  <w:num w:numId="17">
    <w:abstractNumId w:val="8"/>
  </w:num>
  <w:num w:numId="18">
    <w:abstractNumId w:val="15"/>
  </w:num>
  <w:num w:numId="19">
    <w:abstractNumId w:val="17"/>
  </w:num>
  <w:num w:numId="20">
    <w:abstractNumId w:val="18"/>
  </w:num>
  <w:num w:numId="21">
    <w:abstractNumId w:val="10"/>
  </w:num>
  <w:num w:numId="22">
    <w:abstractNumId w:val="16"/>
  </w:num>
  <w:num w:numId="23">
    <w:abstractNumId w:val="2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24 11:09:5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la"/>
    <w:docVar w:name="LW_ACCOMPAGNANT.CP" w:val="la"/>
    <w:docVar w:name="LW_ANNEX_NBR_FIRST" w:val="1"/>
    <w:docVar w:name="LW_ANNEX_NBR_LAST" w:val="1"/>
    <w:docVar w:name="LW_ANNEX_UNIQUE" w:val="1"/>
    <w:docVar w:name="LW_CORRIGENDUM" w:val="&lt;UNUSED&gt;"/>
    <w:docVar w:name="LW_COVERPAGE_EXISTS" w:val="True"/>
    <w:docVar w:name="LW_COVERPAGE_GUID" w:val="02BC7312-EF40-4A39-9A76-77DBCBF7554E"/>
    <w:docVar w:name="LW_COVERPAGE_TYPE" w:val="1"/>
    <w:docVar w:name="LW_CreatedUtc" w:val="2026-02-12T14:04:10.5410526Z"/>
    <w:docVar w:name="LW_CROSSREFERENCE" w:val="&lt;UNUSED&gt;"/>
    <w:docVar w:name="LW_DocType" w:val="ANNEX"/>
    <w:docVar w:name="LW_EMISSION" w:val="24.3.2026"/>
    <w:docVar w:name="LW_EMISSION_ISODATE" w:val="2026-03-24"/>
    <w:docVar w:name="LW_EMISSION_LOCATION" w:val="BRX"/>
    <w:docVar w:name="LW_EMISSION_PREFIX" w:val="Bruxelles, "/>
    <w:docVar w:name="LW_EMISSION_SUFFIX" w:val=" "/>
    <w:docVar w:name="LW_ID_DOCSTRUCTURE" w:val="COM/ANNEX"/>
    <w:docVar w:name="LW_ID_DOCTYPE" w:val="SG-017"/>
    <w:docVar w:name="LW_LANGUE" w:val="RO"/>
    <w:docVar w:name="LW_LEVEL_OF_SENSITIVITY" w:val="Standard treatment"/>
    <w:docVar w:name="LW_NOM.INST" w:val="COMISIA EUROPEAN\u258?"/>
    <w:docVar w:name="LW_NOM.INST_JOINTDOC" w:val="&lt;EMPTY&gt;"/>
    <w:docVar w:name="LW_OBJETACTEPRINCIPAL" w:val="de autorizare a deschiderii negocierilor privind condi\u539?iile de aderare a Uniunii la Banca de Dezvoltare a Consiliului Europei (BDCE)"/>
    <w:docVar w:name="LW_OBJETACTEPRINCIPAL.CP" w:val="de autorizare a deschiderii negocierilor privind condi\u539?iile de aderare a Uniunii la Banca de Dezvoltare a Consiliului Europei (BDCE)"/>
    <w:docVar w:name="LW_PART_NBR" w:val="1"/>
    <w:docVar w:name="LW_PART_NBR_TOTAL" w:val="1"/>
    <w:docVar w:name="LW_REF.INST.NEW" w:val="COM"/>
    <w:docVar w:name="LW_REF.INST.NEW_ADOPTED" w:val="final"/>
    <w:docVar w:name="LW_REF.INST.NEW_TEXT" w:val="(2026) 13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EX\u258?"/>
    <w:docVar w:name="LW_TYPE.DOC.CP" w:val="ANEX\u258?"/>
    <w:docVar w:name="LW_TYPEACTEPRINCIPAL" w:val="Recomandarea de_x000b__x000b_DECIZIE A CONSILIULUI"/>
    <w:docVar w:name="LW_TYPEACTEPRINCIPAL.CP" w:val="Recomandarea de_x000b__x000b_DECIZIE A CONSILIULUI"/>
    <w:docVar w:name="LwApiVersions" w:val="LW4CoDe 1.24.5.0; LW 9.2, Build 20251112"/>
  </w:docVars>
  <w:rsids>
    <w:rsidRoot w:val="002D60B0"/>
    <w:rsid w:val="000557B5"/>
    <w:rsid w:val="000735B4"/>
    <w:rsid w:val="000A12BC"/>
    <w:rsid w:val="000F2CC3"/>
    <w:rsid w:val="00163257"/>
    <w:rsid w:val="00165C4F"/>
    <w:rsid w:val="0018103C"/>
    <w:rsid w:val="001C7668"/>
    <w:rsid w:val="001C7F67"/>
    <w:rsid w:val="001D2A5E"/>
    <w:rsid w:val="001F343E"/>
    <w:rsid w:val="00203257"/>
    <w:rsid w:val="002D60B0"/>
    <w:rsid w:val="0033568C"/>
    <w:rsid w:val="00375DA5"/>
    <w:rsid w:val="003B1F07"/>
    <w:rsid w:val="003D22BD"/>
    <w:rsid w:val="00441A5E"/>
    <w:rsid w:val="00492EB7"/>
    <w:rsid w:val="004E0131"/>
    <w:rsid w:val="00626E37"/>
    <w:rsid w:val="00663DBC"/>
    <w:rsid w:val="006A6BCB"/>
    <w:rsid w:val="006D56DD"/>
    <w:rsid w:val="0073617E"/>
    <w:rsid w:val="00774D14"/>
    <w:rsid w:val="00812467"/>
    <w:rsid w:val="0088336A"/>
    <w:rsid w:val="008D1A38"/>
    <w:rsid w:val="008D6398"/>
    <w:rsid w:val="008E1AD2"/>
    <w:rsid w:val="00905D22"/>
    <w:rsid w:val="00971B23"/>
    <w:rsid w:val="00A07E35"/>
    <w:rsid w:val="00A562E8"/>
    <w:rsid w:val="00A6243B"/>
    <w:rsid w:val="00A71F6D"/>
    <w:rsid w:val="00B053D4"/>
    <w:rsid w:val="00B93003"/>
    <w:rsid w:val="00BA4F3C"/>
    <w:rsid w:val="00BB30BC"/>
    <w:rsid w:val="00C033FA"/>
    <w:rsid w:val="00C55973"/>
    <w:rsid w:val="00C902D2"/>
    <w:rsid w:val="00C953CA"/>
    <w:rsid w:val="00CD147C"/>
    <w:rsid w:val="00D00027"/>
    <w:rsid w:val="00D328C4"/>
    <w:rsid w:val="00D33986"/>
    <w:rsid w:val="00DB600F"/>
    <w:rsid w:val="00E03086"/>
    <w:rsid w:val="00E31883"/>
    <w:rsid w:val="00E411F8"/>
    <w:rsid w:val="00E814AA"/>
    <w:rsid w:val="00ED76E3"/>
    <w:rsid w:val="00EE3177"/>
    <w:rsid w:val="00F111F2"/>
    <w:rsid w:val="00F43006"/>
    <w:rsid w:val="00F7024E"/>
    <w:rsid w:val="00F822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BC1A2EC"/>
  <w15:docId w15:val="{91F90FB2-BF09-45EE-917A-76736F7BC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6"/>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6"/>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6"/>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6"/>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6"/>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6"/>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6"/>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F111F2"/>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F111F2"/>
    <w:pPr>
      <w:spacing w:after="0"/>
    </w:pPr>
  </w:style>
  <w:style w:type="paragraph" w:styleId="ListBullet">
    <w:name w:val="List Bullet"/>
    <w:basedOn w:val="Normal"/>
    <w:uiPriority w:val="99"/>
    <w:semiHidden/>
    <w:unhideWhenUsed/>
    <w:rsid w:val="00F111F2"/>
    <w:pPr>
      <w:numPr>
        <w:numId w:val="1"/>
      </w:numPr>
      <w:contextualSpacing/>
    </w:pPr>
  </w:style>
  <w:style w:type="paragraph" w:styleId="ListBullet2">
    <w:name w:val="List Bullet 2"/>
    <w:basedOn w:val="Normal"/>
    <w:uiPriority w:val="99"/>
    <w:semiHidden/>
    <w:unhideWhenUsed/>
    <w:rsid w:val="00F111F2"/>
    <w:pPr>
      <w:numPr>
        <w:numId w:val="2"/>
      </w:numPr>
      <w:contextualSpacing/>
    </w:pPr>
  </w:style>
  <w:style w:type="paragraph" w:styleId="ListBullet3">
    <w:name w:val="List Bullet 3"/>
    <w:basedOn w:val="Normal"/>
    <w:uiPriority w:val="99"/>
    <w:semiHidden/>
    <w:unhideWhenUsed/>
    <w:rsid w:val="00F111F2"/>
    <w:pPr>
      <w:numPr>
        <w:numId w:val="3"/>
      </w:numPr>
      <w:contextualSpacing/>
    </w:pPr>
  </w:style>
  <w:style w:type="paragraph" w:styleId="ListBullet4">
    <w:name w:val="List Bullet 4"/>
    <w:basedOn w:val="Normal"/>
    <w:uiPriority w:val="99"/>
    <w:semiHidden/>
    <w:unhideWhenUsed/>
    <w:rsid w:val="00F111F2"/>
    <w:pPr>
      <w:numPr>
        <w:numId w:val="4"/>
      </w:numPr>
      <w:contextualSpacing/>
    </w:pPr>
  </w:style>
  <w:style w:type="paragraph" w:styleId="ListNumber">
    <w:name w:val="List Number"/>
    <w:basedOn w:val="Normal"/>
    <w:uiPriority w:val="99"/>
    <w:semiHidden/>
    <w:unhideWhenUsed/>
    <w:rsid w:val="00F111F2"/>
    <w:pPr>
      <w:numPr>
        <w:numId w:val="5"/>
      </w:numPr>
      <w:contextualSpacing/>
    </w:pPr>
  </w:style>
  <w:style w:type="paragraph" w:styleId="ListNumber2">
    <w:name w:val="List Number 2"/>
    <w:basedOn w:val="Normal"/>
    <w:uiPriority w:val="99"/>
    <w:semiHidden/>
    <w:unhideWhenUsed/>
    <w:rsid w:val="00F111F2"/>
    <w:pPr>
      <w:numPr>
        <w:numId w:val="6"/>
      </w:numPr>
      <w:contextualSpacing/>
    </w:pPr>
  </w:style>
  <w:style w:type="paragraph" w:styleId="ListNumber3">
    <w:name w:val="List Number 3"/>
    <w:basedOn w:val="Normal"/>
    <w:uiPriority w:val="99"/>
    <w:semiHidden/>
    <w:unhideWhenUsed/>
    <w:rsid w:val="00F111F2"/>
    <w:pPr>
      <w:numPr>
        <w:numId w:val="7"/>
      </w:numPr>
      <w:contextualSpacing/>
    </w:pPr>
  </w:style>
  <w:style w:type="paragraph" w:styleId="ListNumber4">
    <w:name w:val="List Number 4"/>
    <w:basedOn w:val="Normal"/>
    <w:uiPriority w:val="99"/>
    <w:semiHidden/>
    <w:unhideWhenUsed/>
    <w:rsid w:val="00F111F2"/>
    <w:pPr>
      <w:numPr>
        <w:numId w:val="8"/>
      </w:numPr>
      <w:contextualSpacing/>
    </w:pPr>
  </w:style>
  <w:style w:type="paragraph" w:styleId="Revision">
    <w:name w:val="Revision"/>
    <w:hidden/>
    <w:uiPriority w:val="99"/>
    <w:semiHidden/>
    <w:rsid w:val="00163257"/>
    <w:pPr>
      <w:spacing w:after="0" w:line="240" w:lineRule="auto"/>
    </w:pPr>
    <w:rPr>
      <w:rFonts w:ascii="Times New Roman" w:hAnsi="Times New Roman" w:cs="Times New Roman"/>
      <w:sz w:val="24"/>
    </w:rPr>
  </w:style>
  <w:style w:type="character" w:customStyle="1" w:styleId="HeaderChar">
    <w:name w:val="Header Char"/>
    <w:basedOn w:val="DefaultParagraphFont"/>
    <w:link w:val="Header"/>
    <w:uiPriority w:val="99"/>
    <w:rsid w:val="0088336A"/>
    <w:rPr>
      <w:rFonts w:ascii="Times New Roman" w:hAnsi="Times New Roman" w:cs="Times New Roman"/>
      <w:sz w:val="24"/>
      <w:lang w:val="ro-RO"/>
    </w:rPr>
  </w:style>
  <w:style w:type="character" w:customStyle="1" w:styleId="FooterChar">
    <w:name w:val="Footer Char"/>
    <w:basedOn w:val="DefaultParagraphFont"/>
    <w:link w:val="Footer"/>
    <w:uiPriority w:val="99"/>
    <w:rsid w:val="0088336A"/>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8336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8336A"/>
    <w:pPr>
      <w:spacing w:before="0"/>
      <w:jc w:val="right"/>
    </w:pPr>
    <w:rPr>
      <w:sz w:val="28"/>
    </w:rPr>
  </w:style>
  <w:style w:type="paragraph" w:customStyle="1" w:styleId="FooterSensitivity">
    <w:name w:val="Footer Sensitivity"/>
    <w:basedOn w:val="Normal"/>
    <w:rsid w:val="0088336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9"/>
      </w:numPr>
    </w:pPr>
  </w:style>
  <w:style w:type="paragraph" w:customStyle="1" w:styleId="Tiret1">
    <w:name w:val="Tiret 1"/>
    <w:basedOn w:val="Point1"/>
    <w:pPr>
      <w:numPr>
        <w:numId w:val="10"/>
      </w:numPr>
    </w:pPr>
  </w:style>
  <w:style w:type="paragraph" w:customStyle="1" w:styleId="Tiret2">
    <w:name w:val="Tiret 2"/>
    <w:basedOn w:val="Point2"/>
    <w:pPr>
      <w:numPr>
        <w:numId w:val="11"/>
      </w:numPr>
    </w:pPr>
  </w:style>
  <w:style w:type="paragraph" w:customStyle="1" w:styleId="Tiret3">
    <w:name w:val="Tiret 3"/>
    <w:basedOn w:val="Point3"/>
    <w:pPr>
      <w:numPr>
        <w:numId w:val="12"/>
      </w:numPr>
    </w:pPr>
  </w:style>
  <w:style w:type="paragraph" w:customStyle="1" w:styleId="Tiret4">
    <w:name w:val="Tiret 4"/>
    <w:basedOn w:val="Point4"/>
    <w:pPr>
      <w:numPr>
        <w:numId w:val="13"/>
      </w:numPr>
    </w:pPr>
  </w:style>
  <w:style w:type="paragraph" w:customStyle="1" w:styleId="Tiret5">
    <w:name w:val="Tiret 5"/>
    <w:basedOn w:val="Point5"/>
    <w:pPr>
      <w:numPr>
        <w:numId w:val="14"/>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
      </w:numPr>
    </w:pPr>
  </w:style>
  <w:style w:type="paragraph" w:customStyle="1" w:styleId="NumPar2">
    <w:name w:val="NumPar 2"/>
    <w:basedOn w:val="Normal"/>
    <w:next w:val="Text1"/>
    <w:pPr>
      <w:numPr>
        <w:ilvl w:val="1"/>
        <w:numId w:val="15"/>
      </w:numPr>
    </w:pPr>
  </w:style>
  <w:style w:type="paragraph" w:customStyle="1" w:styleId="NumPar3">
    <w:name w:val="NumPar 3"/>
    <w:basedOn w:val="Normal"/>
    <w:next w:val="Text1"/>
    <w:pPr>
      <w:numPr>
        <w:ilvl w:val="2"/>
        <w:numId w:val="15"/>
      </w:numPr>
    </w:pPr>
  </w:style>
  <w:style w:type="paragraph" w:customStyle="1" w:styleId="NumPar4">
    <w:name w:val="NumPar 4"/>
    <w:basedOn w:val="Normal"/>
    <w:next w:val="Text1"/>
    <w:pPr>
      <w:numPr>
        <w:ilvl w:val="3"/>
        <w:numId w:val="15"/>
      </w:numPr>
    </w:pPr>
  </w:style>
  <w:style w:type="paragraph" w:customStyle="1" w:styleId="NumPar5">
    <w:name w:val="NumPar 5"/>
    <w:basedOn w:val="Normal"/>
    <w:next w:val="Text2"/>
    <w:pPr>
      <w:numPr>
        <w:ilvl w:val="4"/>
        <w:numId w:val="15"/>
      </w:numPr>
    </w:pPr>
  </w:style>
  <w:style w:type="paragraph" w:customStyle="1" w:styleId="NumPar6">
    <w:name w:val="NumPar 6"/>
    <w:basedOn w:val="Normal"/>
    <w:next w:val="Text2"/>
    <w:pPr>
      <w:numPr>
        <w:ilvl w:val="5"/>
        <w:numId w:val="15"/>
      </w:numPr>
    </w:pPr>
  </w:style>
  <w:style w:type="paragraph" w:customStyle="1" w:styleId="NumPar7">
    <w:name w:val="NumPar 7"/>
    <w:basedOn w:val="Normal"/>
    <w:next w:val="Text2"/>
    <w:pPr>
      <w:numPr>
        <w:ilvl w:val="6"/>
        <w:numId w:val="15"/>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7"/>
      </w:numPr>
    </w:pPr>
  </w:style>
  <w:style w:type="paragraph" w:customStyle="1" w:styleId="Point1number">
    <w:name w:val="Point 1 (number)"/>
    <w:basedOn w:val="Normal"/>
    <w:pPr>
      <w:numPr>
        <w:ilvl w:val="2"/>
        <w:numId w:val="17"/>
      </w:numPr>
    </w:pPr>
  </w:style>
  <w:style w:type="paragraph" w:customStyle="1" w:styleId="Point2number">
    <w:name w:val="Point 2 (number)"/>
    <w:basedOn w:val="Normal"/>
    <w:pPr>
      <w:numPr>
        <w:ilvl w:val="4"/>
        <w:numId w:val="17"/>
      </w:numPr>
    </w:pPr>
  </w:style>
  <w:style w:type="paragraph" w:customStyle="1" w:styleId="Point3number">
    <w:name w:val="Point 3 (number)"/>
    <w:basedOn w:val="Normal"/>
    <w:pPr>
      <w:numPr>
        <w:ilvl w:val="6"/>
        <w:numId w:val="17"/>
      </w:numPr>
    </w:pPr>
  </w:style>
  <w:style w:type="paragraph" w:customStyle="1" w:styleId="Point0letter">
    <w:name w:val="Point 0 (letter)"/>
    <w:basedOn w:val="Normal"/>
    <w:pPr>
      <w:numPr>
        <w:ilvl w:val="1"/>
        <w:numId w:val="17"/>
      </w:numPr>
    </w:pPr>
  </w:style>
  <w:style w:type="paragraph" w:customStyle="1" w:styleId="Point1letter">
    <w:name w:val="Point 1 (letter)"/>
    <w:basedOn w:val="Normal"/>
    <w:pPr>
      <w:numPr>
        <w:ilvl w:val="3"/>
        <w:numId w:val="17"/>
      </w:numPr>
    </w:pPr>
  </w:style>
  <w:style w:type="paragraph" w:customStyle="1" w:styleId="Point2letter">
    <w:name w:val="Point 2 (letter)"/>
    <w:basedOn w:val="Normal"/>
    <w:pPr>
      <w:numPr>
        <w:ilvl w:val="5"/>
        <w:numId w:val="17"/>
      </w:numPr>
    </w:pPr>
  </w:style>
  <w:style w:type="paragraph" w:customStyle="1" w:styleId="Point3letter">
    <w:name w:val="Point 3 (letter)"/>
    <w:basedOn w:val="Normal"/>
    <w:pPr>
      <w:numPr>
        <w:ilvl w:val="7"/>
        <w:numId w:val="17"/>
      </w:numPr>
    </w:pPr>
  </w:style>
  <w:style w:type="paragraph" w:customStyle="1" w:styleId="Point4letter">
    <w:name w:val="Point 4 (letter)"/>
    <w:basedOn w:val="Normal"/>
    <w:pPr>
      <w:numPr>
        <w:ilvl w:val="8"/>
        <w:numId w:val="17"/>
      </w:numPr>
    </w:pPr>
  </w:style>
  <w:style w:type="paragraph" w:customStyle="1" w:styleId="Bullet0">
    <w:name w:val="Bullet 0"/>
    <w:basedOn w:val="Normal"/>
    <w:pPr>
      <w:numPr>
        <w:numId w:val="18"/>
      </w:numPr>
    </w:pPr>
  </w:style>
  <w:style w:type="paragraph" w:customStyle="1" w:styleId="Bullet1">
    <w:name w:val="Bullet 1"/>
    <w:basedOn w:val="Normal"/>
    <w:pPr>
      <w:numPr>
        <w:numId w:val="19"/>
      </w:numPr>
    </w:pPr>
  </w:style>
  <w:style w:type="paragraph" w:customStyle="1" w:styleId="Bullet2">
    <w:name w:val="Bullet 2"/>
    <w:basedOn w:val="Normal"/>
    <w:pPr>
      <w:numPr>
        <w:numId w:val="20"/>
      </w:numPr>
    </w:pPr>
  </w:style>
  <w:style w:type="paragraph" w:customStyle="1" w:styleId="Bullet3">
    <w:name w:val="Bullet 3"/>
    <w:basedOn w:val="Normal"/>
    <w:pPr>
      <w:numPr>
        <w:numId w:val="21"/>
      </w:numPr>
    </w:pPr>
  </w:style>
  <w:style w:type="paragraph" w:customStyle="1" w:styleId="Bullet4">
    <w:name w:val="Bullet 4"/>
    <w:basedOn w:val="Normal"/>
    <w:pPr>
      <w:numPr>
        <w:numId w:val="22"/>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3"/>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88336A"/>
    <w:pPr>
      <w:tabs>
        <w:tab w:val="center" w:pos="4535"/>
        <w:tab w:val="right" w:pos="9071"/>
      </w:tabs>
      <w:spacing w:before="0"/>
    </w:pPr>
  </w:style>
  <w:style w:type="paragraph" w:customStyle="1" w:styleId="HeaderLandscape">
    <w:name w:val="HeaderLandscape"/>
    <w:basedOn w:val="Normal"/>
    <w:rsid w:val="0088336A"/>
    <w:pPr>
      <w:tabs>
        <w:tab w:val="center" w:pos="7285"/>
        <w:tab w:val="right" w:pos="14003"/>
      </w:tabs>
      <w:spacing w:before="0"/>
    </w:pPr>
  </w:style>
  <w:style w:type="paragraph" w:styleId="Footer">
    <w:name w:val="footer"/>
    <w:basedOn w:val="Normal"/>
    <w:link w:val="FooterChar"/>
    <w:uiPriority w:val="99"/>
    <w:unhideWhenUsed/>
    <w:rsid w:val="0088336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8336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C87AA-F86C-4B59-AC9A-E005DC1E56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7</TotalTime>
  <Pages>3</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2026-03-03T17:25:00Z</dcterms:created>
  <dcterms:modified xsi:type="dcterms:W3CDTF">2026-03-24T10:09:00Z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2026-02-12T14:21:39Z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a94dd761-dcb3-4c90-ac3d-24e521f81bc7</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