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9D33C" w14:textId="67B58365" w:rsidR="001A2C83" w:rsidRDefault="00903BA6" w:rsidP="00903BA6">
      <w:pPr>
        <w:pStyle w:val="Pagedecouverture"/>
        <w:rPr>
          <w:noProof/>
        </w:rPr>
      </w:pPr>
      <w:r>
        <w:rPr>
          <w:noProof/>
        </w:rPr>
        <w:pict w14:anchorId="78DB3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F8D3BE7-386A-4E4E-B334-0689437E8D47" style="width:455.25pt;height:318pt">
            <v:imagedata r:id="rId8" o:title=""/>
          </v:shape>
        </w:pict>
      </w:r>
    </w:p>
    <w:p w14:paraId="3399927E" w14:textId="77777777" w:rsidR="001A2C83" w:rsidRDefault="001A2C83" w:rsidP="001A2C83">
      <w:pPr>
        <w:rPr>
          <w:noProof/>
        </w:rPr>
        <w:sectPr w:rsidR="001A2C83" w:rsidSect="00903BA6">
          <w:footerReference w:type="even" r:id="rId9"/>
          <w:footerReference w:type="default" r:id="rId10"/>
          <w:pgSz w:w="11907" w:h="16839"/>
          <w:pgMar w:top="1134" w:right="1417" w:bottom="1134" w:left="1417" w:header="709" w:footer="709" w:gutter="0"/>
          <w:pgNumType w:start="0"/>
          <w:cols w:space="720"/>
          <w:docGrid w:linePitch="360"/>
        </w:sectPr>
      </w:pPr>
    </w:p>
    <w:p w14:paraId="2595C29E" w14:textId="77777777" w:rsidR="001A2C83" w:rsidRDefault="001A2C83" w:rsidP="00BB6B30">
      <w:pPr>
        <w:pStyle w:val="Exposdesmotifstitre"/>
        <w:rPr>
          <w:noProof/>
        </w:rPr>
      </w:pPr>
      <w:bookmarkStart w:id="0" w:name="_GoBack"/>
      <w:bookmarkEnd w:id="0"/>
      <w:r w:rsidRPr="006F770D">
        <w:rPr>
          <w:noProof/>
        </w:rPr>
        <w:lastRenderedPageBreak/>
        <w:t>EXPLANATORY MEMORANDUM</w:t>
      </w:r>
    </w:p>
    <w:p w14:paraId="7D57EEE0" w14:textId="77777777" w:rsidR="001A2C83" w:rsidRPr="006F770D" w:rsidRDefault="001A2C83" w:rsidP="00BB6B30">
      <w:pPr>
        <w:pStyle w:val="ManualHeading1"/>
        <w:rPr>
          <w:noProof/>
        </w:rPr>
      </w:pPr>
      <w:r w:rsidRPr="00C567EE">
        <w:rPr>
          <w:noProof/>
        </w:rPr>
        <w:t>1.</w:t>
      </w:r>
      <w:r w:rsidRPr="00C567EE">
        <w:rPr>
          <w:noProof/>
        </w:rPr>
        <w:tab/>
      </w:r>
      <w:r w:rsidRPr="006F770D">
        <w:rPr>
          <w:noProof/>
        </w:rPr>
        <w:t>CONTEXT OF THE PROPOSAL</w:t>
      </w:r>
    </w:p>
    <w:p w14:paraId="31741285" w14:textId="77777777" w:rsidR="00871241" w:rsidRDefault="001A2C83" w:rsidP="00871241">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001F0879">
        <w:rPr>
          <w:rFonts w:eastAsia="Arial Unicode MS"/>
          <w:noProof/>
          <w:color w:val="000000"/>
          <w:u w:color="000000"/>
          <w:bdr w:val="nil"/>
          <w:lang w:val="en-US" w:eastAsia="en-GB"/>
        </w:rPr>
        <w:t xml:space="preserve">Reasons for and objectives of </w:t>
      </w:r>
      <w:r w:rsidRPr="00044058">
        <w:rPr>
          <w:rFonts w:eastAsia="Arial Unicode MS"/>
          <w:noProof/>
        </w:rPr>
        <w:t>the proposal</w:t>
      </w:r>
    </w:p>
    <w:p w14:paraId="4CF737A1" w14:textId="77777777" w:rsidR="001F0879" w:rsidRPr="00C732EA" w:rsidRDefault="001F0879" w:rsidP="00C732EA">
      <w:pPr>
        <w:rPr>
          <w:b/>
          <w:bCs/>
          <w:noProof/>
        </w:rPr>
      </w:pPr>
      <w:r w:rsidRPr="00C732EA">
        <w:rPr>
          <w:b/>
          <w:bCs/>
          <w:noProof/>
          <w:u w:color="000000"/>
          <w:bdr w:val="nil"/>
          <w:lang w:eastAsia="en-GB"/>
        </w:rPr>
        <w:t>Objectives of the proposal</w:t>
      </w:r>
    </w:p>
    <w:p w14:paraId="431E07FC" w14:textId="562B2E70" w:rsidR="00871241" w:rsidRDefault="00871241" w:rsidP="00437F31">
      <w:pPr>
        <w:tabs>
          <w:tab w:val="left" w:pos="2160"/>
        </w:tabs>
        <w:rPr>
          <w:noProof/>
          <w:szCs w:val="24"/>
          <w:lang w:val="en-IE"/>
        </w:rPr>
      </w:pPr>
      <w:r>
        <w:rPr>
          <w:noProof/>
          <w:szCs w:val="24"/>
          <w:lang w:val="en-IE"/>
        </w:rPr>
        <w:t>The present proposal aims to obtain from the Council of the European Union (‘the Council’) the authorisation for the European Commission (‘the Commission’) to sign the Protocol amending the Council of Europe Convention on the prevention of terrorism</w:t>
      </w:r>
      <w:r w:rsidR="00821284">
        <w:rPr>
          <w:noProof/>
          <w:szCs w:val="24"/>
          <w:lang w:val="en-IE"/>
        </w:rPr>
        <w:t xml:space="preserve"> (‘the Protocol’)</w:t>
      </w:r>
      <w:r>
        <w:rPr>
          <w:noProof/>
          <w:szCs w:val="24"/>
          <w:lang w:val="en-IE"/>
        </w:rPr>
        <w:t xml:space="preserve"> on behalf of the European Union.</w:t>
      </w:r>
    </w:p>
    <w:p w14:paraId="722528FC" w14:textId="217A71B6" w:rsidR="00821284" w:rsidRDefault="00821284" w:rsidP="00437F31">
      <w:pPr>
        <w:tabs>
          <w:tab w:val="left" w:pos="2160"/>
        </w:tabs>
        <w:rPr>
          <w:noProof/>
          <w:szCs w:val="24"/>
          <w:lang w:val="en-IE"/>
        </w:rPr>
      </w:pPr>
      <w:r>
        <w:rPr>
          <w:noProof/>
          <w:szCs w:val="24"/>
          <w:lang w:val="en-IE"/>
        </w:rPr>
        <w:t xml:space="preserve">The Commission will also submit a proposal for a Council Decision authorising the Commission to conclude the Protocol on behalf of the European Union. Together, these proposals follow up on the Commission’s commitment in the </w:t>
      </w:r>
      <w:r w:rsidR="00E54DDC">
        <w:rPr>
          <w:noProof/>
          <w:szCs w:val="24"/>
          <w:lang w:val="en-IE"/>
        </w:rPr>
        <w:t>Protect</w:t>
      </w:r>
      <w:r>
        <w:rPr>
          <w:noProof/>
          <w:szCs w:val="24"/>
          <w:lang w:val="en-IE"/>
        </w:rPr>
        <w:t>EU</w:t>
      </w:r>
      <w:r w:rsidR="00E54DDC">
        <w:rPr>
          <w:noProof/>
          <w:szCs w:val="24"/>
          <w:lang w:val="en-IE"/>
        </w:rPr>
        <w:t>:</w:t>
      </w:r>
      <w:r>
        <w:rPr>
          <w:noProof/>
          <w:szCs w:val="24"/>
          <w:lang w:val="en-IE"/>
        </w:rPr>
        <w:t xml:space="preserve"> Agenda </w:t>
      </w:r>
      <w:r w:rsidR="00E54DDC">
        <w:rPr>
          <w:noProof/>
          <w:szCs w:val="24"/>
          <w:lang w:val="en-IE"/>
        </w:rPr>
        <w:t xml:space="preserve">to </w:t>
      </w:r>
      <w:r>
        <w:rPr>
          <w:noProof/>
          <w:szCs w:val="24"/>
          <w:lang w:val="en-IE"/>
        </w:rPr>
        <w:t>prevent and counter terrorism</w:t>
      </w:r>
      <w:r>
        <w:rPr>
          <w:rStyle w:val="FootnoteReference"/>
          <w:noProof/>
          <w:szCs w:val="24"/>
          <w:lang w:val="en-IE"/>
        </w:rPr>
        <w:footnoteReference w:id="1"/>
      </w:r>
      <w:r>
        <w:rPr>
          <w:noProof/>
          <w:szCs w:val="24"/>
          <w:lang w:val="en-IE"/>
        </w:rPr>
        <w:t xml:space="preserve">. </w:t>
      </w:r>
    </w:p>
    <w:p w14:paraId="16A22E9B" w14:textId="77777777" w:rsidR="00437F31" w:rsidRDefault="00437F31" w:rsidP="00437F31">
      <w:pPr>
        <w:tabs>
          <w:tab w:val="left" w:pos="2160"/>
        </w:tabs>
        <w:rPr>
          <w:noProof/>
          <w:szCs w:val="24"/>
          <w:lang w:val="en-IE"/>
        </w:rPr>
      </w:pPr>
      <w:r w:rsidRPr="00CB76AF">
        <w:rPr>
          <w:noProof/>
          <w:szCs w:val="24"/>
          <w:lang w:val="en-IE"/>
        </w:rPr>
        <w:t xml:space="preserve">Terrorism </w:t>
      </w:r>
      <w:r>
        <w:rPr>
          <w:noProof/>
          <w:szCs w:val="24"/>
          <w:lang w:val="en-IE"/>
        </w:rPr>
        <w:t xml:space="preserve">is a global phenomenon </w:t>
      </w:r>
      <w:r w:rsidRPr="00CB76AF">
        <w:rPr>
          <w:noProof/>
          <w:szCs w:val="24"/>
          <w:lang w:val="en-IE"/>
        </w:rPr>
        <w:t xml:space="preserve">and represents a growing threat to fundamental rights, democracy and the rule of law in Europe and all over the world. The terrorist attacks perpetrated in the last years in the European Union and elsewhere in the world were unacceptable infringements of the </w:t>
      </w:r>
      <w:r>
        <w:rPr>
          <w:noProof/>
          <w:szCs w:val="24"/>
          <w:lang w:val="en-IE"/>
        </w:rPr>
        <w:t xml:space="preserve">values and </w:t>
      </w:r>
      <w:r w:rsidRPr="00CB76AF">
        <w:rPr>
          <w:noProof/>
          <w:szCs w:val="24"/>
          <w:lang w:val="en-IE"/>
        </w:rPr>
        <w:t xml:space="preserve">principles which underpin democratic societies. </w:t>
      </w:r>
    </w:p>
    <w:p w14:paraId="66E2A8E1" w14:textId="77777777" w:rsidR="000A00EB" w:rsidRPr="00CB76AF" w:rsidRDefault="000A00EB" w:rsidP="000A00EB">
      <w:pPr>
        <w:tabs>
          <w:tab w:val="left" w:pos="2160"/>
        </w:tabs>
        <w:rPr>
          <w:noProof/>
          <w:szCs w:val="24"/>
          <w:lang w:val="en-IE"/>
        </w:rPr>
      </w:pPr>
      <w:r w:rsidRPr="000A00EB">
        <w:rPr>
          <w:noProof/>
          <w:szCs w:val="24"/>
        </w:rPr>
        <w:t>While the EU has seen fewer large-scale coordinated attacks, the threat has not gone away -</w:t>
      </w:r>
      <w:r>
        <w:rPr>
          <w:noProof/>
          <w:szCs w:val="24"/>
        </w:rPr>
        <w:t xml:space="preserve"> </w:t>
      </w:r>
      <w:r w:rsidRPr="000A00EB">
        <w:rPr>
          <w:noProof/>
          <w:szCs w:val="24"/>
        </w:rPr>
        <w:t>it has evolved. Between 2019 and 2023, the number of terrorist incidents more than doubled (from 57 to 120), before dropping to 58 in 2024</w:t>
      </w:r>
      <w:r>
        <w:rPr>
          <w:rStyle w:val="FootnoteReference"/>
          <w:noProof/>
          <w:szCs w:val="24"/>
        </w:rPr>
        <w:footnoteReference w:id="2"/>
      </w:r>
      <w:r w:rsidRPr="000A00EB">
        <w:rPr>
          <w:noProof/>
          <w:szCs w:val="24"/>
        </w:rPr>
        <w:t>. Lone actors and small cells have been predominantly</w:t>
      </w:r>
      <w:r>
        <w:rPr>
          <w:noProof/>
          <w:szCs w:val="24"/>
        </w:rPr>
        <w:t xml:space="preserve"> </w:t>
      </w:r>
      <w:r w:rsidRPr="000A00EB">
        <w:rPr>
          <w:noProof/>
          <w:szCs w:val="24"/>
        </w:rPr>
        <w:t>responsible for recent attacks. T</w:t>
      </w:r>
      <w:r w:rsidRPr="000A00EB">
        <w:rPr>
          <w:noProof/>
          <w:szCs w:val="24"/>
          <w:lang w:val="en-US"/>
        </w:rPr>
        <w:t>he overall threat level remains high, and it is shaped by multiplying threat drivers.</w:t>
      </w:r>
    </w:p>
    <w:p w14:paraId="20759EE6" w14:textId="77777777" w:rsidR="00437F31" w:rsidRDefault="00437F31" w:rsidP="00437F31">
      <w:pPr>
        <w:tabs>
          <w:tab w:val="left" w:pos="2160"/>
        </w:tabs>
        <w:rPr>
          <w:noProof/>
          <w:szCs w:val="24"/>
          <w:lang w:val="en-IE"/>
        </w:rPr>
      </w:pPr>
      <w:r>
        <w:rPr>
          <w:noProof/>
          <w:szCs w:val="24"/>
          <w:lang w:val="en-IE"/>
        </w:rPr>
        <w:t>In the face of such an enduring</w:t>
      </w:r>
      <w:r w:rsidR="00EF5A19">
        <w:rPr>
          <w:noProof/>
          <w:szCs w:val="24"/>
          <w:lang w:val="en-IE"/>
        </w:rPr>
        <w:t xml:space="preserve"> and evolving</w:t>
      </w:r>
      <w:r>
        <w:rPr>
          <w:noProof/>
          <w:szCs w:val="24"/>
          <w:lang w:val="en-IE"/>
        </w:rPr>
        <w:t xml:space="preserve"> threat, d</w:t>
      </w:r>
      <w:r w:rsidRPr="00CB76AF">
        <w:rPr>
          <w:noProof/>
          <w:szCs w:val="24"/>
          <w:lang w:val="en-IE"/>
        </w:rPr>
        <w:t>ecisive action against terrorism is necessary, not only at national level, but</w:t>
      </w:r>
      <w:r w:rsidR="00EF5A19">
        <w:rPr>
          <w:noProof/>
          <w:szCs w:val="24"/>
          <w:lang w:val="en-IE"/>
        </w:rPr>
        <w:t xml:space="preserve"> </w:t>
      </w:r>
      <w:r w:rsidRPr="00CB76AF">
        <w:rPr>
          <w:noProof/>
          <w:szCs w:val="24"/>
          <w:lang w:val="en-IE"/>
        </w:rPr>
        <w:t xml:space="preserve">also at </w:t>
      </w:r>
      <w:r w:rsidR="00EF5A19">
        <w:rPr>
          <w:noProof/>
          <w:szCs w:val="24"/>
          <w:lang w:val="en-IE"/>
        </w:rPr>
        <w:t xml:space="preserve">European, </w:t>
      </w:r>
      <w:r w:rsidRPr="00CB76AF">
        <w:rPr>
          <w:noProof/>
          <w:szCs w:val="24"/>
          <w:lang w:val="en-IE"/>
        </w:rPr>
        <w:t xml:space="preserve">pan-European level and beyond. The </w:t>
      </w:r>
      <w:r>
        <w:rPr>
          <w:noProof/>
          <w:szCs w:val="24"/>
          <w:lang w:val="en-IE"/>
        </w:rPr>
        <w:t xml:space="preserve">often </w:t>
      </w:r>
      <w:r w:rsidRPr="00CB76AF">
        <w:rPr>
          <w:noProof/>
          <w:szCs w:val="24"/>
          <w:lang w:val="en-IE"/>
        </w:rPr>
        <w:t xml:space="preserve">cross-border nature of terrorism requires strong international cooperation based on a  common understanding of terrorist offences. </w:t>
      </w:r>
    </w:p>
    <w:p w14:paraId="5B5DAB41" w14:textId="77777777" w:rsidR="00EF5A19" w:rsidRDefault="00EF5A19" w:rsidP="00437F31">
      <w:pPr>
        <w:tabs>
          <w:tab w:val="left" w:pos="2160"/>
        </w:tabs>
        <w:rPr>
          <w:noProof/>
          <w:szCs w:val="24"/>
          <w:lang w:val="en-IE"/>
        </w:rPr>
      </w:pPr>
      <w:r>
        <w:rPr>
          <w:noProof/>
          <w:szCs w:val="24"/>
          <w:lang w:val="en-IE"/>
        </w:rPr>
        <w:t xml:space="preserve">The purpose of the Protocol is to modify the definition of ‘terrorist offences’ in the Council of Europe Convention on the prevention of terrorism in order to </w:t>
      </w:r>
      <w:r w:rsidRPr="00EF5A19">
        <w:rPr>
          <w:noProof/>
          <w:szCs w:val="24"/>
          <w:lang w:val="en-IE"/>
        </w:rPr>
        <w:t xml:space="preserve">reflect the fact that contemporary terrorists have moved beyond the more traditional targets and the </w:t>
      </w:r>
      <w:r w:rsidRPr="00EF5A19">
        <w:rPr>
          <w:i/>
          <w:iCs/>
          <w:noProof/>
          <w:szCs w:val="24"/>
          <w:lang w:val="en-IE"/>
        </w:rPr>
        <w:t xml:space="preserve">modus operandi </w:t>
      </w:r>
      <w:r w:rsidRPr="00EF5A19">
        <w:rPr>
          <w:noProof/>
          <w:szCs w:val="24"/>
          <w:lang w:val="en-IE"/>
        </w:rPr>
        <w:t xml:space="preserve">which are the subjects of the UN </w:t>
      </w:r>
      <w:r>
        <w:rPr>
          <w:noProof/>
          <w:szCs w:val="24"/>
          <w:lang w:val="en-IE"/>
        </w:rPr>
        <w:t>counter-</w:t>
      </w:r>
      <w:r w:rsidRPr="00EF5A19">
        <w:rPr>
          <w:noProof/>
          <w:szCs w:val="24"/>
          <w:lang w:val="en-IE"/>
        </w:rPr>
        <w:t>terrorism treaties currently referred to in Article 1 of the Convention.</w:t>
      </w:r>
      <w:r>
        <w:rPr>
          <w:noProof/>
          <w:szCs w:val="24"/>
          <w:lang w:val="en-IE"/>
        </w:rPr>
        <w:t xml:space="preserve"> These UN counter-terrorism treaties cover specific</w:t>
      </w:r>
      <w:r w:rsidR="00082637">
        <w:rPr>
          <w:noProof/>
          <w:szCs w:val="24"/>
          <w:lang w:val="en-IE"/>
        </w:rPr>
        <w:t xml:space="preserve"> offences</w:t>
      </w:r>
      <w:r>
        <w:rPr>
          <w:noProof/>
          <w:szCs w:val="24"/>
          <w:lang w:val="en-IE"/>
        </w:rPr>
        <w:t xml:space="preserve"> such as unlawful seizure of aircraft, terrorist bombings or hostake</w:t>
      </w:r>
      <w:r w:rsidR="00082637">
        <w:rPr>
          <w:noProof/>
          <w:szCs w:val="24"/>
          <w:lang w:val="en-IE"/>
        </w:rPr>
        <w:t xml:space="preserve"> </w:t>
      </w:r>
      <w:r>
        <w:rPr>
          <w:noProof/>
          <w:szCs w:val="24"/>
          <w:lang w:val="en-IE"/>
        </w:rPr>
        <w:t xml:space="preserve">taking. However, the scope of </w:t>
      </w:r>
      <w:r w:rsidR="00082637">
        <w:rPr>
          <w:noProof/>
          <w:szCs w:val="24"/>
          <w:lang w:val="en-IE"/>
        </w:rPr>
        <w:t xml:space="preserve">offences </w:t>
      </w:r>
      <w:r>
        <w:rPr>
          <w:noProof/>
          <w:szCs w:val="24"/>
          <w:lang w:val="en-IE"/>
        </w:rPr>
        <w:t xml:space="preserve">covered </w:t>
      </w:r>
      <w:r w:rsidR="00082637">
        <w:rPr>
          <w:noProof/>
          <w:szCs w:val="24"/>
          <w:lang w:val="en-IE"/>
        </w:rPr>
        <w:t xml:space="preserve">therein are exhaustive and unable to reflect the reality of the modern terrorism landscape. </w:t>
      </w:r>
    </w:p>
    <w:p w14:paraId="337FC451" w14:textId="77777777" w:rsidR="00082637" w:rsidRDefault="00082637" w:rsidP="00437F31">
      <w:pPr>
        <w:tabs>
          <w:tab w:val="left" w:pos="2160"/>
        </w:tabs>
        <w:rPr>
          <w:noProof/>
          <w:szCs w:val="24"/>
          <w:lang w:val="en-IE"/>
        </w:rPr>
      </w:pPr>
      <w:r>
        <w:rPr>
          <w:noProof/>
          <w:szCs w:val="24"/>
          <w:lang w:val="en-IE"/>
        </w:rPr>
        <w:t xml:space="preserve">The Protocol will modernise the Council of Europe legal framework on counter-terrorism and ensure that the definition of terrorist offences reflect the extensive </w:t>
      </w:r>
      <w:r w:rsidRPr="00082637">
        <w:rPr>
          <w:i/>
          <w:iCs/>
          <w:noProof/>
          <w:szCs w:val="24"/>
          <w:lang w:val="en-IE"/>
        </w:rPr>
        <w:t>modus operandi</w:t>
      </w:r>
      <w:r>
        <w:rPr>
          <w:noProof/>
          <w:szCs w:val="24"/>
          <w:lang w:val="en-IE"/>
        </w:rPr>
        <w:t xml:space="preserve"> deployed by contemporary terrorists. Moreover, the definition which will be introduced by the Protocol will ensure legal certainty by introducing legal conditions which have to be met in order for a criminal act to amount to a terrorist offence, such as intent, gravity threshold and commission of the act with terrorist aims (‘specific intent’). </w:t>
      </w:r>
    </w:p>
    <w:p w14:paraId="479B19E3" w14:textId="77777777" w:rsidR="001F0879" w:rsidRDefault="00807D5B" w:rsidP="001F0879">
      <w:pPr>
        <w:tabs>
          <w:tab w:val="left" w:pos="2160"/>
        </w:tabs>
        <w:rPr>
          <w:noProof/>
          <w:szCs w:val="24"/>
          <w:lang w:val="en-IE"/>
        </w:rPr>
      </w:pPr>
      <w:r>
        <w:rPr>
          <w:noProof/>
          <w:szCs w:val="24"/>
          <w:lang w:val="en-IE"/>
        </w:rPr>
        <w:lastRenderedPageBreak/>
        <w:t xml:space="preserve">Once entered into force, the Protocol will also establish a pan-European definition of terrorist offences which is compatible with the EU definition found in Article 3 of the Directive (EU) 2017/541 on combating terrorism. </w:t>
      </w:r>
      <w:r w:rsidR="00CE4EF8">
        <w:rPr>
          <w:noProof/>
          <w:szCs w:val="24"/>
          <w:lang w:val="en-IE"/>
        </w:rPr>
        <w:t>T</w:t>
      </w:r>
      <w:r w:rsidR="00CE4EF8" w:rsidRPr="001428C1">
        <w:rPr>
          <w:noProof/>
          <w:szCs w:val="24"/>
          <w:lang w:val="en-IE"/>
        </w:rPr>
        <w:t>he new pan-European definition of terrorist offences will offer substantive added value for judicial cooperation, mutual legal assistance and extradition requests in the area of counter-terrorism among Council of Europe States</w:t>
      </w:r>
      <w:r w:rsidR="00792CD2">
        <w:rPr>
          <w:noProof/>
          <w:szCs w:val="24"/>
          <w:lang w:val="en-IE"/>
        </w:rPr>
        <w:t xml:space="preserve"> which sign and ratify the Protocol</w:t>
      </w:r>
      <w:r w:rsidR="00CE4EF8">
        <w:rPr>
          <w:noProof/>
          <w:szCs w:val="24"/>
          <w:lang w:val="en-IE"/>
        </w:rPr>
        <w:t xml:space="preserve">. </w:t>
      </w:r>
    </w:p>
    <w:p w14:paraId="243CF7BA" w14:textId="77777777" w:rsidR="00D423ED" w:rsidRPr="001F0879" w:rsidRDefault="00D423ED" w:rsidP="001F0879">
      <w:pPr>
        <w:tabs>
          <w:tab w:val="left" w:pos="2160"/>
        </w:tabs>
        <w:rPr>
          <w:b/>
          <w:bCs/>
          <w:noProof/>
          <w:szCs w:val="24"/>
          <w:lang w:val="en-IE"/>
        </w:rPr>
      </w:pPr>
      <w:r w:rsidRPr="001F0879">
        <w:rPr>
          <w:rFonts w:eastAsia="Arial Unicode MS"/>
          <w:b/>
          <w:bCs/>
          <w:noProof/>
        </w:rPr>
        <w:t xml:space="preserve">Background </w:t>
      </w:r>
    </w:p>
    <w:p w14:paraId="51F86160" w14:textId="77777777" w:rsidR="00437F31" w:rsidRDefault="00D9554B" w:rsidP="00437F31">
      <w:pPr>
        <w:tabs>
          <w:tab w:val="left" w:pos="2160"/>
        </w:tabs>
        <w:rPr>
          <w:noProof/>
          <w:szCs w:val="24"/>
          <w:lang w:val="en-IE"/>
        </w:rPr>
      </w:pPr>
      <w:r>
        <w:rPr>
          <w:noProof/>
          <w:szCs w:val="24"/>
          <w:lang w:val="en-IE"/>
        </w:rPr>
        <w:t>T</w:t>
      </w:r>
      <w:r w:rsidR="00437F31" w:rsidRPr="00CB76AF">
        <w:rPr>
          <w:noProof/>
          <w:szCs w:val="24"/>
          <w:lang w:val="en-IE"/>
        </w:rPr>
        <w:t>he European Union signed the Council of Europe Convention on the prevention of terrorism (</w:t>
      </w:r>
      <w:r w:rsidR="00437F31">
        <w:rPr>
          <w:noProof/>
          <w:szCs w:val="24"/>
          <w:lang w:val="en-IE"/>
        </w:rPr>
        <w:t>‘</w:t>
      </w:r>
      <w:r w:rsidR="00437F31" w:rsidRPr="00CB76AF">
        <w:rPr>
          <w:noProof/>
          <w:szCs w:val="24"/>
          <w:lang w:val="en-IE"/>
        </w:rPr>
        <w:t>Convention No. 196</w:t>
      </w:r>
      <w:r w:rsidR="00437F31">
        <w:rPr>
          <w:noProof/>
          <w:szCs w:val="24"/>
          <w:lang w:val="en-IE"/>
        </w:rPr>
        <w:t>’</w:t>
      </w:r>
      <w:r w:rsidR="00437F31" w:rsidRPr="00CB76AF">
        <w:rPr>
          <w:noProof/>
          <w:szCs w:val="24"/>
          <w:lang w:val="en-IE"/>
        </w:rPr>
        <w:t>) and the Additional Protocol to the Council of Europe Convention on the prevention of terrorism (</w:t>
      </w:r>
      <w:r w:rsidR="00437F31">
        <w:rPr>
          <w:noProof/>
          <w:szCs w:val="24"/>
          <w:lang w:val="en-IE"/>
        </w:rPr>
        <w:t>‘</w:t>
      </w:r>
      <w:r w:rsidR="00437F31" w:rsidRPr="00CB76AF">
        <w:rPr>
          <w:noProof/>
          <w:szCs w:val="24"/>
          <w:lang w:val="en-IE"/>
        </w:rPr>
        <w:t>Convention No. 217</w:t>
      </w:r>
      <w:r w:rsidR="00437F31">
        <w:rPr>
          <w:noProof/>
          <w:szCs w:val="24"/>
          <w:lang w:val="en-IE"/>
        </w:rPr>
        <w:t>’</w:t>
      </w:r>
      <w:r w:rsidR="00437F31" w:rsidRPr="00CB76AF">
        <w:rPr>
          <w:noProof/>
          <w:szCs w:val="24"/>
          <w:lang w:val="en-IE"/>
        </w:rPr>
        <w:t xml:space="preserve">) on 22 October 2015 and ratified them on 26 June 2018. Both </w:t>
      </w:r>
      <w:r w:rsidR="0028381B">
        <w:rPr>
          <w:noProof/>
          <w:szCs w:val="24"/>
          <w:lang w:val="en-IE"/>
        </w:rPr>
        <w:t xml:space="preserve">the </w:t>
      </w:r>
      <w:r w:rsidR="00437F31" w:rsidRPr="00CB76AF">
        <w:rPr>
          <w:noProof/>
          <w:szCs w:val="24"/>
          <w:lang w:val="en-IE"/>
        </w:rPr>
        <w:t>Convention</w:t>
      </w:r>
      <w:r w:rsidR="0028381B">
        <w:rPr>
          <w:noProof/>
          <w:szCs w:val="24"/>
          <w:lang w:val="en-IE"/>
        </w:rPr>
        <w:t xml:space="preserve"> and its Additional Protocol</w:t>
      </w:r>
      <w:r w:rsidR="00437F31" w:rsidRPr="00CB76AF">
        <w:rPr>
          <w:noProof/>
          <w:szCs w:val="24"/>
          <w:lang w:val="en-IE"/>
        </w:rPr>
        <w:t xml:space="preserve"> entered into force in the European Union on 1 October 2018. As of</w:t>
      </w:r>
      <w:r w:rsidR="0028381B">
        <w:rPr>
          <w:noProof/>
          <w:szCs w:val="24"/>
          <w:lang w:val="en-IE"/>
        </w:rPr>
        <w:t xml:space="preserve"> 21 January 2026</w:t>
      </w:r>
      <w:r w:rsidR="00437F31" w:rsidRPr="00CB76AF">
        <w:rPr>
          <w:noProof/>
          <w:szCs w:val="24"/>
          <w:lang w:val="en-IE"/>
        </w:rPr>
        <w:t>, 25 EU Member States</w:t>
      </w:r>
      <w:r w:rsidR="00437F31">
        <w:rPr>
          <w:rStyle w:val="FootnoteReference"/>
          <w:noProof/>
          <w:szCs w:val="24"/>
          <w:lang w:val="en-IE"/>
        </w:rPr>
        <w:footnoteReference w:id="3"/>
      </w:r>
      <w:r w:rsidR="00437F31" w:rsidRPr="00CB76AF">
        <w:rPr>
          <w:noProof/>
          <w:szCs w:val="24"/>
          <w:lang w:val="en-IE"/>
        </w:rPr>
        <w:t xml:space="preserve"> have ratified the Convention No. 196</w:t>
      </w:r>
      <w:r w:rsidR="00437F31">
        <w:rPr>
          <w:noProof/>
          <w:szCs w:val="24"/>
          <w:lang w:val="en-IE"/>
        </w:rPr>
        <w:t xml:space="preserve">. </w:t>
      </w:r>
    </w:p>
    <w:p w14:paraId="40BC92AA" w14:textId="77777777" w:rsidR="00437F31" w:rsidRPr="00CB76AF" w:rsidRDefault="00437F31" w:rsidP="00437F31">
      <w:pPr>
        <w:spacing w:before="100" w:beforeAutospacing="1" w:after="100" w:afterAutospacing="1"/>
        <w:rPr>
          <w:rFonts w:eastAsia="Times New Roman"/>
          <w:noProof/>
          <w:szCs w:val="24"/>
          <w:lang w:val="en-IE" w:eastAsia="en-GB"/>
        </w:rPr>
      </w:pPr>
      <w:r w:rsidRPr="00CB76AF">
        <w:rPr>
          <w:noProof/>
          <w:szCs w:val="24"/>
          <w:lang w:val="en-IE"/>
        </w:rPr>
        <w:t>Convention No. 196 relates to the criminalisation of terrorist and terroris</w:t>
      </w:r>
      <w:r>
        <w:rPr>
          <w:noProof/>
          <w:szCs w:val="24"/>
          <w:lang w:val="en-IE"/>
        </w:rPr>
        <w:t>m</w:t>
      </w:r>
      <w:r w:rsidRPr="00CB76AF">
        <w:rPr>
          <w:noProof/>
          <w:szCs w:val="24"/>
          <w:lang w:val="en-IE"/>
        </w:rPr>
        <w:t xml:space="preserve">–related activities, as well as international cooperation regarding such offences and the protection, compensation and support for victims of terrorism. </w:t>
      </w:r>
      <w:r w:rsidRPr="00CB76AF">
        <w:rPr>
          <w:rFonts w:eastAsia="Times New Roman"/>
          <w:noProof/>
          <w:szCs w:val="24"/>
          <w:lang w:val="en-IE" w:eastAsia="en-GB"/>
        </w:rPr>
        <w:t xml:space="preserve">Article 1 of the Convention No. 196 defines "terrorist offences" </w:t>
      </w:r>
      <w:r w:rsidR="0028381B">
        <w:rPr>
          <w:rFonts w:eastAsia="Times New Roman"/>
          <w:noProof/>
          <w:szCs w:val="24"/>
          <w:lang w:val="en-IE" w:eastAsia="en-GB"/>
        </w:rPr>
        <w:t xml:space="preserve">by </w:t>
      </w:r>
      <w:r w:rsidRPr="00CB76AF">
        <w:rPr>
          <w:rFonts w:eastAsia="Times New Roman"/>
          <w:noProof/>
          <w:szCs w:val="24"/>
          <w:lang w:val="en-IE" w:eastAsia="en-GB"/>
        </w:rPr>
        <w:t xml:space="preserve">referring to acts listed in the Appendix I to Convention No. 196. The Appendix I </w:t>
      </w:r>
      <w:r>
        <w:rPr>
          <w:rFonts w:eastAsia="Times New Roman"/>
          <w:noProof/>
          <w:szCs w:val="24"/>
          <w:lang w:val="en-IE" w:eastAsia="en-GB"/>
        </w:rPr>
        <w:t xml:space="preserve">lists </w:t>
      </w:r>
      <w:r w:rsidRPr="00CB76AF">
        <w:rPr>
          <w:rFonts w:eastAsia="Times New Roman"/>
          <w:noProof/>
          <w:szCs w:val="24"/>
          <w:lang w:val="en-IE" w:eastAsia="en-GB"/>
        </w:rPr>
        <w:t xml:space="preserve">a number of UN </w:t>
      </w:r>
      <w:r>
        <w:rPr>
          <w:rFonts w:eastAsia="Times New Roman"/>
          <w:noProof/>
          <w:szCs w:val="24"/>
          <w:lang w:val="en-IE" w:eastAsia="en-GB"/>
        </w:rPr>
        <w:t>counter-</w:t>
      </w:r>
      <w:r w:rsidRPr="00CB76AF">
        <w:rPr>
          <w:rFonts w:eastAsia="Times New Roman"/>
          <w:noProof/>
          <w:szCs w:val="24"/>
          <w:lang w:val="en-IE" w:eastAsia="en-GB"/>
        </w:rPr>
        <w:t>terrorism treaties</w:t>
      </w:r>
      <w:r>
        <w:rPr>
          <w:rFonts w:eastAsia="Times New Roman"/>
          <w:noProof/>
          <w:szCs w:val="24"/>
          <w:lang w:val="en-IE" w:eastAsia="en-GB"/>
        </w:rPr>
        <w:t>, namely</w:t>
      </w:r>
      <w:r w:rsidRPr="00CB76AF">
        <w:rPr>
          <w:rFonts w:eastAsia="Times New Roman"/>
          <w:noProof/>
          <w:szCs w:val="24"/>
          <w:lang w:val="en-IE" w:eastAsia="en-GB"/>
        </w:rPr>
        <w:t>:</w:t>
      </w:r>
    </w:p>
    <w:p w14:paraId="1D536817" w14:textId="77777777" w:rsidR="00437F31" w:rsidRPr="00CB76AF" w:rsidRDefault="00437F31" w:rsidP="00B93145">
      <w:pPr>
        <w:pStyle w:val="Bullet0"/>
        <w:numPr>
          <w:ilvl w:val="0"/>
          <w:numId w:val="1"/>
        </w:numPr>
        <w:rPr>
          <w:rFonts w:eastAsia="Times New Roman"/>
          <w:noProof/>
          <w:lang w:val="en-IE" w:eastAsia="en-GB"/>
        </w:rPr>
      </w:pPr>
      <w:r w:rsidRPr="00CB76AF">
        <w:rPr>
          <w:noProof/>
          <w:lang w:val="en-IE"/>
        </w:rPr>
        <w:t xml:space="preserve">Convention for the Suppression of Unlawful Seizure of Aircraft, signed at The Hague on 16 December 1970; </w:t>
      </w:r>
    </w:p>
    <w:p w14:paraId="23CCF626" w14:textId="77777777" w:rsidR="00437F31" w:rsidRPr="00CB76AF" w:rsidRDefault="00437F31" w:rsidP="00437F31">
      <w:pPr>
        <w:pStyle w:val="Bullet0"/>
        <w:rPr>
          <w:rFonts w:eastAsia="Times New Roman"/>
          <w:noProof/>
          <w:lang w:val="en-IE" w:eastAsia="en-GB"/>
        </w:rPr>
      </w:pPr>
      <w:r w:rsidRPr="00CB76AF">
        <w:rPr>
          <w:noProof/>
          <w:lang w:val="en-IE"/>
        </w:rPr>
        <w:t xml:space="preserve">Convention for the Suppression of Unlawful Acts Against the Safety of Civil Aviation, concluded at Montreal on 23 September 1971; </w:t>
      </w:r>
    </w:p>
    <w:p w14:paraId="090BE7B3" w14:textId="77777777" w:rsidR="00437F31" w:rsidRPr="00CB76AF" w:rsidRDefault="00437F31" w:rsidP="00437F31">
      <w:pPr>
        <w:pStyle w:val="Bullet0"/>
        <w:rPr>
          <w:rFonts w:eastAsia="Times New Roman"/>
          <w:noProof/>
          <w:lang w:val="en-IE" w:eastAsia="en-GB"/>
        </w:rPr>
      </w:pPr>
      <w:r w:rsidRPr="00CB76AF">
        <w:rPr>
          <w:noProof/>
          <w:lang w:val="en-IE"/>
        </w:rPr>
        <w:t>Convention on the Prevention and Punishment of Crimes Against Internationally Protected Persons, Including Diplomatic Agents, adopted in New York on 14 December 1973;</w:t>
      </w:r>
    </w:p>
    <w:p w14:paraId="28C473FA" w14:textId="77777777" w:rsidR="00437F31" w:rsidRPr="00CB76AF" w:rsidRDefault="00437F31" w:rsidP="00437F31">
      <w:pPr>
        <w:pStyle w:val="Bullet0"/>
        <w:rPr>
          <w:rFonts w:eastAsia="Times New Roman"/>
          <w:noProof/>
          <w:lang w:val="en-IE" w:eastAsia="en-GB"/>
        </w:rPr>
      </w:pPr>
      <w:r w:rsidRPr="00CB76AF">
        <w:rPr>
          <w:noProof/>
          <w:lang w:val="en-IE"/>
        </w:rPr>
        <w:t xml:space="preserve">International Convention Against the Taking of Hostages, adopted in New York on 17 December 1979; </w:t>
      </w:r>
    </w:p>
    <w:p w14:paraId="13A20F45" w14:textId="77777777" w:rsidR="00437F31" w:rsidRPr="00CB76AF" w:rsidRDefault="00437F31" w:rsidP="00437F31">
      <w:pPr>
        <w:pStyle w:val="Bullet0"/>
        <w:rPr>
          <w:rFonts w:eastAsia="Times New Roman"/>
          <w:noProof/>
          <w:lang w:val="en-IE" w:eastAsia="en-GB"/>
        </w:rPr>
      </w:pPr>
      <w:r w:rsidRPr="00CB76AF">
        <w:rPr>
          <w:noProof/>
          <w:lang w:val="en-IE"/>
        </w:rPr>
        <w:t>Convention on the Physical Protection of Nuclear Material, adopted in Vienna on 3 March 1980;</w:t>
      </w:r>
    </w:p>
    <w:p w14:paraId="4B308E8D" w14:textId="77777777" w:rsidR="00437F31" w:rsidRPr="00CB76AF" w:rsidRDefault="00437F31" w:rsidP="00437F31">
      <w:pPr>
        <w:pStyle w:val="Bullet0"/>
        <w:rPr>
          <w:rFonts w:eastAsia="Times New Roman"/>
          <w:noProof/>
          <w:lang w:val="en-IE" w:eastAsia="en-GB"/>
        </w:rPr>
      </w:pPr>
      <w:r w:rsidRPr="00CB76AF">
        <w:rPr>
          <w:noProof/>
          <w:lang w:val="en-IE"/>
        </w:rPr>
        <w:t xml:space="preserve">Protocol for the Suppression of Unlawful Acts of Violence at Airports Serving International Civil Aviation, done at Montreal on 24 February 1988; </w:t>
      </w:r>
    </w:p>
    <w:p w14:paraId="20D991D0" w14:textId="77777777" w:rsidR="00437F31" w:rsidRPr="00CB76AF" w:rsidRDefault="00437F31" w:rsidP="00437F31">
      <w:pPr>
        <w:pStyle w:val="Bullet0"/>
        <w:rPr>
          <w:rFonts w:eastAsia="Times New Roman"/>
          <w:noProof/>
          <w:lang w:val="en-IE" w:eastAsia="en-GB"/>
        </w:rPr>
      </w:pPr>
      <w:r w:rsidRPr="00CB76AF">
        <w:rPr>
          <w:noProof/>
          <w:lang w:val="en-IE"/>
        </w:rPr>
        <w:t xml:space="preserve">Convention for the Suppression of Unlawful Acts Against the Safety of Maritime Navigation, done at Rome on 10 March 1988; </w:t>
      </w:r>
    </w:p>
    <w:p w14:paraId="55BBA331" w14:textId="77777777" w:rsidR="00437F31" w:rsidRPr="00CB76AF" w:rsidRDefault="00437F31" w:rsidP="00437F31">
      <w:pPr>
        <w:pStyle w:val="Bullet0"/>
        <w:rPr>
          <w:rFonts w:eastAsia="Times New Roman"/>
          <w:noProof/>
          <w:lang w:val="en-IE" w:eastAsia="en-GB"/>
        </w:rPr>
      </w:pPr>
      <w:r w:rsidRPr="00CB76AF">
        <w:rPr>
          <w:noProof/>
          <w:lang w:val="en-IE"/>
        </w:rPr>
        <w:t xml:space="preserve">Protocol for the Suppression of Unlawful Acts Against the Safety of Fixed Platforms Located on the Continental Shelf, done at Rome on 10 March 1988; </w:t>
      </w:r>
    </w:p>
    <w:p w14:paraId="1A706558" w14:textId="77777777" w:rsidR="00437F31" w:rsidRPr="00CB76AF" w:rsidRDefault="00437F31" w:rsidP="00437F31">
      <w:pPr>
        <w:pStyle w:val="Bullet0"/>
        <w:rPr>
          <w:rFonts w:eastAsia="Times New Roman"/>
          <w:noProof/>
          <w:lang w:val="en-IE" w:eastAsia="en-GB"/>
        </w:rPr>
      </w:pPr>
      <w:r w:rsidRPr="00CB76AF">
        <w:rPr>
          <w:noProof/>
          <w:lang w:val="en-IE"/>
        </w:rPr>
        <w:t xml:space="preserve">International Convention for the Suppression of Terrorist Bombings, adopted in New York on 15 December 1997; </w:t>
      </w:r>
    </w:p>
    <w:p w14:paraId="64ECB2F0" w14:textId="77777777" w:rsidR="00437F31" w:rsidRPr="00CB76AF" w:rsidRDefault="00437F31" w:rsidP="00437F31">
      <w:pPr>
        <w:pStyle w:val="Bullet0"/>
        <w:rPr>
          <w:rFonts w:eastAsia="Times New Roman"/>
          <w:noProof/>
          <w:lang w:val="en-IE" w:eastAsia="en-GB"/>
        </w:rPr>
      </w:pPr>
      <w:r w:rsidRPr="00CB76AF">
        <w:rPr>
          <w:noProof/>
          <w:lang w:val="en-IE"/>
        </w:rPr>
        <w:t xml:space="preserve">International Convention for the Suppression of the Financing of Terrorism, adopted in New York on 9 December 1999; </w:t>
      </w:r>
    </w:p>
    <w:p w14:paraId="67999673" w14:textId="77777777" w:rsidR="00437F31" w:rsidRPr="00CB76AF" w:rsidRDefault="00437F31" w:rsidP="00437F31">
      <w:pPr>
        <w:pStyle w:val="Bullet0"/>
        <w:rPr>
          <w:rFonts w:eastAsia="Times New Roman"/>
          <w:noProof/>
          <w:lang w:val="en-IE" w:eastAsia="en-GB"/>
        </w:rPr>
      </w:pPr>
      <w:r w:rsidRPr="00CB76AF">
        <w:rPr>
          <w:noProof/>
          <w:lang w:val="en-IE"/>
        </w:rPr>
        <w:t>International Convention for the Suppression of Acts of Nuclear Terrorism, adopted in New York on 13 April 2005.</w:t>
      </w:r>
    </w:p>
    <w:p w14:paraId="0A2D9DE3" w14:textId="77777777" w:rsidR="00437F31" w:rsidRPr="00CB76AF" w:rsidRDefault="0028381B" w:rsidP="00437F31">
      <w:pPr>
        <w:spacing w:before="100" w:beforeAutospacing="1" w:after="100" w:afterAutospacing="1"/>
        <w:rPr>
          <w:noProof/>
          <w:szCs w:val="24"/>
          <w:lang w:val="en-IE"/>
        </w:rPr>
      </w:pPr>
      <w:r>
        <w:rPr>
          <w:noProof/>
          <w:szCs w:val="24"/>
          <w:lang w:val="en-IE"/>
        </w:rPr>
        <w:lastRenderedPageBreak/>
        <w:t>In the EU, t</w:t>
      </w:r>
      <w:r w:rsidR="00437F31" w:rsidRPr="00DE1A2C">
        <w:rPr>
          <w:noProof/>
          <w:szCs w:val="24"/>
          <w:lang w:val="en-IE"/>
        </w:rPr>
        <w:t>he Directive (EU) 2017/541 establishes minimum rules concerning the definition of criminal offences and sanctions in the area of terrorist offences; offences related to a terrorist group and offences related to terrorist activities in the European Union.</w:t>
      </w:r>
      <w:r w:rsidR="00437F31">
        <w:rPr>
          <w:noProof/>
          <w:szCs w:val="24"/>
          <w:lang w:val="en-IE"/>
        </w:rPr>
        <w:t xml:space="preserve"> Article 3 of Directive (EU) 2017/541 </w:t>
      </w:r>
      <w:r w:rsidR="00437F31" w:rsidRPr="00CB76AF">
        <w:rPr>
          <w:noProof/>
          <w:szCs w:val="24"/>
          <w:lang w:val="en-IE"/>
        </w:rPr>
        <w:t xml:space="preserve">lists the intentional </w:t>
      </w:r>
      <w:r w:rsidR="00EA4001">
        <w:rPr>
          <w:noProof/>
          <w:szCs w:val="24"/>
          <w:lang w:val="en-IE"/>
        </w:rPr>
        <w:t xml:space="preserve">criminal </w:t>
      </w:r>
      <w:r w:rsidR="00437F31" w:rsidRPr="00CB76AF">
        <w:rPr>
          <w:noProof/>
          <w:szCs w:val="24"/>
          <w:lang w:val="en-IE"/>
        </w:rPr>
        <w:t>acts that may seriously damage a country or an international organi</w:t>
      </w:r>
      <w:r w:rsidR="00437F31">
        <w:rPr>
          <w:noProof/>
          <w:szCs w:val="24"/>
          <w:lang w:val="en-IE"/>
        </w:rPr>
        <w:t>s</w:t>
      </w:r>
      <w:r w:rsidR="00437F31" w:rsidRPr="00CB76AF">
        <w:rPr>
          <w:noProof/>
          <w:szCs w:val="24"/>
          <w:lang w:val="en-IE"/>
        </w:rPr>
        <w:t xml:space="preserve">ation which </w:t>
      </w:r>
      <w:r w:rsidR="00437F31">
        <w:rPr>
          <w:noProof/>
          <w:szCs w:val="24"/>
          <w:lang w:val="en-IE"/>
        </w:rPr>
        <w:t xml:space="preserve">qualify </w:t>
      </w:r>
      <w:r w:rsidR="00437F31" w:rsidRPr="00CB76AF">
        <w:rPr>
          <w:noProof/>
          <w:szCs w:val="24"/>
          <w:lang w:val="en-IE"/>
        </w:rPr>
        <w:t xml:space="preserve">as </w:t>
      </w:r>
      <w:r w:rsidR="00437F31">
        <w:rPr>
          <w:noProof/>
          <w:szCs w:val="24"/>
          <w:lang w:val="en-IE"/>
        </w:rPr>
        <w:t>“</w:t>
      </w:r>
      <w:r w:rsidR="00437F31" w:rsidRPr="00CB76AF">
        <w:rPr>
          <w:noProof/>
          <w:szCs w:val="24"/>
          <w:lang w:val="en-IE"/>
        </w:rPr>
        <w:t>terrorist offences</w:t>
      </w:r>
      <w:r w:rsidR="00437F31">
        <w:rPr>
          <w:noProof/>
          <w:szCs w:val="24"/>
          <w:lang w:val="en-IE"/>
        </w:rPr>
        <w:t>”</w:t>
      </w:r>
      <w:r w:rsidR="00437F31" w:rsidRPr="00CB76AF">
        <w:rPr>
          <w:noProof/>
          <w:szCs w:val="24"/>
          <w:lang w:val="en-IE"/>
        </w:rPr>
        <w:t xml:space="preserve"> whe</w:t>
      </w:r>
      <w:r w:rsidR="00437F31">
        <w:rPr>
          <w:noProof/>
          <w:szCs w:val="24"/>
          <w:lang w:val="en-IE"/>
        </w:rPr>
        <w:t xml:space="preserve">n </w:t>
      </w:r>
      <w:r w:rsidR="00437F31" w:rsidRPr="00CB76AF">
        <w:rPr>
          <w:noProof/>
          <w:szCs w:val="24"/>
          <w:lang w:val="en-IE"/>
        </w:rPr>
        <w:t xml:space="preserve">committed with </w:t>
      </w:r>
      <w:r w:rsidR="00437F31">
        <w:rPr>
          <w:noProof/>
          <w:szCs w:val="24"/>
          <w:lang w:val="en-IE"/>
        </w:rPr>
        <w:t xml:space="preserve">one of the </w:t>
      </w:r>
      <w:r w:rsidR="00437F31" w:rsidRPr="00CB76AF">
        <w:rPr>
          <w:noProof/>
          <w:szCs w:val="24"/>
          <w:lang w:val="en-IE"/>
        </w:rPr>
        <w:t>terrorist aim</w:t>
      </w:r>
      <w:r w:rsidR="00437F31">
        <w:rPr>
          <w:noProof/>
          <w:szCs w:val="24"/>
          <w:lang w:val="en-IE"/>
        </w:rPr>
        <w:t>s specified in the Article.</w:t>
      </w:r>
      <w:r w:rsidR="00437F31" w:rsidRPr="00CB76AF">
        <w:rPr>
          <w:noProof/>
          <w:szCs w:val="24"/>
          <w:lang w:val="en-IE"/>
        </w:rPr>
        <w:t xml:space="preserve"> </w:t>
      </w:r>
      <w:r w:rsidR="00437F31">
        <w:rPr>
          <w:noProof/>
          <w:szCs w:val="24"/>
          <w:lang w:val="en-IE"/>
        </w:rPr>
        <w:t xml:space="preserve">In comparison, the definition in Article 1 of Convention No. 196 does not provide an explicit list of </w:t>
      </w:r>
      <w:r w:rsidR="00EA4001">
        <w:rPr>
          <w:noProof/>
          <w:szCs w:val="24"/>
          <w:lang w:val="en-IE"/>
        </w:rPr>
        <w:t xml:space="preserve">criminal </w:t>
      </w:r>
      <w:r w:rsidR="00437F31">
        <w:rPr>
          <w:noProof/>
          <w:szCs w:val="24"/>
          <w:lang w:val="en-IE"/>
        </w:rPr>
        <w:t>acts considered “terrorist offences” and makes a general reference to the acts found in the UN counter-terrorism treaties listed in the Appendix to the Convention</w:t>
      </w:r>
      <w:r w:rsidR="00EA4001">
        <w:rPr>
          <w:noProof/>
          <w:szCs w:val="24"/>
          <w:lang w:val="en-IE"/>
        </w:rPr>
        <w:t>, which is not a comprehensive or clear legal definition.</w:t>
      </w:r>
      <w:r w:rsidR="00437F31">
        <w:rPr>
          <w:noProof/>
          <w:szCs w:val="24"/>
          <w:lang w:val="en-IE"/>
        </w:rPr>
        <w:t xml:space="preserve"> Moreover, the definition in Convention No. 196 does not </w:t>
      </w:r>
      <w:r>
        <w:rPr>
          <w:noProof/>
          <w:szCs w:val="24"/>
          <w:lang w:val="en-IE"/>
        </w:rPr>
        <w:t xml:space="preserve">include </w:t>
      </w:r>
      <w:r w:rsidR="00437F31">
        <w:rPr>
          <w:noProof/>
          <w:szCs w:val="24"/>
          <w:lang w:val="en-IE"/>
        </w:rPr>
        <w:t xml:space="preserve">the terrorist aims. Thus, there are considerable differences between the definition of “terrorist offences” in </w:t>
      </w:r>
      <w:r w:rsidR="00EA4001">
        <w:rPr>
          <w:noProof/>
          <w:szCs w:val="24"/>
          <w:lang w:val="en-IE"/>
        </w:rPr>
        <w:t xml:space="preserve">Article 1 of </w:t>
      </w:r>
      <w:r w:rsidR="00437F31">
        <w:rPr>
          <w:noProof/>
          <w:szCs w:val="24"/>
          <w:lang w:val="en-IE"/>
        </w:rPr>
        <w:t xml:space="preserve">Convention No. 196 and the definition in </w:t>
      </w:r>
      <w:r w:rsidR="00EA4001">
        <w:rPr>
          <w:noProof/>
          <w:szCs w:val="24"/>
          <w:lang w:val="en-IE"/>
        </w:rPr>
        <w:t xml:space="preserve">Article 3 of </w:t>
      </w:r>
      <w:r w:rsidR="00437F31">
        <w:rPr>
          <w:noProof/>
          <w:szCs w:val="24"/>
          <w:lang w:val="en-IE"/>
        </w:rPr>
        <w:t>Directive (EU) 2017/541.</w:t>
      </w:r>
    </w:p>
    <w:p w14:paraId="130EB45B" w14:textId="77777777" w:rsidR="00437F31" w:rsidRPr="00CB76AF" w:rsidRDefault="00437F31" w:rsidP="00437F31">
      <w:pPr>
        <w:spacing w:before="100" w:beforeAutospacing="1" w:after="100" w:afterAutospacing="1"/>
        <w:rPr>
          <w:rFonts w:eastAsia="Times New Roman"/>
          <w:noProof/>
          <w:szCs w:val="24"/>
          <w:lang w:val="en-IE" w:eastAsia="en-GB"/>
        </w:rPr>
      </w:pPr>
      <w:r w:rsidRPr="00CB76AF">
        <w:rPr>
          <w:rFonts w:eastAsia="Times New Roman"/>
          <w:noProof/>
          <w:szCs w:val="24"/>
          <w:lang w:val="en-IE" w:eastAsia="en-GB"/>
        </w:rPr>
        <w:t xml:space="preserve">In </w:t>
      </w:r>
      <w:r>
        <w:rPr>
          <w:rFonts w:eastAsia="Times New Roman"/>
          <w:noProof/>
          <w:szCs w:val="24"/>
          <w:lang w:val="en-IE" w:eastAsia="en-GB"/>
        </w:rPr>
        <w:t xml:space="preserve">2017, in </w:t>
      </w:r>
      <w:r w:rsidRPr="00CB76AF">
        <w:rPr>
          <w:rFonts w:eastAsia="Times New Roman"/>
          <w:noProof/>
          <w:szCs w:val="24"/>
          <w:lang w:val="en-IE" w:eastAsia="en-GB"/>
        </w:rPr>
        <w:t>order to reflect the evolving terrorist threat moving beyond traditional targets and the mod</w:t>
      </w:r>
      <w:r>
        <w:rPr>
          <w:rFonts w:eastAsia="Times New Roman"/>
          <w:noProof/>
          <w:szCs w:val="24"/>
          <w:lang w:val="en-IE" w:eastAsia="en-GB"/>
        </w:rPr>
        <w:t>i-</w:t>
      </w:r>
      <w:r w:rsidRPr="00CB76AF">
        <w:rPr>
          <w:rFonts w:eastAsia="Times New Roman"/>
          <w:noProof/>
          <w:szCs w:val="24"/>
          <w:lang w:val="en-IE" w:eastAsia="en-GB"/>
        </w:rPr>
        <w:t>operandi</w:t>
      </w:r>
      <w:r>
        <w:rPr>
          <w:rFonts w:eastAsia="Times New Roman"/>
          <w:noProof/>
          <w:szCs w:val="24"/>
          <w:lang w:val="en-IE" w:eastAsia="en-GB"/>
        </w:rPr>
        <w:t>,</w:t>
      </w:r>
      <w:r w:rsidRPr="00CB76AF">
        <w:rPr>
          <w:rFonts w:eastAsia="Times New Roman"/>
          <w:noProof/>
          <w:szCs w:val="24"/>
          <w:lang w:val="en-IE" w:eastAsia="en-GB"/>
        </w:rPr>
        <w:t xml:space="preserve"> which are the subjects of the UN </w:t>
      </w:r>
      <w:r>
        <w:rPr>
          <w:rFonts w:eastAsia="Times New Roman"/>
          <w:noProof/>
          <w:szCs w:val="24"/>
          <w:lang w:val="en-IE" w:eastAsia="en-GB"/>
        </w:rPr>
        <w:t>counter-</w:t>
      </w:r>
      <w:r w:rsidRPr="00CB76AF">
        <w:rPr>
          <w:rFonts w:eastAsia="Times New Roman"/>
          <w:noProof/>
          <w:szCs w:val="24"/>
          <w:lang w:val="en-IE" w:eastAsia="en-GB"/>
        </w:rPr>
        <w:t xml:space="preserve">terrorism treaties referred to in Article 1 of the Convention No. 196, </w:t>
      </w:r>
      <w:r>
        <w:rPr>
          <w:rFonts w:eastAsia="Times New Roman"/>
          <w:noProof/>
          <w:szCs w:val="24"/>
          <w:lang w:val="en-IE" w:eastAsia="en-GB"/>
        </w:rPr>
        <w:t xml:space="preserve">the </w:t>
      </w:r>
      <w:r w:rsidRPr="00CB76AF">
        <w:rPr>
          <w:rFonts w:eastAsia="Times New Roman"/>
          <w:noProof/>
          <w:szCs w:val="24"/>
          <w:lang w:val="en-IE" w:eastAsia="en-GB"/>
        </w:rPr>
        <w:t>Council of Europe Committee on Counter-Terrorism (</w:t>
      </w:r>
      <w:r>
        <w:rPr>
          <w:rFonts w:eastAsia="Times New Roman"/>
          <w:noProof/>
          <w:szCs w:val="24"/>
          <w:lang w:val="en-IE" w:eastAsia="en-GB"/>
        </w:rPr>
        <w:t>‘</w:t>
      </w:r>
      <w:r w:rsidRPr="00CB76AF">
        <w:rPr>
          <w:rFonts w:eastAsia="Times New Roman"/>
          <w:noProof/>
          <w:szCs w:val="24"/>
          <w:lang w:val="en-IE" w:eastAsia="en-GB"/>
        </w:rPr>
        <w:t>CDCT</w:t>
      </w:r>
      <w:r>
        <w:rPr>
          <w:rFonts w:eastAsia="Times New Roman"/>
          <w:noProof/>
          <w:szCs w:val="24"/>
          <w:lang w:val="en-IE" w:eastAsia="en-GB"/>
        </w:rPr>
        <w:t>’</w:t>
      </w:r>
      <w:r w:rsidRPr="00CB76AF">
        <w:rPr>
          <w:rFonts w:eastAsia="Times New Roman"/>
          <w:noProof/>
          <w:szCs w:val="24"/>
          <w:lang w:val="en-IE" w:eastAsia="en-GB"/>
        </w:rPr>
        <w:t xml:space="preserve">) formed a working group tasked with </w:t>
      </w:r>
      <w:bookmarkStart w:id="1" w:name="_Hlk126846598"/>
      <w:r w:rsidRPr="00CB76AF">
        <w:rPr>
          <w:rFonts w:eastAsia="Times New Roman"/>
          <w:noProof/>
          <w:szCs w:val="24"/>
          <w:lang w:val="en-IE" w:eastAsia="en-GB"/>
        </w:rPr>
        <w:t xml:space="preserve">assessing the need and feasibility of elaborating a legal definition of “terrorist offences” </w:t>
      </w:r>
      <w:bookmarkEnd w:id="1"/>
      <w:r w:rsidRPr="00CB76AF">
        <w:rPr>
          <w:rFonts w:eastAsia="Times New Roman"/>
          <w:noProof/>
          <w:szCs w:val="24"/>
          <w:lang w:val="en-IE" w:eastAsia="en-GB"/>
        </w:rPr>
        <w:t xml:space="preserve">to be applied among the Parties to the Convention No. 196. </w:t>
      </w:r>
      <w:r>
        <w:rPr>
          <w:rFonts w:eastAsia="Times New Roman"/>
          <w:noProof/>
          <w:szCs w:val="24"/>
          <w:lang w:val="en-IE" w:eastAsia="en-GB"/>
        </w:rPr>
        <w:t xml:space="preserve">The </w:t>
      </w:r>
      <w:r w:rsidRPr="00CB76AF">
        <w:rPr>
          <w:rFonts w:eastAsia="Times New Roman"/>
          <w:noProof/>
          <w:szCs w:val="24"/>
          <w:lang w:val="en-IE" w:eastAsia="en-GB"/>
        </w:rPr>
        <w:t>working group developed a series of alternative formulations of the definition</w:t>
      </w:r>
      <w:r>
        <w:rPr>
          <w:rFonts w:eastAsia="Times New Roman"/>
          <w:noProof/>
          <w:szCs w:val="24"/>
          <w:lang w:val="en-IE" w:eastAsia="en-GB"/>
        </w:rPr>
        <w:t xml:space="preserve"> and </w:t>
      </w:r>
      <w:r w:rsidRPr="00CB76AF">
        <w:rPr>
          <w:rFonts w:eastAsia="Times New Roman"/>
          <w:noProof/>
          <w:szCs w:val="24"/>
          <w:lang w:val="en-IE" w:eastAsia="en-GB"/>
        </w:rPr>
        <w:t>presented its final report</w:t>
      </w:r>
      <w:r>
        <w:rPr>
          <w:rStyle w:val="FootnoteReference"/>
          <w:rFonts w:eastAsia="Times New Roman"/>
          <w:noProof/>
          <w:szCs w:val="24"/>
          <w:lang w:val="en-IE" w:eastAsia="en-GB"/>
        </w:rPr>
        <w:footnoteReference w:id="4"/>
      </w:r>
      <w:r w:rsidRPr="00CB76AF">
        <w:rPr>
          <w:rFonts w:eastAsia="Times New Roman"/>
          <w:noProof/>
          <w:szCs w:val="24"/>
          <w:lang w:val="en-IE" w:eastAsia="en-GB"/>
        </w:rPr>
        <w:t xml:space="preserve"> to the CDCT Plenary, composed of Parties to Convention No. 196, in November 2019. </w:t>
      </w:r>
      <w:r>
        <w:rPr>
          <w:rFonts w:eastAsia="Times New Roman"/>
          <w:noProof/>
          <w:szCs w:val="24"/>
          <w:lang w:val="en-IE" w:eastAsia="en-GB"/>
        </w:rPr>
        <w:t xml:space="preserve">In its final report, the working group </w:t>
      </w:r>
      <w:r w:rsidRPr="00CB76AF">
        <w:rPr>
          <w:rFonts w:eastAsia="Times New Roman"/>
          <w:noProof/>
          <w:szCs w:val="24"/>
          <w:lang w:val="en-IE" w:eastAsia="en-GB"/>
        </w:rPr>
        <w:t xml:space="preserve">recommended the CDCT Plenary to </w:t>
      </w:r>
      <w:r>
        <w:rPr>
          <w:rFonts w:eastAsia="Times New Roman"/>
          <w:noProof/>
          <w:szCs w:val="24"/>
          <w:lang w:val="en-IE" w:eastAsia="en-GB"/>
        </w:rPr>
        <w:t xml:space="preserve">decide </w:t>
      </w:r>
      <w:r w:rsidRPr="00CB76AF">
        <w:rPr>
          <w:rFonts w:eastAsia="Times New Roman"/>
          <w:noProof/>
          <w:szCs w:val="24"/>
          <w:lang w:val="en-IE" w:eastAsia="en-GB"/>
        </w:rPr>
        <w:t xml:space="preserve">that it is feasible and necessary to elaborate a legal definition of “terrorist offences” in the Convention No. 196, and </w:t>
      </w:r>
      <w:r>
        <w:rPr>
          <w:rFonts w:eastAsia="Times New Roman"/>
          <w:noProof/>
          <w:szCs w:val="24"/>
          <w:lang w:val="en-IE" w:eastAsia="en-GB"/>
        </w:rPr>
        <w:t xml:space="preserve">proposed textual </w:t>
      </w:r>
      <w:r w:rsidRPr="00CB76AF">
        <w:rPr>
          <w:rFonts w:eastAsia="Times New Roman"/>
          <w:noProof/>
          <w:szCs w:val="24"/>
          <w:lang w:val="en-IE" w:eastAsia="en-GB"/>
        </w:rPr>
        <w:t xml:space="preserve">elements </w:t>
      </w:r>
      <w:r>
        <w:rPr>
          <w:rFonts w:eastAsia="Times New Roman"/>
          <w:noProof/>
          <w:szCs w:val="24"/>
          <w:lang w:val="en-IE" w:eastAsia="en-GB"/>
        </w:rPr>
        <w:t>for</w:t>
      </w:r>
      <w:r w:rsidRPr="00CB76AF">
        <w:rPr>
          <w:rFonts w:eastAsia="Times New Roman"/>
          <w:noProof/>
          <w:szCs w:val="24"/>
          <w:lang w:val="en-IE" w:eastAsia="en-GB"/>
        </w:rPr>
        <w:t xml:space="preserve"> a potential future legal definition. </w:t>
      </w:r>
    </w:p>
    <w:p w14:paraId="3629C4F3" w14:textId="77777777" w:rsidR="00437F31" w:rsidRPr="00CB76AF" w:rsidRDefault="00437F31" w:rsidP="00437F31">
      <w:pPr>
        <w:spacing w:before="100" w:beforeAutospacing="1" w:after="100" w:afterAutospacing="1"/>
        <w:rPr>
          <w:noProof/>
          <w:szCs w:val="24"/>
          <w:lang w:val="en-IE"/>
        </w:rPr>
      </w:pPr>
      <w:r w:rsidRPr="00CB76AF">
        <w:rPr>
          <w:rFonts w:eastAsia="Times New Roman"/>
          <w:noProof/>
          <w:szCs w:val="24"/>
          <w:lang w:val="en-IE" w:eastAsia="en-GB"/>
        </w:rPr>
        <w:t xml:space="preserve">During 2020 and 2021, experts from Parties to the Convention submitted written comments on the final report. </w:t>
      </w:r>
      <w:r>
        <w:rPr>
          <w:rFonts w:eastAsia="Times New Roman"/>
          <w:noProof/>
          <w:szCs w:val="24"/>
          <w:lang w:val="en-IE" w:eastAsia="en-GB"/>
        </w:rPr>
        <w:t>The European Union did not submit written comments. However, i</w:t>
      </w:r>
      <w:r w:rsidRPr="00CB76AF">
        <w:rPr>
          <w:rFonts w:eastAsia="Times New Roman"/>
          <w:noProof/>
          <w:szCs w:val="24"/>
          <w:lang w:val="en-IE" w:eastAsia="en-GB"/>
        </w:rPr>
        <w:t xml:space="preserve">n their written comments, a number of EU Member States pointed out the need for aligning the elements of a potential future legal definition of “terrorist offences” at Council of Europe level with the definition of “terrorist offences” </w:t>
      </w:r>
      <w:r>
        <w:rPr>
          <w:rFonts w:eastAsia="Times New Roman"/>
          <w:noProof/>
          <w:szCs w:val="24"/>
          <w:lang w:val="en-IE" w:eastAsia="en-GB"/>
        </w:rPr>
        <w:t xml:space="preserve">laid down </w:t>
      </w:r>
      <w:r w:rsidRPr="00CB76AF">
        <w:rPr>
          <w:rFonts w:eastAsia="Times New Roman"/>
          <w:noProof/>
          <w:szCs w:val="24"/>
          <w:lang w:val="en-IE" w:eastAsia="en-GB"/>
        </w:rPr>
        <w:t xml:space="preserve">in the </w:t>
      </w:r>
      <w:r w:rsidRPr="00CB76AF">
        <w:rPr>
          <w:noProof/>
          <w:szCs w:val="24"/>
          <w:lang w:val="en-IE"/>
        </w:rPr>
        <w:t>Directive (EU) 2017/541 on combating terrorism</w:t>
      </w:r>
      <w:r w:rsidRPr="00CB76AF">
        <w:rPr>
          <w:rStyle w:val="FootnoteReference"/>
          <w:noProof/>
          <w:szCs w:val="24"/>
          <w:lang w:val="en-IE"/>
        </w:rPr>
        <w:footnoteReference w:id="5"/>
      </w:r>
      <w:r>
        <w:rPr>
          <w:noProof/>
          <w:szCs w:val="24"/>
          <w:lang w:val="en-IE"/>
        </w:rPr>
        <w:t xml:space="preserve">. </w:t>
      </w:r>
    </w:p>
    <w:p w14:paraId="7B757976" w14:textId="77777777" w:rsidR="00437F31" w:rsidRDefault="00437F31" w:rsidP="00437F31">
      <w:pPr>
        <w:spacing w:before="100" w:beforeAutospacing="1" w:after="100" w:afterAutospacing="1"/>
        <w:rPr>
          <w:noProof/>
          <w:szCs w:val="24"/>
          <w:lang w:val="en-IE"/>
        </w:rPr>
      </w:pPr>
      <w:r w:rsidRPr="00CB76AF">
        <w:rPr>
          <w:noProof/>
          <w:szCs w:val="24"/>
          <w:lang w:val="en-IE"/>
        </w:rPr>
        <w:t xml:space="preserve">In 2022, the Council of Europe Committee of Ministers </w:t>
      </w:r>
      <w:r>
        <w:rPr>
          <w:noProof/>
          <w:szCs w:val="24"/>
          <w:lang w:val="en-IE"/>
        </w:rPr>
        <w:t xml:space="preserve">mandated the CDCT </w:t>
      </w:r>
      <w:r w:rsidRPr="00CB76AF">
        <w:rPr>
          <w:noProof/>
          <w:szCs w:val="24"/>
          <w:lang w:val="en-IE"/>
        </w:rPr>
        <w:t xml:space="preserve">to reach a decision on the feasibility of elaborating a legal definition of “terrorist offences” and </w:t>
      </w:r>
      <w:r>
        <w:rPr>
          <w:noProof/>
          <w:szCs w:val="24"/>
          <w:lang w:val="en-IE"/>
        </w:rPr>
        <w:t xml:space="preserve">to </w:t>
      </w:r>
      <w:r w:rsidRPr="00CB76AF">
        <w:rPr>
          <w:noProof/>
          <w:szCs w:val="24"/>
          <w:lang w:val="en-IE"/>
        </w:rPr>
        <w:t xml:space="preserve">launch the negotiations on the text of the new </w:t>
      </w:r>
      <w:r w:rsidR="00EA4001">
        <w:rPr>
          <w:noProof/>
          <w:szCs w:val="24"/>
          <w:lang w:val="en-IE"/>
        </w:rPr>
        <w:t xml:space="preserve">legal </w:t>
      </w:r>
      <w:r w:rsidRPr="00CB76AF">
        <w:rPr>
          <w:noProof/>
          <w:szCs w:val="24"/>
          <w:lang w:val="en-IE"/>
        </w:rPr>
        <w:t xml:space="preserve">definition. </w:t>
      </w:r>
      <w:r>
        <w:rPr>
          <w:noProof/>
          <w:szCs w:val="24"/>
          <w:lang w:val="en-IE"/>
        </w:rPr>
        <w:t xml:space="preserve">On 2 </w:t>
      </w:r>
      <w:r w:rsidRPr="00CB76AF">
        <w:rPr>
          <w:noProof/>
          <w:szCs w:val="24"/>
          <w:lang w:val="en-IE"/>
        </w:rPr>
        <w:t xml:space="preserve">December 2022, </w:t>
      </w:r>
      <w:r>
        <w:rPr>
          <w:noProof/>
          <w:szCs w:val="24"/>
          <w:lang w:val="en-IE"/>
        </w:rPr>
        <w:t xml:space="preserve">at </w:t>
      </w:r>
      <w:r w:rsidR="00EA4001">
        <w:rPr>
          <w:noProof/>
          <w:szCs w:val="24"/>
          <w:lang w:val="en-IE"/>
        </w:rPr>
        <w:t xml:space="preserve">the </w:t>
      </w:r>
      <w:r>
        <w:rPr>
          <w:noProof/>
          <w:szCs w:val="24"/>
          <w:lang w:val="en-IE"/>
        </w:rPr>
        <w:t>9</w:t>
      </w:r>
      <w:r w:rsidRPr="005569D0">
        <w:rPr>
          <w:noProof/>
          <w:szCs w:val="24"/>
          <w:vertAlign w:val="superscript"/>
          <w:lang w:val="en-IE"/>
        </w:rPr>
        <w:t>th</w:t>
      </w:r>
      <w:r>
        <w:rPr>
          <w:noProof/>
          <w:szCs w:val="24"/>
          <w:lang w:val="en-IE"/>
        </w:rPr>
        <w:t xml:space="preserve"> </w:t>
      </w:r>
      <w:r w:rsidR="00EA4001">
        <w:rPr>
          <w:noProof/>
          <w:szCs w:val="24"/>
          <w:lang w:val="en-IE"/>
        </w:rPr>
        <w:t xml:space="preserve">CDCT </w:t>
      </w:r>
      <w:r>
        <w:rPr>
          <w:noProof/>
          <w:szCs w:val="24"/>
          <w:lang w:val="en-IE"/>
        </w:rPr>
        <w:t xml:space="preserve">Plenary meeting, </w:t>
      </w:r>
      <w:r w:rsidRPr="00CB76AF">
        <w:rPr>
          <w:noProof/>
          <w:szCs w:val="24"/>
          <w:lang w:val="en-IE"/>
        </w:rPr>
        <w:t xml:space="preserve">the Plenary agreed that a new </w:t>
      </w:r>
      <w:r w:rsidR="00EA4001">
        <w:rPr>
          <w:noProof/>
          <w:szCs w:val="24"/>
          <w:lang w:val="en-IE"/>
        </w:rPr>
        <w:t xml:space="preserve">legal </w:t>
      </w:r>
      <w:r w:rsidRPr="00CB76AF">
        <w:rPr>
          <w:noProof/>
          <w:szCs w:val="24"/>
          <w:lang w:val="en-IE"/>
        </w:rPr>
        <w:t xml:space="preserve">definition is feasible and unanimously decided to open formal negotiations at the </w:t>
      </w:r>
      <w:r>
        <w:rPr>
          <w:noProof/>
          <w:szCs w:val="24"/>
          <w:lang w:val="en-IE"/>
        </w:rPr>
        <w:t>10</w:t>
      </w:r>
      <w:r w:rsidRPr="005569D0">
        <w:rPr>
          <w:noProof/>
          <w:szCs w:val="24"/>
          <w:vertAlign w:val="superscript"/>
          <w:lang w:val="en-IE"/>
        </w:rPr>
        <w:t>th</w:t>
      </w:r>
      <w:r>
        <w:rPr>
          <w:noProof/>
          <w:szCs w:val="24"/>
          <w:lang w:val="en-IE"/>
        </w:rPr>
        <w:t xml:space="preserve"> </w:t>
      </w:r>
      <w:r w:rsidRPr="00CB76AF">
        <w:rPr>
          <w:noProof/>
          <w:szCs w:val="24"/>
          <w:lang w:val="en-IE"/>
        </w:rPr>
        <w:t xml:space="preserve">CDCT Plenary meeting </w:t>
      </w:r>
      <w:r>
        <w:rPr>
          <w:noProof/>
          <w:szCs w:val="24"/>
          <w:lang w:val="en-IE"/>
        </w:rPr>
        <w:t xml:space="preserve">on 23-25 </w:t>
      </w:r>
      <w:r w:rsidRPr="00CB76AF">
        <w:rPr>
          <w:noProof/>
          <w:szCs w:val="24"/>
          <w:lang w:val="en-IE"/>
        </w:rPr>
        <w:t>May 2023</w:t>
      </w:r>
      <w:r>
        <w:rPr>
          <w:rStyle w:val="FootnoteReference"/>
          <w:noProof/>
          <w:szCs w:val="24"/>
          <w:lang w:val="en-IE"/>
        </w:rPr>
        <w:footnoteReference w:id="6"/>
      </w:r>
      <w:r w:rsidRPr="00CB76AF">
        <w:rPr>
          <w:noProof/>
          <w:szCs w:val="24"/>
          <w:lang w:val="en-IE"/>
        </w:rPr>
        <w:t>.</w:t>
      </w:r>
    </w:p>
    <w:p w14:paraId="64C1A63E" w14:textId="2C41DA1A" w:rsidR="00CA2D74" w:rsidRDefault="00CA2D74" w:rsidP="00F43AFA">
      <w:pPr>
        <w:spacing w:before="100" w:beforeAutospacing="1" w:after="100" w:afterAutospacing="1"/>
        <w:rPr>
          <w:noProof/>
          <w:szCs w:val="24"/>
          <w:lang w:val="en-IE"/>
        </w:rPr>
      </w:pPr>
      <w:r>
        <w:rPr>
          <w:noProof/>
          <w:szCs w:val="24"/>
          <w:lang w:val="en-IE"/>
        </w:rPr>
        <w:t>On 15 May 2023, the Council authorised the Commission to participate, on behalf of the European Union, in negotiations on the revision or amendment of the Council of Europe Convention on the prevention of terrorism</w:t>
      </w:r>
      <w:r w:rsidR="008C4556">
        <w:rPr>
          <w:noProof/>
          <w:szCs w:val="24"/>
          <w:lang w:val="en-IE"/>
        </w:rPr>
        <w:t xml:space="preserve">, </w:t>
      </w:r>
      <w:r>
        <w:rPr>
          <w:noProof/>
          <w:szCs w:val="24"/>
          <w:lang w:val="en-IE"/>
        </w:rPr>
        <w:t xml:space="preserve">with a view to modifying the definition of terrorist offences included in that Convention. </w:t>
      </w:r>
      <w:r w:rsidR="00F43AFA">
        <w:rPr>
          <w:noProof/>
          <w:szCs w:val="24"/>
          <w:lang w:val="en-IE"/>
        </w:rPr>
        <w:t xml:space="preserve">The Commission participated in line with the Council Decision and was guided by negotiating directives set out therein. </w:t>
      </w:r>
      <w:r w:rsidR="00F43AFA" w:rsidRPr="00F43AFA">
        <w:rPr>
          <w:noProof/>
          <w:szCs w:val="24"/>
          <w:lang w:val="en-IE"/>
        </w:rPr>
        <w:t xml:space="preserve">The Commission </w:t>
      </w:r>
      <w:r w:rsidR="00F43AFA" w:rsidRPr="00F43AFA">
        <w:rPr>
          <w:noProof/>
          <w:szCs w:val="24"/>
          <w:lang w:val="en-IE"/>
        </w:rPr>
        <w:lastRenderedPageBreak/>
        <w:t>consistently consulted the Council’s special committee for the negotiations</w:t>
      </w:r>
      <w:r w:rsidR="00F43AFA">
        <w:rPr>
          <w:noProof/>
          <w:szCs w:val="24"/>
          <w:lang w:val="en-IE"/>
        </w:rPr>
        <w:t xml:space="preserve"> </w:t>
      </w:r>
      <w:r w:rsidR="00F43AFA" w:rsidRPr="00F43AFA">
        <w:rPr>
          <w:noProof/>
          <w:szCs w:val="24"/>
          <w:lang w:val="en-IE"/>
        </w:rPr>
        <w:t xml:space="preserve">on the Union position and ensured the </w:t>
      </w:r>
      <w:r w:rsidR="00F43AFA">
        <w:rPr>
          <w:noProof/>
          <w:szCs w:val="24"/>
          <w:lang w:val="en-IE"/>
        </w:rPr>
        <w:t>Protocol</w:t>
      </w:r>
      <w:r w:rsidR="00F43AFA" w:rsidRPr="00F43AFA">
        <w:rPr>
          <w:noProof/>
          <w:szCs w:val="24"/>
          <w:lang w:val="en-IE"/>
        </w:rPr>
        <w:t>'s compatibility with</w:t>
      </w:r>
      <w:r w:rsidR="00F43AFA">
        <w:rPr>
          <w:noProof/>
          <w:szCs w:val="24"/>
          <w:lang w:val="en-IE"/>
        </w:rPr>
        <w:t xml:space="preserve"> relevant EU acquis</w:t>
      </w:r>
      <w:r w:rsidR="00F43AFA" w:rsidRPr="00F43AFA">
        <w:rPr>
          <w:noProof/>
          <w:szCs w:val="24"/>
          <w:lang w:val="en-IE"/>
        </w:rPr>
        <w:t>.</w:t>
      </w:r>
    </w:p>
    <w:p w14:paraId="74137475" w14:textId="77777777" w:rsidR="00F43AFA" w:rsidRDefault="00F43AFA" w:rsidP="00F43AFA">
      <w:pPr>
        <w:spacing w:before="100" w:beforeAutospacing="1" w:after="100" w:afterAutospacing="1"/>
        <w:rPr>
          <w:noProof/>
          <w:szCs w:val="24"/>
          <w:lang w:val="en-IE"/>
        </w:rPr>
      </w:pPr>
      <w:r>
        <w:rPr>
          <w:noProof/>
          <w:szCs w:val="24"/>
          <w:lang w:val="en-IE"/>
        </w:rPr>
        <w:t xml:space="preserve">The negotiating sessions took place in the context </w:t>
      </w:r>
      <w:r w:rsidR="008C4556">
        <w:rPr>
          <w:noProof/>
          <w:szCs w:val="24"/>
          <w:lang w:val="en-IE"/>
        </w:rPr>
        <w:t xml:space="preserve">of biannual </w:t>
      </w:r>
      <w:r>
        <w:rPr>
          <w:noProof/>
          <w:szCs w:val="24"/>
          <w:lang w:val="en-IE"/>
        </w:rPr>
        <w:t xml:space="preserve">CDCT Plenary meetings. There were four negotiating sessions </w:t>
      </w:r>
      <w:r w:rsidR="008C4556">
        <w:rPr>
          <w:noProof/>
          <w:szCs w:val="24"/>
          <w:lang w:val="en-IE"/>
        </w:rPr>
        <w:t xml:space="preserve">in total </w:t>
      </w:r>
      <w:r>
        <w:rPr>
          <w:noProof/>
          <w:szCs w:val="24"/>
          <w:lang w:val="en-IE"/>
        </w:rPr>
        <w:t>between 23 May 2023 and 14 November 2024. On 14 November 2024, the CDCT Plenary</w:t>
      </w:r>
      <w:r w:rsidR="008C4556">
        <w:rPr>
          <w:noProof/>
          <w:szCs w:val="24"/>
          <w:lang w:val="en-IE"/>
        </w:rPr>
        <w:t xml:space="preserve"> approved the draft Protocol amending the Council of Europe Convention on the prevention of terrorism and </w:t>
      </w:r>
      <w:r w:rsidR="005B0321">
        <w:rPr>
          <w:noProof/>
          <w:szCs w:val="24"/>
          <w:lang w:val="en-IE"/>
        </w:rPr>
        <w:t xml:space="preserve">the </w:t>
      </w:r>
      <w:r w:rsidR="008C4556">
        <w:rPr>
          <w:noProof/>
          <w:szCs w:val="24"/>
          <w:lang w:val="en-IE"/>
        </w:rPr>
        <w:t xml:space="preserve">accompanying draft Explanatory Report. </w:t>
      </w:r>
      <w:r w:rsidR="005B0321">
        <w:rPr>
          <w:noProof/>
          <w:szCs w:val="24"/>
          <w:lang w:val="en-IE"/>
        </w:rPr>
        <w:t>On 25 June 2025, the Council of Europe Parliamentary Assembly adopted its opinion on the draft Protocol</w:t>
      </w:r>
      <w:r w:rsidR="005B0321">
        <w:rPr>
          <w:rStyle w:val="FootnoteReference"/>
          <w:noProof/>
          <w:szCs w:val="24"/>
          <w:lang w:val="en-IE"/>
        </w:rPr>
        <w:footnoteReference w:id="7"/>
      </w:r>
      <w:r w:rsidR="005B0321">
        <w:rPr>
          <w:noProof/>
          <w:szCs w:val="24"/>
          <w:lang w:val="en-IE"/>
        </w:rPr>
        <w:t>. On 9 July 2025, at their 1534</w:t>
      </w:r>
      <w:r w:rsidR="005B0321" w:rsidRPr="005B0321">
        <w:rPr>
          <w:noProof/>
          <w:szCs w:val="24"/>
          <w:vertAlign w:val="superscript"/>
          <w:lang w:val="en-IE"/>
        </w:rPr>
        <w:t>th</w:t>
      </w:r>
      <w:r w:rsidR="005B0321">
        <w:rPr>
          <w:noProof/>
          <w:szCs w:val="24"/>
          <w:lang w:val="en-IE"/>
        </w:rPr>
        <w:t xml:space="preserve"> meeting, the Council of Europe Committee of Ministers adopted the Protocol and took note of its Explanatory Report</w:t>
      </w:r>
      <w:r w:rsidR="005B0321">
        <w:rPr>
          <w:rStyle w:val="FootnoteReference"/>
          <w:noProof/>
          <w:szCs w:val="24"/>
          <w:lang w:val="en-IE"/>
        </w:rPr>
        <w:footnoteReference w:id="8"/>
      </w:r>
      <w:r w:rsidR="005B0321">
        <w:rPr>
          <w:noProof/>
          <w:szCs w:val="24"/>
          <w:lang w:val="en-IE"/>
        </w:rPr>
        <w:t>. On 10 December 2025, at their 1546</w:t>
      </w:r>
      <w:r w:rsidR="005B0321" w:rsidRPr="005B0321">
        <w:rPr>
          <w:noProof/>
          <w:szCs w:val="24"/>
          <w:vertAlign w:val="superscript"/>
          <w:lang w:val="en-IE"/>
        </w:rPr>
        <w:t>th</w:t>
      </w:r>
      <w:r w:rsidR="005B0321">
        <w:rPr>
          <w:noProof/>
          <w:szCs w:val="24"/>
          <w:lang w:val="en-IE"/>
        </w:rPr>
        <w:t xml:space="preserve"> meeting, the Committee of Ministers agreed to open the Protocol for signature on 26 May 2026</w:t>
      </w:r>
      <w:r w:rsidR="00C86251">
        <w:rPr>
          <w:noProof/>
          <w:szCs w:val="24"/>
          <w:lang w:val="en-IE"/>
        </w:rPr>
        <w:t xml:space="preserve"> in Strasbourg (France)</w:t>
      </w:r>
      <w:r w:rsidR="005B0321">
        <w:rPr>
          <w:noProof/>
          <w:szCs w:val="24"/>
          <w:lang w:val="en-IE"/>
        </w:rPr>
        <w:t xml:space="preserve">. </w:t>
      </w:r>
    </w:p>
    <w:p w14:paraId="2967A7D6" w14:textId="77777777" w:rsidR="00C86251" w:rsidRDefault="00C86251" w:rsidP="00F43AFA">
      <w:pPr>
        <w:spacing w:before="100" w:beforeAutospacing="1" w:after="100" w:afterAutospacing="1"/>
        <w:rPr>
          <w:noProof/>
          <w:szCs w:val="24"/>
          <w:lang w:val="en-IE"/>
        </w:rPr>
      </w:pPr>
      <w:r>
        <w:rPr>
          <w:noProof/>
          <w:szCs w:val="24"/>
          <w:lang w:val="en-IE"/>
        </w:rPr>
        <w:t xml:space="preserve">The Protocol will enter into force on the first day of the month following the expiration of a period of three months after the date on which all Parties to Convention No. 196 have expressed their consent to be bound by the Protocol. If this does not take place, following the expiry of a period of three years after the date on which the Protocol has been opened for signature, the Protocol will enter into force for those States which have expressed their consent to be bound, provided that the Protocol has been ratified by at least two thirds of the Parties to Convention No. 196. </w:t>
      </w:r>
    </w:p>
    <w:p w14:paraId="089E95FC" w14:textId="77777777" w:rsidR="001F0879" w:rsidRDefault="00D22CC1" w:rsidP="001F0879">
      <w:pPr>
        <w:spacing w:before="100" w:beforeAutospacing="1" w:after="100" w:afterAutospacing="1"/>
        <w:rPr>
          <w:noProof/>
          <w:szCs w:val="24"/>
          <w:lang w:val="en-IE"/>
        </w:rPr>
      </w:pPr>
      <w:r>
        <w:rPr>
          <w:noProof/>
          <w:szCs w:val="24"/>
          <w:lang w:val="en-IE"/>
        </w:rPr>
        <w:t xml:space="preserve">The European Union can sign and ratify the Protocol as an international organisation that is party to Convention No. 196. </w:t>
      </w:r>
    </w:p>
    <w:p w14:paraId="46ECA4D6" w14:textId="77777777" w:rsidR="00D423ED" w:rsidRPr="001F0879" w:rsidRDefault="00D423ED" w:rsidP="001F0879">
      <w:pPr>
        <w:spacing w:before="100" w:beforeAutospacing="1" w:after="100" w:afterAutospacing="1"/>
        <w:rPr>
          <w:b/>
          <w:bCs/>
          <w:noProof/>
          <w:szCs w:val="24"/>
          <w:lang w:val="en-IE"/>
        </w:rPr>
      </w:pPr>
      <w:r w:rsidRPr="001F0879">
        <w:rPr>
          <w:rFonts w:eastAsia="Arial Unicode MS"/>
          <w:b/>
          <w:bCs/>
          <w:noProof/>
          <w:color w:val="000000"/>
          <w:u w:color="000000"/>
          <w:bdr w:val="nil"/>
          <w:lang w:val="en-US" w:eastAsia="en-GB"/>
        </w:rPr>
        <w:t>Reasons for the proposal</w:t>
      </w:r>
      <w:r w:rsidRPr="001F0879">
        <w:rPr>
          <w:rFonts w:eastAsia="Arial Unicode MS"/>
          <w:b/>
          <w:bCs/>
          <w:noProof/>
        </w:rPr>
        <w:t xml:space="preserve"> </w:t>
      </w:r>
    </w:p>
    <w:p w14:paraId="7F7C79BC" w14:textId="6CBE0EB8" w:rsidR="00437F31" w:rsidRDefault="00AE299C" w:rsidP="00437F31">
      <w:pPr>
        <w:tabs>
          <w:tab w:val="left" w:pos="2160"/>
        </w:tabs>
        <w:rPr>
          <w:noProof/>
          <w:szCs w:val="24"/>
          <w:lang w:val="en-IE"/>
        </w:rPr>
      </w:pPr>
      <w:r>
        <w:rPr>
          <w:noProof/>
          <w:szCs w:val="24"/>
          <w:lang w:val="en-IE"/>
        </w:rPr>
        <w:t xml:space="preserve">The Protocol is in line with EU’s goal of enhancing international cooperation </w:t>
      </w:r>
      <w:r w:rsidR="00A869FC">
        <w:rPr>
          <w:noProof/>
          <w:szCs w:val="24"/>
          <w:lang w:val="en-IE"/>
        </w:rPr>
        <w:t xml:space="preserve">taking into account the </w:t>
      </w:r>
      <w:r>
        <w:rPr>
          <w:noProof/>
          <w:szCs w:val="24"/>
          <w:lang w:val="en-IE"/>
        </w:rPr>
        <w:t>EU’s securit</w:t>
      </w:r>
      <w:r w:rsidR="00A869FC">
        <w:rPr>
          <w:noProof/>
          <w:szCs w:val="24"/>
          <w:lang w:val="en-IE"/>
        </w:rPr>
        <w:t>y interests</w:t>
      </w:r>
      <w:r>
        <w:rPr>
          <w:noProof/>
          <w:szCs w:val="24"/>
          <w:lang w:val="en-IE"/>
        </w:rPr>
        <w:t>,</w:t>
      </w:r>
      <w:r w:rsidR="00A869FC">
        <w:rPr>
          <w:noProof/>
          <w:szCs w:val="24"/>
          <w:lang w:val="en-IE"/>
        </w:rPr>
        <w:t xml:space="preserve"> </w:t>
      </w:r>
      <w:r>
        <w:rPr>
          <w:noProof/>
          <w:szCs w:val="24"/>
          <w:lang w:val="en-IE"/>
        </w:rPr>
        <w:t>as set out in the ProtectEU European Internal Security Strategy</w:t>
      </w:r>
      <w:r w:rsidR="00A869FC">
        <w:rPr>
          <w:rStyle w:val="FootnoteReference"/>
          <w:noProof/>
          <w:szCs w:val="24"/>
          <w:lang w:val="en-IE"/>
        </w:rPr>
        <w:footnoteReference w:id="9"/>
      </w:r>
      <w:r>
        <w:rPr>
          <w:noProof/>
          <w:szCs w:val="24"/>
          <w:lang w:val="en-IE"/>
        </w:rPr>
        <w:t xml:space="preserve">. </w:t>
      </w:r>
      <w:r w:rsidR="004B0025">
        <w:rPr>
          <w:noProof/>
          <w:szCs w:val="24"/>
          <w:lang w:val="en-IE"/>
        </w:rPr>
        <w:t xml:space="preserve">As highlighted in the </w:t>
      </w:r>
      <w:r w:rsidR="00E54DDC">
        <w:rPr>
          <w:noProof/>
          <w:szCs w:val="24"/>
          <w:lang w:val="en-IE"/>
        </w:rPr>
        <w:t>Protect</w:t>
      </w:r>
      <w:r w:rsidR="004B0025">
        <w:rPr>
          <w:noProof/>
          <w:szCs w:val="24"/>
          <w:lang w:val="en-IE"/>
        </w:rPr>
        <w:t>EU</w:t>
      </w:r>
      <w:r w:rsidR="00E54DDC">
        <w:rPr>
          <w:noProof/>
          <w:szCs w:val="24"/>
          <w:lang w:val="en-IE"/>
        </w:rPr>
        <w:t>:</w:t>
      </w:r>
      <w:r w:rsidR="004B0025">
        <w:rPr>
          <w:noProof/>
          <w:szCs w:val="24"/>
          <w:lang w:val="en-IE"/>
        </w:rPr>
        <w:t xml:space="preserve"> Agenda </w:t>
      </w:r>
      <w:r w:rsidR="00E54DDC">
        <w:rPr>
          <w:noProof/>
          <w:szCs w:val="24"/>
          <w:lang w:val="en-IE"/>
        </w:rPr>
        <w:t xml:space="preserve">to </w:t>
      </w:r>
      <w:r w:rsidR="004B0025">
        <w:rPr>
          <w:noProof/>
          <w:szCs w:val="24"/>
          <w:lang w:val="en-IE"/>
        </w:rPr>
        <w:t>prevent and counter terrorism</w:t>
      </w:r>
      <w:r w:rsidR="00DB69BC">
        <w:rPr>
          <w:rStyle w:val="FootnoteReference"/>
          <w:noProof/>
          <w:szCs w:val="24"/>
          <w:lang w:val="en-IE"/>
        </w:rPr>
        <w:footnoteReference w:id="10"/>
      </w:r>
      <w:r w:rsidR="004B0025">
        <w:rPr>
          <w:noProof/>
          <w:szCs w:val="24"/>
          <w:lang w:val="en-IE"/>
        </w:rPr>
        <w:t>, t</w:t>
      </w:r>
      <w:r w:rsidR="00A869FC">
        <w:rPr>
          <w:noProof/>
          <w:szCs w:val="24"/>
          <w:lang w:val="en-IE"/>
        </w:rPr>
        <w:t xml:space="preserve">he Protocol will contribute to the pan-European fight against terrorism and facilitate international cooperation on counter-terrorism, by virtue of harmonising the definition of terrorist offences among Council of Europe States that will sign and ratify the Protocol. </w:t>
      </w:r>
    </w:p>
    <w:p w14:paraId="655712E3" w14:textId="77777777" w:rsidR="00A869FC" w:rsidRDefault="00A869FC" w:rsidP="00437F31">
      <w:pPr>
        <w:tabs>
          <w:tab w:val="left" w:pos="2160"/>
        </w:tabs>
        <w:rPr>
          <w:noProof/>
          <w:szCs w:val="24"/>
          <w:lang w:val="en-IE"/>
        </w:rPr>
      </w:pPr>
      <w:r>
        <w:rPr>
          <w:noProof/>
          <w:szCs w:val="24"/>
          <w:lang w:val="en-IE"/>
        </w:rPr>
        <w:t xml:space="preserve">First, the Protocol, by introducing a legal definition of terrorist offences, will </w:t>
      </w:r>
      <w:r w:rsidRPr="001428C1">
        <w:rPr>
          <w:noProof/>
          <w:szCs w:val="24"/>
          <w:lang w:val="en-IE"/>
        </w:rPr>
        <w:t>offer substantive added value for judicial cooperation, mutual legal assistance and extradition requests</w:t>
      </w:r>
      <w:r>
        <w:rPr>
          <w:noProof/>
          <w:szCs w:val="24"/>
          <w:lang w:val="en-IE"/>
        </w:rPr>
        <w:t xml:space="preserve"> among States Parties </w:t>
      </w:r>
      <w:r w:rsidR="006556C7">
        <w:rPr>
          <w:noProof/>
          <w:szCs w:val="24"/>
          <w:lang w:val="en-IE"/>
        </w:rPr>
        <w:t>to the Protocol and the Convention No. 196</w:t>
      </w:r>
      <w:r>
        <w:rPr>
          <w:noProof/>
          <w:szCs w:val="24"/>
          <w:lang w:val="en-IE"/>
        </w:rPr>
        <w:t xml:space="preserve">. </w:t>
      </w:r>
    </w:p>
    <w:p w14:paraId="587C7664" w14:textId="77777777" w:rsidR="006556C7" w:rsidRDefault="006556C7" w:rsidP="00437F31">
      <w:pPr>
        <w:tabs>
          <w:tab w:val="left" w:pos="2160"/>
        </w:tabs>
        <w:rPr>
          <w:noProof/>
          <w:szCs w:val="24"/>
          <w:lang w:val="en-IE"/>
        </w:rPr>
      </w:pPr>
      <w:r>
        <w:rPr>
          <w:noProof/>
          <w:szCs w:val="24"/>
          <w:lang w:val="en-IE"/>
        </w:rPr>
        <w:t xml:space="preserve">Second, by </w:t>
      </w:r>
      <w:r w:rsidR="00430C51">
        <w:rPr>
          <w:noProof/>
          <w:szCs w:val="24"/>
          <w:lang w:val="en-IE"/>
        </w:rPr>
        <w:t xml:space="preserve">adopting a wider and comprehensive legal </w:t>
      </w:r>
      <w:r>
        <w:rPr>
          <w:noProof/>
          <w:szCs w:val="24"/>
          <w:lang w:val="en-IE"/>
        </w:rPr>
        <w:t xml:space="preserve">definition of terrorist offences, the Protocol will ensure that the Council of Europe legal framework on counter-terrorism, to which the Union is a Party to, alongside its Member States, is adapted to address the contemporary and future counter-terrorism challenges. </w:t>
      </w:r>
      <w:r w:rsidR="008C16CB">
        <w:rPr>
          <w:noProof/>
          <w:szCs w:val="24"/>
          <w:lang w:val="en-IE"/>
        </w:rPr>
        <w:t xml:space="preserve">This modernisation will allow to close the gaps in terms of the terrorist offences committed using </w:t>
      </w:r>
      <w:r w:rsidR="008C16CB" w:rsidRPr="00430C51">
        <w:rPr>
          <w:i/>
          <w:iCs/>
          <w:noProof/>
          <w:szCs w:val="24"/>
          <w:lang w:val="en-IE"/>
        </w:rPr>
        <w:t>modus operandi</w:t>
      </w:r>
      <w:r w:rsidR="008C16CB">
        <w:rPr>
          <w:noProof/>
          <w:szCs w:val="24"/>
          <w:lang w:val="en-IE"/>
        </w:rPr>
        <w:t xml:space="preserve"> and based on criminal acts which are not covered by the UN counter-terrorism treaties found in Appendix I of Convention No. 196. </w:t>
      </w:r>
    </w:p>
    <w:p w14:paraId="39D6B1B2" w14:textId="77777777" w:rsidR="00430C51" w:rsidRDefault="006556C7" w:rsidP="00437F31">
      <w:pPr>
        <w:tabs>
          <w:tab w:val="left" w:pos="2160"/>
        </w:tabs>
        <w:rPr>
          <w:noProof/>
          <w:szCs w:val="24"/>
          <w:lang w:val="en-IE"/>
        </w:rPr>
      </w:pPr>
      <w:r>
        <w:rPr>
          <w:noProof/>
          <w:szCs w:val="24"/>
          <w:lang w:val="en-IE"/>
        </w:rPr>
        <w:lastRenderedPageBreak/>
        <w:t xml:space="preserve">Third, </w:t>
      </w:r>
      <w:r w:rsidR="00E7412E">
        <w:rPr>
          <w:noProof/>
          <w:szCs w:val="24"/>
          <w:lang w:val="en-IE"/>
        </w:rPr>
        <w:t xml:space="preserve">the legal definition in the Protocol respects legal certainty and brings considerable improvement compared to the old definition which referenced a number of UN counter-terrorism treaties defining criminal acts as terrorist offences in an </w:t>
      </w:r>
      <w:r w:rsidR="00DB69BC">
        <w:rPr>
          <w:noProof/>
          <w:szCs w:val="24"/>
          <w:lang w:val="en-IE"/>
        </w:rPr>
        <w:t>unharmonised way</w:t>
      </w:r>
      <w:r w:rsidR="00E7412E">
        <w:rPr>
          <w:noProof/>
          <w:szCs w:val="24"/>
          <w:lang w:val="en-IE"/>
        </w:rPr>
        <w:t xml:space="preserve">. The new legal definition is drafted in a clear and precise manner, which is formulated in general terms and is clearly understandable by those who are subject to the law. The new definition more clearly identifies the conditions that need to be met for an act to qualify as a terrorist offence. </w:t>
      </w:r>
    </w:p>
    <w:p w14:paraId="7C6BCB8F" w14:textId="77777777" w:rsidR="006556C7" w:rsidRDefault="004765B2" w:rsidP="00437F31">
      <w:pPr>
        <w:tabs>
          <w:tab w:val="left" w:pos="2160"/>
        </w:tabs>
        <w:rPr>
          <w:noProof/>
          <w:szCs w:val="24"/>
          <w:lang w:val="en-IE"/>
        </w:rPr>
      </w:pPr>
      <w:r>
        <w:rPr>
          <w:noProof/>
          <w:szCs w:val="24"/>
          <w:lang w:val="en-IE"/>
        </w:rPr>
        <w:t xml:space="preserve">Fourth, </w:t>
      </w:r>
      <w:r w:rsidR="006556C7">
        <w:rPr>
          <w:noProof/>
          <w:szCs w:val="24"/>
          <w:lang w:val="en-IE"/>
        </w:rPr>
        <w:t>the definition of terrorist offences</w:t>
      </w:r>
      <w:r>
        <w:rPr>
          <w:noProof/>
          <w:szCs w:val="24"/>
          <w:lang w:val="en-IE"/>
        </w:rPr>
        <w:t xml:space="preserve"> </w:t>
      </w:r>
      <w:r w:rsidR="006556C7">
        <w:rPr>
          <w:noProof/>
          <w:szCs w:val="24"/>
          <w:lang w:val="en-IE"/>
        </w:rPr>
        <w:t>in the Protocol is aligned and compatible with the EU definition of terrorist offences found in the Directive (EU) 2017/541 on combating terrorism.</w:t>
      </w:r>
      <w:r w:rsidR="00F20AD6">
        <w:rPr>
          <w:noProof/>
          <w:szCs w:val="24"/>
          <w:lang w:val="en-IE"/>
        </w:rPr>
        <w:t xml:space="preserve"> This will allow the EU to preserve its legal framework and ensure the continued application of Union law amongst EU Member States. Moreover, o</w:t>
      </w:r>
      <w:r w:rsidR="006556C7">
        <w:rPr>
          <w:noProof/>
          <w:szCs w:val="24"/>
          <w:lang w:val="en-IE"/>
        </w:rPr>
        <w:t xml:space="preserve">nce entered into force, the Protocol will ensure legal convergence </w:t>
      </w:r>
      <w:r w:rsidR="000F0BB6">
        <w:rPr>
          <w:noProof/>
          <w:szCs w:val="24"/>
          <w:lang w:val="en-IE"/>
        </w:rPr>
        <w:t xml:space="preserve">and a </w:t>
      </w:r>
      <w:r w:rsidR="006556C7">
        <w:rPr>
          <w:noProof/>
          <w:szCs w:val="24"/>
          <w:lang w:val="en-IE"/>
        </w:rPr>
        <w:t>common understanding of terrorism</w:t>
      </w:r>
      <w:r>
        <w:rPr>
          <w:noProof/>
          <w:szCs w:val="24"/>
          <w:lang w:val="en-IE"/>
        </w:rPr>
        <w:t xml:space="preserve"> among Council of Europe States</w:t>
      </w:r>
      <w:r w:rsidR="00F20AD6">
        <w:rPr>
          <w:noProof/>
          <w:szCs w:val="24"/>
          <w:lang w:val="en-IE"/>
        </w:rPr>
        <w:t xml:space="preserve"> at pan-European level</w:t>
      </w:r>
      <w:r w:rsidR="006556C7">
        <w:rPr>
          <w:noProof/>
          <w:szCs w:val="24"/>
          <w:lang w:val="en-IE"/>
        </w:rPr>
        <w:t>.</w:t>
      </w:r>
      <w:r w:rsidR="00F60D33">
        <w:rPr>
          <w:noProof/>
          <w:szCs w:val="24"/>
          <w:lang w:val="en-IE"/>
        </w:rPr>
        <w:t xml:space="preserve"> </w:t>
      </w:r>
      <w:r w:rsidR="00F60D33" w:rsidRPr="00CB76AF">
        <w:rPr>
          <w:rStyle w:val="eop"/>
          <w:noProof/>
        </w:rPr>
        <w:t xml:space="preserve">The acceptance of a pan-European definition could </w:t>
      </w:r>
      <w:r w:rsidR="00F60D33">
        <w:rPr>
          <w:rStyle w:val="eop"/>
          <w:noProof/>
        </w:rPr>
        <w:t xml:space="preserve">also </w:t>
      </w:r>
      <w:r w:rsidR="00F60D33" w:rsidRPr="00CB76AF">
        <w:rPr>
          <w:rStyle w:val="eop"/>
          <w:noProof/>
        </w:rPr>
        <w:t xml:space="preserve">contribute to the furtherance of </w:t>
      </w:r>
      <w:r w:rsidR="00F60D33">
        <w:rPr>
          <w:rStyle w:val="eop"/>
          <w:noProof/>
        </w:rPr>
        <w:t xml:space="preserve">ongoing </w:t>
      </w:r>
      <w:r w:rsidR="00F60D33" w:rsidRPr="00CB76AF">
        <w:rPr>
          <w:rStyle w:val="eop"/>
          <w:noProof/>
        </w:rPr>
        <w:t xml:space="preserve">discussions on </w:t>
      </w:r>
      <w:r w:rsidR="00F60D33">
        <w:rPr>
          <w:rStyle w:val="eop"/>
          <w:noProof/>
        </w:rPr>
        <w:t xml:space="preserve">a </w:t>
      </w:r>
      <w:r w:rsidR="00F60D33" w:rsidRPr="00CB76AF">
        <w:rPr>
          <w:rStyle w:val="eop"/>
          <w:noProof/>
        </w:rPr>
        <w:t>definition of “terrorist offences” in the context of negotiations on the Draft Comprehensive Convention on International Terrorism at UN level</w:t>
      </w:r>
      <w:r w:rsidR="00F60D33">
        <w:rPr>
          <w:rStyle w:val="FootnoteReference"/>
          <w:rFonts w:eastAsiaTheme="majorEastAsia"/>
          <w:noProof/>
        </w:rPr>
        <w:footnoteReference w:id="11"/>
      </w:r>
      <w:r w:rsidR="00F60D33" w:rsidRPr="00CB76AF">
        <w:rPr>
          <w:rStyle w:val="eop"/>
          <w:noProof/>
        </w:rPr>
        <w:t>.</w:t>
      </w:r>
    </w:p>
    <w:p w14:paraId="4E6D1B3E" w14:textId="77777777" w:rsidR="00437F31" w:rsidRPr="00D423ED" w:rsidRDefault="004765B2" w:rsidP="00D423ED">
      <w:pPr>
        <w:tabs>
          <w:tab w:val="left" w:pos="2160"/>
        </w:tabs>
        <w:rPr>
          <w:noProof/>
          <w:szCs w:val="24"/>
          <w:lang w:val="en-IE"/>
        </w:rPr>
      </w:pPr>
      <w:r>
        <w:rPr>
          <w:noProof/>
          <w:szCs w:val="24"/>
          <w:lang w:val="en-IE"/>
        </w:rPr>
        <w:t>Fifth</w:t>
      </w:r>
      <w:r w:rsidR="006556C7">
        <w:rPr>
          <w:noProof/>
          <w:szCs w:val="24"/>
          <w:lang w:val="en-IE"/>
        </w:rPr>
        <w:t xml:space="preserve">, the </w:t>
      </w:r>
      <w:r w:rsidR="000F0BB6">
        <w:rPr>
          <w:noProof/>
          <w:szCs w:val="24"/>
          <w:lang w:val="en-IE"/>
        </w:rPr>
        <w:t xml:space="preserve">Preamble of the Protocol reaffirms that all measures taken to prevent or suppress terrorist offences should be in accordance with human rights and fundamental freedoms, as well as other obligations under international law, including where applicable, international humanitarian law. This is in line with the high level of safeguards for protection and respect of human rights, fundamental rights and international law in counter-terrorism policies under EU law. </w:t>
      </w:r>
    </w:p>
    <w:p w14:paraId="4ABB01C0" w14:textId="77777777" w:rsidR="001A2C83" w:rsidRPr="002D5EE2" w:rsidRDefault="001A2C83"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033EEFA1" w14:textId="77777777" w:rsidR="001A2C83" w:rsidRDefault="00C257C4" w:rsidP="0029266A">
      <w:pPr>
        <w:pBdr>
          <w:top w:val="nil"/>
          <w:left w:val="nil"/>
          <w:bottom w:val="nil"/>
          <w:right w:val="nil"/>
          <w:between w:val="nil"/>
          <w:bar w:val="nil"/>
        </w:pBdr>
        <w:spacing w:before="0" w:after="240"/>
        <w:rPr>
          <w:rFonts w:eastAsia="Arial Unicode MS"/>
          <w:noProof/>
        </w:rPr>
      </w:pPr>
      <w:r>
        <w:rPr>
          <w:rFonts w:eastAsia="Arial Unicode MS"/>
          <w:noProof/>
        </w:rPr>
        <w:t xml:space="preserve">The subject-matter of the Protocol directly relates to common EU rules to combat terrorism. The Protocol has only one substantive provision which establishes a legal definition of terrorist offences by intending to modify the definition found in Article 1 of the Council of Europe Convention on the prevention of terrorism. </w:t>
      </w:r>
    </w:p>
    <w:p w14:paraId="207BB4E7" w14:textId="77777777" w:rsidR="00C257C4" w:rsidRDefault="005358A9" w:rsidP="0029266A">
      <w:pPr>
        <w:pBdr>
          <w:top w:val="nil"/>
          <w:left w:val="nil"/>
          <w:bottom w:val="nil"/>
          <w:right w:val="nil"/>
          <w:between w:val="nil"/>
          <w:bar w:val="nil"/>
        </w:pBdr>
        <w:spacing w:before="0" w:after="240"/>
        <w:rPr>
          <w:rFonts w:eastAsia="Arial Unicode MS"/>
          <w:noProof/>
        </w:rPr>
      </w:pPr>
      <w:r w:rsidRPr="00CB76AF">
        <w:rPr>
          <w:noProof/>
          <w:szCs w:val="24"/>
          <w:lang w:val="en-IE"/>
        </w:rPr>
        <w:t xml:space="preserve">On 15 March 2017, the Union adopted </w:t>
      </w:r>
      <w:r w:rsidRPr="00CB76AF">
        <w:rPr>
          <w:rFonts w:eastAsia="Times New Roman"/>
          <w:noProof/>
          <w:color w:val="000000"/>
          <w:szCs w:val="24"/>
          <w:lang w:val="en-IE" w:eastAsia="en-IE"/>
        </w:rPr>
        <w:t>Directive (EU) 2017/541 on combating terrorism. The Directive sets harmonised definitions for terrorist offences and offences related to terrorist activities which serve as a benchmark for cooperation and information exchange between national authorities. EU Member States</w:t>
      </w:r>
      <w:r>
        <w:rPr>
          <w:rFonts w:eastAsia="Times New Roman"/>
          <w:noProof/>
          <w:color w:val="000000"/>
          <w:szCs w:val="24"/>
          <w:lang w:val="en-IE" w:eastAsia="en-IE"/>
        </w:rPr>
        <w:t xml:space="preserve"> applying the Directive</w:t>
      </w:r>
      <w:r>
        <w:rPr>
          <w:rStyle w:val="FootnoteReference"/>
          <w:rFonts w:eastAsia="Times New Roman"/>
          <w:noProof/>
          <w:color w:val="000000"/>
          <w:szCs w:val="24"/>
          <w:lang w:val="en-IE" w:eastAsia="en-IE"/>
        </w:rPr>
        <w:footnoteReference w:id="12"/>
      </w:r>
      <w:r w:rsidRPr="00CB76AF">
        <w:rPr>
          <w:rFonts w:eastAsia="Times New Roman"/>
          <w:noProof/>
          <w:color w:val="000000"/>
          <w:szCs w:val="24"/>
          <w:lang w:val="en-IE" w:eastAsia="en-IE"/>
        </w:rPr>
        <w:t xml:space="preserve"> need to ensure that the offences set out in the Directive are criminalised under their national laws. </w:t>
      </w:r>
      <w:r>
        <w:rPr>
          <w:rFonts w:eastAsia="Arial Unicode MS"/>
          <w:noProof/>
          <w:lang w:val="en-IE"/>
        </w:rPr>
        <w:t>T</w:t>
      </w:r>
      <w:r w:rsidR="00C257C4">
        <w:rPr>
          <w:rFonts w:eastAsia="Arial Unicode MS"/>
          <w:noProof/>
        </w:rPr>
        <w:t xml:space="preserve">he definition of terrorist offences is laid down in Article 3 of the EU Directive on combating terrorism. In line with the negotiating directives, the Commission, alongside EU Member States, aimed to achieve consistency and coherence between the Protocol and the EU definition. </w:t>
      </w:r>
    </w:p>
    <w:p w14:paraId="44D7CB5A" w14:textId="77777777" w:rsidR="005358A9" w:rsidRDefault="00C257C4" w:rsidP="0029266A">
      <w:pPr>
        <w:pBdr>
          <w:top w:val="nil"/>
          <w:left w:val="nil"/>
          <w:bottom w:val="nil"/>
          <w:right w:val="nil"/>
          <w:between w:val="nil"/>
          <w:bar w:val="nil"/>
        </w:pBdr>
        <w:spacing w:before="0" w:after="240"/>
        <w:rPr>
          <w:noProof/>
          <w:szCs w:val="24"/>
          <w:lang w:val="en-IE"/>
        </w:rPr>
      </w:pPr>
      <w:r>
        <w:rPr>
          <w:rFonts w:eastAsia="Arial Unicode MS"/>
          <w:noProof/>
        </w:rPr>
        <w:t xml:space="preserve">The legal definition found in the Protocol is of a “hybrid” nature, where the first part of the definition refers to the offences within the scope of and as defined in one of the UN counter-terrorism treaties listed in the Appendix of Convention No.196 and the second part provides an exhaustive list of acts which qualify as terrorist offences where they meet cumulative conditions. </w:t>
      </w:r>
      <w:r>
        <w:rPr>
          <w:noProof/>
          <w:szCs w:val="24"/>
          <w:lang w:val="en-IE"/>
        </w:rPr>
        <w:t xml:space="preserve">The treaties listed in the Appendix of Convention No. 196 are well established and long-standing global instruments in the fight against terrorism. The State Parties to these treaties have accordingly criminalised the acts specified therein as offences in their national legal frameworks. It is important to preserve their continued application by the parties to Convention No. 196 in the future, therefore it is justified to pursue a hybrid definition. </w:t>
      </w:r>
    </w:p>
    <w:p w14:paraId="25A1067A" w14:textId="55AACB7B" w:rsidR="00C257C4" w:rsidRDefault="00C257C4" w:rsidP="0029266A">
      <w:pPr>
        <w:pBdr>
          <w:top w:val="nil"/>
          <w:left w:val="nil"/>
          <w:bottom w:val="nil"/>
          <w:right w:val="nil"/>
          <w:between w:val="nil"/>
          <w:bar w:val="nil"/>
        </w:pBdr>
        <w:spacing w:before="0" w:after="240"/>
        <w:rPr>
          <w:rFonts w:eastAsia="Arial Unicode MS"/>
          <w:noProof/>
        </w:rPr>
      </w:pPr>
      <w:r>
        <w:rPr>
          <w:rFonts w:eastAsia="Arial Unicode MS"/>
          <w:noProof/>
        </w:rPr>
        <w:lastRenderedPageBreak/>
        <w:t xml:space="preserve">The second part of the definition </w:t>
      </w:r>
      <w:r w:rsidR="00EC5CB2">
        <w:rPr>
          <w:rFonts w:eastAsia="Arial Unicode MS"/>
          <w:noProof/>
        </w:rPr>
        <w:t xml:space="preserve">largely </w:t>
      </w:r>
      <w:r>
        <w:rPr>
          <w:rFonts w:eastAsia="Arial Unicode MS"/>
          <w:noProof/>
        </w:rPr>
        <w:t xml:space="preserve">mirrors the EU definition of terrorist offences with the exception that criminal acts already covered by the treaties in the Appendix of Convention No. 196 have been excluded from the exhaustive list of acts. Notably these </w:t>
      </w:r>
      <w:r w:rsidR="005358A9">
        <w:rPr>
          <w:rFonts w:eastAsia="Arial Unicode MS"/>
          <w:noProof/>
        </w:rPr>
        <w:t xml:space="preserve">criminal </w:t>
      </w:r>
      <w:r>
        <w:rPr>
          <w:rFonts w:eastAsia="Arial Unicode MS"/>
          <w:noProof/>
        </w:rPr>
        <w:t xml:space="preserve">acts are: </w:t>
      </w:r>
      <w:r w:rsidR="005358A9">
        <w:rPr>
          <w:rFonts w:eastAsia="Arial Unicode MS"/>
          <w:noProof/>
        </w:rPr>
        <w:t xml:space="preserve">hostage-taking; causing extensive destruction to a fixed platform located on the continental shelf likely to endanger human life of result in major economic loss; seizure of aircraft and ships; manufacture, possession, acquisition, transport, supply or use of explosives. </w:t>
      </w:r>
    </w:p>
    <w:p w14:paraId="2D823470" w14:textId="77777777" w:rsidR="005358A9" w:rsidRDefault="005358A9" w:rsidP="0029266A">
      <w:pPr>
        <w:pBdr>
          <w:top w:val="nil"/>
          <w:left w:val="nil"/>
          <w:bottom w:val="nil"/>
          <w:right w:val="nil"/>
          <w:between w:val="nil"/>
          <w:bar w:val="nil"/>
        </w:pBdr>
        <w:spacing w:before="0" w:after="240"/>
        <w:rPr>
          <w:rFonts w:eastAsia="Arial Unicode MS"/>
          <w:noProof/>
        </w:rPr>
      </w:pPr>
      <w:r>
        <w:rPr>
          <w:rFonts w:eastAsia="Arial Unicode MS"/>
          <w:noProof/>
        </w:rPr>
        <w:t xml:space="preserve">The exhaustive list of criminal acts qualify as terrorist offences where (i) the act is intentional; (ii) the act is defined as an offence under national law; (iii) the act, given its nature or context, may seriously damage a country or an international organisation; (iv) the act is committed with a terrorist aim. </w:t>
      </w:r>
      <w:r w:rsidR="00942566">
        <w:rPr>
          <w:noProof/>
          <w:szCs w:val="24"/>
          <w:lang w:val="en-IE"/>
        </w:rPr>
        <w:t xml:space="preserve">The terrorist aims are </w:t>
      </w:r>
      <w:r w:rsidR="00942566" w:rsidRPr="00942566">
        <w:rPr>
          <w:noProof/>
          <w:szCs w:val="24"/>
          <w:lang w:val="en-IE"/>
        </w:rPr>
        <w:t>‘seriously intimidating a population’, ‘unduly compelling a government or an international organisation to perform or abstain from performing any act’ and ‘seriously destabilising or destroying the fundamental political, constitutional, economic or social structures of a country or an international organisation’.</w:t>
      </w:r>
      <w:r w:rsidR="00942566">
        <w:rPr>
          <w:noProof/>
          <w:szCs w:val="24"/>
          <w:lang w:val="en-IE"/>
        </w:rPr>
        <w:t xml:space="preserve"> </w:t>
      </w:r>
      <w:r w:rsidRPr="00942566">
        <w:rPr>
          <w:rFonts w:eastAsia="Arial Unicode MS"/>
          <w:noProof/>
        </w:rPr>
        <w:t>In</w:t>
      </w:r>
      <w:r>
        <w:rPr>
          <w:rFonts w:eastAsia="Arial Unicode MS"/>
          <w:noProof/>
        </w:rPr>
        <w:t xml:space="preserve"> regards these cumulative conditions, the second part is fully </w:t>
      </w:r>
      <w:r w:rsidR="00942566">
        <w:rPr>
          <w:rFonts w:eastAsia="Arial Unicode MS"/>
          <w:noProof/>
        </w:rPr>
        <w:t>compatible</w:t>
      </w:r>
      <w:r>
        <w:rPr>
          <w:rFonts w:eastAsia="Arial Unicode MS"/>
          <w:noProof/>
        </w:rPr>
        <w:t xml:space="preserve"> with Article 3 of the EU Directive on combating terrorism.</w:t>
      </w:r>
    </w:p>
    <w:p w14:paraId="7722766A" w14:textId="77777777" w:rsidR="005358A9" w:rsidRDefault="005358A9" w:rsidP="0029266A">
      <w:pPr>
        <w:pBdr>
          <w:top w:val="nil"/>
          <w:left w:val="nil"/>
          <w:bottom w:val="nil"/>
          <w:right w:val="nil"/>
          <w:between w:val="nil"/>
          <w:bar w:val="nil"/>
        </w:pBdr>
        <w:spacing w:before="0" w:after="240"/>
        <w:rPr>
          <w:rFonts w:eastAsia="Arial Unicode MS"/>
          <w:noProof/>
        </w:rPr>
      </w:pPr>
      <w:r>
        <w:rPr>
          <w:rFonts w:eastAsia="Arial Unicode MS"/>
          <w:noProof/>
        </w:rPr>
        <w:t>In conclusion, the Protocol is consistent with EU rules and policies</w:t>
      </w:r>
      <w:r w:rsidR="004F3D8B">
        <w:rPr>
          <w:rFonts w:eastAsia="Arial Unicode MS"/>
          <w:noProof/>
        </w:rPr>
        <w:t>, notably EU criminal law measures</w:t>
      </w:r>
      <w:r>
        <w:rPr>
          <w:rFonts w:eastAsia="Arial Unicode MS"/>
          <w:noProof/>
        </w:rPr>
        <w:t xml:space="preserve"> to combat terrorism. </w:t>
      </w:r>
    </w:p>
    <w:p w14:paraId="0025B686" w14:textId="77777777" w:rsidR="001A2C83" w:rsidRPr="002D5EE2" w:rsidRDefault="001A2C83"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41D7E974" w14:textId="77777777" w:rsidR="001A2C83" w:rsidRPr="002D5EE2" w:rsidRDefault="00B021A0" w:rsidP="0029266A">
      <w:pPr>
        <w:pBdr>
          <w:top w:val="nil"/>
          <w:left w:val="nil"/>
          <w:bottom w:val="nil"/>
          <w:right w:val="nil"/>
          <w:between w:val="nil"/>
          <w:bar w:val="nil"/>
        </w:pBdr>
        <w:spacing w:before="0" w:after="240"/>
        <w:rPr>
          <w:rFonts w:eastAsia="Arial Unicode MS"/>
          <w:noProof/>
        </w:rPr>
      </w:pPr>
      <w:r>
        <w:rPr>
          <w:rFonts w:eastAsia="Arial Unicode MS"/>
          <w:noProof/>
        </w:rPr>
        <w:t>The Protocol is consistent with relevant European Union rules and policies in the areas which will be covered by it (as described under Section ‘</w:t>
      </w:r>
      <w:r w:rsidRPr="00B021A0">
        <w:rPr>
          <w:rFonts w:eastAsia="Arial Unicode MS"/>
          <w:i/>
          <w:iCs/>
          <w:noProof/>
        </w:rPr>
        <w:t>Consistency with existing policy provisions in the policy area</w:t>
      </w:r>
      <w:r>
        <w:rPr>
          <w:rFonts w:eastAsia="Arial Unicode MS"/>
          <w:noProof/>
        </w:rPr>
        <w:t xml:space="preserve">’). In the wider context, the Protocol is consistent with EU legal instruments and policies adopted in the area of freedom, security and justice, under </w:t>
      </w:r>
      <w:r w:rsidRPr="00CB76AF">
        <w:rPr>
          <w:noProof/>
          <w:szCs w:val="24"/>
          <w:lang w:val="en-IE"/>
        </w:rPr>
        <w:t>Title V of Part Three of the TFEU</w:t>
      </w:r>
      <w:r>
        <w:rPr>
          <w:noProof/>
          <w:szCs w:val="24"/>
          <w:lang w:val="en-IE"/>
        </w:rPr>
        <w:t xml:space="preserve"> which contribute to EU’s fight against terrorism</w:t>
      </w:r>
      <w:r w:rsidR="006B121C">
        <w:rPr>
          <w:noProof/>
          <w:szCs w:val="24"/>
          <w:lang w:val="en-IE"/>
        </w:rPr>
        <w:t>, as well as the Union’s commitments under other relevant multilateral agreements</w:t>
      </w:r>
      <w:r>
        <w:rPr>
          <w:noProof/>
          <w:szCs w:val="24"/>
          <w:lang w:val="en-IE"/>
        </w:rPr>
        <w:t xml:space="preserve">. Other Union policy areas remain unaffected. </w:t>
      </w:r>
    </w:p>
    <w:p w14:paraId="1323D884" w14:textId="77777777" w:rsidR="001A2C83" w:rsidRPr="002D5EE2" w:rsidRDefault="001A2C83" w:rsidP="00550536">
      <w:pPr>
        <w:pStyle w:val="ManualHeading1"/>
        <w:rPr>
          <w:noProof/>
        </w:rPr>
      </w:pPr>
      <w:r w:rsidRPr="002D5EE2">
        <w:rPr>
          <w:noProof/>
        </w:rPr>
        <w:t>2.</w:t>
      </w:r>
      <w:r w:rsidRPr="002D5EE2">
        <w:rPr>
          <w:noProof/>
        </w:rPr>
        <w:tab/>
        <w:t>LEGAL BASIS, SUBSIDIARITY AND PROPORTIONALITY</w:t>
      </w:r>
    </w:p>
    <w:p w14:paraId="61360BDB" w14:textId="77777777" w:rsidR="001A2C83" w:rsidRDefault="001A2C83"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7B3933">
        <w:rPr>
          <w:rFonts w:eastAsia="Arial Unicode MS"/>
          <w:noProof/>
          <w:u w:color="000000"/>
          <w:bdr w:val="nil"/>
          <w:lang w:val="en-US" w:eastAsia="en-GB"/>
        </w:rPr>
        <w:t>Substantive legal basis</w:t>
      </w:r>
    </w:p>
    <w:p w14:paraId="7171AA78" w14:textId="77777777" w:rsidR="007B3933" w:rsidRPr="00444DDB" w:rsidRDefault="007B3933" w:rsidP="007B3933">
      <w:pPr>
        <w:pStyle w:val="Text1"/>
        <w:ind w:left="0"/>
        <w:rPr>
          <w:b/>
          <w:bCs/>
          <w:noProof/>
          <w:lang w:val="en-IE" w:eastAsia="en-GB"/>
        </w:rPr>
      </w:pPr>
      <w:r w:rsidRPr="00DB6220">
        <w:rPr>
          <w:noProof/>
          <w:lang w:val="en-US"/>
        </w:rPr>
        <w:t>The substantive legal basis for a decision under Article 218(</w:t>
      </w:r>
      <w:r>
        <w:rPr>
          <w:noProof/>
          <w:lang w:val="en-US"/>
        </w:rPr>
        <w:t>6</w:t>
      </w:r>
      <w:r w:rsidRPr="00DB6220">
        <w:rPr>
          <w:noProof/>
          <w:lang w:val="en-US"/>
        </w:rPr>
        <w:t>) TFEU depends primarily on the objective and content of an international agreement to be signed. If an international agreement pursues two aims or has two components and if one of those aims or components is identifiable as the main one, whereas the other is merely incidental, the decision under Article 218(</w:t>
      </w:r>
      <w:r>
        <w:rPr>
          <w:noProof/>
          <w:lang w:val="en-US"/>
        </w:rPr>
        <w:t>6</w:t>
      </w:r>
      <w:r w:rsidRPr="00DB6220">
        <w:rPr>
          <w:noProof/>
          <w:lang w:val="en-US"/>
        </w:rPr>
        <w:t>) TFEU must be founded on a single substantive legal basis, namely that required by the main or predominant aim or component.</w:t>
      </w:r>
      <w:r w:rsidRPr="00DB6220">
        <w:rPr>
          <w:noProof/>
        </w:rPr>
        <w:t>  </w:t>
      </w:r>
    </w:p>
    <w:p w14:paraId="30A5BC99" w14:textId="77777777" w:rsidR="007B3933" w:rsidRPr="007B3933" w:rsidRDefault="007B3933" w:rsidP="007B3933">
      <w:pPr>
        <w:pStyle w:val="Text1"/>
        <w:ind w:left="0"/>
        <w:rPr>
          <w:noProof/>
          <w:lang w:val="en-IE" w:eastAsia="en-GB"/>
        </w:rPr>
      </w:pPr>
      <w:r>
        <w:rPr>
          <w:noProof/>
          <w:lang w:val="en-IE" w:eastAsia="en-GB"/>
        </w:rPr>
        <w:t xml:space="preserve">Given that the main objective and component of the Protocol is establishing the definition of criminal offences in the area of terrorism, notably the definition of terrorist offences, the substantive legal basis is Article 83(1) TFEU. </w:t>
      </w:r>
    </w:p>
    <w:p w14:paraId="61410EEC" w14:textId="77777777" w:rsidR="007B3933" w:rsidRDefault="007B3933" w:rsidP="007B3933">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Procedural l</w:t>
      </w:r>
      <w:r w:rsidRPr="002D5EE2">
        <w:rPr>
          <w:rFonts w:eastAsia="Arial Unicode MS"/>
          <w:noProof/>
          <w:u w:color="000000"/>
          <w:bdr w:val="nil"/>
          <w:lang w:val="en-US" w:eastAsia="en-GB"/>
        </w:rPr>
        <w:t>egal basis</w:t>
      </w:r>
    </w:p>
    <w:p w14:paraId="17E66FAB" w14:textId="77777777" w:rsidR="007B3933" w:rsidRDefault="007B3933" w:rsidP="00F05ADB">
      <w:pPr>
        <w:rPr>
          <w:noProof/>
        </w:rPr>
      </w:pPr>
      <w:r w:rsidRPr="00DB6220">
        <w:rPr>
          <w:noProof/>
        </w:rPr>
        <w:t>In accordance with Article 218(6) TFEU, where the agreement relates to matters outside of the common foreign and security policy (CFSP), the Council is to adopt a decision concluding the agreement on a proposal by the Commission as negotiator.</w:t>
      </w:r>
    </w:p>
    <w:p w14:paraId="7E56B73A" w14:textId="77777777" w:rsidR="00F05ADB" w:rsidRDefault="00F05ADB" w:rsidP="00F05ADB">
      <w:pPr>
        <w:rPr>
          <w:noProof/>
        </w:rPr>
      </w:pPr>
      <w:r w:rsidRPr="00F05ADB">
        <w:rPr>
          <w:noProof/>
          <w:lang w:val="en-US"/>
        </w:rPr>
        <w:t xml:space="preserve">Given that Article 83(1) TFEU </w:t>
      </w:r>
      <w:r w:rsidRPr="00F05ADB">
        <w:rPr>
          <w:noProof/>
          <w:kern w:val="2"/>
          <w14:ligatures w14:val="standardContextual"/>
        </w:rPr>
        <w:t>is</w:t>
      </w:r>
      <w:r w:rsidRPr="00F05ADB">
        <w:rPr>
          <w:noProof/>
          <w:lang w:val="en-US"/>
        </w:rPr>
        <w:t xml:space="preserve"> the substantive legal </w:t>
      </w:r>
      <w:r w:rsidRPr="00F05ADB">
        <w:rPr>
          <w:noProof/>
          <w:kern w:val="2"/>
          <w14:ligatures w14:val="standardContextual"/>
        </w:rPr>
        <w:t>basis,</w:t>
      </w:r>
      <w:r w:rsidRPr="00F05ADB">
        <w:rPr>
          <w:noProof/>
          <w:lang w:val="en-US"/>
        </w:rPr>
        <w:t xml:space="preserve"> </w:t>
      </w:r>
      <w:r w:rsidRPr="00F05ADB">
        <w:rPr>
          <w:rStyle w:val="eop"/>
          <w:noProof/>
        </w:rPr>
        <w:t xml:space="preserve">the Council is to adopt the decision concluding the </w:t>
      </w:r>
      <w:r w:rsidR="00C61D63">
        <w:rPr>
          <w:rStyle w:val="eop"/>
          <w:noProof/>
        </w:rPr>
        <w:t>Protocol</w:t>
      </w:r>
      <w:r w:rsidRPr="00F05ADB">
        <w:rPr>
          <w:rStyle w:val="eop"/>
          <w:noProof/>
        </w:rPr>
        <w:t xml:space="preserve"> </w:t>
      </w:r>
      <w:r w:rsidRPr="00F05ADB">
        <w:rPr>
          <w:noProof/>
          <w:kern w:val="2"/>
          <w:lang w:val="en-US"/>
          <w14:ligatures w14:val="standardContextual"/>
        </w:rPr>
        <w:t xml:space="preserve">after obtaining the consent of </w:t>
      </w:r>
      <w:r w:rsidRPr="00F05ADB">
        <w:rPr>
          <w:rStyle w:val="eop"/>
          <w:noProof/>
        </w:rPr>
        <w:t xml:space="preserve">the European Parliament, in accordance with </w:t>
      </w:r>
      <w:r w:rsidRPr="00F05ADB">
        <w:rPr>
          <w:noProof/>
        </w:rPr>
        <w:t>Article 218(6), point (a) TFEU</w:t>
      </w:r>
      <w:r w:rsidRPr="00F05ADB">
        <w:rPr>
          <w:rStyle w:val="eop"/>
          <w:noProof/>
        </w:rPr>
        <w:t>.</w:t>
      </w:r>
    </w:p>
    <w:p w14:paraId="5FC0308B" w14:textId="77777777" w:rsidR="007B3933" w:rsidRPr="00F05ADB" w:rsidRDefault="00F05ADB" w:rsidP="00F05ADB">
      <w:pPr>
        <w:rPr>
          <w:rFonts w:asciiTheme="minorHAnsi" w:hAnsiTheme="minorHAnsi" w:cstheme="minorBidi"/>
          <w:noProof/>
          <w:kern w:val="2"/>
          <w:sz w:val="22"/>
          <w:lang w:val="en-IE"/>
          <w14:ligatures w14:val="standardContextual"/>
        </w:rPr>
      </w:pPr>
      <w:r w:rsidRPr="00DB6220">
        <w:rPr>
          <w:noProof/>
        </w:rPr>
        <w:lastRenderedPageBreak/>
        <w:t xml:space="preserve">Therefore, the procedural legal basis for the proposed decision on concluding the </w:t>
      </w:r>
      <w:r w:rsidR="00C61D63">
        <w:rPr>
          <w:noProof/>
        </w:rPr>
        <w:t xml:space="preserve">Protocol </w:t>
      </w:r>
      <w:r w:rsidRPr="00DB6220">
        <w:rPr>
          <w:noProof/>
        </w:rPr>
        <w:t>is Article 218(6), second subparagraph, TFEU</w:t>
      </w:r>
    </w:p>
    <w:p w14:paraId="6B1323BA" w14:textId="77777777" w:rsidR="00005671" w:rsidRDefault="00005671" w:rsidP="00005671">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 xml:space="preserve">Union competence </w:t>
      </w:r>
    </w:p>
    <w:p w14:paraId="584E919A" w14:textId="5C33F91A" w:rsidR="00097C67" w:rsidRPr="00C61D63" w:rsidRDefault="00097C67" w:rsidP="00C61D63">
      <w:pPr>
        <w:rPr>
          <w:rFonts w:eastAsia="Times New Roman"/>
          <w:noProof/>
          <w:color w:val="000000"/>
          <w:szCs w:val="24"/>
          <w:lang w:val="en-IE" w:eastAsia="en-IE"/>
        </w:rPr>
      </w:pPr>
      <w:bookmarkStart w:id="2" w:name="_Hlk221287551"/>
      <w:r w:rsidRPr="00CB76AF">
        <w:rPr>
          <w:noProof/>
          <w:szCs w:val="24"/>
          <w:lang w:val="en-IE"/>
        </w:rPr>
        <w:t xml:space="preserve">Article 3(2) of the Treaty on the Functioning of the European Union (TFEU) provides that the Union has exclusive competence ‘for the conclusion of an international agreement (...) in so far as its conclusion may affect common rules or alter their scope.’ </w:t>
      </w:r>
      <w:r w:rsidR="00901A6E">
        <w:rPr>
          <w:noProof/>
          <w:szCs w:val="24"/>
          <w:lang w:val="en-IE"/>
        </w:rPr>
        <w:t>In particular, a</w:t>
      </w:r>
      <w:r w:rsidRPr="00CB76AF">
        <w:rPr>
          <w:noProof/>
          <w:szCs w:val="24"/>
          <w:lang w:val="en-IE"/>
        </w:rPr>
        <w:t>n international agreement may affect common rules or alter their scope where the area covered by the agreement overlaps with Union legislation or is covered to a large extent by Union law.</w:t>
      </w:r>
      <w:r w:rsidRPr="00CB76AF">
        <w:rPr>
          <w:rFonts w:eastAsia="Times New Roman"/>
          <w:noProof/>
          <w:color w:val="000000"/>
          <w:szCs w:val="24"/>
          <w:lang w:val="en-IE" w:eastAsia="en-IE"/>
        </w:rPr>
        <w:t xml:space="preserve"> </w:t>
      </w:r>
      <w:r>
        <w:rPr>
          <w:rFonts w:eastAsia="Times New Roman"/>
          <w:noProof/>
          <w:szCs w:val="24"/>
          <w:lang w:val="en-IE" w:eastAsia="en-GB"/>
        </w:rPr>
        <w:t>T</w:t>
      </w:r>
      <w:r w:rsidRPr="00CB76AF">
        <w:rPr>
          <w:rFonts w:eastAsia="Times New Roman"/>
          <w:noProof/>
          <w:szCs w:val="24"/>
          <w:lang w:val="en-IE" w:eastAsia="en-GB"/>
        </w:rPr>
        <w:t xml:space="preserve">he European </w:t>
      </w:r>
      <w:r w:rsidRPr="00CB76AF">
        <w:rPr>
          <w:rFonts w:eastAsia="Times New Roman"/>
          <w:noProof/>
          <w:color w:val="000000"/>
          <w:szCs w:val="24"/>
          <w:lang w:val="en-IE" w:eastAsia="en-IE"/>
        </w:rPr>
        <w:t xml:space="preserve">Union has exercised </w:t>
      </w:r>
      <w:r>
        <w:rPr>
          <w:rFonts w:eastAsia="Times New Roman"/>
          <w:noProof/>
          <w:color w:val="000000"/>
          <w:szCs w:val="24"/>
          <w:lang w:val="en-IE" w:eastAsia="en-IE"/>
        </w:rPr>
        <w:t>its</w:t>
      </w:r>
      <w:r w:rsidRPr="00CB76AF">
        <w:rPr>
          <w:rFonts w:eastAsia="Times New Roman"/>
          <w:noProof/>
          <w:color w:val="000000"/>
          <w:szCs w:val="24"/>
          <w:lang w:val="en-IE" w:eastAsia="en-IE"/>
        </w:rPr>
        <w:t xml:space="preserve"> competence </w:t>
      </w:r>
      <w:r>
        <w:rPr>
          <w:rFonts w:eastAsia="Times New Roman"/>
          <w:noProof/>
          <w:color w:val="000000"/>
          <w:szCs w:val="24"/>
          <w:lang w:val="en-IE" w:eastAsia="en-IE"/>
        </w:rPr>
        <w:t xml:space="preserve">in this area </w:t>
      </w:r>
      <w:r w:rsidRPr="00CB76AF">
        <w:rPr>
          <w:rFonts w:eastAsia="Times New Roman"/>
          <w:noProof/>
          <w:color w:val="000000"/>
          <w:szCs w:val="24"/>
          <w:lang w:val="en-IE" w:eastAsia="en-IE"/>
        </w:rPr>
        <w:t xml:space="preserve">through </w:t>
      </w:r>
      <w:r>
        <w:rPr>
          <w:rFonts w:eastAsia="Times New Roman"/>
          <w:noProof/>
          <w:color w:val="000000"/>
          <w:szCs w:val="24"/>
          <w:lang w:val="en-IE" w:eastAsia="en-IE"/>
        </w:rPr>
        <w:t xml:space="preserve">the </w:t>
      </w:r>
      <w:r w:rsidRPr="00CB76AF">
        <w:rPr>
          <w:rFonts w:eastAsia="Times New Roman"/>
          <w:noProof/>
          <w:color w:val="000000"/>
          <w:szCs w:val="24"/>
          <w:lang w:val="en-IE" w:eastAsia="en-IE"/>
        </w:rPr>
        <w:t xml:space="preserve">adoption of the Directive (EU) 2017/541 on </w:t>
      </w:r>
      <w:r>
        <w:rPr>
          <w:rFonts w:eastAsia="Times New Roman"/>
          <w:noProof/>
          <w:color w:val="000000"/>
          <w:szCs w:val="24"/>
          <w:lang w:val="en-IE" w:eastAsia="en-IE"/>
        </w:rPr>
        <w:t>combating terrorism</w:t>
      </w:r>
      <w:r w:rsidRPr="00CB76AF">
        <w:rPr>
          <w:rFonts w:eastAsia="Times New Roman"/>
          <w:noProof/>
          <w:color w:val="000000"/>
          <w:szCs w:val="24"/>
          <w:lang w:val="en-IE" w:eastAsia="en-IE"/>
        </w:rPr>
        <w:t xml:space="preserve">. The </w:t>
      </w:r>
      <w:r>
        <w:rPr>
          <w:rFonts w:eastAsia="Times New Roman"/>
          <w:noProof/>
          <w:color w:val="000000"/>
          <w:szCs w:val="24"/>
          <w:lang w:val="en-IE" w:eastAsia="en-IE"/>
        </w:rPr>
        <w:t xml:space="preserve">substance of the Protocol, the definition of terrorist offences, </w:t>
      </w:r>
      <w:r w:rsidRPr="00CB76AF">
        <w:rPr>
          <w:rFonts w:eastAsia="Times New Roman"/>
          <w:noProof/>
          <w:color w:val="000000"/>
          <w:szCs w:val="24"/>
          <w:lang w:val="en-IE" w:eastAsia="en-IE"/>
        </w:rPr>
        <w:t xml:space="preserve">is covered by Union law in the field of </w:t>
      </w:r>
      <w:r>
        <w:rPr>
          <w:rFonts w:eastAsia="Times New Roman"/>
          <w:noProof/>
          <w:color w:val="000000"/>
          <w:szCs w:val="24"/>
          <w:lang w:val="en-IE" w:eastAsia="en-IE"/>
        </w:rPr>
        <w:t xml:space="preserve">combating </w:t>
      </w:r>
      <w:r w:rsidRPr="00CB76AF">
        <w:rPr>
          <w:rFonts w:eastAsia="Times New Roman"/>
          <w:noProof/>
          <w:color w:val="000000"/>
          <w:szCs w:val="24"/>
          <w:lang w:val="en-IE" w:eastAsia="en-IE"/>
        </w:rPr>
        <w:t xml:space="preserve">terrorism, notably </w:t>
      </w:r>
      <w:r>
        <w:rPr>
          <w:rFonts w:eastAsia="Times New Roman"/>
          <w:noProof/>
          <w:color w:val="000000"/>
          <w:szCs w:val="24"/>
          <w:lang w:val="en-IE" w:eastAsia="en-IE"/>
        </w:rPr>
        <w:t>by Article 3 of</w:t>
      </w:r>
      <w:r w:rsidRPr="00CB76AF">
        <w:rPr>
          <w:rFonts w:eastAsia="Times New Roman"/>
          <w:noProof/>
          <w:color w:val="000000"/>
          <w:szCs w:val="24"/>
          <w:lang w:val="en-IE" w:eastAsia="en-IE"/>
        </w:rPr>
        <w:t xml:space="preserve"> </w:t>
      </w:r>
      <w:r>
        <w:rPr>
          <w:rFonts w:eastAsia="Times New Roman"/>
          <w:noProof/>
          <w:color w:val="000000"/>
          <w:szCs w:val="24"/>
          <w:lang w:val="en-IE" w:eastAsia="en-IE"/>
        </w:rPr>
        <w:t xml:space="preserve">the </w:t>
      </w:r>
      <w:r w:rsidRPr="00CB76AF">
        <w:rPr>
          <w:rFonts w:eastAsia="Times New Roman"/>
          <w:noProof/>
          <w:color w:val="000000"/>
          <w:szCs w:val="24"/>
          <w:lang w:val="en-IE" w:eastAsia="en-IE"/>
        </w:rPr>
        <w:t xml:space="preserve">Directive (EU) 2017/541. </w:t>
      </w:r>
      <w:r w:rsidR="00901A6E">
        <w:rPr>
          <w:rFonts w:eastAsia="Times New Roman"/>
          <w:noProof/>
          <w:color w:val="000000"/>
          <w:szCs w:val="24"/>
          <w:lang w:val="en-IE" w:eastAsia="en-IE"/>
        </w:rPr>
        <w:t xml:space="preserve">Since there is an almost identity of definitions of terrorist offences between the Protocol and </w:t>
      </w:r>
      <w:r w:rsidR="00901A6E" w:rsidRPr="00CB76AF">
        <w:rPr>
          <w:rFonts w:eastAsia="Times New Roman"/>
          <w:noProof/>
          <w:color w:val="000000"/>
          <w:szCs w:val="24"/>
          <w:lang w:val="en-IE" w:eastAsia="en-IE"/>
        </w:rPr>
        <w:t>Directive (EU) 2017/541</w:t>
      </w:r>
      <w:r w:rsidR="00901A6E">
        <w:rPr>
          <w:rFonts w:eastAsia="Times New Roman"/>
          <w:noProof/>
          <w:color w:val="000000"/>
          <w:szCs w:val="24"/>
          <w:lang w:val="en-IE" w:eastAsia="en-IE"/>
        </w:rPr>
        <w:t>, t</w:t>
      </w:r>
      <w:r>
        <w:rPr>
          <w:rFonts w:eastAsia="Times New Roman"/>
          <w:noProof/>
          <w:color w:val="000000"/>
          <w:szCs w:val="24"/>
          <w:lang w:val="en-IE" w:eastAsia="en-IE"/>
        </w:rPr>
        <w:t xml:space="preserve">he </w:t>
      </w:r>
      <w:r w:rsidR="00C61D63">
        <w:rPr>
          <w:rFonts w:eastAsia="Times New Roman"/>
          <w:noProof/>
          <w:color w:val="000000"/>
          <w:szCs w:val="24"/>
          <w:lang w:val="en-IE" w:eastAsia="en-IE"/>
        </w:rPr>
        <w:t xml:space="preserve">Protocol </w:t>
      </w:r>
      <w:r>
        <w:rPr>
          <w:rFonts w:eastAsia="Times New Roman"/>
          <w:noProof/>
          <w:color w:val="000000"/>
          <w:szCs w:val="24"/>
          <w:lang w:val="en-IE" w:eastAsia="en-IE"/>
        </w:rPr>
        <w:t xml:space="preserve">may affect </w:t>
      </w:r>
      <w:r w:rsidR="00C61D63">
        <w:rPr>
          <w:rFonts w:eastAsia="Times New Roman"/>
          <w:noProof/>
          <w:color w:val="000000"/>
          <w:szCs w:val="24"/>
          <w:lang w:val="en-IE" w:eastAsia="en-IE"/>
        </w:rPr>
        <w:t xml:space="preserve">the </w:t>
      </w:r>
      <w:r w:rsidRPr="00CB76AF">
        <w:rPr>
          <w:rFonts w:eastAsia="Times New Roman"/>
          <w:noProof/>
          <w:color w:val="000000"/>
          <w:szCs w:val="24"/>
          <w:lang w:val="en-IE" w:eastAsia="en-IE"/>
        </w:rPr>
        <w:t>Directive (EU) 2017/541</w:t>
      </w:r>
      <w:r w:rsidR="00901A6E">
        <w:rPr>
          <w:rFonts w:eastAsia="Times New Roman"/>
          <w:noProof/>
          <w:color w:val="000000"/>
          <w:szCs w:val="24"/>
          <w:lang w:val="en-IE" w:eastAsia="en-IE"/>
        </w:rPr>
        <w:t xml:space="preserve"> due to the overlap between the the Protocol and </w:t>
      </w:r>
      <w:r w:rsidR="00901A6E" w:rsidRPr="00CB76AF">
        <w:rPr>
          <w:rFonts w:eastAsia="Times New Roman"/>
          <w:noProof/>
          <w:color w:val="000000"/>
          <w:szCs w:val="24"/>
          <w:lang w:val="en-IE" w:eastAsia="en-IE"/>
        </w:rPr>
        <w:t>Directive (EU) 2017/541</w:t>
      </w:r>
      <w:r>
        <w:rPr>
          <w:rFonts w:eastAsia="Times New Roman"/>
          <w:noProof/>
          <w:color w:val="000000"/>
          <w:szCs w:val="24"/>
          <w:lang w:val="en-IE" w:eastAsia="en-IE"/>
        </w:rPr>
        <w:t xml:space="preserve">. </w:t>
      </w:r>
      <w:r w:rsidR="00901A6E">
        <w:rPr>
          <w:rFonts w:eastAsia="Times New Roman"/>
          <w:noProof/>
          <w:color w:val="000000"/>
          <w:szCs w:val="24"/>
          <w:lang w:val="en-IE" w:eastAsia="en-IE"/>
        </w:rPr>
        <w:t xml:space="preserve">Additionally, </w:t>
      </w:r>
      <w:r w:rsidR="00901A6E" w:rsidRPr="00F1048A">
        <w:rPr>
          <w:rFonts w:eastAsia="Times New Roman"/>
          <w:noProof/>
          <w:color w:val="000000"/>
          <w:szCs w:val="24"/>
          <w:lang w:eastAsia="en-IE"/>
        </w:rPr>
        <w:t xml:space="preserve">the Amending Protocol </w:t>
      </w:r>
      <w:r w:rsidR="00901A6E">
        <w:rPr>
          <w:rFonts w:eastAsia="Times New Roman"/>
          <w:noProof/>
          <w:color w:val="000000"/>
          <w:szCs w:val="24"/>
          <w:lang w:eastAsia="en-IE"/>
        </w:rPr>
        <w:t>expands</w:t>
      </w:r>
      <w:r w:rsidR="00901A6E" w:rsidRPr="00F1048A">
        <w:rPr>
          <w:rFonts w:eastAsia="Times New Roman"/>
          <w:noProof/>
          <w:color w:val="000000"/>
          <w:szCs w:val="24"/>
          <w:lang w:eastAsia="en-IE"/>
        </w:rPr>
        <w:t xml:space="preserve"> the scope of terrorist offences under the Convention</w:t>
      </w:r>
      <w:r w:rsidR="00901A6E">
        <w:rPr>
          <w:rFonts w:eastAsia="Times New Roman"/>
          <w:noProof/>
          <w:color w:val="000000"/>
          <w:szCs w:val="24"/>
          <w:lang w:eastAsia="en-IE"/>
        </w:rPr>
        <w:t>, to which the Union is a party,</w:t>
      </w:r>
      <w:r w:rsidR="00901A6E" w:rsidRPr="00F1048A">
        <w:rPr>
          <w:rFonts w:eastAsia="Times New Roman"/>
          <w:noProof/>
          <w:color w:val="000000"/>
          <w:szCs w:val="24"/>
          <w:lang w:eastAsia="en-IE"/>
        </w:rPr>
        <w:t xml:space="preserve"> to new </w:t>
      </w:r>
      <w:r w:rsidR="00901A6E">
        <w:rPr>
          <w:rFonts w:eastAsia="Times New Roman"/>
          <w:noProof/>
          <w:color w:val="000000"/>
          <w:szCs w:val="24"/>
          <w:lang w:eastAsia="en-IE"/>
        </w:rPr>
        <w:t>situations</w:t>
      </w:r>
      <w:r w:rsidR="00901A6E" w:rsidRPr="00F1048A">
        <w:rPr>
          <w:rFonts w:eastAsia="Times New Roman"/>
          <w:noProof/>
          <w:color w:val="000000"/>
          <w:szCs w:val="24"/>
          <w:lang w:eastAsia="en-IE"/>
        </w:rPr>
        <w:t xml:space="preserve"> (which are already recognised under EU law as terrorist offences). In such a way, the EU’s commitments under the Convention would be extended to cover those new activities.</w:t>
      </w:r>
      <w:r w:rsidR="00901A6E">
        <w:rPr>
          <w:rFonts w:eastAsia="Times New Roman"/>
          <w:noProof/>
          <w:color w:val="000000"/>
          <w:szCs w:val="24"/>
          <w:lang w:eastAsia="en-IE"/>
        </w:rPr>
        <w:t xml:space="preserve"> </w:t>
      </w:r>
      <w:r w:rsidRPr="00CB76AF">
        <w:rPr>
          <w:rFonts w:eastAsia="Times New Roman"/>
          <w:noProof/>
          <w:color w:val="000000"/>
          <w:szCs w:val="24"/>
          <w:lang w:val="en-IE" w:eastAsia="en-IE"/>
        </w:rPr>
        <w:t xml:space="preserve">Therefore, </w:t>
      </w:r>
      <w:r>
        <w:rPr>
          <w:rFonts w:eastAsia="Times New Roman"/>
          <w:noProof/>
          <w:color w:val="000000"/>
          <w:szCs w:val="24"/>
          <w:lang w:val="en-IE" w:eastAsia="en-IE"/>
        </w:rPr>
        <w:t xml:space="preserve">the </w:t>
      </w:r>
      <w:r w:rsidRPr="00CB76AF">
        <w:rPr>
          <w:rFonts w:eastAsia="Times New Roman"/>
          <w:noProof/>
          <w:color w:val="000000"/>
          <w:szCs w:val="24"/>
          <w:lang w:val="en-IE" w:eastAsia="en-IE"/>
        </w:rPr>
        <w:t xml:space="preserve">Union has exclusive competence to </w:t>
      </w:r>
      <w:r w:rsidR="00C61D63">
        <w:rPr>
          <w:rFonts w:eastAsia="Times New Roman"/>
          <w:noProof/>
          <w:color w:val="000000"/>
          <w:szCs w:val="24"/>
          <w:lang w:val="en-IE" w:eastAsia="en-IE"/>
        </w:rPr>
        <w:t>conclude the Protocol</w:t>
      </w:r>
      <w:r w:rsidRPr="00CB76AF">
        <w:rPr>
          <w:rFonts w:eastAsia="Times New Roman"/>
          <w:noProof/>
          <w:color w:val="000000"/>
          <w:szCs w:val="24"/>
          <w:lang w:val="en-IE" w:eastAsia="en-IE"/>
        </w:rPr>
        <w:t xml:space="preserve">. </w:t>
      </w:r>
    </w:p>
    <w:bookmarkEnd w:id="2"/>
    <w:p w14:paraId="5934A4AC" w14:textId="77777777" w:rsidR="001A2C83" w:rsidRDefault="001A2C83"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539E519F" w14:textId="77777777" w:rsidR="001D0741" w:rsidRPr="001D0741" w:rsidRDefault="001D0741" w:rsidP="001D0741">
      <w:pPr>
        <w:pStyle w:val="Text1"/>
        <w:ind w:left="0"/>
        <w:rPr>
          <w:noProof/>
          <w:lang w:val="en-US" w:eastAsia="en-GB"/>
        </w:rPr>
      </w:pPr>
      <w:r>
        <w:rPr>
          <w:noProof/>
          <w:lang w:val="en-US" w:eastAsia="en-GB"/>
        </w:rPr>
        <w:t xml:space="preserve">Not applicable. </w:t>
      </w:r>
    </w:p>
    <w:p w14:paraId="7BAE1341"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6025A44A" w14:textId="77777777" w:rsidR="001D0741" w:rsidRPr="00A83C2E" w:rsidRDefault="001D0741" w:rsidP="00A83C2E">
      <w:pPr>
        <w:rPr>
          <w:b/>
          <w:bCs/>
          <w:noProof/>
          <w:szCs w:val="24"/>
          <w:lang w:val="en-IE"/>
        </w:rPr>
      </w:pPr>
      <w:r w:rsidRPr="0056390D">
        <w:rPr>
          <w:noProof/>
          <w:szCs w:val="24"/>
          <w:lang w:val="en-IE"/>
        </w:rPr>
        <w:t>This initiative does not go beyond what is necessary to achieve the policy objectives at stake.</w:t>
      </w:r>
      <w:r w:rsidRPr="00EA6E2A">
        <w:rPr>
          <w:noProof/>
          <w:szCs w:val="24"/>
          <w:shd w:val="clear" w:color="auto" w:fill="FFFFFF"/>
          <w:lang w:val="en-IE"/>
        </w:rPr>
        <w:t xml:space="preserve"> </w:t>
      </w:r>
      <w:r w:rsidRPr="0056390D">
        <w:rPr>
          <w:noProof/>
          <w:szCs w:val="24"/>
          <w:shd w:val="clear" w:color="auto" w:fill="FFFFFF"/>
          <w:lang w:val="en-IE"/>
        </w:rPr>
        <w:t xml:space="preserve">The Union is best placed to </w:t>
      </w:r>
      <w:r>
        <w:rPr>
          <w:noProof/>
          <w:szCs w:val="24"/>
          <w:shd w:val="clear" w:color="auto" w:fill="FFFFFF"/>
          <w:lang w:val="en-IE"/>
        </w:rPr>
        <w:t xml:space="preserve">sign the Protocol </w:t>
      </w:r>
      <w:r w:rsidRPr="0056390D">
        <w:rPr>
          <w:noProof/>
          <w:szCs w:val="24"/>
          <w:shd w:val="clear" w:color="auto" w:fill="FFFFFF"/>
          <w:lang w:val="en-IE"/>
        </w:rPr>
        <w:t xml:space="preserve">as the Union has already exercised internal competence in this area through </w:t>
      </w:r>
      <w:r>
        <w:rPr>
          <w:noProof/>
          <w:szCs w:val="24"/>
          <w:shd w:val="clear" w:color="auto" w:fill="FFFFFF"/>
          <w:lang w:val="en-IE"/>
        </w:rPr>
        <w:t xml:space="preserve">the </w:t>
      </w:r>
      <w:r w:rsidRPr="0056390D">
        <w:rPr>
          <w:noProof/>
          <w:szCs w:val="24"/>
          <w:shd w:val="clear" w:color="auto" w:fill="FFFFFF"/>
          <w:lang w:val="en-IE"/>
        </w:rPr>
        <w:t>adoption of Directive</w:t>
      </w:r>
      <w:r>
        <w:rPr>
          <w:noProof/>
          <w:szCs w:val="24"/>
          <w:shd w:val="clear" w:color="auto" w:fill="FFFFFF"/>
          <w:lang w:val="en-IE"/>
        </w:rPr>
        <w:t xml:space="preserve"> (EU)</w:t>
      </w:r>
      <w:r w:rsidRPr="0056390D">
        <w:rPr>
          <w:noProof/>
          <w:szCs w:val="24"/>
          <w:shd w:val="clear" w:color="auto" w:fill="FFFFFF"/>
          <w:lang w:val="en-IE"/>
        </w:rPr>
        <w:t xml:space="preserve"> 2017/541 on combatting terrorism. The Directive provides for an EU definition of terrorist offences</w:t>
      </w:r>
      <w:r>
        <w:rPr>
          <w:noProof/>
          <w:szCs w:val="24"/>
          <w:shd w:val="clear" w:color="auto" w:fill="FFFFFF"/>
          <w:lang w:val="en-IE"/>
        </w:rPr>
        <w:t xml:space="preserve"> constituting minimum rules to be</w:t>
      </w:r>
      <w:r w:rsidRPr="0056390D">
        <w:rPr>
          <w:noProof/>
          <w:szCs w:val="24"/>
          <w:shd w:val="clear" w:color="auto" w:fill="FFFFFF"/>
          <w:lang w:val="en-IE"/>
        </w:rPr>
        <w:t xml:space="preserve"> uniformly applied </w:t>
      </w:r>
      <w:r>
        <w:rPr>
          <w:noProof/>
          <w:szCs w:val="24"/>
          <w:shd w:val="clear" w:color="auto" w:fill="FFFFFF"/>
          <w:lang w:val="en-IE"/>
        </w:rPr>
        <w:t xml:space="preserve">by </w:t>
      </w:r>
      <w:r w:rsidRPr="0056390D">
        <w:rPr>
          <w:noProof/>
          <w:szCs w:val="24"/>
          <w:shd w:val="clear" w:color="auto" w:fill="FFFFFF"/>
          <w:lang w:val="en-IE"/>
        </w:rPr>
        <w:t xml:space="preserve">EU Member States. </w:t>
      </w:r>
      <w:r>
        <w:rPr>
          <w:noProof/>
          <w:szCs w:val="24"/>
          <w:shd w:val="clear" w:color="auto" w:fill="FFFFFF"/>
          <w:lang w:val="en-IE"/>
        </w:rPr>
        <w:t xml:space="preserve">As the Protocol amends the definition of terrorist offences at the level of Council of Europe and the definition of terrorist offences is covered by EU law, the Union should sign the Protocol. </w:t>
      </w:r>
    </w:p>
    <w:p w14:paraId="1F1C9881"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27135CBD" w14:textId="77777777" w:rsidR="00F05ADB" w:rsidRPr="00F05ADB" w:rsidRDefault="00F05ADB" w:rsidP="009C4C21">
      <w:pPr>
        <w:rPr>
          <w:noProof/>
        </w:rPr>
      </w:pPr>
      <w:r w:rsidRPr="00DB6220">
        <w:rPr>
          <w:noProof/>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p w14:paraId="2CD98A44" w14:textId="77777777" w:rsidR="001A2C83" w:rsidRPr="00550536" w:rsidRDefault="001A2C83" w:rsidP="00550536">
      <w:pPr>
        <w:pStyle w:val="ManualHeading1"/>
        <w:rPr>
          <w:noProof/>
        </w:rPr>
      </w:pPr>
      <w:r w:rsidRPr="00550536">
        <w:rPr>
          <w:noProof/>
        </w:rPr>
        <w:t>3.</w:t>
      </w:r>
      <w:r w:rsidRPr="00550536">
        <w:rPr>
          <w:noProof/>
        </w:rPr>
        <w:tab/>
        <w:t>RESULTS OF EX-POST EVALUATIONS, STAKEHOLDER CONSULTATIONS AND IMPACT ASSESSMENTS</w:t>
      </w:r>
    </w:p>
    <w:p w14:paraId="309A10BF"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21813226" w14:textId="77777777" w:rsidR="001D0741" w:rsidRPr="001D0741" w:rsidRDefault="001D0741" w:rsidP="001D0741">
      <w:pPr>
        <w:pStyle w:val="Text1"/>
        <w:ind w:left="0"/>
        <w:rPr>
          <w:noProof/>
          <w:lang w:val="en-US" w:eastAsia="en-GB"/>
        </w:rPr>
      </w:pPr>
      <w:r>
        <w:rPr>
          <w:noProof/>
          <w:lang w:val="en-US" w:eastAsia="en-GB"/>
        </w:rPr>
        <w:t xml:space="preserve">Not applicable. </w:t>
      </w:r>
    </w:p>
    <w:p w14:paraId="746DAF92"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2EF57717" w14:textId="77777777" w:rsidR="001D0741" w:rsidRPr="001D0741" w:rsidRDefault="001D0741" w:rsidP="001D0741">
      <w:pPr>
        <w:pStyle w:val="Text1"/>
        <w:ind w:left="0"/>
        <w:rPr>
          <w:noProof/>
          <w:lang w:val="en-US" w:eastAsia="en-GB"/>
        </w:rPr>
      </w:pPr>
      <w:r>
        <w:rPr>
          <w:noProof/>
          <w:lang w:val="en-US" w:eastAsia="en-GB"/>
        </w:rPr>
        <w:t xml:space="preserve">Not applicable. </w:t>
      </w:r>
    </w:p>
    <w:p w14:paraId="19E67B5C"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3A172F45" w14:textId="77777777" w:rsidR="001D0741" w:rsidRPr="001D0741" w:rsidRDefault="001D0741" w:rsidP="001D0741">
      <w:pPr>
        <w:pStyle w:val="Text1"/>
        <w:ind w:left="0"/>
        <w:rPr>
          <w:noProof/>
          <w:lang w:val="en-IE" w:eastAsia="en-GB"/>
        </w:rPr>
      </w:pPr>
      <w:r w:rsidRPr="001D0741">
        <w:rPr>
          <w:noProof/>
          <w:lang w:val="en-IE" w:eastAsia="en-GB"/>
        </w:rPr>
        <w:t>During the negotiations, the Commission, as the Union representative, consulted the</w:t>
      </w:r>
      <w:r>
        <w:rPr>
          <w:noProof/>
          <w:lang w:val="en-IE" w:eastAsia="en-GB"/>
        </w:rPr>
        <w:t xml:space="preserve"> </w:t>
      </w:r>
      <w:r w:rsidRPr="001D0741">
        <w:rPr>
          <w:noProof/>
          <w:lang w:val="en-IE" w:eastAsia="en-GB"/>
        </w:rPr>
        <w:t>Council</w:t>
      </w:r>
      <w:r>
        <w:rPr>
          <w:noProof/>
          <w:lang w:val="en-IE" w:eastAsia="en-GB"/>
        </w:rPr>
        <w:t xml:space="preserve">’s special committee for the negotiations </w:t>
      </w:r>
      <w:r w:rsidRPr="001D0741">
        <w:rPr>
          <w:noProof/>
          <w:lang w:val="en-IE" w:eastAsia="en-GB"/>
        </w:rPr>
        <w:t xml:space="preserve">in line with the Decision of the Council of </w:t>
      </w:r>
      <w:r>
        <w:rPr>
          <w:noProof/>
          <w:lang w:val="en-IE" w:eastAsia="en-GB"/>
        </w:rPr>
        <w:t xml:space="preserve">15 </w:t>
      </w:r>
      <w:r w:rsidRPr="001D0741">
        <w:rPr>
          <w:noProof/>
          <w:lang w:val="en-IE" w:eastAsia="en-GB"/>
        </w:rPr>
        <w:lastRenderedPageBreak/>
        <w:t>May 202</w:t>
      </w:r>
      <w:r>
        <w:rPr>
          <w:noProof/>
          <w:lang w:val="en-IE" w:eastAsia="en-GB"/>
        </w:rPr>
        <w:t>3</w:t>
      </w:r>
      <w:r w:rsidRPr="001D0741">
        <w:rPr>
          <w:noProof/>
          <w:lang w:val="en-IE" w:eastAsia="en-GB"/>
        </w:rPr>
        <w:t xml:space="preserve"> authorising the Commission to participate in the negotiations on behalf of the</w:t>
      </w:r>
      <w:r>
        <w:rPr>
          <w:noProof/>
          <w:lang w:val="en-IE" w:eastAsia="en-GB"/>
        </w:rPr>
        <w:t xml:space="preserve"> </w:t>
      </w:r>
      <w:r w:rsidRPr="001D0741">
        <w:rPr>
          <w:noProof/>
          <w:lang w:val="en-IE" w:eastAsia="en-GB"/>
        </w:rPr>
        <w:t>Union. As</w:t>
      </w:r>
      <w:r w:rsidR="00872613">
        <w:rPr>
          <w:noProof/>
          <w:lang w:val="en-IE" w:eastAsia="en-GB"/>
        </w:rPr>
        <w:t xml:space="preserve"> Council of Europe members</w:t>
      </w:r>
      <w:r w:rsidRPr="001D0741">
        <w:rPr>
          <w:noProof/>
          <w:lang w:val="en-IE" w:eastAsia="en-GB"/>
        </w:rPr>
        <w:t>, EU Member States were able to attend all negotiation sessions.</w:t>
      </w:r>
      <w:r>
        <w:rPr>
          <w:noProof/>
          <w:lang w:val="en-IE" w:eastAsia="en-GB"/>
        </w:rPr>
        <w:t xml:space="preserve"> </w:t>
      </w:r>
      <w:r w:rsidRPr="001D0741">
        <w:rPr>
          <w:noProof/>
          <w:lang w:val="en-IE" w:eastAsia="en-GB"/>
        </w:rPr>
        <w:t>The Commission consulted their representatives on its formulation of the Union’s position</w:t>
      </w:r>
      <w:r>
        <w:rPr>
          <w:noProof/>
          <w:lang w:val="en-IE" w:eastAsia="en-GB"/>
        </w:rPr>
        <w:t xml:space="preserve"> </w:t>
      </w:r>
      <w:r w:rsidRPr="001D0741">
        <w:rPr>
          <w:noProof/>
          <w:lang w:val="en-IE" w:eastAsia="en-GB"/>
        </w:rPr>
        <w:t>throughout the negotiations.</w:t>
      </w:r>
    </w:p>
    <w:p w14:paraId="267D4269"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2E696F8A" w14:textId="77777777" w:rsidR="00872613" w:rsidRPr="00872613" w:rsidRDefault="00872613" w:rsidP="00872613">
      <w:pPr>
        <w:pStyle w:val="Text1"/>
        <w:ind w:left="0"/>
        <w:rPr>
          <w:noProof/>
          <w:lang w:val="en-US" w:eastAsia="en-GB"/>
        </w:rPr>
      </w:pPr>
      <w:r>
        <w:rPr>
          <w:noProof/>
          <w:lang w:val="en-US" w:eastAsia="en-GB"/>
        </w:rPr>
        <w:t xml:space="preserve">Not applicable. </w:t>
      </w:r>
    </w:p>
    <w:p w14:paraId="1DE8E038"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14:paraId="09EE8B14" w14:textId="77777777" w:rsidR="00872613" w:rsidRPr="00872613" w:rsidRDefault="00872613" w:rsidP="00872613">
      <w:pPr>
        <w:pStyle w:val="Text1"/>
        <w:ind w:left="0"/>
        <w:rPr>
          <w:noProof/>
          <w:lang w:val="en-US" w:eastAsia="en-GB"/>
        </w:rPr>
      </w:pPr>
      <w:r>
        <w:rPr>
          <w:noProof/>
          <w:lang w:val="en-US" w:eastAsia="en-GB"/>
        </w:rPr>
        <w:t xml:space="preserve">Not applicable. </w:t>
      </w:r>
    </w:p>
    <w:p w14:paraId="1F5A43BA"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64E4F8A8" w14:textId="77777777" w:rsidR="00872613" w:rsidRDefault="00005671" w:rsidP="00872613">
      <w:pPr>
        <w:pStyle w:val="Text1"/>
        <w:ind w:left="0"/>
        <w:rPr>
          <w:noProof/>
          <w:lang w:val="en-IE" w:eastAsia="en-GB"/>
        </w:rPr>
      </w:pPr>
      <w:r>
        <w:rPr>
          <w:noProof/>
          <w:lang w:val="en-IE" w:eastAsia="en-GB"/>
        </w:rPr>
        <w:t xml:space="preserve">In line with the negotiating directives set by the Council, the Commission </w:t>
      </w:r>
      <w:r w:rsidR="006B121C">
        <w:rPr>
          <w:noProof/>
          <w:lang w:val="en-IE" w:eastAsia="en-GB"/>
        </w:rPr>
        <w:t>ensured that the negotiations ensured respect for the fundamental rights, freedoms and general principles of Union law as enshrined in the European Union Treaties and the Charter of Fundamental Rights.</w:t>
      </w:r>
    </w:p>
    <w:p w14:paraId="3F2426D0" w14:textId="77777777" w:rsidR="00472571" w:rsidRDefault="00472571" w:rsidP="00872613">
      <w:pPr>
        <w:pStyle w:val="Text1"/>
        <w:ind w:left="0"/>
        <w:rPr>
          <w:noProof/>
          <w:lang w:val="en-IE" w:eastAsia="en-GB"/>
        </w:rPr>
      </w:pPr>
      <w:r>
        <w:rPr>
          <w:noProof/>
          <w:lang w:val="en-IE" w:eastAsia="en-GB"/>
        </w:rPr>
        <w:t>The Preamble to the Protocol (paragraph 5) r</w:t>
      </w:r>
      <w:r w:rsidRPr="00472571">
        <w:rPr>
          <w:noProof/>
          <w:lang w:val="en-IE" w:eastAsia="en-GB"/>
        </w:rPr>
        <w:t>eaffirm</w:t>
      </w:r>
      <w:r>
        <w:rPr>
          <w:noProof/>
          <w:lang w:val="en-IE" w:eastAsia="en-GB"/>
        </w:rPr>
        <w:t>s</w:t>
      </w:r>
      <w:r w:rsidRPr="00472571">
        <w:rPr>
          <w:noProof/>
          <w:lang w:val="en-IE" w:eastAsia="en-GB"/>
        </w:rPr>
        <w:t xml:space="preserve"> that all measures taken to prevent or suppress terrorist offences in this Protocol shall be in accordance with relevant human rights and fundamental freedoms, particularly those enshrined in the Convention for the Protection of Human Rights and Fundamental Freedoms (ETS No. 5), as well as other obligations under international law, including, where applicable, international humanitarian law</w:t>
      </w:r>
      <w:r>
        <w:rPr>
          <w:noProof/>
          <w:lang w:val="en-IE" w:eastAsia="en-GB"/>
        </w:rPr>
        <w:t xml:space="preserve">. </w:t>
      </w:r>
    </w:p>
    <w:p w14:paraId="68F1D4F9" w14:textId="77777777" w:rsidR="00472571" w:rsidRPr="00872613" w:rsidRDefault="00472571" w:rsidP="00872613">
      <w:pPr>
        <w:pStyle w:val="Text1"/>
        <w:ind w:left="0"/>
        <w:rPr>
          <w:noProof/>
          <w:lang w:val="en-IE" w:eastAsia="en-GB"/>
        </w:rPr>
      </w:pPr>
      <w:r>
        <w:rPr>
          <w:noProof/>
          <w:lang w:val="en-IE" w:eastAsia="en-GB"/>
        </w:rPr>
        <w:t xml:space="preserve">Moreover, the Protocol amends the Convention No. 196. When entered into force, it will amend Article 1 of Convention No. 196 and be integrated within the Convention for States Parties who sign and ratify the Protocol. Thus, the Protocol must be </w:t>
      </w:r>
      <w:r w:rsidR="00161D72">
        <w:rPr>
          <w:noProof/>
          <w:lang w:val="en-IE" w:eastAsia="en-GB"/>
        </w:rPr>
        <w:t xml:space="preserve">read </w:t>
      </w:r>
      <w:r>
        <w:rPr>
          <w:noProof/>
          <w:lang w:val="en-IE" w:eastAsia="en-GB"/>
        </w:rPr>
        <w:t xml:space="preserve">within the context of the Convention. Convention No. 196 provides for strong human rights and international humanitarian law safeguards, notably in Article 12 </w:t>
      </w:r>
      <w:r w:rsidR="00DA6F56">
        <w:rPr>
          <w:noProof/>
          <w:lang w:val="en-IE" w:eastAsia="en-GB"/>
        </w:rPr>
        <w:t xml:space="preserve">paragraph 1 </w:t>
      </w:r>
      <w:r>
        <w:rPr>
          <w:noProof/>
          <w:lang w:val="en-IE" w:eastAsia="en-GB"/>
        </w:rPr>
        <w:t xml:space="preserve">and Article 26 </w:t>
      </w:r>
      <w:r w:rsidR="00161D72">
        <w:rPr>
          <w:noProof/>
          <w:lang w:val="en-IE" w:eastAsia="en-GB"/>
        </w:rPr>
        <w:t xml:space="preserve">paragraphs 4 </w:t>
      </w:r>
      <w:r>
        <w:rPr>
          <w:noProof/>
          <w:lang w:val="en-IE" w:eastAsia="en-GB"/>
        </w:rPr>
        <w:t xml:space="preserve">of that Convention. </w:t>
      </w:r>
      <w:r w:rsidR="00DA6F56">
        <w:rPr>
          <w:noProof/>
          <w:lang w:val="en-IE" w:eastAsia="en-GB"/>
        </w:rPr>
        <w:t xml:space="preserve">Article 12 paragraph 1 of the Convention sets that implementation and application of criminalisation provisions should respect human rights and other obligations under international law. Article 26 paragraph 4 states that nothing in the Convention shall affect other rights, obligations and responsibilities of a Party and individuals under international law, including international humanitarian law. </w:t>
      </w:r>
      <w:r w:rsidR="00161D72">
        <w:rPr>
          <w:noProof/>
          <w:lang w:val="en-IE" w:eastAsia="en-GB"/>
        </w:rPr>
        <w:t xml:space="preserve">These safeguards are compatible with and match the high level of fundamental rights, human rights and international law safeguards provided for in EU law, in particular the Directive (EU) 2017/541 on combating terrorism (Recital 35, 37). </w:t>
      </w:r>
    </w:p>
    <w:p w14:paraId="20844560" w14:textId="77777777" w:rsidR="001A2C83" w:rsidRDefault="001A2C83" w:rsidP="00550536">
      <w:pPr>
        <w:pStyle w:val="ManualHeading1"/>
        <w:rPr>
          <w:noProof/>
        </w:rPr>
      </w:pPr>
      <w:r w:rsidRPr="00550536">
        <w:rPr>
          <w:noProof/>
        </w:rPr>
        <w:t>4.</w:t>
      </w:r>
      <w:r w:rsidRPr="00550536">
        <w:rPr>
          <w:noProof/>
        </w:rPr>
        <w:tab/>
        <w:t>BUDGETARY IMPLICATIONS</w:t>
      </w:r>
    </w:p>
    <w:p w14:paraId="0D664374" w14:textId="77777777" w:rsidR="00872613" w:rsidRPr="00872613" w:rsidRDefault="00872613" w:rsidP="00872613">
      <w:pPr>
        <w:rPr>
          <w:b/>
          <w:bCs/>
          <w:noProof/>
          <w:szCs w:val="24"/>
          <w:lang w:val="en-IE"/>
        </w:rPr>
      </w:pPr>
      <w:r w:rsidRPr="008B06E6">
        <w:rPr>
          <w:noProof/>
          <w:szCs w:val="24"/>
          <w:lang w:val="en-IE"/>
        </w:rPr>
        <w:t>There are no budgetary implications for the Union budget.</w:t>
      </w:r>
    </w:p>
    <w:p w14:paraId="273668DF" w14:textId="77777777" w:rsidR="001A2C83" w:rsidRPr="00550536" w:rsidRDefault="001A2C83" w:rsidP="00550536">
      <w:pPr>
        <w:pStyle w:val="ManualHeading1"/>
        <w:rPr>
          <w:noProof/>
        </w:rPr>
      </w:pPr>
      <w:r w:rsidRPr="00550536">
        <w:rPr>
          <w:noProof/>
        </w:rPr>
        <w:t>5.</w:t>
      </w:r>
      <w:r w:rsidRPr="00550536">
        <w:rPr>
          <w:noProof/>
        </w:rPr>
        <w:tab/>
        <w:t>OTHER ELEMENTS</w:t>
      </w:r>
    </w:p>
    <w:p w14:paraId="6D620189" w14:textId="77777777" w:rsidR="001A2C83" w:rsidRDefault="001A2C83"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63E1CC65" w14:textId="77777777" w:rsidR="001A2C83" w:rsidRDefault="00462FFF" w:rsidP="00550536">
      <w:pPr>
        <w:pBdr>
          <w:top w:val="nil"/>
          <w:left w:val="nil"/>
          <w:bottom w:val="nil"/>
          <w:right w:val="nil"/>
          <w:between w:val="nil"/>
          <w:bar w:val="nil"/>
        </w:pBdr>
        <w:spacing w:before="0" w:after="240"/>
        <w:rPr>
          <w:rFonts w:eastAsia="Arial Unicode MS"/>
          <w:noProof/>
        </w:rPr>
      </w:pPr>
      <w:r>
        <w:rPr>
          <w:rFonts w:eastAsia="Arial Unicode MS"/>
          <w:noProof/>
        </w:rPr>
        <w:t>There is no implementation plan</w:t>
      </w:r>
      <w:r w:rsidR="00E74C9E">
        <w:rPr>
          <w:rFonts w:eastAsia="Arial Unicode MS"/>
          <w:noProof/>
        </w:rPr>
        <w:t xml:space="preserve">, as no action is needed by the European Union to implement the Protocol. The EU definition of terrorist offences is compatible with the definition of terrorist offences introduced by the Protocol. </w:t>
      </w:r>
    </w:p>
    <w:p w14:paraId="686B209F" w14:textId="77777777" w:rsidR="00E74C9E" w:rsidRPr="00462FFF" w:rsidRDefault="00E74C9E" w:rsidP="00550536">
      <w:pPr>
        <w:pBdr>
          <w:top w:val="nil"/>
          <w:left w:val="nil"/>
          <w:bottom w:val="nil"/>
          <w:right w:val="nil"/>
          <w:between w:val="nil"/>
          <w:bar w:val="nil"/>
        </w:pBdr>
        <w:spacing w:before="0" w:after="240"/>
        <w:rPr>
          <w:rFonts w:eastAsia="Arial Unicode MS"/>
          <w:noProof/>
        </w:rPr>
      </w:pPr>
      <w:r>
        <w:rPr>
          <w:rFonts w:eastAsia="Arial Unicode MS"/>
          <w:noProof/>
        </w:rPr>
        <w:t>With regard monitoring, the Commission will take part in the meetings of the Conference of the States Parties to Convention No.196 that will also monitor the implementation of the Protocol once it enters into force</w:t>
      </w:r>
      <w:r w:rsidR="00AA784B">
        <w:rPr>
          <w:rFonts w:eastAsia="Arial Unicode MS"/>
          <w:noProof/>
        </w:rPr>
        <w:t xml:space="preserve"> and amends Article 1 of Convention No. 196</w:t>
      </w:r>
      <w:r>
        <w:rPr>
          <w:rFonts w:eastAsia="Arial Unicode MS"/>
          <w:noProof/>
        </w:rPr>
        <w:t xml:space="preserve">. </w:t>
      </w:r>
    </w:p>
    <w:p w14:paraId="70CF5D1C"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5E33E3D8" w14:textId="77777777" w:rsidR="001738AA" w:rsidRDefault="001738AA" w:rsidP="001738AA">
      <w:pPr>
        <w:tabs>
          <w:tab w:val="left" w:pos="2160"/>
        </w:tabs>
        <w:rPr>
          <w:noProof/>
          <w:szCs w:val="24"/>
          <w:lang w:val="en-IE"/>
        </w:rPr>
      </w:pPr>
      <w:r>
        <w:rPr>
          <w:rFonts w:eastAsia="Arial Unicode MS"/>
          <w:noProof/>
        </w:rPr>
        <w:t xml:space="preserve">The aim of the Protocol is to modify the definition of terrorist offences in Article 1 of Convention No.196 in order to adopt a wider and more suitable legal definition of terrorist offences in the Council of Europe level to address contemporary and future counter-terrorism challenges. This Protocol </w:t>
      </w:r>
      <w:r>
        <w:rPr>
          <w:noProof/>
          <w:szCs w:val="24"/>
          <w:lang w:val="en-IE"/>
        </w:rPr>
        <w:t xml:space="preserve">will </w:t>
      </w:r>
      <w:r w:rsidRPr="001428C1">
        <w:rPr>
          <w:noProof/>
          <w:szCs w:val="24"/>
          <w:lang w:val="en-IE"/>
        </w:rPr>
        <w:t>offer substantive added value for judicial cooperation, mutual legal assistance and extradition requests</w:t>
      </w:r>
      <w:r>
        <w:rPr>
          <w:noProof/>
          <w:szCs w:val="24"/>
          <w:lang w:val="en-IE"/>
        </w:rPr>
        <w:t xml:space="preserve"> among States Parties to the Protocol and the Convention No. 196. </w:t>
      </w:r>
    </w:p>
    <w:p w14:paraId="07B8CC3C" w14:textId="77777777" w:rsidR="00A605B5" w:rsidRDefault="001738AA" w:rsidP="00A605B5">
      <w:pPr>
        <w:pBdr>
          <w:top w:val="nil"/>
          <w:left w:val="nil"/>
          <w:bottom w:val="nil"/>
          <w:right w:val="nil"/>
          <w:between w:val="nil"/>
          <w:bar w:val="nil"/>
        </w:pBdr>
        <w:spacing w:before="0" w:after="240"/>
        <w:rPr>
          <w:noProof/>
          <w:szCs w:val="24"/>
        </w:rPr>
      </w:pPr>
      <w:r>
        <w:rPr>
          <w:noProof/>
          <w:szCs w:val="24"/>
          <w:lang w:val="en-IE"/>
        </w:rPr>
        <w:t xml:space="preserve">Article 1 is the principal and only substantive provision of the Protocol. It aims to replace Article 1 of Convention No. 196 with a new legal definition of terrorist offences. Article 1 of Convention No. 196 is the ‘terminology’ provision, it is not a criminalisation provision. It sets the definition of ‘terrorist offences’ for the purposes of the Convention. </w:t>
      </w:r>
      <w:r w:rsidR="00BC14B0">
        <w:rPr>
          <w:noProof/>
          <w:szCs w:val="24"/>
          <w:lang w:val="en-IE"/>
        </w:rPr>
        <w:t xml:space="preserve">This definition is consistent with Article 3 of Directive (EU) 2017/541 on combating terrorism. </w:t>
      </w:r>
      <w:r>
        <w:rPr>
          <w:rFonts w:eastAsia="Arial Unicode MS"/>
          <w:noProof/>
        </w:rPr>
        <w:t xml:space="preserve">The legal definition found in the Protocol is of a “hybrid” nature, where the first part of the definition refers to the offences within the scope of and as defined in one of the UN counter-terrorism treaties listed in the Appendix of Convention No.196 and the second part provides an exhaustive list of acts which qualify as terrorist offences where they meet cumulative conditions. The second part of the definition </w:t>
      </w:r>
      <w:r w:rsidR="00A605B5">
        <w:rPr>
          <w:rFonts w:eastAsia="Arial Unicode MS"/>
          <w:noProof/>
        </w:rPr>
        <w:t xml:space="preserve">provides an </w:t>
      </w:r>
      <w:r>
        <w:rPr>
          <w:rFonts w:eastAsia="Arial Unicode MS"/>
          <w:noProof/>
        </w:rPr>
        <w:t xml:space="preserve">exhaustive list of criminal acts </w:t>
      </w:r>
      <w:r w:rsidR="00A605B5">
        <w:rPr>
          <w:rFonts w:eastAsia="Arial Unicode MS"/>
          <w:noProof/>
        </w:rPr>
        <w:t xml:space="preserve">that </w:t>
      </w:r>
      <w:r>
        <w:rPr>
          <w:rFonts w:eastAsia="Arial Unicode MS"/>
          <w:noProof/>
        </w:rPr>
        <w:t xml:space="preserve">qualify as terrorist offences where (i) the act is intentional; (ii) the act is defined as an offence under national law; (iii) the act, given its nature or context, may seriously damage a country or an international organisation; (iv) the act is committed with a terrorist aim. </w:t>
      </w:r>
      <w:r w:rsidR="00A605B5" w:rsidRPr="00A605B5">
        <w:rPr>
          <w:noProof/>
          <w:szCs w:val="24"/>
          <w:lang w:val="en-IE"/>
        </w:rPr>
        <w:t>(</w:t>
      </w:r>
      <w:r w:rsidR="00A605B5" w:rsidRPr="00A605B5">
        <w:rPr>
          <w:i/>
          <w:iCs/>
          <w:noProof/>
          <w:szCs w:val="24"/>
          <w:lang w:val="en-IE"/>
        </w:rPr>
        <w:t>for detailed comparison with the EU definition please see above section ‘</w:t>
      </w:r>
      <w:r w:rsidR="00A605B5" w:rsidRPr="00A605B5">
        <w:rPr>
          <w:i/>
          <w:iCs/>
          <w:noProof/>
          <w:szCs w:val="24"/>
        </w:rPr>
        <w:t>Consistency with existing policy provisions in the policy area’</w:t>
      </w:r>
      <w:r w:rsidR="00A605B5" w:rsidRPr="00A605B5">
        <w:rPr>
          <w:noProof/>
          <w:szCs w:val="24"/>
        </w:rPr>
        <w:t>)</w:t>
      </w:r>
    </w:p>
    <w:p w14:paraId="577FC973" w14:textId="77777777" w:rsidR="00BC14B0" w:rsidRDefault="00BC14B0" w:rsidP="00A605B5">
      <w:pPr>
        <w:pBdr>
          <w:top w:val="nil"/>
          <w:left w:val="nil"/>
          <w:bottom w:val="nil"/>
          <w:right w:val="nil"/>
          <w:between w:val="nil"/>
          <w:bar w:val="nil"/>
        </w:pBdr>
        <w:spacing w:before="0" w:after="240"/>
        <w:rPr>
          <w:noProof/>
          <w:szCs w:val="24"/>
        </w:rPr>
      </w:pPr>
      <w:r>
        <w:rPr>
          <w:noProof/>
          <w:szCs w:val="24"/>
        </w:rPr>
        <w:t xml:space="preserve">Article 2 governs signature and ratification. It clarifies that the Protocol shall be open for signature by Parties to Convention No. 196 which the Protocol amends. It shall be subject to ratification, acceptance or approval, and the instruments for these actions shall be deposited with the Secretary-General of the Council of Europe. </w:t>
      </w:r>
    </w:p>
    <w:p w14:paraId="5C602EB2" w14:textId="77777777" w:rsidR="00BC14B0" w:rsidRDefault="00BC14B0" w:rsidP="00A605B5">
      <w:pPr>
        <w:pBdr>
          <w:top w:val="nil"/>
          <w:left w:val="nil"/>
          <w:bottom w:val="nil"/>
          <w:right w:val="nil"/>
          <w:between w:val="nil"/>
          <w:bar w:val="nil"/>
        </w:pBdr>
        <w:spacing w:before="0" w:after="240"/>
        <w:rPr>
          <w:noProof/>
          <w:szCs w:val="24"/>
          <w:lang w:val="en-IE"/>
        </w:rPr>
      </w:pPr>
      <w:r>
        <w:rPr>
          <w:noProof/>
          <w:szCs w:val="24"/>
        </w:rPr>
        <w:t xml:space="preserve">Article 3 sets out how and when the Protocol will enter into force. There are two ways in which the Protocol shall enter into force: (i) on the first day of the month following the expiration of three months after the date on which all Parties to the Convention have expressed their consent to be bound by the Protocol </w:t>
      </w:r>
      <w:r w:rsidRPr="00BC14B0">
        <w:rPr>
          <w:i/>
          <w:iCs/>
          <w:noProof/>
          <w:szCs w:val="24"/>
        </w:rPr>
        <w:t>or</w:t>
      </w:r>
      <w:r>
        <w:rPr>
          <w:noProof/>
          <w:szCs w:val="24"/>
        </w:rPr>
        <w:t xml:space="preserve"> (ii) </w:t>
      </w:r>
      <w:r w:rsidRPr="00BC14B0">
        <w:rPr>
          <w:noProof/>
          <w:szCs w:val="24"/>
          <w:lang w:val="en-IE"/>
        </w:rPr>
        <w:t>following the expir</w:t>
      </w:r>
      <w:r>
        <w:rPr>
          <w:noProof/>
          <w:szCs w:val="24"/>
          <w:lang w:val="en-IE"/>
        </w:rPr>
        <w:t xml:space="preserve">ation of </w:t>
      </w:r>
      <w:r w:rsidRPr="00BC14B0">
        <w:rPr>
          <w:noProof/>
          <w:szCs w:val="24"/>
          <w:lang w:val="en-IE"/>
        </w:rPr>
        <w:t>three years after the date on which it has been opened for signature, the Protocol shall enter into force in respect of those States which have expressed their consent to be bound by it, provided that the Protocol has been ratified by at least two thirds of the Parties to the Convention.</w:t>
      </w:r>
      <w:r w:rsidR="00D1671B">
        <w:rPr>
          <w:noProof/>
          <w:szCs w:val="24"/>
          <w:lang w:val="en-IE"/>
        </w:rPr>
        <w:t xml:space="preserve"> This Article also lays down rules as to provisional application of the Protocol. Prior to entry into force of the Protocol, any Party may declare (either at the signature or at any later moment) that it will apply the Protocol on a provisional basis. </w:t>
      </w:r>
      <w:r w:rsidR="00D1671B" w:rsidRPr="00D1671B">
        <w:rPr>
          <w:noProof/>
          <w:szCs w:val="24"/>
          <w:lang w:val="en-IE"/>
        </w:rPr>
        <w:t>In such cases, the provisions of th</w:t>
      </w:r>
      <w:r w:rsidR="00D1671B">
        <w:rPr>
          <w:noProof/>
          <w:szCs w:val="24"/>
          <w:lang w:val="en-IE"/>
        </w:rPr>
        <w:t>e</w:t>
      </w:r>
      <w:r w:rsidR="00D1671B" w:rsidRPr="00D1671B">
        <w:rPr>
          <w:noProof/>
          <w:szCs w:val="24"/>
          <w:lang w:val="en-IE"/>
        </w:rPr>
        <w:t xml:space="preserve"> Protocol shall apply only with respect to the other Parties to the Convention which have made a declaration to the same effect.</w:t>
      </w:r>
    </w:p>
    <w:p w14:paraId="70EC4E69" w14:textId="77777777" w:rsidR="00942F30" w:rsidRDefault="00494119" w:rsidP="00A605B5">
      <w:pPr>
        <w:pBdr>
          <w:top w:val="nil"/>
          <w:left w:val="nil"/>
          <w:bottom w:val="nil"/>
          <w:right w:val="nil"/>
          <w:between w:val="nil"/>
          <w:bar w:val="nil"/>
        </w:pBdr>
        <w:spacing w:before="0" w:after="240"/>
        <w:rPr>
          <w:noProof/>
          <w:szCs w:val="24"/>
          <w:lang w:val="en-IE"/>
        </w:rPr>
      </w:pPr>
      <w:r>
        <w:rPr>
          <w:noProof/>
          <w:szCs w:val="24"/>
          <w:lang w:val="en-IE"/>
        </w:rPr>
        <w:t xml:space="preserve">Article 4 lays down that from the date of entry into force of the Protocol, the declarations made by Parties </w:t>
      </w:r>
      <w:r w:rsidR="002061B2">
        <w:rPr>
          <w:noProof/>
          <w:szCs w:val="24"/>
          <w:lang w:val="en-IE"/>
        </w:rPr>
        <w:t xml:space="preserve">pursuant to </w:t>
      </w:r>
      <w:r>
        <w:rPr>
          <w:noProof/>
          <w:szCs w:val="24"/>
          <w:lang w:val="en-IE"/>
        </w:rPr>
        <w:t xml:space="preserve">Article 1 of Convention No.196 will lapse. Article 1 paragraph 2 of the Convention allows a State Party or the European Union which is not a party to a treaty listed in the Appendix I to Convention No. 196 to declare that treaty is deemed not included in the Appendix for the purposes of application of the Convention to </w:t>
      </w:r>
      <w:r w:rsidR="00D85195">
        <w:rPr>
          <w:noProof/>
          <w:szCs w:val="24"/>
          <w:lang w:val="en-IE"/>
        </w:rPr>
        <w:t>concerned</w:t>
      </w:r>
      <w:r>
        <w:rPr>
          <w:noProof/>
          <w:szCs w:val="24"/>
          <w:lang w:val="en-IE"/>
        </w:rPr>
        <w:t xml:space="preserve"> Party. </w:t>
      </w:r>
      <w:r w:rsidR="002061B2">
        <w:rPr>
          <w:noProof/>
          <w:szCs w:val="24"/>
          <w:lang w:val="en-IE"/>
        </w:rPr>
        <w:t xml:space="preserve">The European Union has not issued a declaration pursuant to Article 1 of Convention No. 196, therefore this provision </w:t>
      </w:r>
      <w:r w:rsidR="00EE76AD">
        <w:rPr>
          <w:noProof/>
          <w:szCs w:val="24"/>
          <w:lang w:val="en-IE"/>
        </w:rPr>
        <w:t xml:space="preserve">has limited relevance </w:t>
      </w:r>
      <w:r w:rsidR="002061B2">
        <w:rPr>
          <w:noProof/>
          <w:szCs w:val="24"/>
          <w:lang w:val="en-IE"/>
        </w:rPr>
        <w:t xml:space="preserve">for the Union. </w:t>
      </w:r>
    </w:p>
    <w:p w14:paraId="3488F3A1" w14:textId="77777777" w:rsidR="00EE76AD" w:rsidRDefault="00EE76AD" w:rsidP="00A605B5">
      <w:pPr>
        <w:pBdr>
          <w:top w:val="nil"/>
          <w:left w:val="nil"/>
          <w:bottom w:val="nil"/>
          <w:right w:val="nil"/>
          <w:between w:val="nil"/>
          <w:bar w:val="nil"/>
        </w:pBdr>
        <w:spacing w:before="0" w:after="240"/>
        <w:rPr>
          <w:noProof/>
          <w:szCs w:val="24"/>
          <w:lang w:val="en-IE"/>
        </w:rPr>
      </w:pPr>
      <w:r>
        <w:rPr>
          <w:noProof/>
          <w:szCs w:val="24"/>
          <w:lang w:val="en-IE"/>
        </w:rPr>
        <w:lastRenderedPageBreak/>
        <w:t xml:space="preserve">Article 5 clarifies that no reservations are allowed with respect to the provisions of the Protocol. </w:t>
      </w:r>
    </w:p>
    <w:p w14:paraId="04F7271B" w14:textId="77777777" w:rsidR="00EE76AD" w:rsidRDefault="00EE76AD" w:rsidP="00A605B5">
      <w:pPr>
        <w:pBdr>
          <w:top w:val="nil"/>
          <w:left w:val="nil"/>
          <w:bottom w:val="nil"/>
          <w:right w:val="nil"/>
          <w:between w:val="nil"/>
          <w:bar w:val="nil"/>
        </w:pBdr>
        <w:spacing w:before="0" w:after="240"/>
        <w:rPr>
          <w:noProof/>
          <w:szCs w:val="24"/>
          <w:lang w:val="en-IE"/>
        </w:rPr>
      </w:pPr>
      <w:r>
        <w:rPr>
          <w:noProof/>
          <w:szCs w:val="24"/>
          <w:lang w:val="en-IE"/>
        </w:rPr>
        <w:t xml:space="preserve">Article 6 requires the Secretary-General of the Council of Europe to notify the member States of the Council of Europe and any other Party to Convention No.196 of (i) any signature, (ii) the deposit of any instrument of ratification, acceptance or approval, (iii) the date of entry into force of the Protocol and (iv) any other act, notification or communication relating to the Protocol. </w:t>
      </w:r>
    </w:p>
    <w:p w14:paraId="18A3F274" w14:textId="77777777" w:rsidR="00EE76AD" w:rsidRDefault="00EE76AD" w:rsidP="00A605B5">
      <w:pPr>
        <w:pBdr>
          <w:top w:val="nil"/>
          <w:left w:val="nil"/>
          <w:bottom w:val="nil"/>
          <w:right w:val="nil"/>
          <w:between w:val="nil"/>
          <w:bar w:val="nil"/>
        </w:pBdr>
        <w:spacing w:before="0" w:after="240"/>
        <w:rPr>
          <w:noProof/>
          <w:szCs w:val="24"/>
          <w:lang w:val="en-IE"/>
        </w:rPr>
      </w:pPr>
      <w:r>
        <w:rPr>
          <w:noProof/>
          <w:szCs w:val="24"/>
          <w:lang w:val="en-IE"/>
        </w:rPr>
        <w:t xml:space="preserve">The Protocol is accompanied by an Explanatory Report which the Council of Europe Committee of Ministers took note of when they adopted the Protocol on 9 July 2025. The Explanatory Report does not constitute an instrument providing an authoritative interpretation of the Protocol, </w:t>
      </w:r>
      <w:r w:rsidR="006958CF">
        <w:rPr>
          <w:noProof/>
          <w:szCs w:val="24"/>
          <w:lang w:val="en-IE"/>
        </w:rPr>
        <w:t xml:space="preserve">however </w:t>
      </w:r>
      <w:r>
        <w:rPr>
          <w:noProof/>
          <w:szCs w:val="24"/>
          <w:lang w:val="en-IE"/>
        </w:rPr>
        <w:t xml:space="preserve">it </w:t>
      </w:r>
      <w:r w:rsidR="006958CF">
        <w:rPr>
          <w:noProof/>
          <w:szCs w:val="24"/>
          <w:lang w:val="en-IE"/>
        </w:rPr>
        <w:t xml:space="preserve">is intended </w:t>
      </w:r>
      <w:r>
        <w:rPr>
          <w:noProof/>
          <w:szCs w:val="24"/>
          <w:lang w:val="en-IE"/>
        </w:rPr>
        <w:t>to facilitate the application of the provisions contained in the Protocol</w:t>
      </w:r>
      <w:r w:rsidR="006958CF">
        <w:rPr>
          <w:noProof/>
          <w:szCs w:val="24"/>
          <w:lang w:val="en-IE"/>
        </w:rPr>
        <w:t xml:space="preserve"> by Parties</w:t>
      </w:r>
      <w:r>
        <w:rPr>
          <w:noProof/>
          <w:szCs w:val="24"/>
          <w:lang w:val="en-IE"/>
        </w:rPr>
        <w:t xml:space="preserve">. </w:t>
      </w:r>
    </w:p>
    <w:p w14:paraId="64991618" w14:textId="77777777" w:rsidR="00F05ADB" w:rsidRDefault="00F05ADB" w:rsidP="00F05AD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Text of the Agreement and notifications</w:t>
      </w:r>
    </w:p>
    <w:p w14:paraId="5FF17B45" w14:textId="77777777" w:rsidR="00F05ADB" w:rsidRDefault="00F05ADB" w:rsidP="00F05ADB">
      <w:pPr>
        <w:rPr>
          <w:noProof/>
          <w:szCs w:val="24"/>
        </w:rPr>
      </w:pPr>
      <w:r w:rsidRPr="00DB6220">
        <w:rPr>
          <w:noProof/>
          <w:szCs w:val="24"/>
        </w:rPr>
        <w:t xml:space="preserve">The text of the </w:t>
      </w:r>
      <w:r>
        <w:rPr>
          <w:noProof/>
          <w:szCs w:val="24"/>
        </w:rPr>
        <w:t>Protocol</w:t>
      </w:r>
      <w:r w:rsidRPr="00DB6220">
        <w:rPr>
          <w:noProof/>
          <w:szCs w:val="24"/>
        </w:rPr>
        <w:t xml:space="preserve"> is submitted to the Council together with this proposal</w:t>
      </w:r>
      <w:r>
        <w:rPr>
          <w:noProof/>
          <w:szCs w:val="24"/>
        </w:rPr>
        <w:t>.</w:t>
      </w:r>
    </w:p>
    <w:p w14:paraId="03DCAFD6" w14:textId="52158040" w:rsidR="00BF3D36" w:rsidRPr="00BF3D36" w:rsidRDefault="00BF3D36" w:rsidP="00BF3D36">
      <w:pPr>
        <w:rPr>
          <w:noProof/>
          <w:szCs w:val="24"/>
          <w:lang w:val="en-IE"/>
        </w:rPr>
      </w:pPr>
      <w:r w:rsidRPr="00BF3D36">
        <w:rPr>
          <w:noProof/>
          <w:szCs w:val="24"/>
          <w:lang w:val="en-IE"/>
        </w:rPr>
        <w:t xml:space="preserve">In accordance with the Treaties, it is for the Commission to proceed to </w:t>
      </w:r>
      <w:r>
        <w:rPr>
          <w:noProof/>
          <w:szCs w:val="24"/>
          <w:lang w:val="en-IE"/>
        </w:rPr>
        <w:t>deposit the instrument of approval provide</w:t>
      </w:r>
      <w:r w:rsidRPr="00BF3D36">
        <w:rPr>
          <w:noProof/>
          <w:szCs w:val="24"/>
          <w:lang w:val="en-IE"/>
        </w:rPr>
        <w:t xml:space="preserve"> for in Article </w:t>
      </w:r>
      <w:r>
        <w:rPr>
          <w:noProof/>
          <w:szCs w:val="24"/>
          <w:lang w:val="en-IE"/>
        </w:rPr>
        <w:t>2</w:t>
      </w:r>
      <w:r w:rsidRPr="00BF3D36">
        <w:rPr>
          <w:noProof/>
          <w:szCs w:val="24"/>
          <w:lang w:val="en-IE"/>
        </w:rPr>
        <w:t xml:space="preserve"> of the </w:t>
      </w:r>
      <w:r>
        <w:rPr>
          <w:noProof/>
          <w:szCs w:val="24"/>
          <w:lang w:val="en-IE"/>
        </w:rPr>
        <w:t>Protocol</w:t>
      </w:r>
      <w:r w:rsidRPr="00BF3D36">
        <w:rPr>
          <w:noProof/>
          <w:szCs w:val="24"/>
          <w:lang w:val="en-IE"/>
        </w:rPr>
        <w:t xml:space="preserve">, in order to express the consent of the Union to be bound by the Agreement. </w:t>
      </w:r>
    </w:p>
    <w:p w14:paraId="362BCAFA" w14:textId="77777777" w:rsidR="00BF3D36" w:rsidRPr="00754FED" w:rsidRDefault="00BF3D36" w:rsidP="00F05ADB">
      <w:pPr>
        <w:rPr>
          <w:noProof/>
          <w:szCs w:val="24"/>
          <w:lang w:val="en-IE"/>
        </w:rPr>
      </w:pPr>
    </w:p>
    <w:p w14:paraId="4E12FD20" w14:textId="77777777" w:rsidR="00EE76AD" w:rsidRPr="00F05ADB" w:rsidRDefault="00EE76AD" w:rsidP="00A605B5">
      <w:pPr>
        <w:pBdr>
          <w:top w:val="nil"/>
          <w:left w:val="nil"/>
          <w:bottom w:val="nil"/>
          <w:right w:val="nil"/>
          <w:between w:val="nil"/>
          <w:bar w:val="nil"/>
        </w:pBdr>
        <w:spacing w:before="0" w:after="240"/>
        <w:rPr>
          <w:noProof/>
          <w:szCs w:val="24"/>
        </w:rPr>
      </w:pPr>
    </w:p>
    <w:p w14:paraId="4985A684" w14:textId="77777777" w:rsidR="00D1671B" w:rsidRDefault="00D1671B" w:rsidP="00A605B5">
      <w:pPr>
        <w:pBdr>
          <w:top w:val="nil"/>
          <w:left w:val="nil"/>
          <w:bottom w:val="nil"/>
          <w:right w:val="nil"/>
          <w:between w:val="nil"/>
          <w:bar w:val="nil"/>
        </w:pBdr>
        <w:spacing w:before="0" w:after="240"/>
        <w:rPr>
          <w:noProof/>
          <w:szCs w:val="24"/>
        </w:rPr>
      </w:pPr>
    </w:p>
    <w:p w14:paraId="2751F364" w14:textId="77777777" w:rsidR="00A605B5" w:rsidRPr="00A605B5" w:rsidRDefault="00A605B5" w:rsidP="001738AA">
      <w:pPr>
        <w:pBdr>
          <w:top w:val="nil"/>
          <w:left w:val="nil"/>
          <w:bottom w:val="nil"/>
          <w:right w:val="nil"/>
          <w:between w:val="nil"/>
          <w:bar w:val="nil"/>
        </w:pBdr>
        <w:spacing w:before="0" w:after="240"/>
        <w:rPr>
          <w:noProof/>
          <w:szCs w:val="24"/>
          <w:lang w:val="en-IE"/>
        </w:rPr>
      </w:pPr>
    </w:p>
    <w:p w14:paraId="0DF30A37" w14:textId="77777777" w:rsidR="001738AA" w:rsidRPr="001738AA" w:rsidRDefault="001738AA" w:rsidP="001738AA">
      <w:pPr>
        <w:tabs>
          <w:tab w:val="left" w:pos="2160"/>
        </w:tabs>
        <w:rPr>
          <w:noProof/>
          <w:szCs w:val="24"/>
        </w:rPr>
      </w:pPr>
    </w:p>
    <w:p w14:paraId="3FDB8D03" w14:textId="77777777" w:rsidR="001A2C83" w:rsidRDefault="001A2C83" w:rsidP="00750C38">
      <w:pPr>
        <w:rPr>
          <w:noProof/>
        </w:rPr>
        <w:sectPr w:rsidR="001A2C83" w:rsidSect="00903BA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64BD8C4C" w14:textId="4B71BA16" w:rsidR="001A2C83" w:rsidRDefault="00C26B7A" w:rsidP="00C26B7A">
      <w:pPr>
        <w:pStyle w:val="Statut"/>
        <w:rPr>
          <w:noProof/>
        </w:rPr>
      </w:pPr>
      <w:r w:rsidRPr="00C26B7A">
        <w:rPr>
          <w:noProof/>
        </w:rPr>
        <w:lastRenderedPageBreak/>
        <w:t>Recommendation for a</w:t>
      </w:r>
    </w:p>
    <w:p w14:paraId="56BC2224" w14:textId="4C8FEA49" w:rsidR="001A2C83" w:rsidRDefault="00C26B7A" w:rsidP="00C26B7A">
      <w:pPr>
        <w:pStyle w:val="Typedudocument"/>
        <w:rPr>
          <w:noProof/>
        </w:rPr>
      </w:pPr>
      <w:r w:rsidRPr="00C26B7A">
        <w:rPr>
          <w:noProof/>
        </w:rPr>
        <w:t>COUNCIL DECISION</w:t>
      </w:r>
    </w:p>
    <w:p w14:paraId="0A769373" w14:textId="6E420E2B" w:rsidR="001A2C83" w:rsidRPr="007F344E" w:rsidRDefault="00C26B7A" w:rsidP="00C26B7A">
      <w:pPr>
        <w:pStyle w:val="Titreobjet"/>
        <w:rPr>
          <w:noProof/>
        </w:rPr>
      </w:pPr>
      <w:r w:rsidRPr="00C26B7A">
        <w:rPr>
          <w:noProof/>
        </w:rPr>
        <w:t>on the conclusion, on behalf of the European Union, of the Protocol amending the Council of Europe Convention on the prevention of terrorism</w:t>
      </w:r>
    </w:p>
    <w:p w14:paraId="02036A7D" w14:textId="77777777" w:rsidR="001A2C83" w:rsidRDefault="001A2C83" w:rsidP="00750C38">
      <w:pPr>
        <w:pStyle w:val="Institutionquiagit"/>
        <w:rPr>
          <w:noProof/>
        </w:rPr>
      </w:pPr>
      <w:r w:rsidRPr="008C4321">
        <w:rPr>
          <w:noProof/>
        </w:rPr>
        <w:t>THE COUNCIL OF THE EUROPEAN UNION,</w:t>
      </w:r>
    </w:p>
    <w:p w14:paraId="5818EA5E" w14:textId="77777777" w:rsidR="001A2C83" w:rsidRDefault="00CF38BB" w:rsidP="00750C38">
      <w:pPr>
        <w:rPr>
          <w:noProof/>
        </w:rPr>
      </w:pPr>
      <w:r>
        <w:rPr>
          <w:noProof/>
        </w:rPr>
        <w:t>Having regard to the Treaty on the Functioning of the European Union, and in particular Article 83(1)</w:t>
      </w:r>
      <w:r w:rsidR="00921B7F">
        <w:rPr>
          <w:noProof/>
        </w:rPr>
        <w:t>, in conjunction with</w:t>
      </w:r>
      <w:r>
        <w:rPr>
          <w:noProof/>
        </w:rPr>
        <w:t xml:space="preserve"> Article 218(</w:t>
      </w:r>
      <w:r w:rsidR="00A81973">
        <w:rPr>
          <w:noProof/>
        </w:rPr>
        <w:t>6</w:t>
      </w:r>
      <w:r>
        <w:rPr>
          <w:noProof/>
        </w:rPr>
        <w:t xml:space="preserve">) </w:t>
      </w:r>
      <w:r w:rsidR="00921B7F">
        <w:rPr>
          <w:noProof/>
        </w:rPr>
        <w:t xml:space="preserve">second subparagraph, point (a) </w:t>
      </w:r>
      <w:r>
        <w:rPr>
          <w:noProof/>
        </w:rPr>
        <w:t xml:space="preserve">thereof, </w:t>
      </w:r>
    </w:p>
    <w:p w14:paraId="4EE3F164" w14:textId="77777777" w:rsidR="00CF38BB" w:rsidRDefault="00CF38BB" w:rsidP="00750C38">
      <w:pPr>
        <w:rPr>
          <w:noProof/>
        </w:rPr>
      </w:pPr>
      <w:r>
        <w:rPr>
          <w:noProof/>
        </w:rPr>
        <w:t xml:space="preserve">Having regard to the proposal from the European Commission, </w:t>
      </w:r>
    </w:p>
    <w:p w14:paraId="19B0609F" w14:textId="77777777" w:rsidR="00A81973" w:rsidRDefault="00A81973" w:rsidP="00750C38">
      <w:pPr>
        <w:rPr>
          <w:noProof/>
        </w:rPr>
      </w:pPr>
      <w:r>
        <w:rPr>
          <w:noProof/>
        </w:rPr>
        <w:t xml:space="preserve">Having regard to the consent of the European Parliament, </w:t>
      </w:r>
    </w:p>
    <w:p w14:paraId="1E777EB1" w14:textId="77777777" w:rsidR="00CF38BB" w:rsidRDefault="00CF38BB" w:rsidP="00750C38">
      <w:pPr>
        <w:rPr>
          <w:noProof/>
        </w:rPr>
      </w:pPr>
      <w:r>
        <w:rPr>
          <w:noProof/>
        </w:rPr>
        <w:t>Whereas:</w:t>
      </w:r>
    </w:p>
    <w:p w14:paraId="6944185A" w14:textId="539B3D09" w:rsidR="00A15405" w:rsidRPr="00A15405" w:rsidRDefault="00A15405" w:rsidP="00B93145">
      <w:pPr>
        <w:pStyle w:val="Point0"/>
        <w:rPr>
          <w:noProof/>
        </w:rPr>
      </w:pPr>
      <w:r>
        <w:rPr>
          <w:noProof/>
        </w:rPr>
        <w:t>(1)</w:t>
      </w:r>
      <w:r>
        <w:rPr>
          <w:noProof/>
        </w:rPr>
        <w:tab/>
        <w:t>In accordance with Council Decision (EU) [signing decision]</w:t>
      </w:r>
      <w:r w:rsidR="006B3B89">
        <w:rPr>
          <w:rStyle w:val="FootnoteReference"/>
          <w:noProof/>
        </w:rPr>
        <w:footnoteReference w:id="13"/>
      </w:r>
      <w:r>
        <w:rPr>
          <w:noProof/>
        </w:rPr>
        <w:t xml:space="preserve">, </w:t>
      </w:r>
      <w:r w:rsidR="000D0D42">
        <w:rPr>
          <w:noProof/>
          <w:szCs w:val="24"/>
          <w:lang w:val="en-IE"/>
        </w:rPr>
        <w:t>the Protocol amending the Council of Europe Convention on the prevention of terrorism (‘the Protocol’) was signed on [date], on behalf of the Union, subject to its conclusion at a later date.</w:t>
      </w:r>
    </w:p>
    <w:p w14:paraId="74671C8B" w14:textId="77777777" w:rsidR="002A0006" w:rsidRDefault="002A0006" w:rsidP="00CF38BB">
      <w:pPr>
        <w:pStyle w:val="Point0"/>
        <w:rPr>
          <w:noProof/>
        </w:rPr>
      </w:pPr>
      <w:r>
        <w:rPr>
          <w:noProof/>
        </w:rPr>
        <w:t>(2)</w:t>
      </w:r>
      <w:r>
        <w:rPr>
          <w:noProof/>
        </w:rPr>
        <w:tab/>
        <w:t xml:space="preserve">The Protocol is in conformity with the security objectives of the European Union as referred to in Article 67(3) of the Treaty on the Functioning of the European Union, namely through approximation of criminal laws to ensure a high level of security to prevent and combat crime, including terrorism. </w:t>
      </w:r>
    </w:p>
    <w:p w14:paraId="32BEF742" w14:textId="77777777" w:rsidR="00873E2E" w:rsidRDefault="002A0006" w:rsidP="00CF38BB">
      <w:pPr>
        <w:pStyle w:val="Point0"/>
        <w:rPr>
          <w:noProof/>
        </w:rPr>
      </w:pPr>
      <w:r>
        <w:rPr>
          <w:noProof/>
        </w:rPr>
        <w:t>(3)</w:t>
      </w:r>
      <w:r>
        <w:rPr>
          <w:noProof/>
        </w:rPr>
        <w:tab/>
        <w:t xml:space="preserve">The Protocol amends the Council of Europe Convention on the prevention of terrorism by replacing the definition of ‘terrorist offences’ in Article 1 therein, with a modified definition introduced by the Protocol. </w:t>
      </w:r>
    </w:p>
    <w:p w14:paraId="63207511" w14:textId="77777777" w:rsidR="002A0006" w:rsidRDefault="002A0006" w:rsidP="00CF38BB">
      <w:pPr>
        <w:pStyle w:val="Point0"/>
        <w:rPr>
          <w:noProof/>
        </w:rPr>
      </w:pPr>
      <w:r>
        <w:rPr>
          <w:noProof/>
        </w:rPr>
        <w:t>(4)</w:t>
      </w:r>
      <w:r>
        <w:rPr>
          <w:noProof/>
        </w:rPr>
        <w:tab/>
        <w:t xml:space="preserve">The modified definition of terrorist offences in the Protocol addresses the need to adopt a wider and more suitable </w:t>
      </w:r>
      <w:r w:rsidR="00873E2E">
        <w:rPr>
          <w:noProof/>
        </w:rPr>
        <w:t xml:space="preserve">legal </w:t>
      </w:r>
      <w:r>
        <w:rPr>
          <w:noProof/>
        </w:rPr>
        <w:t>definition of terrorist offences at the level of Council of Europe in order to address contemporary and future counter-terrorism challenges.</w:t>
      </w:r>
    </w:p>
    <w:p w14:paraId="6F380210" w14:textId="77777777" w:rsidR="00873E2E" w:rsidRDefault="00873E2E" w:rsidP="00CF38BB">
      <w:pPr>
        <w:pStyle w:val="Point0"/>
        <w:rPr>
          <w:noProof/>
          <w:lang w:val="en-IE"/>
        </w:rPr>
      </w:pPr>
      <w:r>
        <w:rPr>
          <w:noProof/>
        </w:rPr>
        <w:t>(5)</w:t>
      </w:r>
      <w:r>
        <w:rPr>
          <w:noProof/>
        </w:rPr>
        <w:tab/>
      </w:r>
      <w:r w:rsidRPr="00873E2E">
        <w:rPr>
          <w:noProof/>
          <w:lang w:val="en-IE"/>
        </w:rPr>
        <w:t xml:space="preserve">The Protocol, by introducing a legal definition of terrorist offences, will offer substantive added value for judicial cooperation, mutual legal assistance and extradition requests among States Parties </w:t>
      </w:r>
      <w:r>
        <w:rPr>
          <w:noProof/>
          <w:lang w:val="en-IE"/>
        </w:rPr>
        <w:t xml:space="preserve">to the Protocol and the Council of Europe Convention on the prevention of terrorism. </w:t>
      </w:r>
    </w:p>
    <w:p w14:paraId="52B40770" w14:textId="77777777" w:rsidR="002A0006" w:rsidRDefault="00873E2E" w:rsidP="00CF38BB">
      <w:pPr>
        <w:pStyle w:val="Point0"/>
        <w:rPr>
          <w:noProof/>
        </w:rPr>
      </w:pPr>
      <w:r>
        <w:rPr>
          <w:noProof/>
        </w:rPr>
        <w:t>(6)</w:t>
      </w:r>
      <w:r>
        <w:rPr>
          <w:noProof/>
        </w:rPr>
        <w:tab/>
        <w:t>With its participation in the negotiations, on behalf of the Union, the Commission ensured the compability of the Protocol with relevant European Union rules. Notably, the legal definition of terrorist offences introduced by the Protocol is compatible and consistent with the EU definition of terrorist offences laid down in Article 3 of Directive (EU) 2017/541 on combating terrorism.</w:t>
      </w:r>
    </w:p>
    <w:p w14:paraId="5F8E359E" w14:textId="77777777" w:rsidR="00873E2E" w:rsidRPr="00873E2E" w:rsidRDefault="00873E2E" w:rsidP="00CF38BB">
      <w:pPr>
        <w:pStyle w:val="Point0"/>
        <w:rPr>
          <w:noProof/>
        </w:rPr>
      </w:pPr>
      <w:r>
        <w:rPr>
          <w:noProof/>
        </w:rPr>
        <w:t>(7)</w:t>
      </w:r>
      <w:r>
        <w:rPr>
          <w:noProof/>
        </w:rPr>
        <w:tab/>
        <w:t xml:space="preserve">The Preamble of the Protocol reaffirms that </w:t>
      </w:r>
      <w:r w:rsidRPr="00873E2E">
        <w:rPr>
          <w:noProof/>
          <w:lang w:val="en-IE"/>
        </w:rPr>
        <w:t>all measures taken to prevent or suppress terrorist offences in this Protocol shall be in accordance with relevant human rights and fundamental freedoms, particularly those enshrined in the Convention for the Protection of Human Rights and Fundamental Freedoms</w:t>
      </w:r>
      <w:r>
        <w:rPr>
          <w:noProof/>
          <w:lang w:val="en-IE"/>
        </w:rPr>
        <w:t xml:space="preserve">, </w:t>
      </w:r>
      <w:r w:rsidRPr="00873E2E">
        <w:rPr>
          <w:noProof/>
          <w:lang w:val="en-IE"/>
        </w:rPr>
        <w:t xml:space="preserve">as well as other obligations </w:t>
      </w:r>
      <w:r w:rsidRPr="00873E2E">
        <w:rPr>
          <w:noProof/>
          <w:lang w:val="en-IE"/>
        </w:rPr>
        <w:lastRenderedPageBreak/>
        <w:t>under international law, including, where applicable, international humanitarian law</w:t>
      </w:r>
      <w:r>
        <w:rPr>
          <w:noProof/>
          <w:lang w:val="en-IE"/>
        </w:rPr>
        <w:t>. This is in line with human rights, fundamental freedoms and international law safeguards and protection measures under EU law.</w:t>
      </w:r>
    </w:p>
    <w:p w14:paraId="6DABD7BF" w14:textId="77777777" w:rsidR="00873E2E" w:rsidRPr="00A848E3" w:rsidRDefault="00873E2E" w:rsidP="00CF38BB">
      <w:pPr>
        <w:pStyle w:val="Point0"/>
        <w:rPr>
          <w:noProof/>
        </w:rPr>
      </w:pPr>
      <w:r>
        <w:rPr>
          <w:noProof/>
        </w:rPr>
        <w:t>(8)</w:t>
      </w:r>
      <w:r>
        <w:rPr>
          <w:noProof/>
        </w:rPr>
        <w:tab/>
      </w:r>
      <w:r>
        <w:rPr>
          <w:noProof/>
          <w:lang w:val="en-IE"/>
        </w:rPr>
        <w:t>As the European Union is a Party to the Council of Europe Convention on the prevention of terrorism</w:t>
      </w:r>
      <w:r w:rsidR="00A848E3">
        <w:rPr>
          <w:noProof/>
          <w:lang w:val="en-IE"/>
        </w:rPr>
        <w:t>, the Protocol is open for signature</w:t>
      </w:r>
      <w:r w:rsidR="00695D13">
        <w:rPr>
          <w:noProof/>
          <w:lang w:val="en-IE"/>
        </w:rPr>
        <w:t xml:space="preserve"> and ratification</w:t>
      </w:r>
      <w:r w:rsidR="00A848E3">
        <w:rPr>
          <w:noProof/>
          <w:lang w:val="en-IE"/>
        </w:rPr>
        <w:t xml:space="preserve"> by the Union. </w:t>
      </w:r>
    </w:p>
    <w:p w14:paraId="5E6285E0" w14:textId="77777777" w:rsidR="00D310B5" w:rsidRPr="00754FED" w:rsidRDefault="00A848E3" w:rsidP="00CF38BB">
      <w:pPr>
        <w:pStyle w:val="Point0"/>
        <w:rPr>
          <w:noProof/>
        </w:rPr>
      </w:pPr>
      <w:r>
        <w:rPr>
          <w:noProof/>
        </w:rPr>
        <w:t>(9)</w:t>
      </w:r>
      <w:r>
        <w:rPr>
          <w:noProof/>
        </w:rPr>
        <w:tab/>
      </w:r>
      <w:r w:rsidRPr="00A848E3">
        <w:rPr>
          <w:noProof/>
          <w:lang w:val="en-IE"/>
        </w:rPr>
        <w:t xml:space="preserve">The swift </w:t>
      </w:r>
      <w:r w:rsidR="004B6D49">
        <w:rPr>
          <w:noProof/>
          <w:lang w:val="en-IE"/>
        </w:rPr>
        <w:t xml:space="preserve">conclusion </w:t>
      </w:r>
      <w:r w:rsidRPr="00A848E3">
        <w:rPr>
          <w:noProof/>
          <w:lang w:val="en-IE"/>
        </w:rPr>
        <w:t xml:space="preserve">of the Protocol by the European Union will </w:t>
      </w:r>
      <w:r>
        <w:rPr>
          <w:noProof/>
          <w:lang w:val="en-IE"/>
        </w:rPr>
        <w:t xml:space="preserve">highlight </w:t>
      </w:r>
      <w:r w:rsidRPr="00A848E3">
        <w:rPr>
          <w:noProof/>
          <w:lang w:val="en-IE"/>
        </w:rPr>
        <w:t xml:space="preserve">the European Union’s support for a </w:t>
      </w:r>
      <w:r w:rsidR="006A1A95">
        <w:rPr>
          <w:noProof/>
          <w:lang w:val="en-IE"/>
        </w:rPr>
        <w:t xml:space="preserve">common </w:t>
      </w:r>
      <w:r w:rsidRPr="00A848E3">
        <w:rPr>
          <w:noProof/>
          <w:lang w:val="en-IE"/>
        </w:rPr>
        <w:t xml:space="preserve">pan-European common definition of ‘terrorist offences’ </w:t>
      </w:r>
      <w:r>
        <w:rPr>
          <w:noProof/>
          <w:lang w:val="en-IE"/>
        </w:rPr>
        <w:t xml:space="preserve">which will enhance </w:t>
      </w:r>
      <w:r w:rsidR="0081570D">
        <w:rPr>
          <w:noProof/>
          <w:lang w:val="en-IE"/>
        </w:rPr>
        <w:t xml:space="preserve">regional </w:t>
      </w:r>
      <w:r w:rsidR="00C86855">
        <w:rPr>
          <w:noProof/>
          <w:lang w:val="en-IE"/>
        </w:rPr>
        <w:t xml:space="preserve">and international </w:t>
      </w:r>
      <w:r>
        <w:rPr>
          <w:noProof/>
          <w:lang w:val="en-IE"/>
        </w:rPr>
        <w:t>counter-terrorism efforts</w:t>
      </w:r>
      <w:r w:rsidRPr="00A848E3">
        <w:rPr>
          <w:noProof/>
          <w:lang w:val="en-IE"/>
        </w:rPr>
        <w:t xml:space="preserve">. The swift </w:t>
      </w:r>
      <w:r w:rsidR="004B6D49">
        <w:rPr>
          <w:noProof/>
          <w:lang w:val="en-IE"/>
        </w:rPr>
        <w:t xml:space="preserve">conclusion </w:t>
      </w:r>
      <w:r w:rsidRPr="00A848E3">
        <w:rPr>
          <w:noProof/>
          <w:lang w:val="en-IE"/>
        </w:rPr>
        <w:t>of the Protocol will also facilitate the timely entry into force of the Protocol.</w:t>
      </w:r>
    </w:p>
    <w:p w14:paraId="7480A30F" w14:textId="3D9AE172" w:rsidR="00A848E3" w:rsidRPr="00365A1A" w:rsidRDefault="00D310B5" w:rsidP="00CF38BB">
      <w:pPr>
        <w:pStyle w:val="Point0"/>
        <w:rPr>
          <w:noProof/>
        </w:rPr>
      </w:pPr>
      <w:r>
        <w:rPr>
          <w:noProof/>
        </w:rPr>
        <w:t>(10)</w:t>
      </w:r>
      <w:r>
        <w:rPr>
          <w:noProof/>
        </w:rPr>
        <w:tab/>
      </w:r>
      <w:r>
        <w:rPr>
          <w:noProof/>
          <w:lang w:val="en-IE"/>
        </w:rPr>
        <w:t>During the first three yea</w:t>
      </w:r>
      <w:r w:rsidR="00EC5CB2">
        <w:rPr>
          <w:noProof/>
          <w:lang w:val="en-IE"/>
        </w:rPr>
        <w:t>r</w:t>
      </w:r>
      <w:r>
        <w:rPr>
          <w:noProof/>
          <w:lang w:val="en-IE"/>
        </w:rPr>
        <w:t xml:space="preserve">s following the signing of the Protocol, all parties to the Convention need to express their consent to be bound. After those </w:t>
      </w:r>
      <w:r w:rsidR="00EC5CB2">
        <w:rPr>
          <w:noProof/>
          <w:lang w:val="en-IE"/>
        </w:rPr>
        <w:t>three</w:t>
      </w:r>
      <w:r>
        <w:rPr>
          <w:noProof/>
          <w:lang w:val="en-IE"/>
        </w:rPr>
        <w:t xml:space="preserve"> years, the Protocol </w:t>
      </w:r>
      <w:r w:rsidRPr="00BC2C83">
        <w:rPr>
          <w:noProof/>
        </w:rPr>
        <w:t>shall enter into force for those parties having expressed their consent to be bound, provided that the number of those parties is at least equal to 2/3 of the parties to the Convention</w:t>
      </w:r>
      <w:r>
        <w:rPr>
          <w:noProof/>
        </w:rPr>
        <w:t xml:space="preserve">. </w:t>
      </w:r>
      <w:r>
        <w:rPr>
          <w:noProof/>
          <w:lang w:val="en-IE"/>
        </w:rPr>
        <w:t>Given that the Member States are also parties to the Convention, it means that the Protocol would never enter into force</w:t>
      </w:r>
      <w:r w:rsidRPr="00893298">
        <w:rPr>
          <w:noProof/>
          <w:lang w:val="en-IE"/>
        </w:rPr>
        <w:t xml:space="preserve"> </w:t>
      </w:r>
      <w:r>
        <w:rPr>
          <w:noProof/>
          <w:lang w:val="en-IE"/>
        </w:rPr>
        <w:t xml:space="preserve">should they not express their consent to be bound by it. Since the Protocol falls within the exclusive competence of the Union, Member States would not be able act without being empowered by the Union. </w:t>
      </w:r>
      <w:r w:rsidRPr="00893298">
        <w:rPr>
          <w:noProof/>
        </w:rPr>
        <w:t xml:space="preserve">It is therefore appropriate that the Member States should also be authorised to </w:t>
      </w:r>
      <w:r>
        <w:rPr>
          <w:noProof/>
        </w:rPr>
        <w:t>become parties to</w:t>
      </w:r>
      <w:r w:rsidRPr="00893298">
        <w:rPr>
          <w:noProof/>
        </w:rPr>
        <w:t>, alongside the Union</w:t>
      </w:r>
      <w:r>
        <w:rPr>
          <w:noProof/>
        </w:rPr>
        <w:t>,</w:t>
      </w:r>
      <w:r w:rsidRPr="00893298">
        <w:rPr>
          <w:noProof/>
        </w:rPr>
        <w:t xml:space="preserve"> the </w:t>
      </w:r>
      <w:r>
        <w:rPr>
          <w:noProof/>
        </w:rPr>
        <w:t>Protocol</w:t>
      </w:r>
      <w:r w:rsidRPr="00893298">
        <w:rPr>
          <w:noProof/>
        </w:rPr>
        <w:t xml:space="preserve"> in the interest of the Union.</w:t>
      </w:r>
      <w:r w:rsidR="00A848E3" w:rsidRPr="00A848E3">
        <w:rPr>
          <w:noProof/>
          <w:lang w:val="en-IE"/>
        </w:rPr>
        <w:t xml:space="preserve"> </w:t>
      </w:r>
    </w:p>
    <w:p w14:paraId="05FC6D37" w14:textId="77777777" w:rsidR="00365A1A" w:rsidRPr="002D271A" w:rsidRDefault="00365A1A" w:rsidP="00CF38BB">
      <w:pPr>
        <w:pStyle w:val="Point0"/>
        <w:rPr>
          <w:noProof/>
        </w:rPr>
      </w:pPr>
      <w:r>
        <w:rPr>
          <w:noProof/>
        </w:rPr>
        <w:t>(11)</w:t>
      </w:r>
      <w:r>
        <w:rPr>
          <w:noProof/>
        </w:rPr>
        <w:tab/>
      </w:r>
      <w:r>
        <w:rPr>
          <w:noProof/>
          <w:lang w:val="en-IE"/>
        </w:rPr>
        <w:t xml:space="preserve">[In accordance with Article 3 of Protocol No 21 on the position of the United Kingdom and Ireland in respect of the area of freedom, security and justice, annexed to the Treaty on European Union and to the Treaty on the Functioning of the European Union, </w:t>
      </w:r>
      <w:r w:rsidR="002D271A">
        <w:rPr>
          <w:noProof/>
          <w:lang w:val="en-IE"/>
        </w:rPr>
        <w:t>Ireland has notificed [, by letter of …] its wish to take part in the adoption and application of this Decision.”]</w:t>
      </w:r>
    </w:p>
    <w:p w14:paraId="3FF686B6" w14:textId="77777777" w:rsidR="002D271A" w:rsidRDefault="002D271A" w:rsidP="002D271A">
      <w:pPr>
        <w:pStyle w:val="Point0"/>
        <w:rPr>
          <w:noProof/>
          <w:lang w:val="en-IE"/>
        </w:rPr>
      </w:pPr>
      <w:r>
        <w:rPr>
          <w:noProof/>
        </w:rPr>
        <w:t>(12)</w:t>
      </w:r>
      <w:r>
        <w:rPr>
          <w:noProof/>
        </w:rPr>
        <w:tab/>
      </w:r>
      <w:r>
        <w:rPr>
          <w:noProof/>
          <w:lang w:val="en-IE"/>
        </w:rPr>
        <w:t xml:space="preserve">OR </w:t>
      </w:r>
    </w:p>
    <w:p w14:paraId="6F9AC2A4" w14:textId="77777777" w:rsidR="002D271A" w:rsidRPr="002D271A" w:rsidRDefault="002D271A" w:rsidP="002D271A">
      <w:pPr>
        <w:pStyle w:val="Point0"/>
        <w:rPr>
          <w:noProof/>
        </w:rPr>
      </w:pPr>
      <w:r>
        <w:rPr>
          <w:noProof/>
        </w:rPr>
        <w:t>(13)</w:t>
      </w:r>
      <w:r>
        <w:rPr>
          <w:noProof/>
        </w:rPr>
        <w:tab/>
      </w:r>
      <w:r>
        <w:rPr>
          <w:noProof/>
          <w:lang w:val="en-IE"/>
        </w:rPr>
        <w:t>[In accordance with Articles 1 and 2 of Protocol No 21 on the position of the United Kingdom and Ireland in respect of the area of freedom, security and justice, annexed to the Treaty on European Union and to the Treaty on the Functioning of the European Union, Ireland is not taking part in the adoption of this Decision and is not bound by it or subject to its application.”]</w:t>
      </w:r>
    </w:p>
    <w:p w14:paraId="3C451A23" w14:textId="71079ECC" w:rsidR="00996DBC" w:rsidRDefault="00996DBC" w:rsidP="00D57F55">
      <w:pPr>
        <w:pStyle w:val="Point0"/>
        <w:rPr>
          <w:noProof/>
        </w:rPr>
      </w:pPr>
      <w:r>
        <w:rPr>
          <w:noProof/>
        </w:rPr>
        <w:t>(14)</w:t>
      </w:r>
      <w:r>
        <w:rPr>
          <w:noProof/>
        </w:rPr>
        <w:tab/>
      </w:r>
      <w:r w:rsidRPr="004006E8">
        <w:rPr>
          <w:noProof/>
        </w:rPr>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r>
        <w:rPr>
          <w:noProof/>
        </w:rPr>
        <w:t>.</w:t>
      </w:r>
    </w:p>
    <w:p w14:paraId="1F29F535" w14:textId="79C797CB" w:rsidR="00D57F55" w:rsidRPr="00A848E3" w:rsidRDefault="002D271A" w:rsidP="00D57F55">
      <w:pPr>
        <w:pStyle w:val="Point0"/>
        <w:rPr>
          <w:noProof/>
        </w:rPr>
      </w:pPr>
      <w:r>
        <w:rPr>
          <w:noProof/>
        </w:rPr>
        <w:t>(15)</w:t>
      </w:r>
      <w:r>
        <w:rPr>
          <w:noProof/>
        </w:rPr>
        <w:tab/>
        <w:t>The Protocol should be</w:t>
      </w:r>
      <w:r w:rsidR="004B6D49">
        <w:rPr>
          <w:noProof/>
        </w:rPr>
        <w:t xml:space="preserve"> </w:t>
      </w:r>
      <w:r w:rsidR="00921B7F">
        <w:rPr>
          <w:noProof/>
        </w:rPr>
        <w:t>approved</w:t>
      </w:r>
      <w:r w:rsidR="006B3B89">
        <w:rPr>
          <w:noProof/>
        </w:rPr>
        <w:t>,</w:t>
      </w:r>
      <w:r>
        <w:rPr>
          <w:noProof/>
        </w:rPr>
        <w:t xml:space="preserve"> </w:t>
      </w:r>
    </w:p>
    <w:p w14:paraId="27B0ADD3" w14:textId="77777777" w:rsidR="001A2C83" w:rsidRDefault="001A2C83" w:rsidP="00750C38">
      <w:pPr>
        <w:pStyle w:val="Formuledadoption"/>
        <w:rPr>
          <w:noProof/>
        </w:rPr>
      </w:pPr>
      <w:r w:rsidRPr="008C4321">
        <w:rPr>
          <w:noProof/>
        </w:rPr>
        <w:t xml:space="preserve">HAS ADOPTED THIS DECISION: </w:t>
      </w:r>
    </w:p>
    <w:p w14:paraId="40093AA3" w14:textId="77777777" w:rsidR="001A2C83" w:rsidRDefault="001A2C83" w:rsidP="00750C38">
      <w:pPr>
        <w:pStyle w:val="Titrearticle"/>
        <w:rPr>
          <w:noProof/>
        </w:rPr>
      </w:pPr>
      <w:r w:rsidRPr="008C4321">
        <w:rPr>
          <w:noProof/>
        </w:rPr>
        <w:t xml:space="preserve">Article </w:t>
      </w:r>
      <w:r w:rsidR="004463CC">
        <w:rPr>
          <w:noProof/>
        </w:rPr>
        <w:t>1</w:t>
      </w:r>
    </w:p>
    <w:p w14:paraId="3D1B67E4" w14:textId="0009B4CB" w:rsidR="001A2C83" w:rsidRDefault="004463CC" w:rsidP="00213050">
      <w:pPr>
        <w:rPr>
          <w:noProof/>
        </w:rPr>
      </w:pPr>
      <w:bookmarkStart w:id="3" w:name="_CopyToNewDocument_"/>
      <w:bookmarkEnd w:id="3"/>
      <w:r>
        <w:rPr>
          <w:noProof/>
        </w:rPr>
        <w:t xml:space="preserve">The Protocol amending the Council of Europe Convention on the prevention of terrorism (‘the Protocol’) is hereby </w:t>
      </w:r>
      <w:r w:rsidR="00921B7F">
        <w:rPr>
          <w:noProof/>
        </w:rPr>
        <w:t>approved</w:t>
      </w:r>
      <w:r w:rsidR="006B3B89">
        <w:rPr>
          <w:rStyle w:val="FootnoteReference"/>
          <w:noProof/>
        </w:rPr>
        <w:footnoteReference w:id="14"/>
      </w:r>
      <w:r>
        <w:rPr>
          <w:noProof/>
        </w:rPr>
        <w:t xml:space="preserve">. </w:t>
      </w:r>
    </w:p>
    <w:p w14:paraId="5F6D6626" w14:textId="0F6989D2" w:rsidR="004463CC" w:rsidRDefault="004463CC" w:rsidP="00213050">
      <w:pPr>
        <w:rPr>
          <w:noProof/>
        </w:rPr>
      </w:pPr>
    </w:p>
    <w:p w14:paraId="082C2499" w14:textId="77777777" w:rsidR="005A307C" w:rsidRDefault="005A307C" w:rsidP="005A307C">
      <w:pPr>
        <w:pStyle w:val="Titrearticle"/>
        <w:rPr>
          <w:noProof/>
        </w:rPr>
      </w:pPr>
      <w:r w:rsidRPr="008C4321">
        <w:rPr>
          <w:noProof/>
        </w:rPr>
        <w:lastRenderedPageBreak/>
        <w:t xml:space="preserve">Article </w:t>
      </w:r>
      <w:r>
        <w:rPr>
          <w:noProof/>
        </w:rPr>
        <w:t>2</w:t>
      </w:r>
    </w:p>
    <w:p w14:paraId="7D32EBC7" w14:textId="7D3A6F66" w:rsidR="005A307C" w:rsidRDefault="005A307C" w:rsidP="005A307C">
      <w:pPr>
        <w:rPr>
          <w:noProof/>
        </w:rPr>
      </w:pPr>
      <w:r w:rsidRPr="00893298">
        <w:rPr>
          <w:noProof/>
        </w:rPr>
        <w:t xml:space="preserve">Member States are hereby authorised to </w:t>
      </w:r>
      <w:r>
        <w:rPr>
          <w:noProof/>
        </w:rPr>
        <w:t>conclude</w:t>
      </w:r>
      <w:r w:rsidRPr="00893298">
        <w:rPr>
          <w:noProof/>
        </w:rPr>
        <w:t xml:space="preserve">, alongside the Union, the </w:t>
      </w:r>
      <w:r>
        <w:rPr>
          <w:noProof/>
        </w:rPr>
        <w:t>Protocol</w:t>
      </w:r>
      <w:r w:rsidRPr="00893298">
        <w:rPr>
          <w:noProof/>
        </w:rPr>
        <w:t xml:space="preserve"> in the interest of the Union and in full respect of its exclusive competence.</w:t>
      </w:r>
    </w:p>
    <w:p w14:paraId="02F4B539" w14:textId="5ED8E7FF" w:rsidR="004463CC" w:rsidRDefault="004463CC" w:rsidP="004463CC">
      <w:pPr>
        <w:pStyle w:val="Titrearticle"/>
        <w:rPr>
          <w:noProof/>
        </w:rPr>
      </w:pPr>
      <w:r w:rsidRPr="008C4321">
        <w:rPr>
          <w:noProof/>
        </w:rPr>
        <w:t xml:space="preserve">Article </w:t>
      </w:r>
      <w:r w:rsidR="005A307C">
        <w:rPr>
          <w:noProof/>
        </w:rPr>
        <w:t>3</w:t>
      </w:r>
    </w:p>
    <w:p w14:paraId="00D8F107" w14:textId="77777777" w:rsidR="004463CC" w:rsidRDefault="004463CC" w:rsidP="00213050">
      <w:pPr>
        <w:rPr>
          <w:noProof/>
        </w:rPr>
      </w:pPr>
      <w:r>
        <w:rPr>
          <w:noProof/>
        </w:rPr>
        <w:t xml:space="preserve">The Decision shall enter into force on the date following that of its adoption. </w:t>
      </w:r>
    </w:p>
    <w:p w14:paraId="1DA33832" w14:textId="77777777" w:rsidR="004463CC" w:rsidRPr="004463CC" w:rsidRDefault="004463CC" w:rsidP="00213050">
      <w:pPr>
        <w:rPr>
          <w:noProof/>
        </w:rPr>
      </w:pPr>
    </w:p>
    <w:p w14:paraId="19AF8571" w14:textId="1A9D164B" w:rsidR="001A2C83" w:rsidRDefault="00C26B7A" w:rsidP="00B529F8">
      <w:pPr>
        <w:pStyle w:val="Fait"/>
        <w:rPr>
          <w:noProof/>
        </w:rPr>
      </w:pPr>
      <w:r>
        <w:rPr>
          <w:noProof/>
        </w:rPr>
        <w:t>Done at Brussels,</w:t>
      </w:r>
    </w:p>
    <w:p w14:paraId="7D9EF7FB" w14:textId="77777777" w:rsidR="001A2C83" w:rsidRDefault="001A2C83" w:rsidP="00B529F8">
      <w:pPr>
        <w:pStyle w:val="Institutionquisigne"/>
        <w:rPr>
          <w:noProof/>
        </w:rPr>
      </w:pPr>
      <w:r w:rsidRPr="001A2C83">
        <w:rPr>
          <w:noProof/>
        </w:rPr>
        <w:tab/>
        <w:t>For the Council</w:t>
      </w:r>
    </w:p>
    <w:p w14:paraId="569C5C05" w14:textId="77777777" w:rsidR="001A2C83" w:rsidRPr="001A2C83" w:rsidRDefault="001A2C83" w:rsidP="001A2C83">
      <w:pPr>
        <w:pStyle w:val="Personnequisigne"/>
        <w:rPr>
          <w:noProof/>
        </w:rPr>
      </w:pPr>
      <w:r w:rsidRPr="001A2C83">
        <w:rPr>
          <w:noProof/>
        </w:rPr>
        <w:tab/>
        <w:t>The President</w:t>
      </w:r>
    </w:p>
    <w:sectPr w:rsidR="001A2C83" w:rsidRPr="001A2C83" w:rsidSect="00903BA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661C3" w14:textId="77777777" w:rsidR="002803FD" w:rsidRDefault="002803FD" w:rsidP="001A2C83">
      <w:pPr>
        <w:spacing w:before="0" w:after="0"/>
      </w:pPr>
      <w:r>
        <w:separator/>
      </w:r>
    </w:p>
  </w:endnote>
  <w:endnote w:type="continuationSeparator" w:id="0">
    <w:p w14:paraId="02EC132D" w14:textId="77777777" w:rsidR="002803FD" w:rsidRDefault="002803FD" w:rsidP="001A2C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F2B8A" w14:textId="1DB7B251" w:rsidR="00903BA6" w:rsidRPr="00903BA6" w:rsidRDefault="00903BA6" w:rsidP="00903BA6">
    <w:pPr>
      <w:pStyle w:val="Footer"/>
      <w:rPr>
        <w:rFonts w:ascii="Arial" w:hAnsi="Arial" w:cs="Arial"/>
        <w:b/>
        <w:sz w:val="48"/>
      </w:rPr>
    </w:pPr>
    <w:r w:rsidRPr="00903BA6">
      <w:rPr>
        <w:rFonts w:ascii="Arial" w:hAnsi="Arial" w:cs="Arial"/>
        <w:b/>
        <w:sz w:val="48"/>
      </w:rPr>
      <w:t>EN</w:t>
    </w:r>
    <w:r w:rsidRPr="00903BA6">
      <w:rPr>
        <w:rFonts w:ascii="Arial" w:hAnsi="Arial" w:cs="Arial"/>
        <w:b/>
        <w:sz w:val="48"/>
      </w:rPr>
      <w:tab/>
    </w:r>
    <w:r w:rsidRPr="00903BA6">
      <w:rPr>
        <w:rFonts w:ascii="Arial" w:hAnsi="Arial" w:cs="Arial"/>
        <w:b/>
        <w:sz w:val="48"/>
      </w:rPr>
      <w:tab/>
    </w:r>
    <w:r w:rsidRPr="00903BA6">
      <w:tab/>
    </w:r>
    <w:r w:rsidRPr="00903BA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BF242" w14:textId="54602248" w:rsidR="00903BA6" w:rsidRPr="00903BA6" w:rsidRDefault="00903BA6" w:rsidP="00903BA6">
    <w:pPr>
      <w:pStyle w:val="Footer"/>
      <w:rPr>
        <w:rFonts w:ascii="Arial" w:hAnsi="Arial" w:cs="Arial"/>
        <w:b/>
        <w:sz w:val="48"/>
      </w:rPr>
    </w:pPr>
    <w:r w:rsidRPr="00903BA6">
      <w:rPr>
        <w:rFonts w:ascii="Arial" w:hAnsi="Arial" w:cs="Arial"/>
        <w:b/>
        <w:sz w:val="48"/>
      </w:rPr>
      <w:t>EN</w:t>
    </w:r>
    <w:r w:rsidRPr="00903BA6">
      <w:rPr>
        <w:rFonts w:ascii="Arial" w:hAnsi="Arial" w:cs="Arial"/>
        <w:b/>
        <w:sz w:val="48"/>
      </w:rPr>
      <w:tab/>
    </w:r>
    <w:r w:rsidRPr="00903BA6">
      <w:rPr>
        <w:rFonts w:ascii="Arial" w:hAnsi="Arial" w:cs="Arial"/>
        <w:b/>
        <w:sz w:val="48"/>
      </w:rPr>
      <w:tab/>
    </w:r>
    <w:r w:rsidRPr="00903BA6">
      <w:tab/>
    </w:r>
    <w:r w:rsidRPr="00903BA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22C2" w14:textId="77777777" w:rsidR="00903BA6" w:rsidRDefault="00903B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911DD" w14:textId="1D262DB1" w:rsidR="00903BA6" w:rsidRPr="00903BA6" w:rsidRDefault="00903BA6" w:rsidP="00903BA6">
    <w:pPr>
      <w:pStyle w:val="Footer"/>
      <w:rPr>
        <w:rFonts w:ascii="Arial" w:hAnsi="Arial" w:cs="Arial"/>
        <w:b/>
        <w:sz w:val="48"/>
      </w:rPr>
    </w:pPr>
    <w:r w:rsidRPr="00903BA6">
      <w:rPr>
        <w:rFonts w:ascii="Arial" w:hAnsi="Arial" w:cs="Arial"/>
        <w:b/>
        <w:sz w:val="48"/>
      </w:rPr>
      <w:t>EN</w:t>
    </w:r>
    <w:r w:rsidRPr="00903BA6">
      <w:rPr>
        <w:rFonts w:ascii="Arial" w:hAnsi="Arial" w:cs="Arial"/>
        <w:b/>
        <w:sz w:val="48"/>
      </w:rPr>
      <w:tab/>
    </w:r>
    <w:r>
      <w:fldChar w:fldCharType="begin"/>
    </w:r>
    <w:r>
      <w:instrText xml:space="preserve"> PAGE  \* MERGEFORMAT </w:instrText>
    </w:r>
    <w:r>
      <w:fldChar w:fldCharType="separate"/>
    </w:r>
    <w:r w:rsidR="00B529F8">
      <w:rPr>
        <w:noProof/>
      </w:rPr>
      <w:t>13</w:t>
    </w:r>
    <w:r>
      <w:fldChar w:fldCharType="end"/>
    </w:r>
    <w:r>
      <w:tab/>
    </w:r>
    <w:r w:rsidRPr="00903BA6">
      <w:tab/>
    </w:r>
    <w:r w:rsidRPr="00903BA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7F139" w14:textId="77777777" w:rsidR="00903BA6" w:rsidRDefault="00903BA6" w:rsidP="00903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54EC3" w14:textId="77777777" w:rsidR="002803FD" w:rsidRDefault="002803FD" w:rsidP="001A2C83">
      <w:pPr>
        <w:spacing w:before="0" w:after="0"/>
      </w:pPr>
      <w:r>
        <w:separator/>
      </w:r>
    </w:p>
  </w:footnote>
  <w:footnote w:type="continuationSeparator" w:id="0">
    <w:p w14:paraId="6B7C007E" w14:textId="77777777" w:rsidR="002803FD" w:rsidRDefault="002803FD" w:rsidP="001A2C83">
      <w:pPr>
        <w:spacing w:before="0" w:after="0"/>
      </w:pPr>
      <w:r>
        <w:continuationSeparator/>
      </w:r>
    </w:p>
  </w:footnote>
  <w:footnote w:id="1">
    <w:p w14:paraId="00F5F1E5" w14:textId="79D79F4F" w:rsidR="00821284" w:rsidRPr="00821284" w:rsidRDefault="00821284">
      <w:pPr>
        <w:pStyle w:val="FootnoteText"/>
        <w:rPr>
          <w:lang w:val="en-IE"/>
        </w:rPr>
      </w:pPr>
      <w:r>
        <w:rPr>
          <w:rStyle w:val="FootnoteReference"/>
        </w:rPr>
        <w:footnoteRef/>
      </w:r>
      <w:r>
        <w:rPr>
          <w:lang w:val="en-IE"/>
        </w:rPr>
        <w:tab/>
      </w:r>
      <w:r w:rsidR="00E54DDC">
        <w:rPr>
          <w:lang w:val="en-IE"/>
        </w:rPr>
        <w:t>Communication from the Commission to the European Parliament, the Council, the European Economic and Social Committee and the Committee of the Regions ProtectEU: Agenda to prevent and counter terrorism COM(2026) 101 final</w:t>
      </w:r>
      <w:r>
        <w:rPr>
          <w:lang w:val="en-IE"/>
        </w:rPr>
        <w:t xml:space="preserve"> </w:t>
      </w:r>
    </w:p>
  </w:footnote>
  <w:footnote w:id="2">
    <w:p w14:paraId="764D7F02" w14:textId="77777777" w:rsidR="000A00EB" w:rsidRPr="000A00EB" w:rsidRDefault="000A00EB">
      <w:pPr>
        <w:pStyle w:val="FootnoteText"/>
        <w:rPr>
          <w:lang w:val="en-IE"/>
        </w:rPr>
      </w:pPr>
      <w:r>
        <w:rPr>
          <w:rStyle w:val="FootnoteReference"/>
        </w:rPr>
        <w:footnoteRef/>
      </w:r>
      <w:r>
        <w:rPr>
          <w:lang w:val="en-IE"/>
        </w:rPr>
        <w:tab/>
      </w:r>
      <w:r w:rsidRPr="000A00EB">
        <w:rPr>
          <w:lang w:val="en-US"/>
        </w:rPr>
        <w:t>TE-SAT 2025: Europol, European Union Terrorism Situation and Trend Report 2025 (TE-SAT), June 2025.</w:t>
      </w:r>
    </w:p>
  </w:footnote>
  <w:footnote w:id="3">
    <w:p w14:paraId="160E5F00" w14:textId="77777777" w:rsidR="00437F31" w:rsidRPr="00E21D34" w:rsidRDefault="00437F31" w:rsidP="00437F31">
      <w:pPr>
        <w:pStyle w:val="FootnoteText"/>
        <w:rPr>
          <w:lang w:val="en-IE"/>
        </w:rPr>
      </w:pPr>
      <w:r w:rsidRPr="00A56A46">
        <w:rPr>
          <w:rStyle w:val="FootnoteReference"/>
        </w:rPr>
        <w:footnoteRef/>
      </w:r>
      <w:r>
        <w:rPr>
          <w:lang w:val="en-IE"/>
        </w:rPr>
        <w:tab/>
      </w:r>
      <w:r w:rsidRPr="00E21D34">
        <w:rPr>
          <w:lang w:val="en-IE"/>
        </w:rPr>
        <w:t xml:space="preserve">All EU Member States except Greece and Ireland have ratified the Convention No. 196. </w:t>
      </w:r>
    </w:p>
  </w:footnote>
  <w:footnote w:id="4">
    <w:p w14:paraId="405F37FA" w14:textId="77777777" w:rsidR="00437F31" w:rsidRPr="00453B89" w:rsidRDefault="00437F31" w:rsidP="00437F31">
      <w:pPr>
        <w:pStyle w:val="FootnoteText"/>
        <w:rPr>
          <w:lang w:val="en-IE"/>
        </w:rPr>
      </w:pPr>
      <w:r w:rsidRPr="00A56A46">
        <w:rPr>
          <w:rStyle w:val="FootnoteReference"/>
        </w:rPr>
        <w:footnoteRef/>
      </w:r>
      <w:r>
        <w:rPr>
          <w:lang w:val="en-IE"/>
        </w:rPr>
        <w:tab/>
      </w:r>
      <w:r w:rsidRPr="00453B89">
        <w:rPr>
          <w:lang w:val="en-IE"/>
        </w:rPr>
        <w:t xml:space="preserve">Final Report of the CDCT Sub-group for the purpose of examining the feasibility of elaborating a definition of terrorism 26 September 2019 </w:t>
      </w:r>
      <w:hyperlink r:id="rId1" w:history="1">
        <w:r w:rsidRPr="00453B89">
          <w:rPr>
            <w:rStyle w:val="Hyperlink"/>
            <w:lang w:val="en-IE"/>
          </w:rPr>
          <w:t>CDCT-DEF (2019)03rev</w:t>
        </w:r>
      </w:hyperlink>
      <w:r w:rsidRPr="00453B89">
        <w:rPr>
          <w:lang w:val="en-IE"/>
        </w:rPr>
        <w:t xml:space="preserve"> </w:t>
      </w:r>
    </w:p>
  </w:footnote>
  <w:footnote w:id="5">
    <w:p w14:paraId="1FF33568" w14:textId="77777777" w:rsidR="00437F31" w:rsidRPr="00BA6766" w:rsidRDefault="00437F31" w:rsidP="00437F31">
      <w:pPr>
        <w:pStyle w:val="FootnoteText"/>
        <w:rPr>
          <w:lang w:val="en-IE"/>
        </w:rPr>
      </w:pPr>
      <w:r w:rsidRPr="00A56A46">
        <w:rPr>
          <w:rStyle w:val="FootnoteReference"/>
        </w:rPr>
        <w:footnoteRef/>
      </w:r>
      <w:r>
        <w:rPr>
          <w:lang w:val="en-IE"/>
        </w:rPr>
        <w:tab/>
      </w:r>
      <w:r w:rsidRPr="00453B89">
        <w:rPr>
          <w:lang w:val="en-IE"/>
        </w:rPr>
        <w:t>Directive (EU) 2017/541 on combating terrorism and replacing Council Framework Decision 2002/475/JHA and amending Council Decision 2005/671/JHA, (OJ L 88, 31 March 2017, p. 6).</w:t>
      </w:r>
    </w:p>
  </w:footnote>
  <w:footnote w:id="6">
    <w:p w14:paraId="5054AA7A" w14:textId="77777777" w:rsidR="00437F31" w:rsidRPr="004E53EE" w:rsidRDefault="00437F31" w:rsidP="00437F31">
      <w:pPr>
        <w:pStyle w:val="FootnoteText"/>
        <w:rPr>
          <w:lang w:val="en-IE"/>
        </w:rPr>
      </w:pPr>
      <w:r w:rsidRPr="00A56A46">
        <w:rPr>
          <w:rStyle w:val="FootnoteReference"/>
        </w:rPr>
        <w:footnoteRef/>
      </w:r>
      <w:r>
        <w:rPr>
          <w:lang w:val="en-IE"/>
        </w:rPr>
        <w:tab/>
      </w:r>
      <w:r w:rsidRPr="004E53EE">
        <w:rPr>
          <w:lang w:val="en-IE"/>
        </w:rPr>
        <w:t>CDCT 9</w:t>
      </w:r>
      <w:r w:rsidRPr="004E53EE">
        <w:rPr>
          <w:vertAlign w:val="superscript"/>
          <w:lang w:val="en-IE"/>
        </w:rPr>
        <w:t>th</w:t>
      </w:r>
      <w:r w:rsidRPr="004E53EE">
        <w:rPr>
          <w:lang w:val="en-IE"/>
        </w:rPr>
        <w:t xml:space="preserve"> Plenary Meeting Abridged Report and List of Decisions 2 December 2022, p.4 </w:t>
      </w:r>
      <w:hyperlink r:id="rId2" w:history="1">
        <w:r w:rsidRPr="004E53EE">
          <w:rPr>
            <w:rStyle w:val="Hyperlink"/>
            <w:lang w:val="en-IE"/>
          </w:rPr>
          <w:t>CDCT(2022)16</w:t>
        </w:r>
      </w:hyperlink>
    </w:p>
  </w:footnote>
  <w:footnote w:id="7">
    <w:p w14:paraId="7DCBB1AD" w14:textId="77777777" w:rsidR="005B0321" w:rsidRPr="005B0321" w:rsidRDefault="005B0321">
      <w:pPr>
        <w:pStyle w:val="FootnoteText"/>
        <w:rPr>
          <w:lang w:val="en-IE"/>
        </w:rPr>
      </w:pPr>
      <w:r>
        <w:rPr>
          <w:rStyle w:val="FootnoteReference"/>
        </w:rPr>
        <w:footnoteRef/>
      </w:r>
      <w:r w:rsidR="00A869FC">
        <w:tab/>
      </w:r>
      <w:r>
        <w:rPr>
          <w:lang w:val="en-IE"/>
        </w:rPr>
        <w:t>Council of Europe Parliamentary Assembly Opinion 307 (2025)</w:t>
      </w:r>
    </w:p>
  </w:footnote>
  <w:footnote w:id="8">
    <w:p w14:paraId="0A6C3615" w14:textId="77777777" w:rsidR="005B0321" w:rsidRPr="005B0321" w:rsidRDefault="005B0321">
      <w:pPr>
        <w:pStyle w:val="FootnoteText"/>
        <w:rPr>
          <w:lang w:val="en-IE"/>
        </w:rPr>
      </w:pPr>
      <w:r>
        <w:rPr>
          <w:rStyle w:val="FootnoteReference"/>
        </w:rPr>
        <w:footnoteRef/>
      </w:r>
      <w:r w:rsidR="00A869FC">
        <w:tab/>
      </w:r>
      <w:r>
        <w:t>Council of Europe Committee of Ministers CM/Del/Dec (2025)1534/10.3</w:t>
      </w:r>
    </w:p>
  </w:footnote>
  <w:footnote w:id="9">
    <w:p w14:paraId="74637D65" w14:textId="77777777" w:rsidR="00A869FC" w:rsidRPr="00A869FC" w:rsidRDefault="00A869FC" w:rsidP="00A869FC">
      <w:pPr>
        <w:pStyle w:val="FootnoteText"/>
        <w:rPr>
          <w:lang w:val="en-IE"/>
        </w:rPr>
      </w:pPr>
      <w:r>
        <w:rPr>
          <w:rStyle w:val="FootnoteReference"/>
        </w:rPr>
        <w:footnoteRef/>
      </w:r>
      <w:r>
        <w:rPr>
          <w:lang w:val="en-IE"/>
        </w:rPr>
        <w:tab/>
      </w:r>
      <w:r w:rsidRPr="00A869FC">
        <w:rPr>
          <w:lang w:val="en-IE"/>
        </w:rPr>
        <w:t>Communication from the Commission to the European Parliament, the Council, the European</w:t>
      </w:r>
    </w:p>
    <w:p w14:paraId="27CE8D9E" w14:textId="221E0717" w:rsidR="00A869FC" w:rsidRPr="00A869FC" w:rsidRDefault="00A869FC" w:rsidP="00A869FC">
      <w:pPr>
        <w:pStyle w:val="FootnoteText"/>
        <w:ind w:firstLine="0"/>
        <w:rPr>
          <w:lang w:val="en-IE"/>
        </w:rPr>
      </w:pPr>
      <w:r w:rsidRPr="00A869FC">
        <w:rPr>
          <w:lang w:val="en-IE"/>
        </w:rPr>
        <w:t>Economic and Social Committee and the Committee of the Regions on ProtectEU: a European Internal</w:t>
      </w:r>
      <w:r>
        <w:rPr>
          <w:lang w:val="en-IE"/>
        </w:rPr>
        <w:t xml:space="preserve"> </w:t>
      </w:r>
      <w:r w:rsidRPr="00A869FC">
        <w:rPr>
          <w:lang w:val="en-IE"/>
        </w:rPr>
        <w:t>Security Strategy COM/2025/148 final.</w:t>
      </w:r>
    </w:p>
  </w:footnote>
  <w:footnote w:id="10">
    <w:p w14:paraId="3A1BBF0A" w14:textId="52479B42" w:rsidR="00DB69BC" w:rsidRPr="00DB69BC" w:rsidRDefault="00DB69BC">
      <w:pPr>
        <w:pStyle w:val="FootnoteText"/>
        <w:rPr>
          <w:lang w:val="en-IE"/>
        </w:rPr>
      </w:pPr>
      <w:r>
        <w:rPr>
          <w:rStyle w:val="FootnoteReference"/>
        </w:rPr>
        <w:footnoteRef/>
      </w:r>
      <w:r>
        <w:tab/>
      </w:r>
      <w:r w:rsidR="00E54DDC">
        <w:rPr>
          <w:lang w:val="en-IE"/>
        </w:rPr>
        <w:t>Communication from the Commission to the European Parliament, the Council, the European Economic and Social Committee and the Committee of the Regions ProtectEU: Agenda to prevent and counter terrorism COM (2026) 101 final</w:t>
      </w:r>
    </w:p>
  </w:footnote>
  <w:footnote w:id="11">
    <w:p w14:paraId="557CB7E6" w14:textId="77777777" w:rsidR="00F60D33" w:rsidRPr="00336227" w:rsidRDefault="00F60D33" w:rsidP="00F60D33">
      <w:pPr>
        <w:pStyle w:val="FootnoteText"/>
        <w:rPr>
          <w:lang w:val="en-IE"/>
        </w:rPr>
      </w:pPr>
      <w:r w:rsidRPr="00A56A46">
        <w:rPr>
          <w:rStyle w:val="FootnoteReference"/>
        </w:rPr>
        <w:footnoteRef/>
      </w:r>
      <w:r>
        <w:rPr>
          <w:lang w:val="en-IE"/>
        </w:rPr>
        <w:tab/>
      </w:r>
      <w:r w:rsidRPr="00336227">
        <w:rPr>
          <w:lang w:val="en-IE"/>
        </w:rPr>
        <w:t xml:space="preserve">Ad Hoc Committee established by General Assembly resolution 51/210 of 17 December 1996 – </w:t>
      </w:r>
      <w:hyperlink r:id="rId3" w:history="1">
        <w:r w:rsidRPr="00336227">
          <w:rPr>
            <w:rStyle w:val="Hyperlink"/>
            <w:lang w:val="en-IE"/>
          </w:rPr>
          <w:t>Product of the Ad Hoc Committee’s work</w:t>
        </w:r>
      </w:hyperlink>
      <w:r w:rsidRPr="00336227">
        <w:rPr>
          <w:lang w:val="en-IE"/>
        </w:rPr>
        <w:t xml:space="preserve"> Last updated: </w:t>
      </w:r>
      <w:r>
        <w:rPr>
          <w:lang w:val="en-IE"/>
        </w:rPr>
        <w:t>22 May 2025</w:t>
      </w:r>
    </w:p>
  </w:footnote>
  <w:footnote w:id="12">
    <w:p w14:paraId="2CA7E785" w14:textId="77777777" w:rsidR="005358A9" w:rsidRPr="00E21D34" w:rsidRDefault="005358A9" w:rsidP="005358A9">
      <w:pPr>
        <w:pStyle w:val="FootnoteText"/>
        <w:rPr>
          <w:lang w:val="en-IE"/>
        </w:rPr>
      </w:pPr>
      <w:r w:rsidRPr="00A56A46">
        <w:rPr>
          <w:rStyle w:val="FootnoteReference"/>
        </w:rPr>
        <w:footnoteRef/>
      </w:r>
      <w:r>
        <w:rPr>
          <w:lang w:val="en-IE"/>
        </w:rPr>
        <w:tab/>
      </w:r>
      <w:r w:rsidRPr="00E21D34">
        <w:rPr>
          <w:lang w:val="en-IE"/>
        </w:rPr>
        <w:t xml:space="preserve">The Directive (EU) 2017/541 does not apply to Denmark and Ireland. </w:t>
      </w:r>
    </w:p>
  </w:footnote>
  <w:footnote w:id="13">
    <w:p w14:paraId="058169E6" w14:textId="28B90FBE" w:rsidR="006B3B89" w:rsidRPr="00754FED" w:rsidRDefault="006B3B89">
      <w:pPr>
        <w:pStyle w:val="FootnoteText"/>
        <w:rPr>
          <w:lang w:val="en-US"/>
        </w:rPr>
      </w:pPr>
      <w:r w:rsidRPr="001B6941">
        <w:rPr>
          <w:rStyle w:val="FootnoteReference"/>
        </w:rPr>
        <w:footnoteRef/>
      </w:r>
      <w:r w:rsidR="001B6941">
        <w:tab/>
      </w:r>
      <w:r w:rsidRPr="006B3B89">
        <w:t>OJ L, ….</w:t>
      </w:r>
    </w:p>
  </w:footnote>
  <w:footnote w:id="14">
    <w:p w14:paraId="2B6EBBE4" w14:textId="649A2E04" w:rsidR="006B3B89" w:rsidRPr="00754FED" w:rsidRDefault="006B3B89">
      <w:pPr>
        <w:pStyle w:val="FootnoteText"/>
        <w:rPr>
          <w:lang w:val="en-US"/>
        </w:rPr>
      </w:pPr>
      <w:r w:rsidRPr="001B6941">
        <w:rPr>
          <w:rStyle w:val="FootnoteReference"/>
        </w:rPr>
        <w:footnoteRef/>
      </w:r>
      <w:r w:rsidR="001B6941">
        <w:tab/>
      </w:r>
      <w:r w:rsidRPr="006B3B89">
        <w:t>The text of the Agreement is published in OJ L,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675D1" w14:textId="77777777" w:rsidR="00903BA6" w:rsidRDefault="00903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C3009" w14:textId="77777777" w:rsidR="00903BA6" w:rsidRDefault="00903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E8A4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AAAF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524AF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1280AC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9 08:42: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F8D3BE7-386A-4E4E-B334-0689437E8D47"/>
    <w:docVar w:name="LW_COVERPAGE_TYPE" w:val="1"/>
    <w:docVar w:name="LW_CreatedUtc" w:val="2026-01-21T13:15:46.0236610Z"/>
    <w:docVar w:name="LW_CROSSREFERENCE" w:val="&lt;UNUSED&gt;"/>
    <w:docVar w:name="LW_DocType" w:val="COM"/>
    <w:docVar w:name="LW_EMISSION" w:val="19.3.2026"/>
    <w:docVar w:name="LW_EMISSION_ISODATE" w:val="2026-03-19"/>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conclusion, on behalf of the European Union, of the Protocol amending the Council of Europe Convention on the prevention of terrorism"/>
    <w:docVar w:name="LW_TYPE.DOC.CP" w:val="COUNCIL DECISION"/>
    <w:docVar w:name="LwApiVersions" w:val="LW4CoDe 1.24.5.0; LW 9.2, Build 20251112"/>
  </w:docVars>
  <w:rsids>
    <w:rsidRoot w:val="001A2C83"/>
    <w:rsid w:val="00005671"/>
    <w:rsid w:val="00045066"/>
    <w:rsid w:val="000504BA"/>
    <w:rsid w:val="00062C29"/>
    <w:rsid w:val="00082637"/>
    <w:rsid w:val="00093E90"/>
    <w:rsid w:val="00097C67"/>
    <w:rsid w:val="000A00EB"/>
    <w:rsid w:val="000A31EC"/>
    <w:rsid w:val="000B2F22"/>
    <w:rsid w:val="000B5759"/>
    <w:rsid w:val="000C0C0C"/>
    <w:rsid w:val="000D0D42"/>
    <w:rsid w:val="000E79C1"/>
    <w:rsid w:val="000F0BB6"/>
    <w:rsid w:val="000F139E"/>
    <w:rsid w:val="000F4344"/>
    <w:rsid w:val="000F472A"/>
    <w:rsid w:val="00104F1E"/>
    <w:rsid w:val="001065F5"/>
    <w:rsid w:val="001238EF"/>
    <w:rsid w:val="00161D72"/>
    <w:rsid w:val="001738AA"/>
    <w:rsid w:val="00187448"/>
    <w:rsid w:val="00197613"/>
    <w:rsid w:val="001A0F73"/>
    <w:rsid w:val="001A2C83"/>
    <w:rsid w:val="001A595E"/>
    <w:rsid w:val="001B46AA"/>
    <w:rsid w:val="001B6241"/>
    <w:rsid w:val="001B6941"/>
    <w:rsid w:val="001D0741"/>
    <w:rsid w:val="001F0879"/>
    <w:rsid w:val="001F3F52"/>
    <w:rsid w:val="001F532B"/>
    <w:rsid w:val="00201A1C"/>
    <w:rsid w:val="00202ABB"/>
    <w:rsid w:val="002061B2"/>
    <w:rsid w:val="002276AE"/>
    <w:rsid w:val="00233DC7"/>
    <w:rsid w:val="00247779"/>
    <w:rsid w:val="00254880"/>
    <w:rsid w:val="0027035C"/>
    <w:rsid w:val="002803FD"/>
    <w:rsid w:val="0028381B"/>
    <w:rsid w:val="00285BEE"/>
    <w:rsid w:val="0029533F"/>
    <w:rsid w:val="0029649D"/>
    <w:rsid w:val="002A0006"/>
    <w:rsid w:val="002B30AF"/>
    <w:rsid w:val="002B4105"/>
    <w:rsid w:val="002B7FA5"/>
    <w:rsid w:val="002D271A"/>
    <w:rsid w:val="002D5640"/>
    <w:rsid w:val="00313F33"/>
    <w:rsid w:val="0033344A"/>
    <w:rsid w:val="00342FB2"/>
    <w:rsid w:val="00365A1A"/>
    <w:rsid w:val="003F25C3"/>
    <w:rsid w:val="00412227"/>
    <w:rsid w:val="004243E8"/>
    <w:rsid w:val="0042648E"/>
    <w:rsid w:val="00430C51"/>
    <w:rsid w:val="00437F31"/>
    <w:rsid w:val="004463CC"/>
    <w:rsid w:val="00447D21"/>
    <w:rsid w:val="00462FFF"/>
    <w:rsid w:val="00472571"/>
    <w:rsid w:val="004725DC"/>
    <w:rsid w:val="004765B2"/>
    <w:rsid w:val="004769F4"/>
    <w:rsid w:val="004936D2"/>
    <w:rsid w:val="00494119"/>
    <w:rsid w:val="004A136E"/>
    <w:rsid w:val="004B0025"/>
    <w:rsid w:val="004B2F42"/>
    <w:rsid w:val="004B6D49"/>
    <w:rsid w:val="004F3D8B"/>
    <w:rsid w:val="00515E09"/>
    <w:rsid w:val="005358A9"/>
    <w:rsid w:val="005A307C"/>
    <w:rsid w:val="005B0321"/>
    <w:rsid w:val="005B1EB6"/>
    <w:rsid w:val="005D1F90"/>
    <w:rsid w:val="00614659"/>
    <w:rsid w:val="00624F53"/>
    <w:rsid w:val="00625ABA"/>
    <w:rsid w:val="006556C7"/>
    <w:rsid w:val="0066438C"/>
    <w:rsid w:val="0069058D"/>
    <w:rsid w:val="006958CF"/>
    <w:rsid w:val="00695D13"/>
    <w:rsid w:val="006A1A95"/>
    <w:rsid w:val="006B121C"/>
    <w:rsid w:val="006B3B89"/>
    <w:rsid w:val="006F6180"/>
    <w:rsid w:val="00744279"/>
    <w:rsid w:val="00754FED"/>
    <w:rsid w:val="00773331"/>
    <w:rsid w:val="007816B4"/>
    <w:rsid w:val="00792CD2"/>
    <w:rsid w:val="007932EF"/>
    <w:rsid w:val="007B3933"/>
    <w:rsid w:val="007E05B0"/>
    <w:rsid w:val="007F31F3"/>
    <w:rsid w:val="007F344E"/>
    <w:rsid w:val="00804037"/>
    <w:rsid w:val="00807D5B"/>
    <w:rsid w:val="0081570D"/>
    <w:rsid w:val="00821284"/>
    <w:rsid w:val="00827E9F"/>
    <w:rsid w:val="00835DBA"/>
    <w:rsid w:val="00852305"/>
    <w:rsid w:val="00871241"/>
    <w:rsid w:val="00872613"/>
    <w:rsid w:val="00873E2E"/>
    <w:rsid w:val="008741BB"/>
    <w:rsid w:val="00874D22"/>
    <w:rsid w:val="008A2914"/>
    <w:rsid w:val="008C033F"/>
    <w:rsid w:val="008C16CB"/>
    <w:rsid w:val="008C4556"/>
    <w:rsid w:val="008E4D8E"/>
    <w:rsid w:val="00901A6E"/>
    <w:rsid w:val="00903BA6"/>
    <w:rsid w:val="009042A6"/>
    <w:rsid w:val="00921B7F"/>
    <w:rsid w:val="00924875"/>
    <w:rsid w:val="00942566"/>
    <w:rsid w:val="00942F30"/>
    <w:rsid w:val="00980A77"/>
    <w:rsid w:val="00996DBC"/>
    <w:rsid w:val="009C059A"/>
    <w:rsid w:val="009C4C21"/>
    <w:rsid w:val="009E3613"/>
    <w:rsid w:val="00A15405"/>
    <w:rsid w:val="00A40CE1"/>
    <w:rsid w:val="00A605B5"/>
    <w:rsid w:val="00A81973"/>
    <w:rsid w:val="00A83C2E"/>
    <w:rsid w:val="00A848E3"/>
    <w:rsid w:val="00A869FC"/>
    <w:rsid w:val="00A9071C"/>
    <w:rsid w:val="00A945A3"/>
    <w:rsid w:val="00AA784B"/>
    <w:rsid w:val="00AE299C"/>
    <w:rsid w:val="00AF367D"/>
    <w:rsid w:val="00AF7950"/>
    <w:rsid w:val="00B021A0"/>
    <w:rsid w:val="00B10044"/>
    <w:rsid w:val="00B10EA0"/>
    <w:rsid w:val="00B529F8"/>
    <w:rsid w:val="00B555CB"/>
    <w:rsid w:val="00B64685"/>
    <w:rsid w:val="00B93145"/>
    <w:rsid w:val="00BA027E"/>
    <w:rsid w:val="00BA2B0A"/>
    <w:rsid w:val="00BC14B0"/>
    <w:rsid w:val="00BC568B"/>
    <w:rsid w:val="00BE30D4"/>
    <w:rsid w:val="00BF3D36"/>
    <w:rsid w:val="00C12301"/>
    <w:rsid w:val="00C224B2"/>
    <w:rsid w:val="00C257C4"/>
    <w:rsid w:val="00C26B7A"/>
    <w:rsid w:val="00C61D63"/>
    <w:rsid w:val="00C7072B"/>
    <w:rsid w:val="00C732EA"/>
    <w:rsid w:val="00C86251"/>
    <w:rsid w:val="00C86855"/>
    <w:rsid w:val="00CA2D74"/>
    <w:rsid w:val="00CA4F23"/>
    <w:rsid w:val="00CE4EF8"/>
    <w:rsid w:val="00CF38BB"/>
    <w:rsid w:val="00D1671B"/>
    <w:rsid w:val="00D20381"/>
    <w:rsid w:val="00D22CC1"/>
    <w:rsid w:val="00D310B5"/>
    <w:rsid w:val="00D423ED"/>
    <w:rsid w:val="00D533DB"/>
    <w:rsid w:val="00D57F55"/>
    <w:rsid w:val="00D85195"/>
    <w:rsid w:val="00D9554B"/>
    <w:rsid w:val="00DA6F56"/>
    <w:rsid w:val="00DB69BC"/>
    <w:rsid w:val="00DF6604"/>
    <w:rsid w:val="00E12A8F"/>
    <w:rsid w:val="00E37B48"/>
    <w:rsid w:val="00E5411A"/>
    <w:rsid w:val="00E54DDC"/>
    <w:rsid w:val="00E664ED"/>
    <w:rsid w:val="00E7412E"/>
    <w:rsid w:val="00E74C9E"/>
    <w:rsid w:val="00EA4001"/>
    <w:rsid w:val="00EB2344"/>
    <w:rsid w:val="00EC5CB2"/>
    <w:rsid w:val="00ED0513"/>
    <w:rsid w:val="00EE76AD"/>
    <w:rsid w:val="00EF085B"/>
    <w:rsid w:val="00EF5A19"/>
    <w:rsid w:val="00F05ADB"/>
    <w:rsid w:val="00F20AD6"/>
    <w:rsid w:val="00F356D5"/>
    <w:rsid w:val="00F43AFA"/>
    <w:rsid w:val="00F45BFD"/>
    <w:rsid w:val="00F60D33"/>
    <w:rsid w:val="00FA19E2"/>
    <w:rsid w:val="00FB344A"/>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4F3E17"/>
  <w15:docId w15:val="{227CB989-B4C0-4243-91DE-E5035C8E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7F31"/>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437F31"/>
  </w:style>
  <w:style w:type="character" w:customStyle="1" w:styleId="eop">
    <w:name w:val="eop"/>
    <w:basedOn w:val="DefaultParagraphFont"/>
    <w:rsid w:val="00437F31"/>
  </w:style>
  <w:style w:type="character" w:styleId="Hyperlink">
    <w:name w:val="Hyperlink"/>
    <w:basedOn w:val="DefaultParagraphFont"/>
    <w:uiPriority w:val="99"/>
    <w:unhideWhenUsed/>
    <w:rsid w:val="00437F31"/>
    <w:rPr>
      <w:color w:val="0000FF" w:themeColor="hyperlink"/>
      <w:u w:val="single"/>
    </w:rPr>
  </w:style>
  <w:style w:type="paragraph" w:styleId="ListParagraph">
    <w:name w:val="List Paragraph"/>
    <w:basedOn w:val="Normal"/>
    <w:uiPriority w:val="34"/>
    <w:qFormat/>
    <w:rsid w:val="00D22CC1"/>
    <w:pPr>
      <w:ind w:left="720"/>
      <w:contextualSpacing/>
    </w:pPr>
  </w:style>
  <w:style w:type="paragraph" w:styleId="ListBullet">
    <w:name w:val="List Bullet"/>
    <w:basedOn w:val="Normal"/>
    <w:uiPriority w:val="99"/>
    <w:semiHidden/>
    <w:unhideWhenUsed/>
    <w:rsid w:val="00871241"/>
    <w:pPr>
      <w:numPr>
        <w:numId w:val="2"/>
      </w:numPr>
      <w:contextualSpacing/>
    </w:pPr>
  </w:style>
  <w:style w:type="paragraph" w:styleId="ListBullet2">
    <w:name w:val="List Bullet 2"/>
    <w:basedOn w:val="Normal"/>
    <w:uiPriority w:val="99"/>
    <w:semiHidden/>
    <w:unhideWhenUsed/>
    <w:rsid w:val="00871241"/>
    <w:pPr>
      <w:numPr>
        <w:numId w:val="3"/>
      </w:numPr>
      <w:contextualSpacing/>
    </w:pPr>
  </w:style>
  <w:style w:type="paragraph" w:styleId="ListBullet3">
    <w:name w:val="List Bullet 3"/>
    <w:basedOn w:val="Normal"/>
    <w:uiPriority w:val="99"/>
    <w:semiHidden/>
    <w:unhideWhenUsed/>
    <w:rsid w:val="00871241"/>
    <w:pPr>
      <w:numPr>
        <w:numId w:val="4"/>
      </w:numPr>
      <w:contextualSpacing/>
    </w:pPr>
  </w:style>
  <w:style w:type="paragraph" w:styleId="ListBullet4">
    <w:name w:val="List Bullet 4"/>
    <w:basedOn w:val="Normal"/>
    <w:uiPriority w:val="99"/>
    <w:semiHidden/>
    <w:unhideWhenUsed/>
    <w:rsid w:val="00871241"/>
    <w:pPr>
      <w:numPr>
        <w:numId w:val="5"/>
      </w:numPr>
      <w:contextualSpacing/>
    </w:pPr>
  </w:style>
  <w:style w:type="character" w:styleId="FollowedHyperlink">
    <w:name w:val="FollowedHyperlink"/>
    <w:basedOn w:val="DefaultParagraphFont"/>
    <w:uiPriority w:val="99"/>
    <w:semiHidden/>
    <w:unhideWhenUsed/>
    <w:rsid w:val="00F60D33"/>
    <w:rPr>
      <w:color w:val="800080" w:themeColor="followedHyperlink"/>
      <w:u w:val="single"/>
    </w:rPr>
  </w:style>
  <w:style w:type="character" w:styleId="CommentReference">
    <w:name w:val="annotation reference"/>
    <w:basedOn w:val="DefaultParagraphFont"/>
    <w:uiPriority w:val="99"/>
    <w:semiHidden/>
    <w:unhideWhenUsed/>
    <w:rsid w:val="00D533DB"/>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A31EC"/>
    <w:rPr>
      <w:b/>
      <w:bCs/>
    </w:rPr>
  </w:style>
  <w:style w:type="character" w:customStyle="1" w:styleId="CommentSubjectChar">
    <w:name w:val="Comment Subject Char"/>
    <w:basedOn w:val="CommentTextChar"/>
    <w:link w:val="CommentSubject"/>
    <w:uiPriority w:val="99"/>
    <w:semiHidden/>
    <w:rsid w:val="000A31EC"/>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0A31EC"/>
    <w:rPr>
      <w:color w:val="605E5C"/>
      <w:shd w:val="clear" w:color="auto" w:fill="E1DFDD"/>
    </w:rPr>
  </w:style>
  <w:style w:type="paragraph" w:styleId="Revision">
    <w:name w:val="Revision"/>
    <w:hidden/>
    <w:uiPriority w:val="99"/>
    <w:semiHidden/>
    <w:rsid w:val="00901A6E"/>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903BA6"/>
    <w:rPr>
      <w:rFonts w:ascii="Times New Roman" w:hAnsi="Times New Roman" w:cs="Times New Roman"/>
      <w:sz w:val="24"/>
      <w:lang w:val="en-GB"/>
    </w:rPr>
  </w:style>
  <w:style w:type="character" w:customStyle="1" w:styleId="FooterChar">
    <w:name w:val="Footer Char"/>
    <w:basedOn w:val="DefaultParagraphFont"/>
    <w:link w:val="Footer"/>
    <w:uiPriority w:val="99"/>
    <w:rsid w:val="00903BA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3BA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3BA6"/>
    <w:pPr>
      <w:spacing w:before="0"/>
      <w:jc w:val="right"/>
    </w:pPr>
    <w:rPr>
      <w:sz w:val="28"/>
    </w:rPr>
  </w:style>
  <w:style w:type="paragraph" w:customStyle="1" w:styleId="FooterSensitivity">
    <w:name w:val="Footer Sensitivity"/>
    <w:basedOn w:val="Normal"/>
    <w:rsid w:val="00903BA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03BA6"/>
    <w:pPr>
      <w:tabs>
        <w:tab w:val="center" w:pos="4535"/>
        <w:tab w:val="right" w:pos="9071"/>
      </w:tabs>
      <w:spacing w:before="0"/>
    </w:pPr>
  </w:style>
  <w:style w:type="paragraph" w:customStyle="1" w:styleId="HeaderLandscape">
    <w:name w:val="HeaderLandscape"/>
    <w:basedOn w:val="Normal"/>
    <w:rsid w:val="00903BA6"/>
    <w:pPr>
      <w:tabs>
        <w:tab w:val="center" w:pos="7285"/>
        <w:tab w:val="right" w:pos="14003"/>
      </w:tabs>
      <w:spacing w:before="0"/>
    </w:pPr>
  </w:style>
  <w:style w:type="paragraph" w:styleId="Footer">
    <w:name w:val="footer"/>
    <w:basedOn w:val="Normal"/>
    <w:link w:val="FooterChar"/>
    <w:uiPriority w:val="99"/>
    <w:unhideWhenUsed/>
    <w:rsid w:val="00903BA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3BA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468724">
      <w:bodyDiv w:val="1"/>
      <w:marLeft w:val="0"/>
      <w:marRight w:val="0"/>
      <w:marTop w:val="0"/>
      <w:marBottom w:val="0"/>
      <w:divBdr>
        <w:top w:val="none" w:sz="0" w:space="0" w:color="auto"/>
        <w:left w:val="none" w:sz="0" w:space="0" w:color="auto"/>
        <w:bottom w:val="none" w:sz="0" w:space="0" w:color="auto"/>
        <w:right w:val="none" w:sz="0" w:space="0" w:color="auto"/>
      </w:divBdr>
    </w:div>
    <w:div w:id="151619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egal.un.org/committees/terrorism/" TargetMode="External"/><Relationship Id="rId2" Type="http://schemas.openxmlformats.org/officeDocument/2006/relationships/hyperlink" Target="https://rm.coe.int/cdct-list-of-decisions-9th-meeting-november-2022/1680a94b0f" TargetMode="External"/><Relationship Id="rId1" Type="http://schemas.openxmlformats.org/officeDocument/2006/relationships/hyperlink" Target="https://rm.coe.int/09000016809812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09A31-C6CE-4DAF-BCC4-3DFE1D668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14</Pages>
  <Words>5396</Words>
  <Characters>30759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2026-03-18T08:55:00Z</dcterms:created>
  <dcterms:modified xsi:type="dcterms:W3CDTF">2026-03-19T07:42:00Z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2026-01-21T13:17:06Z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364f9336-0ceb-4e0e-802d-09e43d4d1c05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