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60228" w14:textId="51C40BCE" w:rsidR="00462B34" w:rsidRPr="00AF2E01" w:rsidRDefault="0036085F" w:rsidP="0036085F">
      <w:pPr>
        <w:pStyle w:val="Pagedecouverture"/>
        <w:rPr>
          <w:noProof/>
          <w:lang w:val="en-IE"/>
        </w:rPr>
      </w:pPr>
      <w:bookmarkStart w:id="0" w:name="_Toc86830074"/>
      <w:bookmarkStart w:id="1" w:name="LW_BM_COVERPAGE"/>
      <w:r>
        <w:rPr>
          <w:noProof/>
          <w:lang w:val="en-IE"/>
        </w:rPr>
        <w:pict w14:anchorId="140E5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01F64B2-906C-4896-BB6B-8E87C8A00CBC" style="width:455.25pt;height:327.75pt">
            <v:imagedata r:id="rId14" o:title=""/>
          </v:shape>
        </w:pict>
      </w:r>
    </w:p>
    <w:bookmarkEnd w:id="1"/>
    <w:p w14:paraId="06FDB12B" w14:textId="77777777" w:rsidR="00462B34" w:rsidRPr="00AF2E01" w:rsidRDefault="00462B34" w:rsidP="00462B34">
      <w:pPr>
        <w:rPr>
          <w:noProof/>
          <w:lang w:val="en-IE"/>
        </w:rPr>
        <w:sectPr w:rsidR="00462B34" w:rsidRPr="00AF2E01" w:rsidSect="0036085F">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pgMar w:top="1134" w:right="1417" w:bottom="1134" w:left="1417" w:header="709" w:footer="709" w:gutter="0"/>
          <w:pgNumType w:start="0"/>
          <w:cols w:space="720"/>
          <w:docGrid w:linePitch="326"/>
        </w:sectPr>
      </w:pPr>
    </w:p>
    <w:p w14:paraId="22E99D87" w14:textId="61B7C220" w:rsidR="00410844" w:rsidRPr="00AF2E01" w:rsidRDefault="00375B0A" w:rsidP="00375B0A">
      <w:pPr>
        <w:pStyle w:val="Heading1"/>
        <w:rPr>
          <w:noProof/>
          <w:lang w:val="en-IE"/>
        </w:rPr>
      </w:pPr>
      <w:bookmarkStart w:id="2" w:name="_Toc88482176"/>
      <w:bookmarkStart w:id="3" w:name="_GoBack"/>
      <w:bookmarkEnd w:id="3"/>
      <w:r w:rsidRPr="00AF2E01">
        <w:rPr>
          <w:noProof/>
          <w:lang w:val="en-IE"/>
        </w:rPr>
        <w:lastRenderedPageBreak/>
        <w:t>Introduction</w:t>
      </w:r>
      <w:bookmarkEnd w:id="0"/>
      <w:bookmarkEnd w:id="2"/>
    </w:p>
    <w:p w14:paraId="6EC1FE62" w14:textId="3E6C198F" w:rsidR="00D55B22" w:rsidRDefault="00D55B22" w:rsidP="00D55B22">
      <w:pPr>
        <w:rPr>
          <w:noProof/>
          <w:lang w:val="en-IE"/>
        </w:rPr>
      </w:pPr>
      <w:r>
        <w:rPr>
          <w:noProof/>
          <w:lang w:val="en-IE"/>
        </w:rPr>
        <w:t>The social economy has firmly established itself as an integral part of Europe’s economy and society, a major contributor to prosperity and competitiveness and a pillar of Europe’s resilience.</w:t>
      </w:r>
    </w:p>
    <w:p w14:paraId="6DCAE8C2" w14:textId="73E018EC" w:rsidR="00690AAA" w:rsidRDefault="00D55B22" w:rsidP="00D55B22">
      <w:pPr>
        <w:rPr>
          <w:noProof/>
          <w:lang w:val="en-IE"/>
        </w:rPr>
      </w:pPr>
      <w:r>
        <w:rPr>
          <w:noProof/>
          <w:lang w:val="en-IE"/>
        </w:rPr>
        <w:t xml:space="preserve">Across the European Union (EU), </w:t>
      </w:r>
      <w:r>
        <w:rPr>
          <w:b/>
          <w:bCs/>
          <w:noProof/>
          <w:lang w:val="en-IE"/>
        </w:rPr>
        <w:t>over 4.3 million associations, cooperatives, mutual benefit societies, foundations and social enterprises</w:t>
      </w:r>
      <w:r>
        <w:rPr>
          <w:noProof/>
          <w:lang w:val="en-IE"/>
        </w:rPr>
        <w:t xml:space="preserve"> pursue activities that prioritise social and environmental objectives over profit and apply participatory or democratic governance models. These organisations provide at least </w:t>
      </w:r>
      <w:r>
        <w:rPr>
          <w:b/>
          <w:bCs/>
          <w:noProof/>
          <w:lang w:val="en-IE"/>
        </w:rPr>
        <w:t>11.5 million jobs</w:t>
      </w:r>
      <w:r>
        <w:rPr>
          <w:noProof/>
          <w:lang w:val="en-IE"/>
        </w:rPr>
        <w:t xml:space="preserve">, accounting for around </w:t>
      </w:r>
      <w:r>
        <w:rPr>
          <w:b/>
          <w:bCs/>
          <w:noProof/>
          <w:lang w:val="en-IE"/>
        </w:rPr>
        <w:t>6.3%</w:t>
      </w:r>
      <w:r>
        <w:rPr>
          <w:noProof/>
          <w:lang w:val="en-IE"/>
        </w:rPr>
        <w:t xml:space="preserve"> </w:t>
      </w:r>
      <w:r>
        <w:rPr>
          <w:b/>
          <w:bCs/>
          <w:noProof/>
          <w:lang w:val="en-IE"/>
        </w:rPr>
        <w:t>of total employment</w:t>
      </w:r>
      <w:r>
        <w:rPr>
          <w:noProof/>
          <w:lang w:val="en-IE"/>
        </w:rPr>
        <w:t>, and operate across a variety of sectors, from care services to finance, agri-food, retail and culture (</w:t>
      </w:r>
      <w:r w:rsidR="00690AAA">
        <w:rPr>
          <w:rStyle w:val="EndnoteReference"/>
          <w:noProof/>
          <w:lang w:val="en-IE"/>
        </w:rPr>
        <w:endnoteReference w:id="2"/>
      </w:r>
      <w:r w:rsidR="00690AAA">
        <w:rPr>
          <w:noProof/>
          <w:lang w:val="en-IE"/>
        </w:rPr>
        <w:t>).</w:t>
      </w:r>
    </w:p>
    <w:p w14:paraId="1C5057D6" w14:textId="5CF2C479" w:rsidR="00690AAA" w:rsidRDefault="00690AAA" w:rsidP="00D55B22">
      <w:pPr>
        <w:rPr>
          <w:noProof/>
          <w:lang w:val="en-IE"/>
        </w:rPr>
      </w:pPr>
      <w:r>
        <w:rPr>
          <w:noProof/>
          <w:lang w:val="en-IE"/>
        </w:rPr>
        <w:t xml:space="preserve">On 9 December 2021, the Commission adopted the </w:t>
      </w:r>
      <w:r>
        <w:rPr>
          <w:b/>
          <w:bCs/>
          <w:noProof/>
          <w:lang w:val="en-IE"/>
        </w:rPr>
        <w:t>action plan for the social economy </w:t>
      </w:r>
      <w:r>
        <w:rPr>
          <w:noProof/>
          <w:lang w:val="en-IE"/>
        </w:rPr>
        <w:t>(</w:t>
      </w:r>
      <w:r>
        <w:rPr>
          <w:rStyle w:val="EndnoteReference"/>
          <w:noProof/>
          <w:lang w:val="en-IE"/>
        </w:rPr>
        <w:endnoteReference w:id="3"/>
      </w:r>
      <w:r>
        <w:rPr>
          <w:noProof/>
          <w:lang w:val="en-IE"/>
        </w:rPr>
        <w:t>)</w:t>
      </w:r>
      <w:r>
        <w:rPr>
          <w:b/>
          <w:bCs/>
          <w:noProof/>
          <w:lang w:val="en-IE"/>
        </w:rPr>
        <w:t xml:space="preserve"> </w:t>
      </w:r>
      <w:r>
        <w:rPr>
          <w:noProof/>
          <w:lang w:val="en-IE"/>
        </w:rPr>
        <w:t>with the aim of unlocking the potential of the social economy and amplifying its impact. For the first time, the Commission set out a vision and a roadmap, outlining a series of measures aimed at improving framework conditions, access to business opportunities and visibility of the social economy by 2030.</w:t>
      </w:r>
    </w:p>
    <w:p w14:paraId="51465BDF" w14:textId="048FC69B" w:rsidR="00690AAA" w:rsidRDefault="00690AAA" w:rsidP="00D55B22">
      <w:pPr>
        <w:rPr>
          <w:noProof/>
          <w:lang w:val="en-IE"/>
        </w:rPr>
      </w:pPr>
      <w:r>
        <w:rPr>
          <w:noProof/>
        </w:rPr>
        <w:t xml:space="preserve">Since then, the geopolitical situation has changed, and a series of overlapping crises have shown how the social economy acts as a </w:t>
      </w:r>
      <w:r>
        <w:rPr>
          <w:b/>
          <w:noProof/>
        </w:rPr>
        <w:t>source of resilience</w:t>
      </w:r>
      <w:r>
        <w:rPr>
          <w:noProof/>
          <w:lang w:val="en-IE"/>
        </w:rPr>
        <w:t>,</w:t>
      </w:r>
      <w:r>
        <w:rPr>
          <w:noProof/>
        </w:rPr>
        <w:t xml:space="preserve"> creating and retaining local jobs, mobilising communities in a spirit of solidarity, and stepping in where markets fall short to promote </w:t>
      </w:r>
      <w:r>
        <w:rPr>
          <w:b/>
          <w:noProof/>
        </w:rPr>
        <w:t>inclusive growth</w:t>
      </w:r>
      <w:r>
        <w:rPr>
          <w:noProof/>
        </w:rPr>
        <w:t>. It helps turn EU priorities into</w:t>
      </w:r>
      <w:r>
        <w:rPr>
          <w:b/>
          <w:noProof/>
        </w:rPr>
        <w:t xml:space="preserve"> effective solutions for people and places,</w:t>
      </w:r>
      <w:r>
        <w:rPr>
          <w:noProof/>
          <w:lang w:val="en-IE"/>
        </w:rPr>
        <w:t xml:space="preserve"> </w:t>
      </w:r>
      <w:r>
        <w:rPr>
          <w:noProof/>
        </w:rPr>
        <w:t>driving social innovation, delivering on the European Pillar of Social Ri</w:t>
      </w:r>
      <w:r>
        <w:rPr>
          <w:noProof/>
          <w:color w:val="000000" w:themeColor="text1"/>
        </w:rPr>
        <w:t>ghts</w:t>
      </w:r>
      <w:r w:rsidDel="00CF0D87">
        <w:rPr>
          <w:noProof/>
          <w:color w:val="000000" w:themeColor="text1"/>
        </w:rPr>
        <w:t xml:space="preserve"> (</w:t>
      </w:r>
      <w:r w:rsidDel="00CF0D87">
        <w:rPr>
          <w:rStyle w:val="EndnoteReference"/>
          <w:noProof/>
          <w:color w:val="000000" w:themeColor="text1"/>
        </w:rPr>
        <w:endnoteReference w:id="4"/>
      </w:r>
      <w:r w:rsidDel="00CF0D87">
        <w:rPr>
          <w:noProof/>
          <w:color w:val="000000" w:themeColor="text1"/>
        </w:rPr>
        <w:t>)</w:t>
      </w:r>
      <w:r>
        <w:rPr>
          <w:noProof/>
          <w:color w:val="000000" w:themeColor="text1"/>
        </w:rPr>
        <w:t xml:space="preserve"> and the Union of Equality, and contributing to a more circular and resilient economy.</w:t>
      </w:r>
    </w:p>
    <w:p w14:paraId="133F5D85" w14:textId="75AA0CC5" w:rsidR="00690AAA" w:rsidRDefault="00690AAA" w:rsidP="00D55B22">
      <w:pPr>
        <w:rPr>
          <w:noProof/>
          <w:lang w:val="en-IE"/>
        </w:rPr>
      </w:pPr>
      <w:r>
        <w:rPr>
          <w:noProof/>
          <w:lang w:val="en-IE"/>
        </w:rPr>
        <w:t xml:space="preserve">Through their bottom-up, community-rooted approach, social economy organisations </w:t>
      </w:r>
      <w:r>
        <w:rPr>
          <w:b/>
          <w:bCs/>
          <w:noProof/>
          <w:lang w:val="en-IE"/>
        </w:rPr>
        <w:t>strengthen territorial cohesion</w:t>
      </w:r>
      <w:r>
        <w:rPr>
          <w:noProof/>
          <w:lang w:val="en-IE"/>
        </w:rPr>
        <w:t xml:space="preserve"> across urban and rural areas, outermost and border regions. They make a direct contribution to </w:t>
      </w:r>
      <w:r>
        <w:rPr>
          <w:b/>
          <w:bCs/>
          <w:noProof/>
          <w:lang w:val="en-IE"/>
        </w:rPr>
        <w:t>poverty reduction and social inclusion</w:t>
      </w:r>
      <w:r>
        <w:rPr>
          <w:noProof/>
          <w:lang w:val="en-IE"/>
        </w:rPr>
        <w:t>, notably by creating pathways into employment and by ensuring affordable access to services. By enabling people to organise, participate and co-create solutions, social economy organisations broaden and strengthen</w:t>
      </w:r>
      <w:r>
        <w:rPr>
          <w:b/>
          <w:bCs/>
          <w:noProof/>
          <w:lang w:val="en-IE"/>
        </w:rPr>
        <w:t xml:space="preserve"> civic engagement</w:t>
      </w:r>
      <w:r>
        <w:rPr>
          <w:noProof/>
          <w:lang w:val="en-IE"/>
        </w:rPr>
        <w:t xml:space="preserve"> and </w:t>
      </w:r>
      <w:r>
        <w:rPr>
          <w:b/>
          <w:bCs/>
          <w:noProof/>
          <w:lang w:val="en-IE"/>
        </w:rPr>
        <w:t>democratic life</w:t>
      </w:r>
      <w:r>
        <w:rPr>
          <w:noProof/>
          <w:lang w:val="en-IE"/>
        </w:rPr>
        <w:t>.</w:t>
      </w:r>
    </w:p>
    <w:p w14:paraId="00F37330" w14:textId="4007793F" w:rsidR="00690AAA" w:rsidRDefault="00690AAA" w:rsidP="00D55B22">
      <w:pPr>
        <w:rPr>
          <w:noProof/>
          <w:lang w:val="en-IE"/>
        </w:rPr>
      </w:pPr>
      <w:r>
        <w:rPr>
          <w:noProof/>
          <w:lang w:val="en-IE"/>
        </w:rPr>
        <w:t xml:space="preserve">At the same time, the social economy supports Europe’s </w:t>
      </w:r>
      <w:r>
        <w:rPr>
          <w:b/>
          <w:bCs/>
          <w:noProof/>
          <w:lang w:val="en-IE"/>
        </w:rPr>
        <w:t>prosperity and competitiveness</w:t>
      </w:r>
      <w:r>
        <w:rPr>
          <w:noProof/>
          <w:lang w:val="en-IE"/>
        </w:rPr>
        <w:t xml:space="preserve">. Social economy organisations channel innovation towards societal good, developing new ways to deliver goods and services that address social needs and contribute to the European quality of life. They foster entrepreneurship, especially among young people and disadvantaged groups. They bring these innovations to key economic sectors, such as housing and the circular economy, promoting models that anchor value locally. </w:t>
      </w:r>
    </w:p>
    <w:p w14:paraId="1696B0F0" w14:textId="7B8D5553" w:rsidR="00690AAA" w:rsidRDefault="00690AAA" w:rsidP="00D55B22">
      <w:pPr>
        <w:rPr>
          <w:noProof/>
        </w:rPr>
      </w:pPr>
      <w:r>
        <w:rPr>
          <w:noProof/>
          <w:lang w:val="en-IE"/>
        </w:rPr>
        <w:t>Social economy organisations</w:t>
      </w:r>
      <w:r>
        <w:rPr>
          <w:noProof/>
        </w:rPr>
        <w:t xml:space="preserve"> </w:t>
      </w:r>
      <w:r>
        <w:rPr>
          <w:b/>
          <w:bCs/>
          <w:noProof/>
        </w:rPr>
        <w:t>boost</w:t>
      </w:r>
      <w:r>
        <w:rPr>
          <w:noProof/>
        </w:rPr>
        <w:t xml:space="preserve"> </w:t>
      </w:r>
      <w:r>
        <w:rPr>
          <w:b/>
          <w:bCs/>
          <w:noProof/>
        </w:rPr>
        <w:t>competitiveness</w:t>
      </w:r>
      <w:r>
        <w:rPr>
          <w:noProof/>
        </w:rPr>
        <w:t xml:space="preserve"> by </w:t>
      </w:r>
      <w:r>
        <w:rPr>
          <w:b/>
          <w:bCs/>
          <w:noProof/>
        </w:rPr>
        <w:t>creating quality jobs, increasing labour market participation and contributing to gender equality and a skilled workforce</w:t>
      </w:r>
      <w:r>
        <w:rPr>
          <w:noProof/>
        </w:rPr>
        <w:t>. Their predominant social purpose and employee involvement in decision-making promote stable employment, worker participation and sustained training and reskilling. Work integration social enterprises, for example, combine employment with tailored support to bring people back into the labour market with the necessary skills and knowledge to transition from exclusion to sustainable employment.</w:t>
      </w:r>
    </w:p>
    <w:p w14:paraId="2E0E9904" w14:textId="77777777" w:rsidR="00690AAA" w:rsidRDefault="00690AAA" w:rsidP="00D55B22">
      <w:pPr>
        <w:rPr>
          <w:noProof/>
        </w:rPr>
      </w:pPr>
      <w:r>
        <w:rPr>
          <w:noProof/>
        </w:rPr>
        <w:t xml:space="preserve">The social economy also strengthens Europe’s </w:t>
      </w:r>
      <w:r>
        <w:rPr>
          <w:b/>
          <w:noProof/>
        </w:rPr>
        <w:t>preparedness and strategic autonomy</w:t>
      </w:r>
      <w:r>
        <w:rPr>
          <w:noProof/>
        </w:rPr>
        <w:t>, contributing to greater economic sovereignty by making our industry, services and value chains more robust, diverse and embedded within local communities. This encompasses risk-sharing solutions such as mutuals providing affordable insurance coverage to households, communities and businesses, and cooperatives promoting cleaner industries and the green transition through community energy initiatives and circular business models.</w:t>
      </w:r>
    </w:p>
    <w:p w14:paraId="01110BC8" w14:textId="4068FFF7" w:rsidR="00690AAA" w:rsidRDefault="00690AAA" w:rsidP="00D55B22">
      <w:pPr>
        <w:rPr>
          <w:noProof/>
          <w:lang w:val="en-IE"/>
        </w:rPr>
      </w:pPr>
      <w:r>
        <w:rPr>
          <w:noProof/>
          <w:lang w:eastAsia="en-GB"/>
        </w:rPr>
        <w:drawing>
          <wp:anchor distT="0" distB="0" distL="114300" distR="114300" simplePos="0" relativeHeight="251658240" behindDoc="1" locked="0" layoutInCell="1" allowOverlap="1" wp14:anchorId="5FB45954" wp14:editId="14E2232A">
            <wp:simplePos x="0" y="0"/>
            <wp:positionH relativeFrom="column">
              <wp:posOffset>-1007745</wp:posOffset>
            </wp:positionH>
            <wp:positionV relativeFrom="paragraph">
              <wp:posOffset>597975</wp:posOffset>
            </wp:positionV>
            <wp:extent cx="7574280" cy="2997200"/>
            <wp:effectExtent l="0" t="0" r="7620" b="0"/>
            <wp:wrapTight wrapText="bothSides">
              <wp:wrapPolygon edited="0">
                <wp:start x="0" y="0"/>
                <wp:lineTo x="0" y="21417"/>
                <wp:lineTo x="21567" y="21417"/>
                <wp:lineTo x="21567" y="0"/>
                <wp:lineTo x="0" y="0"/>
              </wp:wrapPolygon>
            </wp:wrapTight>
            <wp:docPr id="296230146" name="Picture 1" descr="A screenshot of a social media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screenshot of a social media pos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74280" cy="29972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IE"/>
        </w:rPr>
        <w:t>Europeans experience the added value of the social economy in their daily lives, as demonstrated by the Special Eurobarometer on the social economy in the life of Europeans (</w:t>
      </w:r>
      <w:r>
        <w:rPr>
          <w:rStyle w:val="EndnoteReference"/>
          <w:noProof/>
          <w:lang w:val="en-IE"/>
        </w:rPr>
        <w:endnoteReference w:id="5"/>
      </w:r>
      <w:r>
        <w:rPr>
          <w:noProof/>
          <w:lang w:val="en-IE"/>
        </w:rPr>
        <w:t>) published in October 2025.</w:t>
      </w:r>
    </w:p>
    <w:p w14:paraId="05FDA0E8" w14:textId="6AB62F39" w:rsidR="00690AAA" w:rsidRDefault="00690AAA" w:rsidP="00D55B22">
      <w:pPr>
        <w:spacing w:after="160" w:line="256" w:lineRule="auto"/>
        <w:rPr>
          <w:noProof/>
          <w:lang w:val="en-IE"/>
        </w:rPr>
      </w:pPr>
      <w:r>
        <w:rPr>
          <w:noProof/>
          <w:lang w:val="en-IE"/>
        </w:rPr>
        <w:t xml:space="preserve">This report delivers on the commitment made in the action plan for the social economy to review its implementation and impact halfway through, identify remaining challenges and reaffirm the Commission’s vision for the social economy in the new geopolitical context. </w:t>
      </w:r>
    </w:p>
    <w:p w14:paraId="6E12AAAD" w14:textId="77777777" w:rsidR="00690AAA" w:rsidRDefault="00690AAA" w:rsidP="00105EAA">
      <w:pPr>
        <w:spacing w:after="0" w:line="256" w:lineRule="auto"/>
        <w:rPr>
          <w:noProof/>
        </w:rPr>
      </w:pPr>
      <w:r>
        <w:rPr>
          <w:noProof/>
          <w:lang w:val="en-IE"/>
        </w:rPr>
        <w:t xml:space="preserve">Furthermore, as the Letta report </w:t>
      </w:r>
      <w:r>
        <w:rPr>
          <w:i/>
          <w:iCs/>
          <w:noProof/>
          <w:lang w:val="en-IE"/>
        </w:rPr>
        <w:t>Much more than a market </w:t>
      </w:r>
      <w:r>
        <w:rPr>
          <w:noProof/>
          <w:lang w:val="en-IE"/>
        </w:rPr>
        <w:t>stated in 2024, additional policy measures must be considered to fully realise the potential of the social economy (</w:t>
      </w:r>
      <w:r>
        <w:rPr>
          <w:rStyle w:val="EndnoteReference"/>
          <w:noProof/>
          <w:lang w:val="en-IE"/>
        </w:rPr>
        <w:endnoteReference w:id="6"/>
      </w:r>
      <w:r>
        <w:rPr>
          <w:noProof/>
          <w:lang w:val="en-IE"/>
        </w:rPr>
        <w:t xml:space="preserve">). </w:t>
      </w:r>
      <w:r>
        <w:rPr>
          <w:noProof/>
        </w:rPr>
        <w:t xml:space="preserve">Targeted support measures and enabling frameworks are needed to account for their unique governance models, profit allocation rules and impact-oriented nature. </w:t>
      </w:r>
      <w:r>
        <w:rPr>
          <w:noProof/>
          <w:lang w:val="en-IE"/>
        </w:rPr>
        <w:t>In line with this call, this report looks forward and examines where existing tools should be strengthened and where new actions are necessary to maximise the potential of the social economy. The accompanying staff working document provides further details on the implementation process to date and the various stakeholder consultations carried out by the Commission.</w:t>
      </w:r>
    </w:p>
    <w:p w14:paraId="1700A08A" w14:textId="0E88E0BA" w:rsidR="00690AAA" w:rsidRPr="00AF2E01" w:rsidRDefault="00690AAA" w:rsidP="00B57C54">
      <w:pPr>
        <w:pStyle w:val="Heading1"/>
        <w:rPr>
          <w:noProof/>
          <w:lang w:val="en-IE"/>
        </w:rPr>
      </w:pPr>
      <w:r w:rsidRPr="00AF2E01">
        <w:rPr>
          <w:noProof/>
          <w:lang w:val="en-IE"/>
        </w:rPr>
        <w:t>Progress</w:t>
      </w:r>
      <w:r>
        <w:rPr>
          <w:noProof/>
          <w:lang w:val="en-IE"/>
        </w:rPr>
        <w:t xml:space="preserve"> and Lessons learned during implementation</w:t>
      </w:r>
    </w:p>
    <w:p w14:paraId="63839F43" w14:textId="5F9EDAEE" w:rsidR="00690AAA" w:rsidRDefault="00690AAA" w:rsidP="00B57C54">
      <w:pPr>
        <w:pStyle w:val="Text1"/>
        <w:ind w:left="0"/>
        <w:rPr>
          <w:noProof/>
          <w:lang w:val="en-IE"/>
        </w:rPr>
      </w:pPr>
      <w:r w:rsidRPr="005C086F">
        <w:rPr>
          <w:noProof/>
          <w:lang w:val="en-IE"/>
        </w:rPr>
        <w:t xml:space="preserve">The </w:t>
      </w:r>
      <w:r>
        <w:rPr>
          <w:noProof/>
          <w:lang w:val="en-IE"/>
        </w:rPr>
        <w:t>action plan for the social economy</w:t>
      </w:r>
      <w:r w:rsidRPr="005C086F">
        <w:rPr>
          <w:noProof/>
          <w:lang w:val="en-IE"/>
        </w:rPr>
        <w:t xml:space="preserve"> is structured around three pillars</w:t>
      </w:r>
      <w:r>
        <w:rPr>
          <w:noProof/>
          <w:lang w:val="en-IE"/>
        </w:rPr>
        <w:t xml:space="preserve"> and </w:t>
      </w:r>
      <w:r w:rsidRPr="005C086F">
        <w:rPr>
          <w:noProof/>
          <w:lang w:val="en-IE"/>
        </w:rPr>
        <w:t>comprises 63 actions. Most of these actions have been completed or are currently being implemented</w:t>
      </w:r>
      <w:r>
        <w:rPr>
          <w:noProof/>
          <w:lang w:val="en-IE"/>
        </w:rPr>
        <w:t xml:space="preserve"> by the Commission</w:t>
      </w:r>
      <w:r w:rsidRPr="005C086F">
        <w:rPr>
          <w:noProof/>
          <w:lang w:val="en-IE"/>
        </w:rPr>
        <w:t>, while a small number have been discontinued or reoriented in light of evidence and market developments.</w:t>
      </w:r>
    </w:p>
    <w:p w14:paraId="06184DC6" w14:textId="77777777" w:rsidR="00690AAA" w:rsidRPr="002E5A2C" w:rsidRDefault="00690AAA" w:rsidP="002E5A2C">
      <w:pPr>
        <w:rPr>
          <w:noProof/>
          <w:lang w:val="en-IE"/>
        </w:rPr>
      </w:pPr>
      <w:r w:rsidRPr="002E5A2C">
        <w:rPr>
          <w:noProof/>
          <w:lang w:val="en-IE"/>
        </w:rPr>
        <w:t>This section follows the structure of the action plan from 2021, highlighting key achievements and drawing lessons where challenges persist, paving the way for new actions.</w:t>
      </w:r>
    </w:p>
    <w:p w14:paraId="6D6C4DEA" w14:textId="77777777" w:rsidR="00690AAA" w:rsidRPr="002E5A2C" w:rsidRDefault="00690AAA" w:rsidP="002E5A2C">
      <w:pPr>
        <w:keepNext/>
        <w:numPr>
          <w:ilvl w:val="1"/>
          <w:numId w:val="17"/>
        </w:numPr>
        <w:outlineLvl w:val="1"/>
        <w:rPr>
          <w:b/>
          <w:noProof/>
          <w:lang w:val="en-IE"/>
        </w:rPr>
      </w:pPr>
      <w:r w:rsidRPr="002E5A2C">
        <w:rPr>
          <w:b/>
          <w:noProof/>
          <w:lang w:val="en-IE"/>
        </w:rPr>
        <w:t>Creating the right framework for the social economy to thrive</w:t>
      </w:r>
    </w:p>
    <w:p w14:paraId="6EF5F18E" w14:textId="35503103" w:rsidR="00690AAA" w:rsidRPr="002E5A2C" w:rsidRDefault="00690AAA" w:rsidP="002E5A2C">
      <w:pPr>
        <w:rPr>
          <w:noProof/>
          <w:lang w:val="en-IE"/>
        </w:rPr>
      </w:pPr>
      <w:r w:rsidRPr="002E5A2C">
        <w:rPr>
          <w:noProof/>
          <w:lang w:val="en-IE"/>
        </w:rPr>
        <w:t xml:space="preserve">One of the key milestones so far was the adoption of the </w:t>
      </w:r>
      <w:r w:rsidRPr="002E5A2C">
        <w:rPr>
          <w:b/>
          <w:bCs/>
          <w:noProof/>
          <w:lang w:val="en-IE"/>
        </w:rPr>
        <w:t>2023 Council recommendation on developing social economy framework conditions</w:t>
      </w:r>
      <w:r w:rsidRPr="002E5A2C">
        <w:rPr>
          <w:noProof/>
          <w:lang w:val="en-IE"/>
        </w:rPr>
        <w:t> (</w:t>
      </w:r>
      <w:r w:rsidRPr="002E5A2C">
        <w:rPr>
          <w:noProof/>
          <w:vertAlign w:val="superscript"/>
          <w:lang w:val="en-IE"/>
        </w:rPr>
        <w:endnoteReference w:id="7"/>
      </w:r>
      <w:r w:rsidRPr="002E5A2C">
        <w:rPr>
          <w:noProof/>
          <w:lang w:val="en-IE"/>
        </w:rPr>
        <w:t xml:space="preserve">). It provides a common framework for Member States to integrate the social economy into their policies and create supportive measures to foster a favourable environment for social economy organisations. This framework has legitimised and accelerated national reforms. Between 2021 and the end of 2025, </w:t>
      </w:r>
      <w:r w:rsidRPr="002E5A2C">
        <w:rPr>
          <w:b/>
          <w:bCs/>
          <w:noProof/>
          <w:lang w:val="en-IE"/>
        </w:rPr>
        <w:t>21 Member States</w:t>
      </w:r>
      <w:r w:rsidRPr="002E5A2C">
        <w:rPr>
          <w:noProof/>
          <w:lang w:val="en-IE"/>
        </w:rPr>
        <w:t xml:space="preserve"> </w:t>
      </w:r>
      <w:r w:rsidRPr="002E5A2C">
        <w:rPr>
          <w:b/>
          <w:bCs/>
          <w:noProof/>
          <w:lang w:val="en-IE"/>
        </w:rPr>
        <w:t>had either adopted or were preparing national or regional strategies</w:t>
      </w:r>
      <w:r w:rsidRPr="002E5A2C">
        <w:rPr>
          <w:noProof/>
          <w:lang w:val="en-IE"/>
        </w:rPr>
        <w:t xml:space="preserve"> </w:t>
      </w:r>
      <w:r w:rsidRPr="002E5A2C">
        <w:rPr>
          <w:b/>
          <w:bCs/>
          <w:noProof/>
          <w:lang w:val="en-IE"/>
        </w:rPr>
        <w:t>for the social economy</w:t>
      </w:r>
      <w:r w:rsidRPr="002E5A2C">
        <w:rPr>
          <w:noProof/>
          <w:lang w:val="en-IE"/>
        </w:rPr>
        <w:t xml:space="preserve">. Furthermore, 12 Member States had adopted or reformed social economy laws, and 2 were </w:t>
      </w:r>
      <w:r>
        <w:rPr>
          <w:noProof/>
          <w:lang w:val="en-IE"/>
        </w:rPr>
        <w:t xml:space="preserve">in the process of </w:t>
      </w:r>
      <w:r w:rsidRPr="002E5A2C">
        <w:rPr>
          <w:noProof/>
          <w:lang w:val="en-IE"/>
        </w:rPr>
        <w:t>doing so.</w:t>
      </w:r>
      <w:r w:rsidRPr="002E5A2C">
        <w:rPr>
          <w:b/>
          <w:bCs/>
          <w:noProof/>
          <w:lang w:val="en-IE"/>
        </w:rPr>
        <w:t xml:space="preserve"> </w:t>
      </w:r>
      <w:r w:rsidRPr="002E5A2C">
        <w:rPr>
          <w:noProof/>
          <w:lang w:val="en-IE"/>
        </w:rPr>
        <w:t xml:space="preserve">This represents a significant evolution in the strategic and legislative landscape and reflects the growing national-level recognition of the social economy. </w:t>
      </w:r>
    </w:p>
    <w:p w14:paraId="6C40D5FC" w14:textId="77777777" w:rsidR="00690AAA" w:rsidRPr="002E5A2C" w:rsidRDefault="00690AAA" w:rsidP="002E5A2C">
      <w:pPr>
        <w:rPr>
          <w:noProof/>
          <w:lang w:val="en-IE"/>
        </w:rPr>
      </w:pPr>
      <w:r w:rsidRPr="002E5A2C">
        <w:rPr>
          <w:noProof/>
          <w:lang w:val="en-IE"/>
        </w:rPr>
        <w:t xml:space="preserve">The Commission’s efforts have been supported by </w:t>
      </w:r>
      <w:r w:rsidRPr="002E5A2C">
        <w:rPr>
          <w:b/>
          <w:bCs/>
          <w:noProof/>
          <w:lang w:val="en-IE"/>
        </w:rPr>
        <w:t>an increasing international momentum</w:t>
      </w:r>
      <w:r w:rsidRPr="002E5A2C">
        <w:rPr>
          <w:noProof/>
          <w:lang w:val="en-IE"/>
        </w:rPr>
        <w:t xml:space="preserve">. EU Member States and the Commission have contributed to UN General Assembly resolutions and International Labour Organization conclusions on the social and solidarity economy, and the Commission’s work informed the OECD Recommendation on the social and solidarity economy and social innovation. </w:t>
      </w:r>
    </w:p>
    <w:p w14:paraId="0E5E1910" w14:textId="77254274" w:rsidR="00690AAA" w:rsidRPr="002E5A2C" w:rsidRDefault="00690AAA" w:rsidP="002E5A2C">
      <w:pPr>
        <w:rPr>
          <w:noProof/>
          <w:lang w:val="en-IE"/>
        </w:rPr>
      </w:pPr>
      <w:r w:rsidRPr="002E5A2C">
        <w:rPr>
          <w:noProof/>
          <w:lang w:val="en-IE"/>
        </w:rPr>
        <w:t xml:space="preserve">The progress made to date confirms the value of a shared EU vision combined with practical support for Member States. The Commission thus organised </w:t>
      </w:r>
      <w:r w:rsidRPr="002E5A2C">
        <w:rPr>
          <w:b/>
          <w:bCs/>
          <w:noProof/>
          <w:lang w:val="en-IE"/>
        </w:rPr>
        <w:t>mutual learning workshops</w:t>
      </w:r>
      <w:r w:rsidRPr="002E5A2C">
        <w:rPr>
          <w:noProof/>
          <w:lang w:val="en-IE"/>
        </w:rPr>
        <w:t xml:space="preserve"> on topics such as State aid, taxation, social economy strategies, socially responsible public procurement and data. The Technical Support Instrument (</w:t>
      </w:r>
      <w:r w:rsidRPr="002E5A2C">
        <w:rPr>
          <w:noProof/>
          <w:vertAlign w:val="superscript"/>
          <w:lang w:val="en-IE"/>
        </w:rPr>
        <w:t>9</w:t>
      </w:r>
      <w:r w:rsidRPr="002E5A2C">
        <w:rPr>
          <w:noProof/>
          <w:lang w:val="en-IE"/>
        </w:rPr>
        <w:t>) is supporting five Member States in designing their social economy strategies through collaborative and country-specific work. In addition, in 2023, the Commission published two staff working documents describing the existing tax frameworks for social economy organisations (</w:t>
      </w:r>
      <w:r w:rsidRPr="002E5A2C">
        <w:rPr>
          <w:noProof/>
          <w:vertAlign w:val="superscript"/>
          <w:lang w:val="en-IE"/>
        </w:rPr>
        <w:endnoteReference w:id="8"/>
      </w:r>
      <w:r w:rsidRPr="002E5A2C">
        <w:rPr>
          <w:noProof/>
          <w:lang w:val="en-IE"/>
        </w:rPr>
        <w:t>) and the non-discriminatory taxation of charitable organisations and their donors (</w:t>
      </w:r>
      <w:r w:rsidRPr="002E5A2C">
        <w:rPr>
          <w:noProof/>
          <w:vertAlign w:val="superscript"/>
          <w:lang w:val="en-IE"/>
        </w:rPr>
        <w:endnoteReference w:id="9"/>
      </w:r>
      <w:r w:rsidRPr="002E5A2C">
        <w:rPr>
          <w:noProof/>
          <w:lang w:val="en-IE"/>
        </w:rPr>
        <w:t xml:space="preserve">), establishing a common evidence base and point of reference across the EU. </w:t>
      </w:r>
    </w:p>
    <w:p w14:paraId="4AF43FAC" w14:textId="0775FA9C" w:rsidR="00690AAA" w:rsidRPr="002E5A2C" w:rsidRDefault="00690AAA" w:rsidP="002E5A2C">
      <w:pPr>
        <w:rPr>
          <w:noProof/>
          <w:lang w:val="en-IE"/>
        </w:rPr>
      </w:pPr>
      <w:r w:rsidRPr="002E5A2C">
        <w:rPr>
          <w:noProof/>
          <w:lang w:val="en-IE"/>
        </w:rPr>
        <w:t xml:space="preserve">To improve legal certainty and knowledge on </w:t>
      </w:r>
      <w:r w:rsidRPr="002E5A2C">
        <w:rPr>
          <w:b/>
          <w:bCs/>
          <w:noProof/>
          <w:lang w:val="en-IE"/>
        </w:rPr>
        <w:t>State aid</w:t>
      </w:r>
      <w:r w:rsidRPr="002E5A2C">
        <w:rPr>
          <w:noProof/>
          <w:lang w:val="en-IE"/>
        </w:rPr>
        <w:t xml:space="preserve"> options, the Commission published a </w:t>
      </w:r>
      <w:r w:rsidRPr="2929FB50">
        <w:rPr>
          <w:b/>
          <w:bCs/>
          <w:noProof/>
          <w:lang w:val="en-IE"/>
        </w:rPr>
        <w:t>study on the application of State aid measures to support social enterprises’ access to finance and the recruitment of disadvantaged workers </w:t>
      </w:r>
      <w:r w:rsidRPr="002E5A2C">
        <w:rPr>
          <w:noProof/>
          <w:lang w:val="en-IE"/>
        </w:rPr>
        <w:t>(</w:t>
      </w:r>
      <w:r w:rsidRPr="002E5A2C">
        <w:rPr>
          <w:noProof/>
          <w:vertAlign w:val="superscript"/>
          <w:lang w:val="en-IE"/>
        </w:rPr>
        <w:endnoteReference w:id="10"/>
      </w:r>
      <w:r w:rsidRPr="002E5A2C">
        <w:rPr>
          <w:noProof/>
          <w:lang w:val="en-IE"/>
        </w:rPr>
        <w:t>). The findings of this study will inform the current revision of the General Block Exemption Regulation (</w:t>
      </w:r>
      <w:r w:rsidRPr="002E5A2C">
        <w:rPr>
          <w:noProof/>
          <w:vertAlign w:val="superscript"/>
          <w:lang w:val="en-IE"/>
        </w:rPr>
        <w:endnoteReference w:id="11"/>
      </w:r>
      <w:r w:rsidRPr="002E5A2C">
        <w:rPr>
          <w:noProof/>
          <w:lang w:val="en-IE"/>
        </w:rPr>
        <w:t xml:space="preserve">). </w:t>
      </w:r>
      <w:r w:rsidRPr="441DD09E">
        <w:rPr>
          <w:noProof/>
          <w:lang w:val="en-IE"/>
        </w:rPr>
        <w:t>In addition, since January 2024, public authorities can apply the increased de minimis aid ceilings of EUR 300 000 (</w:t>
      </w:r>
      <w:r w:rsidRPr="441DD09E">
        <w:rPr>
          <w:noProof/>
          <w:vertAlign w:val="superscript"/>
          <w:lang w:val="en-IE"/>
        </w:rPr>
        <w:endnoteReference w:id="12"/>
      </w:r>
      <w:r w:rsidRPr="441DD09E">
        <w:rPr>
          <w:noProof/>
          <w:lang w:val="en-IE"/>
        </w:rPr>
        <w:t>) and EUR 750 000 over any period of 3 years for services of general economic interest (</w:t>
      </w:r>
      <w:r w:rsidRPr="441DD09E">
        <w:rPr>
          <w:noProof/>
          <w:vertAlign w:val="superscript"/>
          <w:lang w:val="en-IE"/>
        </w:rPr>
        <w:endnoteReference w:id="13"/>
      </w:r>
      <w:r w:rsidRPr="441DD09E">
        <w:rPr>
          <w:noProof/>
          <w:lang w:val="en-IE"/>
        </w:rPr>
        <w:t>).</w:t>
      </w:r>
      <w:r w:rsidRPr="002E5A2C">
        <w:rPr>
          <w:noProof/>
          <w:lang w:val="en-IE"/>
        </w:rPr>
        <w:t xml:space="preserve"> Furthermore, the 2025 revision of the Services of General Economic Interest</w:t>
      </w:r>
      <w:r w:rsidRPr="002E5A2C">
        <w:rPr>
          <w:noProof/>
          <w:vertAlign w:val="superscript"/>
          <w:lang w:val="en-IE"/>
        </w:rPr>
        <w:endnoteReference w:id="14"/>
      </w:r>
      <w:r w:rsidRPr="002E5A2C">
        <w:rPr>
          <w:noProof/>
          <w:lang w:val="en-IE"/>
        </w:rPr>
        <w:t>￼</w:t>
      </w:r>
      <w:r>
        <w:rPr>
          <w:noProof/>
          <w:lang w:val="en-IE"/>
        </w:rPr>
        <w:t>)</w:t>
      </w:r>
      <w:r w:rsidRPr="002E5A2C">
        <w:rPr>
          <w:noProof/>
          <w:lang w:val="en-IE"/>
        </w:rPr>
        <w:t xml:space="preserve"> aims to make it easier for Member States to support the construction and renovation of affordable housing, an area in which social economy organisations </w:t>
      </w:r>
      <w:r>
        <w:rPr>
          <w:noProof/>
          <w:lang w:val="en-IE"/>
        </w:rPr>
        <w:t>are active</w:t>
      </w:r>
      <w:r w:rsidRPr="002E5A2C">
        <w:rPr>
          <w:noProof/>
          <w:lang w:val="en-IE"/>
        </w:rPr>
        <w:t xml:space="preserve">. </w:t>
      </w:r>
    </w:p>
    <w:p w14:paraId="173B808E" w14:textId="77777777" w:rsidR="00690AAA" w:rsidRPr="002E5A2C" w:rsidRDefault="00690AAA" w:rsidP="002E5A2C">
      <w:pPr>
        <w:rPr>
          <w:noProof/>
          <w:lang w:val="en-IE"/>
        </w:rPr>
      </w:pPr>
      <w:r w:rsidRPr="002E5A2C">
        <w:rPr>
          <w:noProof/>
          <w:lang w:val="en-IE"/>
        </w:rPr>
        <w:t xml:space="preserve">Despite the progress made at national and international levels, there is significant </w:t>
      </w:r>
      <w:r w:rsidRPr="002E5A2C">
        <w:rPr>
          <w:b/>
          <w:bCs/>
          <w:noProof/>
          <w:lang w:val="en-IE"/>
        </w:rPr>
        <w:t>untapped potential at regional and municipal levels</w:t>
      </w:r>
      <w:r w:rsidRPr="002E5A2C">
        <w:rPr>
          <w:noProof/>
          <w:lang w:val="en-IE"/>
        </w:rPr>
        <w:t>, where authorities are closest to the public and the activities of social economy organisations. Although initiatives have multiplied in many regions and municipalities in recent years, the exchange of knowledge and practices between them, especially across borders, remains limited.</w:t>
      </w:r>
    </w:p>
    <w:p w14:paraId="60BF7D9C" w14:textId="6C2F7DF5" w:rsidR="00690AAA" w:rsidRPr="002E5A2C" w:rsidRDefault="00690AAA" w:rsidP="002E5A2C">
      <w:pPr>
        <w:rPr>
          <w:noProof/>
          <w:lang w:val="en-IE"/>
        </w:rPr>
      </w:pPr>
      <w:r w:rsidRPr="002E5A2C">
        <w:rPr>
          <w:noProof/>
          <w:lang w:val="en-IE"/>
        </w:rPr>
        <w:t>Furthermore, restrictive legal frameworks cause legal uncertainty</w:t>
      </w:r>
      <w:r>
        <w:rPr>
          <w:noProof/>
          <w:lang w:val="en-IE"/>
        </w:rPr>
        <w:t xml:space="preserve"> and raise barriers to further support the social economy. Public authorities often</w:t>
      </w:r>
      <w:r w:rsidRPr="002E5A2C">
        <w:rPr>
          <w:noProof/>
          <w:lang w:val="en-IE"/>
        </w:rPr>
        <w:t xml:space="preserve"> lack technical capacity in areas such as State aid and socially responsible public procurement. For example, the recent evaluation of the </w:t>
      </w:r>
      <w:r w:rsidRPr="2929FB50">
        <w:rPr>
          <w:b/>
          <w:bCs/>
          <w:noProof/>
          <w:lang w:val="en-IE"/>
        </w:rPr>
        <w:t>Directives on public procurement</w:t>
      </w:r>
      <w:r w:rsidRPr="002E5A2C">
        <w:rPr>
          <w:noProof/>
          <w:lang w:val="en-IE"/>
        </w:rPr>
        <w:t xml:space="preserve"> </w:t>
      </w:r>
      <w:r w:rsidRPr="002E5A2C" w:rsidDel="00B55E2A">
        <w:rPr>
          <w:noProof/>
          <w:lang w:val="en-IE"/>
        </w:rPr>
        <w:t>(</w:t>
      </w:r>
      <w:r w:rsidRPr="002E5A2C" w:rsidDel="00B55E2A">
        <w:rPr>
          <w:noProof/>
          <w:vertAlign w:val="superscript"/>
          <w:lang w:val="en-IE"/>
        </w:rPr>
        <w:endnoteReference w:id="15"/>
      </w:r>
      <w:r w:rsidRPr="002E5A2C" w:rsidDel="00B55E2A">
        <w:rPr>
          <w:noProof/>
          <w:lang w:val="en-IE"/>
        </w:rPr>
        <w:t>)</w:t>
      </w:r>
      <w:r w:rsidRPr="002E5A2C">
        <w:rPr>
          <w:noProof/>
          <w:lang w:val="en-IE"/>
        </w:rPr>
        <w:t xml:space="preserve"> shows </w:t>
      </w:r>
      <w:r w:rsidRPr="2929FB50">
        <w:rPr>
          <w:b/>
          <w:bCs/>
          <w:noProof/>
          <w:lang w:val="en-IE"/>
        </w:rPr>
        <w:t>varying levels of maturity in integrating social considerations into public procurement practices across Member States</w:t>
      </w:r>
      <w:r w:rsidRPr="002E5A2C">
        <w:rPr>
          <w:noProof/>
          <w:lang w:val="en-IE"/>
        </w:rPr>
        <w:t xml:space="preserve">. Contracting authorities often find it difficult to balance transparency and market-efficiency objectives with strategic policy goals and </w:t>
      </w:r>
      <w:r>
        <w:rPr>
          <w:noProof/>
          <w:lang w:val="en-IE"/>
        </w:rPr>
        <w:t xml:space="preserve">are expecting </w:t>
      </w:r>
      <w:r w:rsidRPr="002E5A2C">
        <w:rPr>
          <w:noProof/>
          <w:lang w:val="en-IE"/>
        </w:rPr>
        <w:t>clear guidance on how to achieve this balance.</w:t>
      </w:r>
    </w:p>
    <w:p w14:paraId="2D42A217" w14:textId="4F1C6978" w:rsidR="00690AAA" w:rsidRPr="002E5A2C" w:rsidRDefault="00690AAA" w:rsidP="002E5A2C">
      <w:pPr>
        <w:pBdr>
          <w:top w:val="single" w:sz="4" w:space="1" w:color="auto"/>
          <w:left w:val="single" w:sz="4" w:space="4" w:color="auto"/>
          <w:bottom w:val="single" w:sz="4" w:space="1" w:color="auto"/>
          <w:right w:val="single" w:sz="4" w:space="4" w:color="auto"/>
        </w:pBdr>
        <w:shd w:val="clear" w:color="auto" w:fill="E2EFD9" w:themeFill="accent6" w:themeFillTint="33"/>
        <w:spacing w:after="120"/>
        <w:rPr>
          <w:noProof/>
          <w:lang w:val="en-IE"/>
        </w:rPr>
      </w:pPr>
      <w:bookmarkStart w:id="5" w:name="_Hlk222222583"/>
      <w:r w:rsidRPr="002E5A2C">
        <w:rPr>
          <w:b/>
          <w:bCs/>
          <w:i/>
          <w:iCs/>
          <w:noProof/>
          <w:lang w:val="en-IE"/>
        </w:rPr>
        <w:t>In focus: The social economy and circularity</w:t>
      </w:r>
    </w:p>
    <w:p w14:paraId="70510CB7" w14:textId="44374D1F" w:rsidR="00690AAA" w:rsidRPr="002E5A2C" w:rsidRDefault="00690AAA" w:rsidP="002E5A2C">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i/>
          <w:iCs/>
          <w:noProof/>
          <w:lang w:val="en-IE"/>
        </w:rPr>
      </w:pPr>
      <w:r w:rsidRPr="002E5A2C">
        <w:rPr>
          <w:i/>
          <w:iCs/>
          <w:noProof/>
          <w:lang w:val="en-IE"/>
        </w:rPr>
        <w:t xml:space="preserve">Social economy organisations are important contributors to Europe’s transition to a circular economy. They are active at every stage of the product lifecycle, from design and collection to repair, reuse and recycling. They turn waste into resources and create local, quality jobs in the process, including by making training and employment available to people at risk of exclusion, often in close cooperation with public authorities. The </w:t>
      </w:r>
      <w:r w:rsidRPr="002E5A2C">
        <w:rPr>
          <w:b/>
          <w:bCs/>
          <w:i/>
          <w:iCs/>
          <w:noProof/>
          <w:lang w:val="en-IE"/>
        </w:rPr>
        <w:t>circular cities and regions initiative</w:t>
      </w:r>
      <w:r w:rsidRPr="00E12094">
        <w:rPr>
          <w:b/>
          <w:bCs/>
          <w:i/>
          <w:iCs/>
          <w:noProof/>
          <w:lang w:val="en-IE"/>
        </w:rPr>
        <w:t> </w:t>
      </w:r>
      <w:r w:rsidRPr="00E12094">
        <w:rPr>
          <w:i/>
          <w:iCs/>
          <w:noProof/>
          <w:lang w:val="en-IE"/>
        </w:rPr>
        <w:t>(</w:t>
      </w:r>
      <w:r w:rsidRPr="00E12094">
        <w:rPr>
          <w:rStyle w:val="EndnoteReference"/>
          <w:i/>
          <w:iCs/>
          <w:noProof/>
          <w:lang w:val="en-IE"/>
        </w:rPr>
        <w:endnoteReference w:id="16"/>
      </w:r>
      <w:r w:rsidRPr="00E12094">
        <w:rPr>
          <w:i/>
          <w:iCs/>
          <w:noProof/>
          <w:lang w:val="en-IE"/>
        </w:rPr>
        <w:t>)</w:t>
      </w:r>
      <w:r w:rsidRPr="002E5A2C">
        <w:rPr>
          <w:i/>
          <w:iCs/>
          <w:noProof/>
          <w:lang w:val="en-IE"/>
        </w:rPr>
        <w:t xml:space="preserve"> showcases how city- and region-led circular strategies, such as publicly supported reuse and repair hubs, circular construction and demolition schemes, and local textile reuse systems, can create opportunities for social economy organisations to deliver inclusive circular solutions</w:t>
      </w:r>
      <w:r>
        <w:rPr>
          <w:i/>
          <w:iCs/>
          <w:noProof/>
          <w:lang w:val="en-IE"/>
        </w:rPr>
        <w:t xml:space="preserve">, </w:t>
      </w:r>
      <w:r w:rsidRPr="00456FF1">
        <w:rPr>
          <w:b/>
          <w:bCs/>
          <w:i/>
          <w:iCs/>
          <w:noProof/>
          <w:lang w:val="en-IE"/>
        </w:rPr>
        <w:t xml:space="preserve">including </w:t>
      </w:r>
      <w:r>
        <w:rPr>
          <w:b/>
          <w:bCs/>
          <w:i/>
          <w:iCs/>
          <w:noProof/>
          <w:lang w:val="en-IE"/>
        </w:rPr>
        <w:t>by using</w:t>
      </w:r>
      <w:r w:rsidRPr="00456FF1">
        <w:rPr>
          <w:b/>
          <w:bCs/>
          <w:i/>
          <w:iCs/>
          <w:noProof/>
          <w:lang w:val="en-IE"/>
        </w:rPr>
        <w:t xml:space="preserve"> </w:t>
      </w:r>
      <w:r w:rsidRPr="00456FF1">
        <w:rPr>
          <w:b/>
          <w:bCs/>
          <w:i/>
          <w:iCs/>
          <w:noProof/>
        </w:rPr>
        <w:t xml:space="preserve">public procurement </w:t>
      </w:r>
      <w:r>
        <w:rPr>
          <w:b/>
          <w:bCs/>
          <w:i/>
          <w:iCs/>
          <w:noProof/>
        </w:rPr>
        <w:t>to</w:t>
      </w:r>
      <w:r w:rsidRPr="00456FF1">
        <w:rPr>
          <w:b/>
          <w:bCs/>
          <w:i/>
          <w:iCs/>
          <w:noProof/>
        </w:rPr>
        <w:t xml:space="preserve"> create demand for these services through circular and socially responsible purchasing practices</w:t>
      </w:r>
      <w:r w:rsidRPr="00184D95">
        <w:rPr>
          <w:i/>
          <w:iCs/>
          <w:noProof/>
        </w:rPr>
        <w:t>.</w:t>
      </w:r>
      <w:r>
        <w:rPr>
          <w:i/>
          <w:iCs/>
          <w:noProof/>
        </w:rPr>
        <w:t xml:space="preserve"> </w:t>
      </w:r>
      <w:r w:rsidRPr="002E5A2C">
        <w:rPr>
          <w:i/>
          <w:iCs/>
          <w:noProof/>
          <w:lang w:val="en-IE"/>
        </w:rPr>
        <w:t>Their business models contribute to extending product lifetimes, reduce emissions and keep materials circulating within communities. The forthcoming</w:t>
      </w:r>
      <w:r w:rsidRPr="002E5A2C">
        <w:rPr>
          <w:b/>
          <w:bCs/>
          <w:i/>
          <w:iCs/>
          <w:noProof/>
          <w:lang w:val="en-IE"/>
        </w:rPr>
        <w:t xml:space="preserve"> circular economy act </w:t>
      </w:r>
      <w:r w:rsidRPr="002E5A2C">
        <w:rPr>
          <w:i/>
          <w:iCs/>
          <w:noProof/>
          <w:lang w:val="en-IE"/>
        </w:rPr>
        <w:t>aims to create a single market for secondary raw materials, increase the supply of high-quality recycled materials, and stimulate demand for them in the EU, all areas in which social economy organisations are well placed to contribute.</w:t>
      </w:r>
    </w:p>
    <w:bookmarkEnd w:id="5"/>
    <w:p w14:paraId="7061C9CE" w14:textId="77777777" w:rsidR="00690AAA" w:rsidRPr="002E5A2C" w:rsidRDefault="00690AAA" w:rsidP="002E5A2C">
      <w:pPr>
        <w:keepNext/>
        <w:numPr>
          <w:ilvl w:val="1"/>
          <w:numId w:val="17"/>
        </w:numPr>
        <w:spacing w:before="240"/>
        <w:outlineLvl w:val="1"/>
        <w:rPr>
          <w:b/>
          <w:noProof/>
          <w:lang w:val="en-IE"/>
        </w:rPr>
      </w:pPr>
      <w:r w:rsidRPr="002E5A2C">
        <w:rPr>
          <w:b/>
          <w:noProof/>
          <w:lang w:val="en-IE"/>
        </w:rPr>
        <w:t>Opening up opportunities for social economy organisations to develop</w:t>
      </w:r>
    </w:p>
    <w:p w14:paraId="7287D174" w14:textId="77777777" w:rsidR="00690AAA" w:rsidRPr="002E5A2C" w:rsidRDefault="00690AAA" w:rsidP="002E5A2C">
      <w:pPr>
        <w:rPr>
          <w:noProof/>
          <w:lang w:val="en-IE"/>
        </w:rPr>
      </w:pPr>
      <w:r w:rsidRPr="002E5A2C">
        <w:rPr>
          <w:noProof/>
          <w:lang w:val="en-IE"/>
        </w:rPr>
        <w:t>To create opportunities for social economy organisations to start up and grow, the Commission has introduced measures to strengthen the ecosystem, promoting stronger access to finance, mobilising funding, and reinforcing capacity-building and business support.</w:t>
      </w:r>
    </w:p>
    <w:p w14:paraId="5F7B4573" w14:textId="5D3CEF66" w:rsidR="00690AAA" w:rsidRPr="002E5A2C" w:rsidRDefault="00690AAA" w:rsidP="002E5A2C">
      <w:pPr>
        <w:tabs>
          <w:tab w:val="left" w:pos="2552"/>
        </w:tabs>
        <w:spacing w:line="256" w:lineRule="auto"/>
        <w:rPr>
          <w:noProof/>
          <w:lang w:val="en-IE"/>
        </w:rPr>
      </w:pPr>
      <w:r w:rsidRPr="002E5A2C">
        <w:rPr>
          <w:noProof/>
          <w:lang w:val="en-IE"/>
        </w:rPr>
        <w:t xml:space="preserve">Access to finance for social economy organisations has expanded. Building on Employment and Social Innovation (EaSI) financial instruments, </w:t>
      </w:r>
      <w:r w:rsidRPr="002E5A2C">
        <w:rPr>
          <w:b/>
          <w:bCs/>
          <w:noProof/>
          <w:lang w:val="en-IE"/>
        </w:rPr>
        <w:t xml:space="preserve">financial products under InvestEU’s Social Investment and Skills Window </w:t>
      </w:r>
      <w:r w:rsidRPr="002E5A2C">
        <w:rPr>
          <w:noProof/>
          <w:lang w:val="en-IE"/>
        </w:rPr>
        <w:t xml:space="preserve">were launched in 2022. Around EUR 1.2 billion in guarantees have been allocated to implementing partners for microfinance, social entrepreneurship and social impact investing, </w:t>
      </w:r>
      <w:r>
        <w:rPr>
          <w:noProof/>
          <w:lang w:val="en-IE"/>
        </w:rPr>
        <w:t xml:space="preserve">benefiting around 90,000 recipients of microfinance support and around 3,000 social enterprises, </w:t>
      </w:r>
      <w:r w:rsidRPr="002E5A2C">
        <w:rPr>
          <w:noProof/>
          <w:lang w:val="en-IE"/>
        </w:rPr>
        <w:t>with an expected mobilisation of EUR 11.7 billion in investments (</w:t>
      </w:r>
      <w:r w:rsidRPr="002E5A2C">
        <w:rPr>
          <w:noProof/>
          <w:vertAlign w:val="superscript"/>
          <w:lang w:val="en-IE"/>
        </w:rPr>
        <w:endnoteReference w:id="17"/>
      </w:r>
      <w:r w:rsidRPr="002E5A2C">
        <w:rPr>
          <w:noProof/>
          <w:lang w:val="en-IE"/>
        </w:rPr>
        <w:t>). These instruments provide access to risk finance for business models that often do not fit standard risk-return profiles, together with business development services.</w:t>
      </w:r>
      <w:r>
        <w:rPr>
          <w:noProof/>
          <w:lang w:val="en-IE"/>
        </w:rPr>
        <w:t xml:space="preserve"> </w:t>
      </w:r>
      <w:r w:rsidRPr="00770CDE">
        <w:rPr>
          <w:noProof/>
          <w:lang w:val="en-IE"/>
        </w:rPr>
        <w:t xml:space="preserve">To date, this support </w:t>
      </w:r>
      <w:r>
        <w:rPr>
          <w:noProof/>
          <w:lang w:val="en-IE"/>
        </w:rPr>
        <w:t xml:space="preserve">has </w:t>
      </w:r>
      <w:r w:rsidRPr="00770CDE">
        <w:rPr>
          <w:noProof/>
          <w:lang w:val="en-IE"/>
        </w:rPr>
        <w:t xml:space="preserve">already </w:t>
      </w:r>
      <w:r>
        <w:rPr>
          <w:noProof/>
          <w:lang w:val="en-IE"/>
        </w:rPr>
        <w:t>contributed</w:t>
      </w:r>
      <w:r w:rsidRPr="00770CDE">
        <w:rPr>
          <w:noProof/>
          <w:lang w:val="en-IE"/>
        </w:rPr>
        <w:t xml:space="preserve"> to creat</w:t>
      </w:r>
      <w:r>
        <w:rPr>
          <w:noProof/>
          <w:lang w:val="en-IE"/>
        </w:rPr>
        <w:t>ing</w:t>
      </w:r>
      <w:r w:rsidRPr="00770CDE">
        <w:rPr>
          <w:noProof/>
          <w:lang w:val="en-IE"/>
        </w:rPr>
        <w:t xml:space="preserve"> or maintain</w:t>
      </w:r>
      <w:r>
        <w:rPr>
          <w:noProof/>
          <w:lang w:val="en-IE"/>
        </w:rPr>
        <w:t xml:space="preserve">ing </w:t>
      </w:r>
      <w:r w:rsidRPr="00770CDE">
        <w:rPr>
          <w:noProof/>
          <w:lang w:val="en-IE"/>
        </w:rPr>
        <w:t>around 900</w:t>
      </w:r>
      <w:r>
        <w:rPr>
          <w:noProof/>
          <w:lang w:val="en-IE"/>
        </w:rPr>
        <w:t>,</w:t>
      </w:r>
      <w:r w:rsidRPr="00770CDE">
        <w:rPr>
          <w:noProof/>
          <w:lang w:val="en-IE"/>
        </w:rPr>
        <w:t>000 jobs across the EU</w:t>
      </w:r>
      <w:r>
        <w:rPr>
          <w:noProof/>
          <w:lang w:val="en-IE"/>
        </w:rPr>
        <w:t xml:space="preserve"> and reporting from some major micro-finance institutions shows extremely high survival rates, while reaching to the most vulnerable groups</w:t>
      </w:r>
      <w:r w:rsidRPr="00690AAA">
        <w:rPr>
          <w:noProof/>
          <w:lang w:val="en-IE"/>
        </w:rPr>
        <w:t> (</w:t>
      </w:r>
      <w:r>
        <w:rPr>
          <w:rStyle w:val="EndnoteReference"/>
          <w:noProof/>
          <w:lang w:val="en-IE"/>
        </w:rPr>
        <w:endnoteReference w:id="18"/>
      </w:r>
      <w:r>
        <w:rPr>
          <w:noProof/>
          <w:lang w:val="en-IE"/>
        </w:rPr>
        <w:t>)</w:t>
      </w:r>
      <w:r w:rsidRPr="00770CDE">
        <w:rPr>
          <w:noProof/>
          <w:lang w:val="en-IE"/>
        </w:rPr>
        <w:t>.</w:t>
      </w:r>
    </w:p>
    <w:p w14:paraId="172445CA" w14:textId="77777777" w:rsidR="00690AAA" w:rsidRPr="002E5A2C" w:rsidRDefault="00690AAA" w:rsidP="002E5A2C">
      <w:pPr>
        <w:spacing w:line="256" w:lineRule="auto"/>
        <w:rPr>
          <w:noProof/>
          <w:lang w:val="en-IE"/>
        </w:rPr>
      </w:pPr>
      <w:r w:rsidRPr="002E5A2C">
        <w:rPr>
          <w:noProof/>
          <w:lang w:val="en-IE"/>
        </w:rPr>
        <w:t>To further increase the social impact of these funds, the Commission is piloting blended support combining InvestEU financial instruments with grants under the EaSI strand of the European Social Fund Plus (</w:t>
      </w:r>
      <w:r w:rsidRPr="002E5A2C">
        <w:rPr>
          <w:noProof/>
          <w:vertAlign w:val="superscript"/>
          <w:lang w:val="en-IE"/>
        </w:rPr>
        <w:endnoteReference w:id="19"/>
      </w:r>
      <w:r w:rsidRPr="002E5A2C">
        <w:rPr>
          <w:noProof/>
          <w:lang w:val="en-IE"/>
        </w:rPr>
        <w:t xml:space="preserve">) (ESF+). ESF+ calls have also supported the development of social finance markets </w:t>
      </w:r>
      <w:r w:rsidRPr="002E5A2C">
        <w:rPr>
          <w:noProof/>
        </w:rPr>
        <w:t>through better access to impact data for investment decisions</w:t>
      </w:r>
      <w:r w:rsidRPr="002E5A2C">
        <w:rPr>
          <w:noProof/>
          <w:lang w:val="en-IE"/>
        </w:rPr>
        <w:t>, reduced transaction costs for risk capital investments in social enterprises, and reinforced EU-level networks representing microfinance and social enterprise finance providers. In parallel, several Member States have rolled out dedicated financial instruments and grant schemes under the ESF+ and the European Regional Development Fund (</w:t>
      </w:r>
      <w:r w:rsidRPr="002E5A2C">
        <w:rPr>
          <w:noProof/>
          <w:vertAlign w:val="superscript"/>
          <w:lang w:val="en-IE"/>
        </w:rPr>
        <w:endnoteReference w:id="20"/>
      </w:r>
      <w:r w:rsidRPr="002E5A2C">
        <w:rPr>
          <w:noProof/>
          <w:lang w:val="en-IE"/>
        </w:rPr>
        <w:t>) and some specific investments and reforms were implemented under the Recovery and Resilience Facility (</w:t>
      </w:r>
      <w:r w:rsidRPr="002E5A2C">
        <w:rPr>
          <w:noProof/>
          <w:vertAlign w:val="superscript"/>
          <w:lang w:val="en-IE"/>
        </w:rPr>
        <w:endnoteReference w:id="21"/>
      </w:r>
      <w:r w:rsidRPr="002E5A2C">
        <w:rPr>
          <w:noProof/>
          <w:lang w:val="en-IE"/>
        </w:rPr>
        <w:t xml:space="preserve">). Overall, under the EU's current long-term budget (2021-2027), </w:t>
      </w:r>
      <w:r w:rsidRPr="002E5A2C">
        <w:rPr>
          <w:rFonts w:eastAsia="Aptos"/>
          <w:b/>
          <w:noProof/>
          <w:lang w:val="en-IE"/>
        </w:rPr>
        <w:t>a total amount of over EUR </w:t>
      </w:r>
      <w:r w:rsidRPr="002E5A2C">
        <w:rPr>
          <w:b/>
          <w:bCs/>
          <w:noProof/>
          <w:lang w:val="en-IE"/>
        </w:rPr>
        <w:t>1.62 billion in grants and financial instruments is expected to be mobilised</w:t>
      </w:r>
      <w:r w:rsidRPr="002E5A2C">
        <w:rPr>
          <w:noProof/>
          <w:lang w:val="en-IE"/>
        </w:rPr>
        <w:t xml:space="preserve"> in addition to the EUR 1.2</w:t>
      </w:r>
      <w:r w:rsidRPr="002E5A2C">
        <w:rPr>
          <w:noProof/>
          <w:color w:val="FF0000"/>
          <w:lang w:val="en-IE"/>
        </w:rPr>
        <w:t> </w:t>
      </w:r>
      <w:r w:rsidRPr="002E5A2C">
        <w:rPr>
          <w:noProof/>
          <w:lang w:val="en-IE"/>
        </w:rPr>
        <w:t>billion in guarantees referred to above. This fulfils the Commission's commitment to increase the EU level of support compared to the 2014-2020 period.</w:t>
      </w:r>
    </w:p>
    <w:p w14:paraId="65961745" w14:textId="77777777" w:rsidR="00690AAA" w:rsidRPr="002E5A2C" w:rsidRDefault="00690AAA" w:rsidP="002E5A2C">
      <w:pPr>
        <w:rPr>
          <w:noProof/>
          <w:lang w:val="en-IE"/>
        </w:rPr>
      </w:pPr>
      <w:r w:rsidRPr="002E5A2C">
        <w:rPr>
          <w:noProof/>
          <w:lang w:val="en-IE"/>
        </w:rPr>
        <w:t xml:space="preserve">The Commission has also helped social economy organisations professionalise, scale their solutions and demonstrate their results. </w:t>
      </w:r>
      <w:r w:rsidRPr="002E5A2C">
        <w:rPr>
          <w:b/>
          <w:bCs/>
          <w:noProof/>
          <w:lang w:val="en-IE"/>
        </w:rPr>
        <w:t>The European Competence Centre for Social Innovation (</w:t>
      </w:r>
      <w:r w:rsidRPr="002E5A2C">
        <w:rPr>
          <w:b/>
          <w:bCs/>
          <w:noProof/>
          <w:vertAlign w:val="superscript"/>
          <w:lang w:val="en-IE"/>
        </w:rPr>
        <w:endnoteReference w:id="22"/>
      </w:r>
      <w:r w:rsidRPr="002E5A2C">
        <w:rPr>
          <w:b/>
          <w:bCs/>
          <w:noProof/>
          <w:lang w:val="en-IE"/>
        </w:rPr>
        <w:t>) has developed a dynamic knowledge hub and five communities of practice</w:t>
      </w:r>
      <w:r w:rsidRPr="002E5A2C">
        <w:rPr>
          <w:noProof/>
          <w:lang w:val="en-IE"/>
        </w:rPr>
        <w:t>. ESF+ calls were launched by the Commission to support social experimentation, the transfer of tested social innovations, and their scaling up, including by setting up national competence centres for social innovation. Practical tools were developed, such as a code of conduct for managing and using data in the social economy (</w:t>
      </w:r>
      <w:r w:rsidRPr="002E5A2C">
        <w:rPr>
          <w:noProof/>
          <w:vertAlign w:val="superscript"/>
          <w:lang w:val="en-IE"/>
        </w:rPr>
        <w:endnoteReference w:id="23"/>
      </w:r>
      <w:r w:rsidRPr="002E5A2C">
        <w:rPr>
          <w:noProof/>
          <w:lang w:val="en-IE"/>
        </w:rPr>
        <w:t xml:space="preserve">) and a </w:t>
      </w:r>
      <w:r w:rsidRPr="002E5A2C">
        <w:rPr>
          <w:b/>
          <w:bCs/>
          <w:noProof/>
          <w:lang w:val="en-IE"/>
        </w:rPr>
        <w:t>guide on proportionate approaches to social impact measurement and management</w:t>
      </w:r>
      <w:r w:rsidRPr="002E5A2C">
        <w:rPr>
          <w:noProof/>
          <w:lang w:val="en-IE"/>
        </w:rPr>
        <w:t> (</w:t>
      </w:r>
      <w:r w:rsidRPr="002E5A2C">
        <w:rPr>
          <w:noProof/>
          <w:vertAlign w:val="superscript"/>
          <w:lang w:val="en-IE"/>
        </w:rPr>
        <w:endnoteReference w:id="24"/>
      </w:r>
      <w:r w:rsidRPr="002E5A2C">
        <w:rPr>
          <w:noProof/>
          <w:lang w:val="en-IE"/>
        </w:rPr>
        <w:t xml:space="preserve">). </w:t>
      </w:r>
      <w:r w:rsidRPr="002E5A2C">
        <w:rPr>
          <w:b/>
          <w:bCs/>
          <w:noProof/>
          <w:lang w:val="en-IE"/>
        </w:rPr>
        <w:t>The Youth Entrepreneurship Policy Academy</w:t>
      </w:r>
      <w:r w:rsidRPr="002E5A2C">
        <w:rPr>
          <w:noProof/>
          <w:lang w:val="en-IE"/>
        </w:rPr>
        <w:t xml:space="preserve">, a joint initiative of the Commission and the OECD, </w:t>
      </w:r>
      <w:r w:rsidRPr="002E5A2C">
        <w:rPr>
          <w:b/>
          <w:bCs/>
          <w:noProof/>
          <w:lang w:val="en-IE"/>
        </w:rPr>
        <w:t>brought together policymakers and networks of young entrepreneurs</w:t>
      </w:r>
      <w:r w:rsidRPr="002E5A2C">
        <w:rPr>
          <w:noProof/>
          <w:lang w:val="en-IE"/>
        </w:rPr>
        <w:t xml:space="preserve"> through a series of policy and capacity-building workshops, aiming to devise better policies for young entrepreneurs, including social entrepreneurs.</w:t>
      </w:r>
    </w:p>
    <w:p w14:paraId="4A079772" w14:textId="77777777" w:rsidR="00690AAA" w:rsidRPr="002E5A2C" w:rsidRDefault="00690AAA" w:rsidP="002E5A2C">
      <w:pPr>
        <w:rPr>
          <w:noProof/>
          <w:lang w:val="en-IE"/>
        </w:rPr>
      </w:pPr>
      <w:r w:rsidRPr="002E5A2C">
        <w:rPr>
          <w:noProof/>
          <w:lang w:val="en-IE"/>
        </w:rPr>
        <w:t>Despite this progress, social economy organisations still face greater difficulties than mainstream businesses in accessing financial resources due to their specific business models. Although market studies indicate that private social investment has grown in recent years (</w:t>
      </w:r>
      <w:r w:rsidRPr="002E5A2C">
        <w:rPr>
          <w:noProof/>
          <w:vertAlign w:val="superscript"/>
          <w:lang w:val="en-IE"/>
        </w:rPr>
        <w:endnoteReference w:id="25"/>
      </w:r>
      <w:r w:rsidRPr="002E5A2C">
        <w:rPr>
          <w:noProof/>
          <w:lang w:val="en-IE"/>
        </w:rPr>
        <w:t>)(</w:t>
      </w:r>
      <w:r w:rsidRPr="002E5A2C">
        <w:rPr>
          <w:noProof/>
          <w:vertAlign w:val="superscript"/>
          <w:lang w:val="en-IE"/>
        </w:rPr>
        <w:endnoteReference w:id="26"/>
      </w:r>
      <w:r w:rsidRPr="002E5A2C">
        <w:rPr>
          <w:noProof/>
          <w:lang w:val="en-IE"/>
        </w:rPr>
        <w:t>), the absence of a more structured and widely understood approach to channelling (patient) capital into social objectives, combined with low financial returns, has limited trust and comparability, deterring potential social investors. Innovative financing approaches have remained fragmented and on a small scale.</w:t>
      </w:r>
    </w:p>
    <w:p w14:paraId="2049C10A" w14:textId="10070620" w:rsidR="00690AAA" w:rsidRPr="002E5A2C" w:rsidRDefault="00690AAA" w:rsidP="00421672">
      <w:pPr>
        <w:spacing w:after="0"/>
        <w:rPr>
          <w:noProof/>
          <w:lang w:val="en-IE"/>
        </w:rPr>
      </w:pPr>
      <w:r w:rsidRPr="002E5A2C">
        <w:rPr>
          <w:noProof/>
          <w:lang w:val="en-IE"/>
        </w:rPr>
        <w:t>Besides, coverage and recognition of clear training and capacity-building pathways remain uneven across sectors and territories. Links with education and training systems are fragmented, and curricular approaches, shared competence frameworks and robust evidence on social and inclusive entrepreneurship remain the exception. Although incubation and acceleration services have expanded in recent years, tailored support for social entrepreneurship is still rare and many groups remain underrepresented and underserved. As a result, talent and innovative social business models do not always receive the right support to flourish, and the potential to deliver stronger social impact is not fully realised.</w:t>
      </w:r>
    </w:p>
    <w:p w14:paraId="47896DEE" w14:textId="77777777" w:rsidR="00690AAA" w:rsidRPr="002E5A2C" w:rsidRDefault="00690AAA" w:rsidP="002E5A2C">
      <w:pPr>
        <w:keepNext/>
        <w:numPr>
          <w:ilvl w:val="1"/>
          <w:numId w:val="17"/>
        </w:numPr>
        <w:spacing w:before="240"/>
        <w:outlineLvl w:val="1"/>
        <w:rPr>
          <w:b/>
          <w:noProof/>
          <w:lang w:val="en-IE"/>
        </w:rPr>
      </w:pPr>
      <w:r w:rsidRPr="002E5A2C">
        <w:rPr>
          <w:b/>
          <w:noProof/>
          <w:lang w:val="en-IE"/>
        </w:rPr>
        <w:t>Enhancing recognition of the social economy and its potential</w:t>
      </w:r>
    </w:p>
    <w:p w14:paraId="7E4B1A60" w14:textId="6DE56605" w:rsidR="00690AAA" w:rsidRPr="002E5A2C" w:rsidRDefault="00690AAA" w:rsidP="002E5A2C">
      <w:pPr>
        <w:rPr>
          <w:noProof/>
          <w:lang w:val="en-IE"/>
        </w:rPr>
      </w:pPr>
      <w:r w:rsidRPr="002E5A2C">
        <w:rPr>
          <w:noProof/>
          <w:lang w:val="en-IE"/>
        </w:rPr>
        <w:t xml:space="preserve">The Commission has increased the visibility and credibility of the social economy by establishing channels of communication with the public and promoting awareness campaigns. </w:t>
      </w:r>
      <w:r w:rsidRPr="002E5A2C">
        <w:rPr>
          <w:b/>
          <w:bCs/>
          <w:noProof/>
          <w:lang w:val="en-IE"/>
        </w:rPr>
        <w:t>The EU Social Economy Gateway</w:t>
      </w:r>
      <w:r w:rsidRPr="002E5A2C">
        <w:rPr>
          <w:noProof/>
          <w:lang w:val="en-IE"/>
        </w:rPr>
        <w:t xml:space="preserve"> (</w:t>
      </w:r>
      <w:r w:rsidRPr="002E5A2C">
        <w:rPr>
          <w:noProof/>
          <w:vertAlign w:val="superscript"/>
          <w:lang w:val="en-IE"/>
        </w:rPr>
        <w:endnoteReference w:id="27"/>
      </w:r>
      <w:r w:rsidRPr="002E5A2C">
        <w:rPr>
          <w:noProof/>
          <w:lang w:val="en-IE"/>
        </w:rPr>
        <w:t>)</w:t>
      </w:r>
      <w:r w:rsidRPr="002E5A2C">
        <w:rPr>
          <w:b/>
          <w:bCs/>
          <w:noProof/>
          <w:lang w:val="en-IE"/>
        </w:rPr>
        <w:t xml:space="preserve"> provides up-to-date information on EU policies, funding and initiatives for the social economy. </w:t>
      </w:r>
      <w:r w:rsidRPr="002E5A2C">
        <w:rPr>
          <w:noProof/>
          <w:lang w:val="en-IE"/>
        </w:rPr>
        <w:t>Since its launch in 2023, the website has attracted over 596 000 visitors (</w:t>
      </w:r>
      <w:r w:rsidRPr="002E5A2C">
        <w:rPr>
          <w:noProof/>
          <w:vertAlign w:val="superscript"/>
          <w:lang w:val="en-IE"/>
        </w:rPr>
        <w:endnoteReference w:id="28"/>
      </w:r>
      <w:r w:rsidRPr="002E5A2C">
        <w:rPr>
          <w:noProof/>
          <w:lang w:val="en-IE"/>
        </w:rPr>
        <w:t>) and offers useful material for social economy practitioners</w:t>
      </w:r>
      <w:r>
        <w:rPr>
          <w:noProof/>
          <w:lang w:val="en-IE"/>
        </w:rPr>
        <w:t xml:space="preserve"> and</w:t>
      </w:r>
      <w:r w:rsidRPr="002E5A2C">
        <w:rPr>
          <w:noProof/>
          <w:lang w:val="en-IE"/>
        </w:rPr>
        <w:t xml:space="preserve"> policymakers. </w:t>
      </w:r>
    </w:p>
    <w:p w14:paraId="223FC9B1" w14:textId="63C1F795" w:rsidR="00690AAA" w:rsidRPr="002E5A2C" w:rsidRDefault="00690AAA" w:rsidP="002E5A2C">
      <w:pPr>
        <w:rPr>
          <w:noProof/>
          <w:lang w:val="en-IE"/>
        </w:rPr>
      </w:pPr>
      <w:r w:rsidRPr="002E5A2C">
        <w:rPr>
          <w:noProof/>
          <w:lang w:val="en-IE"/>
        </w:rPr>
        <w:t>The EU evidence base on the social economy has been expanded by a study benchmarking the socio-economic performance of the social economy across Member States (</w:t>
      </w:r>
      <w:r w:rsidRPr="002E5A2C">
        <w:rPr>
          <w:noProof/>
          <w:vertAlign w:val="superscript"/>
          <w:lang w:val="en-IE"/>
        </w:rPr>
        <w:endnoteReference w:id="29"/>
      </w:r>
      <w:r w:rsidRPr="002E5A2C">
        <w:rPr>
          <w:noProof/>
          <w:lang w:val="en-IE"/>
        </w:rPr>
        <w:t xml:space="preserve">). It shows that the social economy generates both economic and social value, and it confirms the added value of more robust and harmonised data to assess developments over time. The Special Eurobarometer on the social economy in the life of Europeans provides a first EU baseline on public perception, awareness, engagement and attitudes, including views on the role of public action. The Commission/OECD publication </w:t>
      </w:r>
      <w:r w:rsidRPr="002E5A2C">
        <w:rPr>
          <w:i/>
          <w:iCs/>
          <w:noProof/>
          <w:lang w:val="en-IE"/>
        </w:rPr>
        <w:t>Social Economy in Europe: Contributing to Competitiveness and Prosperity</w:t>
      </w:r>
      <w:r w:rsidRPr="002E5A2C">
        <w:rPr>
          <w:noProof/>
          <w:lang w:val="en-IE"/>
        </w:rPr>
        <w:t> (</w:t>
      </w:r>
      <w:r w:rsidRPr="002E5A2C">
        <w:rPr>
          <w:noProof/>
          <w:vertAlign w:val="superscript"/>
          <w:lang w:val="en-IE"/>
        </w:rPr>
        <w:endnoteReference w:id="30"/>
      </w:r>
      <w:r w:rsidRPr="002E5A2C">
        <w:rPr>
          <w:noProof/>
          <w:lang w:val="en-IE"/>
        </w:rPr>
        <w:t xml:space="preserve">) further consolidated knowledge, including on institutional arrangements, taxation and business support for the social economy in all EU Member States, as well as sectoral information on housing and care. </w:t>
      </w:r>
    </w:p>
    <w:p w14:paraId="042945AD" w14:textId="77777777" w:rsidR="00690AAA" w:rsidRPr="002E5A2C" w:rsidRDefault="00690AAA" w:rsidP="004C5180">
      <w:pPr>
        <w:spacing w:after="0" w:line="256" w:lineRule="auto"/>
        <w:rPr>
          <w:noProof/>
          <w:lang w:val="en-IE"/>
        </w:rPr>
      </w:pPr>
      <w:r w:rsidRPr="002E5A2C">
        <w:rPr>
          <w:noProof/>
          <w:lang w:val="en-IE"/>
        </w:rPr>
        <w:t>Yet some gaps remain, particularly regarding comparability, due to uneven coverage and methods across Member States. The lack of systematic data collection using harmonised definitions, administrative sources and expanded statistical tools, such as satellite accounts, makes monitoring progress difficult and limits the public visibility of results. While targeted research and cooperation through expert groups have helped to advance the framework for data collection and analysis, more sustained exchanges are needed to better inform policymaking. Finally, awareness and use of the EU Social Economy Gateway could increase, and stakeholders request a more systematic reporting on the implementation of the action plan.</w:t>
      </w:r>
    </w:p>
    <w:p w14:paraId="141A6201" w14:textId="7D65C46D" w:rsidR="00690AAA" w:rsidRPr="00AF2E01" w:rsidRDefault="00690AAA" w:rsidP="00C85B26">
      <w:pPr>
        <w:pStyle w:val="Heading1"/>
        <w:rPr>
          <w:noProof/>
          <w:lang w:val="en-IE"/>
        </w:rPr>
      </w:pPr>
      <w:r w:rsidRPr="00AF2E01">
        <w:rPr>
          <w:noProof/>
          <w:lang w:val="en-IE"/>
        </w:rPr>
        <w:t>Looking forward: new actions to strengthen the social economy</w:t>
      </w:r>
    </w:p>
    <w:p w14:paraId="3CB5107F" w14:textId="09A4A02B" w:rsidR="00690AAA" w:rsidRPr="00C1406C" w:rsidRDefault="00690AAA" w:rsidP="00181A72">
      <w:pPr>
        <w:rPr>
          <w:noProof/>
          <w:lang w:val="en-IE"/>
        </w:rPr>
      </w:pPr>
      <w:r w:rsidRPr="46E7F939">
        <w:rPr>
          <w:noProof/>
          <w:lang w:val="en-IE"/>
        </w:rPr>
        <w:t xml:space="preserve">Looking ahead, the Commission intends to build on the progress made </w:t>
      </w:r>
      <w:r>
        <w:rPr>
          <w:noProof/>
          <w:lang w:val="en-IE"/>
        </w:rPr>
        <w:t>so</w:t>
      </w:r>
      <w:r w:rsidRPr="46E7F939">
        <w:rPr>
          <w:noProof/>
          <w:lang w:val="en-IE"/>
        </w:rPr>
        <w:t xml:space="preserve"> far and </w:t>
      </w:r>
      <w:r>
        <w:rPr>
          <w:noProof/>
          <w:lang w:val="en-IE"/>
        </w:rPr>
        <w:t>tackle</w:t>
      </w:r>
      <w:r w:rsidRPr="46E7F939">
        <w:rPr>
          <w:noProof/>
          <w:lang w:val="en-IE"/>
        </w:rPr>
        <w:t xml:space="preserve"> </w:t>
      </w:r>
      <w:r w:rsidRPr="00C1406C">
        <w:rPr>
          <w:noProof/>
          <w:lang w:val="en-IE"/>
        </w:rPr>
        <w:t xml:space="preserve">remaining obstacles to developing the EU social economy ecosystem. While the 2023 Council recommendation is under implementation, the level of support for the social economy continues to vary significantly among Member States and across levels of governance. Targeted EU support is still needed for social economy strategies to lead to effective measures and provide a stable framework for the growth of social economy organisations. </w:t>
      </w:r>
    </w:p>
    <w:p w14:paraId="18FCF292" w14:textId="6D2CA46F" w:rsidR="00690AAA" w:rsidRPr="00AF2E01" w:rsidRDefault="00690AAA" w:rsidP="00181A72">
      <w:pPr>
        <w:rPr>
          <w:noProof/>
          <w:lang w:val="en-IE"/>
        </w:rPr>
      </w:pPr>
      <w:r w:rsidRPr="00C1406C">
        <w:rPr>
          <w:noProof/>
          <w:lang w:val="en-IE"/>
        </w:rPr>
        <w:t>The next phase of implementation should therefore prioritise actions that support public administrations and enable social economy organisations to operate in the single market without barriers, strengthen</w:t>
      </w:r>
      <w:r w:rsidRPr="46E7F939">
        <w:rPr>
          <w:noProof/>
          <w:lang w:val="en-IE"/>
        </w:rPr>
        <w:t xml:space="preserve"> access to talent, training and finance, and provide systematic, comparable evidence to inform policymaking and investment decisions and showcase the impact of the social economy.</w:t>
      </w:r>
    </w:p>
    <w:p w14:paraId="61A0A2FE" w14:textId="77777777" w:rsidR="00690AAA" w:rsidRDefault="00690AAA" w:rsidP="00B63D04">
      <w:pPr>
        <w:rPr>
          <w:noProof/>
          <w:lang w:val="en-IE"/>
        </w:rPr>
      </w:pPr>
      <w:r w:rsidRPr="00AF2E01">
        <w:rPr>
          <w:noProof/>
          <w:lang w:val="en-IE"/>
        </w:rPr>
        <w:t>Our vision for the years ahead is clear</w:t>
      </w:r>
      <w:r>
        <w:rPr>
          <w:noProof/>
          <w:lang w:val="en-IE"/>
        </w:rPr>
        <w:t>:</w:t>
      </w:r>
    </w:p>
    <w:p w14:paraId="7E8B86BB" w14:textId="17176A7D" w:rsidR="00690AAA" w:rsidRDefault="00690AAA" w:rsidP="009F6CEF">
      <w:pPr>
        <w:pStyle w:val="ListParagraph"/>
        <w:numPr>
          <w:ilvl w:val="0"/>
          <w:numId w:val="47"/>
        </w:numPr>
        <w:spacing w:after="120"/>
        <w:ind w:left="714" w:hanging="357"/>
        <w:contextualSpacing w:val="0"/>
        <w:rPr>
          <w:noProof/>
          <w:lang w:val="en-IE"/>
        </w:rPr>
      </w:pPr>
      <w:r>
        <w:rPr>
          <w:noProof/>
          <w:lang w:val="en-IE"/>
        </w:rPr>
        <w:t>W</w:t>
      </w:r>
      <w:r w:rsidRPr="009F6CEF">
        <w:rPr>
          <w:noProof/>
          <w:lang w:val="en-IE"/>
        </w:rPr>
        <w:t xml:space="preserve">e want a </w:t>
      </w:r>
      <w:r w:rsidRPr="009F6CEF">
        <w:rPr>
          <w:b/>
          <w:bCs/>
          <w:noProof/>
          <w:lang w:val="en-IE"/>
        </w:rPr>
        <w:t>competitive social economy</w:t>
      </w:r>
      <w:r w:rsidRPr="009F6CEF">
        <w:rPr>
          <w:noProof/>
          <w:lang w:val="en-IE"/>
        </w:rPr>
        <w:t xml:space="preserve">, which operates on a level playing field with other economic actors and across the single market, </w:t>
      </w:r>
      <w:r>
        <w:rPr>
          <w:noProof/>
          <w:lang w:val="en-IE"/>
        </w:rPr>
        <w:t xml:space="preserve">and contributes to a dynamic business environment that </w:t>
      </w:r>
      <w:r w:rsidRPr="009F6CEF">
        <w:rPr>
          <w:noProof/>
          <w:lang w:val="en-IE"/>
        </w:rPr>
        <w:t>deliver</w:t>
      </w:r>
      <w:r>
        <w:rPr>
          <w:noProof/>
          <w:lang w:val="en-IE"/>
        </w:rPr>
        <w:t>s</w:t>
      </w:r>
      <w:r w:rsidRPr="009F6CEF">
        <w:rPr>
          <w:noProof/>
          <w:lang w:val="en-IE"/>
        </w:rPr>
        <w:t xml:space="preserve"> sustainable prosperity and well-being for people and Europe’s social market economy.</w:t>
      </w:r>
      <w:r w:rsidRPr="00990DFC">
        <w:rPr>
          <w:noProof/>
          <w:lang w:val="en-IE"/>
        </w:rPr>
        <w:t xml:space="preserve"> </w:t>
      </w:r>
      <w:r>
        <w:rPr>
          <w:noProof/>
          <w:lang w:val="en-IE"/>
        </w:rPr>
        <w:t xml:space="preserve">This should be </w:t>
      </w:r>
      <w:r w:rsidRPr="009F6CEF">
        <w:rPr>
          <w:noProof/>
          <w:lang w:val="en-IE"/>
        </w:rPr>
        <w:t xml:space="preserve">supported by </w:t>
      </w:r>
      <w:r>
        <w:rPr>
          <w:noProof/>
          <w:lang w:val="en-IE"/>
        </w:rPr>
        <w:t xml:space="preserve">integrated </w:t>
      </w:r>
      <w:r w:rsidRPr="009F6CEF">
        <w:rPr>
          <w:noProof/>
          <w:lang w:val="en-IE"/>
        </w:rPr>
        <w:t>policy and legal frameworks,</w:t>
      </w:r>
    </w:p>
    <w:p w14:paraId="75744516" w14:textId="77777777" w:rsidR="00690AAA" w:rsidRDefault="00690AAA" w:rsidP="009F6CEF">
      <w:pPr>
        <w:pStyle w:val="ListParagraph"/>
        <w:numPr>
          <w:ilvl w:val="0"/>
          <w:numId w:val="47"/>
        </w:numPr>
        <w:spacing w:after="120"/>
        <w:ind w:left="714" w:hanging="357"/>
        <w:contextualSpacing w:val="0"/>
        <w:rPr>
          <w:noProof/>
          <w:lang w:val="en-IE"/>
        </w:rPr>
      </w:pPr>
      <w:r w:rsidRPr="009F6CEF">
        <w:rPr>
          <w:noProof/>
          <w:lang w:val="en-IE"/>
        </w:rPr>
        <w:t>We want a</w:t>
      </w:r>
      <w:r w:rsidRPr="009F6CEF">
        <w:rPr>
          <w:b/>
          <w:bCs/>
          <w:noProof/>
          <w:lang w:val="en-IE"/>
        </w:rPr>
        <w:t xml:space="preserve"> robust social economy</w:t>
      </w:r>
      <w:r w:rsidRPr="009F6CEF">
        <w:rPr>
          <w:noProof/>
          <w:lang w:val="en-IE"/>
        </w:rPr>
        <w:t xml:space="preserve"> with access to finance adapted to its needs and fostered by recognised learning, incubation and acceleration pathways that develop both individual talent and organisational capacity.</w:t>
      </w:r>
    </w:p>
    <w:p w14:paraId="45C1A0E1" w14:textId="41952EF7" w:rsidR="00690AAA" w:rsidRPr="009F6CEF" w:rsidRDefault="00690AAA" w:rsidP="009F6CEF">
      <w:pPr>
        <w:pStyle w:val="ListParagraph"/>
        <w:numPr>
          <w:ilvl w:val="0"/>
          <w:numId w:val="47"/>
        </w:numPr>
        <w:ind w:left="714" w:hanging="357"/>
        <w:contextualSpacing w:val="0"/>
        <w:rPr>
          <w:noProof/>
          <w:lang w:val="en-IE"/>
        </w:rPr>
      </w:pPr>
      <w:r w:rsidRPr="009F6CEF">
        <w:rPr>
          <w:noProof/>
          <w:lang w:val="en-IE"/>
        </w:rPr>
        <w:t xml:space="preserve">We want a </w:t>
      </w:r>
      <w:r w:rsidRPr="009F6CEF">
        <w:rPr>
          <w:b/>
          <w:bCs/>
          <w:noProof/>
          <w:lang w:val="en-IE"/>
        </w:rPr>
        <w:t>recognised social economy</w:t>
      </w:r>
      <w:r w:rsidRPr="009F6CEF">
        <w:rPr>
          <w:noProof/>
          <w:lang w:val="en-IE"/>
        </w:rPr>
        <w:t>, which is underpinned by strong evidence</w:t>
      </w:r>
      <w:r>
        <w:rPr>
          <w:noProof/>
          <w:lang w:val="en-IE"/>
        </w:rPr>
        <w:t xml:space="preserve"> and </w:t>
      </w:r>
      <w:r w:rsidRPr="009F6CEF">
        <w:rPr>
          <w:noProof/>
          <w:lang w:val="en-IE"/>
        </w:rPr>
        <w:t>visibility</w:t>
      </w:r>
      <w:r>
        <w:rPr>
          <w:noProof/>
          <w:lang w:val="en-IE"/>
        </w:rPr>
        <w:t>,</w:t>
      </w:r>
      <w:r w:rsidRPr="009F6CEF">
        <w:rPr>
          <w:noProof/>
          <w:lang w:val="en-IE"/>
        </w:rPr>
        <w:t xml:space="preserve"> enabling policymakers, markets and the public to recognise its added value, thereby scaling up its impact across the EU.</w:t>
      </w:r>
    </w:p>
    <w:p w14:paraId="0B92977C" w14:textId="5F39C140" w:rsidR="00690AAA" w:rsidRDefault="00690AAA" w:rsidP="00B63D04">
      <w:pPr>
        <w:rPr>
          <w:noProof/>
          <w:lang w:val="en-IE"/>
        </w:rPr>
      </w:pPr>
      <w:r w:rsidRPr="00A36043">
        <w:rPr>
          <w:noProof/>
          <w:lang w:val="en-IE"/>
        </w:rPr>
        <w:t xml:space="preserve">This vision is fully aligned with the approach set out in the 2021 </w:t>
      </w:r>
      <w:r>
        <w:rPr>
          <w:noProof/>
          <w:lang w:val="en-IE"/>
        </w:rPr>
        <w:t>action plan and its</w:t>
      </w:r>
      <w:r w:rsidRPr="00A36043">
        <w:rPr>
          <w:noProof/>
          <w:lang w:val="en-IE"/>
        </w:rPr>
        <w:t xml:space="preserve"> three pillars.</w:t>
      </w:r>
      <w:r>
        <w:rPr>
          <w:noProof/>
          <w:lang w:val="en-IE"/>
        </w:rPr>
        <w:t xml:space="preserve"> Looking forward, this report</w:t>
      </w:r>
      <w:r w:rsidRPr="007B2F19">
        <w:rPr>
          <w:noProof/>
          <w:lang w:val="en-IE"/>
        </w:rPr>
        <w:t xml:space="preserve"> </w:t>
      </w:r>
      <w:r>
        <w:rPr>
          <w:noProof/>
          <w:lang w:val="en-IE"/>
        </w:rPr>
        <w:t>is</w:t>
      </w:r>
      <w:r w:rsidRPr="007B2F19">
        <w:rPr>
          <w:noProof/>
          <w:lang w:val="en-IE"/>
        </w:rPr>
        <w:t xml:space="preserve"> organised around three priorities and </w:t>
      </w:r>
      <w:r>
        <w:rPr>
          <w:noProof/>
          <w:lang w:val="en-IE"/>
        </w:rPr>
        <w:t>five</w:t>
      </w:r>
      <w:r w:rsidRPr="007B2F19">
        <w:rPr>
          <w:noProof/>
          <w:lang w:val="en-IE"/>
        </w:rPr>
        <w:t xml:space="preserve"> key action areas,</w:t>
      </w:r>
      <w:r>
        <w:rPr>
          <w:noProof/>
          <w:lang w:val="en-IE"/>
        </w:rPr>
        <w:t xml:space="preserve"> building upon the results of</w:t>
      </w:r>
      <w:r w:rsidRPr="007B2F19">
        <w:rPr>
          <w:noProof/>
          <w:lang w:val="en-IE"/>
        </w:rPr>
        <w:t xml:space="preserve"> the </w:t>
      </w:r>
      <w:r>
        <w:rPr>
          <w:noProof/>
          <w:lang w:val="en-IE"/>
        </w:rPr>
        <w:t xml:space="preserve">63 </w:t>
      </w:r>
      <w:r w:rsidRPr="007B2F19">
        <w:rPr>
          <w:noProof/>
          <w:lang w:val="en-IE"/>
        </w:rPr>
        <w:t xml:space="preserve">actions from 2021 </w:t>
      </w:r>
      <w:r>
        <w:rPr>
          <w:noProof/>
          <w:lang w:val="en-IE"/>
        </w:rPr>
        <w:t>and adding new</w:t>
      </w:r>
      <w:r w:rsidRPr="007B2F19">
        <w:rPr>
          <w:noProof/>
          <w:lang w:val="en-IE"/>
        </w:rPr>
        <w:t xml:space="preserve"> measures identified through this mid-term review</w:t>
      </w:r>
      <w:r>
        <w:rPr>
          <w:noProof/>
          <w:lang w:val="en-IE"/>
        </w:rPr>
        <w:t>. It</w:t>
      </w:r>
      <w:r w:rsidRPr="007B2F19">
        <w:rPr>
          <w:noProof/>
          <w:lang w:val="en-IE"/>
        </w:rPr>
        <w:t xml:space="preserve"> will serve as the reference for future monitoring and reporting on the </w:t>
      </w:r>
      <w:r>
        <w:rPr>
          <w:noProof/>
          <w:lang w:val="en-IE"/>
        </w:rPr>
        <w:t>a</w:t>
      </w:r>
      <w:r w:rsidRPr="007B2F19">
        <w:rPr>
          <w:noProof/>
          <w:lang w:val="en-IE"/>
        </w:rPr>
        <w:t xml:space="preserve">ction </w:t>
      </w:r>
      <w:r>
        <w:rPr>
          <w:noProof/>
          <w:lang w:val="en-IE"/>
        </w:rPr>
        <w:t>p</w:t>
      </w:r>
      <w:r w:rsidRPr="007B2F19">
        <w:rPr>
          <w:noProof/>
          <w:lang w:val="en-IE"/>
        </w:rPr>
        <w:t>lan</w:t>
      </w:r>
      <w:r>
        <w:rPr>
          <w:noProof/>
          <w:lang w:val="en-IE"/>
        </w:rPr>
        <w:t>.</w:t>
      </w:r>
    </w:p>
    <w:p w14:paraId="4B03B22C" w14:textId="622C265A" w:rsidR="00690AAA" w:rsidRPr="000E18A9" w:rsidRDefault="00690AAA" w:rsidP="00B63D04">
      <w:pPr>
        <w:rPr>
          <w:b/>
          <w:bCs/>
          <w:noProof/>
          <w:lang w:val="en-IE"/>
        </w:rPr>
      </w:pPr>
      <w:r w:rsidRPr="000E18A9">
        <w:rPr>
          <w:b/>
          <w:bCs/>
          <w:noProof/>
          <w:lang w:val="en-IE"/>
        </w:rPr>
        <w:t xml:space="preserve">Finally, achieving this vision requires a joint effort. </w:t>
      </w:r>
      <w:r w:rsidRPr="000E18A9">
        <w:rPr>
          <w:noProof/>
          <w:lang w:val="en-IE"/>
        </w:rPr>
        <w:t>The Commission therefore invites Member States to fully implement the Council recommendation on developing social economy framework conditions and take into account the findings and new actions set out in this mid-term review when pursuing their strategies and policy measures.</w:t>
      </w:r>
    </w:p>
    <w:p w14:paraId="20E66D7C" w14:textId="785D09AF" w:rsidR="00690AAA" w:rsidRPr="00AF2E01" w:rsidRDefault="00690AAA" w:rsidP="3A18A745">
      <w:pPr>
        <w:pStyle w:val="Heading2"/>
        <w:rPr>
          <w:noProof/>
          <w:sz w:val="28"/>
          <w:szCs w:val="28"/>
          <w:lang w:val="en-IE"/>
        </w:rPr>
      </w:pPr>
      <w:r>
        <w:rPr>
          <w:rFonts w:eastAsia="Aptos"/>
          <w:noProof/>
          <w:lang w:val="en-IE"/>
        </w:rPr>
        <w:t>Integrated</w:t>
      </w:r>
      <w:r w:rsidRPr="2929FB50">
        <w:rPr>
          <w:rFonts w:eastAsia="Aptos"/>
          <w:noProof/>
          <w:lang w:val="en-IE"/>
        </w:rPr>
        <w:t xml:space="preserve"> frameworks for a competitive social economy</w:t>
      </w:r>
    </w:p>
    <w:p w14:paraId="0D3AD7BA" w14:textId="744F63AF" w:rsidR="00690AAA" w:rsidRDefault="00690AAA" w:rsidP="009D0E16">
      <w:pPr>
        <w:rPr>
          <w:noProof/>
          <w:lang w:val="en-IE"/>
        </w:rPr>
      </w:pPr>
      <w:r w:rsidRPr="004562E3">
        <w:rPr>
          <w:noProof/>
          <w:lang w:val="en-IE"/>
        </w:rPr>
        <w:t>The Commission</w:t>
      </w:r>
      <w:r>
        <w:rPr>
          <w:noProof/>
          <w:lang w:val="en-IE"/>
        </w:rPr>
        <w:t>’</w:t>
      </w:r>
      <w:r w:rsidRPr="004562E3">
        <w:rPr>
          <w:noProof/>
          <w:lang w:val="en-IE"/>
        </w:rPr>
        <w:t xml:space="preserve">s ongoing efforts to improve the business environment as a whole benefit the social economy by reducing </w:t>
      </w:r>
      <w:r>
        <w:rPr>
          <w:noProof/>
          <w:lang w:val="en-IE"/>
        </w:rPr>
        <w:t xml:space="preserve">operational </w:t>
      </w:r>
      <w:r w:rsidRPr="004562E3">
        <w:rPr>
          <w:noProof/>
          <w:lang w:val="en-IE"/>
        </w:rPr>
        <w:t>barriers</w:t>
      </w:r>
      <w:r>
        <w:rPr>
          <w:noProof/>
          <w:lang w:val="en-IE"/>
        </w:rPr>
        <w:t xml:space="preserve"> </w:t>
      </w:r>
      <w:r w:rsidRPr="004562E3">
        <w:rPr>
          <w:noProof/>
          <w:lang w:val="en-IE"/>
        </w:rPr>
        <w:t xml:space="preserve">and creating more opportunities for growth. Initiatives aimed at boosting EU competitiveness, deepening the single market and advancing the Savings and Investments Union can help </w:t>
      </w:r>
      <w:r>
        <w:rPr>
          <w:noProof/>
          <w:lang w:val="en-IE"/>
        </w:rPr>
        <w:t xml:space="preserve">integrate social economy organisations into mainstream value chains, </w:t>
      </w:r>
      <w:r w:rsidRPr="004562E3">
        <w:rPr>
          <w:noProof/>
          <w:lang w:val="en-IE"/>
        </w:rPr>
        <w:t xml:space="preserve">mobilise private capital and strengthen access to finance. Simplification can also reduce the disproportionate administrative burdens and compliance costs that smaller organisations </w:t>
      </w:r>
      <w:r>
        <w:rPr>
          <w:noProof/>
          <w:lang w:val="en-IE"/>
        </w:rPr>
        <w:t xml:space="preserve">often </w:t>
      </w:r>
      <w:r w:rsidRPr="004562E3">
        <w:rPr>
          <w:noProof/>
          <w:lang w:val="en-IE"/>
        </w:rPr>
        <w:t>face</w:t>
      </w:r>
      <w:r>
        <w:rPr>
          <w:noProof/>
          <w:lang w:val="en-IE"/>
        </w:rPr>
        <w:t>.</w:t>
      </w:r>
    </w:p>
    <w:p w14:paraId="54AB84AE" w14:textId="24497B55" w:rsidR="00690AAA" w:rsidRDefault="00690AAA" w:rsidP="009D0E16">
      <w:pPr>
        <w:rPr>
          <w:noProof/>
          <w:lang w:val="en-IE"/>
        </w:rPr>
      </w:pPr>
      <w:r w:rsidRPr="00AF2E01">
        <w:rPr>
          <w:noProof/>
          <w:lang w:val="en-IE"/>
        </w:rPr>
        <w:t xml:space="preserve">The social economy needs </w:t>
      </w:r>
      <w:r>
        <w:rPr>
          <w:noProof/>
          <w:lang w:val="en-IE"/>
        </w:rPr>
        <w:t xml:space="preserve">integrated </w:t>
      </w:r>
      <w:r w:rsidRPr="00AF2E01">
        <w:rPr>
          <w:noProof/>
          <w:lang w:val="en-IE"/>
        </w:rPr>
        <w:t xml:space="preserve">policy and legal frameworks </w:t>
      </w:r>
      <w:r>
        <w:rPr>
          <w:noProof/>
          <w:lang w:val="en-IE"/>
        </w:rPr>
        <w:t>to</w:t>
      </w:r>
      <w:r w:rsidRPr="00AF2E01">
        <w:rPr>
          <w:noProof/>
          <w:lang w:val="en-IE"/>
        </w:rPr>
        <w:t xml:space="preserve"> scale and promote sustainable and innovative solutions. When the right conditions are in place, social economy organisations can flourish across economic sectors and territories, bringing quality jobs, products and services for </w:t>
      </w:r>
      <w:r>
        <w:rPr>
          <w:noProof/>
          <w:lang w:val="en-IE"/>
        </w:rPr>
        <w:t xml:space="preserve">everyone in the </w:t>
      </w:r>
      <w:r w:rsidRPr="00AF2E01">
        <w:rPr>
          <w:noProof/>
          <w:lang w:val="en-IE"/>
        </w:rPr>
        <w:t>EU</w:t>
      </w:r>
      <w:r>
        <w:rPr>
          <w:noProof/>
          <w:lang w:val="en-IE"/>
        </w:rPr>
        <w:t>, including those most vulnerable</w:t>
      </w:r>
      <w:r w:rsidRPr="00AF2E01">
        <w:rPr>
          <w:noProof/>
          <w:lang w:val="en-IE"/>
        </w:rPr>
        <w:t xml:space="preserve">. </w:t>
      </w:r>
      <w:r>
        <w:rPr>
          <w:noProof/>
          <w:lang w:val="en-IE"/>
        </w:rPr>
        <w:t>Therefore, i</w:t>
      </w:r>
      <w:r w:rsidRPr="00AF2E01">
        <w:rPr>
          <w:noProof/>
          <w:lang w:val="en-IE"/>
        </w:rPr>
        <w:t>mproving the framework conditions and ensuring that policies are implemented where they matter, including in regions and municipalities, is particularly important.</w:t>
      </w:r>
    </w:p>
    <w:p w14:paraId="78EF25E7" w14:textId="3295C58A" w:rsidR="00690AAA" w:rsidRPr="00AF2E01" w:rsidRDefault="00690AAA" w:rsidP="006F270F">
      <w:pPr>
        <w:spacing w:line="259" w:lineRule="auto"/>
        <w:rPr>
          <w:noProof/>
          <w:lang w:val="en-IE"/>
        </w:rPr>
      </w:pPr>
      <w:r w:rsidRPr="00B37CF7">
        <w:rPr>
          <w:b/>
          <w:bCs/>
          <w:i/>
          <w:iCs/>
          <w:noProof/>
          <w:lang w:val="en-IE"/>
        </w:rPr>
        <w:t>Key action area 1</w:t>
      </w:r>
      <w:r w:rsidRPr="00AF2E01">
        <w:rPr>
          <w:b/>
          <w:bCs/>
          <w:i/>
          <w:iCs/>
          <w:noProof/>
          <w:lang w:val="en-IE"/>
        </w:rPr>
        <w:t>: Strengthening multilevel governance</w:t>
      </w:r>
      <w:r>
        <w:rPr>
          <w:b/>
          <w:bCs/>
          <w:i/>
          <w:iCs/>
          <w:noProof/>
          <w:lang w:val="en-IE"/>
        </w:rPr>
        <w:t xml:space="preserve"> and implementation on the ground</w:t>
      </w:r>
    </w:p>
    <w:p w14:paraId="4D46A861" w14:textId="77777777" w:rsidR="00690AAA" w:rsidRDefault="00690AAA" w:rsidP="006F270F">
      <w:pPr>
        <w:spacing w:line="259" w:lineRule="auto"/>
        <w:rPr>
          <w:noProof/>
          <w:lang w:val="en-IE"/>
        </w:rPr>
      </w:pPr>
      <w:r w:rsidRPr="46E7F939">
        <w:rPr>
          <w:noProof/>
          <w:lang w:val="en-IE"/>
        </w:rPr>
        <w:t xml:space="preserve">National authorities play a key role in </w:t>
      </w:r>
      <w:r>
        <w:rPr>
          <w:noProof/>
          <w:lang w:val="en-IE"/>
        </w:rPr>
        <w:t>putting in place</w:t>
      </w:r>
      <w:r w:rsidRPr="46E7F939">
        <w:rPr>
          <w:noProof/>
          <w:lang w:val="en-IE"/>
        </w:rPr>
        <w:t xml:space="preserve"> the overarching strategic and legal framework for the social economy. Regional</w:t>
      </w:r>
      <w:r>
        <w:rPr>
          <w:noProof/>
          <w:lang w:val="en-IE"/>
        </w:rPr>
        <w:t xml:space="preserve"> and local</w:t>
      </w:r>
      <w:r w:rsidRPr="46E7F939">
        <w:rPr>
          <w:noProof/>
          <w:lang w:val="en-IE"/>
        </w:rPr>
        <w:t xml:space="preserve"> authorities</w:t>
      </w:r>
      <w:r>
        <w:rPr>
          <w:noProof/>
          <w:lang w:val="en-IE"/>
        </w:rPr>
        <w:t>, meanwhile,</w:t>
      </w:r>
      <w:r w:rsidRPr="46E7F939">
        <w:rPr>
          <w:noProof/>
          <w:lang w:val="en-IE"/>
        </w:rPr>
        <w:t xml:space="preserve"> often act as a bridge between national policymaking and local implementation and are crucial for </w:t>
      </w:r>
      <w:r>
        <w:rPr>
          <w:noProof/>
          <w:lang w:val="en-IE"/>
        </w:rPr>
        <w:t>tailoring</w:t>
      </w:r>
      <w:r w:rsidRPr="46E7F939">
        <w:rPr>
          <w:noProof/>
          <w:lang w:val="en-IE"/>
        </w:rPr>
        <w:t xml:space="preserve"> national priorities </w:t>
      </w:r>
      <w:r>
        <w:rPr>
          <w:noProof/>
          <w:lang w:val="en-IE"/>
        </w:rPr>
        <w:t xml:space="preserve">to </w:t>
      </w:r>
      <w:r w:rsidRPr="46E7F939">
        <w:rPr>
          <w:noProof/>
          <w:lang w:val="en-IE"/>
        </w:rPr>
        <w:t xml:space="preserve">local </w:t>
      </w:r>
      <w:r>
        <w:rPr>
          <w:noProof/>
          <w:lang w:val="en-IE"/>
        </w:rPr>
        <w:t>needs</w:t>
      </w:r>
      <w:r w:rsidRPr="46E7F939">
        <w:rPr>
          <w:noProof/>
          <w:lang w:val="en-IE"/>
        </w:rPr>
        <w:t xml:space="preserve">. </w:t>
      </w:r>
      <w:r>
        <w:rPr>
          <w:noProof/>
          <w:lang w:val="en-IE"/>
        </w:rPr>
        <w:t>They</w:t>
      </w:r>
      <w:r w:rsidRPr="46E7F939">
        <w:rPr>
          <w:noProof/>
          <w:lang w:val="en-IE"/>
        </w:rPr>
        <w:t xml:space="preserve"> can directly support and partner with social economy organisations to deliver on their policy objectives</w:t>
      </w:r>
      <w:r>
        <w:rPr>
          <w:noProof/>
          <w:lang w:val="en-IE"/>
        </w:rPr>
        <w:t xml:space="preserve">. </w:t>
      </w:r>
    </w:p>
    <w:p w14:paraId="20A53E6B" w14:textId="13555FBE" w:rsidR="00690AAA" w:rsidRPr="00AF2E01" w:rsidRDefault="00690AAA" w:rsidP="006F270F">
      <w:pPr>
        <w:spacing w:line="259" w:lineRule="auto"/>
        <w:rPr>
          <w:noProof/>
          <w:lang w:val="en-IE"/>
        </w:rPr>
      </w:pPr>
      <w:r w:rsidRPr="46E7F939">
        <w:rPr>
          <w:noProof/>
          <w:lang w:val="en-IE"/>
        </w:rPr>
        <w:t>A more coordinated and informed approach would provide these authorities with a clearer and more effective policy framework for supporting the social economy</w:t>
      </w:r>
      <w:r>
        <w:rPr>
          <w:noProof/>
          <w:lang w:val="en-IE"/>
        </w:rPr>
        <w:t xml:space="preserve"> and maximising its impact and </w:t>
      </w:r>
      <w:r w:rsidRPr="46E7F939">
        <w:rPr>
          <w:noProof/>
          <w:lang w:val="en-IE"/>
        </w:rPr>
        <w:t>enable social economy organisations to share their successes and challenges.</w:t>
      </w:r>
    </w:p>
    <w:tbl>
      <w:tblPr>
        <w:tblW w:w="0" w:type="auto"/>
        <w:tblInd w:w="108" w:type="dxa"/>
        <w:shd w:val="clear" w:color="auto" w:fill="F2F2F2" w:themeFill="background1" w:themeFillShade="F2"/>
        <w:tblLook w:val="0000" w:firstRow="0" w:lastRow="0" w:firstColumn="0" w:lastColumn="0" w:noHBand="0" w:noVBand="0"/>
      </w:tblPr>
      <w:tblGrid>
        <w:gridCol w:w="8613"/>
      </w:tblGrid>
      <w:tr w:rsidR="00690AAA" w14:paraId="56661B36" w14:textId="77777777" w:rsidTr="001540FB">
        <w:trPr>
          <w:trHeight w:val="284"/>
        </w:trPr>
        <w:tc>
          <w:tcPr>
            <w:tcW w:w="8613" w:type="dxa"/>
            <w:shd w:val="clear" w:color="auto" w:fill="FFF2CC" w:themeFill="accent4" w:themeFillTint="33"/>
          </w:tcPr>
          <w:p w14:paraId="7EAACD32" w14:textId="7816F415" w:rsidR="00690AAA" w:rsidRPr="00866215" w:rsidRDefault="00690AAA" w:rsidP="008E1740">
            <w:pPr>
              <w:spacing w:after="120" w:line="259" w:lineRule="auto"/>
              <w:ind w:left="164"/>
              <w:rPr>
                <w:b/>
                <w:bCs/>
                <w:noProof/>
                <w:lang w:val="en-IE"/>
              </w:rPr>
            </w:pPr>
            <w:r w:rsidRPr="00866215">
              <w:rPr>
                <w:b/>
                <w:bCs/>
                <w:noProof/>
                <w:lang w:val="en-IE"/>
              </w:rPr>
              <w:t xml:space="preserve">The Commission will: </w:t>
            </w:r>
          </w:p>
          <w:p w14:paraId="798EF710" w14:textId="3893D787" w:rsidR="00690AAA" w:rsidRPr="008E1740" w:rsidRDefault="00690AAA" w:rsidP="001F2CF4">
            <w:pPr>
              <w:pStyle w:val="ListParagraph"/>
              <w:numPr>
                <w:ilvl w:val="0"/>
                <w:numId w:val="48"/>
              </w:numPr>
              <w:spacing w:line="259" w:lineRule="auto"/>
              <w:ind w:left="882"/>
              <w:rPr>
                <w:noProof/>
                <w:lang w:val="en-IE"/>
              </w:rPr>
            </w:pPr>
            <w:r w:rsidRPr="00B33FF7">
              <w:rPr>
                <w:b/>
                <w:bCs/>
                <w:noProof/>
                <w:lang w:val="en-IE"/>
              </w:rPr>
              <w:t>Develop a toolkit to support regional and local social economy policies</w:t>
            </w:r>
            <w:r w:rsidRPr="008E1740">
              <w:rPr>
                <w:noProof/>
                <w:lang w:val="en-IE"/>
              </w:rPr>
              <w:t>.</w:t>
            </w:r>
          </w:p>
          <w:p w14:paraId="217F2147" w14:textId="61A8C7D4" w:rsidR="00690AAA" w:rsidRPr="00896814" w:rsidRDefault="00690AAA" w:rsidP="00896814">
            <w:pPr>
              <w:pStyle w:val="ListParagraph"/>
              <w:numPr>
                <w:ilvl w:val="0"/>
                <w:numId w:val="48"/>
              </w:numPr>
              <w:spacing w:line="259" w:lineRule="auto"/>
              <w:ind w:left="882"/>
              <w:rPr>
                <w:noProof/>
                <w:lang w:val="en-IE"/>
              </w:rPr>
            </w:pPr>
            <w:r w:rsidRPr="008E1740">
              <w:rPr>
                <w:b/>
                <w:bCs/>
                <w:noProof/>
                <w:lang w:val="en-IE"/>
              </w:rPr>
              <w:t xml:space="preserve">Boost its work with </w:t>
            </w:r>
            <w:r>
              <w:rPr>
                <w:b/>
                <w:bCs/>
                <w:noProof/>
                <w:lang w:val="en-IE"/>
              </w:rPr>
              <w:t xml:space="preserve">public authorities, </w:t>
            </w:r>
            <w:r w:rsidRPr="008E1740">
              <w:rPr>
                <w:b/>
                <w:bCs/>
                <w:noProof/>
                <w:lang w:val="en-IE"/>
              </w:rPr>
              <w:t xml:space="preserve">stakeholder communities and networks </w:t>
            </w:r>
            <w:r>
              <w:rPr>
                <w:b/>
                <w:bCs/>
                <w:noProof/>
                <w:lang w:val="en-IE"/>
              </w:rPr>
              <w:t>to</w:t>
            </w:r>
            <w:r w:rsidRPr="00EA72A6">
              <w:rPr>
                <w:b/>
                <w:bCs/>
                <w:noProof/>
                <w:lang w:val="en-IE"/>
              </w:rPr>
              <w:t xml:space="preserve"> promote the exchange of best practices</w:t>
            </w:r>
            <w:r>
              <w:rPr>
                <w:b/>
                <w:bCs/>
                <w:noProof/>
                <w:lang w:val="en-IE"/>
              </w:rPr>
              <w:t>, joint projects</w:t>
            </w:r>
            <w:r w:rsidRPr="009C576C">
              <w:rPr>
                <w:noProof/>
                <w:lang w:val="en-IE"/>
              </w:rPr>
              <w:t xml:space="preserve">, </w:t>
            </w:r>
            <w:r w:rsidRPr="009C576C">
              <w:rPr>
                <w:b/>
                <w:bCs/>
                <w:noProof/>
                <w:lang w:val="en-IE"/>
              </w:rPr>
              <w:t>and effective measures for the social economy across territories</w:t>
            </w:r>
            <w:r w:rsidRPr="00256ED0">
              <w:rPr>
                <w:noProof/>
                <w:lang w:val="en-IE"/>
              </w:rPr>
              <w:t xml:space="preserve">, </w:t>
            </w:r>
            <w:r>
              <w:rPr>
                <w:noProof/>
                <w:lang w:val="en-IE"/>
              </w:rPr>
              <w:t xml:space="preserve">supporting and </w:t>
            </w:r>
            <w:r w:rsidRPr="00256ED0">
              <w:rPr>
                <w:noProof/>
                <w:lang w:val="en-IE"/>
              </w:rPr>
              <w:t>complementing national efforts.</w:t>
            </w:r>
            <w:r>
              <w:rPr>
                <w:noProof/>
                <w:lang w:val="en-IE"/>
              </w:rPr>
              <w:t xml:space="preserve"> </w:t>
            </w:r>
            <w:r w:rsidRPr="00BE419A">
              <w:rPr>
                <w:noProof/>
              </w:rPr>
              <w:t>Specific attention will be given to rural areas in the context of the EU rural action plan</w:t>
            </w:r>
            <w:r>
              <w:rPr>
                <w:noProof/>
              </w:rPr>
              <w:t xml:space="preserve"> (</w:t>
            </w:r>
            <w:r>
              <w:rPr>
                <w:rStyle w:val="EndnoteReference"/>
                <w:noProof/>
              </w:rPr>
              <w:endnoteReference w:id="31"/>
            </w:r>
            <w:r>
              <w:rPr>
                <w:noProof/>
              </w:rPr>
              <w:t>)</w:t>
            </w:r>
            <w:r w:rsidRPr="00BE419A">
              <w:rPr>
                <w:noProof/>
              </w:rPr>
              <w:t>, the rural pac</w:t>
            </w:r>
            <w:r>
              <w:rPr>
                <w:noProof/>
              </w:rPr>
              <w:t>t</w:t>
            </w:r>
            <w:r w:rsidRPr="00BE419A">
              <w:rPr>
                <w:noProof/>
              </w:rPr>
              <w:t>, and the strategy for generational renewal in agriculture</w:t>
            </w:r>
            <w:r>
              <w:rPr>
                <w:noProof/>
              </w:rPr>
              <w:t xml:space="preserve"> (</w:t>
            </w:r>
            <w:r>
              <w:rPr>
                <w:rStyle w:val="EndnoteReference"/>
                <w:noProof/>
              </w:rPr>
              <w:endnoteReference w:id="32"/>
            </w:r>
            <w:r>
              <w:rPr>
                <w:noProof/>
              </w:rPr>
              <w:t>)</w:t>
            </w:r>
            <w:r w:rsidRPr="00BE419A">
              <w:rPr>
                <w:noProof/>
              </w:rPr>
              <w:t>.</w:t>
            </w:r>
          </w:p>
          <w:p w14:paraId="7FC0640F" w14:textId="3B69D775" w:rsidR="00690AAA" w:rsidRPr="00256ED0" w:rsidRDefault="00690AAA" w:rsidP="001F2CF4">
            <w:pPr>
              <w:pStyle w:val="ListParagraph"/>
              <w:numPr>
                <w:ilvl w:val="0"/>
                <w:numId w:val="48"/>
              </w:numPr>
              <w:spacing w:line="259" w:lineRule="auto"/>
              <w:ind w:left="882"/>
              <w:rPr>
                <w:noProof/>
                <w:lang w:val="en-IE"/>
              </w:rPr>
            </w:pPr>
            <w:r w:rsidRPr="00B33FF7">
              <w:rPr>
                <w:b/>
                <w:bCs/>
                <w:noProof/>
                <w:lang w:val="en-IE"/>
              </w:rPr>
              <w:t>P</w:t>
            </w:r>
            <w:r w:rsidRPr="008E1740">
              <w:rPr>
                <w:b/>
                <w:bCs/>
                <w:noProof/>
                <w:lang w:val="en-IE"/>
              </w:rPr>
              <w:t>ublish a stocktaking report</w:t>
            </w:r>
            <w:r w:rsidRPr="00256ED0">
              <w:rPr>
                <w:noProof/>
                <w:lang w:val="en-IE"/>
              </w:rPr>
              <w:t xml:space="preserve"> </w:t>
            </w:r>
            <w:r w:rsidRPr="008E1740">
              <w:rPr>
                <w:b/>
                <w:bCs/>
                <w:noProof/>
                <w:lang w:val="en-IE"/>
              </w:rPr>
              <w:t>on the implementation of the Council recommendation on developing social economy framework conditions</w:t>
            </w:r>
            <w:r w:rsidRPr="00256ED0">
              <w:rPr>
                <w:noProof/>
                <w:lang w:val="en-IE"/>
              </w:rPr>
              <w:t xml:space="preserve"> in 2028.</w:t>
            </w:r>
          </w:p>
          <w:p w14:paraId="03650B10" w14:textId="625C4673" w:rsidR="00690AAA" w:rsidRDefault="00690AAA" w:rsidP="008E1740">
            <w:pPr>
              <w:pStyle w:val="ListParagraph"/>
              <w:numPr>
                <w:ilvl w:val="0"/>
                <w:numId w:val="48"/>
              </w:numPr>
              <w:spacing w:after="0" w:line="259" w:lineRule="auto"/>
              <w:ind w:left="882"/>
              <w:rPr>
                <w:noProof/>
                <w:lang w:val="en-IE"/>
              </w:rPr>
            </w:pPr>
            <w:r>
              <w:rPr>
                <w:noProof/>
                <w:lang w:val="en-IE"/>
              </w:rPr>
              <w:t>E</w:t>
            </w:r>
            <w:r w:rsidRPr="008B2A4E">
              <w:rPr>
                <w:noProof/>
                <w:lang w:val="en-IE"/>
              </w:rPr>
              <w:t>mbed the social economy in external cooperation and international dialogues</w:t>
            </w:r>
            <w:r>
              <w:rPr>
                <w:noProof/>
                <w:lang w:val="en-IE"/>
              </w:rPr>
              <w:t xml:space="preserve"> by</w:t>
            </w:r>
            <w:r w:rsidRPr="00B33FF7">
              <w:rPr>
                <w:b/>
                <w:bCs/>
                <w:noProof/>
                <w:lang w:val="en-IE"/>
              </w:rPr>
              <w:t xml:space="preserve"> </w:t>
            </w:r>
            <w:r>
              <w:rPr>
                <w:b/>
                <w:bCs/>
                <w:noProof/>
                <w:lang w:val="en-IE"/>
              </w:rPr>
              <w:t>p</w:t>
            </w:r>
            <w:r w:rsidRPr="008E1740">
              <w:rPr>
                <w:b/>
                <w:bCs/>
                <w:noProof/>
                <w:lang w:val="en-IE"/>
              </w:rPr>
              <w:t>rovid</w:t>
            </w:r>
            <w:r>
              <w:rPr>
                <w:b/>
                <w:bCs/>
                <w:noProof/>
                <w:lang w:val="en-IE"/>
              </w:rPr>
              <w:t>ing</w:t>
            </w:r>
            <w:r w:rsidRPr="008E1740">
              <w:rPr>
                <w:b/>
                <w:bCs/>
                <w:noProof/>
                <w:lang w:val="en-IE"/>
              </w:rPr>
              <w:t xml:space="preserve"> specific training, skills development and social entrepreneurship support to </w:t>
            </w:r>
            <w:r>
              <w:rPr>
                <w:b/>
                <w:bCs/>
                <w:noProof/>
                <w:lang w:val="en-IE"/>
              </w:rPr>
              <w:t xml:space="preserve">public authorities </w:t>
            </w:r>
            <w:r>
              <w:rPr>
                <w:noProof/>
                <w:lang w:val="en-IE"/>
              </w:rPr>
              <w:t>and</w:t>
            </w:r>
            <w:r w:rsidRPr="008E1740">
              <w:rPr>
                <w:noProof/>
                <w:lang w:val="en-IE"/>
              </w:rPr>
              <w:t xml:space="preserve"> </w:t>
            </w:r>
            <w:r w:rsidRPr="00B33FF7">
              <w:rPr>
                <w:b/>
                <w:bCs/>
                <w:noProof/>
                <w:lang w:val="en-IE"/>
              </w:rPr>
              <w:t>deploying projects in non-EU countries</w:t>
            </w:r>
            <w:r w:rsidRPr="00256ED0">
              <w:rPr>
                <w:noProof/>
                <w:lang w:val="en-IE"/>
              </w:rPr>
              <w:t xml:space="preserve">, </w:t>
            </w:r>
            <w:r>
              <w:rPr>
                <w:noProof/>
                <w:lang w:val="en-IE"/>
              </w:rPr>
              <w:t xml:space="preserve">including (potential) candidate countries, </w:t>
            </w:r>
            <w:r w:rsidRPr="00256ED0">
              <w:rPr>
                <w:noProof/>
                <w:lang w:val="en-IE"/>
              </w:rPr>
              <w:t>such as the upcoming Social Entrepreneurship Fund</w:t>
            </w:r>
            <w:r w:rsidRPr="007D5F4E">
              <w:rPr>
                <w:noProof/>
                <w:color w:val="000000"/>
                <w:shd w:val="clear" w:color="auto" w:fill="FFF2CC" w:themeFill="accent4" w:themeFillTint="33"/>
                <w:lang w:val="en-IE"/>
              </w:rPr>
              <w:t xml:space="preserve"> </w:t>
            </w:r>
            <w:r w:rsidRPr="00256ED0">
              <w:rPr>
                <w:noProof/>
                <w:lang w:val="en-IE"/>
              </w:rPr>
              <w:t>for the Southern Neighbourhood, in line with the priorities of the Pact for the Mediterranean </w:t>
            </w:r>
            <w:r>
              <w:rPr>
                <w:noProof/>
                <w:lang w:val="en-IE"/>
              </w:rPr>
              <w:t>(</w:t>
            </w:r>
            <w:r>
              <w:rPr>
                <w:rStyle w:val="EndnoteReference"/>
                <w:noProof/>
                <w:lang w:val="en-IE"/>
              </w:rPr>
              <w:endnoteReference w:id="33"/>
            </w:r>
            <w:r w:rsidRPr="00256ED0">
              <w:rPr>
                <w:noProof/>
                <w:lang w:val="en-IE"/>
              </w:rPr>
              <w:t>).</w:t>
            </w:r>
            <w:r w:rsidRPr="00256ED0">
              <w:rPr>
                <w:noProof/>
              </w:rPr>
              <w:t> </w:t>
            </w:r>
          </w:p>
        </w:tc>
      </w:tr>
    </w:tbl>
    <w:p w14:paraId="0E20FE58" w14:textId="77777777" w:rsidR="00690AAA" w:rsidRPr="00AF2E01"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before="240" w:after="120"/>
        <w:rPr>
          <w:b/>
          <w:bCs/>
          <w:i/>
          <w:iCs/>
          <w:noProof/>
          <w:lang w:val="en-IE"/>
        </w:rPr>
      </w:pPr>
      <w:r w:rsidRPr="00AF2E01">
        <w:rPr>
          <w:b/>
          <w:bCs/>
          <w:i/>
          <w:iCs/>
          <w:noProof/>
          <w:lang w:val="en-IE"/>
        </w:rPr>
        <w:t>In focus: The social economy and culture and tourism</w:t>
      </w:r>
    </w:p>
    <w:p w14:paraId="22CA3283" w14:textId="77777777" w:rsidR="00690AAA"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after="120" w:line="259" w:lineRule="auto"/>
        <w:rPr>
          <w:i/>
          <w:iCs/>
          <w:noProof/>
          <w:lang w:val="en-IE"/>
        </w:rPr>
      </w:pPr>
      <w:r w:rsidRPr="00AF2E01">
        <w:rPr>
          <w:i/>
          <w:iCs/>
          <w:noProof/>
          <w:lang w:val="en-IE"/>
        </w:rPr>
        <w:t>Social economy organisations are drivers of Europe’s cultural vitality, creative innovation and sustainable tourism. They support the cultural and creative industries and their workforce. They preserve and promote cultural heritage, providing accessible spaces for cultural participation and community life in neighbourhoods and rural areas.</w:t>
      </w:r>
    </w:p>
    <w:p w14:paraId="42009C70" w14:textId="77777777" w:rsidR="00690AAA"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after="120" w:line="259" w:lineRule="auto"/>
        <w:rPr>
          <w:i/>
          <w:iCs/>
          <w:noProof/>
          <w:lang w:val="en-IE"/>
        </w:rPr>
      </w:pPr>
      <w:r w:rsidRPr="00AF2E01">
        <w:rPr>
          <w:i/>
          <w:iCs/>
          <w:noProof/>
          <w:lang w:val="en-IE"/>
        </w:rPr>
        <w:t xml:space="preserve">In the creative and cultural industries, the social economy promotes experimentation, collaboration and shared ownership in areas ranging from media and performing arts to design and crafts. In tourism, community-led initiatives promote sustainable activities that protect landscapes, support local businesses and ensure that the benefits remain within the community. </w:t>
      </w:r>
    </w:p>
    <w:p w14:paraId="0A994618" w14:textId="35DD604F" w:rsidR="00690AAA" w:rsidRPr="006D31F5" w:rsidRDefault="00690AAA" w:rsidP="00BE330F">
      <w:pPr>
        <w:pBdr>
          <w:top w:val="single" w:sz="4" w:space="4" w:color="auto"/>
          <w:left w:val="single" w:sz="4" w:space="4" w:color="auto"/>
          <w:bottom w:val="single" w:sz="4" w:space="4" w:color="auto"/>
          <w:right w:val="single" w:sz="4" w:space="4" w:color="auto"/>
        </w:pBdr>
        <w:shd w:val="clear" w:color="auto" w:fill="E2EFD9" w:themeFill="accent6" w:themeFillTint="33"/>
        <w:spacing w:after="120" w:line="259" w:lineRule="auto"/>
        <w:rPr>
          <w:i/>
          <w:iCs/>
          <w:noProof/>
          <w:lang w:val="en-IE"/>
        </w:rPr>
      </w:pPr>
      <w:r w:rsidRPr="00BE330F">
        <w:rPr>
          <w:b/>
          <w:bCs/>
          <w:i/>
          <w:iCs/>
          <w:noProof/>
          <w:lang w:val="en-IE"/>
        </w:rPr>
        <w:t>By linking culture, creativity and sustainable tourism, the social economy strengthens territorial identity, empowers local populations and diversifies local economies, creates jobs and contributes to a more resilient, people-centred development of Europe’s regions.</w:t>
      </w:r>
      <w:r w:rsidRPr="00973008">
        <w:rPr>
          <w:i/>
          <w:iCs/>
          <w:noProof/>
          <w:lang w:val="en-IE"/>
        </w:rPr>
        <w:t xml:space="preserve"> </w:t>
      </w:r>
      <w:r w:rsidRPr="006D31F5">
        <w:rPr>
          <w:i/>
          <w:iCs/>
          <w:noProof/>
          <w:lang w:val="en-IE"/>
        </w:rPr>
        <w:t>The Commission will support transnational partnerships to test and scale community-led sustainable tourism models based on social economy principles. In addition, the upcoming </w:t>
      </w:r>
      <w:r w:rsidRPr="006D31F5">
        <w:rPr>
          <w:b/>
          <w:bCs/>
          <w:i/>
          <w:iCs/>
          <w:noProof/>
          <w:lang w:val="en-IE"/>
        </w:rPr>
        <w:t>EU Sustainable Tourism Strategy</w:t>
      </w:r>
      <w:r w:rsidRPr="006D31F5">
        <w:rPr>
          <w:i/>
          <w:iCs/>
          <w:noProof/>
          <w:lang w:val="en-IE"/>
        </w:rPr>
        <w:t xml:space="preserve"> will aim to shape a competitive, sustainable and inclusive tourism model that supports local communities. </w:t>
      </w:r>
    </w:p>
    <w:p w14:paraId="349E89FD" w14:textId="49C0F58F" w:rsidR="00690AAA" w:rsidRPr="00B73E8A" w:rsidRDefault="00690AAA" w:rsidP="008E1740">
      <w:pPr>
        <w:spacing w:before="240"/>
        <w:rPr>
          <w:b/>
          <w:bCs/>
          <w:i/>
          <w:iCs/>
          <w:noProof/>
          <w:lang w:val="en-IE"/>
        </w:rPr>
      </w:pPr>
      <w:r w:rsidRPr="46E7F939">
        <w:rPr>
          <w:b/>
          <w:bCs/>
          <w:i/>
          <w:iCs/>
          <w:noProof/>
          <w:lang w:val="en-IE"/>
        </w:rPr>
        <w:t>Key action area 2: Making rules and frameworks work</w:t>
      </w:r>
      <w:r>
        <w:rPr>
          <w:b/>
          <w:bCs/>
          <w:i/>
          <w:iCs/>
          <w:noProof/>
          <w:lang w:val="en-IE"/>
        </w:rPr>
        <w:t xml:space="preserve"> for the social economy</w:t>
      </w:r>
    </w:p>
    <w:p w14:paraId="18F90415" w14:textId="7FC8B291" w:rsidR="00690AAA" w:rsidRPr="00AF2E01" w:rsidRDefault="00690AAA" w:rsidP="0061644F">
      <w:pPr>
        <w:rPr>
          <w:noProof/>
          <w:lang w:val="en-IE"/>
        </w:rPr>
      </w:pPr>
      <w:r w:rsidRPr="00AF2E01">
        <w:rPr>
          <w:b/>
          <w:bCs/>
          <w:noProof/>
          <w:lang w:val="en-IE"/>
        </w:rPr>
        <w:t>Public procurement</w:t>
      </w:r>
      <w:r w:rsidRPr="00AF2E01">
        <w:rPr>
          <w:noProof/>
          <w:lang w:val="en-IE"/>
        </w:rPr>
        <w:t xml:space="preserve"> can be used by public authorities as a strategic </w:t>
      </w:r>
      <w:r>
        <w:rPr>
          <w:noProof/>
          <w:lang w:val="en-IE"/>
        </w:rPr>
        <w:t>tool</w:t>
      </w:r>
      <w:r w:rsidRPr="00AF2E01">
        <w:rPr>
          <w:noProof/>
          <w:lang w:val="en-IE"/>
        </w:rPr>
        <w:t xml:space="preserve"> to deliver high-quality public services and pursue specific policy objectives, such as promoting employment and social inclusion, ensuring decent working conditions, improving accessibility and inclusive design</w:t>
      </w:r>
      <w:r>
        <w:rPr>
          <w:noProof/>
          <w:lang w:val="en-IE"/>
        </w:rPr>
        <w:t xml:space="preserve"> for all</w:t>
      </w:r>
      <w:r w:rsidRPr="00AF2E01">
        <w:rPr>
          <w:noProof/>
          <w:lang w:val="en-IE"/>
        </w:rPr>
        <w:t xml:space="preserve">, and </w:t>
      </w:r>
      <w:r>
        <w:rPr>
          <w:noProof/>
          <w:lang w:val="en-IE"/>
        </w:rPr>
        <w:t>creating</w:t>
      </w:r>
      <w:r w:rsidRPr="00AF2E01">
        <w:rPr>
          <w:noProof/>
          <w:lang w:val="en-IE"/>
        </w:rPr>
        <w:t xml:space="preserve"> responsible supply chains. For social economy organisations, public procurement creates routes that improve their access to markets and enable them to provide services to the community. Nevertheless, evidence shows that lowest-price practices remain the dominant norm, and social considerations in public procurement are not applied systematically or consistently.</w:t>
      </w:r>
    </w:p>
    <w:p w14:paraId="0B3A3F78" w14:textId="1CCC6024" w:rsidR="00690AAA" w:rsidRPr="00AF2E01" w:rsidRDefault="00690AAA" w:rsidP="0061644F">
      <w:pPr>
        <w:rPr>
          <w:noProof/>
          <w:lang w:val="en-IE"/>
        </w:rPr>
      </w:pPr>
      <w:r>
        <w:rPr>
          <w:noProof/>
          <w:lang w:val="en-IE"/>
        </w:rPr>
        <w:t xml:space="preserve">Furthermore, </w:t>
      </w:r>
      <w:r w:rsidRPr="008E1740">
        <w:rPr>
          <w:b/>
          <w:bCs/>
          <w:noProof/>
          <w:lang w:val="en-IE"/>
        </w:rPr>
        <w:t>cooperati</w:t>
      </w:r>
      <w:r>
        <w:rPr>
          <w:b/>
          <w:bCs/>
          <w:noProof/>
          <w:lang w:val="en-IE"/>
        </w:rPr>
        <w:t>on</w:t>
      </w:r>
      <w:r w:rsidRPr="008E1740">
        <w:rPr>
          <w:b/>
          <w:bCs/>
          <w:noProof/>
          <w:lang w:val="en-IE"/>
        </w:rPr>
        <w:t xml:space="preserve"> with </w:t>
      </w:r>
      <w:r>
        <w:rPr>
          <w:b/>
          <w:bCs/>
          <w:noProof/>
          <w:lang w:val="en-IE"/>
        </w:rPr>
        <w:t>mainstream businesses</w:t>
      </w:r>
      <w:r w:rsidRPr="001D0F66">
        <w:rPr>
          <w:noProof/>
          <w:lang w:val="en-IE"/>
        </w:rPr>
        <w:t xml:space="preserve">, including through the supply of goods and services, </w:t>
      </w:r>
      <w:r>
        <w:rPr>
          <w:noProof/>
          <w:lang w:val="en-IE"/>
        </w:rPr>
        <w:t>can</w:t>
      </w:r>
      <w:r w:rsidRPr="00AF2E01">
        <w:rPr>
          <w:noProof/>
          <w:lang w:val="en-IE"/>
        </w:rPr>
        <w:t xml:space="preserve"> </w:t>
      </w:r>
      <w:r>
        <w:rPr>
          <w:noProof/>
          <w:lang w:val="en-IE"/>
        </w:rPr>
        <w:t>strengthen</w:t>
      </w:r>
      <w:r w:rsidRPr="00AF2E01">
        <w:rPr>
          <w:noProof/>
          <w:lang w:val="en-IE"/>
        </w:rPr>
        <w:t xml:space="preserve"> the social economy and help businesses meet their sustainability goals. However, social economy organisations often play a </w:t>
      </w:r>
      <w:r>
        <w:rPr>
          <w:noProof/>
          <w:lang w:val="en-IE"/>
        </w:rPr>
        <w:t>small</w:t>
      </w:r>
      <w:r w:rsidRPr="00AF2E01">
        <w:rPr>
          <w:noProof/>
          <w:lang w:val="en-IE"/>
        </w:rPr>
        <w:t xml:space="preserve"> role in supply chains due to a lack of mutual understanding, cultural and operational barriers, and insufficient strategic support to improve market access and develop new sectoral value chains.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3"/>
      </w:tblGrid>
      <w:tr w:rsidR="00690AAA" w14:paraId="6A7A0B12" w14:textId="77777777" w:rsidTr="00307FF9">
        <w:trPr>
          <w:trHeight w:val="284"/>
        </w:trPr>
        <w:tc>
          <w:tcPr>
            <w:tcW w:w="8643" w:type="dxa"/>
            <w:tcBorders>
              <w:top w:val="nil"/>
              <w:left w:val="nil"/>
              <w:bottom w:val="nil"/>
              <w:right w:val="nil"/>
            </w:tcBorders>
            <w:shd w:val="clear" w:color="auto" w:fill="FFF2CC" w:themeFill="accent4" w:themeFillTint="33"/>
          </w:tcPr>
          <w:p w14:paraId="6066F2B8" w14:textId="53758AE6" w:rsidR="00690AAA" w:rsidRPr="00866215" w:rsidRDefault="00690AAA" w:rsidP="008E1740">
            <w:pPr>
              <w:spacing w:after="120"/>
              <w:ind w:left="284"/>
              <w:rPr>
                <w:b/>
                <w:bCs/>
                <w:noProof/>
                <w:lang w:val="en-IE"/>
              </w:rPr>
            </w:pPr>
            <w:r w:rsidRPr="00866215">
              <w:rPr>
                <w:b/>
                <w:bCs/>
                <w:noProof/>
                <w:lang w:val="en-IE"/>
              </w:rPr>
              <w:t>The Commission will:</w:t>
            </w:r>
          </w:p>
          <w:p w14:paraId="687A6E0F" w14:textId="7E9F449E" w:rsidR="00690AAA" w:rsidRDefault="00690AAA" w:rsidP="00166761">
            <w:pPr>
              <w:pStyle w:val="ListParagraph"/>
              <w:numPr>
                <w:ilvl w:val="0"/>
                <w:numId w:val="49"/>
              </w:numPr>
              <w:ind w:left="1002"/>
              <w:rPr>
                <w:noProof/>
                <w:lang w:val="en-IE"/>
              </w:rPr>
            </w:pPr>
            <w:r>
              <w:rPr>
                <w:b/>
                <w:bCs/>
                <w:noProof/>
                <w:lang w:val="en-IE"/>
              </w:rPr>
              <w:t>E</w:t>
            </w:r>
            <w:r w:rsidRPr="001F2CF4">
              <w:rPr>
                <w:b/>
                <w:bCs/>
                <w:noProof/>
                <w:lang w:val="en-IE"/>
              </w:rPr>
              <w:t>xplore opportunities to promote the uptake of socially responsible public procurement practices</w:t>
            </w:r>
            <w:r>
              <w:rPr>
                <w:b/>
                <w:bCs/>
                <w:noProof/>
                <w:lang w:val="en-IE"/>
              </w:rPr>
              <w:t>,</w:t>
            </w:r>
            <w:r w:rsidRPr="001F2CF4">
              <w:rPr>
                <w:noProof/>
                <w:lang w:val="en-IE"/>
              </w:rPr>
              <w:t xml:space="preserve"> including the use of the best price-quality ratio and of collective bargaining, </w:t>
            </w:r>
            <w:r>
              <w:rPr>
                <w:noProof/>
                <w:lang w:val="en-IE"/>
              </w:rPr>
              <w:t xml:space="preserve">in the context of the ongoing </w:t>
            </w:r>
            <w:r w:rsidRPr="00B7222C">
              <w:rPr>
                <w:b/>
                <w:bCs/>
                <w:noProof/>
                <w:lang w:val="en-IE"/>
              </w:rPr>
              <w:t>revision of the EU public procurement directives</w:t>
            </w:r>
            <w:r>
              <w:rPr>
                <w:noProof/>
                <w:lang w:val="en-IE"/>
              </w:rPr>
              <w:t xml:space="preserve">, and include </w:t>
            </w:r>
            <w:r w:rsidRPr="00BC5E44">
              <w:rPr>
                <w:b/>
                <w:bCs/>
                <w:noProof/>
                <w:lang w:val="en-IE"/>
              </w:rPr>
              <w:t>guidance</w:t>
            </w:r>
            <w:r>
              <w:rPr>
                <w:noProof/>
                <w:lang w:val="en-IE"/>
              </w:rPr>
              <w:t xml:space="preserve"> on their implementation in its toolkit to support regional and local social economy policies.</w:t>
            </w:r>
          </w:p>
          <w:p w14:paraId="269CDA93" w14:textId="222C73F2" w:rsidR="00690AAA" w:rsidRDefault="00690AAA" w:rsidP="00E53BBF">
            <w:pPr>
              <w:pStyle w:val="ListParagraph"/>
              <w:numPr>
                <w:ilvl w:val="0"/>
                <w:numId w:val="49"/>
              </w:numPr>
              <w:spacing w:after="0"/>
              <w:ind w:left="998" w:hanging="357"/>
              <w:contextualSpacing w:val="0"/>
              <w:rPr>
                <w:noProof/>
                <w:lang w:val="en-IE"/>
              </w:rPr>
            </w:pPr>
            <w:r w:rsidRPr="00B7222C">
              <w:rPr>
                <w:noProof/>
                <w:lang w:val="en-IE"/>
              </w:rPr>
              <w:t>Promote a more systematic integration of social economy organisations into the value chains of mainstream businesses</w:t>
            </w:r>
            <w:r>
              <w:rPr>
                <w:b/>
                <w:bCs/>
                <w:noProof/>
                <w:lang w:val="en-IE"/>
              </w:rPr>
              <w:t xml:space="preserve"> </w:t>
            </w:r>
            <w:r w:rsidRPr="009127CF">
              <w:rPr>
                <w:noProof/>
                <w:lang w:val="en-IE"/>
              </w:rPr>
              <w:t xml:space="preserve">by </w:t>
            </w:r>
            <w:r w:rsidRPr="00A5366F">
              <w:rPr>
                <w:noProof/>
                <w:lang w:val="en-IE"/>
              </w:rPr>
              <w:t xml:space="preserve">inter alia </w:t>
            </w:r>
            <w:r w:rsidRPr="00B7222C">
              <w:rPr>
                <w:b/>
                <w:bCs/>
                <w:noProof/>
                <w:lang w:val="en-IE"/>
              </w:rPr>
              <w:t xml:space="preserve">launching a call for proposals </w:t>
            </w:r>
            <w:r>
              <w:rPr>
                <w:b/>
                <w:bCs/>
                <w:noProof/>
                <w:lang w:val="en-IE"/>
              </w:rPr>
              <w:t xml:space="preserve">to </w:t>
            </w:r>
            <w:r w:rsidRPr="00B7222C">
              <w:rPr>
                <w:b/>
                <w:bCs/>
                <w:noProof/>
                <w:lang w:val="en-IE"/>
              </w:rPr>
              <w:t>scale up business-to-business partnerships</w:t>
            </w:r>
            <w:r>
              <w:rPr>
                <w:b/>
                <w:bCs/>
                <w:noProof/>
                <w:lang w:val="en-IE"/>
              </w:rPr>
              <w:t>.</w:t>
            </w:r>
          </w:p>
        </w:tc>
      </w:tr>
    </w:tbl>
    <w:p w14:paraId="36F70F0F" w14:textId="5986E8B2" w:rsidR="00690AAA" w:rsidRPr="00972B47" w:rsidRDefault="00690AAA" w:rsidP="003C7521">
      <w:pPr>
        <w:pBdr>
          <w:top w:val="single" w:sz="4" w:space="0" w:color="000000"/>
          <w:left w:val="single" w:sz="4" w:space="4" w:color="000000"/>
          <w:bottom w:val="single" w:sz="4" w:space="4" w:color="000000"/>
          <w:right w:val="single" w:sz="4" w:space="4" w:color="000000"/>
        </w:pBdr>
        <w:shd w:val="clear" w:color="auto" w:fill="E2EFD9" w:themeFill="accent6" w:themeFillTint="33"/>
        <w:spacing w:before="240" w:after="120"/>
        <w:rPr>
          <w:b/>
          <w:bCs/>
          <w:i/>
          <w:iCs/>
          <w:noProof/>
          <w:lang w:val="en-IE"/>
        </w:rPr>
      </w:pPr>
      <w:r w:rsidRPr="00972B47">
        <w:rPr>
          <w:b/>
          <w:bCs/>
          <w:i/>
          <w:iCs/>
          <w:noProof/>
          <w:lang w:val="en-IE"/>
        </w:rPr>
        <w:t>In focus: The social economy and energy</w:t>
      </w:r>
    </w:p>
    <w:p w14:paraId="3F097669" w14:textId="68094BC3" w:rsidR="00690AAA" w:rsidRDefault="00690AAA" w:rsidP="003C7521">
      <w:pPr>
        <w:pBdr>
          <w:top w:val="single" w:sz="4" w:space="0" w:color="000000"/>
          <w:left w:val="single" w:sz="4" w:space="4" w:color="000000"/>
          <w:bottom w:val="single" w:sz="4" w:space="4" w:color="000000"/>
          <w:right w:val="single" w:sz="4" w:space="4" w:color="000000"/>
        </w:pBdr>
        <w:shd w:val="clear" w:color="auto" w:fill="E2EFD9" w:themeFill="accent6" w:themeFillTint="33"/>
        <w:rPr>
          <w:i/>
          <w:iCs/>
          <w:noProof/>
        </w:rPr>
      </w:pPr>
      <w:r w:rsidRPr="4BF770F1">
        <w:rPr>
          <w:i/>
          <w:iCs/>
          <w:noProof/>
        </w:rPr>
        <w:t xml:space="preserve">The social economy plays a role in ensuring that the transition to green energy is fair and inclusive. Energy communities and other citizen-led initiatives enable local actors to collectively own and manage renewable energy assets, from solar and wind farms to district heating systems. These organisations keep value within the community, allow citizens to actively participate in the transition and may help to reduce energy poverty, for example by improving access of vulnerable groups to affordable energy prices. </w:t>
      </w:r>
      <w:r w:rsidRPr="00837862">
        <w:rPr>
          <w:i/>
          <w:iCs/>
          <w:noProof/>
        </w:rPr>
        <w:t xml:space="preserve">They </w:t>
      </w:r>
      <w:r w:rsidRPr="00A95048">
        <w:rPr>
          <w:i/>
          <w:iCs/>
          <w:noProof/>
        </w:rPr>
        <w:t xml:space="preserve">may </w:t>
      </w:r>
      <w:r w:rsidRPr="00837862">
        <w:rPr>
          <w:i/>
          <w:iCs/>
          <w:noProof/>
        </w:rPr>
        <w:t>also generate high-quality local employment opportunities in areas such as installation, maintenance and energy advisory services.</w:t>
      </w:r>
      <w:r w:rsidRPr="4BF770F1">
        <w:rPr>
          <w:i/>
          <w:iCs/>
          <w:noProof/>
        </w:rPr>
        <w:t xml:space="preserve"> </w:t>
      </w:r>
    </w:p>
    <w:p w14:paraId="69106A51" w14:textId="7B7C11E3" w:rsidR="00690AAA" w:rsidRPr="003C7521" w:rsidRDefault="00690AAA" w:rsidP="00885594">
      <w:pPr>
        <w:pBdr>
          <w:top w:val="single" w:sz="4" w:space="0" w:color="000000"/>
          <w:left w:val="single" w:sz="4" w:space="4" w:color="000000"/>
          <w:bottom w:val="single" w:sz="4" w:space="4" w:color="000000"/>
          <w:right w:val="single" w:sz="4" w:space="4" w:color="000000"/>
        </w:pBdr>
        <w:shd w:val="clear" w:color="auto" w:fill="E2EFD9" w:themeFill="accent6" w:themeFillTint="33"/>
        <w:spacing w:after="0"/>
        <w:rPr>
          <w:b/>
          <w:bCs/>
          <w:i/>
          <w:iCs/>
          <w:noProof/>
        </w:rPr>
      </w:pPr>
      <w:r>
        <w:rPr>
          <w:i/>
          <w:iCs/>
          <w:noProof/>
        </w:rPr>
        <w:t>T</w:t>
      </w:r>
      <w:r w:rsidRPr="4BF770F1">
        <w:rPr>
          <w:i/>
          <w:iCs/>
          <w:noProof/>
        </w:rPr>
        <w:t xml:space="preserve">o link climate action to tangible community benefit, it is paramount to recognise social economy actors in national energy and climate plans, facilitate their access to grids and finance, and take them into account in EU funding initiatives and programmes and plans financed by the EU and managed by Member States. </w:t>
      </w:r>
      <w:r w:rsidRPr="006D31F5">
        <w:rPr>
          <w:i/>
          <w:iCs/>
          <w:noProof/>
        </w:rPr>
        <w:t>The Commission will strengthen the uptake of energy communities through a</w:t>
      </w:r>
      <w:r>
        <w:rPr>
          <w:i/>
          <w:iCs/>
          <w:noProof/>
        </w:rPr>
        <w:t xml:space="preserve"> Commission recommendation on</w:t>
      </w:r>
      <w:r w:rsidRPr="006D31F5">
        <w:rPr>
          <w:i/>
          <w:iCs/>
          <w:noProof/>
        </w:rPr>
        <w:t xml:space="preserve"> energy communities </w:t>
      </w:r>
      <w:r>
        <w:rPr>
          <w:i/>
          <w:iCs/>
          <w:noProof/>
        </w:rPr>
        <w:t>and self-consumption</w:t>
      </w:r>
      <w:r w:rsidRPr="006D31F5">
        <w:rPr>
          <w:i/>
          <w:iCs/>
          <w:noProof/>
        </w:rPr>
        <w:t xml:space="preserve">, as part of the </w:t>
      </w:r>
      <w:r w:rsidRPr="00887FDE">
        <w:rPr>
          <w:b/>
          <w:bCs/>
          <w:i/>
          <w:iCs/>
          <w:noProof/>
        </w:rPr>
        <w:t>citizen energy package</w:t>
      </w:r>
      <w:r w:rsidRPr="006D31F5">
        <w:rPr>
          <w:i/>
          <w:iCs/>
          <w:noProof/>
        </w:rPr>
        <w:t xml:space="preserve">. Among others, </w:t>
      </w:r>
      <w:r w:rsidRPr="00887FDE">
        <w:rPr>
          <w:i/>
          <w:iCs/>
          <w:noProof/>
        </w:rPr>
        <w:t>the plan will promote knowledge sharing and strengthen the evidence base on energy communities, including by</w:t>
      </w:r>
      <w:r w:rsidRPr="00887FDE">
        <w:rPr>
          <w:b/>
          <w:bCs/>
          <w:i/>
          <w:iCs/>
          <w:noProof/>
        </w:rPr>
        <w:t xml:space="preserve"> supporting a dedicated community of practice for public buyers </w:t>
      </w:r>
      <w:r w:rsidRPr="00887FDE">
        <w:rPr>
          <w:i/>
          <w:iCs/>
          <w:noProof/>
        </w:rPr>
        <w:t>and identifying the conditions that enable citizen-led energy initiatives.</w:t>
      </w:r>
      <w:r w:rsidRPr="006D31F5">
        <w:rPr>
          <w:i/>
          <w:iCs/>
          <w:noProof/>
        </w:rPr>
        <w:t xml:space="preserve"> Local authorities can also play a key role as enablers of such initiatives and will be supported to deliver on this potential.</w:t>
      </w:r>
    </w:p>
    <w:p w14:paraId="7BF19103" w14:textId="7C13E5A1" w:rsidR="00690AAA" w:rsidRPr="00AF2E01" w:rsidRDefault="00690AAA" w:rsidP="008E1740">
      <w:pPr>
        <w:shd w:val="clear" w:color="auto" w:fill="FFFFFF" w:themeFill="background1"/>
        <w:spacing w:before="240"/>
        <w:rPr>
          <w:noProof/>
          <w:lang w:val="en-IE"/>
        </w:rPr>
      </w:pPr>
      <w:r w:rsidRPr="5998339D">
        <w:rPr>
          <w:b/>
          <w:bCs/>
          <w:noProof/>
          <w:lang w:val="en-IE"/>
        </w:rPr>
        <w:t xml:space="preserve">State aid </w:t>
      </w:r>
      <w:r w:rsidRPr="5998339D">
        <w:rPr>
          <w:noProof/>
          <w:lang w:val="en-IE"/>
        </w:rPr>
        <w:t xml:space="preserve">is also an important tool to help public authorities support the social economy. </w:t>
      </w:r>
      <w:r>
        <w:rPr>
          <w:noProof/>
          <w:lang w:val="en-IE"/>
        </w:rPr>
        <w:t>For example, s</w:t>
      </w:r>
      <w:r w:rsidRPr="5998339D">
        <w:rPr>
          <w:noProof/>
          <w:lang w:val="en-IE"/>
        </w:rPr>
        <w:t>ocial economy organisations that provide social and health services can encounter limitations in accessing</w:t>
      </w:r>
      <w:r>
        <w:rPr>
          <w:noProof/>
          <w:lang w:val="en-IE"/>
        </w:rPr>
        <w:t xml:space="preserve"> </w:t>
      </w:r>
      <w:r w:rsidRPr="5998339D">
        <w:rPr>
          <w:noProof/>
          <w:lang w:val="en-IE"/>
        </w:rPr>
        <w:t>support</w:t>
      </w:r>
      <w:r>
        <w:rPr>
          <w:noProof/>
          <w:lang w:val="en-IE"/>
        </w:rPr>
        <w:t xml:space="preserve"> </w:t>
      </w:r>
      <w:r w:rsidRPr="5998339D">
        <w:rPr>
          <w:noProof/>
          <w:lang w:val="en-IE"/>
        </w:rPr>
        <w:t xml:space="preserve">due to the overwhelming reliance on the </w:t>
      </w:r>
      <w:r w:rsidRPr="5998339D">
        <w:rPr>
          <w:i/>
          <w:iCs/>
          <w:noProof/>
          <w:lang w:val="en-IE"/>
        </w:rPr>
        <w:t>de minimis</w:t>
      </w:r>
      <w:r w:rsidRPr="5998339D">
        <w:rPr>
          <w:noProof/>
          <w:lang w:val="en-IE"/>
        </w:rPr>
        <w:t xml:space="preserve"> aid ceiling, which allows public authorities to provide aid up to a certain threshold without notifying it to the Commission. While this can help small-scale services, social service providers need more substantial funding opportunities that align with public interest goals</w:t>
      </w:r>
      <w:r>
        <w:rPr>
          <w:noProof/>
          <w:lang w:val="en-IE"/>
        </w:rPr>
        <w:t>,</w:t>
      </w:r>
      <w:r w:rsidRPr="5998339D">
        <w:rPr>
          <w:noProof/>
          <w:lang w:val="en-IE"/>
        </w:rPr>
        <w:t xml:space="preserve"> </w:t>
      </w:r>
      <w:r>
        <w:rPr>
          <w:noProof/>
          <w:lang w:val="en-IE"/>
        </w:rPr>
        <w:t>but those</w:t>
      </w:r>
      <w:r w:rsidRPr="5998339D">
        <w:rPr>
          <w:noProof/>
          <w:lang w:val="en-IE"/>
        </w:rPr>
        <w:t xml:space="preserve"> are perceived as legally risky.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3"/>
      </w:tblGrid>
      <w:tr w:rsidR="00690AAA" w14:paraId="15C7E7A8" w14:textId="77777777" w:rsidTr="007D5F4E">
        <w:trPr>
          <w:trHeight w:val="2250"/>
        </w:trPr>
        <w:tc>
          <w:tcPr>
            <w:tcW w:w="8643" w:type="dxa"/>
            <w:tcBorders>
              <w:top w:val="nil"/>
              <w:left w:val="nil"/>
              <w:bottom w:val="nil"/>
              <w:right w:val="nil"/>
            </w:tcBorders>
            <w:shd w:val="clear" w:color="auto" w:fill="FFF2CC" w:themeFill="accent4" w:themeFillTint="33"/>
          </w:tcPr>
          <w:p w14:paraId="2200177F" w14:textId="77777777" w:rsidR="00690AAA" w:rsidRPr="00866215" w:rsidRDefault="00690AAA">
            <w:pPr>
              <w:spacing w:after="120"/>
              <w:ind w:left="284"/>
              <w:rPr>
                <w:b/>
                <w:bCs/>
                <w:noProof/>
                <w:lang w:val="en-IE"/>
              </w:rPr>
            </w:pPr>
            <w:bookmarkStart w:id="6" w:name="_Hlk222148644"/>
            <w:r w:rsidRPr="00866215">
              <w:rPr>
                <w:b/>
                <w:bCs/>
                <w:noProof/>
                <w:lang w:val="en-IE"/>
              </w:rPr>
              <w:t>The Commission will:</w:t>
            </w:r>
          </w:p>
          <w:p w14:paraId="049EF9A0" w14:textId="77777777" w:rsidR="00690AAA" w:rsidRDefault="00690AAA" w:rsidP="00931F0A">
            <w:pPr>
              <w:pStyle w:val="ListParagraph"/>
              <w:numPr>
                <w:ilvl w:val="0"/>
                <w:numId w:val="49"/>
              </w:numPr>
              <w:spacing w:line="259" w:lineRule="auto"/>
              <w:rPr>
                <w:noProof/>
                <w:lang w:val="en-IE"/>
              </w:rPr>
            </w:pPr>
            <w:r>
              <w:rPr>
                <w:b/>
                <w:bCs/>
                <w:noProof/>
                <w:lang w:val="en-IE"/>
              </w:rPr>
              <w:t>W</w:t>
            </w:r>
            <w:r w:rsidRPr="00AF2E01">
              <w:rPr>
                <w:b/>
                <w:bCs/>
                <w:noProof/>
                <w:lang w:val="en-IE"/>
              </w:rPr>
              <w:t xml:space="preserve">ork on </w:t>
            </w:r>
            <w:r>
              <w:rPr>
                <w:b/>
                <w:bCs/>
                <w:noProof/>
                <w:lang w:val="en-IE"/>
              </w:rPr>
              <w:t>reviewing the General Block Exemption Regulation and clarifying relevant</w:t>
            </w:r>
            <w:r w:rsidRPr="00AF2E01">
              <w:rPr>
                <w:b/>
                <w:bCs/>
                <w:noProof/>
                <w:lang w:val="en-IE"/>
              </w:rPr>
              <w:t xml:space="preserve"> State aid rules </w:t>
            </w:r>
            <w:r w:rsidRPr="008E1740">
              <w:rPr>
                <w:noProof/>
                <w:lang w:val="en-IE"/>
              </w:rPr>
              <w:t xml:space="preserve">to make it simpler and easier for public authorities to finance the social economy beyond </w:t>
            </w:r>
            <w:r w:rsidRPr="008E1740">
              <w:rPr>
                <w:i/>
                <w:iCs/>
                <w:noProof/>
                <w:lang w:val="en-IE"/>
              </w:rPr>
              <w:t>de minimis</w:t>
            </w:r>
            <w:r w:rsidRPr="008E1740">
              <w:rPr>
                <w:noProof/>
                <w:lang w:val="en-IE"/>
              </w:rPr>
              <w:t xml:space="preserve"> aid. (</w:t>
            </w:r>
            <w:r>
              <w:rPr>
                <w:rStyle w:val="EndnoteReference"/>
                <w:noProof/>
                <w:lang w:val="en-IE"/>
              </w:rPr>
              <w:endnoteReference w:id="34"/>
            </w:r>
            <w:r>
              <w:rPr>
                <w:noProof/>
                <w:lang w:val="en-IE"/>
              </w:rPr>
              <w:t>)</w:t>
            </w:r>
          </w:p>
          <w:p w14:paraId="60682107" w14:textId="3FF4881B" w:rsidR="00690AAA" w:rsidRPr="00931F0A" w:rsidRDefault="00690AAA" w:rsidP="00931F0A">
            <w:pPr>
              <w:pStyle w:val="ListParagraph"/>
              <w:numPr>
                <w:ilvl w:val="0"/>
                <w:numId w:val="49"/>
              </w:numPr>
              <w:spacing w:after="0" w:line="259" w:lineRule="auto"/>
              <w:rPr>
                <w:noProof/>
                <w:lang w:val="en-IE"/>
              </w:rPr>
            </w:pPr>
            <w:r>
              <w:rPr>
                <w:b/>
                <w:bCs/>
                <w:noProof/>
                <w:lang w:val="en-IE"/>
              </w:rPr>
              <w:t>D</w:t>
            </w:r>
            <w:r w:rsidRPr="00AF2E01">
              <w:rPr>
                <w:b/>
                <w:bCs/>
                <w:noProof/>
                <w:lang w:val="en-IE"/>
              </w:rPr>
              <w:t>evelop dedicated guidance to assist Member States when designing State aid measures for social support and social investment</w:t>
            </w:r>
            <w:r>
              <w:rPr>
                <w:b/>
                <w:bCs/>
                <w:noProof/>
                <w:lang w:val="en-IE"/>
              </w:rPr>
              <w:t xml:space="preserve">, </w:t>
            </w:r>
            <w:r>
              <w:rPr>
                <w:noProof/>
                <w:lang w:val="en-IE"/>
              </w:rPr>
              <w:t>as announced in the c</w:t>
            </w:r>
            <w:r w:rsidRPr="004760DB">
              <w:rPr>
                <w:noProof/>
                <w:lang w:val="en-IE"/>
              </w:rPr>
              <w:t xml:space="preserve">ommunication </w:t>
            </w:r>
            <w:r>
              <w:rPr>
                <w:noProof/>
                <w:lang w:val="en-IE"/>
              </w:rPr>
              <w:t>on</w:t>
            </w:r>
            <w:r w:rsidRPr="004760DB">
              <w:rPr>
                <w:noProof/>
                <w:lang w:val="en-IE"/>
              </w:rPr>
              <w:t xml:space="preserve"> </w:t>
            </w:r>
            <w:r w:rsidRPr="00B05AE6">
              <w:rPr>
                <w:i/>
                <w:noProof/>
                <w:lang w:val="en-IE"/>
              </w:rPr>
              <w:t>Delivering on the Clean Industrial Deal I</w:t>
            </w:r>
            <w:r w:rsidRPr="005D13F3">
              <w:rPr>
                <w:noProof/>
                <w:lang w:val="en-IE"/>
              </w:rPr>
              <w:t> (</w:t>
            </w:r>
            <w:r>
              <w:rPr>
                <w:rStyle w:val="EndnoteReference"/>
                <w:noProof/>
                <w:lang w:val="en-IE"/>
              </w:rPr>
              <w:endnoteReference w:id="35"/>
            </w:r>
            <w:r>
              <w:rPr>
                <w:noProof/>
                <w:lang w:val="en-IE"/>
              </w:rPr>
              <w:t>)</w:t>
            </w:r>
            <w:r w:rsidRPr="00931F0A">
              <w:rPr>
                <w:noProof/>
                <w:lang w:val="en-IE"/>
              </w:rPr>
              <w:t>.</w:t>
            </w:r>
          </w:p>
        </w:tc>
      </w:tr>
    </w:tbl>
    <w:bookmarkEnd w:id="6"/>
    <w:p w14:paraId="1652FE11" w14:textId="3109A570" w:rsidR="00690AAA" w:rsidRDefault="00690AAA" w:rsidP="00931F0A">
      <w:pPr>
        <w:spacing w:before="240"/>
        <w:rPr>
          <w:noProof/>
          <w:lang w:val="en-IE"/>
        </w:rPr>
      </w:pPr>
      <w:r>
        <w:rPr>
          <w:noProof/>
          <w:lang w:val="en-IE"/>
        </w:rPr>
        <w:t>Finally, t</w:t>
      </w:r>
      <w:r w:rsidRPr="00385E94">
        <w:rPr>
          <w:noProof/>
          <w:lang w:val="en-IE"/>
        </w:rPr>
        <w:t xml:space="preserve">o </w:t>
      </w:r>
      <w:r>
        <w:rPr>
          <w:noProof/>
          <w:lang w:val="en-IE"/>
        </w:rPr>
        <w:t>boost</w:t>
      </w:r>
      <w:r w:rsidRPr="00385E94">
        <w:rPr>
          <w:noProof/>
          <w:lang w:val="en-IE"/>
        </w:rPr>
        <w:t xml:space="preserve"> the competitiveness and performance of social economy organisations in the single market,</w:t>
      </w:r>
      <w:r>
        <w:rPr>
          <w:noProof/>
          <w:lang w:val="en-IE"/>
        </w:rPr>
        <w:t xml:space="preserve"> </w:t>
      </w:r>
      <w:r w:rsidRPr="00935A14">
        <w:rPr>
          <w:noProof/>
        </w:rPr>
        <w:t>additional efforts are needed to ensure legal and fiscal frameworks are better adapted to the specific features of social economy business models.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3"/>
      </w:tblGrid>
      <w:tr w:rsidR="00690AAA" w14:paraId="10DA8C4E" w14:textId="77777777" w:rsidTr="5C57FCC1">
        <w:trPr>
          <w:trHeight w:val="3262"/>
        </w:trPr>
        <w:tc>
          <w:tcPr>
            <w:tcW w:w="8643" w:type="dxa"/>
            <w:tcBorders>
              <w:top w:val="nil"/>
              <w:left w:val="nil"/>
              <w:bottom w:val="nil"/>
              <w:right w:val="nil"/>
            </w:tcBorders>
            <w:shd w:val="clear" w:color="auto" w:fill="FFF2CC" w:themeFill="accent4" w:themeFillTint="33"/>
          </w:tcPr>
          <w:p w14:paraId="52421DBB" w14:textId="77777777" w:rsidR="00690AAA" w:rsidRPr="00866215" w:rsidRDefault="00690AAA">
            <w:pPr>
              <w:spacing w:after="120"/>
              <w:ind w:left="284"/>
              <w:rPr>
                <w:b/>
                <w:bCs/>
                <w:noProof/>
                <w:lang w:val="en-IE"/>
              </w:rPr>
            </w:pPr>
            <w:r w:rsidRPr="00866215">
              <w:rPr>
                <w:b/>
                <w:bCs/>
                <w:noProof/>
                <w:lang w:val="en-IE"/>
              </w:rPr>
              <w:t>The Commission will:</w:t>
            </w:r>
          </w:p>
          <w:p w14:paraId="5AE3133C" w14:textId="6E1BD376" w:rsidR="00690AAA" w:rsidRDefault="00690AAA" w:rsidP="00935A14">
            <w:pPr>
              <w:pStyle w:val="ListParagraph"/>
              <w:numPr>
                <w:ilvl w:val="0"/>
                <w:numId w:val="49"/>
              </w:numPr>
              <w:rPr>
                <w:noProof/>
                <w:lang w:val="en-IE"/>
              </w:rPr>
            </w:pPr>
            <w:r>
              <w:rPr>
                <w:b/>
                <w:bCs/>
                <w:noProof/>
                <w:lang w:val="en-IE"/>
              </w:rPr>
              <w:t>C</w:t>
            </w:r>
            <w:r w:rsidRPr="00385E94">
              <w:rPr>
                <w:b/>
                <w:bCs/>
                <w:noProof/>
                <w:lang w:val="en-IE"/>
              </w:rPr>
              <w:t>ontinue to promote legal frameworks that support the social economy</w:t>
            </w:r>
            <w:r>
              <w:rPr>
                <w:noProof/>
                <w:lang w:val="en-IE"/>
              </w:rPr>
              <w:t xml:space="preserve">. This includes promoting </w:t>
            </w:r>
            <w:r w:rsidRPr="00AF2E01">
              <w:rPr>
                <w:noProof/>
                <w:lang w:val="en-IE"/>
              </w:rPr>
              <w:t xml:space="preserve">worker buy-out schemes through </w:t>
            </w:r>
            <w:r>
              <w:rPr>
                <w:noProof/>
                <w:lang w:val="en-IE"/>
              </w:rPr>
              <w:t>a successful</w:t>
            </w:r>
            <w:r w:rsidRPr="00AF2E01">
              <w:rPr>
                <w:noProof/>
                <w:lang w:val="en-IE"/>
              </w:rPr>
              <w:t xml:space="preserve"> </w:t>
            </w:r>
            <w:r>
              <w:rPr>
                <w:noProof/>
                <w:lang w:val="en-IE"/>
              </w:rPr>
              <w:t xml:space="preserve">implementation of the </w:t>
            </w:r>
            <w:r w:rsidRPr="00AF2E01">
              <w:rPr>
                <w:noProof/>
                <w:lang w:val="en-IE"/>
              </w:rPr>
              <w:t>Commission recommendation on business transfers</w:t>
            </w:r>
            <w:r>
              <w:rPr>
                <w:noProof/>
                <w:lang w:val="en-IE"/>
              </w:rPr>
              <w:t>.</w:t>
            </w:r>
          </w:p>
          <w:p w14:paraId="5465C468" w14:textId="78CDC6F7" w:rsidR="00690AAA" w:rsidRDefault="00690AAA" w:rsidP="00935A14">
            <w:pPr>
              <w:pStyle w:val="ListParagraph"/>
              <w:numPr>
                <w:ilvl w:val="0"/>
                <w:numId w:val="49"/>
              </w:numPr>
              <w:rPr>
                <w:noProof/>
                <w:lang w:val="en-IE"/>
              </w:rPr>
            </w:pPr>
            <w:r>
              <w:rPr>
                <w:b/>
                <w:bCs/>
                <w:noProof/>
                <w:lang w:val="en-IE"/>
              </w:rPr>
              <w:t>Assess the need to i</w:t>
            </w:r>
            <w:r w:rsidRPr="00AF2E01">
              <w:rPr>
                <w:b/>
                <w:bCs/>
                <w:noProof/>
                <w:lang w:val="en-IE"/>
              </w:rPr>
              <w:t xml:space="preserve">mprove targeted legal frameworks </w:t>
            </w:r>
            <w:r w:rsidRPr="00AF2E01">
              <w:rPr>
                <w:noProof/>
                <w:lang w:val="en-IE"/>
              </w:rPr>
              <w:t>where appropriate</w:t>
            </w:r>
            <w:r w:rsidRPr="000E7235">
              <w:rPr>
                <w:noProof/>
                <w:lang w:val="en-IE"/>
              </w:rPr>
              <w:t xml:space="preserve">, </w:t>
            </w:r>
            <w:r w:rsidRPr="00AF2E01">
              <w:rPr>
                <w:noProof/>
                <w:lang w:val="en-IE"/>
              </w:rPr>
              <w:t>such as the European Cooperative Society statute</w:t>
            </w:r>
            <w:r w:rsidRPr="00794FA6">
              <w:rPr>
                <w:noProof/>
                <w:lang w:val="en-IE"/>
              </w:rPr>
              <w:t xml:space="preserve">. </w:t>
            </w:r>
          </w:p>
          <w:p w14:paraId="5F2C9AED" w14:textId="5DDCB135" w:rsidR="00690AAA" w:rsidRDefault="6549D41D" w:rsidP="00935A14">
            <w:pPr>
              <w:pStyle w:val="ListParagraph"/>
              <w:numPr>
                <w:ilvl w:val="0"/>
                <w:numId w:val="49"/>
              </w:numPr>
              <w:rPr>
                <w:noProof/>
                <w:lang w:val="en-IE"/>
              </w:rPr>
            </w:pPr>
            <w:r w:rsidRPr="5C57FCC1">
              <w:rPr>
                <w:b/>
                <w:bCs/>
                <w:noProof/>
                <w:lang w:val="en-IE"/>
              </w:rPr>
              <w:t>Explore though a study whether impact-driven businesses face distinct barriers</w:t>
            </w:r>
            <w:r w:rsidRPr="5C57FCC1">
              <w:rPr>
                <w:noProof/>
                <w:lang w:val="en-IE"/>
              </w:rPr>
              <w:t xml:space="preserve"> such as recognition and access to funding</w:t>
            </w:r>
            <w:r w:rsidR="5B891414" w:rsidRPr="5C57FCC1">
              <w:rPr>
                <w:noProof/>
                <w:lang w:val="en-IE"/>
              </w:rPr>
              <w:t>,</w:t>
            </w:r>
            <w:r w:rsidR="44ED2264" w:rsidRPr="5C57FCC1">
              <w:rPr>
                <w:noProof/>
                <w:lang w:val="en-IE"/>
              </w:rPr>
              <w:t xml:space="preserve"> with the aim of informing possible future policy action to facilitate </w:t>
            </w:r>
            <w:r w:rsidR="700DC08C" w:rsidRPr="5C57FCC1">
              <w:rPr>
                <w:noProof/>
                <w:lang w:val="en-IE"/>
              </w:rPr>
              <w:t xml:space="preserve">the measurement and communication of </w:t>
            </w:r>
            <w:r w:rsidR="44ED2264" w:rsidRPr="5C57FCC1">
              <w:rPr>
                <w:noProof/>
                <w:lang w:val="en-IE"/>
              </w:rPr>
              <w:t>societal impact and other responsible business conduct</w:t>
            </w:r>
            <w:r w:rsidRPr="5C57FCC1">
              <w:rPr>
                <w:noProof/>
                <w:lang w:val="en-IE"/>
              </w:rPr>
              <w:t xml:space="preserve">. </w:t>
            </w:r>
          </w:p>
          <w:p w14:paraId="123B87EF" w14:textId="6C293782" w:rsidR="00690AAA" w:rsidRPr="00935A14" w:rsidRDefault="00690AAA" w:rsidP="00935A14">
            <w:pPr>
              <w:pStyle w:val="ListParagraph"/>
              <w:numPr>
                <w:ilvl w:val="0"/>
                <w:numId w:val="49"/>
              </w:numPr>
              <w:spacing w:after="0"/>
              <w:rPr>
                <w:noProof/>
                <w:lang w:val="en-IE"/>
              </w:rPr>
            </w:pPr>
            <w:r>
              <w:rPr>
                <w:b/>
                <w:bCs/>
                <w:noProof/>
                <w:lang w:val="en-IE"/>
              </w:rPr>
              <w:t>C</w:t>
            </w:r>
            <w:r w:rsidRPr="00794FA6">
              <w:rPr>
                <w:b/>
                <w:bCs/>
                <w:noProof/>
                <w:lang w:val="en-IE"/>
              </w:rPr>
              <w:t>arry out an in-depth analysis of national tax measures for the social economy</w:t>
            </w:r>
            <w:r w:rsidRPr="00794FA6">
              <w:rPr>
                <w:noProof/>
                <w:lang w:val="en-IE"/>
              </w:rPr>
              <w:t xml:space="preserve"> </w:t>
            </w:r>
            <w:r w:rsidRPr="00385E94">
              <w:rPr>
                <w:b/>
                <w:bCs/>
                <w:noProof/>
                <w:lang w:val="en-IE"/>
              </w:rPr>
              <w:t xml:space="preserve">together with the OECD, </w:t>
            </w:r>
            <w:r w:rsidRPr="004A3B8A">
              <w:rPr>
                <w:noProof/>
                <w:lang w:val="en-IE"/>
              </w:rPr>
              <w:t>including tax policies that incentivise investments in social economy organisations</w:t>
            </w:r>
            <w:r w:rsidRPr="00385E94">
              <w:rPr>
                <w:noProof/>
                <w:lang w:val="en-IE"/>
              </w:rPr>
              <w:t>.</w:t>
            </w:r>
          </w:p>
        </w:tc>
      </w:tr>
    </w:tbl>
    <w:p w14:paraId="1DCA0DE5" w14:textId="711D1DA4" w:rsidR="00690AAA" w:rsidRPr="00AF2E01" w:rsidRDefault="00690AAA" w:rsidP="00BE330F">
      <w:pPr>
        <w:pStyle w:val="Heading2"/>
        <w:spacing w:before="240"/>
        <w:rPr>
          <w:b w:val="0"/>
          <w:noProof/>
          <w:color w:val="000000" w:themeColor="text1"/>
          <w:sz w:val="28"/>
          <w:szCs w:val="28"/>
          <w:lang w:val="en-IE"/>
        </w:rPr>
      </w:pPr>
      <w:r w:rsidRPr="00AF2E01">
        <w:rPr>
          <w:noProof/>
          <w:lang w:val="en-IE"/>
        </w:rPr>
        <w:t>Investment, skills and capacity for a robust social economy</w:t>
      </w:r>
    </w:p>
    <w:p w14:paraId="116A0185" w14:textId="76843D55" w:rsidR="00690AAA" w:rsidRDefault="00690AAA" w:rsidP="00092FD2">
      <w:pPr>
        <w:rPr>
          <w:noProof/>
          <w:lang w:val="en-IE"/>
        </w:rPr>
      </w:pPr>
      <w:r w:rsidRPr="002310BD">
        <w:rPr>
          <w:noProof/>
          <w:lang w:val="en-IE"/>
        </w:rPr>
        <w:t>A robust social economy needs both a well-functioning finance ecosystem and strong skills and organisational capacity.</w:t>
      </w:r>
      <w:r>
        <w:rPr>
          <w:noProof/>
          <w:lang w:val="en-IE"/>
        </w:rPr>
        <w:t xml:space="preserve"> </w:t>
      </w:r>
      <w:r w:rsidRPr="002310BD">
        <w:rPr>
          <w:noProof/>
          <w:lang w:val="en-IE"/>
        </w:rPr>
        <w:t>Designing clearer frameworks for social investment and strengthening skills, incubation and entrepreneurship</w:t>
      </w:r>
      <w:r>
        <w:rPr>
          <w:noProof/>
          <w:lang w:val="en-IE"/>
        </w:rPr>
        <w:t xml:space="preserve"> support, as well as dedicated learning pathways for social entrepreneurship,</w:t>
      </w:r>
      <w:r w:rsidRPr="002310BD">
        <w:rPr>
          <w:noProof/>
          <w:lang w:val="en-IE"/>
        </w:rPr>
        <w:t xml:space="preserve"> </w:t>
      </w:r>
      <w:r>
        <w:rPr>
          <w:noProof/>
          <w:lang w:val="en-IE"/>
        </w:rPr>
        <w:t>are</w:t>
      </w:r>
      <w:r w:rsidRPr="002310BD">
        <w:rPr>
          <w:noProof/>
          <w:lang w:val="en-IE"/>
        </w:rPr>
        <w:t xml:space="preserve"> essential to help social economy organisations to </w:t>
      </w:r>
      <w:r>
        <w:rPr>
          <w:noProof/>
          <w:lang w:val="en-IE"/>
        </w:rPr>
        <w:t xml:space="preserve">attract talent, </w:t>
      </w:r>
      <w:r w:rsidRPr="002310BD">
        <w:rPr>
          <w:noProof/>
          <w:lang w:val="en-IE"/>
        </w:rPr>
        <w:t>grow, innovate and respond to urgent social needs</w:t>
      </w:r>
      <w:r>
        <w:rPr>
          <w:noProof/>
          <w:lang w:val="en-IE"/>
        </w:rPr>
        <w:t>.</w:t>
      </w:r>
    </w:p>
    <w:p w14:paraId="279B6F33" w14:textId="30C17682" w:rsidR="00690AAA" w:rsidRPr="00EB50C9" w:rsidRDefault="00690AAA" w:rsidP="00EB50C9">
      <w:pPr>
        <w:spacing w:after="160" w:line="257" w:lineRule="auto"/>
        <w:rPr>
          <w:b/>
          <w:bCs/>
          <w:i/>
          <w:iCs/>
          <w:noProof/>
          <w:lang w:val="en-IE"/>
        </w:rPr>
      </w:pPr>
      <w:r w:rsidRPr="00EB50C9">
        <w:rPr>
          <w:b/>
          <w:bCs/>
          <w:i/>
          <w:iCs/>
          <w:noProof/>
          <w:lang w:val="en-IE"/>
        </w:rPr>
        <w:t xml:space="preserve">Key action area 3: </w:t>
      </w:r>
      <w:r>
        <w:rPr>
          <w:b/>
          <w:bCs/>
          <w:i/>
          <w:iCs/>
          <w:noProof/>
          <w:lang w:val="en-IE"/>
        </w:rPr>
        <w:t>Strengthening</w:t>
      </w:r>
      <w:r w:rsidRPr="00EB50C9">
        <w:rPr>
          <w:b/>
          <w:bCs/>
          <w:i/>
          <w:iCs/>
          <w:noProof/>
          <w:lang w:val="en-IE"/>
        </w:rPr>
        <w:t xml:space="preserve"> the social investment ecosystem</w:t>
      </w:r>
    </w:p>
    <w:p w14:paraId="697C5256" w14:textId="7BDEB379" w:rsidR="00690AAA" w:rsidRDefault="00690AAA" w:rsidP="005833B5">
      <w:pPr>
        <w:rPr>
          <w:noProof/>
          <w:lang w:val="en-IE"/>
        </w:rPr>
      </w:pPr>
      <w:r w:rsidRPr="00C43BD9">
        <w:rPr>
          <w:noProof/>
          <w:lang w:val="en-IE"/>
        </w:rPr>
        <w:t>Due to the diversity of social economy models and the dynamic nature of social impact, social investments cannot be easily captured by fixed definitions or uniform criteria. However, the gradual emergence of shared reference points and reporting practices can reduce uncertainty for investors and intermediaries, improve comparability where necessary, and help to contain transaction costs.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14:paraId="338C12AB" w14:textId="77777777" w:rsidTr="0032626F">
        <w:trPr>
          <w:trHeight w:val="569"/>
        </w:trPr>
        <w:tc>
          <w:tcPr>
            <w:tcW w:w="8594" w:type="dxa"/>
            <w:tcBorders>
              <w:top w:val="nil"/>
              <w:left w:val="nil"/>
              <w:bottom w:val="nil"/>
              <w:right w:val="nil"/>
            </w:tcBorders>
            <w:shd w:val="clear" w:color="auto" w:fill="FFF2CC" w:themeFill="accent4" w:themeFillTint="33"/>
          </w:tcPr>
          <w:p w14:paraId="216BA576" w14:textId="77777777" w:rsidR="00690AAA" w:rsidRDefault="00690AAA" w:rsidP="006526BD">
            <w:pPr>
              <w:spacing w:after="0" w:line="257" w:lineRule="auto"/>
              <w:rPr>
                <w:b/>
                <w:bCs/>
                <w:noProof/>
                <w:lang w:val="en-IE"/>
              </w:rPr>
            </w:pPr>
            <w:r w:rsidRPr="00AF2E01">
              <w:rPr>
                <w:noProof/>
                <w:lang w:val="en-IE"/>
              </w:rPr>
              <w:t>To improve trust and comparability and to enable investments to be directed towards social objectives at scale,</w:t>
            </w:r>
            <w:r w:rsidRPr="00AF2E01">
              <w:rPr>
                <w:b/>
                <w:bCs/>
                <w:noProof/>
                <w:lang w:val="en-IE"/>
              </w:rPr>
              <w:t xml:space="preserve"> the Commission will</w:t>
            </w:r>
            <w:r>
              <w:rPr>
                <w:b/>
                <w:bCs/>
                <w:noProof/>
                <w:lang w:val="en-IE"/>
              </w:rPr>
              <w:t>:</w:t>
            </w:r>
          </w:p>
          <w:p w14:paraId="19E3BB18" w14:textId="7DAE6261" w:rsidR="00690AAA" w:rsidRPr="004A3B8A" w:rsidRDefault="00690AAA" w:rsidP="004A3B8A">
            <w:pPr>
              <w:pStyle w:val="ListParagraph"/>
              <w:numPr>
                <w:ilvl w:val="0"/>
                <w:numId w:val="56"/>
              </w:numPr>
              <w:spacing w:after="0" w:line="257" w:lineRule="auto"/>
              <w:rPr>
                <w:b/>
                <w:bCs/>
                <w:noProof/>
                <w:lang w:val="en-IE"/>
              </w:rPr>
            </w:pPr>
            <w:r w:rsidRPr="001A339C">
              <w:rPr>
                <w:b/>
                <w:bCs/>
                <w:noProof/>
                <w:lang w:val="en-IE"/>
              </w:rPr>
              <w:t>Strengthen the framework for private social investment</w:t>
            </w:r>
            <w:r w:rsidRPr="00E32D1E">
              <w:rPr>
                <w:noProof/>
                <w:lang w:val="en-IE"/>
              </w:rPr>
              <w:t xml:space="preserve"> by consolidating and systematising the most relevant standards, measurement definitions, concepts and methods.</w:t>
            </w:r>
            <w:r w:rsidRPr="00E73518">
              <w:rPr>
                <w:b/>
                <w:noProof/>
                <w:lang w:val="en-IE"/>
              </w:rPr>
              <w:t xml:space="preserve"> </w:t>
            </w:r>
            <w:r w:rsidRPr="00E32D1E">
              <w:rPr>
                <w:noProof/>
                <w:lang w:val="en-IE"/>
              </w:rPr>
              <w:t xml:space="preserve">To this end, </w:t>
            </w:r>
            <w:r>
              <w:rPr>
                <w:b/>
                <w:bCs/>
                <w:noProof/>
                <w:lang w:val="en-IE"/>
              </w:rPr>
              <w:t>it</w:t>
            </w:r>
            <w:r w:rsidRPr="00E73518">
              <w:rPr>
                <w:b/>
                <w:noProof/>
                <w:lang w:val="en-IE"/>
              </w:rPr>
              <w:t xml:space="preserve"> will, in cooperation with the OECD, explore a voluntary, market-led framework </w:t>
            </w:r>
            <w:r>
              <w:rPr>
                <w:b/>
                <w:noProof/>
                <w:lang w:val="en-IE"/>
              </w:rPr>
              <w:t>of</w:t>
            </w:r>
            <w:r w:rsidRPr="00E73518">
              <w:rPr>
                <w:b/>
                <w:noProof/>
                <w:lang w:val="en-IE"/>
              </w:rPr>
              <w:t xml:space="preserve"> investable objectives </w:t>
            </w:r>
            <w:r>
              <w:rPr>
                <w:b/>
                <w:noProof/>
                <w:lang w:val="en-IE"/>
              </w:rPr>
              <w:t>supported by</w:t>
            </w:r>
            <w:r w:rsidRPr="00E73518">
              <w:rPr>
                <w:b/>
                <w:noProof/>
                <w:lang w:val="en-IE"/>
              </w:rPr>
              <w:t xml:space="preserve"> outcome models and indicators.</w:t>
            </w:r>
            <w:r w:rsidRPr="00E32D1E">
              <w:rPr>
                <w:noProof/>
                <w:lang w:val="en-IE"/>
              </w:rPr>
              <w:t xml:space="preserve"> This will help investors design, assess and compare investment strategies consistently and flexibly.</w:t>
            </w:r>
          </w:p>
          <w:p w14:paraId="64AF48E3" w14:textId="18B3C47C" w:rsidR="00690AAA" w:rsidRPr="00450400" w:rsidRDefault="00690AAA" w:rsidP="004A3B8A">
            <w:pPr>
              <w:pStyle w:val="ListParagraph"/>
              <w:numPr>
                <w:ilvl w:val="0"/>
                <w:numId w:val="56"/>
              </w:numPr>
              <w:spacing w:after="0" w:line="257" w:lineRule="auto"/>
              <w:rPr>
                <w:noProof/>
                <w:lang w:val="en-IE"/>
              </w:rPr>
            </w:pPr>
            <w:r w:rsidRPr="004A3B8A">
              <w:rPr>
                <w:b/>
                <w:bCs/>
                <w:noProof/>
                <w:lang w:val="en-IE"/>
              </w:rPr>
              <w:t>Use the upcoming review of the European venture capital funds</w:t>
            </w:r>
            <w:r w:rsidRPr="00450400">
              <w:rPr>
                <w:noProof/>
                <w:lang w:val="en-IE"/>
              </w:rPr>
              <w:t> </w:t>
            </w:r>
            <w:r w:rsidRPr="00450400">
              <w:rPr>
                <w:noProof/>
                <w:vertAlign w:val="superscript"/>
                <w:lang w:val="en-IE"/>
              </w:rPr>
              <w:t>(</w:t>
            </w:r>
            <w:r w:rsidRPr="0051374F">
              <w:rPr>
                <w:noProof/>
                <w:vertAlign w:val="superscript"/>
                <w:lang w:val="en-IE"/>
              </w:rPr>
              <w:endnoteReference w:id="36"/>
            </w:r>
            <w:r w:rsidRPr="00450400">
              <w:rPr>
                <w:noProof/>
                <w:vertAlign w:val="superscript"/>
                <w:lang w:val="en-IE"/>
              </w:rPr>
              <w:t>)</w:t>
            </w:r>
            <w:r w:rsidRPr="00450400">
              <w:rPr>
                <w:noProof/>
                <w:lang w:val="en-IE"/>
              </w:rPr>
              <w:t xml:space="preserve"> (EuVECA) </w:t>
            </w:r>
            <w:r w:rsidRPr="004A3B8A">
              <w:rPr>
                <w:b/>
                <w:bCs/>
                <w:noProof/>
                <w:lang w:val="en-IE"/>
              </w:rPr>
              <w:t xml:space="preserve">regime </w:t>
            </w:r>
            <w:r w:rsidRPr="00B7222C">
              <w:rPr>
                <w:noProof/>
                <w:lang w:val="en-IE"/>
              </w:rPr>
              <w:t>as an opportunity to assess the effectiveness of the regulatory framework for venture and growth capital investors</w:t>
            </w:r>
            <w:r w:rsidRPr="001A339C">
              <w:rPr>
                <w:noProof/>
                <w:lang w:val="en-IE"/>
              </w:rPr>
              <w:t>.</w:t>
            </w:r>
            <w:r w:rsidRPr="00450400">
              <w:rPr>
                <w:noProof/>
                <w:lang w:val="en-IE"/>
              </w:rPr>
              <w:t xml:space="preserve"> Progress in this area will also benefit social impact investment, including users of the European social entrepreneurship fund </w:t>
            </w:r>
            <w:r w:rsidRPr="00450400">
              <w:rPr>
                <w:noProof/>
                <w:vertAlign w:val="superscript"/>
                <w:lang w:val="en-IE"/>
              </w:rPr>
              <w:t>(</w:t>
            </w:r>
            <w:r w:rsidRPr="0051374F">
              <w:rPr>
                <w:noProof/>
                <w:vertAlign w:val="superscript"/>
                <w:lang w:val="en-IE"/>
              </w:rPr>
              <w:endnoteReference w:id="37"/>
            </w:r>
            <w:r w:rsidRPr="00450400">
              <w:rPr>
                <w:noProof/>
                <w:vertAlign w:val="superscript"/>
                <w:lang w:val="en-IE"/>
              </w:rPr>
              <w:t>)</w:t>
            </w:r>
            <w:r w:rsidRPr="00450400">
              <w:rPr>
                <w:noProof/>
                <w:lang w:val="en-IE"/>
              </w:rPr>
              <w:t xml:space="preserve"> (EuSEF) label.</w:t>
            </w:r>
          </w:p>
        </w:tc>
      </w:tr>
    </w:tbl>
    <w:p w14:paraId="2348C0FF" w14:textId="202A907B" w:rsidR="00690AAA" w:rsidRDefault="00690AAA" w:rsidP="00076FD8">
      <w:pPr>
        <w:spacing w:before="240" w:after="160" w:line="257" w:lineRule="auto"/>
        <w:rPr>
          <w:noProof/>
          <w:lang w:val="en-IE"/>
        </w:rPr>
      </w:pPr>
      <w:r w:rsidRPr="46E7F939">
        <w:rPr>
          <w:noProof/>
          <w:lang w:val="en-IE"/>
        </w:rPr>
        <w:t>The social economy needs financing that reflects its governance models, risk-return profiles and often small-</w:t>
      </w:r>
      <w:r>
        <w:rPr>
          <w:noProof/>
          <w:lang w:val="en-IE"/>
        </w:rPr>
        <w:t>scale</w:t>
      </w:r>
      <w:r w:rsidRPr="46E7F939">
        <w:rPr>
          <w:noProof/>
          <w:lang w:val="en-IE"/>
        </w:rPr>
        <w:t xml:space="preserve"> needs. Gaps in the evidence base </w:t>
      </w:r>
      <w:r>
        <w:rPr>
          <w:noProof/>
          <w:lang w:val="en-IE"/>
        </w:rPr>
        <w:t>on</w:t>
      </w:r>
      <w:r w:rsidRPr="46E7F939">
        <w:rPr>
          <w:noProof/>
          <w:lang w:val="en-IE"/>
        </w:rPr>
        <w:t xml:space="preserve"> who finances the social economy, financial product suitability and the impact on beneficiaries restrict the design </w:t>
      </w:r>
      <w:r>
        <w:rPr>
          <w:noProof/>
          <w:lang w:val="en-IE"/>
        </w:rPr>
        <w:t xml:space="preserve">and deployment </w:t>
      </w:r>
      <w:r w:rsidRPr="46E7F939">
        <w:rPr>
          <w:noProof/>
          <w:lang w:val="en-IE"/>
        </w:rPr>
        <w:t>of appropriate financial instruments and their scaling up. Traditional lenders remain cautious, specialist intermediaries lack visibility in the market</w:t>
      </w:r>
      <w:r>
        <w:rPr>
          <w:noProof/>
          <w:lang w:val="en-IE"/>
        </w:rPr>
        <w:t xml:space="preserve">, </w:t>
      </w:r>
      <w:r w:rsidRPr="46E7F939">
        <w:rPr>
          <w:noProof/>
          <w:lang w:val="en-IE"/>
        </w:rPr>
        <w:t>high transaction costs deter smaller investments</w:t>
      </w:r>
      <w:r>
        <w:rPr>
          <w:noProof/>
          <w:lang w:val="en-IE"/>
        </w:rPr>
        <w:t xml:space="preserve"> and</w:t>
      </w:r>
      <w:r w:rsidRPr="46E7F939">
        <w:rPr>
          <w:noProof/>
          <w:lang w:val="en-IE"/>
        </w:rPr>
        <w:t xml:space="preserve"> </w:t>
      </w:r>
      <w:r>
        <w:rPr>
          <w:noProof/>
        </w:rPr>
        <w:t>c</w:t>
      </w:r>
      <w:r w:rsidRPr="00454919">
        <w:rPr>
          <w:noProof/>
        </w:rPr>
        <w:t xml:space="preserve">onstraints </w:t>
      </w:r>
      <w:r>
        <w:rPr>
          <w:noProof/>
        </w:rPr>
        <w:t>on</w:t>
      </w:r>
      <w:r w:rsidRPr="00454919">
        <w:rPr>
          <w:noProof/>
        </w:rPr>
        <w:t xml:space="preserve"> profit redistribution rules</w:t>
      </w:r>
      <w:r>
        <w:rPr>
          <w:noProof/>
        </w:rPr>
        <w:t xml:space="preserve"> in</w:t>
      </w:r>
      <w:r w:rsidRPr="00454919">
        <w:rPr>
          <w:noProof/>
        </w:rPr>
        <w:t xml:space="preserve"> </w:t>
      </w:r>
      <w:r w:rsidRPr="46E7F939">
        <w:rPr>
          <w:noProof/>
          <w:lang w:val="en-IE"/>
        </w:rPr>
        <w:t>social enterprises</w:t>
      </w:r>
      <w:r>
        <w:rPr>
          <w:noProof/>
          <w:lang w:val="en-IE"/>
        </w:rPr>
        <w:t xml:space="preserve"> limit equity investments.</w:t>
      </w:r>
      <w:r w:rsidRPr="46E7F939">
        <w:rPr>
          <w:noProof/>
          <w:lang w:val="en-IE"/>
        </w:rPr>
        <w:t xml:space="preserve"> As the </w:t>
      </w:r>
      <w:r>
        <w:rPr>
          <w:noProof/>
          <w:lang w:val="en-IE"/>
        </w:rPr>
        <w:t>EU</w:t>
      </w:r>
      <w:r w:rsidRPr="46E7F939">
        <w:rPr>
          <w:noProof/>
          <w:lang w:val="en-IE"/>
        </w:rPr>
        <w:t xml:space="preserve"> prepares the next </w:t>
      </w:r>
      <w:r>
        <w:rPr>
          <w:noProof/>
          <w:lang w:val="en-IE"/>
        </w:rPr>
        <w:t>m</w:t>
      </w:r>
      <w:r w:rsidRPr="46E7F939">
        <w:rPr>
          <w:noProof/>
          <w:lang w:val="en-IE"/>
        </w:rPr>
        <w:t xml:space="preserve">ultiannual </w:t>
      </w:r>
      <w:r>
        <w:rPr>
          <w:noProof/>
          <w:lang w:val="en-IE"/>
        </w:rPr>
        <w:t>f</w:t>
      </w:r>
      <w:r w:rsidRPr="46E7F939">
        <w:rPr>
          <w:noProof/>
          <w:lang w:val="en-IE"/>
        </w:rPr>
        <w:t xml:space="preserve">inancial </w:t>
      </w:r>
      <w:r>
        <w:rPr>
          <w:noProof/>
          <w:lang w:val="en-IE"/>
        </w:rPr>
        <w:t>f</w:t>
      </w:r>
      <w:r w:rsidRPr="46E7F939">
        <w:rPr>
          <w:noProof/>
          <w:lang w:val="en-IE"/>
        </w:rPr>
        <w:t xml:space="preserve">ramework, it is </w:t>
      </w:r>
      <w:r>
        <w:rPr>
          <w:noProof/>
          <w:lang w:val="en-IE"/>
        </w:rPr>
        <w:t>crucial</w:t>
      </w:r>
      <w:r w:rsidRPr="46E7F939">
        <w:rPr>
          <w:noProof/>
          <w:lang w:val="en-IE"/>
        </w:rPr>
        <w:t xml:space="preserve"> to devise financing and technical assistance pathways that enable social economy organisations to access finance across territories and make full use of EU funds and instruments.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14:paraId="73E243F3" w14:textId="77777777" w:rsidTr="00E53FEA">
        <w:trPr>
          <w:trHeight w:val="851"/>
        </w:trPr>
        <w:tc>
          <w:tcPr>
            <w:tcW w:w="8594" w:type="dxa"/>
            <w:tcBorders>
              <w:top w:val="nil"/>
              <w:left w:val="nil"/>
              <w:bottom w:val="nil"/>
              <w:right w:val="nil"/>
            </w:tcBorders>
            <w:shd w:val="clear" w:color="auto" w:fill="FFF2CC" w:themeFill="accent4" w:themeFillTint="33"/>
          </w:tcPr>
          <w:p w14:paraId="4E6E6E67" w14:textId="318B93A8" w:rsidR="00690AAA" w:rsidRDefault="00690AAA" w:rsidP="00E53FEA">
            <w:pPr>
              <w:spacing w:after="0" w:line="257" w:lineRule="auto"/>
              <w:rPr>
                <w:noProof/>
                <w:lang w:val="en-IE"/>
              </w:rPr>
            </w:pPr>
            <w:bookmarkStart w:id="7" w:name="_Hlk222150725"/>
            <w:r w:rsidRPr="009245D7">
              <w:rPr>
                <w:noProof/>
                <w:lang w:val="en-IE"/>
              </w:rPr>
              <w:t xml:space="preserve">To </w:t>
            </w:r>
            <w:r>
              <w:rPr>
                <w:noProof/>
                <w:lang w:val="en-IE"/>
              </w:rPr>
              <w:t>better</w:t>
            </w:r>
            <w:r w:rsidRPr="009245D7">
              <w:rPr>
                <w:noProof/>
                <w:lang w:val="en-IE"/>
              </w:rPr>
              <w:t xml:space="preserve"> understand social economy finance and fine-tune financial instruments, </w:t>
            </w:r>
            <w:r w:rsidRPr="00866215">
              <w:rPr>
                <w:b/>
                <w:bCs/>
                <w:noProof/>
                <w:lang w:val="en-IE"/>
              </w:rPr>
              <w:t>the Commission will</w:t>
            </w:r>
            <w:r>
              <w:rPr>
                <w:noProof/>
                <w:lang w:val="en-IE"/>
              </w:rPr>
              <w:t>:</w:t>
            </w:r>
          </w:p>
          <w:p w14:paraId="7D8E55A8" w14:textId="2535D6A2" w:rsidR="00690AAA" w:rsidRDefault="00690AAA" w:rsidP="00E53FEA">
            <w:pPr>
              <w:pStyle w:val="ListParagraph"/>
              <w:numPr>
                <w:ilvl w:val="0"/>
                <w:numId w:val="52"/>
              </w:numPr>
              <w:spacing w:after="0" w:line="257" w:lineRule="auto"/>
              <w:rPr>
                <w:noProof/>
                <w:lang w:val="en-IE"/>
              </w:rPr>
            </w:pPr>
            <w:r w:rsidRPr="000B732A">
              <w:rPr>
                <w:b/>
                <w:bCs/>
                <w:noProof/>
                <w:lang w:val="en-IE"/>
              </w:rPr>
              <w:t>Prepare a report</w:t>
            </w:r>
            <w:r w:rsidRPr="009245D7">
              <w:rPr>
                <w:noProof/>
                <w:lang w:val="en-IE"/>
              </w:rPr>
              <w:t xml:space="preserve"> </w:t>
            </w:r>
            <w:r>
              <w:rPr>
                <w:noProof/>
                <w:lang w:val="en-IE"/>
              </w:rPr>
              <w:t xml:space="preserve">under the InvestEU Advisory Hub </w:t>
            </w:r>
            <w:r w:rsidRPr="000B732A">
              <w:rPr>
                <w:b/>
                <w:bCs/>
                <w:noProof/>
                <w:lang w:val="en-IE"/>
              </w:rPr>
              <w:t>on</w:t>
            </w:r>
            <w:r w:rsidRPr="009245D7">
              <w:rPr>
                <w:noProof/>
                <w:lang w:val="en-IE"/>
              </w:rPr>
              <w:t xml:space="preserve"> </w:t>
            </w:r>
            <w:r w:rsidRPr="000B732A">
              <w:rPr>
                <w:b/>
                <w:bCs/>
                <w:noProof/>
                <w:lang w:val="en-IE"/>
              </w:rPr>
              <w:t xml:space="preserve">financial intermediaries </w:t>
            </w:r>
            <w:r w:rsidRPr="00022748">
              <w:rPr>
                <w:noProof/>
                <w:lang w:val="en-IE"/>
              </w:rPr>
              <w:t>serving social economy organisations</w:t>
            </w:r>
            <w:r w:rsidRPr="009245D7">
              <w:rPr>
                <w:noProof/>
                <w:lang w:val="en-IE"/>
              </w:rPr>
              <w:t xml:space="preserve"> and </w:t>
            </w:r>
            <w:r>
              <w:rPr>
                <w:noProof/>
                <w:lang w:val="en-IE"/>
              </w:rPr>
              <w:t xml:space="preserve">another one </w:t>
            </w:r>
            <w:r w:rsidRPr="009245D7">
              <w:rPr>
                <w:noProof/>
                <w:lang w:val="en-IE"/>
              </w:rPr>
              <w:t xml:space="preserve">with its </w:t>
            </w:r>
            <w:r>
              <w:rPr>
                <w:noProof/>
                <w:lang w:val="en-IE"/>
              </w:rPr>
              <w:t xml:space="preserve">expert group on </w:t>
            </w:r>
            <w:r w:rsidRPr="009245D7">
              <w:rPr>
                <w:noProof/>
                <w:lang w:val="en-IE"/>
              </w:rPr>
              <w:t xml:space="preserve">social economy </w:t>
            </w:r>
            <w:r>
              <w:rPr>
                <w:noProof/>
                <w:lang w:val="en-IE"/>
              </w:rPr>
              <w:t>and social enterprises (GECES)</w:t>
            </w:r>
            <w:r w:rsidRPr="009245D7">
              <w:rPr>
                <w:noProof/>
                <w:lang w:val="en-IE"/>
              </w:rPr>
              <w:t xml:space="preserve"> </w:t>
            </w:r>
            <w:r w:rsidRPr="000B732A">
              <w:rPr>
                <w:b/>
                <w:bCs/>
                <w:noProof/>
                <w:lang w:val="en-IE"/>
              </w:rPr>
              <w:t>on</w:t>
            </w:r>
            <w:r w:rsidRPr="009245D7">
              <w:rPr>
                <w:noProof/>
                <w:lang w:val="en-IE"/>
              </w:rPr>
              <w:t xml:space="preserve"> </w:t>
            </w:r>
            <w:r w:rsidRPr="000B732A">
              <w:rPr>
                <w:b/>
                <w:bCs/>
                <w:noProof/>
                <w:lang w:val="en-IE"/>
              </w:rPr>
              <w:t xml:space="preserve">improving access to finance </w:t>
            </w:r>
            <w:r w:rsidRPr="00E51AED">
              <w:rPr>
                <w:noProof/>
                <w:lang w:val="en-IE"/>
              </w:rPr>
              <w:t>for social economy organisations</w:t>
            </w:r>
            <w:r w:rsidRPr="009245D7">
              <w:rPr>
                <w:noProof/>
                <w:lang w:val="en-IE"/>
              </w:rPr>
              <w:t xml:space="preserve">. </w:t>
            </w:r>
          </w:p>
          <w:p w14:paraId="587911FB" w14:textId="7632C49C" w:rsidR="00690AAA" w:rsidRPr="000477F8" w:rsidRDefault="00690AAA" w:rsidP="00E53FEA">
            <w:pPr>
              <w:pStyle w:val="ListParagraph"/>
              <w:numPr>
                <w:ilvl w:val="0"/>
                <w:numId w:val="52"/>
              </w:numPr>
              <w:spacing w:after="0" w:line="257" w:lineRule="auto"/>
              <w:rPr>
                <w:noProof/>
                <w:lang w:val="en-IE"/>
              </w:rPr>
            </w:pPr>
            <w:r w:rsidRPr="00C02289">
              <w:rPr>
                <w:b/>
                <w:bCs/>
                <w:noProof/>
                <w:lang w:val="en-IE"/>
              </w:rPr>
              <w:t xml:space="preserve">Pilot an assessment </w:t>
            </w:r>
            <w:r>
              <w:rPr>
                <w:b/>
                <w:bCs/>
                <w:noProof/>
                <w:lang w:val="en-IE"/>
              </w:rPr>
              <w:t xml:space="preserve">of impact and outcomes </w:t>
            </w:r>
            <w:r w:rsidRPr="00C02289">
              <w:rPr>
                <w:b/>
                <w:bCs/>
                <w:noProof/>
                <w:lang w:val="en-IE"/>
              </w:rPr>
              <w:t>at beneficiary level</w:t>
            </w:r>
            <w:r>
              <w:rPr>
                <w:b/>
                <w:bCs/>
                <w:noProof/>
                <w:lang w:val="en-IE"/>
              </w:rPr>
              <w:t xml:space="preserve"> </w:t>
            </w:r>
            <w:r w:rsidRPr="00C02289">
              <w:rPr>
                <w:b/>
                <w:bCs/>
                <w:noProof/>
                <w:lang w:val="en-IE"/>
              </w:rPr>
              <w:t>of InvestEU financial instruments</w:t>
            </w:r>
            <w:r>
              <w:rPr>
                <w:b/>
                <w:bCs/>
                <w:noProof/>
                <w:lang w:val="en-IE"/>
              </w:rPr>
              <w:t xml:space="preserve"> for</w:t>
            </w:r>
            <w:r w:rsidRPr="00C02289">
              <w:rPr>
                <w:b/>
                <w:bCs/>
                <w:noProof/>
                <w:lang w:val="en-IE"/>
              </w:rPr>
              <w:t xml:space="preserve"> microfinance and social enterprise</w:t>
            </w:r>
            <w:r w:rsidRPr="000477F8">
              <w:rPr>
                <w:noProof/>
                <w:lang w:val="en-IE"/>
              </w:rPr>
              <w:t>.</w:t>
            </w:r>
          </w:p>
          <w:p w14:paraId="37B39F14" w14:textId="642BFE6D" w:rsidR="00690AAA" w:rsidRDefault="00690AAA" w:rsidP="00E53FEA">
            <w:pPr>
              <w:pStyle w:val="ListParagraph"/>
              <w:numPr>
                <w:ilvl w:val="0"/>
                <w:numId w:val="52"/>
              </w:numPr>
              <w:spacing w:after="0" w:line="257" w:lineRule="auto"/>
              <w:rPr>
                <w:noProof/>
                <w:lang w:val="en-IE"/>
              </w:rPr>
            </w:pPr>
            <w:bookmarkStart w:id="8" w:name="_Hlk223336423"/>
            <w:r w:rsidRPr="00C02289">
              <w:rPr>
                <w:b/>
                <w:bCs/>
                <w:noProof/>
                <w:lang w:val="en-IE"/>
              </w:rPr>
              <w:t xml:space="preserve">Explore the feasibility of replicating innovative solutions to mobilise private </w:t>
            </w:r>
            <w:r w:rsidRPr="008557CC">
              <w:rPr>
                <w:b/>
                <w:bCs/>
                <w:noProof/>
                <w:lang w:val="en-IE"/>
              </w:rPr>
              <w:t>capita</w:t>
            </w:r>
            <w:r w:rsidR="00DC74F5">
              <w:rPr>
                <w:b/>
                <w:bCs/>
                <w:noProof/>
                <w:lang w:val="en-IE"/>
              </w:rPr>
              <w:t>l</w:t>
            </w:r>
            <w:r w:rsidRPr="008557CC">
              <w:rPr>
                <w:noProof/>
                <w:lang w:val="en-IE"/>
              </w:rPr>
              <w:t>,</w:t>
            </w:r>
            <w:r>
              <w:rPr>
                <w:b/>
                <w:bCs/>
                <w:noProof/>
                <w:lang w:val="en-IE"/>
              </w:rPr>
              <w:t xml:space="preserve"> </w:t>
            </w:r>
            <w:r w:rsidRPr="008557CC">
              <w:rPr>
                <w:noProof/>
                <w:lang w:val="en-IE"/>
              </w:rPr>
              <w:t xml:space="preserve">for example by </w:t>
            </w:r>
            <w:r w:rsidRPr="008557CC">
              <w:rPr>
                <w:noProof/>
              </w:rPr>
              <w:t xml:space="preserve">launching a study on the </w:t>
            </w:r>
            <w:r>
              <w:rPr>
                <w:noProof/>
              </w:rPr>
              <w:t xml:space="preserve">potential </w:t>
            </w:r>
            <w:r w:rsidRPr="008557CC">
              <w:rPr>
                <w:noProof/>
              </w:rPr>
              <w:t>use of dormant assets</w:t>
            </w:r>
            <w:r>
              <w:rPr>
                <w:noProof/>
              </w:rPr>
              <w:t xml:space="preserve"> to create public guarantees and</w:t>
            </w:r>
            <w:r w:rsidRPr="008557CC">
              <w:rPr>
                <w:noProof/>
              </w:rPr>
              <w:t xml:space="preserve"> publishing a handbook for asset managers and policymakers on </w:t>
            </w:r>
            <w:r>
              <w:rPr>
                <w:noProof/>
              </w:rPr>
              <w:t xml:space="preserve">replicating </w:t>
            </w:r>
            <w:r w:rsidRPr="008557CC">
              <w:rPr>
                <w:noProof/>
              </w:rPr>
              <w:t>the French 90-10 funds model.</w:t>
            </w:r>
          </w:p>
          <w:bookmarkEnd w:id="8"/>
          <w:p w14:paraId="78446BA3" w14:textId="219937B7" w:rsidR="00690AAA" w:rsidRPr="005833B5" w:rsidRDefault="00690AAA" w:rsidP="00E53FEA">
            <w:pPr>
              <w:pStyle w:val="ListParagraph"/>
              <w:numPr>
                <w:ilvl w:val="0"/>
                <w:numId w:val="52"/>
              </w:numPr>
              <w:spacing w:after="0" w:line="257" w:lineRule="auto"/>
              <w:rPr>
                <w:noProof/>
                <w:lang w:val="en-IE"/>
              </w:rPr>
            </w:pPr>
            <w:r w:rsidRPr="00C02289">
              <w:rPr>
                <w:b/>
                <w:bCs/>
                <w:noProof/>
                <w:lang w:val="en-IE"/>
              </w:rPr>
              <w:t xml:space="preserve">Revise the European Code of Good Conduct for Microcredit Provision </w:t>
            </w:r>
            <w:r>
              <w:rPr>
                <w:noProof/>
                <w:lang w:val="en-IE"/>
              </w:rPr>
              <w:t>so</w:t>
            </w:r>
            <w:r w:rsidRPr="00F2273F">
              <w:rPr>
                <w:noProof/>
                <w:lang w:val="en-IE"/>
              </w:rPr>
              <w:t xml:space="preserve"> that microfinance continues to meet the needs of </w:t>
            </w:r>
            <w:r>
              <w:rPr>
                <w:noProof/>
                <w:lang w:val="en-IE"/>
              </w:rPr>
              <w:t>under-represented</w:t>
            </w:r>
            <w:r w:rsidRPr="00F2273F">
              <w:rPr>
                <w:noProof/>
                <w:lang w:val="en-IE"/>
              </w:rPr>
              <w:t xml:space="preserve"> entrepreneurs</w:t>
            </w:r>
            <w:r>
              <w:rPr>
                <w:noProof/>
                <w:lang w:val="en-IE"/>
              </w:rPr>
              <w:t xml:space="preserve"> and people in vulnerable situations. </w:t>
            </w:r>
            <w:r w:rsidRPr="00F2273F">
              <w:rPr>
                <w:noProof/>
                <w:lang w:val="en-IE"/>
              </w:rPr>
              <w:t xml:space="preserve">The updated Code will </w:t>
            </w:r>
            <w:r>
              <w:rPr>
                <w:noProof/>
                <w:lang w:val="en-IE"/>
              </w:rPr>
              <w:t>aim to</w:t>
            </w:r>
            <w:r w:rsidRPr="00F2273F">
              <w:rPr>
                <w:noProof/>
                <w:lang w:val="en-IE"/>
              </w:rPr>
              <w:t xml:space="preserve"> </w:t>
            </w:r>
            <w:r>
              <w:rPr>
                <w:noProof/>
                <w:lang w:val="en-IE"/>
              </w:rPr>
              <w:t>strengthen</w:t>
            </w:r>
            <w:r w:rsidRPr="00F2273F">
              <w:rPr>
                <w:noProof/>
                <w:lang w:val="en-IE"/>
              </w:rPr>
              <w:t xml:space="preserve"> the social dimension of microfinance</w:t>
            </w:r>
            <w:r>
              <w:rPr>
                <w:noProof/>
                <w:lang w:val="en-IE"/>
              </w:rPr>
              <w:t>,</w:t>
            </w:r>
            <w:r w:rsidRPr="00F2273F">
              <w:rPr>
                <w:noProof/>
                <w:lang w:val="en-IE"/>
              </w:rPr>
              <w:t xml:space="preserve"> align the framework with new realities </w:t>
            </w:r>
            <w:r>
              <w:rPr>
                <w:noProof/>
                <w:lang w:val="en-IE"/>
              </w:rPr>
              <w:t xml:space="preserve">in the social economy and </w:t>
            </w:r>
            <w:r w:rsidRPr="00F2273F">
              <w:rPr>
                <w:noProof/>
                <w:lang w:val="en-IE"/>
              </w:rPr>
              <w:t>mak</w:t>
            </w:r>
            <w:r>
              <w:rPr>
                <w:noProof/>
                <w:lang w:val="en-IE"/>
              </w:rPr>
              <w:t>e</w:t>
            </w:r>
            <w:r w:rsidRPr="00F2273F">
              <w:rPr>
                <w:noProof/>
                <w:lang w:val="en-IE"/>
              </w:rPr>
              <w:t xml:space="preserve"> certification more accessible, efficient and supportive of diverse institutional models.</w:t>
            </w:r>
          </w:p>
        </w:tc>
      </w:tr>
    </w:tbl>
    <w:bookmarkEnd w:id="7"/>
    <w:p w14:paraId="1E3200CF" w14:textId="77777777" w:rsidR="00690AAA" w:rsidRPr="00AF2E01" w:rsidRDefault="00690AAA" w:rsidP="00AA436B">
      <w:pPr>
        <w:pBdr>
          <w:top w:val="single" w:sz="4" w:space="4" w:color="auto"/>
          <w:left w:val="single" w:sz="4" w:space="0" w:color="auto"/>
          <w:bottom w:val="single" w:sz="4" w:space="4" w:color="auto"/>
          <w:right w:val="single" w:sz="4" w:space="4" w:color="auto"/>
        </w:pBdr>
        <w:shd w:val="clear" w:color="auto" w:fill="E2EFD9" w:themeFill="accent6" w:themeFillTint="33"/>
        <w:spacing w:before="240" w:after="120"/>
        <w:rPr>
          <w:b/>
          <w:bCs/>
          <w:i/>
          <w:iCs/>
          <w:noProof/>
          <w:lang w:val="en-IE"/>
        </w:rPr>
      </w:pPr>
      <w:r w:rsidRPr="00AF2E01">
        <w:rPr>
          <w:b/>
          <w:bCs/>
          <w:i/>
          <w:iCs/>
          <w:noProof/>
          <w:lang w:val="en-IE"/>
        </w:rPr>
        <w:t>In focus: The social economy and housing</w:t>
      </w:r>
    </w:p>
    <w:p w14:paraId="5D9E550F" w14:textId="76948898" w:rsidR="00690AAA" w:rsidRPr="00421672" w:rsidRDefault="00690AAA" w:rsidP="00AA436B">
      <w:pPr>
        <w:pBdr>
          <w:top w:val="single" w:sz="4" w:space="4" w:color="auto"/>
          <w:left w:val="single" w:sz="4" w:space="0" w:color="auto"/>
          <w:bottom w:val="single" w:sz="4" w:space="4" w:color="auto"/>
          <w:right w:val="single" w:sz="4" w:space="4" w:color="auto"/>
        </w:pBdr>
        <w:shd w:val="clear" w:color="auto" w:fill="E2EFD9" w:themeFill="accent6" w:themeFillTint="33"/>
        <w:spacing w:after="0" w:line="259" w:lineRule="auto"/>
        <w:rPr>
          <w:i/>
          <w:noProof/>
        </w:rPr>
      </w:pPr>
      <w:r w:rsidRPr="1EEF931C">
        <w:rPr>
          <w:i/>
          <w:noProof/>
        </w:rPr>
        <w:t>Social economy organisations play a</w:t>
      </w:r>
      <w:r w:rsidRPr="1EEF931C" w:rsidDel="434E8795">
        <w:rPr>
          <w:i/>
          <w:noProof/>
        </w:rPr>
        <w:t xml:space="preserve"> </w:t>
      </w:r>
      <w:r>
        <w:rPr>
          <w:i/>
          <w:noProof/>
        </w:rPr>
        <w:t xml:space="preserve">major </w:t>
      </w:r>
      <w:r w:rsidRPr="1EEF931C">
        <w:rPr>
          <w:i/>
          <w:noProof/>
        </w:rPr>
        <w:t xml:space="preserve">role in providing </w:t>
      </w:r>
      <w:r>
        <w:rPr>
          <w:i/>
          <w:noProof/>
        </w:rPr>
        <w:t xml:space="preserve">and financing </w:t>
      </w:r>
      <w:r w:rsidRPr="1EEF931C">
        <w:rPr>
          <w:i/>
          <w:noProof/>
        </w:rPr>
        <w:t xml:space="preserve">access to affordable, community-led and socially inclusive </w:t>
      </w:r>
      <w:r>
        <w:rPr>
          <w:i/>
          <w:noProof/>
        </w:rPr>
        <w:t xml:space="preserve">and accessible </w:t>
      </w:r>
      <w:r w:rsidRPr="1EEF931C">
        <w:rPr>
          <w:i/>
          <w:noProof/>
        </w:rPr>
        <w:t>housing solution</w:t>
      </w:r>
      <w:r>
        <w:rPr>
          <w:i/>
          <w:noProof/>
        </w:rPr>
        <w:t>s</w:t>
      </w:r>
      <w:r w:rsidRPr="1EEF931C">
        <w:rPr>
          <w:i/>
          <w:noProof/>
        </w:rPr>
        <w:t xml:space="preserve">. Models such as non-profit or limited-profit housing associations, cooperatives, foundations and community land trusts can build, promote, own or manage housing units, while reinvesting surpluses and enabling residents to participate directly in </w:t>
      </w:r>
      <w:r>
        <w:rPr>
          <w:i/>
          <w:noProof/>
        </w:rPr>
        <w:t xml:space="preserve">how they are </w:t>
      </w:r>
      <w:r w:rsidRPr="1EEF931C">
        <w:rPr>
          <w:i/>
          <w:noProof/>
        </w:rPr>
        <w:t>govern</w:t>
      </w:r>
      <w:r>
        <w:rPr>
          <w:i/>
          <w:noProof/>
        </w:rPr>
        <w:t>ed</w:t>
      </w:r>
      <w:r w:rsidRPr="1EEF931C">
        <w:rPr>
          <w:i/>
          <w:noProof/>
        </w:rPr>
        <w:t xml:space="preserve">. These organisations can help </w:t>
      </w:r>
      <w:r>
        <w:rPr>
          <w:i/>
          <w:noProof/>
        </w:rPr>
        <w:t>reduce</w:t>
      </w:r>
      <w:r w:rsidRPr="1EEF931C">
        <w:rPr>
          <w:i/>
          <w:noProof/>
        </w:rPr>
        <w:t xml:space="preserve"> ongoing housing shortages and </w:t>
      </w:r>
      <w:r>
        <w:rPr>
          <w:i/>
          <w:noProof/>
        </w:rPr>
        <w:t xml:space="preserve">price volatility, keeping prices affordable in the long-term. They can also </w:t>
      </w:r>
      <w:r w:rsidRPr="1EEF931C">
        <w:rPr>
          <w:i/>
          <w:noProof/>
        </w:rPr>
        <w:t>develop inclusive neighbourhoods by combining housing with employment opportunities and social and community services in rural and urban areas. Including</w:t>
      </w:r>
      <w:r w:rsidRPr="1EEF931C" w:rsidDel="4C93AF25">
        <w:rPr>
          <w:i/>
          <w:noProof/>
        </w:rPr>
        <w:t xml:space="preserve"> </w:t>
      </w:r>
      <w:r w:rsidRPr="1EEF931C">
        <w:rPr>
          <w:i/>
          <w:noProof/>
        </w:rPr>
        <w:t xml:space="preserve">social economy </w:t>
      </w:r>
      <w:r>
        <w:rPr>
          <w:i/>
          <w:noProof/>
        </w:rPr>
        <w:t>organisations</w:t>
      </w:r>
      <w:r w:rsidRPr="1EEF931C">
        <w:rPr>
          <w:i/>
          <w:noProof/>
        </w:rPr>
        <w:t xml:space="preserve"> in housing</w:t>
      </w:r>
      <w:r w:rsidRPr="1EEF931C" w:rsidDel="4C93AF25">
        <w:rPr>
          <w:i/>
          <w:noProof/>
        </w:rPr>
        <w:t xml:space="preserve"> </w:t>
      </w:r>
      <w:r w:rsidRPr="1EEF931C">
        <w:rPr>
          <w:i/>
          <w:noProof/>
        </w:rPr>
        <w:t xml:space="preserve">strategies, helping them to overcome </w:t>
      </w:r>
      <w:r>
        <w:rPr>
          <w:i/>
          <w:noProof/>
        </w:rPr>
        <w:t xml:space="preserve">technical, </w:t>
      </w:r>
      <w:r w:rsidRPr="1EEF931C">
        <w:rPr>
          <w:i/>
          <w:noProof/>
        </w:rPr>
        <w:t xml:space="preserve">regulatory </w:t>
      </w:r>
      <w:r>
        <w:rPr>
          <w:i/>
          <w:noProof/>
        </w:rPr>
        <w:t xml:space="preserve">and legislative </w:t>
      </w:r>
      <w:r w:rsidRPr="1EEF931C">
        <w:rPr>
          <w:i/>
          <w:noProof/>
        </w:rPr>
        <w:t>barriers and facilitating their access to suitable finance</w:t>
      </w:r>
      <w:r>
        <w:rPr>
          <w:i/>
          <w:noProof/>
        </w:rPr>
        <w:t>,</w:t>
      </w:r>
      <w:r w:rsidRPr="1EEF931C" w:rsidDel="4C93AF25">
        <w:rPr>
          <w:i/>
          <w:noProof/>
        </w:rPr>
        <w:t xml:space="preserve"> could </w:t>
      </w:r>
      <w:r>
        <w:rPr>
          <w:i/>
          <w:noProof/>
        </w:rPr>
        <w:t>enable</w:t>
      </w:r>
      <w:r w:rsidRPr="1EEF931C" w:rsidDel="4C93AF25">
        <w:rPr>
          <w:i/>
          <w:noProof/>
        </w:rPr>
        <w:t xml:space="preserve"> t</w:t>
      </w:r>
      <w:r>
        <w:rPr>
          <w:i/>
          <w:noProof/>
        </w:rPr>
        <w:t xml:space="preserve">hem to </w:t>
      </w:r>
      <w:r w:rsidRPr="1EEF931C" w:rsidDel="4C93AF25">
        <w:rPr>
          <w:i/>
          <w:noProof/>
        </w:rPr>
        <w:t>contribut</w:t>
      </w:r>
      <w:r>
        <w:rPr>
          <w:i/>
          <w:noProof/>
        </w:rPr>
        <w:t>e</w:t>
      </w:r>
      <w:r w:rsidRPr="1EEF931C" w:rsidDel="4C93AF25">
        <w:rPr>
          <w:i/>
          <w:noProof/>
        </w:rPr>
        <w:t xml:space="preserve"> </w:t>
      </w:r>
      <w:r>
        <w:rPr>
          <w:i/>
          <w:noProof/>
        </w:rPr>
        <w:t xml:space="preserve">more </w:t>
      </w:r>
      <w:r w:rsidRPr="1EEF931C" w:rsidDel="4C93AF25">
        <w:rPr>
          <w:i/>
          <w:noProof/>
        </w:rPr>
        <w:t xml:space="preserve">to </w:t>
      </w:r>
      <w:r>
        <w:rPr>
          <w:i/>
          <w:noProof/>
        </w:rPr>
        <w:t xml:space="preserve">making </w:t>
      </w:r>
      <w:r w:rsidRPr="1EEF931C" w:rsidDel="4C93AF25">
        <w:rPr>
          <w:i/>
          <w:noProof/>
        </w:rPr>
        <w:t>the right to decent, affordable</w:t>
      </w:r>
      <w:r>
        <w:rPr>
          <w:i/>
          <w:noProof/>
        </w:rPr>
        <w:t xml:space="preserve">, sustainable and quality </w:t>
      </w:r>
      <w:r w:rsidRPr="1EEF931C" w:rsidDel="4C93AF25">
        <w:rPr>
          <w:i/>
          <w:noProof/>
        </w:rPr>
        <w:t xml:space="preserve">housing in </w:t>
      </w:r>
      <w:r>
        <w:rPr>
          <w:i/>
          <w:noProof/>
        </w:rPr>
        <w:t>every country, especially in areas under housing pressure and for vulnerable groups</w:t>
      </w:r>
      <w:r w:rsidRPr="1EEF931C">
        <w:rPr>
          <w:i/>
          <w:noProof/>
        </w:rPr>
        <w:t xml:space="preserve">. </w:t>
      </w:r>
      <w:r w:rsidRPr="00421672">
        <w:rPr>
          <w:b/>
          <w:bCs/>
          <w:i/>
          <w:noProof/>
        </w:rPr>
        <w:t>The European affordable housing plan (</w:t>
      </w:r>
      <w:r w:rsidRPr="00421672">
        <w:rPr>
          <w:rStyle w:val="EndnoteReference"/>
          <w:b/>
          <w:bCs/>
          <w:i/>
          <w:noProof/>
        </w:rPr>
        <w:endnoteReference w:id="38"/>
      </w:r>
      <w:r w:rsidRPr="00421672">
        <w:rPr>
          <w:b/>
          <w:bCs/>
          <w:i/>
          <w:noProof/>
        </w:rPr>
        <w:t>) sets out a comprehensive framework for action at all levels and financial opportunities in this regard</w:t>
      </w:r>
      <w:r>
        <w:rPr>
          <w:b/>
          <w:bCs/>
          <w:i/>
          <w:iCs/>
          <w:noProof/>
        </w:rPr>
        <w:t xml:space="preserve"> and</w:t>
      </w:r>
      <w:r w:rsidRPr="00421672">
        <w:rPr>
          <w:b/>
          <w:bCs/>
          <w:i/>
          <w:iCs/>
          <w:noProof/>
        </w:rPr>
        <w:t xml:space="preserve"> highlights that the Commission will facilitate investments in non-profit and limited-profit housing providers.</w:t>
      </w:r>
    </w:p>
    <w:p w14:paraId="6D2BC486" w14:textId="1080C2E3" w:rsidR="00690AAA" w:rsidRPr="00AF2E01" w:rsidRDefault="00690AAA" w:rsidP="00A45435">
      <w:pPr>
        <w:spacing w:before="240" w:after="160" w:line="257" w:lineRule="auto"/>
        <w:rPr>
          <w:b/>
          <w:bCs/>
          <w:i/>
          <w:iCs/>
          <w:noProof/>
          <w:lang w:val="en-IE"/>
        </w:rPr>
      </w:pPr>
      <w:r w:rsidRPr="00AF2E01">
        <w:rPr>
          <w:b/>
          <w:bCs/>
          <w:i/>
          <w:iCs/>
          <w:noProof/>
          <w:lang w:val="en-IE"/>
        </w:rPr>
        <w:t>Key action area 4: Scaling up skills, training and entrepreneurship</w:t>
      </w:r>
    </w:p>
    <w:p w14:paraId="4D4D5D31" w14:textId="7636AD4D" w:rsidR="00690AAA" w:rsidRDefault="00690AAA" w:rsidP="005833B5">
      <w:pPr>
        <w:rPr>
          <w:noProof/>
        </w:rPr>
      </w:pPr>
      <w:r>
        <w:rPr>
          <w:noProof/>
        </w:rPr>
        <w:t>S</w:t>
      </w:r>
      <w:r w:rsidRPr="00C84558">
        <w:rPr>
          <w:noProof/>
        </w:rPr>
        <w:t xml:space="preserve">ocial entrepreneurship is not systematically </w:t>
      </w:r>
      <w:r>
        <w:rPr>
          <w:noProof/>
        </w:rPr>
        <w:t>taught in formal education</w:t>
      </w:r>
      <w:r w:rsidRPr="00C84558">
        <w:rPr>
          <w:noProof/>
        </w:rPr>
        <w:t xml:space="preserve">, and many social economy organisations, especially at the start-up and scale-up stages, still lack access to tailored skills development and organisational support. </w:t>
      </w:r>
      <w:r>
        <w:rPr>
          <w:noProof/>
        </w:rPr>
        <w:t>Support for inclusive entrepreneurship is inconsistent</w:t>
      </w:r>
      <w:r w:rsidRPr="00C84558">
        <w:rPr>
          <w:noProof/>
        </w:rPr>
        <w:t xml:space="preserve"> and often does not adequately reflect social economy models, particularly for aspiring entrepreneurs from under-represented groups who </w:t>
      </w:r>
      <w:r>
        <w:rPr>
          <w:noProof/>
        </w:rPr>
        <w:t>encounter</w:t>
      </w:r>
      <w:r w:rsidRPr="00C84558">
        <w:rPr>
          <w:noProof/>
        </w:rPr>
        <w:t xml:space="preserve"> hidden barriers </w:t>
      </w:r>
      <w:r>
        <w:rPr>
          <w:noProof/>
        </w:rPr>
        <w:t>when trying to</w:t>
      </w:r>
      <w:r w:rsidRPr="00C84558">
        <w:rPr>
          <w:noProof/>
        </w:rPr>
        <w:t xml:space="preserve"> access incubation services, networks and finance.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14:paraId="56C3FAA0" w14:textId="77777777" w:rsidTr="00770CDE">
        <w:trPr>
          <w:trHeight w:val="2890"/>
        </w:trPr>
        <w:tc>
          <w:tcPr>
            <w:tcW w:w="8594" w:type="dxa"/>
            <w:tcBorders>
              <w:top w:val="nil"/>
              <w:left w:val="nil"/>
              <w:bottom w:val="nil"/>
              <w:right w:val="nil"/>
            </w:tcBorders>
            <w:shd w:val="clear" w:color="auto" w:fill="FFF2CC" w:themeFill="accent4" w:themeFillTint="33"/>
          </w:tcPr>
          <w:p w14:paraId="79D8E04F" w14:textId="21576C41" w:rsidR="00690AAA" w:rsidRPr="00866215" w:rsidRDefault="00690AAA" w:rsidP="00300512">
            <w:pPr>
              <w:spacing w:after="160" w:line="259" w:lineRule="auto"/>
              <w:rPr>
                <w:noProof/>
              </w:rPr>
            </w:pPr>
            <w:bookmarkStart w:id="9" w:name="_Hlk222151794"/>
            <w:r>
              <w:rPr>
                <w:noProof/>
              </w:rPr>
              <w:t xml:space="preserve">In line with the vision outlined in the Union of Skills, </w:t>
            </w:r>
            <w:r w:rsidRPr="00D37492">
              <w:rPr>
                <w:b/>
                <w:bCs/>
                <w:noProof/>
              </w:rPr>
              <w:t>the Commission will</w:t>
            </w:r>
            <w:r w:rsidRPr="00866215">
              <w:rPr>
                <w:noProof/>
              </w:rPr>
              <w:t>:</w:t>
            </w:r>
          </w:p>
          <w:p w14:paraId="10223D0D" w14:textId="1281C910" w:rsidR="00690AAA" w:rsidRDefault="00690AAA" w:rsidP="00300512">
            <w:pPr>
              <w:pStyle w:val="ListParagraph"/>
              <w:numPr>
                <w:ilvl w:val="0"/>
                <w:numId w:val="53"/>
              </w:numPr>
              <w:spacing w:after="160" w:line="259" w:lineRule="auto"/>
              <w:rPr>
                <w:noProof/>
              </w:rPr>
            </w:pPr>
            <w:r>
              <w:rPr>
                <w:b/>
                <w:noProof/>
              </w:rPr>
              <w:t>P</w:t>
            </w:r>
            <w:r w:rsidRPr="00395630">
              <w:rPr>
                <w:b/>
                <w:noProof/>
              </w:rPr>
              <w:t xml:space="preserve">romote social and inclusive business incubation models </w:t>
            </w:r>
            <w:r>
              <w:rPr>
                <w:b/>
                <w:noProof/>
              </w:rPr>
              <w:t>via</w:t>
            </w:r>
            <w:r w:rsidRPr="00395630">
              <w:rPr>
                <w:b/>
                <w:noProof/>
              </w:rPr>
              <w:t xml:space="preserve"> a dedicated call for proposals</w:t>
            </w:r>
            <w:r w:rsidRPr="00770CDE">
              <w:rPr>
                <w:bCs/>
                <w:noProof/>
              </w:rPr>
              <w:t>,</w:t>
            </w:r>
            <w:r>
              <w:rPr>
                <w:bCs/>
                <w:noProof/>
              </w:rPr>
              <w:t xml:space="preserve"> </w:t>
            </w:r>
            <w:r w:rsidRPr="00657655">
              <w:rPr>
                <w:bCs/>
                <w:noProof/>
              </w:rPr>
              <w:t xml:space="preserve">and </w:t>
            </w:r>
            <w:r w:rsidRPr="00770CDE">
              <w:rPr>
                <w:b/>
                <w:noProof/>
              </w:rPr>
              <w:t>support recognised competence frameworks for social entrepreneurship</w:t>
            </w:r>
            <w:r>
              <w:rPr>
                <w:bCs/>
                <w:noProof/>
              </w:rPr>
              <w:t>, inter alia through mutual learning actions</w:t>
            </w:r>
            <w:r w:rsidRPr="00657655">
              <w:rPr>
                <w:bCs/>
                <w:noProof/>
              </w:rPr>
              <w:t>.</w:t>
            </w:r>
          </w:p>
          <w:p w14:paraId="34F93070" w14:textId="72EA9A6B" w:rsidR="00690AAA" w:rsidRPr="00300512" w:rsidRDefault="00690AAA" w:rsidP="00300512">
            <w:pPr>
              <w:pStyle w:val="ListParagraph"/>
              <w:numPr>
                <w:ilvl w:val="0"/>
                <w:numId w:val="53"/>
              </w:numPr>
              <w:spacing w:after="0" w:line="257" w:lineRule="auto"/>
              <w:rPr>
                <w:noProof/>
                <w:lang w:val="en-IE"/>
              </w:rPr>
            </w:pPr>
            <w:bookmarkStart w:id="10" w:name="_Hlk223336777"/>
            <w:r>
              <w:rPr>
                <w:noProof/>
                <w:lang w:val="en-IE"/>
              </w:rPr>
              <w:t xml:space="preserve">Together with the OECD, </w:t>
            </w:r>
            <w:r w:rsidRPr="00A347D6">
              <w:rPr>
                <w:b/>
                <w:bCs/>
                <w:noProof/>
                <w:lang w:val="en-IE"/>
              </w:rPr>
              <w:t>improve the knowledge base on social and inclusive entrepreneurship</w:t>
            </w:r>
            <w:r>
              <w:rPr>
                <w:noProof/>
                <w:lang w:val="en-IE"/>
              </w:rPr>
              <w:t xml:space="preserve"> through studies on integrating </w:t>
            </w:r>
            <w:r w:rsidRPr="00D12335">
              <w:rPr>
                <w:noProof/>
                <w:lang w:val="en-IE"/>
              </w:rPr>
              <w:t xml:space="preserve">social entrepreneurship </w:t>
            </w:r>
            <w:r>
              <w:rPr>
                <w:noProof/>
                <w:lang w:val="en-IE"/>
              </w:rPr>
              <w:t>in</w:t>
            </w:r>
            <w:r w:rsidRPr="00D12335">
              <w:rPr>
                <w:noProof/>
                <w:lang w:val="en-IE"/>
              </w:rPr>
              <w:t>to national curricula and learning pathways</w:t>
            </w:r>
            <w:r>
              <w:rPr>
                <w:noProof/>
                <w:lang w:val="en-IE"/>
              </w:rPr>
              <w:t>,</w:t>
            </w:r>
            <w:r w:rsidRPr="00D12335">
              <w:rPr>
                <w:noProof/>
                <w:lang w:val="en-IE"/>
              </w:rPr>
              <w:t xml:space="preserve"> </w:t>
            </w:r>
            <w:r>
              <w:rPr>
                <w:noProof/>
                <w:lang w:val="en-IE"/>
              </w:rPr>
              <w:t xml:space="preserve">the role of </w:t>
            </w:r>
            <w:r w:rsidRPr="00D12335">
              <w:rPr>
                <w:noProof/>
                <w:lang w:val="en-IE"/>
              </w:rPr>
              <w:t>social entrepreneurship</w:t>
            </w:r>
            <w:r>
              <w:rPr>
                <w:noProof/>
                <w:lang w:val="en-IE"/>
              </w:rPr>
              <w:t xml:space="preserve"> in activating NEETs and</w:t>
            </w:r>
            <w:r w:rsidRPr="00D12335">
              <w:rPr>
                <w:noProof/>
                <w:lang w:val="en-IE"/>
              </w:rPr>
              <w:t xml:space="preserve"> formalising work</w:t>
            </w:r>
            <w:r>
              <w:rPr>
                <w:noProof/>
                <w:lang w:val="en-IE"/>
              </w:rPr>
              <w:t>,</w:t>
            </w:r>
            <w:r w:rsidRPr="00D12335">
              <w:rPr>
                <w:noProof/>
                <w:lang w:val="en-IE"/>
              </w:rPr>
              <w:t xml:space="preserve"> and a new edition of the Missing Entrepreneurs report.</w:t>
            </w:r>
            <w:bookmarkEnd w:id="10"/>
          </w:p>
        </w:tc>
      </w:tr>
    </w:tbl>
    <w:bookmarkEnd w:id="9"/>
    <w:p w14:paraId="14AECDAA" w14:textId="77777777" w:rsidR="00690AAA" w:rsidRPr="002E5A2C" w:rsidRDefault="00690AAA" w:rsidP="00AA436B">
      <w:pPr>
        <w:pBdr>
          <w:top w:val="single" w:sz="4" w:space="4" w:color="auto"/>
          <w:left w:val="single" w:sz="4" w:space="4" w:color="auto"/>
          <w:bottom w:val="single" w:sz="4" w:space="4" w:color="auto"/>
          <w:right w:val="single" w:sz="4" w:space="4" w:color="auto"/>
        </w:pBdr>
        <w:shd w:val="clear" w:color="auto" w:fill="E2EFD9" w:themeFill="accent6" w:themeFillTint="33"/>
        <w:spacing w:before="240" w:after="120"/>
        <w:rPr>
          <w:b/>
          <w:bCs/>
          <w:i/>
          <w:iCs/>
          <w:noProof/>
          <w:lang w:val="en-IE"/>
        </w:rPr>
      </w:pPr>
      <w:r w:rsidRPr="002E5A2C">
        <w:rPr>
          <w:b/>
          <w:bCs/>
          <w:i/>
          <w:iCs/>
          <w:noProof/>
          <w:lang w:val="en-IE"/>
        </w:rPr>
        <w:t>In focus: The social economy and digital transformation</w:t>
      </w:r>
    </w:p>
    <w:p w14:paraId="1114B513" w14:textId="77777777" w:rsidR="00690AAA" w:rsidRPr="002E5A2C" w:rsidRDefault="00690AAA" w:rsidP="00421672">
      <w:pPr>
        <w:pBdr>
          <w:top w:val="single" w:sz="4" w:space="4" w:color="auto"/>
          <w:left w:val="single" w:sz="4" w:space="4" w:color="auto"/>
          <w:bottom w:val="single" w:sz="4" w:space="4" w:color="auto"/>
          <w:right w:val="single" w:sz="4" w:space="4" w:color="auto"/>
        </w:pBdr>
        <w:shd w:val="clear" w:color="auto" w:fill="E2EFD9" w:themeFill="accent6" w:themeFillTint="33"/>
        <w:spacing w:after="0" w:line="256" w:lineRule="auto"/>
        <w:rPr>
          <w:i/>
          <w:noProof/>
          <w:lang w:val="en-IE"/>
        </w:rPr>
      </w:pPr>
      <w:r w:rsidRPr="002E5A2C">
        <w:rPr>
          <w:i/>
          <w:iCs/>
          <w:noProof/>
          <w:lang w:val="en-IE"/>
        </w:rPr>
        <w:t xml:space="preserve">Social economy organisations are developing and using trustworthy, inclusive digital solutions that serve the public interest and reduce the digital divide. Their governance structures make them ideal champions of responsible data stewardship, from digital platform cooperatives to social tech companies that promote accessibility, care and education. They treat data as a shared resource, ensuring that information is gathered, used and manage in a way that respects privacy, fundamental rights, transparency and the interests of the community. Furthermore, </w:t>
      </w:r>
      <w:r w:rsidRPr="002E5A2C">
        <w:rPr>
          <w:b/>
          <w:bCs/>
          <w:i/>
          <w:iCs/>
          <w:noProof/>
          <w:lang w:val="en-IE"/>
        </w:rPr>
        <w:t xml:space="preserve">social economy organisations help workers and beneficiaries to develop their digital capabilities and skills, promoting a digital ecosystem in which technology improves both social cohesion and competitiveness. </w:t>
      </w:r>
      <w:r w:rsidRPr="002E5A2C">
        <w:rPr>
          <w:i/>
          <w:iCs/>
          <w:noProof/>
          <w:lang w:val="en-IE"/>
        </w:rPr>
        <w:t>The Commission will strengthen the evidence base on digitalisation and artificial intelligence in the social economy to support the adoption of trustworthy, accessible and inclusive technologies, including distributed-ledger technologies, and better understand their implications for the organisations and their workforce.</w:t>
      </w:r>
    </w:p>
    <w:p w14:paraId="2A1105EA" w14:textId="1F091AA3" w:rsidR="00690AAA" w:rsidRPr="00AF2E01" w:rsidRDefault="00690AAA" w:rsidP="00634403">
      <w:pPr>
        <w:pStyle w:val="Heading2"/>
        <w:tabs>
          <w:tab w:val="clear" w:pos="1202"/>
          <w:tab w:val="num" w:pos="720"/>
        </w:tabs>
        <w:spacing w:before="240"/>
        <w:ind w:left="720"/>
        <w:rPr>
          <w:noProof/>
          <w:lang w:val="en-IE"/>
        </w:rPr>
      </w:pPr>
      <w:r w:rsidRPr="00AF2E01">
        <w:rPr>
          <w:bCs/>
          <w:noProof/>
          <w:lang w:val="en-IE"/>
        </w:rPr>
        <w:t>Evidence, visibility and knowledge for a recognised social economy</w:t>
      </w:r>
    </w:p>
    <w:p w14:paraId="4F297863" w14:textId="6B9BA459" w:rsidR="00690AAA" w:rsidRDefault="00690AAA" w:rsidP="009A6642">
      <w:pPr>
        <w:rPr>
          <w:rFonts w:eastAsia="Times New Roman Bold"/>
          <w:noProof/>
          <w:lang w:val="en-IE"/>
        </w:rPr>
      </w:pPr>
      <w:r w:rsidRPr="00AF2E01">
        <w:rPr>
          <w:noProof/>
          <w:lang w:val="en-IE"/>
        </w:rPr>
        <w:t xml:space="preserve">For the social economy to be fully recognised and valued across the EU, it needs a stronger evidence base and </w:t>
      </w:r>
      <w:r>
        <w:rPr>
          <w:noProof/>
          <w:lang w:val="en-IE"/>
        </w:rPr>
        <w:t xml:space="preserve">more accessible </w:t>
      </w:r>
      <w:r w:rsidRPr="00AF2E01">
        <w:rPr>
          <w:noProof/>
          <w:lang w:val="en-IE"/>
        </w:rPr>
        <w:t xml:space="preserve">and comparable statistics across Member States. </w:t>
      </w:r>
      <w:r>
        <w:rPr>
          <w:noProof/>
          <w:lang w:val="en-IE"/>
        </w:rPr>
        <w:t>Furthermore, d</w:t>
      </w:r>
      <w:r w:rsidRPr="00AF2E01">
        <w:rPr>
          <w:rFonts w:eastAsia="Times New Roman Bold"/>
          <w:noProof/>
          <w:lang w:val="en-IE"/>
        </w:rPr>
        <w:t>ata-driven policymaking in support of the social economy requires clear</w:t>
      </w:r>
      <w:r>
        <w:rPr>
          <w:rFonts w:eastAsia="Times New Roman Bold"/>
          <w:noProof/>
          <w:lang w:val="en-IE"/>
        </w:rPr>
        <w:t xml:space="preserve"> </w:t>
      </w:r>
      <w:r w:rsidRPr="00AF2E01">
        <w:rPr>
          <w:rFonts w:eastAsia="Times New Roman Bold"/>
          <w:noProof/>
          <w:lang w:val="en-IE"/>
        </w:rPr>
        <w:t>accessible information, disaggregated data and regular communication, as well as a single point of entry to EU resources.</w:t>
      </w:r>
    </w:p>
    <w:p w14:paraId="2901460F" w14:textId="54C6A9C9" w:rsidR="00690AAA" w:rsidRPr="00AF2E01" w:rsidRDefault="00690AAA" w:rsidP="00C42395">
      <w:pPr>
        <w:spacing w:after="160" w:line="257" w:lineRule="auto"/>
        <w:rPr>
          <w:b/>
          <w:bCs/>
          <w:noProof/>
          <w:lang w:val="en-IE"/>
        </w:rPr>
      </w:pPr>
      <w:r w:rsidRPr="00C42395">
        <w:rPr>
          <w:b/>
          <w:bCs/>
          <w:i/>
          <w:iCs/>
          <w:noProof/>
          <w:lang w:val="en-IE"/>
        </w:rPr>
        <w:t>Key action area 5: Building the social economy evidence base</w:t>
      </w:r>
    </w:p>
    <w:p w14:paraId="401227DD" w14:textId="0633EBF8" w:rsidR="00690AAA" w:rsidRDefault="00690AAA" w:rsidP="00790FFA">
      <w:pPr>
        <w:rPr>
          <w:noProof/>
          <w:lang w:val="en-IE"/>
        </w:rPr>
      </w:pPr>
      <w:r w:rsidRPr="00AF2E01">
        <w:rPr>
          <w:noProof/>
          <w:lang w:val="en-IE"/>
        </w:rPr>
        <w:t>Currently, data on the social economy is fragmented, with differing methodologies limiting policymakers’ ability to design effective measures, monitor progress and demonstrate impact. Expanding statistic</w:t>
      </w:r>
      <w:r>
        <w:rPr>
          <w:noProof/>
          <w:lang w:val="en-IE"/>
        </w:rPr>
        <w:t>s</w:t>
      </w:r>
      <w:r w:rsidRPr="00AF2E01">
        <w:rPr>
          <w:noProof/>
          <w:lang w:val="en-IE"/>
        </w:rPr>
        <w:t xml:space="preserve"> and moving towards a more systematic approach to data collection will help to align concepts, improve the design and targeting of policies</w:t>
      </w:r>
      <w:r>
        <w:rPr>
          <w:noProof/>
          <w:lang w:val="en-IE"/>
        </w:rPr>
        <w:t>,</w:t>
      </w:r>
      <w:r w:rsidRPr="00AF2E01">
        <w:rPr>
          <w:noProof/>
          <w:lang w:val="en-IE"/>
        </w:rPr>
        <w:t xml:space="preserve"> and highlight for decision-makers, markets and the public the </w:t>
      </w:r>
      <w:r>
        <w:rPr>
          <w:noProof/>
          <w:lang w:val="en-IE"/>
        </w:rPr>
        <w:t xml:space="preserve">social economy’s </w:t>
      </w:r>
      <w:r w:rsidRPr="00AF2E01">
        <w:rPr>
          <w:noProof/>
          <w:lang w:val="en-IE"/>
        </w:rPr>
        <w:t>contribution to a competitive and inclusive economy.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4"/>
      </w:tblGrid>
      <w:tr w:rsidR="00690AAA" w14:paraId="6E809CED" w14:textId="77777777" w:rsidTr="000D45D2">
        <w:trPr>
          <w:trHeight w:val="2793"/>
        </w:trPr>
        <w:tc>
          <w:tcPr>
            <w:tcW w:w="8594" w:type="dxa"/>
            <w:tcBorders>
              <w:top w:val="nil"/>
              <w:left w:val="nil"/>
              <w:bottom w:val="nil"/>
              <w:right w:val="nil"/>
            </w:tcBorders>
            <w:shd w:val="clear" w:color="auto" w:fill="FFF2CC" w:themeFill="accent4" w:themeFillTint="33"/>
          </w:tcPr>
          <w:p w14:paraId="11FE8001" w14:textId="57A79BD2" w:rsidR="00690AAA" w:rsidRDefault="00690AAA" w:rsidP="00860F31">
            <w:pPr>
              <w:spacing w:after="160" w:line="257" w:lineRule="auto"/>
              <w:rPr>
                <w:b/>
                <w:bCs/>
                <w:noProof/>
                <w:lang w:val="en-IE"/>
              </w:rPr>
            </w:pPr>
            <w:r>
              <w:rPr>
                <w:b/>
                <w:bCs/>
                <w:noProof/>
                <w:lang w:val="en-IE"/>
              </w:rPr>
              <w:t>To expand and promote data and statistical knowledge and build a social economy evidence base, t</w:t>
            </w:r>
            <w:r w:rsidRPr="00AF2E01">
              <w:rPr>
                <w:b/>
                <w:bCs/>
                <w:noProof/>
                <w:lang w:val="en-IE"/>
              </w:rPr>
              <w:t>he</w:t>
            </w:r>
            <w:r w:rsidRPr="00AF2E01">
              <w:rPr>
                <w:noProof/>
                <w:lang w:val="en-IE"/>
              </w:rPr>
              <w:t xml:space="preserve"> </w:t>
            </w:r>
            <w:r w:rsidRPr="00AF2E01">
              <w:rPr>
                <w:b/>
                <w:bCs/>
                <w:noProof/>
                <w:lang w:val="en-IE"/>
              </w:rPr>
              <w:t>Commission will</w:t>
            </w:r>
            <w:r>
              <w:rPr>
                <w:b/>
                <w:bCs/>
                <w:noProof/>
                <w:lang w:val="en-IE"/>
              </w:rPr>
              <w:t>:</w:t>
            </w:r>
          </w:p>
          <w:p w14:paraId="603A526B" w14:textId="047D94CF" w:rsidR="00690AAA" w:rsidRPr="00307FF9" w:rsidRDefault="00690AAA" w:rsidP="00307FF9">
            <w:pPr>
              <w:pStyle w:val="ListParagraph"/>
              <w:numPr>
                <w:ilvl w:val="0"/>
                <w:numId w:val="53"/>
              </w:numPr>
              <w:spacing w:after="160" w:line="257" w:lineRule="auto"/>
              <w:rPr>
                <w:noProof/>
                <w:color w:val="D13438"/>
                <w:u w:val="single"/>
                <w:lang w:val="en-IE"/>
              </w:rPr>
            </w:pPr>
            <w:r>
              <w:rPr>
                <w:b/>
                <w:bCs/>
                <w:noProof/>
                <w:lang w:val="en-IE"/>
              </w:rPr>
              <w:t>W</w:t>
            </w:r>
            <w:r w:rsidRPr="005115D8">
              <w:rPr>
                <w:b/>
                <w:noProof/>
                <w:lang w:val="en-IE"/>
              </w:rPr>
              <w:t>ork towards a more systematic approach to data collection</w:t>
            </w:r>
            <w:r w:rsidRPr="00885594">
              <w:rPr>
                <w:bCs/>
                <w:noProof/>
                <w:lang w:val="en-IE"/>
              </w:rPr>
              <w:t>, including by</w:t>
            </w:r>
            <w:r w:rsidRPr="005115D8">
              <w:rPr>
                <w:bCs/>
                <w:noProof/>
                <w:lang w:val="en-IE"/>
              </w:rPr>
              <w:t xml:space="preserve"> </w:t>
            </w:r>
            <w:r>
              <w:rPr>
                <w:bCs/>
                <w:noProof/>
                <w:lang w:val="en-IE"/>
              </w:rPr>
              <w:t>supporting</w:t>
            </w:r>
            <w:r w:rsidRPr="005115D8">
              <w:rPr>
                <w:noProof/>
                <w:lang w:val="en-IE"/>
              </w:rPr>
              <w:t xml:space="preserve"> Member States in developing social economy satellite accounts</w:t>
            </w:r>
            <w:r>
              <w:rPr>
                <w:noProof/>
                <w:lang w:val="en-IE"/>
              </w:rPr>
              <w:t xml:space="preserve">, as well as </w:t>
            </w:r>
            <w:r w:rsidRPr="005115D8">
              <w:rPr>
                <w:noProof/>
                <w:lang w:val="en-IE"/>
              </w:rPr>
              <w:t>fund</w:t>
            </w:r>
            <w:r>
              <w:rPr>
                <w:noProof/>
                <w:lang w:val="en-IE"/>
              </w:rPr>
              <w:t>ing</w:t>
            </w:r>
            <w:r w:rsidRPr="005115D8">
              <w:rPr>
                <w:noProof/>
                <w:lang w:val="en-IE"/>
              </w:rPr>
              <w:t xml:space="preserve"> national pilot projects to collect social economy data</w:t>
            </w:r>
            <w:r>
              <w:rPr>
                <w:noProof/>
                <w:lang w:val="en-IE"/>
              </w:rPr>
              <w:t xml:space="preserve"> </w:t>
            </w:r>
            <w:r w:rsidRPr="005115D8">
              <w:rPr>
                <w:noProof/>
                <w:lang w:val="en-IE"/>
              </w:rPr>
              <w:t xml:space="preserve">through the national statistical business registers and Structure of Earnings Surveys, making use of administrative sources wherever possible to avoid additional reporting burdens. </w:t>
            </w:r>
          </w:p>
          <w:p w14:paraId="31D188AD" w14:textId="742E60D1" w:rsidR="00690AAA" w:rsidRPr="00BB5955" w:rsidRDefault="00690AAA" w:rsidP="00307FF9">
            <w:pPr>
              <w:pStyle w:val="ListParagraph"/>
              <w:numPr>
                <w:ilvl w:val="0"/>
                <w:numId w:val="53"/>
              </w:numPr>
              <w:spacing w:after="160" w:line="257" w:lineRule="auto"/>
              <w:rPr>
                <w:noProof/>
                <w:lang w:val="en-IE"/>
              </w:rPr>
            </w:pPr>
            <w:r>
              <w:rPr>
                <w:b/>
                <w:bCs/>
                <w:noProof/>
                <w:lang w:val="en-IE"/>
              </w:rPr>
              <w:t>E</w:t>
            </w:r>
            <w:r w:rsidRPr="00BB5955">
              <w:rPr>
                <w:b/>
                <w:bCs/>
                <w:noProof/>
                <w:lang w:val="en-IE"/>
              </w:rPr>
              <w:t xml:space="preserve">xpand the EU Social Economy Gateway to improve data sharing and increase transparency, </w:t>
            </w:r>
            <w:r w:rsidRPr="00BB5955">
              <w:rPr>
                <w:noProof/>
                <w:lang w:val="en-IE"/>
              </w:rPr>
              <w:t xml:space="preserve">providing streamlined access to </w:t>
            </w:r>
            <w:r>
              <w:rPr>
                <w:noProof/>
                <w:lang w:val="en-IE"/>
              </w:rPr>
              <w:t xml:space="preserve">publications, </w:t>
            </w:r>
            <w:r w:rsidRPr="00BB5955">
              <w:rPr>
                <w:noProof/>
                <w:lang w:val="en-IE"/>
              </w:rPr>
              <w:t xml:space="preserve">datasets, methodologies and national portals. </w:t>
            </w:r>
          </w:p>
          <w:p w14:paraId="3878B241" w14:textId="36245D7E" w:rsidR="00690AAA" w:rsidRPr="008E1740" w:rsidRDefault="00690AAA" w:rsidP="00307FF9">
            <w:pPr>
              <w:pStyle w:val="ListParagraph"/>
              <w:numPr>
                <w:ilvl w:val="0"/>
                <w:numId w:val="53"/>
              </w:numPr>
              <w:spacing w:after="160" w:line="257" w:lineRule="auto"/>
              <w:rPr>
                <w:noProof/>
                <w:color w:val="D13438"/>
                <w:u w:val="single"/>
                <w:lang w:val="en-IE"/>
              </w:rPr>
            </w:pPr>
            <w:r>
              <w:rPr>
                <w:b/>
                <w:bCs/>
                <w:noProof/>
                <w:lang w:val="en-IE"/>
              </w:rPr>
              <w:t>U</w:t>
            </w:r>
            <w:r w:rsidRPr="009D220E">
              <w:rPr>
                <w:b/>
                <w:bCs/>
                <w:noProof/>
                <w:lang w:val="en-IE"/>
              </w:rPr>
              <w:t>pdate the EU mapping of social enterprises</w:t>
            </w:r>
            <w:r w:rsidRPr="000D45D2">
              <w:rPr>
                <w:b/>
                <w:bCs/>
                <w:noProof/>
                <w:lang w:val="en-IE"/>
              </w:rPr>
              <w:t> </w:t>
            </w:r>
            <w:r w:rsidRPr="000D45D2">
              <w:rPr>
                <w:noProof/>
                <w:lang w:val="en-IE"/>
              </w:rPr>
              <w:t>(</w:t>
            </w:r>
            <w:r w:rsidRPr="000D45D2">
              <w:rPr>
                <w:rStyle w:val="EndnoteReference"/>
                <w:noProof/>
                <w:lang w:val="en-IE"/>
              </w:rPr>
              <w:endnoteReference w:id="39"/>
            </w:r>
            <w:r w:rsidRPr="000D45D2">
              <w:rPr>
                <w:noProof/>
                <w:lang w:val="en-IE"/>
              </w:rPr>
              <w:t>)</w:t>
            </w:r>
            <w:r w:rsidRPr="00EB04C5">
              <w:rPr>
                <w:noProof/>
                <w:lang w:val="en-IE"/>
              </w:rPr>
              <w:t>.</w:t>
            </w:r>
          </w:p>
          <w:p w14:paraId="10D5A0A5" w14:textId="1DD60336" w:rsidR="00690AAA" w:rsidRPr="000D45D2" w:rsidRDefault="00690AAA" w:rsidP="00307FF9">
            <w:pPr>
              <w:pStyle w:val="ListParagraph"/>
              <w:numPr>
                <w:ilvl w:val="0"/>
                <w:numId w:val="53"/>
              </w:numPr>
              <w:spacing w:after="160" w:line="257" w:lineRule="auto"/>
              <w:rPr>
                <w:noProof/>
                <w:color w:val="D13438"/>
                <w:u w:val="single"/>
                <w:lang w:val="en-IE"/>
              </w:rPr>
            </w:pPr>
            <w:r>
              <w:rPr>
                <w:noProof/>
                <w:lang w:val="en-IE"/>
              </w:rPr>
              <w:t xml:space="preserve">Publish a report from the GECES containing </w:t>
            </w:r>
            <w:r w:rsidRPr="00AF2E01">
              <w:rPr>
                <w:noProof/>
                <w:lang w:val="en-IE"/>
              </w:rPr>
              <w:t>practical recommendations on collecting data about the social economy.</w:t>
            </w:r>
          </w:p>
        </w:tc>
      </w:tr>
    </w:tbl>
    <w:p w14:paraId="7AD1318A" w14:textId="77777777" w:rsidR="00690AAA" w:rsidRPr="002E5A2C" w:rsidRDefault="00690AAA" w:rsidP="00BE01D6">
      <w:pPr>
        <w:pBdr>
          <w:top w:val="single" w:sz="4" w:space="4" w:color="auto"/>
          <w:left w:val="single" w:sz="4" w:space="4" w:color="auto"/>
          <w:bottom w:val="single" w:sz="4" w:space="4" w:color="auto"/>
          <w:right w:val="single" w:sz="4" w:space="4" w:color="auto"/>
        </w:pBdr>
        <w:shd w:val="clear" w:color="auto" w:fill="E2EFD9" w:themeFill="accent6" w:themeFillTint="33"/>
        <w:spacing w:before="240" w:after="120"/>
        <w:rPr>
          <w:i/>
          <w:iCs/>
          <w:noProof/>
          <w:highlight w:val="yellow"/>
          <w:lang w:val="en-IE"/>
        </w:rPr>
      </w:pPr>
      <w:r w:rsidRPr="002E5A2C">
        <w:rPr>
          <w:b/>
          <w:bCs/>
          <w:i/>
          <w:iCs/>
          <w:noProof/>
          <w:lang w:val="en-IE"/>
        </w:rPr>
        <w:t>In focus: The social economy and democracy</w:t>
      </w:r>
    </w:p>
    <w:p w14:paraId="470CBC78" w14:textId="0144DF20" w:rsidR="00BE01D6" w:rsidRPr="00BE01D6" w:rsidRDefault="00690AAA" w:rsidP="00BE01D6">
      <w:pPr>
        <w:pBdr>
          <w:top w:val="single" w:sz="4" w:space="4" w:color="auto"/>
          <w:left w:val="single" w:sz="4" w:space="4" w:color="auto"/>
          <w:bottom w:val="single" w:sz="4" w:space="4" w:color="auto"/>
          <w:right w:val="single" w:sz="4" w:space="4" w:color="auto"/>
        </w:pBdr>
        <w:shd w:val="clear" w:color="auto" w:fill="E2EFD9" w:themeFill="accent6" w:themeFillTint="33"/>
        <w:rPr>
          <w:i/>
          <w:iCs/>
          <w:noProof/>
        </w:rPr>
      </w:pPr>
      <w:r w:rsidRPr="002E5A2C">
        <w:rPr>
          <w:i/>
          <w:iCs/>
          <w:noProof/>
          <w:lang w:val="en-IE"/>
        </w:rPr>
        <w:t xml:space="preserve">According to the Special Eurobarometer on the social economy in the life of Europeans, 18% of Europeans have volunteered for a social economy organisation in the past five years and 13% are members. </w:t>
      </w:r>
      <w:r w:rsidRPr="004C5180">
        <w:rPr>
          <w:b/>
          <w:bCs/>
          <w:i/>
          <w:iCs/>
          <w:noProof/>
          <w:lang w:val="en-IE"/>
        </w:rPr>
        <w:t>However, awareness of the social economy concept is moderate and varies strongly between Member States.</w:t>
      </w:r>
      <w:r>
        <w:rPr>
          <w:i/>
          <w:iCs/>
          <w:noProof/>
          <w:lang w:val="en-IE"/>
        </w:rPr>
        <w:t xml:space="preserve"> </w:t>
      </w:r>
      <w:r w:rsidRPr="002E5A2C">
        <w:rPr>
          <w:i/>
          <w:iCs/>
          <w:noProof/>
          <w:lang w:val="en-IE"/>
        </w:rPr>
        <w:t xml:space="preserve">Social economy organisations contribute to a more democratic society as they focus on citizen engagement, community problem solving and participatory governance. They often act as ‘schools of democracy’, promoting transparency, accountability and trust in decision-making processes. The social economy can therefore contribute to and benefit from various EU initiatives on democracy and civic engagement, such as the </w:t>
      </w:r>
      <w:r w:rsidRPr="002E5A2C">
        <w:rPr>
          <w:b/>
          <w:bCs/>
          <w:i/>
          <w:iCs/>
          <w:noProof/>
          <w:lang w:val="en-IE"/>
        </w:rPr>
        <w:t>European democracy shield </w:t>
      </w:r>
      <w:r w:rsidRPr="002E5A2C">
        <w:rPr>
          <w:i/>
          <w:iCs/>
          <w:noProof/>
          <w:lang w:val="en-IE"/>
        </w:rPr>
        <w:t>(</w:t>
      </w:r>
      <w:r w:rsidRPr="002E5A2C">
        <w:rPr>
          <w:i/>
          <w:iCs/>
          <w:noProof/>
          <w:vertAlign w:val="superscript"/>
          <w:lang w:val="en-IE"/>
        </w:rPr>
        <w:endnoteReference w:id="40"/>
      </w:r>
      <w:r w:rsidRPr="002E5A2C">
        <w:rPr>
          <w:i/>
          <w:iCs/>
          <w:noProof/>
          <w:lang w:val="en-IE"/>
        </w:rPr>
        <w:t xml:space="preserve">). </w:t>
      </w:r>
      <w:r w:rsidRPr="002E5A2C">
        <w:rPr>
          <w:i/>
          <w:iCs/>
          <w:noProof/>
        </w:rPr>
        <w:t xml:space="preserve">A strong social economy can also contribute to a vibrant civic space by strengthening the capacity, visibility and cross-border cooperation of civil society organisations. In line with the </w:t>
      </w:r>
      <w:r w:rsidRPr="002E5A2C">
        <w:rPr>
          <w:b/>
          <w:bCs/>
          <w:i/>
          <w:iCs/>
          <w:noProof/>
          <w:lang w:val="en-IE"/>
        </w:rPr>
        <w:t>EU strategy for civil society</w:t>
      </w:r>
      <w:r w:rsidRPr="002E5A2C">
        <w:rPr>
          <w:i/>
          <w:iCs/>
          <w:noProof/>
          <w:lang w:val="en-IE"/>
        </w:rPr>
        <w:t> (</w:t>
      </w:r>
      <w:r w:rsidRPr="002E5A2C">
        <w:rPr>
          <w:i/>
          <w:iCs/>
          <w:noProof/>
          <w:vertAlign w:val="superscript"/>
          <w:lang w:val="en-IE"/>
        </w:rPr>
        <w:endnoteReference w:id="41"/>
      </w:r>
      <w:r w:rsidRPr="002E5A2C">
        <w:rPr>
          <w:i/>
          <w:iCs/>
          <w:noProof/>
          <w:lang w:val="en-IE"/>
        </w:rPr>
        <w:t>)</w:t>
      </w:r>
      <w:r w:rsidR="00BE01D6" w:rsidRPr="002E5A2C">
        <w:rPr>
          <w:i/>
          <w:iCs/>
          <w:noProof/>
          <w:lang w:val="en-IE"/>
        </w:rPr>
        <w:t xml:space="preserve">, </w:t>
      </w:r>
      <w:r w:rsidR="00BE01D6" w:rsidRPr="002E5A2C">
        <w:rPr>
          <w:i/>
          <w:iCs/>
          <w:noProof/>
        </w:rPr>
        <w:t>the Commission is taking steps to create more supportive environments for these organisations, many of which form part of the social economy, including measures to ensure fair taxation for charitable organisations and safeguard access to financial services.</w:t>
      </w:r>
    </w:p>
    <w:p w14:paraId="269947F7" w14:textId="1B3FA6D5" w:rsidR="00B57C54" w:rsidRPr="00AF2E01" w:rsidRDefault="2DC81F40" w:rsidP="0099276C">
      <w:pPr>
        <w:pStyle w:val="Heading1"/>
        <w:rPr>
          <w:noProof/>
          <w:lang w:val="en-IE"/>
        </w:rPr>
      </w:pPr>
      <w:r w:rsidRPr="00AF2E01">
        <w:rPr>
          <w:noProof/>
          <w:lang w:val="en-IE"/>
        </w:rPr>
        <w:t>C</w:t>
      </w:r>
      <w:r w:rsidR="00B57C54" w:rsidRPr="00AF2E01">
        <w:rPr>
          <w:noProof/>
          <w:lang w:val="en-IE"/>
        </w:rPr>
        <w:t>onclusion</w:t>
      </w:r>
      <w:r w:rsidR="00581779" w:rsidRPr="00AF2E01">
        <w:rPr>
          <w:noProof/>
          <w:lang w:val="en-IE"/>
        </w:rPr>
        <w:t xml:space="preserve">: </w:t>
      </w:r>
      <w:r w:rsidR="00436A60" w:rsidRPr="00AF2E01">
        <w:rPr>
          <w:noProof/>
          <w:lang w:val="en-IE"/>
        </w:rPr>
        <w:t>a renewed agenda for a stronger social economy</w:t>
      </w:r>
    </w:p>
    <w:p w14:paraId="16E07B4D" w14:textId="787D8231" w:rsidR="00AB3510" w:rsidRPr="00AF2E01" w:rsidRDefault="00AB3510" w:rsidP="00AB3510">
      <w:pPr>
        <w:pStyle w:val="Text1"/>
        <w:ind w:left="0"/>
        <w:rPr>
          <w:noProof/>
          <w:lang w:val="en-IE"/>
        </w:rPr>
      </w:pPr>
      <w:r w:rsidRPr="00AF2E01">
        <w:rPr>
          <w:noProof/>
          <w:lang w:val="en-IE"/>
        </w:rPr>
        <w:t>Since its adoption in 2021, the</w:t>
      </w:r>
      <w:r w:rsidR="00BD65D3">
        <w:rPr>
          <w:noProof/>
          <w:lang w:val="en-IE"/>
        </w:rPr>
        <w:t xml:space="preserve"> action plan for the social economy</w:t>
      </w:r>
      <w:r w:rsidRPr="00AF2E01">
        <w:rPr>
          <w:noProof/>
          <w:lang w:val="en-IE"/>
        </w:rPr>
        <w:t xml:space="preserve"> has injected new momentum into the social economy across Europe. It has provided a coherent EU framework, mobilised a broad range of instruments and programmes, and </w:t>
      </w:r>
      <w:r w:rsidR="001130F9">
        <w:rPr>
          <w:noProof/>
          <w:lang w:val="en-IE"/>
        </w:rPr>
        <w:t xml:space="preserve">raised </w:t>
      </w:r>
      <w:r w:rsidRPr="00AF2E01">
        <w:rPr>
          <w:noProof/>
          <w:lang w:val="en-IE"/>
        </w:rPr>
        <w:t>the social economy</w:t>
      </w:r>
      <w:r w:rsidR="001130F9">
        <w:rPr>
          <w:noProof/>
          <w:lang w:val="en-IE"/>
        </w:rPr>
        <w:t>’s profile</w:t>
      </w:r>
      <w:r w:rsidRPr="00AF2E01">
        <w:rPr>
          <w:noProof/>
          <w:lang w:val="en-IE"/>
        </w:rPr>
        <w:t xml:space="preserve"> </w:t>
      </w:r>
      <w:r w:rsidR="001130F9">
        <w:rPr>
          <w:noProof/>
          <w:lang w:val="en-IE"/>
        </w:rPr>
        <w:t>in</w:t>
      </w:r>
      <w:r w:rsidRPr="00AF2E01">
        <w:rPr>
          <w:noProof/>
          <w:lang w:val="en-IE"/>
        </w:rPr>
        <w:t xml:space="preserve"> national and EU agendas. Implementing the </w:t>
      </w:r>
      <w:r w:rsidR="0022683F">
        <w:rPr>
          <w:noProof/>
          <w:lang w:val="en-IE"/>
        </w:rPr>
        <w:t>action plan</w:t>
      </w:r>
      <w:r w:rsidRPr="00AF2E01">
        <w:rPr>
          <w:noProof/>
          <w:lang w:val="en-IE"/>
        </w:rPr>
        <w:t xml:space="preserve"> and the 2023 Council recommendation on developing social economy framework conditions has already resulted in tangible progress</w:t>
      </w:r>
      <w:r w:rsidR="05D33CB7" w:rsidRPr="00AF2E01">
        <w:rPr>
          <w:noProof/>
          <w:lang w:val="en-IE"/>
        </w:rPr>
        <w:t>.</w:t>
      </w:r>
      <w:r w:rsidRPr="00AF2E01">
        <w:rPr>
          <w:noProof/>
          <w:lang w:val="en-IE"/>
        </w:rPr>
        <w:t xml:space="preserve"> </w:t>
      </w:r>
      <w:r w:rsidR="5691DFF3" w:rsidRPr="00AF2E01">
        <w:rPr>
          <w:noProof/>
          <w:lang w:val="en-IE"/>
        </w:rPr>
        <w:t>M</w:t>
      </w:r>
      <w:r w:rsidRPr="00AF2E01">
        <w:rPr>
          <w:noProof/>
          <w:lang w:val="en-IE"/>
        </w:rPr>
        <w:t>ore Member States are developing strategies</w:t>
      </w:r>
      <w:r w:rsidR="00AC4B62">
        <w:rPr>
          <w:noProof/>
          <w:lang w:val="en-IE"/>
        </w:rPr>
        <w:t xml:space="preserve">, </w:t>
      </w:r>
      <w:r w:rsidRPr="00AF2E01">
        <w:rPr>
          <w:noProof/>
          <w:lang w:val="en-IE"/>
        </w:rPr>
        <w:t>legal frameworks</w:t>
      </w:r>
      <w:r w:rsidR="00AC4B62">
        <w:rPr>
          <w:noProof/>
          <w:lang w:val="en-IE"/>
        </w:rPr>
        <w:t xml:space="preserve"> and</w:t>
      </w:r>
      <w:r w:rsidRPr="00AF2E01">
        <w:rPr>
          <w:noProof/>
          <w:lang w:val="en-IE"/>
        </w:rPr>
        <w:t xml:space="preserve"> </w:t>
      </w:r>
      <w:r w:rsidR="00A86CBA" w:rsidRPr="00AF2E01">
        <w:rPr>
          <w:noProof/>
          <w:lang w:val="en-IE"/>
        </w:rPr>
        <w:t>financing</w:t>
      </w:r>
      <w:r w:rsidRPr="00AF2E01">
        <w:rPr>
          <w:noProof/>
          <w:lang w:val="en-IE"/>
        </w:rPr>
        <w:t xml:space="preserve"> </w:t>
      </w:r>
      <w:r w:rsidR="00A86CBA" w:rsidRPr="00AF2E01">
        <w:rPr>
          <w:noProof/>
          <w:lang w:val="en-IE"/>
        </w:rPr>
        <w:t>streams</w:t>
      </w:r>
      <w:r w:rsidR="095CD160" w:rsidRPr="00AF2E01">
        <w:rPr>
          <w:noProof/>
          <w:lang w:val="en-IE"/>
        </w:rPr>
        <w:t>.</w:t>
      </w:r>
      <w:r w:rsidRPr="00AF2E01">
        <w:rPr>
          <w:noProof/>
          <w:lang w:val="en-IE"/>
        </w:rPr>
        <w:t xml:space="preserve"> </w:t>
      </w:r>
      <w:r w:rsidR="3E9C75B2" w:rsidRPr="00AF2E01">
        <w:rPr>
          <w:noProof/>
          <w:lang w:val="en-IE"/>
        </w:rPr>
        <w:t>New</w:t>
      </w:r>
      <w:r w:rsidRPr="00AF2E01">
        <w:rPr>
          <w:noProof/>
          <w:lang w:val="en-IE"/>
        </w:rPr>
        <w:t xml:space="preserve"> support structures are emerging, and public authorities, financial </w:t>
      </w:r>
      <w:r w:rsidR="003D3420">
        <w:rPr>
          <w:noProof/>
          <w:lang w:val="en-IE"/>
        </w:rPr>
        <w:t>actors</w:t>
      </w:r>
      <w:r w:rsidR="001130F9" w:rsidRPr="00AF2E01">
        <w:rPr>
          <w:noProof/>
          <w:lang w:val="en-IE"/>
        </w:rPr>
        <w:t xml:space="preserve"> </w:t>
      </w:r>
      <w:r w:rsidRPr="00AF2E01">
        <w:rPr>
          <w:noProof/>
          <w:lang w:val="en-IE"/>
        </w:rPr>
        <w:t xml:space="preserve">and </w:t>
      </w:r>
      <w:r w:rsidR="001130F9">
        <w:rPr>
          <w:noProof/>
          <w:lang w:val="en-IE"/>
        </w:rPr>
        <w:t>the public</w:t>
      </w:r>
      <w:r w:rsidR="001130F9" w:rsidRPr="00AF2E01">
        <w:rPr>
          <w:noProof/>
          <w:lang w:val="en-IE"/>
        </w:rPr>
        <w:t xml:space="preserve"> </w:t>
      </w:r>
      <w:r w:rsidRPr="00AF2E01">
        <w:rPr>
          <w:noProof/>
          <w:lang w:val="en-IE"/>
        </w:rPr>
        <w:t>are becoming more aware of the social economy. These advances demonstrate the action plan</w:t>
      </w:r>
      <w:r w:rsidR="00A86CBA" w:rsidRPr="00AF2E01">
        <w:rPr>
          <w:noProof/>
          <w:lang w:val="en-IE"/>
        </w:rPr>
        <w:t>’</w:t>
      </w:r>
      <w:r w:rsidRPr="00AF2E01">
        <w:rPr>
          <w:noProof/>
          <w:lang w:val="en-IE"/>
        </w:rPr>
        <w:t>s relevance and confirm that targeted EU action can generate tangible benefits for social economy organisations and the communities they serve.</w:t>
      </w:r>
    </w:p>
    <w:p w14:paraId="0AE498F9" w14:textId="053744F7" w:rsidR="00D312E4" w:rsidRPr="00AF2E01" w:rsidRDefault="00D312E4" w:rsidP="00AB3510">
      <w:pPr>
        <w:pStyle w:val="Text1"/>
        <w:ind w:left="0"/>
        <w:rPr>
          <w:noProof/>
          <w:lang w:val="en-IE"/>
        </w:rPr>
      </w:pPr>
      <w:r w:rsidRPr="46E7F939">
        <w:rPr>
          <w:noProof/>
          <w:lang w:val="en-IE"/>
        </w:rPr>
        <w:t xml:space="preserve">However, </w:t>
      </w:r>
      <w:r w:rsidR="001130F9">
        <w:rPr>
          <w:noProof/>
          <w:lang w:val="en-IE"/>
        </w:rPr>
        <w:t xml:space="preserve">there are still significant </w:t>
      </w:r>
      <w:r w:rsidRPr="46E7F939">
        <w:rPr>
          <w:noProof/>
          <w:lang w:val="en-IE"/>
        </w:rPr>
        <w:t xml:space="preserve">gaps and challenges. The social economy is </w:t>
      </w:r>
      <w:r w:rsidR="00A86CBA" w:rsidRPr="46E7F939">
        <w:rPr>
          <w:noProof/>
          <w:lang w:val="en-IE"/>
        </w:rPr>
        <w:t xml:space="preserve">still </w:t>
      </w:r>
      <w:r w:rsidRPr="46E7F939">
        <w:rPr>
          <w:noProof/>
          <w:lang w:val="en-IE"/>
        </w:rPr>
        <w:t>not recognised or supported consistently across Member States and regions. Many organisations still face legal uncertainty</w:t>
      </w:r>
      <w:r w:rsidR="00507DE2">
        <w:rPr>
          <w:noProof/>
          <w:lang w:val="en-IE"/>
        </w:rPr>
        <w:t xml:space="preserve"> </w:t>
      </w:r>
      <w:r w:rsidRPr="46E7F939">
        <w:rPr>
          <w:noProof/>
          <w:lang w:val="en-IE"/>
        </w:rPr>
        <w:t>and difficulties accessing training, markets and finance</w:t>
      </w:r>
      <w:r w:rsidR="00273A71">
        <w:rPr>
          <w:noProof/>
          <w:lang w:val="en-IE"/>
        </w:rPr>
        <w:t xml:space="preserve">. </w:t>
      </w:r>
      <w:r w:rsidRPr="46E7F939">
        <w:rPr>
          <w:noProof/>
          <w:lang w:val="en-IE"/>
        </w:rPr>
        <w:t xml:space="preserve">The social economy’s potential has not yet been sufficiently integrated into mainstream policies. </w:t>
      </w:r>
      <w:r w:rsidR="00AF4820">
        <w:rPr>
          <w:noProof/>
          <w:lang w:val="en-IE"/>
        </w:rPr>
        <w:t>This creates an uneven playing field, which is exacerbated by its distinct business model</w:t>
      </w:r>
      <w:r w:rsidR="00AF4820" w:rsidRPr="46E7F939">
        <w:rPr>
          <w:noProof/>
          <w:lang w:val="en-IE"/>
        </w:rPr>
        <w:t>.</w:t>
      </w:r>
      <w:r w:rsidR="00AF4820">
        <w:rPr>
          <w:noProof/>
          <w:lang w:val="en-IE"/>
        </w:rPr>
        <w:t xml:space="preserve"> </w:t>
      </w:r>
      <w:r w:rsidR="00B96647" w:rsidRPr="46E7F939">
        <w:rPr>
          <w:noProof/>
          <w:lang w:val="en-IE"/>
        </w:rPr>
        <w:t xml:space="preserve">To ensure that the social economy can flourish across territories and sectors, </w:t>
      </w:r>
      <w:r w:rsidRPr="46E7F939">
        <w:rPr>
          <w:noProof/>
          <w:lang w:val="en-IE"/>
        </w:rPr>
        <w:t xml:space="preserve">the next phase of implementation </w:t>
      </w:r>
      <w:r w:rsidR="00D911D9" w:rsidRPr="46E7F939">
        <w:rPr>
          <w:noProof/>
          <w:lang w:val="en-IE"/>
        </w:rPr>
        <w:t xml:space="preserve">of the action plan </w:t>
      </w:r>
      <w:r w:rsidRPr="46E7F939">
        <w:rPr>
          <w:noProof/>
          <w:lang w:val="en-IE"/>
        </w:rPr>
        <w:t>must prioritise closing these gaps</w:t>
      </w:r>
      <w:r w:rsidR="00B96647" w:rsidRPr="46E7F939">
        <w:rPr>
          <w:noProof/>
          <w:lang w:val="en-IE"/>
        </w:rPr>
        <w:t>.</w:t>
      </w:r>
    </w:p>
    <w:p w14:paraId="7AA7E134" w14:textId="678E5FE6" w:rsidR="00620B56" w:rsidRPr="00AF2E01" w:rsidRDefault="00620B56" w:rsidP="00AB3510">
      <w:pPr>
        <w:pStyle w:val="Text1"/>
        <w:ind w:left="0"/>
        <w:rPr>
          <w:noProof/>
          <w:lang w:val="en-IE"/>
        </w:rPr>
      </w:pPr>
      <w:r w:rsidRPr="00AF2E01">
        <w:rPr>
          <w:noProof/>
          <w:lang w:val="en-IE"/>
        </w:rPr>
        <w:t>The Commission will seek to integrate the social economy further into EU policies and programmes. To this end</w:t>
      </w:r>
      <w:r w:rsidRPr="002D23AE">
        <w:rPr>
          <w:b/>
          <w:bCs/>
          <w:noProof/>
          <w:lang w:val="en-IE"/>
        </w:rPr>
        <w:t xml:space="preserve">, </w:t>
      </w:r>
      <w:r w:rsidRPr="002D23AE">
        <w:rPr>
          <w:noProof/>
          <w:lang w:val="en-IE"/>
        </w:rPr>
        <w:t xml:space="preserve">it calls on the European Parliament, the Council, the European Economic and Social Committee, the </w:t>
      </w:r>
      <w:r w:rsidR="001130F9" w:rsidRPr="002D23AE">
        <w:rPr>
          <w:noProof/>
          <w:lang w:val="en-IE"/>
        </w:rPr>
        <w:t>European</w:t>
      </w:r>
      <w:r w:rsidRPr="002D23AE">
        <w:rPr>
          <w:noProof/>
          <w:lang w:val="en-IE"/>
        </w:rPr>
        <w:t xml:space="preserve"> Committee of the Regions, the European Investment Bank Group and other EU agencies and bodies to collaborate to maximise the potential of this agenda.</w:t>
      </w:r>
      <w:r w:rsidRPr="00AF2E01">
        <w:rPr>
          <w:noProof/>
          <w:lang w:val="en-IE"/>
        </w:rPr>
        <w:t xml:space="preserve"> </w:t>
      </w:r>
    </w:p>
    <w:p w14:paraId="6CAFAF12" w14:textId="33DDE451" w:rsidR="005A5167" w:rsidRPr="008F05B4" w:rsidRDefault="00803682" w:rsidP="003572F4">
      <w:pPr>
        <w:pStyle w:val="Text1"/>
        <w:ind w:left="0"/>
        <w:rPr>
          <w:noProof/>
          <w:lang w:val="en-IE"/>
        </w:rPr>
      </w:pPr>
      <w:r w:rsidRPr="008F05B4">
        <w:rPr>
          <w:noProof/>
          <w:lang w:val="en-IE"/>
        </w:rPr>
        <w:t>Monitoring implementation is essential. To this end</w:t>
      </w:r>
      <w:r w:rsidR="00460A8F" w:rsidRPr="008F05B4">
        <w:rPr>
          <w:noProof/>
          <w:lang w:val="en-IE"/>
        </w:rPr>
        <w:t xml:space="preserve">, </w:t>
      </w:r>
      <w:r w:rsidR="00460A8F" w:rsidRPr="00630566">
        <w:rPr>
          <w:b/>
          <w:bCs/>
          <w:noProof/>
          <w:lang w:val="en-IE"/>
        </w:rPr>
        <w:t>the Commission will maintain a coordinated and integrated approach in implementing and monitoring the action plan</w:t>
      </w:r>
      <w:r w:rsidRPr="008F05B4">
        <w:rPr>
          <w:noProof/>
          <w:lang w:val="en-IE"/>
        </w:rPr>
        <w:t>.</w:t>
      </w:r>
      <w:r w:rsidR="00914479" w:rsidRPr="008F05B4">
        <w:rPr>
          <w:noProof/>
          <w:lang w:val="en-IE"/>
        </w:rPr>
        <w:t xml:space="preserve"> </w:t>
      </w:r>
      <w:r w:rsidR="00FB1131" w:rsidRPr="008F05B4">
        <w:rPr>
          <w:noProof/>
          <w:lang w:val="en-IE"/>
        </w:rPr>
        <w:t xml:space="preserve">The EU Social Economy Gateway will </w:t>
      </w:r>
      <w:r w:rsidR="001130F9" w:rsidRPr="008F05B4">
        <w:rPr>
          <w:noProof/>
          <w:lang w:val="en-IE"/>
        </w:rPr>
        <w:t xml:space="preserve">provide </w:t>
      </w:r>
      <w:r w:rsidR="00FB1131" w:rsidRPr="008F05B4">
        <w:rPr>
          <w:noProof/>
          <w:lang w:val="en-IE"/>
        </w:rPr>
        <w:t>regular updates on the implementation process.</w:t>
      </w:r>
      <w:r w:rsidR="00770E2D">
        <w:rPr>
          <w:noProof/>
          <w:lang w:val="en-IE"/>
        </w:rPr>
        <w:t xml:space="preserve"> In addition, i</w:t>
      </w:r>
      <w:r w:rsidR="00E47F66" w:rsidRPr="00AF2E01">
        <w:rPr>
          <w:noProof/>
          <w:lang w:val="en-IE"/>
        </w:rPr>
        <w:t xml:space="preserve">n line with the </w:t>
      </w:r>
      <w:r w:rsidR="00E47F66">
        <w:rPr>
          <w:noProof/>
          <w:lang w:val="en-IE"/>
        </w:rPr>
        <w:t xml:space="preserve">2023 </w:t>
      </w:r>
      <w:r w:rsidR="00E47F66" w:rsidRPr="00AF2E01">
        <w:rPr>
          <w:noProof/>
          <w:lang w:val="en-IE"/>
        </w:rPr>
        <w:t>Council recommendation, Member States are recommended to report to the Commission on their progress</w:t>
      </w:r>
      <w:r w:rsidR="004C12F3">
        <w:rPr>
          <w:noProof/>
          <w:lang w:val="en-IE"/>
        </w:rPr>
        <w:t xml:space="preserve"> in supporting the social economy</w:t>
      </w:r>
      <w:r w:rsidR="00E47F66" w:rsidRPr="00AF2E01">
        <w:rPr>
          <w:noProof/>
          <w:lang w:val="en-IE"/>
        </w:rPr>
        <w:t xml:space="preserve"> in 2027 and 2032.</w:t>
      </w:r>
      <w:r w:rsidR="00E47F66">
        <w:rPr>
          <w:noProof/>
          <w:lang w:val="en-IE"/>
        </w:rPr>
        <w:t xml:space="preserve"> </w:t>
      </w:r>
      <w:r w:rsidR="00FC15E7" w:rsidRPr="008F05B4">
        <w:rPr>
          <w:noProof/>
          <w:lang w:val="en-IE"/>
        </w:rPr>
        <w:t>T</w:t>
      </w:r>
      <w:r w:rsidRPr="008F05B4">
        <w:rPr>
          <w:noProof/>
          <w:lang w:val="en-IE"/>
        </w:rPr>
        <w:t xml:space="preserve">he Expert Group on Social Economy and Social Enterprises </w:t>
      </w:r>
      <w:r w:rsidR="00FC15E7" w:rsidRPr="008F05B4">
        <w:rPr>
          <w:noProof/>
          <w:lang w:val="en-IE"/>
        </w:rPr>
        <w:t>will remain</w:t>
      </w:r>
      <w:r w:rsidRPr="008F05B4">
        <w:rPr>
          <w:noProof/>
          <w:lang w:val="en-IE"/>
        </w:rPr>
        <w:t xml:space="preserve"> a key platform for dialogue, peer learning and co-creation</w:t>
      </w:r>
      <w:r w:rsidR="00307FF9">
        <w:rPr>
          <w:noProof/>
          <w:lang w:val="en-IE"/>
        </w:rPr>
        <w:t>.</w:t>
      </w:r>
    </w:p>
    <w:p w14:paraId="06C9916F" w14:textId="11A88AAC" w:rsidR="00AA3FB9" w:rsidRPr="00AF2E01" w:rsidRDefault="00264AE8" w:rsidP="006F7438">
      <w:pPr>
        <w:pStyle w:val="Text1"/>
        <w:ind w:left="0"/>
        <w:rPr>
          <w:noProof/>
          <w:lang w:val="en-IE"/>
        </w:rPr>
      </w:pPr>
      <w:r w:rsidRPr="00AF2E01">
        <w:rPr>
          <w:noProof/>
          <w:lang w:val="en-IE"/>
        </w:rPr>
        <w:t>By unlocking the full power of the social economy, we can shape a Europe that puts communities and the planet at its heart, paving the way for a fairer, more sustainable</w:t>
      </w:r>
      <w:r w:rsidR="37741C65" w:rsidRPr="00AF2E01">
        <w:rPr>
          <w:noProof/>
          <w:lang w:val="en-IE"/>
        </w:rPr>
        <w:t xml:space="preserve"> and competitive</w:t>
      </w:r>
      <w:r w:rsidRPr="00AF2E01">
        <w:rPr>
          <w:noProof/>
          <w:lang w:val="en-IE"/>
        </w:rPr>
        <w:t xml:space="preserve"> future.</w:t>
      </w:r>
    </w:p>
    <w:sectPr w:rsidR="00AA3FB9" w:rsidRPr="00AF2E01" w:rsidSect="00462B34">
      <w:headerReference w:type="even" r:id="rId22"/>
      <w:headerReference w:type="default" r:id="rId23"/>
      <w:footerReference w:type="even" r:id="rId24"/>
      <w:footerReference w:type="default" r:id="rId25"/>
      <w:headerReference w:type="first" r:id="rId26"/>
      <w:footerReference w:type="first" r:id="rId27"/>
      <w:footnotePr>
        <w:pos w:val="beneathText"/>
      </w:footnotePr>
      <w:endnotePr>
        <w:numFmt w:val="decimal"/>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0AE5D" w14:textId="77777777" w:rsidR="00EB564C" w:rsidRDefault="00EB564C">
      <w:pPr>
        <w:spacing w:after="0"/>
      </w:pPr>
      <w:r>
        <w:separator/>
      </w:r>
    </w:p>
  </w:endnote>
  <w:endnote w:type="continuationSeparator" w:id="0">
    <w:p w14:paraId="391133A8" w14:textId="77777777" w:rsidR="00EB564C" w:rsidRDefault="00EB564C">
      <w:pPr>
        <w:spacing w:after="0"/>
      </w:pPr>
      <w:r>
        <w:continuationSeparator/>
      </w:r>
    </w:p>
  </w:endnote>
  <w:endnote w:type="continuationNotice" w:id="1">
    <w:p w14:paraId="28C2EFF0" w14:textId="77777777" w:rsidR="00EB564C" w:rsidRDefault="00EB564C">
      <w:pPr>
        <w:spacing w:after="0"/>
      </w:pPr>
    </w:p>
  </w:endnote>
  <w:endnote w:id="2">
    <w:p w14:paraId="2562A0CB" w14:textId="284A4217" w:rsidR="00690AAA" w:rsidRPr="00D55B22" w:rsidRDefault="00690AAA" w:rsidP="008E037B">
      <w:pPr>
        <w:pStyle w:val="EndnoteText"/>
        <w:ind w:left="720" w:hanging="720"/>
        <w:rPr>
          <w:lang w:val="en-IE"/>
        </w:rPr>
      </w:pPr>
      <w:r>
        <w:t>(</w:t>
      </w:r>
      <w:r>
        <w:rPr>
          <w:rStyle w:val="EndnoteReference"/>
        </w:rPr>
        <w:endnoteRef/>
      </w:r>
      <w:r>
        <w:t>)</w:t>
      </w:r>
      <w:r>
        <w:tab/>
        <w:t>‘</w:t>
      </w:r>
      <w:hyperlink r:id="rId1" w:history="1">
        <w:r w:rsidRPr="00325859">
          <w:rPr>
            <w:rStyle w:val="Hyperlink"/>
          </w:rPr>
          <w:t>Benchmarking the socio-economic knowledge of the proximity and social economy ecosystem</w:t>
        </w:r>
      </w:hyperlink>
      <w:r>
        <w:t>’, 2024.</w:t>
      </w:r>
    </w:p>
  </w:endnote>
  <w:endnote w:id="3">
    <w:p w14:paraId="53BF5088" w14:textId="151EBBDA" w:rsidR="00690AAA" w:rsidRPr="00B7222C" w:rsidRDefault="00690AAA" w:rsidP="00D55B22">
      <w:pPr>
        <w:pStyle w:val="EndnoteText"/>
        <w:rPr>
          <w:lang w:val="en-IE"/>
        </w:rPr>
      </w:pPr>
      <w:r w:rsidRPr="00B7222C">
        <w:rPr>
          <w:lang w:val="en-IE"/>
        </w:rPr>
        <w:t>(</w:t>
      </w:r>
      <w:r>
        <w:rPr>
          <w:rStyle w:val="EndnoteReference"/>
        </w:rPr>
        <w:endnoteRef/>
      </w:r>
      <w:r w:rsidRPr="00B7222C">
        <w:rPr>
          <w:lang w:val="en-IE"/>
        </w:rPr>
        <w:t>)</w:t>
      </w:r>
      <w:r w:rsidRPr="00B7222C">
        <w:rPr>
          <w:lang w:val="en-IE"/>
        </w:rPr>
        <w:tab/>
      </w:r>
      <w:hyperlink r:id="rId2" w:history="1">
        <w:r w:rsidRPr="00B7222C">
          <w:rPr>
            <w:rStyle w:val="Hyperlink"/>
            <w:lang w:val="en-IE"/>
          </w:rPr>
          <w:t>COM(2021) 778</w:t>
        </w:r>
      </w:hyperlink>
      <w:r w:rsidRPr="00B7222C">
        <w:rPr>
          <w:lang w:val="en-IE"/>
        </w:rPr>
        <w:t>.</w:t>
      </w:r>
    </w:p>
  </w:endnote>
  <w:endnote w:id="4">
    <w:p w14:paraId="6D814181" w14:textId="5463D63D" w:rsidR="00690AAA" w:rsidRPr="00B7222C" w:rsidDel="00CF0D87" w:rsidRDefault="00690AAA" w:rsidP="00D55B22">
      <w:pPr>
        <w:pStyle w:val="EndnoteText"/>
        <w:rPr>
          <w:lang w:val="en-IE"/>
        </w:rPr>
      </w:pPr>
      <w:r w:rsidRPr="00B7222C">
        <w:rPr>
          <w:lang w:val="en-IE"/>
        </w:rPr>
        <w:t>(</w:t>
      </w:r>
      <w:r>
        <w:endnoteRef/>
      </w:r>
      <w:r w:rsidRPr="00B7222C">
        <w:rPr>
          <w:lang w:val="en-IE"/>
        </w:rPr>
        <w:t>)</w:t>
      </w:r>
      <w:r w:rsidRPr="00B7222C">
        <w:rPr>
          <w:lang w:val="en-IE"/>
        </w:rPr>
        <w:tab/>
      </w:r>
      <w:hyperlink r:id="rId3" w:history="1">
        <w:r w:rsidRPr="00B7222C">
          <w:rPr>
            <w:rStyle w:val="Hyperlink"/>
            <w:lang w:val="en-IE"/>
          </w:rPr>
          <w:t>OJ C 428, 13.12.2017, p. 10</w:t>
        </w:r>
      </w:hyperlink>
      <w:r w:rsidRPr="00B7222C">
        <w:rPr>
          <w:lang w:val="en-IE"/>
        </w:rPr>
        <w:t>.</w:t>
      </w:r>
    </w:p>
  </w:endnote>
  <w:endnote w:id="5">
    <w:p w14:paraId="24255E8E" w14:textId="6F275E91" w:rsidR="00690AAA" w:rsidRDefault="00690AAA" w:rsidP="008E037B">
      <w:pPr>
        <w:pStyle w:val="EndnoteText"/>
        <w:ind w:left="720" w:hanging="720"/>
        <w:rPr>
          <w:lang w:val="en-IE"/>
        </w:rPr>
      </w:pPr>
      <w:r>
        <w:t>(</w:t>
      </w:r>
      <w:r>
        <w:rPr>
          <w:rStyle w:val="EndnoteReference"/>
        </w:rPr>
        <w:endnoteRef/>
      </w:r>
      <w:r>
        <w:t>)</w:t>
      </w:r>
      <w:r>
        <w:tab/>
        <w:t>‘</w:t>
      </w:r>
      <w:hyperlink r:id="rId4" w:history="1">
        <w:r w:rsidRPr="009C6174">
          <w:rPr>
            <w:rStyle w:val="Hyperlink"/>
          </w:rPr>
          <w:t>Social economy in the life of Europeans – Eurobarometer report</w:t>
        </w:r>
      </w:hyperlink>
      <w:r>
        <w:t>’, 2025.</w:t>
      </w:r>
    </w:p>
  </w:endnote>
  <w:endnote w:id="6">
    <w:p w14:paraId="48A93179" w14:textId="7A7CE5AC" w:rsidR="00690AAA" w:rsidRDefault="00690AAA" w:rsidP="008E037B">
      <w:pPr>
        <w:pStyle w:val="EndnoteText"/>
        <w:ind w:left="720" w:hanging="720"/>
        <w:rPr>
          <w:lang w:val="en-IE"/>
        </w:rPr>
      </w:pPr>
      <w:r>
        <w:t>(</w:t>
      </w:r>
      <w:r>
        <w:rPr>
          <w:rStyle w:val="EndnoteReference"/>
        </w:rPr>
        <w:endnoteRef/>
      </w:r>
      <w:r>
        <w:t>)</w:t>
      </w:r>
      <w:r>
        <w:tab/>
        <w:t>‘</w:t>
      </w:r>
      <w:hyperlink r:id="rId5" w:history="1">
        <w:r w:rsidRPr="00E3457D">
          <w:rPr>
            <w:rStyle w:val="Hyperlink"/>
          </w:rPr>
          <w:t>Much more than a market: Speed, security, solidarity–Empowering the Single Market to deliver a sustainable future and prosperity for all EU citizens</w:t>
        </w:r>
      </w:hyperlink>
      <w:r>
        <w:t>’, 2024.</w:t>
      </w:r>
    </w:p>
  </w:endnote>
  <w:endnote w:id="7">
    <w:p w14:paraId="03B3E7E5" w14:textId="17E3F82C" w:rsidR="00690AAA" w:rsidRDefault="00690AAA" w:rsidP="002E5A2C">
      <w:pPr>
        <w:pStyle w:val="EndnoteText"/>
        <w:rPr>
          <w:lang w:val="en-IE"/>
        </w:rPr>
      </w:pPr>
      <w:r>
        <w:t>(</w:t>
      </w:r>
      <w:r>
        <w:rPr>
          <w:rStyle w:val="EndnoteReference"/>
        </w:rPr>
        <w:endnoteRef/>
      </w:r>
      <w:r>
        <w:t>)</w:t>
      </w:r>
      <w:r>
        <w:tab/>
      </w:r>
      <w:hyperlink r:id="rId6" w:history="1">
        <w:r w:rsidRPr="00920CA6">
          <w:rPr>
            <w:rStyle w:val="Hyperlink"/>
          </w:rPr>
          <w:t>OJ C, C/2023/1344</w:t>
        </w:r>
      </w:hyperlink>
      <w:r>
        <w:t>.</w:t>
      </w:r>
    </w:p>
  </w:endnote>
  <w:endnote w:id="8">
    <w:p w14:paraId="27D3E1A8" w14:textId="32614D66" w:rsidR="00690AAA" w:rsidRDefault="00690AAA" w:rsidP="002E5A2C">
      <w:pPr>
        <w:pStyle w:val="EndnoteText"/>
        <w:rPr>
          <w:lang w:val="en-IE"/>
        </w:rPr>
      </w:pPr>
      <w:bookmarkStart w:id="4" w:name="_Hlk222235386"/>
      <w:r>
        <w:t>(</w:t>
      </w:r>
      <w:bookmarkEnd w:id="4"/>
      <w:r>
        <w:rPr>
          <w:rStyle w:val="EndnoteReference"/>
        </w:rPr>
        <w:endnoteRef/>
      </w:r>
      <w:r>
        <w:t>)</w:t>
      </w:r>
      <w:r>
        <w:tab/>
      </w:r>
      <w:hyperlink r:id="rId7" w:history="1">
        <w:r w:rsidRPr="005214A8">
          <w:rPr>
            <w:rStyle w:val="Hyperlink"/>
          </w:rPr>
          <w:t>SWD(2023) 211</w:t>
        </w:r>
      </w:hyperlink>
      <w:r>
        <w:t>.</w:t>
      </w:r>
    </w:p>
  </w:endnote>
  <w:endnote w:id="9">
    <w:p w14:paraId="0684BCFB" w14:textId="7797013F" w:rsidR="00690AAA" w:rsidRDefault="00690AAA" w:rsidP="002E5A2C">
      <w:pPr>
        <w:pStyle w:val="EndnoteText"/>
        <w:rPr>
          <w:lang w:val="en-IE"/>
        </w:rPr>
      </w:pPr>
      <w:r>
        <w:t>(</w:t>
      </w:r>
      <w:r>
        <w:rPr>
          <w:rStyle w:val="EndnoteReference"/>
        </w:rPr>
        <w:endnoteRef/>
      </w:r>
      <w:r>
        <w:t>)</w:t>
      </w:r>
      <w:r>
        <w:tab/>
      </w:r>
      <w:hyperlink r:id="rId8" w:history="1">
        <w:r w:rsidRPr="00DF16A3">
          <w:rPr>
            <w:rStyle w:val="Hyperlink"/>
          </w:rPr>
          <w:t>SWD(2023) 212</w:t>
        </w:r>
      </w:hyperlink>
      <w:r>
        <w:t>.</w:t>
      </w:r>
    </w:p>
  </w:endnote>
  <w:endnote w:id="10">
    <w:p w14:paraId="2D529F95" w14:textId="33821E99" w:rsidR="00690AAA" w:rsidRDefault="00690AAA" w:rsidP="008E037B">
      <w:pPr>
        <w:pStyle w:val="EndnoteText"/>
        <w:ind w:left="720" w:hanging="720"/>
        <w:rPr>
          <w:lang w:val="en-IE"/>
        </w:rPr>
      </w:pPr>
      <w:r>
        <w:t>(</w:t>
      </w:r>
      <w:r>
        <w:rPr>
          <w:rStyle w:val="EndnoteReference"/>
        </w:rPr>
        <w:endnoteRef/>
      </w:r>
      <w:r>
        <w:t>)</w:t>
      </w:r>
      <w:r>
        <w:tab/>
        <w:t>‘</w:t>
      </w:r>
      <w:hyperlink r:id="rId9" w:history="1">
        <w:r w:rsidRPr="00DB438C">
          <w:rPr>
            <w:rStyle w:val="Hyperlink"/>
          </w:rPr>
          <w:t>Study on State aid for access to finance for social enterprises and for the recruitment of disadvantaged workers in the form of wage subsidies</w:t>
        </w:r>
      </w:hyperlink>
      <w:r>
        <w:t>’, 2024.</w:t>
      </w:r>
    </w:p>
  </w:endnote>
  <w:endnote w:id="11">
    <w:p w14:paraId="55C0EC06" w14:textId="2E8F90C6" w:rsidR="00690AAA" w:rsidRPr="00B42AFF" w:rsidRDefault="00690AAA" w:rsidP="002E5A2C">
      <w:pPr>
        <w:pStyle w:val="EndnoteText"/>
        <w:rPr>
          <w:lang w:val="fr-FR"/>
        </w:rPr>
      </w:pPr>
      <w:r w:rsidRPr="00B42AFF">
        <w:rPr>
          <w:lang w:val="fr-FR"/>
        </w:rPr>
        <w:t>(</w:t>
      </w:r>
      <w:r>
        <w:rPr>
          <w:rStyle w:val="EndnoteReference"/>
        </w:rPr>
        <w:endnoteRef/>
      </w:r>
      <w:r w:rsidRPr="00B42AFF">
        <w:rPr>
          <w:lang w:val="fr-FR"/>
        </w:rPr>
        <w:t>)</w:t>
      </w:r>
      <w:r w:rsidRPr="00B42AFF">
        <w:rPr>
          <w:lang w:val="fr-FR"/>
        </w:rPr>
        <w:tab/>
      </w:r>
      <w:hyperlink r:id="rId10" w:history="1">
        <w:r w:rsidRPr="00B42AFF">
          <w:rPr>
            <w:rStyle w:val="Hyperlink"/>
            <w:lang w:val="fr-FR"/>
          </w:rPr>
          <w:t>Commission Regulation (EU) No 651/2014</w:t>
        </w:r>
      </w:hyperlink>
      <w:r w:rsidRPr="00B42AFF">
        <w:rPr>
          <w:lang w:val="fr-FR"/>
        </w:rPr>
        <w:t>.</w:t>
      </w:r>
    </w:p>
  </w:endnote>
  <w:endnote w:id="12">
    <w:p w14:paraId="16A2B001" w14:textId="23729F3B" w:rsidR="00690AAA" w:rsidRPr="00B42AFF" w:rsidRDefault="00690AAA" w:rsidP="441DD09E">
      <w:pPr>
        <w:pStyle w:val="EndnoteText"/>
        <w:rPr>
          <w:lang w:val="fr-FR"/>
        </w:rPr>
      </w:pPr>
      <w:r w:rsidRPr="00B42AFF">
        <w:rPr>
          <w:lang w:val="fr-FR"/>
        </w:rPr>
        <w:t>(</w:t>
      </w:r>
      <w:r w:rsidRPr="441DD09E">
        <w:rPr>
          <w:rStyle w:val="EndnoteReference"/>
        </w:rPr>
        <w:endnoteRef/>
      </w:r>
      <w:r w:rsidRPr="00B42AFF">
        <w:rPr>
          <w:lang w:val="fr-FR"/>
        </w:rPr>
        <w:t>)</w:t>
      </w:r>
      <w:r w:rsidRPr="00B42AFF">
        <w:rPr>
          <w:lang w:val="fr-FR"/>
        </w:rPr>
        <w:tab/>
      </w:r>
      <w:hyperlink r:id="rId11">
        <w:r w:rsidRPr="00B42AFF">
          <w:rPr>
            <w:rStyle w:val="Hyperlink"/>
            <w:lang w:val="fr-FR"/>
          </w:rPr>
          <w:t>Commission Regulation (EU) 2023/2831</w:t>
        </w:r>
      </w:hyperlink>
      <w:r w:rsidRPr="00B42AFF">
        <w:rPr>
          <w:lang w:val="fr-FR"/>
        </w:rPr>
        <w:t>.</w:t>
      </w:r>
    </w:p>
  </w:endnote>
  <w:endnote w:id="13">
    <w:p w14:paraId="6EEBD2DA" w14:textId="5682E85A" w:rsidR="00690AAA" w:rsidRPr="00B42AFF" w:rsidRDefault="00690AAA" w:rsidP="441DD09E">
      <w:pPr>
        <w:pStyle w:val="EndnoteText"/>
        <w:rPr>
          <w:lang w:val="fr-FR"/>
        </w:rPr>
      </w:pPr>
      <w:r w:rsidRPr="00B42AFF">
        <w:rPr>
          <w:lang w:val="fr-FR"/>
        </w:rPr>
        <w:t>(</w:t>
      </w:r>
      <w:r w:rsidRPr="441DD09E">
        <w:rPr>
          <w:rStyle w:val="EndnoteReference"/>
        </w:rPr>
        <w:endnoteRef/>
      </w:r>
      <w:r w:rsidRPr="00B42AFF">
        <w:rPr>
          <w:lang w:val="fr-FR"/>
        </w:rPr>
        <w:t>)</w:t>
      </w:r>
      <w:r w:rsidRPr="00B42AFF">
        <w:rPr>
          <w:lang w:val="fr-FR"/>
        </w:rPr>
        <w:tab/>
      </w:r>
      <w:hyperlink r:id="rId12">
        <w:r w:rsidRPr="00B42AFF">
          <w:rPr>
            <w:rStyle w:val="Hyperlink"/>
            <w:lang w:val="fr-FR"/>
          </w:rPr>
          <w:t>Commission Regulation (EU) 2023/2832</w:t>
        </w:r>
      </w:hyperlink>
      <w:r w:rsidRPr="00B42AFF">
        <w:rPr>
          <w:lang w:val="fr-FR"/>
        </w:rPr>
        <w:t>.</w:t>
      </w:r>
    </w:p>
  </w:endnote>
  <w:endnote w:id="14">
    <w:p w14:paraId="652B744D" w14:textId="295C259F" w:rsidR="00690AAA" w:rsidRPr="00B42AFF" w:rsidRDefault="00690AAA" w:rsidP="002E5A2C">
      <w:pPr>
        <w:pStyle w:val="EndnoteText"/>
        <w:rPr>
          <w:lang w:val="fr-FR"/>
        </w:rPr>
      </w:pPr>
      <w:r w:rsidRPr="00B42AFF">
        <w:rPr>
          <w:lang w:val="fr-FR"/>
        </w:rPr>
        <w:t>(</w:t>
      </w:r>
      <w:r>
        <w:rPr>
          <w:rStyle w:val="EndnoteReference"/>
        </w:rPr>
        <w:endnoteRef/>
      </w:r>
      <w:r w:rsidRPr="00B42AFF">
        <w:rPr>
          <w:lang w:val="fr-FR"/>
        </w:rPr>
        <w:t>)</w:t>
      </w:r>
      <w:r w:rsidRPr="00B42AFF">
        <w:rPr>
          <w:lang w:val="fr-FR"/>
        </w:rPr>
        <w:tab/>
      </w:r>
      <w:hyperlink r:id="rId13" w:history="1">
        <w:r w:rsidRPr="00B42AFF">
          <w:rPr>
            <w:rStyle w:val="Hyperlink"/>
            <w:lang w:val="fr-FR"/>
          </w:rPr>
          <w:t>Commission Decision (EU) 2025/2630</w:t>
        </w:r>
      </w:hyperlink>
      <w:r w:rsidRPr="00B42AFF">
        <w:rPr>
          <w:color w:val="000000"/>
          <w:lang w:val="fr-FR"/>
        </w:rPr>
        <w:t>.</w:t>
      </w:r>
    </w:p>
  </w:endnote>
  <w:endnote w:id="15">
    <w:p w14:paraId="69554AD0" w14:textId="1570BF3E" w:rsidR="00690AAA" w:rsidDel="00B55E2A" w:rsidRDefault="00690AAA" w:rsidP="002E5A2C">
      <w:pPr>
        <w:pStyle w:val="EndnoteText"/>
        <w:rPr>
          <w:lang w:val="en-IE"/>
        </w:rPr>
      </w:pPr>
      <w:r>
        <w:t>(</w:t>
      </w:r>
      <w:r>
        <w:rPr>
          <w:rStyle w:val="EndnoteReference"/>
        </w:rPr>
        <w:endnoteRef/>
      </w:r>
      <w:r>
        <w:t>)</w:t>
      </w:r>
      <w:r>
        <w:tab/>
      </w:r>
      <w:hyperlink r:id="rId14" w:history="1">
        <w:r w:rsidRPr="00BE3DF9">
          <w:rPr>
            <w:rStyle w:val="Hyperlink"/>
          </w:rPr>
          <w:t>SWD(2025) 333</w:t>
        </w:r>
      </w:hyperlink>
      <w:r>
        <w:t>.</w:t>
      </w:r>
    </w:p>
  </w:endnote>
  <w:endnote w:id="16">
    <w:p w14:paraId="7EFB6F6D" w14:textId="25BE5B66" w:rsidR="00690AAA" w:rsidRPr="00B7222C" w:rsidRDefault="00690AAA">
      <w:pPr>
        <w:pStyle w:val="EndnoteText"/>
        <w:rPr>
          <w:lang w:val="en-IE"/>
        </w:rPr>
      </w:pPr>
      <w:r>
        <w:t>(</w:t>
      </w:r>
      <w:r>
        <w:rPr>
          <w:rStyle w:val="EndnoteReference"/>
        </w:rPr>
        <w:endnoteRef/>
      </w:r>
      <w:r>
        <w:t>)</w:t>
      </w:r>
      <w:r>
        <w:tab/>
        <w:t xml:space="preserve">See </w:t>
      </w:r>
      <w:hyperlink r:id="rId15" w:history="1">
        <w:r w:rsidRPr="002758BC">
          <w:rPr>
            <w:rStyle w:val="Hyperlink"/>
          </w:rPr>
          <w:t>https://circular-cities-and-regions.ec.europa.eu/</w:t>
        </w:r>
      </w:hyperlink>
    </w:p>
  </w:endnote>
  <w:endnote w:id="17">
    <w:p w14:paraId="0823EAC7" w14:textId="77777777" w:rsidR="00690AAA" w:rsidRDefault="00690AAA" w:rsidP="008E037B">
      <w:pPr>
        <w:pStyle w:val="EndnoteText"/>
        <w:ind w:left="720" w:hanging="720"/>
      </w:pPr>
      <w:r>
        <w:t>(</w:t>
      </w:r>
      <w:r>
        <w:rPr>
          <w:vertAlign w:val="superscript"/>
        </w:rPr>
        <w:endnoteRef/>
      </w:r>
      <w:r>
        <w:t>)</w:t>
      </w:r>
      <w:r>
        <w:tab/>
        <w:t>These amounts are approximative, as a precise split of the amounts allocated and the investment mobilised based on approved InvestEU operations is not possible in all cases.</w:t>
      </w:r>
    </w:p>
  </w:endnote>
  <w:endnote w:id="18">
    <w:p w14:paraId="2DB2CADF" w14:textId="45587393" w:rsidR="00690AAA" w:rsidRPr="00690AAA" w:rsidRDefault="00690AAA">
      <w:pPr>
        <w:pStyle w:val="EndnoteText"/>
        <w:rPr>
          <w:lang w:val="en-IE"/>
        </w:rPr>
      </w:pPr>
      <w:r>
        <w:t>(</w:t>
      </w:r>
      <w:r>
        <w:rPr>
          <w:rStyle w:val="EndnoteReference"/>
        </w:rPr>
        <w:endnoteRef/>
      </w:r>
      <w:r>
        <w:t>)</w:t>
      </w:r>
      <w:r>
        <w:tab/>
        <w:t xml:space="preserve">ADIE, the major French </w:t>
      </w:r>
      <w:r w:rsidR="00C62CBA">
        <w:t>microfinance institutions</w:t>
      </w:r>
      <w:r>
        <w:t xml:space="preserve"> with close to 100 000 active clients, including one third receiving minimum social benefits one fifth with no diploma, shows that 93% of clients are still professionally active 2 to 3 years after receiving a loan and 82% of the businesses created are still running</w:t>
      </w:r>
      <w:r w:rsidRPr="00473492">
        <w:t xml:space="preserve"> </w:t>
      </w:r>
      <w:r>
        <w:t xml:space="preserve">(2025, </w:t>
      </w:r>
      <w:hyperlink r:id="rId16" w:history="1">
        <w:r w:rsidRPr="005428D9">
          <w:rPr>
            <w:rStyle w:val="Hyperlink"/>
          </w:rPr>
          <w:t>Etude Impact Adie ZRR</w:t>
        </w:r>
      </w:hyperlink>
      <w:r>
        <w:t>).</w:t>
      </w:r>
    </w:p>
  </w:endnote>
  <w:endnote w:id="19">
    <w:p w14:paraId="64F28645" w14:textId="045AA893" w:rsidR="00690AAA" w:rsidRPr="00A42610" w:rsidRDefault="00690AAA" w:rsidP="002E5A2C">
      <w:pPr>
        <w:pStyle w:val="EndnoteText"/>
        <w:rPr>
          <w:lang w:val="fr-BE"/>
        </w:rPr>
      </w:pPr>
      <w:r w:rsidRPr="00A42610">
        <w:rPr>
          <w:lang w:val="fr-BE"/>
        </w:rPr>
        <w:t>(</w:t>
      </w:r>
      <w:r>
        <w:rPr>
          <w:rStyle w:val="EndnoteReference"/>
        </w:rPr>
        <w:endnoteRef/>
      </w:r>
      <w:r w:rsidRPr="00A42610">
        <w:rPr>
          <w:lang w:val="fr-BE"/>
        </w:rPr>
        <w:t>)</w:t>
      </w:r>
      <w:r w:rsidRPr="00A42610">
        <w:rPr>
          <w:lang w:val="fr-BE"/>
        </w:rPr>
        <w:tab/>
      </w:r>
      <w:hyperlink r:id="rId17" w:history="1">
        <w:r w:rsidRPr="00A42610">
          <w:rPr>
            <w:rStyle w:val="Hyperlink"/>
            <w:lang w:val="fr-BE"/>
          </w:rPr>
          <w:t>Regulation (EU) 2021/1057</w:t>
        </w:r>
      </w:hyperlink>
      <w:r w:rsidRPr="00A42610">
        <w:rPr>
          <w:lang w:val="fr-BE"/>
        </w:rPr>
        <w:t>.</w:t>
      </w:r>
    </w:p>
  </w:endnote>
  <w:endnote w:id="20">
    <w:p w14:paraId="4715E4D3" w14:textId="22410A85" w:rsidR="00690AAA" w:rsidRPr="00A42610" w:rsidRDefault="00690AAA" w:rsidP="002E5A2C">
      <w:pPr>
        <w:pStyle w:val="EndnoteText"/>
        <w:rPr>
          <w:lang w:val="fr-BE"/>
        </w:rPr>
      </w:pPr>
      <w:r w:rsidRPr="00A42610">
        <w:rPr>
          <w:lang w:val="fr-BE"/>
        </w:rPr>
        <w:t>(</w:t>
      </w:r>
      <w:r>
        <w:rPr>
          <w:rStyle w:val="EndnoteReference"/>
        </w:rPr>
        <w:endnoteRef/>
      </w:r>
      <w:r w:rsidRPr="00A42610">
        <w:rPr>
          <w:lang w:val="fr-BE"/>
        </w:rPr>
        <w:t>)</w:t>
      </w:r>
      <w:r w:rsidRPr="00A42610">
        <w:rPr>
          <w:lang w:val="fr-BE"/>
        </w:rPr>
        <w:tab/>
      </w:r>
      <w:hyperlink r:id="rId18" w:history="1">
        <w:r w:rsidRPr="00A42610">
          <w:rPr>
            <w:rStyle w:val="Hyperlink"/>
            <w:lang w:val="fr-BE"/>
          </w:rPr>
          <w:t>Regulation (EU) 2021/1058</w:t>
        </w:r>
      </w:hyperlink>
      <w:r w:rsidRPr="00A42610">
        <w:rPr>
          <w:lang w:val="fr-BE"/>
        </w:rPr>
        <w:t>.</w:t>
      </w:r>
    </w:p>
  </w:endnote>
  <w:endnote w:id="21">
    <w:p w14:paraId="2DF851BD" w14:textId="59633F26" w:rsidR="00690AAA" w:rsidRPr="00A42610" w:rsidRDefault="00690AAA" w:rsidP="002E5A2C">
      <w:pPr>
        <w:pStyle w:val="EndnoteText"/>
        <w:rPr>
          <w:lang w:val="fr-BE"/>
        </w:rPr>
      </w:pPr>
      <w:r w:rsidRPr="00A42610">
        <w:rPr>
          <w:lang w:val="fr-BE"/>
        </w:rPr>
        <w:t>(</w:t>
      </w:r>
      <w:r>
        <w:rPr>
          <w:rStyle w:val="EndnoteReference"/>
        </w:rPr>
        <w:endnoteRef/>
      </w:r>
      <w:r w:rsidRPr="00A42610">
        <w:rPr>
          <w:lang w:val="fr-BE"/>
        </w:rPr>
        <w:t>)</w:t>
      </w:r>
      <w:r w:rsidRPr="00A42610">
        <w:rPr>
          <w:lang w:val="fr-BE"/>
        </w:rPr>
        <w:tab/>
      </w:r>
      <w:hyperlink r:id="rId19" w:history="1">
        <w:r w:rsidRPr="00A42610">
          <w:rPr>
            <w:rStyle w:val="Hyperlink"/>
            <w:lang w:val="fr-BE"/>
          </w:rPr>
          <w:t>Regulation (EU) 2021/241</w:t>
        </w:r>
      </w:hyperlink>
      <w:r w:rsidRPr="00A42610">
        <w:rPr>
          <w:lang w:val="fr-BE"/>
        </w:rPr>
        <w:t>.</w:t>
      </w:r>
    </w:p>
  </w:endnote>
  <w:endnote w:id="22">
    <w:p w14:paraId="2A648665" w14:textId="09837CD0" w:rsidR="00690AAA" w:rsidRPr="00B7222C" w:rsidRDefault="00690AAA" w:rsidP="002E5A2C">
      <w:pPr>
        <w:pStyle w:val="EndnoteText"/>
      </w:pPr>
      <w:r w:rsidRPr="00993A4D">
        <w:t>(</w:t>
      </w:r>
      <w:r>
        <w:rPr>
          <w:rStyle w:val="EndnoteReference"/>
        </w:rPr>
        <w:endnoteRef/>
      </w:r>
      <w:r w:rsidRPr="00993A4D">
        <w:t>)</w:t>
      </w:r>
      <w:r w:rsidRPr="00993A4D">
        <w:tab/>
        <w:t xml:space="preserve">See </w:t>
      </w:r>
      <w:hyperlink r:id="rId20" w:history="1">
        <w:r w:rsidRPr="00993A4D">
          <w:rPr>
            <w:rStyle w:val="Hyperlink"/>
          </w:rPr>
          <w:t>https://socialinnovationplus.eu/</w:t>
        </w:r>
      </w:hyperlink>
    </w:p>
  </w:endnote>
  <w:endnote w:id="23">
    <w:p w14:paraId="6D849626" w14:textId="77777777" w:rsidR="00690AAA" w:rsidRDefault="00690AAA" w:rsidP="002E5A2C">
      <w:pPr>
        <w:pStyle w:val="EndnoteText"/>
        <w:rPr>
          <w:lang w:val="en-IE"/>
        </w:rPr>
      </w:pPr>
      <w:r>
        <w:t>(</w:t>
      </w:r>
      <w:r>
        <w:rPr>
          <w:rStyle w:val="EndnoteReference"/>
        </w:rPr>
        <w:endnoteRef/>
      </w:r>
      <w:r>
        <w:t>)</w:t>
      </w:r>
      <w:r>
        <w:tab/>
        <w:t xml:space="preserve">Available at </w:t>
      </w:r>
      <w:hyperlink r:id="rId21" w:history="1">
        <w:r>
          <w:rPr>
            <w:rStyle w:val="Hyperlink"/>
          </w:rPr>
          <w:t>https://link.europa.eu/jpJ6xv</w:t>
        </w:r>
      </w:hyperlink>
    </w:p>
  </w:endnote>
  <w:endnote w:id="24">
    <w:p w14:paraId="12811842" w14:textId="54192975" w:rsidR="00690AAA" w:rsidRDefault="00690AAA" w:rsidP="008E037B">
      <w:pPr>
        <w:pStyle w:val="EndnoteText"/>
        <w:ind w:left="720" w:hanging="720"/>
        <w:rPr>
          <w:lang w:val="en-IE"/>
        </w:rPr>
      </w:pPr>
      <w:r>
        <w:t>(</w:t>
      </w:r>
      <w:r>
        <w:rPr>
          <w:rStyle w:val="EndnoteReference"/>
        </w:rPr>
        <w:endnoteRef/>
      </w:r>
      <w:r>
        <w:t>)</w:t>
      </w:r>
      <w:r>
        <w:tab/>
        <w:t>‘</w:t>
      </w:r>
      <w:hyperlink r:id="rId22" w:history="1">
        <w:r w:rsidRPr="00492475">
          <w:rPr>
            <w:rStyle w:val="Hyperlink"/>
          </w:rPr>
          <w:t>Policy Guide on Social Impact Measurement for the Social and Solidarity Economy</w:t>
        </w:r>
      </w:hyperlink>
      <w:r>
        <w:t>’, 2023.</w:t>
      </w:r>
    </w:p>
  </w:endnote>
  <w:endnote w:id="25">
    <w:p w14:paraId="7D8C578B" w14:textId="5F96E76E" w:rsidR="00690AAA" w:rsidRDefault="00690AAA" w:rsidP="008E037B">
      <w:pPr>
        <w:pStyle w:val="EndnoteText"/>
        <w:ind w:left="720" w:hanging="720"/>
        <w:rPr>
          <w:lang w:val="en-IE"/>
        </w:rPr>
      </w:pPr>
      <w:r>
        <w:t>(</w:t>
      </w:r>
      <w:r>
        <w:rPr>
          <w:rStyle w:val="EndnoteReference"/>
        </w:rPr>
        <w:endnoteRef/>
      </w:r>
      <w:r>
        <w:t>)</w:t>
      </w:r>
      <w:r>
        <w:tab/>
        <w:t>Impact Europe, ‘</w:t>
      </w:r>
      <w:hyperlink r:id="rId23" w:history="1">
        <w:r w:rsidRPr="00F07B4F">
          <w:rPr>
            <w:rStyle w:val="Hyperlink"/>
          </w:rPr>
          <w:t>The Size of Impact: Main takeaways from the European impact investing market sizing exercise</w:t>
        </w:r>
      </w:hyperlink>
      <w:r>
        <w:t>’, 28 November 2024.</w:t>
      </w:r>
    </w:p>
  </w:endnote>
  <w:endnote w:id="26">
    <w:p w14:paraId="0C0758D9" w14:textId="260AFD7E" w:rsidR="00690AAA" w:rsidRDefault="00690AAA" w:rsidP="008E037B">
      <w:pPr>
        <w:pStyle w:val="EndnoteText"/>
        <w:ind w:left="720" w:hanging="720"/>
        <w:rPr>
          <w:lang w:val="en-IE"/>
        </w:rPr>
      </w:pPr>
      <w:r>
        <w:t>(</w:t>
      </w:r>
      <w:r>
        <w:rPr>
          <w:rStyle w:val="EndnoteReference"/>
        </w:rPr>
        <w:endnoteRef/>
      </w:r>
      <w:r>
        <w:t>)</w:t>
      </w:r>
      <w:r>
        <w:tab/>
        <w:t>European Microfinance Network and Microfinance Centre, ‘</w:t>
      </w:r>
      <w:hyperlink r:id="rId24" w:history="1">
        <w:r w:rsidRPr="00AC01F6">
          <w:rPr>
            <w:rStyle w:val="Hyperlink"/>
          </w:rPr>
          <w:t>Survey on Microfinance in Europe – 2025 edition</w:t>
        </w:r>
      </w:hyperlink>
      <w:r>
        <w:t>’, 2026.</w:t>
      </w:r>
    </w:p>
  </w:endnote>
  <w:endnote w:id="27">
    <w:p w14:paraId="10E83F4C" w14:textId="7C89F116" w:rsidR="00690AAA" w:rsidRDefault="00690AAA" w:rsidP="002E5A2C">
      <w:pPr>
        <w:pStyle w:val="EndnoteText"/>
        <w:rPr>
          <w:lang w:val="en-IE"/>
        </w:rPr>
      </w:pPr>
      <w:r>
        <w:t>(</w:t>
      </w:r>
      <w:r>
        <w:rPr>
          <w:rStyle w:val="EndnoteReference"/>
        </w:rPr>
        <w:endnoteRef/>
      </w:r>
      <w:r>
        <w:t>)</w:t>
      </w:r>
      <w:r>
        <w:tab/>
        <w:t xml:space="preserve">Available at: </w:t>
      </w:r>
      <w:hyperlink r:id="rId25" w:tgtFrame="_new" w:history="1">
        <w:r>
          <w:rPr>
            <w:rStyle w:val="Hyperlink"/>
          </w:rPr>
          <w:t>https://social-economy-gateway.ec.europa.eu/</w:t>
        </w:r>
      </w:hyperlink>
    </w:p>
  </w:endnote>
  <w:endnote w:id="28">
    <w:p w14:paraId="38D0FE82" w14:textId="52F2C51D" w:rsidR="00690AAA" w:rsidRDefault="00690AAA" w:rsidP="002E5A2C">
      <w:pPr>
        <w:pStyle w:val="EndnoteText"/>
      </w:pPr>
      <w:r>
        <w:t>(</w:t>
      </w:r>
      <w:r>
        <w:rPr>
          <w:vertAlign w:val="superscript"/>
        </w:rPr>
        <w:endnoteRef/>
      </w:r>
      <w:r>
        <w:t>)</w:t>
      </w:r>
      <w:r>
        <w:tab/>
        <w:t>Data as of 31 January 2026.</w:t>
      </w:r>
    </w:p>
  </w:endnote>
  <w:endnote w:id="29">
    <w:p w14:paraId="44C08809" w14:textId="06B35180" w:rsidR="00690AAA" w:rsidRDefault="00690AAA" w:rsidP="001143FB">
      <w:pPr>
        <w:pStyle w:val="EndnoteText"/>
        <w:ind w:left="720" w:hanging="720"/>
      </w:pPr>
      <w:r>
        <w:t>(</w:t>
      </w:r>
      <w:r>
        <w:rPr>
          <w:vertAlign w:val="superscript"/>
        </w:rPr>
        <w:endnoteRef/>
      </w:r>
      <w:r>
        <w:t xml:space="preserve">) </w:t>
      </w:r>
      <w:r>
        <w:tab/>
        <w:t>‘</w:t>
      </w:r>
      <w:hyperlink r:id="rId26" w:history="1">
        <w:r w:rsidRPr="00325859">
          <w:rPr>
            <w:rStyle w:val="Hyperlink"/>
          </w:rPr>
          <w:t>Benchmarking the socio-economic knowledge of the proximity and social economy ecosystem</w:t>
        </w:r>
      </w:hyperlink>
      <w:r>
        <w:t>’, 2024.</w:t>
      </w:r>
    </w:p>
  </w:endnote>
  <w:endnote w:id="30">
    <w:p w14:paraId="292F8DB3" w14:textId="0B7537AC" w:rsidR="00690AAA" w:rsidRDefault="00690AAA" w:rsidP="008E037B">
      <w:pPr>
        <w:pStyle w:val="EndnoteText"/>
        <w:ind w:left="720" w:hanging="720"/>
        <w:rPr>
          <w:lang w:val="en-IE"/>
        </w:rPr>
      </w:pPr>
      <w:r>
        <w:t>(</w:t>
      </w:r>
      <w:r>
        <w:rPr>
          <w:rStyle w:val="EndnoteReference"/>
        </w:rPr>
        <w:endnoteRef/>
      </w:r>
      <w:r>
        <w:t>)</w:t>
      </w:r>
      <w:r>
        <w:tab/>
        <w:t>‘</w:t>
      </w:r>
      <w:hyperlink r:id="rId27" w:history="1">
        <w:r w:rsidRPr="007E5A3E">
          <w:rPr>
            <w:rStyle w:val="Hyperlink"/>
          </w:rPr>
          <w:t>Social economy in Europe – Contributing to competitiveness and prosperity</w:t>
        </w:r>
      </w:hyperlink>
      <w:r>
        <w:t>’, 2025.</w:t>
      </w:r>
    </w:p>
  </w:endnote>
  <w:endnote w:id="31">
    <w:p w14:paraId="7563F769" w14:textId="16E9FEDD" w:rsidR="00690AAA" w:rsidRPr="007076A5" w:rsidRDefault="00690AAA">
      <w:pPr>
        <w:pStyle w:val="EndnoteText"/>
        <w:rPr>
          <w:lang w:val="en-IE"/>
        </w:rPr>
      </w:pPr>
      <w:r>
        <w:t>(</w:t>
      </w:r>
      <w:r>
        <w:rPr>
          <w:rStyle w:val="EndnoteReference"/>
        </w:rPr>
        <w:endnoteRef/>
      </w:r>
      <w:r>
        <w:t xml:space="preserve">) </w:t>
      </w:r>
      <w:r>
        <w:tab/>
      </w:r>
      <w:hyperlink r:id="rId28" w:history="1">
        <w:r w:rsidRPr="005706E0">
          <w:rPr>
            <w:rStyle w:val="Hyperlink"/>
          </w:rPr>
          <w:t>COM(2021) 345</w:t>
        </w:r>
      </w:hyperlink>
      <w:r>
        <w:t>.</w:t>
      </w:r>
    </w:p>
  </w:endnote>
  <w:endnote w:id="32">
    <w:p w14:paraId="1891878E" w14:textId="756CED69" w:rsidR="00690AAA" w:rsidRPr="002A0B3B" w:rsidRDefault="00690AAA">
      <w:pPr>
        <w:pStyle w:val="EndnoteText"/>
        <w:rPr>
          <w:lang w:val="en-IE"/>
        </w:rPr>
      </w:pPr>
      <w:r>
        <w:t>(</w:t>
      </w:r>
      <w:r>
        <w:rPr>
          <w:rStyle w:val="EndnoteReference"/>
        </w:rPr>
        <w:endnoteRef/>
      </w:r>
      <w:r>
        <w:t xml:space="preserve">) </w:t>
      </w:r>
      <w:r>
        <w:tab/>
      </w:r>
      <w:hyperlink r:id="rId29" w:history="1">
        <w:r w:rsidRPr="00B42B73">
          <w:rPr>
            <w:rStyle w:val="Hyperlink"/>
          </w:rPr>
          <w:t>COM(2025) 872</w:t>
        </w:r>
      </w:hyperlink>
      <w:r>
        <w:t>.</w:t>
      </w:r>
    </w:p>
  </w:endnote>
  <w:endnote w:id="33">
    <w:p w14:paraId="0907833F" w14:textId="4BEC0F43" w:rsidR="00690AAA" w:rsidRPr="00D06E9B" w:rsidRDefault="00690AAA" w:rsidP="001143FB">
      <w:pPr>
        <w:pStyle w:val="EndnoteText"/>
        <w:ind w:left="720" w:hanging="720"/>
        <w:rPr>
          <w:lang w:val="en-IE"/>
        </w:rPr>
      </w:pPr>
      <w:r>
        <w:t>(</w:t>
      </w:r>
      <w:r>
        <w:rPr>
          <w:rStyle w:val="EndnoteReference"/>
        </w:rPr>
        <w:endnoteRef/>
      </w:r>
      <w:r>
        <w:t xml:space="preserve">) </w:t>
      </w:r>
      <w:r>
        <w:tab/>
      </w:r>
      <w:hyperlink r:id="rId30" w:history="1">
        <w:r w:rsidRPr="00D30FD1">
          <w:rPr>
            <w:rStyle w:val="Hyperlink"/>
          </w:rPr>
          <w:t>JOIN(2025) 26</w:t>
        </w:r>
      </w:hyperlink>
      <w:r>
        <w:t>.</w:t>
      </w:r>
    </w:p>
  </w:endnote>
  <w:endnote w:id="34">
    <w:p w14:paraId="27FE2C16" w14:textId="6D0C199A" w:rsidR="00690AAA" w:rsidRPr="00B13526" w:rsidRDefault="00690AAA" w:rsidP="001143FB">
      <w:pPr>
        <w:pStyle w:val="EndnoteText"/>
        <w:ind w:left="720" w:hanging="720"/>
        <w:rPr>
          <w:lang w:val="en-IE"/>
        </w:rPr>
      </w:pPr>
      <w:r>
        <w:t>(</w:t>
      </w:r>
      <w:r>
        <w:rPr>
          <w:rStyle w:val="EndnoteReference"/>
        </w:rPr>
        <w:endnoteRef/>
      </w:r>
      <w:r>
        <w:t>)</w:t>
      </w:r>
      <w:r>
        <w:tab/>
      </w:r>
      <w:r w:rsidRPr="008E1740">
        <w:t>The Commission has started revising the General Block Exemption Regulation and will assess whether and how it should be updated, including the rules on aid for social enterprises, training and employment and recruitment of disadvantaged workers.</w:t>
      </w:r>
    </w:p>
  </w:endnote>
  <w:endnote w:id="35">
    <w:p w14:paraId="49810DE1" w14:textId="07924874" w:rsidR="00690AAA" w:rsidRPr="00D30FD1" w:rsidRDefault="00690AAA" w:rsidP="001143FB">
      <w:pPr>
        <w:pStyle w:val="EndnoteText"/>
        <w:ind w:left="720" w:hanging="720"/>
        <w:rPr>
          <w:lang w:val="pt-PT"/>
        </w:rPr>
      </w:pPr>
      <w:r w:rsidRPr="00D30FD1">
        <w:rPr>
          <w:lang w:val="pt-PT"/>
        </w:rPr>
        <w:t>(</w:t>
      </w:r>
      <w:r>
        <w:rPr>
          <w:rStyle w:val="EndnoteReference"/>
        </w:rPr>
        <w:endnoteRef/>
      </w:r>
      <w:r w:rsidRPr="00D30FD1">
        <w:rPr>
          <w:lang w:val="pt-PT"/>
        </w:rPr>
        <w:t>)</w:t>
      </w:r>
      <w:r w:rsidRPr="00D30FD1">
        <w:rPr>
          <w:lang w:val="pt-PT"/>
        </w:rPr>
        <w:tab/>
      </w:r>
      <w:hyperlink r:id="rId31" w:history="1">
        <w:r w:rsidRPr="00D30FD1">
          <w:rPr>
            <w:rStyle w:val="Hyperlink"/>
            <w:lang w:val="pt-PT"/>
          </w:rPr>
          <w:t>COM(2025) 378</w:t>
        </w:r>
      </w:hyperlink>
      <w:r w:rsidRPr="00D30FD1">
        <w:rPr>
          <w:lang w:val="pt-PT"/>
        </w:rPr>
        <w:t>.</w:t>
      </w:r>
    </w:p>
  </w:endnote>
  <w:endnote w:id="36">
    <w:p w14:paraId="5833018A" w14:textId="125FD014" w:rsidR="00690AAA" w:rsidRPr="008E037B" w:rsidRDefault="00690AAA" w:rsidP="001143FB">
      <w:pPr>
        <w:pStyle w:val="EndnoteText"/>
        <w:ind w:left="720" w:hanging="720"/>
        <w:rPr>
          <w:lang w:val="pt-PT"/>
        </w:rPr>
      </w:pPr>
      <w:r w:rsidRPr="008E037B">
        <w:rPr>
          <w:lang w:val="pt-PT"/>
        </w:rPr>
        <w:t>(</w:t>
      </w:r>
      <w:r w:rsidRPr="0051374F">
        <w:endnoteRef/>
      </w:r>
      <w:r w:rsidRPr="008E037B">
        <w:rPr>
          <w:lang w:val="pt-PT"/>
        </w:rPr>
        <w:t xml:space="preserve">) </w:t>
      </w:r>
      <w:r w:rsidRPr="008E037B">
        <w:rPr>
          <w:lang w:val="pt-PT"/>
        </w:rPr>
        <w:tab/>
      </w:r>
      <w:hyperlink r:id="rId32" w:history="1">
        <w:r w:rsidRPr="00D30FD1">
          <w:rPr>
            <w:rStyle w:val="Hyperlink"/>
            <w:lang w:val="pt-PT"/>
          </w:rPr>
          <w:t>Regulation (EU) No 345/2013</w:t>
        </w:r>
      </w:hyperlink>
      <w:r w:rsidRPr="008E037B">
        <w:rPr>
          <w:lang w:val="pt-PT"/>
        </w:rPr>
        <w:t>.</w:t>
      </w:r>
    </w:p>
  </w:endnote>
  <w:endnote w:id="37">
    <w:p w14:paraId="37CEE2E0" w14:textId="379D76FA" w:rsidR="00690AAA" w:rsidRPr="008E037B" w:rsidRDefault="00690AAA" w:rsidP="001143FB">
      <w:pPr>
        <w:pStyle w:val="EndnoteText"/>
        <w:ind w:left="720" w:hanging="720"/>
        <w:rPr>
          <w:szCs w:val="24"/>
          <w:lang w:val="pt-PT"/>
        </w:rPr>
      </w:pPr>
      <w:r w:rsidRPr="008E037B">
        <w:rPr>
          <w:lang w:val="pt-PT"/>
        </w:rPr>
        <w:t>(</w:t>
      </w:r>
      <w:r w:rsidRPr="0051374F">
        <w:endnoteRef/>
      </w:r>
      <w:r w:rsidRPr="008E037B">
        <w:rPr>
          <w:lang w:val="pt-PT"/>
        </w:rPr>
        <w:t xml:space="preserve">) </w:t>
      </w:r>
      <w:r w:rsidRPr="008E037B">
        <w:rPr>
          <w:lang w:val="pt-PT"/>
        </w:rPr>
        <w:tab/>
      </w:r>
      <w:hyperlink r:id="rId33" w:history="1">
        <w:r w:rsidRPr="00C86925">
          <w:rPr>
            <w:rStyle w:val="Hyperlink"/>
            <w:lang w:val="pt-PT"/>
          </w:rPr>
          <w:t>Regulation (EU) No 346/2013</w:t>
        </w:r>
      </w:hyperlink>
      <w:r w:rsidRPr="008E037B">
        <w:rPr>
          <w:lang w:val="pt-PT"/>
        </w:rPr>
        <w:t>.</w:t>
      </w:r>
    </w:p>
  </w:endnote>
  <w:endnote w:id="38">
    <w:p w14:paraId="19FEAF77" w14:textId="6B6D0D80" w:rsidR="00690AAA" w:rsidRPr="00B13526" w:rsidRDefault="00690AAA" w:rsidP="001143FB">
      <w:pPr>
        <w:pStyle w:val="EndnoteText"/>
        <w:ind w:left="720" w:hanging="720"/>
        <w:rPr>
          <w:lang w:val="en-IE"/>
        </w:rPr>
      </w:pPr>
      <w:r>
        <w:t>(</w:t>
      </w:r>
      <w:r>
        <w:rPr>
          <w:rStyle w:val="EndnoteReference"/>
        </w:rPr>
        <w:endnoteRef/>
      </w:r>
      <w:r>
        <w:t>)</w:t>
      </w:r>
      <w:r>
        <w:tab/>
      </w:r>
      <w:hyperlink r:id="rId34" w:history="1">
        <w:r w:rsidRPr="00F150D0">
          <w:rPr>
            <w:rStyle w:val="Hyperlink"/>
          </w:rPr>
          <w:t>COM(2025) 1025</w:t>
        </w:r>
      </w:hyperlink>
      <w:r>
        <w:t>.</w:t>
      </w:r>
    </w:p>
  </w:endnote>
  <w:endnote w:id="39">
    <w:p w14:paraId="4051C181" w14:textId="0D1B775B" w:rsidR="00690AAA" w:rsidRPr="000D45D2" w:rsidRDefault="00690AAA">
      <w:pPr>
        <w:pStyle w:val="EndnoteText"/>
        <w:rPr>
          <w:lang w:val="en-IE"/>
        </w:rPr>
      </w:pPr>
      <w:r>
        <w:t>(</w:t>
      </w:r>
      <w:r>
        <w:rPr>
          <w:rStyle w:val="EndnoteReference"/>
        </w:rPr>
        <w:endnoteRef/>
      </w:r>
      <w:r>
        <w:t>)</w:t>
      </w:r>
      <w:r>
        <w:tab/>
        <w:t xml:space="preserve">The latest mapping can be consulted at </w:t>
      </w:r>
      <w:hyperlink r:id="rId35" w:history="1">
        <w:r w:rsidRPr="002758BC">
          <w:rPr>
            <w:rStyle w:val="Hyperlink"/>
          </w:rPr>
          <w:t>https://link.europa.eu/Wn7Nmq</w:t>
        </w:r>
      </w:hyperlink>
    </w:p>
  </w:endnote>
  <w:endnote w:id="40">
    <w:p w14:paraId="3A12E4F7" w14:textId="006A92B5" w:rsidR="00690AAA" w:rsidRDefault="00690AAA" w:rsidP="008E037B">
      <w:pPr>
        <w:pStyle w:val="EndnoteText"/>
        <w:ind w:left="720" w:hanging="720"/>
        <w:rPr>
          <w:lang w:val="en-IE"/>
        </w:rPr>
      </w:pPr>
      <w:r>
        <w:t>(</w:t>
      </w:r>
      <w:r>
        <w:rPr>
          <w:rStyle w:val="EndnoteReference"/>
        </w:rPr>
        <w:endnoteRef/>
      </w:r>
      <w:r>
        <w:t>)</w:t>
      </w:r>
      <w:r>
        <w:tab/>
      </w:r>
      <w:hyperlink r:id="rId36" w:history="1">
        <w:r w:rsidRPr="00F150D0">
          <w:rPr>
            <w:rStyle w:val="Hyperlink"/>
          </w:rPr>
          <w:t>JOIN(2025) 791</w:t>
        </w:r>
      </w:hyperlink>
      <w:r>
        <w:t>.</w:t>
      </w:r>
    </w:p>
  </w:endnote>
  <w:endnote w:id="41">
    <w:p w14:paraId="01E6A609" w14:textId="36BDC75C" w:rsidR="00690AAA" w:rsidRDefault="00690AAA" w:rsidP="008E037B">
      <w:pPr>
        <w:pStyle w:val="EndnoteText"/>
        <w:ind w:left="720" w:hanging="720"/>
        <w:rPr>
          <w:lang w:val="en-IE"/>
        </w:rPr>
      </w:pPr>
      <w:r>
        <w:t>(</w:t>
      </w:r>
      <w:r>
        <w:rPr>
          <w:rStyle w:val="EndnoteReference"/>
        </w:rPr>
        <w:endnoteRef/>
      </w:r>
      <w:r>
        <w:t>)</w:t>
      </w:r>
      <w:r>
        <w:tab/>
      </w:r>
      <w:hyperlink r:id="rId37" w:history="1">
        <w:r w:rsidRPr="005365F3">
          <w:rPr>
            <w:rStyle w:val="Hyperlink"/>
          </w:rPr>
          <w:t>COM(2025) 790</w:t>
        </w:r>
      </w:hyperlink>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CB701" w14:textId="7D02E449" w:rsidR="0036085F" w:rsidRPr="0036085F" w:rsidRDefault="0036085F" w:rsidP="0036085F">
    <w:pPr>
      <w:pStyle w:val="FooterCoverPage"/>
      <w:rPr>
        <w:rFonts w:ascii="Arial" w:hAnsi="Arial" w:cs="Arial"/>
        <w:b/>
        <w:sz w:val="48"/>
      </w:rPr>
    </w:pPr>
    <w:r w:rsidRPr="0036085F">
      <w:rPr>
        <w:rFonts w:ascii="Arial" w:hAnsi="Arial" w:cs="Arial"/>
        <w:b/>
        <w:sz w:val="48"/>
      </w:rPr>
      <w:t>EN</w:t>
    </w:r>
    <w:r w:rsidRPr="0036085F">
      <w:rPr>
        <w:rFonts w:ascii="Arial" w:hAnsi="Arial" w:cs="Arial"/>
        <w:b/>
        <w:sz w:val="48"/>
      </w:rPr>
      <w:tab/>
    </w:r>
    <w:r w:rsidRPr="0036085F">
      <w:rPr>
        <w:rFonts w:ascii="Arial" w:hAnsi="Arial" w:cs="Arial"/>
        <w:b/>
        <w:sz w:val="48"/>
      </w:rPr>
      <w:tab/>
    </w:r>
    <w:r w:rsidRPr="0036085F">
      <w:tab/>
    </w:r>
    <w:r w:rsidRPr="0036085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7D353" w14:textId="216086DC" w:rsidR="0036085F" w:rsidRPr="0036085F" w:rsidRDefault="0036085F" w:rsidP="0036085F">
    <w:pPr>
      <w:pStyle w:val="FooterCoverPage"/>
      <w:rPr>
        <w:rFonts w:ascii="Arial" w:hAnsi="Arial" w:cs="Arial"/>
        <w:b/>
        <w:sz w:val="48"/>
      </w:rPr>
    </w:pPr>
    <w:r w:rsidRPr="0036085F">
      <w:rPr>
        <w:rFonts w:ascii="Arial" w:hAnsi="Arial" w:cs="Arial"/>
        <w:b/>
        <w:sz w:val="48"/>
      </w:rPr>
      <w:t>EN</w:t>
    </w:r>
    <w:r w:rsidRPr="0036085F">
      <w:rPr>
        <w:rFonts w:ascii="Arial" w:hAnsi="Arial" w:cs="Arial"/>
        <w:b/>
        <w:sz w:val="48"/>
      </w:rPr>
      <w:tab/>
    </w:r>
    <w:r w:rsidRPr="0036085F">
      <w:rPr>
        <w:rFonts w:ascii="Arial" w:hAnsi="Arial" w:cs="Arial"/>
        <w:b/>
        <w:sz w:val="48"/>
      </w:rPr>
      <w:tab/>
    </w:r>
    <w:r w:rsidRPr="0036085F">
      <w:tab/>
    </w:r>
    <w:r w:rsidRPr="0036085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985C2" w14:textId="77777777" w:rsidR="0036085F" w:rsidRPr="0036085F" w:rsidRDefault="0036085F" w:rsidP="0036085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32066" w14:textId="77777777" w:rsidR="000C61F9" w:rsidRDefault="000C61F9">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Pr>
        <w:noProof/>
      </w:rPr>
      <w:t>22</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0FF52" w14:textId="09512ED5" w:rsidR="000C61F9" w:rsidRDefault="000C61F9">
    <w:pPr>
      <w:pStyle w:val="FooterLine"/>
      <w:jc w:val="center"/>
    </w:pPr>
    <w:r w:rsidRPr="006B0833">
      <w:rPr>
        <w:color w:val="2B579A"/>
        <w:shd w:val="clear" w:color="auto" w:fill="E6E6E6"/>
      </w:rPr>
      <w:fldChar w:fldCharType="begin"/>
    </w:r>
    <w:r w:rsidRPr="006B0833">
      <w:instrText>PAGE   \* MERGEFORMAT</w:instrText>
    </w:r>
    <w:r w:rsidRPr="006B0833">
      <w:rPr>
        <w:color w:val="2B579A"/>
        <w:shd w:val="clear" w:color="auto" w:fill="E6E6E6"/>
      </w:rPr>
      <w:fldChar w:fldCharType="separate"/>
    </w:r>
    <w:r w:rsidR="0036085F">
      <w:rPr>
        <w:noProof/>
      </w:rPr>
      <w:t>2</w:t>
    </w:r>
    <w:r w:rsidRPr="006B0833">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902376"/>
      <w:docPartObj>
        <w:docPartGallery w:val="Page Numbers (Bottom of Page)"/>
        <w:docPartUnique/>
      </w:docPartObj>
    </w:sdtPr>
    <w:sdtEndPr>
      <w:rPr>
        <w:noProof/>
      </w:rPr>
    </w:sdtEndPr>
    <w:sdtContent>
      <w:p w14:paraId="65E877A8" w14:textId="080A708C" w:rsidR="000C61F9" w:rsidRDefault="000C61F9">
        <w:pPr>
          <w:pStyle w:val="Footer"/>
          <w:jc w:val="center"/>
        </w:pPr>
        <w:r>
          <w:fldChar w:fldCharType="begin"/>
        </w:r>
        <w:r>
          <w:instrText xml:space="preserve"> PAGE   \* MERGEFORMAT </w:instrText>
        </w:r>
        <w:r>
          <w:fldChar w:fldCharType="separate"/>
        </w:r>
        <w:r w:rsidR="0036085F">
          <w:rPr>
            <w:noProof/>
          </w:rPr>
          <w:t>1</w:t>
        </w:r>
        <w:r>
          <w:rPr>
            <w:noProof/>
          </w:rPr>
          <w:fldChar w:fldCharType="end"/>
        </w:r>
      </w:p>
    </w:sdtContent>
  </w:sdt>
  <w:p w14:paraId="22434791" w14:textId="77777777" w:rsidR="000C61F9" w:rsidRDefault="000C6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0FC38" w14:textId="77777777" w:rsidR="00EB564C" w:rsidRDefault="00EB564C">
      <w:pPr>
        <w:spacing w:after="0"/>
      </w:pPr>
      <w:r>
        <w:separator/>
      </w:r>
    </w:p>
  </w:footnote>
  <w:footnote w:type="continuationSeparator" w:id="0">
    <w:p w14:paraId="4B1E73AE" w14:textId="77777777" w:rsidR="00EB564C" w:rsidRDefault="00EB564C">
      <w:pPr>
        <w:spacing w:after="0"/>
      </w:pPr>
      <w:r>
        <w:continuationSeparator/>
      </w:r>
    </w:p>
  </w:footnote>
  <w:footnote w:type="continuationNotice" w:id="1">
    <w:p w14:paraId="036F3A0B" w14:textId="77777777" w:rsidR="00EB564C" w:rsidRDefault="00EB564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57298" w14:textId="77777777" w:rsidR="0036085F" w:rsidRPr="0036085F" w:rsidRDefault="0036085F" w:rsidP="0036085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A4703" w14:textId="77777777" w:rsidR="0036085F" w:rsidRPr="0036085F" w:rsidRDefault="0036085F" w:rsidP="0036085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27773" w14:textId="77777777" w:rsidR="0036085F" w:rsidRPr="0036085F" w:rsidRDefault="0036085F" w:rsidP="0036085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CD995" w14:textId="77777777" w:rsidR="000C61F9" w:rsidRDefault="000C61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26927" w14:textId="77777777" w:rsidR="000C61F9" w:rsidRDefault="000C61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EFE38" w14:textId="77777777" w:rsidR="000C61F9" w:rsidRDefault="000C61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05A96"/>
    <w:multiLevelType w:val="hybridMultilevel"/>
    <w:tmpl w:val="FF504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F0D6CEC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5EB0FD7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1680910"/>
    <w:multiLevelType w:val="hybridMultilevel"/>
    <w:tmpl w:val="74FA3C38"/>
    <w:lvl w:ilvl="0" w:tplc="F0847B74">
      <w:start w:val="7"/>
      <w:numFmt w:val="bullet"/>
      <w:lvlText w:val="-"/>
      <w:lvlJc w:val="left"/>
      <w:pPr>
        <w:ind w:left="720" w:hanging="360"/>
      </w:pPr>
      <w:rPr>
        <w:rFonts w:ascii="Times New Roman" w:eastAsia="Apto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B7201"/>
    <w:multiLevelType w:val="multilevel"/>
    <w:tmpl w:val="7728AE9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7D6E733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6B1CA79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850A4A9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A1C6C2B"/>
    <w:multiLevelType w:val="hybridMultilevel"/>
    <w:tmpl w:val="E03AA9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7B624F"/>
    <w:multiLevelType w:val="multilevel"/>
    <w:tmpl w:val="48B257C8"/>
    <w:name w:val="ListDash2Numbering"/>
    <w:lvl w:ilvl="0">
      <w:start w:val="1"/>
      <w:numFmt w:val="bullet"/>
      <w:pStyle w:val="ListDash2"/>
      <w:lvlText w:val="–"/>
      <w:lvlJc w:val="left"/>
      <w:pPr>
        <w:tabs>
          <w:tab w:val="num" w:pos="283"/>
        </w:tabs>
        <w:ind w:left="283" w:hanging="283"/>
      </w:pPr>
      <w:rPr>
        <w:rFonts w:ascii="Times New Roman" w:hAnsi="Times New Roman"/>
      </w:rPr>
    </w:lvl>
    <w:lvl w:ilvl="1">
      <w:start w:val="1"/>
      <w:numFmt w:val="bullet"/>
      <w:pStyle w:val="ListDash2Level2"/>
      <w:lvlText w:val="–"/>
      <w:lvlJc w:val="left"/>
      <w:pPr>
        <w:tabs>
          <w:tab w:val="num" w:pos="567"/>
        </w:tabs>
        <w:ind w:left="567" w:hanging="284"/>
      </w:pPr>
      <w:rPr>
        <w:rFonts w:ascii="Times New Roman" w:hAnsi="Times New Roman"/>
      </w:rPr>
    </w:lvl>
    <w:lvl w:ilvl="2">
      <w:start w:val="1"/>
      <w:numFmt w:val="bullet"/>
      <w:pStyle w:val="ListDash2Level3"/>
      <w:lvlText w:val="–"/>
      <w:lvlJc w:val="left"/>
      <w:pPr>
        <w:tabs>
          <w:tab w:val="num" w:pos="850"/>
        </w:tabs>
        <w:ind w:left="850" w:hanging="283"/>
      </w:pPr>
      <w:rPr>
        <w:rFonts w:ascii="Times New Roman" w:hAnsi="Times New Roman"/>
      </w:rPr>
    </w:lvl>
    <w:lvl w:ilvl="3">
      <w:start w:val="1"/>
      <w:numFmt w:val="bullet"/>
      <w:pStyle w:val="ListDash2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1851630"/>
    <w:multiLevelType w:val="hybridMultilevel"/>
    <w:tmpl w:val="B5A04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8DFDF8"/>
    <w:multiLevelType w:val="multilevel"/>
    <w:tmpl w:val="767ACAB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CBD0A95"/>
    <w:multiLevelType w:val="hybridMultilevel"/>
    <w:tmpl w:val="3DBE2E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D293CE3"/>
    <w:multiLevelType w:val="multilevel"/>
    <w:tmpl w:val="8D208BF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457E83E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59258C6"/>
    <w:multiLevelType w:val="hybridMultilevel"/>
    <w:tmpl w:val="980A3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324F1E"/>
    <w:multiLevelType w:val="multilevel"/>
    <w:tmpl w:val="0D6C47F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6EC2F39"/>
    <w:multiLevelType w:val="hybridMultilevel"/>
    <w:tmpl w:val="90D6C4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7CB1E1C"/>
    <w:multiLevelType w:val="multilevel"/>
    <w:tmpl w:val="24C86F2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8FF3F88"/>
    <w:multiLevelType w:val="multilevel"/>
    <w:tmpl w:val="F68A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730C4"/>
    <w:multiLevelType w:val="multilevel"/>
    <w:tmpl w:val="7FD81F3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B920888"/>
    <w:multiLevelType w:val="hybridMultilevel"/>
    <w:tmpl w:val="0D1661A6"/>
    <w:lvl w:ilvl="0" w:tplc="04090001">
      <w:start w:val="1"/>
      <w:numFmt w:val="bullet"/>
      <w:lvlText w:val=""/>
      <w:lvlJc w:val="left"/>
      <w:pPr>
        <w:ind w:left="-102" w:hanging="360"/>
      </w:pPr>
      <w:rPr>
        <w:rFonts w:ascii="Symbol" w:hAnsi="Symbol" w:hint="default"/>
      </w:rPr>
    </w:lvl>
    <w:lvl w:ilvl="1" w:tplc="04090003">
      <w:start w:val="1"/>
      <w:numFmt w:val="bullet"/>
      <w:lvlText w:val="o"/>
      <w:lvlJc w:val="left"/>
      <w:pPr>
        <w:ind w:left="618" w:hanging="360"/>
      </w:pPr>
      <w:rPr>
        <w:rFonts w:ascii="Courier New" w:hAnsi="Courier New" w:cs="Courier New" w:hint="default"/>
      </w:rPr>
    </w:lvl>
    <w:lvl w:ilvl="2" w:tplc="04090005">
      <w:start w:val="1"/>
      <w:numFmt w:val="bullet"/>
      <w:lvlText w:val=""/>
      <w:lvlJc w:val="left"/>
      <w:pPr>
        <w:ind w:left="1338" w:hanging="360"/>
      </w:pPr>
      <w:rPr>
        <w:rFonts w:ascii="Wingdings" w:hAnsi="Wingdings" w:hint="default"/>
      </w:rPr>
    </w:lvl>
    <w:lvl w:ilvl="3" w:tplc="04090001">
      <w:start w:val="1"/>
      <w:numFmt w:val="bullet"/>
      <w:lvlText w:val=""/>
      <w:lvlJc w:val="left"/>
      <w:pPr>
        <w:ind w:left="2058" w:hanging="360"/>
      </w:pPr>
      <w:rPr>
        <w:rFonts w:ascii="Symbol" w:hAnsi="Symbol" w:hint="default"/>
      </w:rPr>
    </w:lvl>
    <w:lvl w:ilvl="4" w:tplc="04090003">
      <w:start w:val="1"/>
      <w:numFmt w:val="bullet"/>
      <w:lvlText w:val="o"/>
      <w:lvlJc w:val="left"/>
      <w:pPr>
        <w:ind w:left="2778" w:hanging="360"/>
      </w:pPr>
      <w:rPr>
        <w:rFonts w:ascii="Courier New" w:hAnsi="Courier New" w:cs="Courier New" w:hint="default"/>
      </w:rPr>
    </w:lvl>
    <w:lvl w:ilvl="5" w:tplc="04090005">
      <w:start w:val="1"/>
      <w:numFmt w:val="bullet"/>
      <w:lvlText w:val=""/>
      <w:lvlJc w:val="left"/>
      <w:pPr>
        <w:ind w:left="3498" w:hanging="360"/>
      </w:pPr>
      <w:rPr>
        <w:rFonts w:ascii="Wingdings" w:hAnsi="Wingdings" w:hint="default"/>
      </w:rPr>
    </w:lvl>
    <w:lvl w:ilvl="6" w:tplc="04090001">
      <w:start w:val="1"/>
      <w:numFmt w:val="bullet"/>
      <w:lvlText w:val=""/>
      <w:lvlJc w:val="left"/>
      <w:pPr>
        <w:ind w:left="4218" w:hanging="360"/>
      </w:pPr>
      <w:rPr>
        <w:rFonts w:ascii="Symbol" w:hAnsi="Symbol" w:hint="default"/>
      </w:rPr>
    </w:lvl>
    <w:lvl w:ilvl="7" w:tplc="04090003">
      <w:start w:val="1"/>
      <w:numFmt w:val="bullet"/>
      <w:lvlText w:val="o"/>
      <w:lvlJc w:val="left"/>
      <w:pPr>
        <w:ind w:left="4938" w:hanging="360"/>
      </w:pPr>
      <w:rPr>
        <w:rFonts w:ascii="Courier New" w:hAnsi="Courier New" w:cs="Courier New" w:hint="default"/>
      </w:rPr>
    </w:lvl>
    <w:lvl w:ilvl="8" w:tplc="04090005">
      <w:start w:val="1"/>
      <w:numFmt w:val="bullet"/>
      <w:lvlText w:val=""/>
      <w:lvlJc w:val="left"/>
      <w:pPr>
        <w:ind w:left="5658" w:hanging="360"/>
      </w:pPr>
      <w:rPr>
        <w:rFonts w:ascii="Wingdings" w:hAnsi="Wingdings" w:hint="default"/>
      </w:rPr>
    </w:lvl>
  </w:abstractNum>
  <w:abstractNum w:abstractNumId="22" w15:restartNumberingAfterBreak="0">
    <w:nsid w:val="3D57761B"/>
    <w:multiLevelType w:val="hybridMultilevel"/>
    <w:tmpl w:val="C51A2DAA"/>
    <w:lvl w:ilvl="0" w:tplc="CA7EDBA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9E662A"/>
    <w:multiLevelType w:val="multilevel"/>
    <w:tmpl w:val="B90EE1B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4CB741F"/>
    <w:multiLevelType w:val="hybridMultilevel"/>
    <w:tmpl w:val="12965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6B61B2"/>
    <w:multiLevelType w:val="hybridMultilevel"/>
    <w:tmpl w:val="8F40F8DA"/>
    <w:lvl w:ilvl="0" w:tplc="18090001">
      <w:start w:val="1"/>
      <w:numFmt w:val="bullet"/>
      <w:lvlText w:val=""/>
      <w:lvlJc w:val="left"/>
      <w:pPr>
        <w:ind w:left="928"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C3A06F4"/>
    <w:multiLevelType w:val="hybridMultilevel"/>
    <w:tmpl w:val="9A3EB1A8"/>
    <w:lvl w:ilvl="0" w:tplc="6A84A60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E1A982C"/>
    <w:multiLevelType w:val="multilevel"/>
    <w:tmpl w:val="18247A8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A4C2506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3AC3AB4"/>
    <w:multiLevelType w:val="hybridMultilevel"/>
    <w:tmpl w:val="8EE20D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46C051A"/>
    <w:multiLevelType w:val="hybridMultilevel"/>
    <w:tmpl w:val="A910503E"/>
    <w:lvl w:ilvl="0" w:tplc="CE5401FE">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C6A1B9B"/>
    <w:multiLevelType w:val="hybridMultilevel"/>
    <w:tmpl w:val="A3B4D8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6711FD"/>
    <w:multiLevelType w:val="hybridMultilevel"/>
    <w:tmpl w:val="9508F0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EBD8AF"/>
    <w:multiLevelType w:val="hybridMultilevel"/>
    <w:tmpl w:val="FFFFFFFF"/>
    <w:lvl w:ilvl="0" w:tplc="6798AB4E">
      <w:start w:val="2"/>
      <w:numFmt w:val="upperRoman"/>
      <w:lvlText w:val="%1."/>
      <w:lvlJc w:val="left"/>
      <w:pPr>
        <w:ind w:left="1080" w:hanging="720"/>
      </w:pPr>
      <w:rPr>
        <w:rFonts w:ascii="Times New Roman" w:hAnsi="Times New Roman" w:hint="default"/>
      </w:rPr>
    </w:lvl>
    <w:lvl w:ilvl="1" w:tplc="67640508">
      <w:start w:val="1"/>
      <w:numFmt w:val="lowerLetter"/>
      <w:lvlText w:val="%2."/>
      <w:lvlJc w:val="left"/>
      <w:pPr>
        <w:ind w:left="1440" w:hanging="360"/>
      </w:pPr>
    </w:lvl>
    <w:lvl w:ilvl="2" w:tplc="609812B6">
      <w:start w:val="1"/>
      <w:numFmt w:val="lowerRoman"/>
      <w:lvlText w:val="%3."/>
      <w:lvlJc w:val="right"/>
      <w:pPr>
        <w:ind w:left="2160" w:hanging="180"/>
      </w:pPr>
    </w:lvl>
    <w:lvl w:ilvl="3" w:tplc="172A28A6">
      <w:start w:val="1"/>
      <w:numFmt w:val="decimal"/>
      <w:lvlText w:val="%4."/>
      <w:lvlJc w:val="left"/>
      <w:pPr>
        <w:ind w:left="2880" w:hanging="360"/>
      </w:pPr>
    </w:lvl>
    <w:lvl w:ilvl="4" w:tplc="F1DAD908">
      <w:start w:val="1"/>
      <w:numFmt w:val="lowerLetter"/>
      <w:lvlText w:val="%5."/>
      <w:lvlJc w:val="left"/>
      <w:pPr>
        <w:ind w:left="3600" w:hanging="360"/>
      </w:pPr>
    </w:lvl>
    <w:lvl w:ilvl="5" w:tplc="AF9A3DB0">
      <w:start w:val="1"/>
      <w:numFmt w:val="lowerRoman"/>
      <w:lvlText w:val="%6."/>
      <w:lvlJc w:val="right"/>
      <w:pPr>
        <w:ind w:left="4320" w:hanging="180"/>
      </w:pPr>
    </w:lvl>
    <w:lvl w:ilvl="6" w:tplc="F60E251A">
      <w:start w:val="1"/>
      <w:numFmt w:val="decimal"/>
      <w:lvlText w:val="%7."/>
      <w:lvlJc w:val="left"/>
      <w:pPr>
        <w:ind w:left="5040" w:hanging="360"/>
      </w:pPr>
    </w:lvl>
    <w:lvl w:ilvl="7" w:tplc="CC50B8C2">
      <w:start w:val="1"/>
      <w:numFmt w:val="lowerLetter"/>
      <w:lvlText w:val="%8."/>
      <w:lvlJc w:val="left"/>
      <w:pPr>
        <w:ind w:left="5760" w:hanging="360"/>
      </w:pPr>
    </w:lvl>
    <w:lvl w:ilvl="8" w:tplc="A0345F72">
      <w:start w:val="1"/>
      <w:numFmt w:val="lowerRoman"/>
      <w:lvlText w:val="%9."/>
      <w:lvlJc w:val="right"/>
      <w:pPr>
        <w:ind w:left="6480" w:hanging="180"/>
      </w:pPr>
    </w:lvl>
  </w:abstractNum>
  <w:abstractNum w:abstractNumId="34" w15:restartNumberingAfterBreak="0">
    <w:nsid w:val="6977472E"/>
    <w:multiLevelType w:val="multilevel"/>
    <w:tmpl w:val="A808AD8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73457286"/>
    <w:multiLevelType w:val="hybridMultilevel"/>
    <w:tmpl w:val="06AE96B2"/>
    <w:lvl w:ilvl="0" w:tplc="0846ABB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72219F"/>
    <w:multiLevelType w:val="hybridMultilevel"/>
    <w:tmpl w:val="39B66774"/>
    <w:lvl w:ilvl="0" w:tplc="CA7EDBA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B5A9F3B"/>
    <w:multiLevelType w:val="multilevel"/>
    <w:tmpl w:val="FFFFFFFF"/>
    <w:lvl w:ilvl="0">
      <w:start w:val="1"/>
      <w:numFmt w:val="decimal"/>
      <w:lvlText w:val="%1."/>
      <w:lvlJc w:val="left"/>
      <w:pPr>
        <w:ind w:left="482"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65145E"/>
    <w:multiLevelType w:val="multilevel"/>
    <w:tmpl w:val="64C8D36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rPr>
        <w:b/>
        <w:bCs/>
        <w:sz w:val="24"/>
        <w:szCs w:val="20"/>
      </w:r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0" w15:restartNumberingAfterBreak="0">
    <w:nsid w:val="7CE41621"/>
    <w:multiLevelType w:val="hybridMultilevel"/>
    <w:tmpl w:val="3A92855A"/>
    <w:lvl w:ilvl="0" w:tplc="49F01134">
      <w:start w:val="1"/>
      <w:numFmt w:val="bullet"/>
      <w:lvlText w:val="-"/>
      <w:lvlJc w:val="left"/>
      <w:pPr>
        <w:ind w:left="720" w:hanging="360"/>
      </w:pPr>
      <w:rPr>
        <w:rFonts w:ascii="Calibri" w:hAnsi="Calibri" w:hint="default"/>
      </w:rPr>
    </w:lvl>
    <w:lvl w:ilvl="1" w:tplc="66E4C29A">
      <w:start w:val="1"/>
      <w:numFmt w:val="bullet"/>
      <w:lvlText w:val="o"/>
      <w:lvlJc w:val="left"/>
      <w:pPr>
        <w:ind w:left="1440" w:hanging="360"/>
      </w:pPr>
      <w:rPr>
        <w:rFonts w:ascii="Courier New" w:hAnsi="Courier New" w:hint="default"/>
      </w:rPr>
    </w:lvl>
    <w:lvl w:ilvl="2" w:tplc="284A00F2">
      <w:start w:val="1"/>
      <w:numFmt w:val="bullet"/>
      <w:lvlText w:val=""/>
      <w:lvlJc w:val="left"/>
      <w:pPr>
        <w:ind w:left="2160" w:hanging="360"/>
      </w:pPr>
      <w:rPr>
        <w:rFonts w:ascii="Wingdings" w:hAnsi="Wingdings" w:hint="default"/>
      </w:rPr>
    </w:lvl>
    <w:lvl w:ilvl="3" w:tplc="83D60C34">
      <w:start w:val="1"/>
      <w:numFmt w:val="bullet"/>
      <w:lvlText w:val=""/>
      <w:lvlJc w:val="left"/>
      <w:pPr>
        <w:ind w:left="2880" w:hanging="360"/>
      </w:pPr>
      <w:rPr>
        <w:rFonts w:ascii="Symbol" w:hAnsi="Symbol" w:hint="default"/>
      </w:rPr>
    </w:lvl>
    <w:lvl w:ilvl="4" w:tplc="849A7890">
      <w:start w:val="1"/>
      <w:numFmt w:val="bullet"/>
      <w:lvlText w:val="o"/>
      <w:lvlJc w:val="left"/>
      <w:pPr>
        <w:ind w:left="3600" w:hanging="360"/>
      </w:pPr>
      <w:rPr>
        <w:rFonts w:ascii="Courier New" w:hAnsi="Courier New" w:hint="default"/>
      </w:rPr>
    </w:lvl>
    <w:lvl w:ilvl="5" w:tplc="9260F5BE">
      <w:start w:val="1"/>
      <w:numFmt w:val="bullet"/>
      <w:lvlText w:val=""/>
      <w:lvlJc w:val="left"/>
      <w:pPr>
        <w:ind w:left="4320" w:hanging="360"/>
      </w:pPr>
      <w:rPr>
        <w:rFonts w:ascii="Wingdings" w:hAnsi="Wingdings" w:hint="default"/>
      </w:rPr>
    </w:lvl>
    <w:lvl w:ilvl="6" w:tplc="35AA10A8">
      <w:start w:val="1"/>
      <w:numFmt w:val="bullet"/>
      <w:lvlText w:val=""/>
      <w:lvlJc w:val="left"/>
      <w:pPr>
        <w:ind w:left="5040" w:hanging="360"/>
      </w:pPr>
      <w:rPr>
        <w:rFonts w:ascii="Symbol" w:hAnsi="Symbol" w:hint="default"/>
      </w:rPr>
    </w:lvl>
    <w:lvl w:ilvl="7" w:tplc="39AABE3A">
      <w:start w:val="1"/>
      <w:numFmt w:val="bullet"/>
      <w:lvlText w:val="o"/>
      <w:lvlJc w:val="left"/>
      <w:pPr>
        <w:ind w:left="5760" w:hanging="360"/>
      </w:pPr>
      <w:rPr>
        <w:rFonts w:ascii="Courier New" w:hAnsi="Courier New" w:hint="default"/>
      </w:rPr>
    </w:lvl>
    <w:lvl w:ilvl="8" w:tplc="2A30E932">
      <w:start w:val="1"/>
      <w:numFmt w:val="bullet"/>
      <w:lvlText w:val=""/>
      <w:lvlJc w:val="left"/>
      <w:pPr>
        <w:ind w:left="6480" w:hanging="360"/>
      </w:pPr>
      <w:rPr>
        <w:rFonts w:ascii="Wingdings" w:hAnsi="Wingdings" w:hint="default"/>
      </w:rPr>
    </w:lvl>
  </w:abstractNum>
  <w:num w:numId="1">
    <w:abstractNumId w:val="40"/>
  </w:num>
  <w:num w:numId="2">
    <w:abstractNumId w:val="1"/>
  </w:num>
  <w:num w:numId="3">
    <w:abstractNumId w:val="16"/>
  </w:num>
  <w:num w:numId="4">
    <w:abstractNumId w:val="9"/>
  </w:num>
  <w:num w:numId="5">
    <w:abstractNumId w:val="18"/>
  </w:num>
  <w:num w:numId="6">
    <w:abstractNumId w:val="28"/>
  </w:num>
  <w:num w:numId="7">
    <w:abstractNumId w:val="34"/>
  </w:num>
  <w:num w:numId="8">
    <w:abstractNumId w:val="2"/>
  </w:num>
  <w:num w:numId="9">
    <w:abstractNumId w:val="7"/>
  </w:num>
  <w:num w:numId="10">
    <w:abstractNumId w:val="23"/>
  </w:num>
  <w:num w:numId="11">
    <w:abstractNumId w:val="4"/>
  </w:num>
  <w:num w:numId="12">
    <w:abstractNumId w:val="5"/>
  </w:num>
  <w:num w:numId="13">
    <w:abstractNumId w:val="6"/>
  </w:num>
  <w:num w:numId="14">
    <w:abstractNumId w:val="11"/>
  </w:num>
  <w:num w:numId="15">
    <w:abstractNumId w:val="20"/>
  </w:num>
  <w:num w:numId="16">
    <w:abstractNumId w:val="27"/>
  </w:num>
  <w:num w:numId="17">
    <w:abstractNumId w:val="38"/>
  </w:num>
  <w:num w:numId="18">
    <w:abstractNumId w:val="13"/>
  </w:num>
  <w:num w:numId="19">
    <w:abstractNumId w:val="14"/>
  </w:num>
  <w:num w:numId="20">
    <w:abstractNumId w:val="39"/>
  </w:num>
  <w:num w:numId="21">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2">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3">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8">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5">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7">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8">
    <w:abstractNumId w:val="26"/>
  </w:num>
  <w:num w:numId="39">
    <w:abstractNumId w:val="21"/>
  </w:num>
  <w:num w:numId="40">
    <w:abstractNumId w:val="30"/>
  </w:num>
  <w:num w:numId="41">
    <w:abstractNumId w:val="32"/>
  </w:num>
  <w:num w:numId="42">
    <w:abstractNumId w:val="15"/>
  </w:num>
  <w:num w:numId="43">
    <w:abstractNumId w:val="33"/>
  </w:num>
  <w:num w:numId="44">
    <w:abstractNumId w:val="3"/>
  </w:num>
  <w:num w:numId="45">
    <w:abstractNumId w:val="35"/>
  </w:num>
  <w:num w:numId="46">
    <w:abstractNumId w:val="37"/>
  </w:num>
  <w:num w:numId="47">
    <w:abstractNumId w:val="0"/>
  </w:num>
  <w:num w:numId="48">
    <w:abstractNumId w:val="25"/>
  </w:num>
  <w:num w:numId="49">
    <w:abstractNumId w:val="8"/>
  </w:num>
  <w:num w:numId="50">
    <w:abstractNumId w:val="17"/>
  </w:num>
  <w:num w:numId="51">
    <w:abstractNumId w:val="24"/>
  </w:num>
  <w:num w:numId="52">
    <w:abstractNumId w:val="10"/>
  </w:num>
  <w:num w:numId="53">
    <w:abstractNumId w:val="36"/>
  </w:num>
  <w:num w:numId="54">
    <w:abstractNumId w:val="29"/>
  </w:num>
  <w:num w:numId="55">
    <w:abstractNumId w:val="12"/>
  </w:num>
  <w:num w:numId="56">
    <w:abstractNumId w:val="31"/>
  </w:num>
  <w:num w:numId="57">
    <w:abstractNumId w:val="19"/>
  </w:num>
  <w:num w:numId="58">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01F64B2-906C-4896-BB6B-8E87C8A00CBC"/>
    <w:docVar w:name="LW_COVERPAGE_TYPE" w:val="1"/>
    <w:docVar w:name="LW_CROSSREFERENCE" w:val="{SWD(2026) 94 final}"/>
    <w:docVar w:name="LW_DocType" w:val="2B5C3B4C1A9046549919923689B63A24"/>
    <w:docVar w:name="LW_EMISSION" w:val="30.3.2026"/>
    <w:docVar w:name="LW_EMISSION_ISODATE" w:val="2026-03-30"/>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Mid-term review of the action plan for the social economy: main achievements and way forward "/>
    <w:docVar w:name="LW_TYPE.DOC.CP" w:val="REPORT FROM THE COMMISSION TO THE EUROPEAN PARLIAMENT, THE COUNCIL, THE EUROPEAN ECONOMIC AND SOCIAL COMMITTEE AND THE COMMITTEE OF THE REGIONS"/>
    <w:docVar w:name="LwApiVersions" w:val="LW4CoDe 1.24.5.0; LW 9.2, Build 20251112"/>
    <w:docVar w:name="Stamp" w:val="\\dossiers.dgt.cec.eu.int\dossiers\EMPL\EMPL-2025-01861\EMPL-2025-01861-00-00-EN-EDT-00.202601051136007881785.DOCX"/>
  </w:docVars>
  <w:rsids>
    <w:rsidRoot w:val="00375B0A"/>
    <w:rsid w:val="0000014A"/>
    <w:rsid w:val="0000019E"/>
    <w:rsid w:val="00000564"/>
    <w:rsid w:val="00000588"/>
    <w:rsid w:val="00000652"/>
    <w:rsid w:val="00000C2C"/>
    <w:rsid w:val="0000111E"/>
    <w:rsid w:val="00001504"/>
    <w:rsid w:val="0000164A"/>
    <w:rsid w:val="000019D7"/>
    <w:rsid w:val="00001B0C"/>
    <w:rsid w:val="00001FA7"/>
    <w:rsid w:val="00002727"/>
    <w:rsid w:val="00002A82"/>
    <w:rsid w:val="00002F4D"/>
    <w:rsid w:val="000032C8"/>
    <w:rsid w:val="000033D2"/>
    <w:rsid w:val="00003501"/>
    <w:rsid w:val="00003612"/>
    <w:rsid w:val="00003753"/>
    <w:rsid w:val="000039CB"/>
    <w:rsid w:val="00003A7D"/>
    <w:rsid w:val="00003B0C"/>
    <w:rsid w:val="00003BB8"/>
    <w:rsid w:val="00003C2A"/>
    <w:rsid w:val="00003DAA"/>
    <w:rsid w:val="00004061"/>
    <w:rsid w:val="0000406C"/>
    <w:rsid w:val="00004156"/>
    <w:rsid w:val="0000422C"/>
    <w:rsid w:val="00004857"/>
    <w:rsid w:val="00004C4C"/>
    <w:rsid w:val="00004D46"/>
    <w:rsid w:val="000050D5"/>
    <w:rsid w:val="000051EA"/>
    <w:rsid w:val="0000557B"/>
    <w:rsid w:val="0000576D"/>
    <w:rsid w:val="00006685"/>
    <w:rsid w:val="000066CE"/>
    <w:rsid w:val="00006ACA"/>
    <w:rsid w:val="00006D5E"/>
    <w:rsid w:val="00006F85"/>
    <w:rsid w:val="000071FE"/>
    <w:rsid w:val="0000733A"/>
    <w:rsid w:val="00007462"/>
    <w:rsid w:val="000076EC"/>
    <w:rsid w:val="000078C8"/>
    <w:rsid w:val="000078D4"/>
    <w:rsid w:val="00007D5C"/>
    <w:rsid w:val="00007DA3"/>
    <w:rsid w:val="00007E08"/>
    <w:rsid w:val="00007E9C"/>
    <w:rsid w:val="00007F32"/>
    <w:rsid w:val="000100F2"/>
    <w:rsid w:val="000100FA"/>
    <w:rsid w:val="00010285"/>
    <w:rsid w:val="000102BB"/>
    <w:rsid w:val="0001062A"/>
    <w:rsid w:val="00010783"/>
    <w:rsid w:val="000109E8"/>
    <w:rsid w:val="00010A93"/>
    <w:rsid w:val="00010BBF"/>
    <w:rsid w:val="00010E38"/>
    <w:rsid w:val="000114A0"/>
    <w:rsid w:val="00011728"/>
    <w:rsid w:val="00011773"/>
    <w:rsid w:val="00011BAE"/>
    <w:rsid w:val="000120F1"/>
    <w:rsid w:val="0001221E"/>
    <w:rsid w:val="00012477"/>
    <w:rsid w:val="0001257E"/>
    <w:rsid w:val="00012816"/>
    <w:rsid w:val="00012E5F"/>
    <w:rsid w:val="00013088"/>
    <w:rsid w:val="000131C5"/>
    <w:rsid w:val="0001385B"/>
    <w:rsid w:val="000140EB"/>
    <w:rsid w:val="000141E7"/>
    <w:rsid w:val="000145AA"/>
    <w:rsid w:val="00014AE5"/>
    <w:rsid w:val="00014BA1"/>
    <w:rsid w:val="00014C28"/>
    <w:rsid w:val="00014D4C"/>
    <w:rsid w:val="00015140"/>
    <w:rsid w:val="0001519F"/>
    <w:rsid w:val="000154E5"/>
    <w:rsid w:val="00015886"/>
    <w:rsid w:val="00015A02"/>
    <w:rsid w:val="00015BB9"/>
    <w:rsid w:val="00015E6B"/>
    <w:rsid w:val="00015E9E"/>
    <w:rsid w:val="00015F60"/>
    <w:rsid w:val="00016047"/>
    <w:rsid w:val="0001613D"/>
    <w:rsid w:val="00016292"/>
    <w:rsid w:val="00016577"/>
    <w:rsid w:val="000165F6"/>
    <w:rsid w:val="00016762"/>
    <w:rsid w:val="00016AC7"/>
    <w:rsid w:val="00016B95"/>
    <w:rsid w:val="00017291"/>
    <w:rsid w:val="0001758F"/>
    <w:rsid w:val="000176C1"/>
    <w:rsid w:val="000176E6"/>
    <w:rsid w:val="000178A1"/>
    <w:rsid w:val="000178C8"/>
    <w:rsid w:val="00017B8D"/>
    <w:rsid w:val="00017B93"/>
    <w:rsid w:val="00017BB9"/>
    <w:rsid w:val="00017D63"/>
    <w:rsid w:val="00017E5E"/>
    <w:rsid w:val="0002011F"/>
    <w:rsid w:val="0002040C"/>
    <w:rsid w:val="0002053E"/>
    <w:rsid w:val="00020561"/>
    <w:rsid w:val="000205E8"/>
    <w:rsid w:val="00020675"/>
    <w:rsid w:val="00020C80"/>
    <w:rsid w:val="00020D6B"/>
    <w:rsid w:val="00020FB9"/>
    <w:rsid w:val="00021262"/>
    <w:rsid w:val="000215CA"/>
    <w:rsid w:val="0002160C"/>
    <w:rsid w:val="00021D69"/>
    <w:rsid w:val="0002218B"/>
    <w:rsid w:val="0002227D"/>
    <w:rsid w:val="00022534"/>
    <w:rsid w:val="00022547"/>
    <w:rsid w:val="000226D6"/>
    <w:rsid w:val="00022748"/>
    <w:rsid w:val="00022BD9"/>
    <w:rsid w:val="00022D22"/>
    <w:rsid w:val="00022E02"/>
    <w:rsid w:val="00023185"/>
    <w:rsid w:val="000234F8"/>
    <w:rsid w:val="00023936"/>
    <w:rsid w:val="00023A30"/>
    <w:rsid w:val="00023BB7"/>
    <w:rsid w:val="0002438F"/>
    <w:rsid w:val="00024514"/>
    <w:rsid w:val="000245F2"/>
    <w:rsid w:val="00024620"/>
    <w:rsid w:val="00024770"/>
    <w:rsid w:val="000249FF"/>
    <w:rsid w:val="00024A63"/>
    <w:rsid w:val="00024DC0"/>
    <w:rsid w:val="00025020"/>
    <w:rsid w:val="000250F8"/>
    <w:rsid w:val="0002535A"/>
    <w:rsid w:val="0002544B"/>
    <w:rsid w:val="00025504"/>
    <w:rsid w:val="00025C66"/>
    <w:rsid w:val="00025F2F"/>
    <w:rsid w:val="00026322"/>
    <w:rsid w:val="0002643F"/>
    <w:rsid w:val="00026612"/>
    <w:rsid w:val="0002690A"/>
    <w:rsid w:val="00026F4D"/>
    <w:rsid w:val="0002707F"/>
    <w:rsid w:val="000272DA"/>
    <w:rsid w:val="000272E5"/>
    <w:rsid w:val="00027479"/>
    <w:rsid w:val="000274F2"/>
    <w:rsid w:val="00027555"/>
    <w:rsid w:val="0002778E"/>
    <w:rsid w:val="00027855"/>
    <w:rsid w:val="00027A75"/>
    <w:rsid w:val="00027DD7"/>
    <w:rsid w:val="00027F0C"/>
    <w:rsid w:val="00030129"/>
    <w:rsid w:val="000304B8"/>
    <w:rsid w:val="00030560"/>
    <w:rsid w:val="00030935"/>
    <w:rsid w:val="000315E3"/>
    <w:rsid w:val="0003185C"/>
    <w:rsid w:val="00031B99"/>
    <w:rsid w:val="00031E4F"/>
    <w:rsid w:val="00031FA4"/>
    <w:rsid w:val="00032006"/>
    <w:rsid w:val="000321D9"/>
    <w:rsid w:val="000323A9"/>
    <w:rsid w:val="000325F4"/>
    <w:rsid w:val="00032711"/>
    <w:rsid w:val="0003293B"/>
    <w:rsid w:val="00032E61"/>
    <w:rsid w:val="00033500"/>
    <w:rsid w:val="000338DB"/>
    <w:rsid w:val="00033A08"/>
    <w:rsid w:val="00033BDE"/>
    <w:rsid w:val="00033D87"/>
    <w:rsid w:val="00033D9F"/>
    <w:rsid w:val="00034015"/>
    <w:rsid w:val="0003412E"/>
    <w:rsid w:val="0003414A"/>
    <w:rsid w:val="00034DAF"/>
    <w:rsid w:val="00034F35"/>
    <w:rsid w:val="0003546A"/>
    <w:rsid w:val="00035A26"/>
    <w:rsid w:val="00035BF0"/>
    <w:rsid w:val="00035D8F"/>
    <w:rsid w:val="00035DFD"/>
    <w:rsid w:val="00036334"/>
    <w:rsid w:val="00036482"/>
    <w:rsid w:val="00036598"/>
    <w:rsid w:val="00036864"/>
    <w:rsid w:val="00036A3A"/>
    <w:rsid w:val="00036B52"/>
    <w:rsid w:val="00036B65"/>
    <w:rsid w:val="00036B8F"/>
    <w:rsid w:val="00036E88"/>
    <w:rsid w:val="00036F46"/>
    <w:rsid w:val="000370B4"/>
    <w:rsid w:val="0003713F"/>
    <w:rsid w:val="0003726B"/>
    <w:rsid w:val="00037270"/>
    <w:rsid w:val="000373C3"/>
    <w:rsid w:val="000374CF"/>
    <w:rsid w:val="00037C04"/>
    <w:rsid w:val="00037C27"/>
    <w:rsid w:val="00037DF3"/>
    <w:rsid w:val="00037E09"/>
    <w:rsid w:val="00037E18"/>
    <w:rsid w:val="0004004B"/>
    <w:rsid w:val="000403A7"/>
    <w:rsid w:val="000403C1"/>
    <w:rsid w:val="00040462"/>
    <w:rsid w:val="000409DD"/>
    <w:rsid w:val="000409F0"/>
    <w:rsid w:val="00040EEB"/>
    <w:rsid w:val="00040F0A"/>
    <w:rsid w:val="00041095"/>
    <w:rsid w:val="000410B6"/>
    <w:rsid w:val="0004110E"/>
    <w:rsid w:val="000412E4"/>
    <w:rsid w:val="0004148A"/>
    <w:rsid w:val="00041491"/>
    <w:rsid w:val="00041622"/>
    <w:rsid w:val="000417AF"/>
    <w:rsid w:val="000417B4"/>
    <w:rsid w:val="00041960"/>
    <w:rsid w:val="00041D36"/>
    <w:rsid w:val="00042085"/>
    <w:rsid w:val="000425EF"/>
    <w:rsid w:val="00042D0C"/>
    <w:rsid w:val="00042D46"/>
    <w:rsid w:val="000430E1"/>
    <w:rsid w:val="00043204"/>
    <w:rsid w:val="000434B5"/>
    <w:rsid w:val="0004376B"/>
    <w:rsid w:val="00043836"/>
    <w:rsid w:val="00043CA9"/>
    <w:rsid w:val="000442CC"/>
    <w:rsid w:val="000442CD"/>
    <w:rsid w:val="00044652"/>
    <w:rsid w:val="00044723"/>
    <w:rsid w:val="00044924"/>
    <w:rsid w:val="0004492B"/>
    <w:rsid w:val="00044AAC"/>
    <w:rsid w:val="000451C2"/>
    <w:rsid w:val="000456E7"/>
    <w:rsid w:val="000457A8"/>
    <w:rsid w:val="000457E9"/>
    <w:rsid w:val="0004589D"/>
    <w:rsid w:val="00045958"/>
    <w:rsid w:val="00045AC1"/>
    <w:rsid w:val="00045D0C"/>
    <w:rsid w:val="00046025"/>
    <w:rsid w:val="0004630A"/>
    <w:rsid w:val="000465AA"/>
    <w:rsid w:val="000465C6"/>
    <w:rsid w:val="000469E8"/>
    <w:rsid w:val="00046A20"/>
    <w:rsid w:val="00046A8C"/>
    <w:rsid w:val="00046B15"/>
    <w:rsid w:val="00046C60"/>
    <w:rsid w:val="00046D67"/>
    <w:rsid w:val="00046E1F"/>
    <w:rsid w:val="00046F47"/>
    <w:rsid w:val="0004715C"/>
    <w:rsid w:val="00047289"/>
    <w:rsid w:val="0004754D"/>
    <w:rsid w:val="000476E8"/>
    <w:rsid w:val="000477F8"/>
    <w:rsid w:val="00047930"/>
    <w:rsid w:val="0004798D"/>
    <w:rsid w:val="00047BD7"/>
    <w:rsid w:val="00047EC2"/>
    <w:rsid w:val="0005009E"/>
    <w:rsid w:val="0005032F"/>
    <w:rsid w:val="000506C0"/>
    <w:rsid w:val="000509AA"/>
    <w:rsid w:val="000509C9"/>
    <w:rsid w:val="00050AD1"/>
    <w:rsid w:val="00050BDB"/>
    <w:rsid w:val="0005115F"/>
    <w:rsid w:val="00051218"/>
    <w:rsid w:val="00051456"/>
    <w:rsid w:val="00051506"/>
    <w:rsid w:val="00051543"/>
    <w:rsid w:val="0005154E"/>
    <w:rsid w:val="000519A3"/>
    <w:rsid w:val="00051D09"/>
    <w:rsid w:val="00051DD3"/>
    <w:rsid w:val="00051DEC"/>
    <w:rsid w:val="00051E9F"/>
    <w:rsid w:val="00051FA5"/>
    <w:rsid w:val="000521DA"/>
    <w:rsid w:val="000522BB"/>
    <w:rsid w:val="00052318"/>
    <w:rsid w:val="00052568"/>
    <w:rsid w:val="000525EA"/>
    <w:rsid w:val="00052985"/>
    <w:rsid w:val="00052AE1"/>
    <w:rsid w:val="000531FD"/>
    <w:rsid w:val="00053462"/>
    <w:rsid w:val="0005361B"/>
    <w:rsid w:val="00053FF1"/>
    <w:rsid w:val="000540EC"/>
    <w:rsid w:val="00054474"/>
    <w:rsid w:val="0005475C"/>
    <w:rsid w:val="000547AF"/>
    <w:rsid w:val="00054912"/>
    <w:rsid w:val="00054E1F"/>
    <w:rsid w:val="000550BC"/>
    <w:rsid w:val="0005513E"/>
    <w:rsid w:val="00055188"/>
    <w:rsid w:val="000551AC"/>
    <w:rsid w:val="000554C4"/>
    <w:rsid w:val="000558B1"/>
    <w:rsid w:val="000558CB"/>
    <w:rsid w:val="00055A49"/>
    <w:rsid w:val="00055B48"/>
    <w:rsid w:val="00055E18"/>
    <w:rsid w:val="00055E5C"/>
    <w:rsid w:val="00056276"/>
    <w:rsid w:val="000562DD"/>
    <w:rsid w:val="00056547"/>
    <w:rsid w:val="0005669E"/>
    <w:rsid w:val="00056A4E"/>
    <w:rsid w:val="00056B5A"/>
    <w:rsid w:val="0005719D"/>
    <w:rsid w:val="0005733E"/>
    <w:rsid w:val="000575CC"/>
    <w:rsid w:val="0005768E"/>
    <w:rsid w:val="000576DF"/>
    <w:rsid w:val="0005774E"/>
    <w:rsid w:val="0006003F"/>
    <w:rsid w:val="00060065"/>
    <w:rsid w:val="0006012A"/>
    <w:rsid w:val="0006024C"/>
    <w:rsid w:val="000607E0"/>
    <w:rsid w:val="00060AF0"/>
    <w:rsid w:val="00060CCC"/>
    <w:rsid w:val="00060D2F"/>
    <w:rsid w:val="00060D4A"/>
    <w:rsid w:val="00061535"/>
    <w:rsid w:val="00061883"/>
    <w:rsid w:val="0006189A"/>
    <w:rsid w:val="0006192C"/>
    <w:rsid w:val="00061BB4"/>
    <w:rsid w:val="00061E35"/>
    <w:rsid w:val="00061F76"/>
    <w:rsid w:val="00061FA9"/>
    <w:rsid w:val="000621B0"/>
    <w:rsid w:val="000621B3"/>
    <w:rsid w:val="00062499"/>
    <w:rsid w:val="0006280A"/>
    <w:rsid w:val="00062940"/>
    <w:rsid w:val="000629A6"/>
    <w:rsid w:val="00062AC6"/>
    <w:rsid w:val="00062ADC"/>
    <w:rsid w:val="00062C12"/>
    <w:rsid w:val="00062FF6"/>
    <w:rsid w:val="000630DA"/>
    <w:rsid w:val="00063673"/>
    <w:rsid w:val="00063801"/>
    <w:rsid w:val="00063C28"/>
    <w:rsid w:val="00063C44"/>
    <w:rsid w:val="00064027"/>
    <w:rsid w:val="000642FA"/>
    <w:rsid w:val="00064363"/>
    <w:rsid w:val="00064404"/>
    <w:rsid w:val="000644B7"/>
    <w:rsid w:val="0006463C"/>
    <w:rsid w:val="000646D9"/>
    <w:rsid w:val="000647A3"/>
    <w:rsid w:val="0006498F"/>
    <w:rsid w:val="00064A0C"/>
    <w:rsid w:val="000650E4"/>
    <w:rsid w:val="000652C7"/>
    <w:rsid w:val="0006544E"/>
    <w:rsid w:val="00065641"/>
    <w:rsid w:val="0006590F"/>
    <w:rsid w:val="00065AD8"/>
    <w:rsid w:val="00065C56"/>
    <w:rsid w:val="00065F14"/>
    <w:rsid w:val="00065F26"/>
    <w:rsid w:val="000662B3"/>
    <w:rsid w:val="000665CA"/>
    <w:rsid w:val="00066FD2"/>
    <w:rsid w:val="00067123"/>
    <w:rsid w:val="00067317"/>
    <w:rsid w:val="00067B8E"/>
    <w:rsid w:val="00067D6D"/>
    <w:rsid w:val="00067DD3"/>
    <w:rsid w:val="000703DD"/>
    <w:rsid w:val="0007093C"/>
    <w:rsid w:val="000709B2"/>
    <w:rsid w:val="00070A4C"/>
    <w:rsid w:val="00070A65"/>
    <w:rsid w:val="00070FAB"/>
    <w:rsid w:val="00070FD9"/>
    <w:rsid w:val="00070FDA"/>
    <w:rsid w:val="000710A8"/>
    <w:rsid w:val="00071394"/>
    <w:rsid w:val="000717A3"/>
    <w:rsid w:val="0007181D"/>
    <w:rsid w:val="00071DCD"/>
    <w:rsid w:val="00071EF6"/>
    <w:rsid w:val="00071F1F"/>
    <w:rsid w:val="00071F6D"/>
    <w:rsid w:val="000721BA"/>
    <w:rsid w:val="000721FC"/>
    <w:rsid w:val="0007229B"/>
    <w:rsid w:val="00072AA6"/>
    <w:rsid w:val="000731D1"/>
    <w:rsid w:val="000735F1"/>
    <w:rsid w:val="00073783"/>
    <w:rsid w:val="000739B5"/>
    <w:rsid w:val="00073A36"/>
    <w:rsid w:val="00073A51"/>
    <w:rsid w:val="00073ADC"/>
    <w:rsid w:val="00073ECC"/>
    <w:rsid w:val="00073F85"/>
    <w:rsid w:val="00074024"/>
    <w:rsid w:val="0007407D"/>
    <w:rsid w:val="000744D2"/>
    <w:rsid w:val="00074644"/>
    <w:rsid w:val="00074654"/>
    <w:rsid w:val="00074B13"/>
    <w:rsid w:val="00074E0A"/>
    <w:rsid w:val="0007525F"/>
    <w:rsid w:val="00075848"/>
    <w:rsid w:val="00075C0C"/>
    <w:rsid w:val="00075D19"/>
    <w:rsid w:val="000766A2"/>
    <w:rsid w:val="00076741"/>
    <w:rsid w:val="000769B6"/>
    <w:rsid w:val="000769F5"/>
    <w:rsid w:val="00076C61"/>
    <w:rsid w:val="00076F35"/>
    <w:rsid w:val="00076FD8"/>
    <w:rsid w:val="00077265"/>
    <w:rsid w:val="0007767F"/>
    <w:rsid w:val="00077789"/>
    <w:rsid w:val="00077893"/>
    <w:rsid w:val="00077B90"/>
    <w:rsid w:val="00077F47"/>
    <w:rsid w:val="00077FEB"/>
    <w:rsid w:val="000802EB"/>
    <w:rsid w:val="00080624"/>
    <w:rsid w:val="000806A2"/>
    <w:rsid w:val="0008077D"/>
    <w:rsid w:val="00080EBD"/>
    <w:rsid w:val="000812C5"/>
    <w:rsid w:val="000812EA"/>
    <w:rsid w:val="000814F6"/>
    <w:rsid w:val="00081583"/>
    <w:rsid w:val="00081997"/>
    <w:rsid w:val="00081B7F"/>
    <w:rsid w:val="00081BDC"/>
    <w:rsid w:val="00081F96"/>
    <w:rsid w:val="00081FBE"/>
    <w:rsid w:val="0008205F"/>
    <w:rsid w:val="00082449"/>
    <w:rsid w:val="00082533"/>
    <w:rsid w:val="00082592"/>
    <w:rsid w:val="000826E9"/>
    <w:rsid w:val="0008299E"/>
    <w:rsid w:val="00082E42"/>
    <w:rsid w:val="00082EC7"/>
    <w:rsid w:val="00082F0B"/>
    <w:rsid w:val="00082FF4"/>
    <w:rsid w:val="00083074"/>
    <w:rsid w:val="00083077"/>
    <w:rsid w:val="00083546"/>
    <w:rsid w:val="00083872"/>
    <w:rsid w:val="00083FCF"/>
    <w:rsid w:val="00084090"/>
    <w:rsid w:val="000840C1"/>
    <w:rsid w:val="000846ED"/>
    <w:rsid w:val="000848C1"/>
    <w:rsid w:val="00084903"/>
    <w:rsid w:val="00084979"/>
    <w:rsid w:val="00084A26"/>
    <w:rsid w:val="00084C60"/>
    <w:rsid w:val="0008506A"/>
    <w:rsid w:val="0008507B"/>
    <w:rsid w:val="000856C5"/>
    <w:rsid w:val="0008579A"/>
    <w:rsid w:val="00085B28"/>
    <w:rsid w:val="00085BC5"/>
    <w:rsid w:val="00085D69"/>
    <w:rsid w:val="00085DA8"/>
    <w:rsid w:val="000861A1"/>
    <w:rsid w:val="00086899"/>
    <w:rsid w:val="0008692D"/>
    <w:rsid w:val="00086AC2"/>
    <w:rsid w:val="00086CCC"/>
    <w:rsid w:val="00087045"/>
    <w:rsid w:val="00087B7A"/>
    <w:rsid w:val="00087D46"/>
    <w:rsid w:val="00087E58"/>
    <w:rsid w:val="00090145"/>
    <w:rsid w:val="000903F6"/>
    <w:rsid w:val="00090412"/>
    <w:rsid w:val="0009081E"/>
    <w:rsid w:val="000908A3"/>
    <w:rsid w:val="00090A8A"/>
    <w:rsid w:val="00090BC0"/>
    <w:rsid w:val="00090C9E"/>
    <w:rsid w:val="00090F20"/>
    <w:rsid w:val="000919BF"/>
    <w:rsid w:val="00091B86"/>
    <w:rsid w:val="00091D1E"/>
    <w:rsid w:val="00091EA1"/>
    <w:rsid w:val="00092099"/>
    <w:rsid w:val="0009239F"/>
    <w:rsid w:val="000924B1"/>
    <w:rsid w:val="0009252A"/>
    <w:rsid w:val="0009275A"/>
    <w:rsid w:val="00092760"/>
    <w:rsid w:val="00092E62"/>
    <w:rsid w:val="00092FD2"/>
    <w:rsid w:val="000931BE"/>
    <w:rsid w:val="00093244"/>
    <w:rsid w:val="000934C5"/>
    <w:rsid w:val="0009356A"/>
    <w:rsid w:val="00093992"/>
    <w:rsid w:val="000939A1"/>
    <w:rsid w:val="00093A97"/>
    <w:rsid w:val="00093E19"/>
    <w:rsid w:val="00093EE1"/>
    <w:rsid w:val="0009413B"/>
    <w:rsid w:val="000949AC"/>
    <w:rsid w:val="00094C3D"/>
    <w:rsid w:val="00094DBC"/>
    <w:rsid w:val="00094E54"/>
    <w:rsid w:val="00094E5E"/>
    <w:rsid w:val="00094FE2"/>
    <w:rsid w:val="0009521A"/>
    <w:rsid w:val="00095270"/>
    <w:rsid w:val="000952DA"/>
    <w:rsid w:val="00095625"/>
    <w:rsid w:val="000956EB"/>
    <w:rsid w:val="00095BF7"/>
    <w:rsid w:val="00095C5A"/>
    <w:rsid w:val="00095D25"/>
    <w:rsid w:val="00096475"/>
    <w:rsid w:val="00096C18"/>
    <w:rsid w:val="00096E4E"/>
    <w:rsid w:val="00096E60"/>
    <w:rsid w:val="00096F68"/>
    <w:rsid w:val="00097125"/>
    <w:rsid w:val="000972DD"/>
    <w:rsid w:val="00097477"/>
    <w:rsid w:val="0009754D"/>
    <w:rsid w:val="000976A0"/>
    <w:rsid w:val="000976DC"/>
    <w:rsid w:val="0009778F"/>
    <w:rsid w:val="00097A40"/>
    <w:rsid w:val="00097C44"/>
    <w:rsid w:val="00097D14"/>
    <w:rsid w:val="00097D28"/>
    <w:rsid w:val="00097D90"/>
    <w:rsid w:val="000A0032"/>
    <w:rsid w:val="000A016C"/>
    <w:rsid w:val="000A024A"/>
    <w:rsid w:val="000A03E9"/>
    <w:rsid w:val="000A046F"/>
    <w:rsid w:val="000A04A3"/>
    <w:rsid w:val="000A05DE"/>
    <w:rsid w:val="000A06B6"/>
    <w:rsid w:val="000A06E3"/>
    <w:rsid w:val="000A074D"/>
    <w:rsid w:val="000A0A61"/>
    <w:rsid w:val="000A0AB5"/>
    <w:rsid w:val="000A0BB6"/>
    <w:rsid w:val="000A101D"/>
    <w:rsid w:val="000A10CB"/>
    <w:rsid w:val="000A15D0"/>
    <w:rsid w:val="000A1631"/>
    <w:rsid w:val="000A1A18"/>
    <w:rsid w:val="000A1A55"/>
    <w:rsid w:val="000A1B83"/>
    <w:rsid w:val="000A1DDF"/>
    <w:rsid w:val="000A1E7B"/>
    <w:rsid w:val="000A22DC"/>
    <w:rsid w:val="000A25E9"/>
    <w:rsid w:val="000A285A"/>
    <w:rsid w:val="000A2880"/>
    <w:rsid w:val="000A29FB"/>
    <w:rsid w:val="000A2B96"/>
    <w:rsid w:val="000A2BD1"/>
    <w:rsid w:val="000A2D61"/>
    <w:rsid w:val="000A305F"/>
    <w:rsid w:val="000A3089"/>
    <w:rsid w:val="000A3270"/>
    <w:rsid w:val="000A32D0"/>
    <w:rsid w:val="000A3338"/>
    <w:rsid w:val="000A349A"/>
    <w:rsid w:val="000A3789"/>
    <w:rsid w:val="000A397C"/>
    <w:rsid w:val="000A3A27"/>
    <w:rsid w:val="000A3B39"/>
    <w:rsid w:val="000A3E4A"/>
    <w:rsid w:val="000A4028"/>
    <w:rsid w:val="000A409E"/>
    <w:rsid w:val="000A4144"/>
    <w:rsid w:val="000A4329"/>
    <w:rsid w:val="000A4690"/>
    <w:rsid w:val="000A46F2"/>
    <w:rsid w:val="000A48C9"/>
    <w:rsid w:val="000A49C8"/>
    <w:rsid w:val="000A4B88"/>
    <w:rsid w:val="000A4DB8"/>
    <w:rsid w:val="000A52F9"/>
    <w:rsid w:val="000A56F0"/>
    <w:rsid w:val="000A579C"/>
    <w:rsid w:val="000A5B48"/>
    <w:rsid w:val="000A653A"/>
    <w:rsid w:val="000A6628"/>
    <w:rsid w:val="000A6658"/>
    <w:rsid w:val="000A7492"/>
    <w:rsid w:val="000A7AB7"/>
    <w:rsid w:val="000A7ACD"/>
    <w:rsid w:val="000A7C37"/>
    <w:rsid w:val="000A7E16"/>
    <w:rsid w:val="000A7ED9"/>
    <w:rsid w:val="000B02D5"/>
    <w:rsid w:val="000B0385"/>
    <w:rsid w:val="000B041C"/>
    <w:rsid w:val="000B0498"/>
    <w:rsid w:val="000B04E9"/>
    <w:rsid w:val="000B0642"/>
    <w:rsid w:val="000B0E11"/>
    <w:rsid w:val="000B1068"/>
    <w:rsid w:val="000B14D7"/>
    <w:rsid w:val="000B154F"/>
    <w:rsid w:val="000B1559"/>
    <w:rsid w:val="000B1690"/>
    <w:rsid w:val="000B1731"/>
    <w:rsid w:val="000B175D"/>
    <w:rsid w:val="000B1859"/>
    <w:rsid w:val="000B1A51"/>
    <w:rsid w:val="000B1A5A"/>
    <w:rsid w:val="000B1AB2"/>
    <w:rsid w:val="000B1D3C"/>
    <w:rsid w:val="000B2344"/>
    <w:rsid w:val="000B2662"/>
    <w:rsid w:val="000B26D7"/>
    <w:rsid w:val="000B26E5"/>
    <w:rsid w:val="000B29B9"/>
    <w:rsid w:val="000B2F2D"/>
    <w:rsid w:val="000B2FBC"/>
    <w:rsid w:val="000B2FF7"/>
    <w:rsid w:val="000B3041"/>
    <w:rsid w:val="000B3286"/>
    <w:rsid w:val="000B34EA"/>
    <w:rsid w:val="000B3519"/>
    <w:rsid w:val="000B3622"/>
    <w:rsid w:val="000B3878"/>
    <w:rsid w:val="000B3A53"/>
    <w:rsid w:val="000B3A9D"/>
    <w:rsid w:val="000B3AAC"/>
    <w:rsid w:val="000B3C71"/>
    <w:rsid w:val="000B3C73"/>
    <w:rsid w:val="000B3D84"/>
    <w:rsid w:val="000B3E0E"/>
    <w:rsid w:val="000B4004"/>
    <w:rsid w:val="000B41E8"/>
    <w:rsid w:val="000B4248"/>
    <w:rsid w:val="000B42B3"/>
    <w:rsid w:val="000B42F6"/>
    <w:rsid w:val="000B43EC"/>
    <w:rsid w:val="000B5093"/>
    <w:rsid w:val="000B53E7"/>
    <w:rsid w:val="000B57EF"/>
    <w:rsid w:val="000B5C5E"/>
    <w:rsid w:val="000B5C96"/>
    <w:rsid w:val="000B5E92"/>
    <w:rsid w:val="000B6081"/>
    <w:rsid w:val="000B61B0"/>
    <w:rsid w:val="000B62BE"/>
    <w:rsid w:val="000B647E"/>
    <w:rsid w:val="000B64E9"/>
    <w:rsid w:val="000B6AD5"/>
    <w:rsid w:val="000B6E80"/>
    <w:rsid w:val="000B71FF"/>
    <w:rsid w:val="000B732A"/>
    <w:rsid w:val="000B7710"/>
    <w:rsid w:val="000B7BCE"/>
    <w:rsid w:val="000B7D70"/>
    <w:rsid w:val="000B7E26"/>
    <w:rsid w:val="000C0032"/>
    <w:rsid w:val="000C005A"/>
    <w:rsid w:val="000C0753"/>
    <w:rsid w:val="000C080E"/>
    <w:rsid w:val="000C0860"/>
    <w:rsid w:val="000C08C5"/>
    <w:rsid w:val="000C0964"/>
    <w:rsid w:val="000C0DDC"/>
    <w:rsid w:val="000C0FAF"/>
    <w:rsid w:val="000C101E"/>
    <w:rsid w:val="000C1512"/>
    <w:rsid w:val="000C1514"/>
    <w:rsid w:val="000C153F"/>
    <w:rsid w:val="000C1972"/>
    <w:rsid w:val="000C1F75"/>
    <w:rsid w:val="000C22D7"/>
    <w:rsid w:val="000C2B49"/>
    <w:rsid w:val="000C2C4D"/>
    <w:rsid w:val="000C2CB5"/>
    <w:rsid w:val="000C2EB6"/>
    <w:rsid w:val="000C2EDB"/>
    <w:rsid w:val="000C3242"/>
    <w:rsid w:val="000C331B"/>
    <w:rsid w:val="000C3E54"/>
    <w:rsid w:val="000C3F62"/>
    <w:rsid w:val="000C3FDB"/>
    <w:rsid w:val="000C3FDE"/>
    <w:rsid w:val="000C408E"/>
    <w:rsid w:val="000C421B"/>
    <w:rsid w:val="000C4544"/>
    <w:rsid w:val="000C45DF"/>
    <w:rsid w:val="000C47F1"/>
    <w:rsid w:val="000C4E40"/>
    <w:rsid w:val="000C4FFD"/>
    <w:rsid w:val="000C51C3"/>
    <w:rsid w:val="000C534D"/>
    <w:rsid w:val="000C5564"/>
    <w:rsid w:val="000C5DE5"/>
    <w:rsid w:val="000C61F9"/>
    <w:rsid w:val="000C633A"/>
    <w:rsid w:val="000C6381"/>
    <w:rsid w:val="000C6459"/>
    <w:rsid w:val="000C64CB"/>
    <w:rsid w:val="000C6745"/>
    <w:rsid w:val="000C6747"/>
    <w:rsid w:val="000C6D20"/>
    <w:rsid w:val="000C7135"/>
    <w:rsid w:val="000C7782"/>
    <w:rsid w:val="000C7B12"/>
    <w:rsid w:val="000C7D54"/>
    <w:rsid w:val="000C7F04"/>
    <w:rsid w:val="000C7F0A"/>
    <w:rsid w:val="000D0330"/>
    <w:rsid w:val="000D05BC"/>
    <w:rsid w:val="000D0CC4"/>
    <w:rsid w:val="000D0D77"/>
    <w:rsid w:val="000D1227"/>
    <w:rsid w:val="000D125E"/>
    <w:rsid w:val="000D192C"/>
    <w:rsid w:val="000D19B9"/>
    <w:rsid w:val="000D1BDC"/>
    <w:rsid w:val="000D1CAE"/>
    <w:rsid w:val="000D1FBA"/>
    <w:rsid w:val="000D20C0"/>
    <w:rsid w:val="000D21FE"/>
    <w:rsid w:val="000D2294"/>
    <w:rsid w:val="000D2415"/>
    <w:rsid w:val="000D2549"/>
    <w:rsid w:val="000D28B1"/>
    <w:rsid w:val="000D2BFE"/>
    <w:rsid w:val="000D2DD3"/>
    <w:rsid w:val="000D315F"/>
    <w:rsid w:val="000D3210"/>
    <w:rsid w:val="000D325C"/>
    <w:rsid w:val="000D32E4"/>
    <w:rsid w:val="000D37E9"/>
    <w:rsid w:val="000D39AB"/>
    <w:rsid w:val="000D3A2E"/>
    <w:rsid w:val="000D3C85"/>
    <w:rsid w:val="000D3C93"/>
    <w:rsid w:val="000D3DC8"/>
    <w:rsid w:val="000D3FB3"/>
    <w:rsid w:val="000D416E"/>
    <w:rsid w:val="000D4293"/>
    <w:rsid w:val="000D4376"/>
    <w:rsid w:val="000D456C"/>
    <w:rsid w:val="000D45D2"/>
    <w:rsid w:val="000D47A6"/>
    <w:rsid w:val="000D4BDF"/>
    <w:rsid w:val="000D4C7C"/>
    <w:rsid w:val="000D5107"/>
    <w:rsid w:val="000D544A"/>
    <w:rsid w:val="000D633B"/>
    <w:rsid w:val="000D6344"/>
    <w:rsid w:val="000D6451"/>
    <w:rsid w:val="000D678B"/>
    <w:rsid w:val="000D6AFC"/>
    <w:rsid w:val="000D6C46"/>
    <w:rsid w:val="000D6F3C"/>
    <w:rsid w:val="000D74C0"/>
    <w:rsid w:val="000D757C"/>
    <w:rsid w:val="000D75FE"/>
    <w:rsid w:val="000D761D"/>
    <w:rsid w:val="000D783C"/>
    <w:rsid w:val="000D7956"/>
    <w:rsid w:val="000D795A"/>
    <w:rsid w:val="000D7BCD"/>
    <w:rsid w:val="000D7C39"/>
    <w:rsid w:val="000D7E6C"/>
    <w:rsid w:val="000E0226"/>
    <w:rsid w:val="000E0392"/>
    <w:rsid w:val="000E05B5"/>
    <w:rsid w:val="000E060A"/>
    <w:rsid w:val="000E070C"/>
    <w:rsid w:val="000E07AD"/>
    <w:rsid w:val="000E0910"/>
    <w:rsid w:val="000E09A6"/>
    <w:rsid w:val="000E0DFA"/>
    <w:rsid w:val="000E10D7"/>
    <w:rsid w:val="000E12C5"/>
    <w:rsid w:val="000E13A9"/>
    <w:rsid w:val="000E157A"/>
    <w:rsid w:val="000E15FB"/>
    <w:rsid w:val="000E18A9"/>
    <w:rsid w:val="000E1A68"/>
    <w:rsid w:val="000E1C60"/>
    <w:rsid w:val="000E1F1D"/>
    <w:rsid w:val="000E235A"/>
    <w:rsid w:val="000E2A94"/>
    <w:rsid w:val="000E2E3E"/>
    <w:rsid w:val="000E2FDC"/>
    <w:rsid w:val="000E3315"/>
    <w:rsid w:val="000E33D9"/>
    <w:rsid w:val="000E3502"/>
    <w:rsid w:val="000E369C"/>
    <w:rsid w:val="000E3738"/>
    <w:rsid w:val="000E379C"/>
    <w:rsid w:val="000E3827"/>
    <w:rsid w:val="000E38D0"/>
    <w:rsid w:val="000E38F8"/>
    <w:rsid w:val="000E3905"/>
    <w:rsid w:val="000E3AA7"/>
    <w:rsid w:val="000E3B97"/>
    <w:rsid w:val="000E3B99"/>
    <w:rsid w:val="000E3C11"/>
    <w:rsid w:val="000E3D23"/>
    <w:rsid w:val="000E3E41"/>
    <w:rsid w:val="000E4226"/>
    <w:rsid w:val="000E428A"/>
    <w:rsid w:val="000E4869"/>
    <w:rsid w:val="000E4AA2"/>
    <w:rsid w:val="000E4CC5"/>
    <w:rsid w:val="000E5086"/>
    <w:rsid w:val="000E5135"/>
    <w:rsid w:val="000E52EB"/>
    <w:rsid w:val="000E5437"/>
    <w:rsid w:val="000E578F"/>
    <w:rsid w:val="000E58CD"/>
    <w:rsid w:val="000E5974"/>
    <w:rsid w:val="000E5D57"/>
    <w:rsid w:val="000E5D5E"/>
    <w:rsid w:val="000E6125"/>
    <w:rsid w:val="000E6149"/>
    <w:rsid w:val="000E63D6"/>
    <w:rsid w:val="000E6D1B"/>
    <w:rsid w:val="000E6EE3"/>
    <w:rsid w:val="000E6FE3"/>
    <w:rsid w:val="000E7235"/>
    <w:rsid w:val="000E735B"/>
    <w:rsid w:val="000E743C"/>
    <w:rsid w:val="000E7503"/>
    <w:rsid w:val="000E772A"/>
    <w:rsid w:val="000E776E"/>
    <w:rsid w:val="000E7A6B"/>
    <w:rsid w:val="000F0091"/>
    <w:rsid w:val="000F0197"/>
    <w:rsid w:val="000F0480"/>
    <w:rsid w:val="000F05ED"/>
    <w:rsid w:val="000F0619"/>
    <w:rsid w:val="000F066F"/>
    <w:rsid w:val="000F0A3E"/>
    <w:rsid w:val="000F0C39"/>
    <w:rsid w:val="000F108B"/>
    <w:rsid w:val="000F1459"/>
    <w:rsid w:val="000F161B"/>
    <w:rsid w:val="000F1754"/>
    <w:rsid w:val="000F1822"/>
    <w:rsid w:val="000F1873"/>
    <w:rsid w:val="000F1B5E"/>
    <w:rsid w:val="000F1CC0"/>
    <w:rsid w:val="000F1DEB"/>
    <w:rsid w:val="000F1E26"/>
    <w:rsid w:val="000F22AB"/>
    <w:rsid w:val="000F25EF"/>
    <w:rsid w:val="000F2828"/>
    <w:rsid w:val="000F2E41"/>
    <w:rsid w:val="000F32A7"/>
    <w:rsid w:val="000F32D7"/>
    <w:rsid w:val="000F390A"/>
    <w:rsid w:val="000F3B80"/>
    <w:rsid w:val="000F3FF2"/>
    <w:rsid w:val="000F44E2"/>
    <w:rsid w:val="000F45EB"/>
    <w:rsid w:val="000F4679"/>
    <w:rsid w:val="000F46C3"/>
    <w:rsid w:val="000F4767"/>
    <w:rsid w:val="000F47E4"/>
    <w:rsid w:val="000F481B"/>
    <w:rsid w:val="000F48A0"/>
    <w:rsid w:val="000F4E5C"/>
    <w:rsid w:val="000F4FC6"/>
    <w:rsid w:val="000F4FCD"/>
    <w:rsid w:val="000F5067"/>
    <w:rsid w:val="000F51BE"/>
    <w:rsid w:val="000F562F"/>
    <w:rsid w:val="000F5D29"/>
    <w:rsid w:val="000F5ED3"/>
    <w:rsid w:val="000F6280"/>
    <w:rsid w:val="000F6815"/>
    <w:rsid w:val="000F69B9"/>
    <w:rsid w:val="000F6AB0"/>
    <w:rsid w:val="000F6B3A"/>
    <w:rsid w:val="000F6BCB"/>
    <w:rsid w:val="000F7299"/>
    <w:rsid w:val="000F76D6"/>
    <w:rsid w:val="000F7CF3"/>
    <w:rsid w:val="000F7D2D"/>
    <w:rsid w:val="0010004D"/>
    <w:rsid w:val="0010016D"/>
    <w:rsid w:val="00100289"/>
    <w:rsid w:val="00100398"/>
    <w:rsid w:val="0010039F"/>
    <w:rsid w:val="001005DD"/>
    <w:rsid w:val="001006FC"/>
    <w:rsid w:val="001007AA"/>
    <w:rsid w:val="00100F0C"/>
    <w:rsid w:val="0010165E"/>
    <w:rsid w:val="00101705"/>
    <w:rsid w:val="00101D36"/>
    <w:rsid w:val="00102505"/>
    <w:rsid w:val="001028FC"/>
    <w:rsid w:val="00102ACC"/>
    <w:rsid w:val="00102BA4"/>
    <w:rsid w:val="00102D42"/>
    <w:rsid w:val="00102D54"/>
    <w:rsid w:val="001033FE"/>
    <w:rsid w:val="001034B1"/>
    <w:rsid w:val="00103911"/>
    <w:rsid w:val="0010394F"/>
    <w:rsid w:val="00103E42"/>
    <w:rsid w:val="001042D9"/>
    <w:rsid w:val="00104649"/>
    <w:rsid w:val="001047B9"/>
    <w:rsid w:val="001048EE"/>
    <w:rsid w:val="0010490E"/>
    <w:rsid w:val="0010491B"/>
    <w:rsid w:val="00104B52"/>
    <w:rsid w:val="00104EBC"/>
    <w:rsid w:val="00105085"/>
    <w:rsid w:val="00105283"/>
    <w:rsid w:val="0010528A"/>
    <w:rsid w:val="0010529B"/>
    <w:rsid w:val="0010550F"/>
    <w:rsid w:val="00105602"/>
    <w:rsid w:val="00105799"/>
    <w:rsid w:val="00105A8D"/>
    <w:rsid w:val="00105AC5"/>
    <w:rsid w:val="00105C8D"/>
    <w:rsid w:val="00105EAA"/>
    <w:rsid w:val="00106146"/>
    <w:rsid w:val="00106220"/>
    <w:rsid w:val="001062CA"/>
    <w:rsid w:val="00106308"/>
    <w:rsid w:val="0010637B"/>
    <w:rsid w:val="001063C5"/>
    <w:rsid w:val="001065D2"/>
    <w:rsid w:val="00106621"/>
    <w:rsid w:val="001067CB"/>
    <w:rsid w:val="00106B0A"/>
    <w:rsid w:val="00106BFD"/>
    <w:rsid w:val="00106EB9"/>
    <w:rsid w:val="00106F10"/>
    <w:rsid w:val="00106FCA"/>
    <w:rsid w:val="00107480"/>
    <w:rsid w:val="00107540"/>
    <w:rsid w:val="00107998"/>
    <w:rsid w:val="00107B16"/>
    <w:rsid w:val="00107B60"/>
    <w:rsid w:val="00107C93"/>
    <w:rsid w:val="00107D56"/>
    <w:rsid w:val="00107D58"/>
    <w:rsid w:val="00110156"/>
    <w:rsid w:val="00110615"/>
    <w:rsid w:val="00110D37"/>
    <w:rsid w:val="00111079"/>
    <w:rsid w:val="001110C8"/>
    <w:rsid w:val="00111406"/>
    <w:rsid w:val="00111423"/>
    <w:rsid w:val="00111757"/>
    <w:rsid w:val="00111AF3"/>
    <w:rsid w:val="00111BAB"/>
    <w:rsid w:val="00111D16"/>
    <w:rsid w:val="001121D6"/>
    <w:rsid w:val="00112213"/>
    <w:rsid w:val="0011238E"/>
    <w:rsid w:val="00112436"/>
    <w:rsid w:val="00112A2E"/>
    <w:rsid w:val="00112A7B"/>
    <w:rsid w:val="00112B2D"/>
    <w:rsid w:val="00112B2E"/>
    <w:rsid w:val="001130F9"/>
    <w:rsid w:val="0011310E"/>
    <w:rsid w:val="00113180"/>
    <w:rsid w:val="001131A3"/>
    <w:rsid w:val="00113372"/>
    <w:rsid w:val="0011379C"/>
    <w:rsid w:val="00113AED"/>
    <w:rsid w:val="00113CFC"/>
    <w:rsid w:val="00113D69"/>
    <w:rsid w:val="00113E05"/>
    <w:rsid w:val="00114051"/>
    <w:rsid w:val="00114163"/>
    <w:rsid w:val="001143FB"/>
    <w:rsid w:val="0011448C"/>
    <w:rsid w:val="00114F20"/>
    <w:rsid w:val="00115190"/>
    <w:rsid w:val="001153B4"/>
    <w:rsid w:val="0011547D"/>
    <w:rsid w:val="001154E2"/>
    <w:rsid w:val="001154EB"/>
    <w:rsid w:val="001155B5"/>
    <w:rsid w:val="001159F8"/>
    <w:rsid w:val="00115BB8"/>
    <w:rsid w:val="00115CAF"/>
    <w:rsid w:val="00116053"/>
    <w:rsid w:val="00116066"/>
    <w:rsid w:val="001164D8"/>
    <w:rsid w:val="00116721"/>
    <w:rsid w:val="001170A2"/>
    <w:rsid w:val="001170B5"/>
    <w:rsid w:val="001170DB"/>
    <w:rsid w:val="00117132"/>
    <w:rsid w:val="001172FD"/>
    <w:rsid w:val="00117303"/>
    <w:rsid w:val="0011736A"/>
    <w:rsid w:val="0011770B"/>
    <w:rsid w:val="001178E9"/>
    <w:rsid w:val="001179C2"/>
    <w:rsid w:val="00117A7C"/>
    <w:rsid w:val="00117EB7"/>
    <w:rsid w:val="001204E5"/>
    <w:rsid w:val="0012087B"/>
    <w:rsid w:val="00120DB3"/>
    <w:rsid w:val="0012147F"/>
    <w:rsid w:val="00121486"/>
    <w:rsid w:val="001216FF"/>
    <w:rsid w:val="0012171A"/>
    <w:rsid w:val="0012190F"/>
    <w:rsid w:val="00121A11"/>
    <w:rsid w:val="00121B46"/>
    <w:rsid w:val="001222A3"/>
    <w:rsid w:val="0012231D"/>
    <w:rsid w:val="00122438"/>
    <w:rsid w:val="0012274B"/>
    <w:rsid w:val="00122785"/>
    <w:rsid w:val="001227FB"/>
    <w:rsid w:val="00122B92"/>
    <w:rsid w:val="00122B98"/>
    <w:rsid w:val="00122C9B"/>
    <w:rsid w:val="00122E45"/>
    <w:rsid w:val="00122FF3"/>
    <w:rsid w:val="0012305F"/>
    <w:rsid w:val="001234EB"/>
    <w:rsid w:val="0012358B"/>
    <w:rsid w:val="001236CC"/>
    <w:rsid w:val="001238EF"/>
    <w:rsid w:val="0012393E"/>
    <w:rsid w:val="0012397C"/>
    <w:rsid w:val="00123F10"/>
    <w:rsid w:val="00124010"/>
    <w:rsid w:val="00124097"/>
    <w:rsid w:val="00124220"/>
    <w:rsid w:val="00124251"/>
    <w:rsid w:val="001243A9"/>
    <w:rsid w:val="00125117"/>
    <w:rsid w:val="001253B8"/>
    <w:rsid w:val="001255BB"/>
    <w:rsid w:val="00125739"/>
    <w:rsid w:val="001259A3"/>
    <w:rsid w:val="0012614E"/>
    <w:rsid w:val="00126289"/>
    <w:rsid w:val="001264C7"/>
    <w:rsid w:val="0012698B"/>
    <w:rsid w:val="00126C92"/>
    <w:rsid w:val="00126CDB"/>
    <w:rsid w:val="00126D4C"/>
    <w:rsid w:val="00126EC9"/>
    <w:rsid w:val="00126F4B"/>
    <w:rsid w:val="001270CB"/>
    <w:rsid w:val="00127234"/>
    <w:rsid w:val="00127914"/>
    <w:rsid w:val="00127AE6"/>
    <w:rsid w:val="00127B79"/>
    <w:rsid w:val="00127D32"/>
    <w:rsid w:val="00127E8A"/>
    <w:rsid w:val="001303A0"/>
    <w:rsid w:val="001306F5"/>
    <w:rsid w:val="0013072B"/>
    <w:rsid w:val="001307E8"/>
    <w:rsid w:val="00130892"/>
    <w:rsid w:val="00130BB6"/>
    <w:rsid w:val="00131B14"/>
    <w:rsid w:val="00131DE0"/>
    <w:rsid w:val="00132137"/>
    <w:rsid w:val="00132283"/>
    <w:rsid w:val="0013248E"/>
    <w:rsid w:val="0013251E"/>
    <w:rsid w:val="001325C7"/>
    <w:rsid w:val="00132690"/>
    <w:rsid w:val="001329C6"/>
    <w:rsid w:val="00132AA6"/>
    <w:rsid w:val="00132EC4"/>
    <w:rsid w:val="00133287"/>
    <w:rsid w:val="001333A1"/>
    <w:rsid w:val="00133B7A"/>
    <w:rsid w:val="0013400C"/>
    <w:rsid w:val="0013435A"/>
    <w:rsid w:val="001346D9"/>
    <w:rsid w:val="001349C0"/>
    <w:rsid w:val="00134F64"/>
    <w:rsid w:val="00135266"/>
    <w:rsid w:val="0013588A"/>
    <w:rsid w:val="00135ADC"/>
    <w:rsid w:val="00135CBD"/>
    <w:rsid w:val="0013629E"/>
    <w:rsid w:val="00136381"/>
    <w:rsid w:val="001364F3"/>
    <w:rsid w:val="00136995"/>
    <w:rsid w:val="001371B5"/>
    <w:rsid w:val="0013766C"/>
    <w:rsid w:val="001376D2"/>
    <w:rsid w:val="001379F9"/>
    <w:rsid w:val="00137C41"/>
    <w:rsid w:val="00137E53"/>
    <w:rsid w:val="00137ECD"/>
    <w:rsid w:val="00137ED7"/>
    <w:rsid w:val="00140575"/>
    <w:rsid w:val="00140703"/>
    <w:rsid w:val="00140D7C"/>
    <w:rsid w:val="00140E92"/>
    <w:rsid w:val="00140EF1"/>
    <w:rsid w:val="0014115C"/>
    <w:rsid w:val="0014132C"/>
    <w:rsid w:val="00141436"/>
    <w:rsid w:val="00141CB3"/>
    <w:rsid w:val="00141CFD"/>
    <w:rsid w:val="00141F35"/>
    <w:rsid w:val="00142201"/>
    <w:rsid w:val="001423B7"/>
    <w:rsid w:val="001425F5"/>
    <w:rsid w:val="00142834"/>
    <w:rsid w:val="001428EB"/>
    <w:rsid w:val="001429B4"/>
    <w:rsid w:val="00142AC3"/>
    <w:rsid w:val="00142BA9"/>
    <w:rsid w:val="00142EBA"/>
    <w:rsid w:val="001433AC"/>
    <w:rsid w:val="001436A2"/>
    <w:rsid w:val="001437CC"/>
    <w:rsid w:val="0014381C"/>
    <w:rsid w:val="00143EFF"/>
    <w:rsid w:val="00143FDA"/>
    <w:rsid w:val="0014411C"/>
    <w:rsid w:val="001444C0"/>
    <w:rsid w:val="00144819"/>
    <w:rsid w:val="0014486D"/>
    <w:rsid w:val="00144F55"/>
    <w:rsid w:val="00145219"/>
    <w:rsid w:val="0014532E"/>
    <w:rsid w:val="00145385"/>
    <w:rsid w:val="001456E0"/>
    <w:rsid w:val="00145839"/>
    <w:rsid w:val="0014598B"/>
    <w:rsid w:val="00145ADA"/>
    <w:rsid w:val="00145E81"/>
    <w:rsid w:val="00146744"/>
    <w:rsid w:val="001468CE"/>
    <w:rsid w:val="00146C7C"/>
    <w:rsid w:val="00146DE9"/>
    <w:rsid w:val="00146E1B"/>
    <w:rsid w:val="00147006"/>
    <w:rsid w:val="001471A2"/>
    <w:rsid w:val="0014722A"/>
    <w:rsid w:val="00147439"/>
    <w:rsid w:val="00147806"/>
    <w:rsid w:val="001479B8"/>
    <w:rsid w:val="00147AE7"/>
    <w:rsid w:val="00147C56"/>
    <w:rsid w:val="00147C5E"/>
    <w:rsid w:val="00147CB0"/>
    <w:rsid w:val="00147E07"/>
    <w:rsid w:val="001503AC"/>
    <w:rsid w:val="001503C2"/>
    <w:rsid w:val="0015077D"/>
    <w:rsid w:val="00150873"/>
    <w:rsid w:val="00150A31"/>
    <w:rsid w:val="00150BF1"/>
    <w:rsid w:val="00150D76"/>
    <w:rsid w:val="0015156B"/>
    <w:rsid w:val="00152171"/>
    <w:rsid w:val="00152477"/>
    <w:rsid w:val="00152490"/>
    <w:rsid w:val="00152B25"/>
    <w:rsid w:val="001533A0"/>
    <w:rsid w:val="00153A2C"/>
    <w:rsid w:val="00153BE0"/>
    <w:rsid w:val="00153DFE"/>
    <w:rsid w:val="001540FB"/>
    <w:rsid w:val="00154647"/>
    <w:rsid w:val="00154649"/>
    <w:rsid w:val="001547AF"/>
    <w:rsid w:val="00154A08"/>
    <w:rsid w:val="00154D99"/>
    <w:rsid w:val="00154EDB"/>
    <w:rsid w:val="001550AC"/>
    <w:rsid w:val="00155434"/>
    <w:rsid w:val="0015578F"/>
    <w:rsid w:val="001559CE"/>
    <w:rsid w:val="00155A73"/>
    <w:rsid w:val="00155B35"/>
    <w:rsid w:val="00155C2F"/>
    <w:rsid w:val="00155FC0"/>
    <w:rsid w:val="00155FE3"/>
    <w:rsid w:val="00156537"/>
    <w:rsid w:val="0015672D"/>
    <w:rsid w:val="0015678F"/>
    <w:rsid w:val="0015686C"/>
    <w:rsid w:val="00156B54"/>
    <w:rsid w:val="00156F41"/>
    <w:rsid w:val="00157111"/>
    <w:rsid w:val="0015719F"/>
    <w:rsid w:val="001572DA"/>
    <w:rsid w:val="0015749D"/>
    <w:rsid w:val="00157644"/>
    <w:rsid w:val="00157E63"/>
    <w:rsid w:val="00157F3D"/>
    <w:rsid w:val="001604D6"/>
    <w:rsid w:val="0016065C"/>
    <w:rsid w:val="00160775"/>
    <w:rsid w:val="00160DEA"/>
    <w:rsid w:val="00161883"/>
    <w:rsid w:val="001618A1"/>
    <w:rsid w:val="00161A11"/>
    <w:rsid w:val="00161C62"/>
    <w:rsid w:val="00162048"/>
    <w:rsid w:val="001621A7"/>
    <w:rsid w:val="001621CD"/>
    <w:rsid w:val="00162278"/>
    <w:rsid w:val="001622C6"/>
    <w:rsid w:val="00162469"/>
    <w:rsid w:val="001625B4"/>
    <w:rsid w:val="001626B0"/>
    <w:rsid w:val="00162840"/>
    <w:rsid w:val="00162870"/>
    <w:rsid w:val="00162A81"/>
    <w:rsid w:val="00162F06"/>
    <w:rsid w:val="00163531"/>
    <w:rsid w:val="0016362E"/>
    <w:rsid w:val="00163768"/>
    <w:rsid w:val="00163BE2"/>
    <w:rsid w:val="00163C93"/>
    <w:rsid w:val="00163EBB"/>
    <w:rsid w:val="00163F1F"/>
    <w:rsid w:val="001640AA"/>
    <w:rsid w:val="00164198"/>
    <w:rsid w:val="00164677"/>
    <w:rsid w:val="001646E5"/>
    <w:rsid w:val="0016483A"/>
    <w:rsid w:val="00164B76"/>
    <w:rsid w:val="00164F2F"/>
    <w:rsid w:val="00165B4F"/>
    <w:rsid w:val="00165DCC"/>
    <w:rsid w:val="00166089"/>
    <w:rsid w:val="00166304"/>
    <w:rsid w:val="00166405"/>
    <w:rsid w:val="00166439"/>
    <w:rsid w:val="0016655E"/>
    <w:rsid w:val="001665E2"/>
    <w:rsid w:val="00166761"/>
    <w:rsid w:val="0016692D"/>
    <w:rsid w:val="001669E6"/>
    <w:rsid w:val="00166AB5"/>
    <w:rsid w:val="00166ABA"/>
    <w:rsid w:val="00166CEA"/>
    <w:rsid w:val="00166E57"/>
    <w:rsid w:val="00166F27"/>
    <w:rsid w:val="00166FD9"/>
    <w:rsid w:val="00166FF2"/>
    <w:rsid w:val="0016738F"/>
    <w:rsid w:val="00167408"/>
    <w:rsid w:val="0016750B"/>
    <w:rsid w:val="00167666"/>
    <w:rsid w:val="001676BB"/>
    <w:rsid w:val="00167889"/>
    <w:rsid w:val="00170370"/>
    <w:rsid w:val="001706D8"/>
    <w:rsid w:val="00170963"/>
    <w:rsid w:val="00170A95"/>
    <w:rsid w:val="00170EA9"/>
    <w:rsid w:val="001713C7"/>
    <w:rsid w:val="001713E4"/>
    <w:rsid w:val="0017152D"/>
    <w:rsid w:val="001716A0"/>
    <w:rsid w:val="001717F1"/>
    <w:rsid w:val="001718AC"/>
    <w:rsid w:val="00171A5E"/>
    <w:rsid w:val="00171BBC"/>
    <w:rsid w:val="00171D20"/>
    <w:rsid w:val="00171FB1"/>
    <w:rsid w:val="00172156"/>
    <w:rsid w:val="00172527"/>
    <w:rsid w:val="0017262E"/>
    <w:rsid w:val="0017289A"/>
    <w:rsid w:val="00172A1D"/>
    <w:rsid w:val="00172D21"/>
    <w:rsid w:val="001732E6"/>
    <w:rsid w:val="00173327"/>
    <w:rsid w:val="0017336E"/>
    <w:rsid w:val="001733AE"/>
    <w:rsid w:val="0017350B"/>
    <w:rsid w:val="0017355F"/>
    <w:rsid w:val="00173584"/>
    <w:rsid w:val="00173C6B"/>
    <w:rsid w:val="00174084"/>
    <w:rsid w:val="00174112"/>
    <w:rsid w:val="00174348"/>
    <w:rsid w:val="00174367"/>
    <w:rsid w:val="001744B2"/>
    <w:rsid w:val="00174799"/>
    <w:rsid w:val="001747E0"/>
    <w:rsid w:val="00174BCC"/>
    <w:rsid w:val="00174C26"/>
    <w:rsid w:val="00174E93"/>
    <w:rsid w:val="0017528D"/>
    <w:rsid w:val="00175374"/>
    <w:rsid w:val="0017565C"/>
    <w:rsid w:val="001756EA"/>
    <w:rsid w:val="00175752"/>
    <w:rsid w:val="00175771"/>
    <w:rsid w:val="00175AA9"/>
    <w:rsid w:val="00175BDD"/>
    <w:rsid w:val="00175CAB"/>
    <w:rsid w:val="00175E83"/>
    <w:rsid w:val="00175F98"/>
    <w:rsid w:val="00176192"/>
    <w:rsid w:val="00176432"/>
    <w:rsid w:val="00176969"/>
    <w:rsid w:val="001769E2"/>
    <w:rsid w:val="00176D19"/>
    <w:rsid w:val="00176D34"/>
    <w:rsid w:val="00176D64"/>
    <w:rsid w:val="0017702A"/>
    <w:rsid w:val="001771B2"/>
    <w:rsid w:val="0017726A"/>
    <w:rsid w:val="00177411"/>
    <w:rsid w:val="00177778"/>
    <w:rsid w:val="00177E23"/>
    <w:rsid w:val="00180468"/>
    <w:rsid w:val="001805C9"/>
    <w:rsid w:val="00180894"/>
    <w:rsid w:val="00180896"/>
    <w:rsid w:val="00180C35"/>
    <w:rsid w:val="00180DA5"/>
    <w:rsid w:val="0018173C"/>
    <w:rsid w:val="00181A18"/>
    <w:rsid w:val="00181A72"/>
    <w:rsid w:val="00181AAB"/>
    <w:rsid w:val="00181AB2"/>
    <w:rsid w:val="00181AD1"/>
    <w:rsid w:val="00181B62"/>
    <w:rsid w:val="00181D49"/>
    <w:rsid w:val="00181F78"/>
    <w:rsid w:val="001820F7"/>
    <w:rsid w:val="00182391"/>
    <w:rsid w:val="001823DD"/>
    <w:rsid w:val="00182649"/>
    <w:rsid w:val="00182697"/>
    <w:rsid w:val="00182890"/>
    <w:rsid w:val="001828F3"/>
    <w:rsid w:val="00182A06"/>
    <w:rsid w:val="00182ACC"/>
    <w:rsid w:val="00182BF2"/>
    <w:rsid w:val="00182E02"/>
    <w:rsid w:val="00182E09"/>
    <w:rsid w:val="001832EE"/>
    <w:rsid w:val="001833D1"/>
    <w:rsid w:val="001835F8"/>
    <w:rsid w:val="00183742"/>
    <w:rsid w:val="00183966"/>
    <w:rsid w:val="0018448F"/>
    <w:rsid w:val="001846CD"/>
    <w:rsid w:val="00184C5C"/>
    <w:rsid w:val="00184D6E"/>
    <w:rsid w:val="00184D95"/>
    <w:rsid w:val="001851F5"/>
    <w:rsid w:val="00185238"/>
    <w:rsid w:val="00185AB2"/>
    <w:rsid w:val="00185B47"/>
    <w:rsid w:val="00185EAC"/>
    <w:rsid w:val="001860BD"/>
    <w:rsid w:val="00186285"/>
    <w:rsid w:val="0018645B"/>
    <w:rsid w:val="0018662D"/>
    <w:rsid w:val="001866B3"/>
    <w:rsid w:val="00186973"/>
    <w:rsid w:val="001869D6"/>
    <w:rsid w:val="00186BA8"/>
    <w:rsid w:val="00187142"/>
    <w:rsid w:val="0018714E"/>
    <w:rsid w:val="0018728A"/>
    <w:rsid w:val="001872CE"/>
    <w:rsid w:val="001874EB"/>
    <w:rsid w:val="0018753A"/>
    <w:rsid w:val="00187672"/>
    <w:rsid w:val="001878B1"/>
    <w:rsid w:val="00187C9D"/>
    <w:rsid w:val="00190026"/>
    <w:rsid w:val="001900A7"/>
    <w:rsid w:val="00190519"/>
    <w:rsid w:val="00190669"/>
    <w:rsid w:val="001906A4"/>
    <w:rsid w:val="001906E3"/>
    <w:rsid w:val="001909DB"/>
    <w:rsid w:val="00190F31"/>
    <w:rsid w:val="00191031"/>
    <w:rsid w:val="00191308"/>
    <w:rsid w:val="00191A92"/>
    <w:rsid w:val="00191C6C"/>
    <w:rsid w:val="00191C80"/>
    <w:rsid w:val="00191D30"/>
    <w:rsid w:val="00191E43"/>
    <w:rsid w:val="0019218A"/>
    <w:rsid w:val="001928F9"/>
    <w:rsid w:val="00192946"/>
    <w:rsid w:val="00192A96"/>
    <w:rsid w:val="00192DE0"/>
    <w:rsid w:val="00192DFA"/>
    <w:rsid w:val="001931C8"/>
    <w:rsid w:val="0019348C"/>
    <w:rsid w:val="001934DB"/>
    <w:rsid w:val="0019362B"/>
    <w:rsid w:val="0019366D"/>
    <w:rsid w:val="00193A97"/>
    <w:rsid w:val="00193ACF"/>
    <w:rsid w:val="00193F02"/>
    <w:rsid w:val="001942EA"/>
    <w:rsid w:val="0019441F"/>
    <w:rsid w:val="001944F5"/>
    <w:rsid w:val="00194689"/>
    <w:rsid w:val="00194E1A"/>
    <w:rsid w:val="00194F15"/>
    <w:rsid w:val="00194F64"/>
    <w:rsid w:val="00194F66"/>
    <w:rsid w:val="0019516B"/>
    <w:rsid w:val="0019537A"/>
    <w:rsid w:val="0019559A"/>
    <w:rsid w:val="001956D2"/>
    <w:rsid w:val="001958E2"/>
    <w:rsid w:val="001959BB"/>
    <w:rsid w:val="00195A6D"/>
    <w:rsid w:val="0019604A"/>
    <w:rsid w:val="001965E1"/>
    <w:rsid w:val="00196630"/>
    <w:rsid w:val="00196653"/>
    <w:rsid w:val="001968B6"/>
    <w:rsid w:val="00196BC0"/>
    <w:rsid w:val="00196BFE"/>
    <w:rsid w:val="00196DD8"/>
    <w:rsid w:val="001971DE"/>
    <w:rsid w:val="001971EA"/>
    <w:rsid w:val="00197331"/>
    <w:rsid w:val="00197502"/>
    <w:rsid w:val="0019772F"/>
    <w:rsid w:val="00197840"/>
    <w:rsid w:val="001978CC"/>
    <w:rsid w:val="001978E7"/>
    <w:rsid w:val="00197963"/>
    <w:rsid w:val="00197993"/>
    <w:rsid w:val="00197CF7"/>
    <w:rsid w:val="00197FCF"/>
    <w:rsid w:val="001A00AA"/>
    <w:rsid w:val="001A02FB"/>
    <w:rsid w:val="001A04BB"/>
    <w:rsid w:val="001A055B"/>
    <w:rsid w:val="001A064D"/>
    <w:rsid w:val="001A0C41"/>
    <w:rsid w:val="001A0CB6"/>
    <w:rsid w:val="001A0D4B"/>
    <w:rsid w:val="001A1101"/>
    <w:rsid w:val="001A16A1"/>
    <w:rsid w:val="001A1848"/>
    <w:rsid w:val="001A18CF"/>
    <w:rsid w:val="001A1A67"/>
    <w:rsid w:val="001A1BBD"/>
    <w:rsid w:val="001A1C54"/>
    <w:rsid w:val="001A20E6"/>
    <w:rsid w:val="001A2141"/>
    <w:rsid w:val="001A229B"/>
    <w:rsid w:val="001A2446"/>
    <w:rsid w:val="001A24A5"/>
    <w:rsid w:val="001A259D"/>
    <w:rsid w:val="001A25F4"/>
    <w:rsid w:val="001A2B78"/>
    <w:rsid w:val="001A2E65"/>
    <w:rsid w:val="001A3102"/>
    <w:rsid w:val="001A339C"/>
    <w:rsid w:val="001A36F7"/>
    <w:rsid w:val="001A374B"/>
    <w:rsid w:val="001A378D"/>
    <w:rsid w:val="001A381A"/>
    <w:rsid w:val="001A39DF"/>
    <w:rsid w:val="001A3B7D"/>
    <w:rsid w:val="001A3C2C"/>
    <w:rsid w:val="001A3E0E"/>
    <w:rsid w:val="001A3FB6"/>
    <w:rsid w:val="001A4034"/>
    <w:rsid w:val="001A4105"/>
    <w:rsid w:val="001A41FB"/>
    <w:rsid w:val="001A424C"/>
    <w:rsid w:val="001A436D"/>
    <w:rsid w:val="001A45B7"/>
    <w:rsid w:val="001A4B80"/>
    <w:rsid w:val="001A4CD9"/>
    <w:rsid w:val="001A5382"/>
    <w:rsid w:val="001A558F"/>
    <w:rsid w:val="001A5E2A"/>
    <w:rsid w:val="001A6117"/>
    <w:rsid w:val="001A661D"/>
    <w:rsid w:val="001A69F0"/>
    <w:rsid w:val="001A6CF7"/>
    <w:rsid w:val="001A6F39"/>
    <w:rsid w:val="001A6F62"/>
    <w:rsid w:val="001A71D1"/>
    <w:rsid w:val="001A7A7E"/>
    <w:rsid w:val="001A7A92"/>
    <w:rsid w:val="001A7C1C"/>
    <w:rsid w:val="001A7C7B"/>
    <w:rsid w:val="001A7EAC"/>
    <w:rsid w:val="001B0034"/>
    <w:rsid w:val="001B05D2"/>
    <w:rsid w:val="001B060F"/>
    <w:rsid w:val="001B0684"/>
    <w:rsid w:val="001B0695"/>
    <w:rsid w:val="001B0A36"/>
    <w:rsid w:val="001B0D1B"/>
    <w:rsid w:val="001B0E3E"/>
    <w:rsid w:val="001B0ECF"/>
    <w:rsid w:val="001B118B"/>
    <w:rsid w:val="001B11FA"/>
    <w:rsid w:val="001B14D3"/>
    <w:rsid w:val="001B151C"/>
    <w:rsid w:val="001B15AC"/>
    <w:rsid w:val="001B178B"/>
    <w:rsid w:val="001B1B44"/>
    <w:rsid w:val="001B1E47"/>
    <w:rsid w:val="001B1E7C"/>
    <w:rsid w:val="001B1F85"/>
    <w:rsid w:val="001B20C0"/>
    <w:rsid w:val="001B20CB"/>
    <w:rsid w:val="001B20D1"/>
    <w:rsid w:val="001B217A"/>
    <w:rsid w:val="001B2852"/>
    <w:rsid w:val="001B2C4E"/>
    <w:rsid w:val="001B2CC3"/>
    <w:rsid w:val="001B2DEE"/>
    <w:rsid w:val="001B2EC2"/>
    <w:rsid w:val="001B31D5"/>
    <w:rsid w:val="001B352F"/>
    <w:rsid w:val="001B36E0"/>
    <w:rsid w:val="001B3C71"/>
    <w:rsid w:val="001B3EF6"/>
    <w:rsid w:val="001B4037"/>
    <w:rsid w:val="001B436A"/>
    <w:rsid w:val="001B443E"/>
    <w:rsid w:val="001B44FB"/>
    <w:rsid w:val="001B4939"/>
    <w:rsid w:val="001B575D"/>
    <w:rsid w:val="001B5C7C"/>
    <w:rsid w:val="001B5D70"/>
    <w:rsid w:val="001B624A"/>
    <w:rsid w:val="001B6271"/>
    <w:rsid w:val="001B62E3"/>
    <w:rsid w:val="001B6388"/>
    <w:rsid w:val="001B65E9"/>
    <w:rsid w:val="001B69D6"/>
    <w:rsid w:val="001B6B51"/>
    <w:rsid w:val="001B6CCB"/>
    <w:rsid w:val="001B6E67"/>
    <w:rsid w:val="001B6ECC"/>
    <w:rsid w:val="001B6FA8"/>
    <w:rsid w:val="001B6FAB"/>
    <w:rsid w:val="001B7288"/>
    <w:rsid w:val="001B77C7"/>
    <w:rsid w:val="001B7842"/>
    <w:rsid w:val="001B787D"/>
    <w:rsid w:val="001B78F9"/>
    <w:rsid w:val="001B7A2E"/>
    <w:rsid w:val="001C0029"/>
    <w:rsid w:val="001C0B23"/>
    <w:rsid w:val="001C0DA8"/>
    <w:rsid w:val="001C128B"/>
    <w:rsid w:val="001C1482"/>
    <w:rsid w:val="001C14E3"/>
    <w:rsid w:val="001C1A34"/>
    <w:rsid w:val="001C1B1D"/>
    <w:rsid w:val="001C1B5A"/>
    <w:rsid w:val="001C1C0F"/>
    <w:rsid w:val="001C1C48"/>
    <w:rsid w:val="001C1F16"/>
    <w:rsid w:val="001C1F6B"/>
    <w:rsid w:val="001C22AA"/>
    <w:rsid w:val="001C2741"/>
    <w:rsid w:val="001C2A0A"/>
    <w:rsid w:val="001C2A8A"/>
    <w:rsid w:val="001C2C36"/>
    <w:rsid w:val="001C2F34"/>
    <w:rsid w:val="001C3206"/>
    <w:rsid w:val="001C3355"/>
    <w:rsid w:val="001C374F"/>
    <w:rsid w:val="001C37F6"/>
    <w:rsid w:val="001C3BE8"/>
    <w:rsid w:val="001C3C90"/>
    <w:rsid w:val="001C3DB4"/>
    <w:rsid w:val="001C4396"/>
    <w:rsid w:val="001C45A2"/>
    <w:rsid w:val="001C47BE"/>
    <w:rsid w:val="001C492D"/>
    <w:rsid w:val="001C498E"/>
    <w:rsid w:val="001C4A73"/>
    <w:rsid w:val="001C4C32"/>
    <w:rsid w:val="001C54A7"/>
    <w:rsid w:val="001C594C"/>
    <w:rsid w:val="001C5D23"/>
    <w:rsid w:val="001C5D31"/>
    <w:rsid w:val="001C601A"/>
    <w:rsid w:val="001C6177"/>
    <w:rsid w:val="001C6275"/>
    <w:rsid w:val="001C62DB"/>
    <w:rsid w:val="001C63AE"/>
    <w:rsid w:val="001C64A6"/>
    <w:rsid w:val="001C67A7"/>
    <w:rsid w:val="001C68C7"/>
    <w:rsid w:val="001C6BD0"/>
    <w:rsid w:val="001C6D50"/>
    <w:rsid w:val="001C6F46"/>
    <w:rsid w:val="001C6F52"/>
    <w:rsid w:val="001C7139"/>
    <w:rsid w:val="001C72CE"/>
    <w:rsid w:val="001C7350"/>
    <w:rsid w:val="001C73B0"/>
    <w:rsid w:val="001C7864"/>
    <w:rsid w:val="001D0147"/>
    <w:rsid w:val="001D0A8B"/>
    <w:rsid w:val="001D0B74"/>
    <w:rsid w:val="001D0BFE"/>
    <w:rsid w:val="001D0D8C"/>
    <w:rsid w:val="001D0F66"/>
    <w:rsid w:val="001D1018"/>
    <w:rsid w:val="001D1040"/>
    <w:rsid w:val="001D11E5"/>
    <w:rsid w:val="001D1284"/>
    <w:rsid w:val="001D128E"/>
    <w:rsid w:val="001D193C"/>
    <w:rsid w:val="001D19B6"/>
    <w:rsid w:val="001D20C6"/>
    <w:rsid w:val="001D216E"/>
    <w:rsid w:val="001D228B"/>
    <w:rsid w:val="001D2296"/>
    <w:rsid w:val="001D24CD"/>
    <w:rsid w:val="001D260C"/>
    <w:rsid w:val="001D28E2"/>
    <w:rsid w:val="001D28FE"/>
    <w:rsid w:val="001D2A06"/>
    <w:rsid w:val="001D2A83"/>
    <w:rsid w:val="001D2E34"/>
    <w:rsid w:val="001D3091"/>
    <w:rsid w:val="001D33D6"/>
    <w:rsid w:val="001D3474"/>
    <w:rsid w:val="001D3C02"/>
    <w:rsid w:val="001D45A8"/>
    <w:rsid w:val="001D46CC"/>
    <w:rsid w:val="001D4B94"/>
    <w:rsid w:val="001D4DBD"/>
    <w:rsid w:val="001D51E0"/>
    <w:rsid w:val="001D54A0"/>
    <w:rsid w:val="001D54CA"/>
    <w:rsid w:val="001D560F"/>
    <w:rsid w:val="001D583D"/>
    <w:rsid w:val="001D5BA4"/>
    <w:rsid w:val="001D5FA0"/>
    <w:rsid w:val="001D60CC"/>
    <w:rsid w:val="001D63B6"/>
    <w:rsid w:val="001D6EFE"/>
    <w:rsid w:val="001D6FA2"/>
    <w:rsid w:val="001D716B"/>
    <w:rsid w:val="001D73C7"/>
    <w:rsid w:val="001D7440"/>
    <w:rsid w:val="001D7A6D"/>
    <w:rsid w:val="001D7B09"/>
    <w:rsid w:val="001D7B92"/>
    <w:rsid w:val="001E007F"/>
    <w:rsid w:val="001E035F"/>
    <w:rsid w:val="001E0574"/>
    <w:rsid w:val="001E057F"/>
    <w:rsid w:val="001E071F"/>
    <w:rsid w:val="001E0E7F"/>
    <w:rsid w:val="001E1414"/>
    <w:rsid w:val="001E1700"/>
    <w:rsid w:val="001E17FA"/>
    <w:rsid w:val="001E1BED"/>
    <w:rsid w:val="001E1C82"/>
    <w:rsid w:val="001E1E80"/>
    <w:rsid w:val="001E1E9F"/>
    <w:rsid w:val="001E1EF4"/>
    <w:rsid w:val="001E1FED"/>
    <w:rsid w:val="001E22DF"/>
    <w:rsid w:val="001E25E1"/>
    <w:rsid w:val="001E285B"/>
    <w:rsid w:val="001E2BAF"/>
    <w:rsid w:val="001E2C4A"/>
    <w:rsid w:val="001E2E1D"/>
    <w:rsid w:val="001E2F92"/>
    <w:rsid w:val="001E328F"/>
    <w:rsid w:val="001E3705"/>
    <w:rsid w:val="001E399F"/>
    <w:rsid w:val="001E3AB8"/>
    <w:rsid w:val="001E3AEF"/>
    <w:rsid w:val="001E3C07"/>
    <w:rsid w:val="001E3E09"/>
    <w:rsid w:val="001E3F41"/>
    <w:rsid w:val="001E3FBD"/>
    <w:rsid w:val="001E41C3"/>
    <w:rsid w:val="001E4638"/>
    <w:rsid w:val="001E468D"/>
    <w:rsid w:val="001E4737"/>
    <w:rsid w:val="001E4910"/>
    <w:rsid w:val="001E4E18"/>
    <w:rsid w:val="001E5068"/>
    <w:rsid w:val="001E5076"/>
    <w:rsid w:val="001E52ED"/>
    <w:rsid w:val="001E54ED"/>
    <w:rsid w:val="001E5963"/>
    <w:rsid w:val="001E5AB9"/>
    <w:rsid w:val="001E5B54"/>
    <w:rsid w:val="001E5F78"/>
    <w:rsid w:val="001E6157"/>
    <w:rsid w:val="001E65F4"/>
    <w:rsid w:val="001E694D"/>
    <w:rsid w:val="001E6B93"/>
    <w:rsid w:val="001E6BA9"/>
    <w:rsid w:val="001E6BC5"/>
    <w:rsid w:val="001E6DB2"/>
    <w:rsid w:val="001E72C7"/>
    <w:rsid w:val="001E7730"/>
    <w:rsid w:val="001E7794"/>
    <w:rsid w:val="001E7824"/>
    <w:rsid w:val="001E7833"/>
    <w:rsid w:val="001E78DA"/>
    <w:rsid w:val="001E7A63"/>
    <w:rsid w:val="001E7B0F"/>
    <w:rsid w:val="001E7EC2"/>
    <w:rsid w:val="001E7ED2"/>
    <w:rsid w:val="001F0281"/>
    <w:rsid w:val="001F04BB"/>
    <w:rsid w:val="001F063A"/>
    <w:rsid w:val="001F080C"/>
    <w:rsid w:val="001F0A29"/>
    <w:rsid w:val="001F0BD3"/>
    <w:rsid w:val="001F0C54"/>
    <w:rsid w:val="001F0CA6"/>
    <w:rsid w:val="001F1575"/>
    <w:rsid w:val="001F15F6"/>
    <w:rsid w:val="001F1729"/>
    <w:rsid w:val="001F19B7"/>
    <w:rsid w:val="001F1A18"/>
    <w:rsid w:val="001F1C84"/>
    <w:rsid w:val="001F1FE3"/>
    <w:rsid w:val="001F2104"/>
    <w:rsid w:val="001F2110"/>
    <w:rsid w:val="001F2585"/>
    <w:rsid w:val="001F25A4"/>
    <w:rsid w:val="001F281D"/>
    <w:rsid w:val="001F2CF4"/>
    <w:rsid w:val="001F30CB"/>
    <w:rsid w:val="001F3210"/>
    <w:rsid w:val="001F3613"/>
    <w:rsid w:val="001F3B6C"/>
    <w:rsid w:val="001F4211"/>
    <w:rsid w:val="001F485D"/>
    <w:rsid w:val="001F4E61"/>
    <w:rsid w:val="001F4ED7"/>
    <w:rsid w:val="001F4EDD"/>
    <w:rsid w:val="001F4F25"/>
    <w:rsid w:val="001F50E7"/>
    <w:rsid w:val="001F5408"/>
    <w:rsid w:val="001F5733"/>
    <w:rsid w:val="001F57CC"/>
    <w:rsid w:val="001F5F3C"/>
    <w:rsid w:val="001F62EB"/>
    <w:rsid w:val="001F62EF"/>
    <w:rsid w:val="001F651D"/>
    <w:rsid w:val="001F653A"/>
    <w:rsid w:val="001F69E2"/>
    <w:rsid w:val="001F7094"/>
    <w:rsid w:val="001F71EC"/>
    <w:rsid w:val="001F7321"/>
    <w:rsid w:val="001F7392"/>
    <w:rsid w:val="001F74DD"/>
    <w:rsid w:val="001F756B"/>
    <w:rsid w:val="001F75C3"/>
    <w:rsid w:val="001F7BAE"/>
    <w:rsid w:val="0020023F"/>
    <w:rsid w:val="00200386"/>
    <w:rsid w:val="00200711"/>
    <w:rsid w:val="00200ACE"/>
    <w:rsid w:val="00200BCB"/>
    <w:rsid w:val="00200CC2"/>
    <w:rsid w:val="00200E57"/>
    <w:rsid w:val="0020144E"/>
    <w:rsid w:val="00201674"/>
    <w:rsid w:val="002018E4"/>
    <w:rsid w:val="002019D5"/>
    <w:rsid w:val="00201ACE"/>
    <w:rsid w:val="00201BCD"/>
    <w:rsid w:val="00201C0B"/>
    <w:rsid w:val="00201DC5"/>
    <w:rsid w:val="00201E29"/>
    <w:rsid w:val="00201ECA"/>
    <w:rsid w:val="002021B5"/>
    <w:rsid w:val="002022BE"/>
    <w:rsid w:val="00202386"/>
    <w:rsid w:val="0020267E"/>
    <w:rsid w:val="00202ABD"/>
    <w:rsid w:val="00203474"/>
    <w:rsid w:val="002034CB"/>
    <w:rsid w:val="00203793"/>
    <w:rsid w:val="00203C37"/>
    <w:rsid w:val="00203CAB"/>
    <w:rsid w:val="00203DE2"/>
    <w:rsid w:val="00203E53"/>
    <w:rsid w:val="00204232"/>
    <w:rsid w:val="00204262"/>
    <w:rsid w:val="002044B1"/>
    <w:rsid w:val="002046D8"/>
    <w:rsid w:val="002047B9"/>
    <w:rsid w:val="002047E0"/>
    <w:rsid w:val="002048FB"/>
    <w:rsid w:val="00204C78"/>
    <w:rsid w:val="00204C90"/>
    <w:rsid w:val="00204D61"/>
    <w:rsid w:val="00205005"/>
    <w:rsid w:val="00205331"/>
    <w:rsid w:val="00205866"/>
    <w:rsid w:val="002059C4"/>
    <w:rsid w:val="00205ACD"/>
    <w:rsid w:val="00205EB7"/>
    <w:rsid w:val="002066A8"/>
    <w:rsid w:val="002069B0"/>
    <w:rsid w:val="00206BC9"/>
    <w:rsid w:val="00206C4A"/>
    <w:rsid w:val="00206C88"/>
    <w:rsid w:val="00206D8A"/>
    <w:rsid w:val="00206DA8"/>
    <w:rsid w:val="00206F9C"/>
    <w:rsid w:val="00206FEA"/>
    <w:rsid w:val="00207480"/>
    <w:rsid w:val="00207607"/>
    <w:rsid w:val="00207791"/>
    <w:rsid w:val="00207963"/>
    <w:rsid w:val="002079A9"/>
    <w:rsid w:val="00207C9B"/>
    <w:rsid w:val="00207CB7"/>
    <w:rsid w:val="00210109"/>
    <w:rsid w:val="0021014B"/>
    <w:rsid w:val="0021047D"/>
    <w:rsid w:val="002105B3"/>
    <w:rsid w:val="0021063E"/>
    <w:rsid w:val="00210827"/>
    <w:rsid w:val="00210C29"/>
    <w:rsid w:val="00210E94"/>
    <w:rsid w:val="00210F38"/>
    <w:rsid w:val="00211255"/>
    <w:rsid w:val="002113E3"/>
    <w:rsid w:val="00211521"/>
    <w:rsid w:val="00211672"/>
    <w:rsid w:val="00211A1F"/>
    <w:rsid w:val="00211A2B"/>
    <w:rsid w:val="00211E4B"/>
    <w:rsid w:val="00211EC3"/>
    <w:rsid w:val="00212401"/>
    <w:rsid w:val="00212569"/>
    <w:rsid w:val="002127A5"/>
    <w:rsid w:val="0021293D"/>
    <w:rsid w:val="00212A67"/>
    <w:rsid w:val="00212F3D"/>
    <w:rsid w:val="00212FB6"/>
    <w:rsid w:val="0021317A"/>
    <w:rsid w:val="002132FC"/>
    <w:rsid w:val="00213407"/>
    <w:rsid w:val="002135E0"/>
    <w:rsid w:val="00213874"/>
    <w:rsid w:val="002143E7"/>
    <w:rsid w:val="00214B61"/>
    <w:rsid w:val="00214C6F"/>
    <w:rsid w:val="00214CEE"/>
    <w:rsid w:val="00214E84"/>
    <w:rsid w:val="00214E9C"/>
    <w:rsid w:val="0021514E"/>
    <w:rsid w:val="00215235"/>
    <w:rsid w:val="0021529A"/>
    <w:rsid w:val="002152F5"/>
    <w:rsid w:val="002153EE"/>
    <w:rsid w:val="0021553E"/>
    <w:rsid w:val="0021556E"/>
    <w:rsid w:val="00215A39"/>
    <w:rsid w:val="00215AD5"/>
    <w:rsid w:val="00215B5E"/>
    <w:rsid w:val="00215C1D"/>
    <w:rsid w:val="00215C28"/>
    <w:rsid w:val="00216069"/>
    <w:rsid w:val="002160D3"/>
    <w:rsid w:val="00216245"/>
    <w:rsid w:val="00216362"/>
    <w:rsid w:val="0021665C"/>
    <w:rsid w:val="002166B7"/>
    <w:rsid w:val="00216890"/>
    <w:rsid w:val="00216B39"/>
    <w:rsid w:val="00216BC7"/>
    <w:rsid w:val="002176ED"/>
    <w:rsid w:val="002177FD"/>
    <w:rsid w:val="00217966"/>
    <w:rsid w:val="002179C4"/>
    <w:rsid w:val="00217F4E"/>
    <w:rsid w:val="002203A1"/>
    <w:rsid w:val="002203FB"/>
    <w:rsid w:val="00220BDF"/>
    <w:rsid w:val="00220D73"/>
    <w:rsid w:val="002211C3"/>
    <w:rsid w:val="00221A69"/>
    <w:rsid w:val="00221C4E"/>
    <w:rsid w:val="002223B2"/>
    <w:rsid w:val="002224A0"/>
    <w:rsid w:val="002224E3"/>
    <w:rsid w:val="002224F8"/>
    <w:rsid w:val="00222657"/>
    <w:rsid w:val="002226C0"/>
    <w:rsid w:val="00223085"/>
    <w:rsid w:val="002231F8"/>
    <w:rsid w:val="00223237"/>
    <w:rsid w:val="0022324F"/>
    <w:rsid w:val="0022329F"/>
    <w:rsid w:val="002232D3"/>
    <w:rsid w:val="0022332E"/>
    <w:rsid w:val="00223663"/>
    <w:rsid w:val="00223680"/>
    <w:rsid w:val="0022373D"/>
    <w:rsid w:val="00223781"/>
    <w:rsid w:val="0022390F"/>
    <w:rsid w:val="00223DF9"/>
    <w:rsid w:val="00223E33"/>
    <w:rsid w:val="00223F4A"/>
    <w:rsid w:val="00223FF2"/>
    <w:rsid w:val="0022439C"/>
    <w:rsid w:val="002248BE"/>
    <w:rsid w:val="00224B3D"/>
    <w:rsid w:val="00224F8A"/>
    <w:rsid w:val="00225067"/>
    <w:rsid w:val="00225158"/>
    <w:rsid w:val="00225268"/>
    <w:rsid w:val="002255D7"/>
    <w:rsid w:val="0022565D"/>
    <w:rsid w:val="00225AB6"/>
    <w:rsid w:val="00225DEA"/>
    <w:rsid w:val="00226090"/>
    <w:rsid w:val="002260CA"/>
    <w:rsid w:val="002265FB"/>
    <w:rsid w:val="00226719"/>
    <w:rsid w:val="0022683F"/>
    <w:rsid w:val="00226CCB"/>
    <w:rsid w:val="00226D83"/>
    <w:rsid w:val="00227138"/>
    <w:rsid w:val="0022795C"/>
    <w:rsid w:val="00227CA6"/>
    <w:rsid w:val="00227F36"/>
    <w:rsid w:val="002306B3"/>
    <w:rsid w:val="00230844"/>
    <w:rsid w:val="00230C37"/>
    <w:rsid w:val="002310BD"/>
    <w:rsid w:val="00231522"/>
    <w:rsid w:val="00231563"/>
    <w:rsid w:val="002317DA"/>
    <w:rsid w:val="00231976"/>
    <w:rsid w:val="00231C39"/>
    <w:rsid w:val="00231FF9"/>
    <w:rsid w:val="00232133"/>
    <w:rsid w:val="00232206"/>
    <w:rsid w:val="00232239"/>
    <w:rsid w:val="00232285"/>
    <w:rsid w:val="002322DB"/>
    <w:rsid w:val="002325B6"/>
    <w:rsid w:val="0023265E"/>
    <w:rsid w:val="00232775"/>
    <w:rsid w:val="00232817"/>
    <w:rsid w:val="002329FC"/>
    <w:rsid w:val="00232A34"/>
    <w:rsid w:val="00232FA7"/>
    <w:rsid w:val="00232FE7"/>
    <w:rsid w:val="00234388"/>
    <w:rsid w:val="002344BF"/>
    <w:rsid w:val="002345C5"/>
    <w:rsid w:val="0023461D"/>
    <w:rsid w:val="00234760"/>
    <w:rsid w:val="002348ED"/>
    <w:rsid w:val="00234DBF"/>
    <w:rsid w:val="00234EA7"/>
    <w:rsid w:val="00234EAE"/>
    <w:rsid w:val="00235055"/>
    <w:rsid w:val="0023536C"/>
    <w:rsid w:val="0023553C"/>
    <w:rsid w:val="00235618"/>
    <w:rsid w:val="00235CEC"/>
    <w:rsid w:val="00235FFC"/>
    <w:rsid w:val="002360F8"/>
    <w:rsid w:val="00236122"/>
    <w:rsid w:val="00236142"/>
    <w:rsid w:val="00236CE6"/>
    <w:rsid w:val="00236E62"/>
    <w:rsid w:val="0023715D"/>
    <w:rsid w:val="002371F8"/>
    <w:rsid w:val="00237208"/>
    <w:rsid w:val="00237276"/>
    <w:rsid w:val="002372B8"/>
    <w:rsid w:val="002375E0"/>
    <w:rsid w:val="00237824"/>
    <w:rsid w:val="0023794A"/>
    <w:rsid w:val="0023794C"/>
    <w:rsid w:val="00237A2E"/>
    <w:rsid w:val="00237C4C"/>
    <w:rsid w:val="00237DC5"/>
    <w:rsid w:val="00237EAB"/>
    <w:rsid w:val="00240043"/>
    <w:rsid w:val="002402AB"/>
    <w:rsid w:val="00240379"/>
    <w:rsid w:val="002408DF"/>
    <w:rsid w:val="00240A8C"/>
    <w:rsid w:val="00240C1D"/>
    <w:rsid w:val="00240CDE"/>
    <w:rsid w:val="00241070"/>
    <w:rsid w:val="0024125B"/>
    <w:rsid w:val="00241287"/>
    <w:rsid w:val="00241515"/>
    <w:rsid w:val="00241837"/>
    <w:rsid w:val="00241C3A"/>
    <w:rsid w:val="00242055"/>
    <w:rsid w:val="00242178"/>
    <w:rsid w:val="00242284"/>
    <w:rsid w:val="00242292"/>
    <w:rsid w:val="00242369"/>
    <w:rsid w:val="002423A8"/>
    <w:rsid w:val="002425A5"/>
    <w:rsid w:val="00242909"/>
    <w:rsid w:val="00242A85"/>
    <w:rsid w:val="00242D72"/>
    <w:rsid w:val="00242E78"/>
    <w:rsid w:val="002431B7"/>
    <w:rsid w:val="00243439"/>
    <w:rsid w:val="00243807"/>
    <w:rsid w:val="00243A77"/>
    <w:rsid w:val="00243B73"/>
    <w:rsid w:val="00243B90"/>
    <w:rsid w:val="00243C7B"/>
    <w:rsid w:val="00243E5F"/>
    <w:rsid w:val="00243F08"/>
    <w:rsid w:val="00244209"/>
    <w:rsid w:val="0024459F"/>
    <w:rsid w:val="0024460A"/>
    <w:rsid w:val="002449E8"/>
    <w:rsid w:val="00244AC2"/>
    <w:rsid w:val="00244E44"/>
    <w:rsid w:val="00244EA9"/>
    <w:rsid w:val="002450C9"/>
    <w:rsid w:val="0024515A"/>
    <w:rsid w:val="0024541B"/>
    <w:rsid w:val="002454C0"/>
    <w:rsid w:val="00245736"/>
    <w:rsid w:val="00245E21"/>
    <w:rsid w:val="00245F0A"/>
    <w:rsid w:val="00245FC1"/>
    <w:rsid w:val="00246347"/>
    <w:rsid w:val="00246434"/>
    <w:rsid w:val="00246518"/>
    <w:rsid w:val="0024686D"/>
    <w:rsid w:val="0024689F"/>
    <w:rsid w:val="002468AA"/>
    <w:rsid w:val="00246BF5"/>
    <w:rsid w:val="00246C1D"/>
    <w:rsid w:val="002471E1"/>
    <w:rsid w:val="002472E0"/>
    <w:rsid w:val="00247367"/>
    <w:rsid w:val="0024749F"/>
    <w:rsid w:val="002475AC"/>
    <w:rsid w:val="00247689"/>
    <w:rsid w:val="002476C8"/>
    <w:rsid w:val="00247B6A"/>
    <w:rsid w:val="0025032F"/>
    <w:rsid w:val="0025049B"/>
    <w:rsid w:val="002506BA"/>
    <w:rsid w:val="0025091C"/>
    <w:rsid w:val="00250A9D"/>
    <w:rsid w:val="00250B51"/>
    <w:rsid w:val="00250B7C"/>
    <w:rsid w:val="00250DC8"/>
    <w:rsid w:val="00250DF7"/>
    <w:rsid w:val="002510A2"/>
    <w:rsid w:val="00251104"/>
    <w:rsid w:val="0025155C"/>
    <w:rsid w:val="00251754"/>
    <w:rsid w:val="002517E9"/>
    <w:rsid w:val="00251988"/>
    <w:rsid w:val="002519B2"/>
    <w:rsid w:val="00251CD1"/>
    <w:rsid w:val="00251DCC"/>
    <w:rsid w:val="00251F03"/>
    <w:rsid w:val="00252331"/>
    <w:rsid w:val="002524DE"/>
    <w:rsid w:val="0025260F"/>
    <w:rsid w:val="0025266A"/>
    <w:rsid w:val="0025274C"/>
    <w:rsid w:val="0025297C"/>
    <w:rsid w:val="00252BE3"/>
    <w:rsid w:val="00252E0A"/>
    <w:rsid w:val="00253165"/>
    <w:rsid w:val="002532D9"/>
    <w:rsid w:val="00253423"/>
    <w:rsid w:val="002539B0"/>
    <w:rsid w:val="00253AF1"/>
    <w:rsid w:val="00253BB4"/>
    <w:rsid w:val="00253CAE"/>
    <w:rsid w:val="00253F08"/>
    <w:rsid w:val="0025444D"/>
    <w:rsid w:val="00254A66"/>
    <w:rsid w:val="00254C04"/>
    <w:rsid w:val="00254FB6"/>
    <w:rsid w:val="00255080"/>
    <w:rsid w:val="0025520A"/>
    <w:rsid w:val="00255384"/>
    <w:rsid w:val="00255BD7"/>
    <w:rsid w:val="00255CCA"/>
    <w:rsid w:val="00255CD8"/>
    <w:rsid w:val="00255D29"/>
    <w:rsid w:val="002562F0"/>
    <w:rsid w:val="002563D7"/>
    <w:rsid w:val="00256609"/>
    <w:rsid w:val="00256D39"/>
    <w:rsid w:val="00256ED0"/>
    <w:rsid w:val="00257020"/>
    <w:rsid w:val="0025733C"/>
    <w:rsid w:val="00257358"/>
    <w:rsid w:val="00257673"/>
    <w:rsid w:val="00257793"/>
    <w:rsid w:val="00257B8E"/>
    <w:rsid w:val="00260307"/>
    <w:rsid w:val="00260342"/>
    <w:rsid w:val="00260347"/>
    <w:rsid w:val="0026080B"/>
    <w:rsid w:val="002609C1"/>
    <w:rsid w:val="00260B39"/>
    <w:rsid w:val="00260BC3"/>
    <w:rsid w:val="00260CC3"/>
    <w:rsid w:val="00260D17"/>
    <w:rsid w:val="00260DD9"/>
    <w:rsid w:val="0026107A"/>
    <w:rsid w:val="00261274"/>
    <w:rsid w:val="002614BF"/>
    <w:rsid w:val="002614CF"/>
    <w:rsid w:val="0026179B"/>
    <w:rsid w:val="002619AC"/>
    <w:rsid w:val="002619F1"/>
    <w:rsid w:val="002619FE"/>
    <w:rsid w:val="00261A69"/>
    <w:rsid w:val="00261B22"/>
    <w:rsid w:val="00261C23"/>
    <w:rsid w:val="00261C30"/>
    <w:rsid w:val="00261DF6"/>
    <w:rsid w:val="00261EC3"/>
    <w:rsid w:val="00262670"/>
    <w:rsid w:val="002626CE"/>
    <w:rsid w:val="00262CB3"/>
    <w:rsid w:val="00262D71"/>
    <w:rsid w:val="00262E1E"/>
    <w:rsid w:val="00262FD7"/>
    <w:rsid w:val="0026370B"/>
    <w:rsid w:val="002637B3"/>
    <w:rsid w:val="00263BC9"/>
    <w:rsid w:val="00263D66"/>
    <w:rsid w:val="00263F90"/>
    <w:rsid w:val="00264802"/>
    <w:rsid w:val="00264ACA"/>
    <w:rsid w:val="00264AE8"/>
    <w:rsid w:val="00264BD2"/>
    <w:rsid w:val="00264DCA"/>
    <w:rsid w:val="0026506B"/>
    <w:rsid w:val="002650B2"/>
    <w:rsid w:val="002652C0"/>
    <w:rsid w:val="0026537F"/>
    <w:rsid w:val="002655A5"/>
    <w:rsid w:val="0026598F"/>
    <w:rsid w:val="00265A30"/>
    <w:rsid w:val="00265AB8"/>
    <w:rsid w:val="00265D2E"/>
    <w:rsid w:val="002662E4"/>
    <w:rsid w:val="0026634C"/>
    <w:rsid w:val="0026640E"/>
    <w:rsid w:val="0026673F"/>
    <w:rsid w:val="00266780"/>
    <w:rsid w:val="00266C0B"/>
    <w:rsid w:val="00266C11"/>
    <w:rsid w:val="00266EF7"/>
    <w:rsid w:val="00267133"/>
    <w:rsid w:val="002674AE"/>
    <w:rsid w:val="0026758E"/>
    <w:rsid w:val="00267779"/>
    <w:rsid w:val="002679CC"/>
    <w:rsid w:val="002679DD"/>
    <w:rsid w:val="00267D6D"/>
    <w:rsid w:val="002700A0"/>
    <w:rsid w:val="00270135"/>
    <w:rsid w:val="002702CA"/>
    <w:rsid w:val="0027062A"/>
    <w:rsid w:val="002706E4"/>
    <w:rsid w:val="002707B6"/>
    <w:rsid w:val="00270878"/>
    <w:rsid w:val="002708E1"/>
    <w:rsid w:val="00270BE5"/>
    <w:rsid w:val="00270E07"/>
    <w:rsid w:val="0027100E"/>
    <w:rsid w:val="002713D3"/>
    <w:rsid w:val="00271504"/>
    <w:rsid w:val="0027167E"/>
    <w:rsid w:val="00271933"/>
    <w:rsid w:val="00271AB2"/>
    <w:rsid w:val="00271DFB"/>
    <w:rsid w:val="00271F1B"/>
    <w:rsid w:val="00271F87"/>
    <w:rsid w:val="00272089"/>
    <w:rsid w:val="00272410"/>
    <w:rsid w:val="00272618"/>
    <w:rsid w:val="00272BB1"/>
    <w:rsid w:val="00272BB8"/>
    <w:rsid w:val="0027311B"/>
    <w:rsid w:val="0027349B"/>
    <w:rsid w:val="0027356F"/>
    <w:rsid w:val="00273609"/>
    <w:rsid w:val="002736D8"/>
    <w:rsid w:val="00273A71"/>
    <w:rsid w:val="00273D87"/>
    <w:rsid w:val="00273DF1"/>
    <w:rsid w:val="00273E8D"/>
    <w:rsid w:val="002741A7"/>
    <w:rsid w:val="002744D2"/>
    <w:rsid w:val="00274666"/>
    <w:rsid w:val="00274722"/>
    <w:rsid w:val="002748EB"/>
    <w:rsid w:val="0027495F"/>
    <w:rsid w:val="00274A57"/>
    <w:rsid w:val="00275245"/>
    <w:rsid w:val="0027568A"/>
    <w:rsid w:val="00275970"/>
    <w:rsid w:val="00275989"/>
    <w:rsid w:val="00275B27"/>
    <w:rsid w:val="00275EFD"/>
    <w:rsid w:val="00276268"/>
    <w:rsid w:val="0027650E"/>
    <w:rsid w:val="002765BA"/>
    <w:rsid w:val="002767CD"/>
    <w:rsid w:val="00276976"/>
    <w:rsid w:val="00276B39"/>
    <w:rsid w:val="00276D13"/>
    <w:rsid w:val="00276E6B"/>
    <w:rsid w:val="002770FA"/>
    <w:rsid w:val="00277524"/>
    <w:rsid w:val="0027777D"/>
    <w:rsid w:val="002777D4"/>
    <w:rsid w:val="002800C9"/>
    <w:rsid w:val="00280982"/>
    <w:rsid w:val="00280CA6"/>
    <w:rsid w:val="00280E1B"/>
    <w:rsid w:val="00280E50"/>
    <w:rsid w:val="00281317"/>
    <w:rsid w:val="00281400"/>
    <w:rsid w:val="0028151B"/>
    <w:rsid w:val="0028175B"/>
    <w:rsid w:val="002817FD"/>
    <w:rsid w:val="00281A96"/>
    <w:rsid w:val="00281E9B"/>
    <w:rsid w:val="002826B1"/>
    <w:rsid w:val="002828DB"/>
    <w:rsid w:val="002828FF"/>
    <w:rsid w:val="00282AFE"/>
    <w:rsid w:val="00282C2E"/>
    <w:rsid w:val="00282C57"/>
    <w:rsid w:val="00282E02"/>
    <w:rsid w:val="00282F3B"/>
    <w:rsid w:val="002830B7"/>
    <w:rsid w:val="0028312E"/>
    <w:rsid w:val="002835A9"/>
    <w:rsid w:val="002835BD"/>
    <w:rsid w:val="00283862"/>
    <w:rsid w:val="002838D6"/>
    <w:rsid w:val="00283E42"/>
    <w:rsid w:val="00283F42"/>
    <w:rsid w:val="002840E5"/>
    <w:rsid w:val="00284375"/>
    <w:rsid w:val="002844CC"/>
    <w:rsid w:val="00284DD8"/>
    <w:rsid w:val="00284E40"/>
    <w:rsid w:val="00285290"/>
    <w:rsid w:val="0028538C"/>
    <w:rsid w:val="0028552F"/>
    <w:rsid w:val="002855B1"/>
    <w:rsid w:val="00285B10"/>
    <w:rsid w:val="00285D4B"/>
    <w:rsid w:val="00285E62"/>
    <w:rsid w:val="00286242"/>
    <w:rsid w:val="00286449"/>
    <w:rsid w:val="0028651B"/>
    <w:rsid w:val="00286760"/>
    <w:rsid w:val="002871F1"/>
    <w:rsid w:val="0028742C"/>
    <w:rsid w:val="00287762"/>
    <w:rsid w:val="002877DF"/>
    <w:rsid w:val="002879AB"/>
    <w:rsid w:val="002879EC"/>
    <w:rsid w:val="00287B6C"/>
    <w:rsid w:val="00287C9F"/>
    <w:rsid w:val="00290117"/>
    <w:rsid w:val="00290254"/>
    <w:rsid w:val="00290299"/>
    <w:rsid w:val="0029055B"/>
    <w:rsid w:val="0029075B"/>
    <w:rsid w:val="00290B07"/>
    <w:rsid w:val="00290B7F"/>
    <w:rsid w:val="00290C4A"/>
    <w:rsid w:val="00290C9C"/>
    <w:rsid w:val="00290CC0"/>
    <w:rsid w:val="00290CDC"/>
    <w:rsid w:val="00290FB4"/>
    <w:rsid w:val="00291026"/>
    <w:rsid w:val="0029104F"/>
    <w:rsid w:val="0029115E"/>
    <w:rsid w:val="0029119B"/>
    <w:rsid w:val="00291392"/>
    <w:rsid w:val="0029142A"/>
    <w:rsid w:val="00291713"/>
    <w:rsid w:val="0029173E"/>
    <w:rsid w:val="00291749"/>
    <w:rsid w:val="00291862"/>
    <w:rsid w:val="00291D80"/>
    <w:rsid w:val="00291DE5"/>
    <w:rsid w:val="0029278A"/>
    <w:rsid w:val="002928FB"/>
    <w:rsid w:val="00292C94"/>
    <w:rsid w:val="00292DAE"/>
    <w:rsid w:val="002930B1"/>
    <w:rsid w:val="002931F3"/>
    <w:rsid w:val="0029336F"/>
    <w:rsid w:val="00293491"/>
    <w:rsid w:val="002934C0"/>
    <w:rsid w:val="002934C1"/>
    <w:rsid w:val="00293551"/>
    <w:rsid w:val="002935B9"/>
    <w:rsid w:val="002935DC"/>
    <w:rsid w:val="0029391A"/>
    <w:rsid w:val="00293A27"/>
    <w:rsid w:val="00293E29"/>
    <w:rsid w:val="00293E2C"/>
    <w:rsid w:val="002942F1"/>
    <w:rsid w:val="00294304"/>
    <w:rsid w:val="00294701"/>
    <w:rsid w:val="002949E2"/>
    <w:rsid w:val="00294B25"/>
    <w:rsid w:val="00294C7A"/>
    <w:rsid w:val="00294FE8"/>
    <w:rsid w:val="00295127"/>
    <w:rsid w:val="0029529E"/>
    <w:rsid w:val="00295527"/>
    <w:rsid w:val="0029553C"/>
    <w:rsid w:val="0029563C"/>
    <w:rsid w:val="002956FD"/>
    <w:rsid w:val="00295ADC"/>
    <w:rsid w:val="00295C9A"/>
    <w:rsid w:val="00295F80"/>
    <w:rsid w:val="00295FF3"/>
    <w:rsid w:val="002961D9"/>
    <w:rsid w:val="00296415"/>
    <w:rsid w:val="0029646B"/>
    <w:rsid w:val="0029669A"/>
    <w:rsid w:val="00296A60"/>
    <w:rsid w:val="00296ACA"/>
    <w:rsid w:val="00296B22"/>
    <w:rsid w:val="00296B25"/>
    <w:rsid w:val="00296BC5"/>
    <w:rsid w:val="00296E91"/>
    <w:rsid w:val="00297300"/>
    <w:rsid w:val="002973D8"/>
    <w:rsid w:val="00297573"/>
    <w:rsid w:val="00297767"/>
    <w:rsid w:val="00297BE6"/>
    <w:rsid w:val="00297D38"/>
    <w:rsid w:val="002A002A"/>
    <w:rsid w:val="002A039A"/>
    <w:rsid w:val="002A0544"/>
    <w:rsid w:val="002A0888"/>
    <w:rsid w:val="002A09A4"/>
    <w:rsid w:val="002A0B3B"/>
    <w:rsid w:val="002A0CC7"/>
    <w:rsid w:val="002A0D3D"/>
    <w:rsid w:val="002A0E8D"/>
    <w:rsid w:val="002A0E9C"/>
    <w:rsid w:val="002A10A3"/>
    <w:rsid w:val="002A134D"/>
    <w:rsid w:val="002A160D"/>
    <w:rsid w:val="002A182B"/>
    <w:rsid w:val="002A19B2"/>
    <w:rsid w:val="002A1B0D"/>
    <w:rsid w:val="002A1BA9"/>
    <w:rsid w:val="002A1D17"/>
    <w:rsid w:val="002A1DB6"/>
    <w:rsid w:val="002A210E"/>
    <w:rsid w:val="002A218F"/>
    <w:rsid w:val="002A2404"/>
    <w:rsid w:val="002A2540"/>
    <w:rsid w:val="002A254A"/>
    <w:rsid w:val="002A26C6"/>
    <w:rsid w:val="002A2739"/>
    <w:rsid w:val="002A2E0A"/>
    <w:rsid w:val="002A2ED9"/>
    <w:rsid w:val="002A2F01"/>
    <w:rsid w:val="002A2F36"/>
    <w:rsid w:val="002A3137"/>
    <w:rsid w:val="002A342D"/>
    <w:rsid w:val="002A349E"/>
    <w:rsid w:val="002A38CF"/>
    <w:rsid w:val="002A3988"/>
    <w:rsid w:val="002A3A7C"/>
    <w:rsid w:val="002A3E33"/>
    <w:rsid w:val="002A3E41"/>
    <w:rsid w:val="002A3EEE"/>
    <w:rsid w:val="002A3EF4"/>
    <w:rsid w:val="002A40D5"/>
    <w:rsid w:val="002A40FF"/>
    <w:rsid w:val="002A416B"/>
    <w:rsid w:val="002A41D9"/>
    <w:rsid w:val="002A42CE"/>
    <w:rsid w:val="002A4490"/>
    <w:rsid w:val="002A456A"/>
    <w:rsid w:val="002A4975"/>
    <w:rsid w:val="002A4BA1"/>
    <w:rsid w:val="002A4E91"/>
    <w:rsid w:val="002A4F99"/>
    <w:rsid w:val="002A53A2"/>
    <w:rsid w:val="002A53BE"/>
    <w:rsid w:val="002A542A"/>
    <w:rsid w:val="002A551C"/>
    <w:rsid w:val="002A5673"/>
    <w:rsid w:val="002A5B38"/>
    <w:rsid w:val="002A5C14"/>
    <w:rsid w:val="002A5E06"/>
    <w:rsid w:val="002A5F19"/>
    <w:rsid w:val="002A613E"/>
    <w:rsid w:val="002A6181"/>
    <w:rsid w:val="002A6222"/>
    <w:rsid w:val="002A65B4"/>
    <w:rsid w:val="002A6874"/>
    <w:rsid w:val="002A6CC3"/>
    <w:rsid w:val="002A6EFA"/>
    <w:rsid w:val="002A703E"/>
    <w:rsid w:val="002A70F3"/>
    <w:rsid w:val="002A75A3"/>
    <w:rsid w:val="002A7670"/>
    <w:rsid w:val="002A7772"/>
    <w:rsid w:val="002A7ED1"/>
    <w:rsid w:val="002B0298"/>
    <w:rsid w:val="002B0630"/>
    <w:rsid w:val="002B066B"/>
    <w:rsid w:val="002B0B0B"/>
    <w:rsid w:val="002B128A"/>
    <w:rsid w:val="002B1407"/>
    <w:rsid w:val="002B1516"/>
    <w:rsid w:val="002B1634"/>
    <w:rsid w:val="002B17B0"/>
    <w:rsid w:val="002B1828"/>
    <w:rsid w:val="002B1A87"/>
    <w:rsid w:val="002B1CA6"/>
    <w:rsid w:val="002B1D9F"/>
    <w:rsid w:val="002B1DD6"/>
    <w:rsid w:val="002B1F0C"/>
    <w:rsid w:val="002B210A"/>
    <w:rsid w:val="002B269C"/>
    <w:rsid w:val="002B2819"/>
    <w:rsid w:val="002B2B2A"/>
    <w:rsid w:val="002B2BF2"/>
    <w:rsid w:val="002B3014"/>
    <w:rsid w:val="002B3095"/>
    <w:rsid w:val="002B3145"/>
    <w:rsid w:val="002B37E1"/>
    <w:rsid w:val="002B3BAA"/>
    <w:rsid w:val="002B4040"/>
    <w:rsid w:val="002B4779"/>
    <w:rsid w:val="002B4A09"/>
    <w:rsid w:val="002B4A4F"/>
    <w:rsid w:val="002B4B87"/>
    <w:rsid w:val="002B4CC3"/>
    <w:rsid w:val="002B4D77"/>
    <w:rsid w:val="002B4E28"/>
    <w:rsid w:val="002B4EBB"/>
    <w:rsid w:val="002B5408"/>
    <w:rsid w:val="002B5459"/>
    <w:rsid w:val="002B562A"/>
    <w:rsid w:val="002B56FB"/>
    <w:rsid w:val="002B5D77"/>
    <w:rsid w:val="002B5D7B"/>
    <w:rsid w:val="002B61DB"/>
    <w:rsid w:val="002B62BD"/>
    <w:rsid w:val="002B6715"/>
    <w:rsid w:val="002B6724"/>
    <w:rsid w:val="002B69AD"/>
    <w:rsid w:val="002B6F68"/>
    <w:rsid w:val="002B731B"/>
    <w:rsid w:val="002B74D9"/>
    <w:rsid w:val="002B7B6A"/>
    <w:rsid w:val="002B7C73"/>
    <w:rsid w:val="002B7CF8"/>
    <w:rsid w:val="002B7F36"/>
    <w:rsid w:val="002C0189"/>
    <w:rsid w:val="002C029C"/>
    <w:rsid w:val="002C02A3"/>
    <w:rsid w:val="002C0596"/>
    <w:rsid w:val="002C0ACB"/>
    <w:rsid w:val="002C0B00"/>
    <w:rsid w:val="002C0E1E"/>
    <w:rsid w:val="002C0EB9"/>
    <w:rsid w:val="002C0F2F"/>
    <w:rsid w:val="002C1036"/>
    <w:rsid w:val="002C10B2"/>
    <w:rsid w:val="002C11FB"/>
    <w:rsid w:val="002C1231"/>
    <w:rsid w:val="002C1809"/>
    <w:rsid w:val="002C1880"/>
    <w:rsid w:val="002C198F"/>
    <w:rsid w:val="002C1C53"/>
    <w:rsid w:val="002C1D41"/>
    <w:rsid w:val="002C1D8E"/>
    <w:rsid w:val="002C2011"/>
    <w:rsid w:val="002C23CD"/>
    <w:rsid w:val="002C24E1"/>
    <w:rsid w:val="002C283A"/>
    <w:rsid w:val="002C2952"/>
    <w:rsid w:val="002C2CE9"/>
    <w:rsid w:val="002C2D2C"/>
    <w:rsid w:val="002C2E54"/>
    <w:rsid w:val="002C2F77"/>
    <w:rsid w:val="002C3236"/>
    <w:rsid w:val="002C3357"/>
    <w:rsid w:val="002C3553"/>
    <w:rsid w:val="002C380E"/>
    <w:rsid w:val="002C38BB"/>
    <w:rsid w:val="002C393A"/>
    <w:rsid w:val="002C3A7D"/>
    <w:rsid w:val="002C3B65"/>
    <w:rsid w:val="002C3D71"/>
    <w:rsid w:val="002C408E"/>
    <w:rsid w:val="002C42D5"/>
    <w:rsid w:val="002C46F8"/>
    <w:rsid w:val="002C47DF"/>
    <w:rsid w:val="002C4A2A"/>
    <w:rsid w:val="002C4B3D"/>
    <w:rsid w:val="002C4B76"/>
    <w:rsid w:val="002C4D3B"/>
    <w:rsid w:val="002C4E0C"/>
    <w:rsid w:val="002C50BE"/>
    <w:rsid w:val="002C5129"/>
    <w:rsid w:val="002C52E2"/>
    <w:rsid w:val="002C5599"/>
    <w:rsid w:val="002C5AB5"/>
    <w:rsid w:val="002C5C7A"/>
    <w:rsid w:val="002C5C82"/>
    <w:rsid w:val="002C60C6"/>
    <w:rsid w:val="002C60D2"/>
    <w:rsid w:val="002C60EA"/>
    <w:rsid w:val="002C6187"/>
    <w:rsid w:val="002C655B"/>
    <w:rsid w:val="002C6649"/>
    <w:rsid w:val="002C6A98"/>
    <w:rsid w:val="002C6CBB"/>
    <w:rsid w:val="002C6CF5"/>
    <w:rsid w:val="002C6DA1"/>
    <w:rsid w:val="002C70AA"/>
    <w:rsid w:val="002C71E7"/>
    <w:rsid w:val="002C753F"/>
    <w:rsid w:val="002C757F"/>
    <w:rsid w:val="002C7AA7"/>
    <w:rsid w:val="002C9F27"/>
    <w:rsid w:val="002D03BD"/>
    <w:rsid w:val="002D0482"/>
    <w:rsid w:val="002D060B"/>
    <w:rsid w:val="002D07E1"/>
    <w:rsid w:val="002D0AEB"/>
    <w:rsid w:val="002D128A"/>
    <w:rsid w:val="002D14A0"/>
    <w:rsid w:val="002D18B4"/>
    <w:rsid w:val="002D1D67"/>
    <w:rsid w:val="002D2290"/>
    <w:rsid w:val="002D23AE"/>
    <w:rsid w:val="002D2465"/>
    <w:rsid w:val="002D2A01"/>
    <w:rsid w:val="002D2B61"/>
    <w:rsid w:val="002D2EB1"/>
    <w:rsid w:val="002D2FE3"/>
    <w:rsid w:val="002D34DC"/>
    <w:rsid w:val="002D35EC"/>
    <w:rsid w:val="002D369F"/>
    <w:rsid w:val="002D37E1"/>
    <w:rsid w:val="002D3AB0"/>
    <w:rsid w:val="002D3B5E"/>
    <w:rsid w:val="002D3CD0"/>
    <w:rsid w:val="002D3FAA"/>
    <w:rsid w:val="002D4212"/>
    <w:rsid w:val="002D4583"/>
    <w:rsid w:val="002D46A6"/>
    <w:rsid w:val="002D5097"/>
    <w:rsid w:val="002D5141"/>
    <w:rsid w:val="002D51D7"/>
    <w:rsid w:val="002D55A0"/>
    <w:rsid w:val="002D57A0"/>
    <w:rsid w:val="002D5A3C"/>
    <w:rsid w:val="002D5A7A"/>
    <w:rsid w:val="002D5AD2"/>
    <w:rsid w:val="002D5B64"/>
    <w:rsid w:val="002D5CDE"/>
    <w:rsid w:val="002D5ED0"/>
    <w:rsid w:val="002D5F3D"/>
    <w:rsid w:val="002D6785"/>
    <w:rsid w:val="002D68E3"/>
    <w:rsid w:val="002D6902"/>
    <w:rsid w:val="002D6A15"/>
    <w:rsid w:val="002D6AF1"/>
    <w:rsid w:val="002D6C23"/>
    <w:rsid w:val="002D6E8B"/>
    <w:rsid w:val="002D6EC6"/>
    <w:rsid w:val="002D71D1"/>
    <w:rsid w:val="002D7209"/>
    <w:rsid w:val="002D73DD"/>
    <w:rsid w:val="002D77F9"/>
    <w:rsid w:val="002D7884"/>
    <w:rsid w:val="002D7967"/>
    <w:rsid w:val="002D7C69"/>
    <w:rsid w:val="002D7E36"/>
    <w:rsid w:val="002E00F8"/>
    <w:rsid w:val="002E04E5"/>
    <w:rsid w:val="002E0649"/>
    <w:rsid w:val="002E08F3"/>
    <w:rsid w:val="002E0BD7"/>
    <w:rsid w:val="002E1043"/>
    <w:rsid w:val="002E10D6"/>
    <w:rsid w:val="002E11E6"/>
    <w:rsid w:val="002E1558"/>
    <w:rsid w:val="002E179D"/>
    <w:rsid w:val="002E1ACB"/>
    <w:rsid w:val="002E1B94"/>
    <w:rsid w:val="002E1C00"/>
    <w:rsid w:val="002E1D97"/>
    <w:rsid w:val="002E20BA"/>
    <w:rsid w:val="002E23DF"/>
    <w:rsid w:val="002E241C"/>
    <w:rsid w:val="002E2838"/>
    <w:rsid w:val="002E2DCA"/>
    <w:rsid w:val="002E2E5B"/>
    <w:rsid w:val="002E2EE3"/>
    <w:rsid w:val="002E32D4"/>
    <w:rsid w:val="002E34D0"/>
    <w:rsid w:val="002E352C"/>
    <w:rsid w:val="002E3545"/>
    <w:rsid w:val="002E37D8"/>
    <w:rsid w:val="002E3887"/>
    <w:rsid w:val="002E38D7"/>
    <w:rsid w:val="002E3990"/>
    <w:rsid w:val="002E3D73"/>
    <w:rsid w:val="002E3DED"/>
    <w:rsid w:val="002E4158"/>
    <w:rsid w:val="002E43BF"/>
    <w:rsid w:val="002E4438"/>
    <w:rsid w:val="002E44AA"/>
    <w:rsid w:val="002E44ED"/>
    <w:rsid w:val="002E4507"/>
    <w:rsid w:val="002E4586"/>
    <w:rsid w:val="002E4D68"/>
    <w:rsid w:val="002E4D6B"/>
    <w:rsid w:val="002E4D7A"/>
    <w:rsid w:val="002E52A8"/>
    <w:rsid w:val="002E533D"/>
    <w:rsid w:val="002E5477"/>
    <w:rsid w:val="002E54A2"/>
    <w:rsid w:val="002E55A4"/>
    <w:rsid w:val="002E55CA"/>
    <w:rsid w:val="002E5645"/>
    <w:rsid w:val="002E5815"/>
    <w:rsid w:val="002E582B"/>
    <w:rsid w:val="002E5885"/>
    <w:rsid w:val="002E5945"/>
    <w:rsid w:val="002E5A2C"/>
    <w:rsid w:val="002E5C51"/>
    <w:rsid w:val="002E637E"/>
    <w:rsid w:val="002E63C5"/>
    <w:rsid w:val="002E6512"/>
    <w:rsid w:val="002E65B1"/>
    <w:rsid w:val="002E65CB"/>
    <w:rsid w:val="002E6C4C"/>
    <w:rsid w:val="002E6CC8"/>
    <w:rsid w:val="002E790C"/>
    <w:rsid w:val="002E7997"/>
    <w:rsid w:val="002E7A0A"/>
    <w:rsid w:val="002E7D99"/>
    <w:rsid w:val="002E7F1B"/>
    <w:rsid w:val="002E7FF8"/>
    <w:rsid w:val="002F01A9"/>
    <w:rsid w:val="002F01F8"/>
    <w:rsid w:val="002F0235"/>
    <w:rsid w:val="002F0434"/>
    <w:rsid w:val="002F049F"/>
    <w:rsid w:val="002F04B6"/>
    <w:rsid w:val="002F04EE"/>
    <w:rsid w:val="002F0F50"/>
    <w:rsid w:val="002F113E"/>
    <w:rsid w:val="002F1462"/>
    <w:rsid w:val="002F1A8D"/>
    <w:rsid w:val="002F1BDB"/>
    <w:rsid w:val="002F1CAE"/>
    <w:rsid w:val="002F21D7"/>
    <w:rsid w:val="002F23FA"/>
    <w:rsid w:val="002F2CE8"/>
    <w:rsid w:val="002F3498"/>
    <w:rsid w:val="002F3557"/>
    <w:rsid w:val="002F38D5"/>
    <w:rsid w:val="002F3A21"/>
    <w:rsid w:val="002F3E08"/>
    <w:rsid w:val="002F428C"/>
    <w:rsid w:val="002F457C"/>
    <w:rsid w:val="002F46B4"/>
    <w:rsid w:val="002F4D5A"/>
    <w:rsid w:val="002F4DB0"/>
    <w:rsid w:val="002F5200"/>
    <w:rsid w:val="002F5370"/>
    <w:rsid w:val="002F5412"/>
    <w:rsid w:val="002F554F"/>
    <w:rsid w:val="002F5BA4"/>
    <w:rsid w:val="002F5E57"/>
    <w:rsid w:val="002F5F7E"/>
    <w:rsid w:val="002F602C"/>
    <w:rsid w:val="002F62BF"/>
    <w:rsid w:val="002F637C"/>
    <w:rsid w:val="002F6424"/>
    <w:rsid w:val="002F6478"/>
    <w:rsid w:val="002F6485"/>
    <w:rsid w:val="002F66F1"/>
    <w:rsid w:val="002F67F0"/>
    <w:rsid w:val="002F6942"/>
    <w:rsid w:val="002F6C97"/>
    <w:rsid w:val="002F7069"/>
    <w:rsid w:val="002F70C9"/>
    <w:rsid w:val="002F745D"/>
    <w:rsid w:val="002F74DC"/>
    <w:rsid w:val="002F77B3"/>
    <w:rsid w:val="002F7B58"/>
    <w:rsid w:val="002F7F3E"/>
    <w:rsid w:val="003002CD"/>
    <w:rsid w:val="00300512"/>
    <w:rsid w:val="00300624"/>
    <w:rsid w:val="00300970"/>
    <w:rsid w:val="00300A72"/>
    <w:rsid w:val="00300D16"/>
    <w:rsid w:val="00300D4A"/>
    <w:rsid w:val="00301009"/>
    <w:rsid w:val="00301241"/>
    <w:rsid w:val="00301BF2"/>
    <w:rsid w:val="00302238"/>
    <w:rsid w:val="0030247D"/>
    <w:rsid w:val="00302C89"/>
    <w:rsid w:val="00303096"/>
    <w:rsid w:val="00303320"/>
    <w:rsid w:val="00303549"/>
    <w:rsid w:val="0030365F"/>
    <w:rsid w:val="0030389F"/>
    <w:rsid w:val="00303B26"/>
    <w:rsid w:val="00303D39"/>
    <w:rsid w:val="00303D92"/>
    <w:rsid w:val="00303ED4"/>
    <w:rsid w:val="00303FBC"/>
    <w:rsid w:val="00304105"/>
    <w:rsid w:val="00304159"/>
    <w:rsid w:val="00304863"/>
    <w:rsid w:val="00304967"/>
    <w:rsid w:val="00304F5D"/>
    <w:rsid w:val="0030502C"/>
    <w:rsid w:val="00305102"/>
    <w:rsid w:val="0030513D"/>
    <w:rsid w:val="00305899"/>
    <w:rsid w:val="00305903"/>
    <w:rsid w:val="00305C7C"/>
    <w:rsid w:val="00306071"/>
    <w:rsid w:val="003064EC"/>
    <w:rsid w:val="0030659C"/>
    <w:rsid w:val="00306668"/>
    <w:rsid w:val="003066CB"/>
    <w:rsid w:val="00306A92"/>
    <w:rsid w:val="00306AB6"/>
    <w:rsid w:val="00306B26"/>
    <w:rsid w:val="0030724D"/>
    <w:rsid w:val="00307844"/>
    <w:rsid w:val="003078C6"/>
    <w:rsid w:val="00307B29"/>
    <w:rsid w:val="00307EE6"/>
    <w:rsid w:val="00307FF9"/>
    <w:rsid w:val="003104AE"/>
    <w:rsid w:val="0031050E"/>
    <w:rsid w:val="003109F8"/>
    <w:rsid w:val="00310FE9"/>
    <w:rsid w:val="0031119F"/>
    <w:rsid w:val="00311377"/>
    <w:rsid w:val="003114DA"/>
    <w:rsid w:val="00311831"/>
    <w:rsid w:val="00311C67"/>
    <w:rsid w:val="00311D6F"/>
    <w:rsid w:val="00311DCC"/>
    <w:rsid w:val="00312933"/>
    <w:rsid w:val="0031298F"/>
    <w:rsid w:val="00312B40"/>
    <w:rsid w:val="00312CA6"/>
    <w:rsid w:val="003131E6"/>
    <w:rsid w:val="003137FA"/>
    <w:rsid w:val="003139DA"/>
    <w:rsid w:val="00313A45"/>
    <w:rsid w:val="0031441A"/>
    <w:rsid w:val="00314513"/>
    <w:rsid w:val="003149E9"/>
    <w:rsid w:val="00314E82"/>
    <w:rsid w:val="0031502F"/>
    <w:rsid w:val="00315033"/>
    <w:rsid w:val="003150C2"/>
    <w:rsid w:val="00315102"/>
    <w:rsid w:val="00315587"/>
    <w:rsid w:val="0031578A"/>
    <w:rsid w:val="003157A2"/>
    <w:rsid w:val="003158DF"/>
    <w:rsid w:val="00315F66"/>
    <w:rsid w:val="003163DC"/>
    <w:rsid w:val="00316B82"/>
    <w:rsid w:val="00316BB8"/>
    <w:rsid w:val="00316D32"/>
    <w:rsid w:val="00317178"/>
    <w:rsid w:val="00317543"/>
    <w:rsid w:val="00317555"/>
    <w:rsid w:val="00317878"/>
    <w:rsid w:val="00317B72"/>
    <w:rsid w:val="00317CFA"/>
    <w:rsid w:val="003200E0"/>
    <w:rsid w:val="0032024D"/>
    <w:rsid w:val="003206FF"/>
    <w:rsid w:val="00320927"/>
    <w:rsid w:val="00320AB1"/>
    <w:rsid w:val="00320CB5"/>
    <w:rsid w:val="00320E52"/>
    <w:rsid w:val="00320EAE"/>
    <w:rsid w:val="00320F8A"/>
    <w:rsid w:val="0032134B"/>
    <w:rsid w:val="003213F4"/>
    <w:rsid w:val="003214EE"/>
    <w:rsid w:val="00321725"/>
    <w:rsid w:val="00321760"/>
    <w:rsid w:val="00321BC6"/>
    <w:rsid w:val="00321CD3"/>
    <w:rsid w:val="00322045"/>
    <w:rsid w:val="0032207C"/>
    <w:rsid w:val="003220B8"/>
    <w:rsid w:val="00322201"/>
    <w:rsid w:val="00322389"/>
    <w:rsid w:val="003223AB"/>
    <w:rsid w:val="003225FC"/>
    <w:rsid w:val="00322954"/>
    <w:rsid w:val="00322990"/>
    <w:rsid w:val="00322C21"/>
    <w:rsid w:val="00322EA9"/>
    <w:rsid w:val="00323246"/>
    <w:rsid w:val="00323404"/>
    <w:rsid w:val="00323420"/>
    <w:rsid w:val="0032346C"/>
    <w:rsid w:val="00323935"/>
    <w:rsid w:val="003239BD"/>
    <w:rsid w:val="00324207"/>
    <w:rsid w:val="00324496"/>
    <w:rsid w:val="00324608"/>
    <w:rsid w:val="00324C37"/>
    <w:rsid w:val="00324E4E"/>
    <w:rsid w:val="00324EFF"/>
    <w:rsid w:val="00325222"/>
    <w:rsid w:val="00325331"/>
    <w:rsid w:val="00325859"/>
    <w:rsid w:val="00325AA0"/>
    <w:rsid w:val="00325B32"/>
    <w:rsid w:val="00325BB4"/>
    <w:rsid w:val="00325E23"/>
    <w:rsid w:val="003260EC"/>
    <w:rsid w:val="0032626F"/>
    <w:rsid w:val="003265DA"/>
    <w:rsid w:val="00326A30"/>
    <w:rsid w:val="00326A78"/>
    <w:rsid w:val="00326AA8"/>
    <w:rsid w:val="00326B37"/>
    <w:rsid w:val="00326E73"/>
    <w:rsid w:val="0032701A"/>
    <w:rsid w:val="00327040"/>
    <w:rsid w:val="003277EA"/>
    <w:rsid w:val="003278E9"/>
    <w:rsid w:val="00327D87"/>
    <w:rsid w:val="00327E90"/>
    <w:rsid w:val="00330405"/>
    <w:rsid w:val="003306BD"/>
    <w:rsid w:val="003307DB"/>
    <w:rsid w:val="003308CF"/>
    <w:rsid w:val="00330F7A"/>
    <w:rsid w:val="003311F8"/>
    <w:rsid w:val="00331339"/>
    <w:rsid w:val="00331462"/>
    <w:rsid w:val="003314E9"/>
    <w:rsid w:val="003315B1"/>
    <w:rsid w:val="0033161F"/>
    <w:rsid w:val="00331742"/>
    <w:rsid w:val="00331AB0"/>
    <w:rsid w:val="00331D70"/>
    <w:rsid w:val="00331FFF"/>
    <w:rsid w:val="0033225F"/>
    <w:rsid w:val="003323E6"/>
    <w:rsid w:val="00332463"/>
    <w:rsid w:val="003328DD"/>
    <w:rsid w:val="00332A2F"/>
    <w:rsid w:val="00332BA1"/>
    <w:rsid w:val="00332BB8"/>
    <w:rsid w:val="00332DD7"/>
    <w:rsid w:val="00332DE7"/>
    <w:rsid w:val="00332E4C"/>
    <w:rsid w:val="00332E6C"/>
    <w:rsid w:val="00332EDC"/>
    <w:rsid w:val="00333AB5"/>
    <w:rsid w:val="00333EF1"/>
    <w:rsid w:val="0033405D"/>
    <w:rsid w:val="0033413F"/>
    <w:rsid w:val="003344AA"/>
    <w:rsid w:val="0033479C"/>
    <w:rsid w:val="00334844"/>
    <w:rsid w:val="00334866"/>
    <w:rsid w:val="00334A10"/>
    <w:rsid w:val="00334DBE"/>
    <w:rsid w:val="003356EB"/>
    <w:rsid w:val="00335792"/>
    <w:rsid w:val="003359BD"/>
    <w:rsid w:val="003359C0"/>
    <w:rsid w:val="00335B95"/>
    <w:rsid w:val="00335EC5"/>
    <w:rsid w:val="003360E3"/>
    <w:rsid w:val="003361D7"/>
    <w:rsid w:val="00336393"/>
    <w:rsid w:val="003363A9"/>
    <w:rsid w:val="00336441"/>
    <w:rsid w:val="00336AE0"/>
    <w:rsid w:val="00336FB4"/>
    <w:rsid w:val="0033729C"/>
    <w:rsid w:val="003375CB"/>
    <w:rsid w:val="00337805"/>
    <w:rsid w:val="00337B65"/>
    <w:rsid w:val="0034010B"/>
    <w:rsid w:val="0034037D"/>
    <w:rsid w:val="00340C18"/>
    <w:rsid w:val="00340D29"/>
    <w:rsid w:val="003410CD"/>
    <w:rsid w:val="0034161E"/>
    <w:rsid w:val="00341726"/>
    <w:rsid w:val="00341AAE"/>
    <w:rsid w:val="00341BF6"/>
    <w:rsid w:val="00341D45"/>
    <w:rsid w:val="00342253"/>
    <w:rsid w:val="00342438"/>
    <w:rsid w:val="00342696"/>
    <w:rsid w:val="003426F5"/>
    <w:rsid w:val="00342BDE"/>
    <w:rsid w:val="00342DB5"/>
    <w:rsid w:val="00342DBD"/>
    <w:rsid w:val="003433EB"/>
    <w:rsid w:val="0034377F"/>
    <w:rsid w:val="00343E63"/>
    <w:rsid w:val="00343F38"/>
    <w:rsid w:val="0034480E"/>
    <w:rsid w:val="00344817"/>
    <w:rsid w:val="00344877"/>
    <w:rsid w:val="00344BCA"/>
    <w:rsid w:val="00344C18"/>
    <w:rsid w:val="00344C7E"/>
    <w:rsid w:val="00344E16"/>
    <w:rsid w:val="00345108"/>
    <w:rsid w:val="0034564E"/>
    <w:rsid w:val="00345B9C"/>
    <w:rsid w:val="00345CBB"/>
    <w:rsid w:val="00345D0E"/>
    <w:rsid w:val="00345DC5"/>
    <w:rsid w:val="00345F07"/>
    <w:rsid w:val="00345FCA"/>
    <w:rsid w:val="0034600D"/>
    <w:rsid w:val="0034610F"/>
    <w:rsid w:val="003463AF"/>
    <w:rsid w:val="00346609"/>
    <w:rsid w:val="003466E2"/>
    <w:rsid w:val="00346740"/>
    <w:rsid w:val="003469C6"/>
    <w:rsid w:val="00346F22"/>
    <w:rsid w:val="0034762B"/>
    <w:rsid w:val="00347747"/>
    <w:rsid w:val="00347977"/>
    <w:rsid w:val="00347B5D"/>
    <w:rsid w:val="00347CBC"/>
    <w:rsid w:val="00347DB5"/>
    <w:rsid w:val="00347E39"/>
    <w:rsid w:val="00347E5F"/>
    <w:rsid w:val="003504D0"/>
    <w:rsid w:val="003507EB"/>
    <w:rsid w:val="00350A61"/>
    <w:rsid w:val="00350AC4"/>
    <w:rsid w:val="00350C64"/>
    <w:rsid w:val="00350E5D"/>
    <w:rsid w:val="003510BF"/>
    <w:rsid w:val="0035119A"/>
    <w:rsid w:val="00351278"/>
    <w:rsid w:val="003512C9"/>
    <w:rsid w:val="003513EA"/>
    <w:rsid w:val="00351931"/>
    <w:rsid w:val="00351937"/>
    <w:rsid w:val="00351B30"/>
    <w:rsid w:val="00351CC9"/>
    <w:rsid w:val="00351DE2"/>
    <w:rsid w:val="00351E5B"/>
    <w:rsid w:val="00351EDD"/>
    <w:rsid w:val="00352803"/>
    <w:rsid w:val="00352933"/>
    <w:rsid w:val="00352A04"/>
    <w:rsid w:val="00352CA3"/>
    <w:rsid w:val="00353295"/>
    <w:rsid w:val="00353950"/>
    <w:rsid w:val="00353A13"/>
    <w:rsid w:val="00353BE9"/>
    <w:rsid w:val="00353C58"/>
    <w:rsid w:val="00353E0B"/>
    <w:rsid w:val="00354227"/>
    <w:rsid w:val="003543B5"/>
    <w:rsid w:val="00354643"/>
    <w:rsid w:val="003546FB"/>
    <w:rsid w:val="00354A28"/>
    <w:rsid w:val="00354B33"/>
    <w:rsid w:val="0035554A"/>
    <w:rsid w:val="0035587B"/>
    <w:rsid w:val="00355A0C"/>
    <w:rsid w:val="00355C9D"/>
    <w:rsid w:val="003560DC"/>
    <w:rsid w:val="00356719"/>
    <w:rsid w:val="0035674F"/>
    <w:rsid w:val="00356956"/>
    <w:rsid w:val="00356B72"/>
    <w:rsid w:val="00356CBB"/>
    <w:rsid w:val="003570F2"/>
    <w:rsid w:val="00357138"/>
    <w:rsid w:val="003571C2"/>
    <w:rsid w:val="003572F4"/>
    <w:rsid w:val="00357835"/>
    <w:rsid w:val="00357B08"/>
    <w:rsid w:val="00357D82"/>
    <w:rsid w:val="00357EAF"/>
    <w:rsid w:val="00357EFB"/>
    <w:rsid w:val="00360674"/>
    <w:rsid w:val="0036085F"/>
    <w:rsid w:val="00360889"/>
    <w:rsid w:val="003608DA"/>
    <w:rsid w:val="0036098C"/>
    <w:rsid w:val="00360BF6"/>
    <w:rsid w:val="00360D50"/>
    <w:rsid w:val="00360F88"/>
    <w:rsid w:val="003614EC"/>
    <w:rsid w:val="00361929"/>
    <w:rsid w:val="00361D7B"/>
    <w:rsid w:val="00361E5A"/>
    <w:rsid w:val="00362B7A"/>
    <w:rsid w:val="00362CBF"/>
    <w:rsid w:val="00362D06"/>
    <w:rsid w:val="00363188"/>
    <w:rsid w:val="003631A3"/>
    <w:rsid w:val="003631F3"/>
    <w:rsid w:val="00363284"/>
    <w:rsid w:val="00363548"/>
    <w:rsid w:val="00363715"/>
    <w:rsid w:val="00363838"/>
    <w:rsid w:val="0036393C"/>
    <w:rsid w:val="00363A83"/>
    <w:rsid w:val="00363B83"/>
    <w:rsid w:val="00363C35"/>
    <w:rsid w:val="0036446F"/>
    <w:rsid w:val="00364610"/>
    <w:rsid w:val="00364626"/>
    <w:rsid w:val="003646FE"/>
    <w:rsid w:val="00364998"/>
    <w:rsid w:val="003649DA"/>
    <w:rsid w:val="00364C07"/>
    <w:rsid w:val="00364EC2"/>
    <w:rsid w:val="003652C0"/>
    <w:rsid w:val="00365564"/>
    <w:rsid w:val="00365B0B"/>
    <w:rsid w:val="00365F12"/>
    <w:rsid w:val="00366322"/>
    <w:rsid w:val="0036678E"/>
    <w:rsid w:val="00366D53"/>
    <w:rsid w:val="00366DCE"/>
    <w:rsid w:val="00366E5A"/>
    <w:rsid w:val="00366F50"/>
    <w:rsid w:val="00367197"/>
    <w:rsid w:val="0036723F"/>
    <w:rsid w:val="00367481"/>
    <w:rsid w:val="0036756B"/>
    <w:rsid w:val="0036777D"/>
    <w:rsid w:val="00367ACD"/>
    <w:rsid w:val="00367BFC"/>
    <w:rsid w:val="00367F1B"/>
    <w:rsid w:val="00367F20"/>
    <w:rsid w:val="00367FEB"/>
    <w:rsid w:val="00370288"/>
    <w:rsid w:val="00370414"/>
    <w:rsid w:val="003705B8"/>
    <w:rsid w:val="003706EB"/>
    <w:rsid w:val="003707A7"/>
    <w:rsid w:val="00370B68"/>
    <w:rsid w:val="00370D37"/>
    <w:rsid w:val="00370F6B"/>
    <w:rsid w:val="003711BD"/>
    <w:rsid w:val="003714DF"/>
    <w:rsid w:val="003716FC"/>
    <w:rsid w:val="00371862"/>
    <w:rsid w:val="00371939"/>
    <w:rsid w:val="00371991"/>
    <w:rsid w:val="00371B50"/>
    <w:rsid w:val="00371DC9"/>
    <w:rsid w:val="00371E85"/>
    <w:rsid w:val="0037219D"/>
    <w:rsid w:val="0037235B"/>
    <w:rsid w:val="003726E3"/>
    <w:rsid w:val="00372723"/>
    <w:rsid w:val="00372BF6"/>
    <w:rsid w:val="003731C4"/>
    <w:rsid w:val="0037323E"/>
    <w:rsid w:val="00373305"/>
    <w:rsid w:val="00373406"/>
    <w:rsid w:val="003735D0"/>
    <w:rsid w:val="003736C0"/>
    <w:rsid w:val="0037387C"/>
    <w:rsid w:val="003738D1"/>
    <w:rsid w:val="0037390A"/>
    <w:rsid w:val="00373975"/>
    <w:rsid w:val="00373C7C"/>
    <w:rsid w:val="00373D33"/>
    <w:rsid w:val="0037450E"/>
    <w:rsid w:val="003746E0"/>
    <w:rsid w:val="00374B19"/>
    <w:rsid w:val="00374B39"/>
    <w:rsid w:val="0037513E"/>
    <w:rsid w:val="0037538F"/>
    <w:rsid w:val="003753B0"/>
    <w:rsid w:val="003753BF"/>
    <w:rsid w:val="0037574A"/>
    <w:rsid w:val="0037576C"/>
    <w:rsid w:val="00375AFF"/>
    <w:rsid w:val="00375B0A"/>
    <w:rsid w:val="00375BF4"/>
    <w:rsid w:val="00375C83"/>
    <w:rsid w:val="00375F9C"/>
    <w:rsid w:val="0037614B"/>
    <w:rsid w:val="0037629E"/>
    <w:rsid w:val="00376908"/>
    <w:rsid w:val="003769CE"/>
    <w:rsid w:val="00376C54"/>
    <w:rsid w:val="00376E19"/>
    <w:rsid w:val="00376F9D"/>
    <w:rsid w:val="00377141"/>
    <w:rsid w:val="003772B0"/>
    <w:rsid w:val="003778FD"/>
    <w:rsid w:val="00377B5B"/>
    <w:rsid w:val="00377DE5"/>
    <w:rsid w:val="003803A0"/>
    <w:rsid w:val="003805EA"/>
    <w:rsid w:val="00380631"/>
    <w:rsid w:val="00380827"/>
    <w:rsid w:val="00380CF7"/>
    <w:rsid w:val="00380FD0"/>
    <w:rsid w:val="00381325"/>
    <w:rsid w:val="00381358"/>
    <w:rsid w:val="0038173D"/>
    <w:rsid w:val="003817DE"/>
    <w:rsid w:val="00381B50"/>
    <w:rsid w:val="00382001"/>
    <w:rsid w:val="00382266"/>
    <w:rsid w:val="003822A6"/>
    <w:rsid w:val="00382519"/>
    <w:rsid w:val="003826FE"/>
    <w:rsid w:val="003829AE"/>
    <w:rsid w:val="00382D4D"/>
    <w:rsid w:val="00382F6B"/>
    <w:rsid w:val="00383216"/>
    <w:rsid w:val="00383621"/>
    <w:rsid w:val="00383B70"/>
    <w:rsid w:val="00383E70"/>
    <w:rsid w:val="00383F7F"/>
    <w:rsid w:val="00383FB8"/>
    <w:rsid w:val="00383FF6"/>
    <w:rsid w:val="003841C6"/>
    <w:rsid w:val="00384341"/>
    <w:rsid w:val="00384450"/>
    <w:rsid w:val="0038446C"/>
    <w:rsid w:val="0038458F"/>
    <w:rsid w:val="0038464F"/>
    <w:rsid w:val="003849CF"/>
    <w:rsid w:val="00384CBC"/>
    <w:rsid w:val="00384DD6"/>
    <w:rsid w:val="00384F90"/>
    <w:rsid w:val="00385236"/>
    <w:rsid w:val="0038562D"/>
    <w:rsid w:val="00385817"/>
    <w:rsid w:val="00385A7B"/>
    <w:rsid w:val="00385C8C"/>
    <w:rsid w:val="00385E94"/>
    <w:rsid w:val="00385F15"/>
    <w:rsid w:val="00385FFC"/>
    <w:rsid w:val="00386365"/>
    <w:rsid w:val="00386E7F"/>
    <w:rsid w:val="00386ED8"/>
    <w:rsid w:val="00386F31"/>
    <w:rsid w:val="00386FB0"/>
    <w:rsid w:val="00386FD6"/>
    <w:rsid w:val="003870DF"/>
    <w:rsid w:val="003872F8"/>
    <w:rsid w:val="00387A59"/>
    <w:rsid w:val="00387ED6"/>
    <w:rsid w:val="003902A1"/>
    <w:rsid w:val="003905B2"/>
    <w:rsid w:val="00390B3F"/>
    <w:rsid w:val="00390C23"/>
    <w:rsid w:val="00390EB9"/>
    <w:rsid w:val="00391003"/>
    <w:rsid w:val="0039112E"/>
    <w:rsid w:val="0039187A"/>
    <w:rsid w:val="00391886"/>
    <w:rsid w:val="003919A5"/>
    <w:rsid w:val="00391D4E"/>
    <w:rsid w:val="003920E1"/>
    <w:rsid w:val="00392695"/>
    <w:rsid w:val="003926DC"/>
    <w:rsid w:val="00392916"/>
    <w:rsid w:val="00392C75"/>
    <w:rsid w:val="00393057"/>
    <w:rsid w:val="003930B0"/>
    <w:rsid w:val="0039318A"/>
    <w:rsid w:val="0039333F"/>
    <w:rsid w:val="0039343E"/>
    <w:rsid w:val="00393591"/>
    <w:rsid w:val="00393C69"/>
    <w:rsid w:val="00393DB6"/>
    <w:rsid w:val="00393E49"/>
    <w:rsid w:val="003941B4"/>
    <w:rsid w:val="00394362"/>
    <w:rsid w:val="003944F7"/>
    <w:rsid w:val="0039469F"/>
    <w:rsid w:val="0039483E"/>
    <w:rsid w:val="0039484D"/>
    <w:rsid w:val="00394936"/>
    <w:rsid w:val="00394BC8"/>
    <w:rsid w:val="00394DBD"/>
    <w:rsid w:val="00394DFA"/>
    <w:rsid w:val="00394ECD"/>
    <w:rsid w:val="0039547B"/>
    <w:rsid w:val="00395630"/>
    <w:rsid w:val="00395F7C"/>
    <w:rsid w:val="0039607A"/>
    <w:rsid w:val="00396380"/>
    <w:rsid w:val="003964D3"/>
    <w:rsid w:val="0039658D"/>
    <w:rsid w:val="0039676C"/>
    <w:rsid w:val="00396D61"/>
    <w:rsid w:val="003970BD"/>
    <w:rsid w:val="00397126"/>
    <w:rsid w:val="00397449"/>
    <w:rsid w:val="003975A9"/>
    <w:rsid w:val="003A02AD"/>
    <w:rsid w:val="003A03C1"/>
    <w:rsid w:val="003A0468"/>
    <w:rsid w:val="003A06FE"/>
    <w:rsid w:val="003A0BE5"/>
    <w:rsid w:val="003A0C9C"/>
    <w:rsid w:val="003A0D82"/>
    <w:rsid w:val="003A0F74"/>
    <w:rsid w:val="003A1105"/>
    <w:rsid w:val="003A1141"/>
    <w:rsid w:val="003A11CB"/>
    <w:rsid w:val="003A1336"/>
    <w:rsid w:val="003A1349"/>
    <w:rsid w:val="003A138D"/>
    <w:rsid w:val="003A1573"/>
    <w:rsid w:val="003A19EB"/>
    <w:rsid w:val="003A1D25"/>
    <w:rsid w:val="003A21AB"/>
    <w:rsid w:val="003A254A"/>
    <w:rsid w:val="003A29E2"/>
    <w:rsid w:val="003A2D75"/>
    <w:rsid w:val="003A2F50"/>
    <w:rsid w:val="003A3138"/>
    <w:rsid w:val="003A3140"/>
    <w:rsid w:val="003A31BA"/>
    <w:rsid w:val="003A32C6"/>
    <w:rsid w:val="003A3304"/>
    <w:rsid w:val="003A38DD"/>
    <w:rsid w:val="003A393E"/>
    <w:rsid w:val="003A3A2C"/>
    <w:rsid w:val="003A3BAB"/>
    <w:rsid w:val="003A3BB2"/>
    <w:rsid w:val="003A3BD7"/>
    <w:rsid w:val="003A3C40"/>
    <w:rsid w:val="003A3D05"/>
    <w:rsid w:val="003A4098"/>
    <w:rsid w:val="003A422F"/>
    <w:rsid w:val="003A450A"/>
    <w:rsid w:val="003A46E2"/>
    <w:rsid w:val="003A47F7"/>
    <w:rsid w:val="003A4B72"/>
    <w:rsid w:val="003A4C83"/>
    <w:rsid w:val="003A4D3F"/>
    <w:rsid w:val="003A5048"/>
    <w:rsid w:val="003A5123"/>
    <w:rsid w:val="003A544D"/>
    <w:rsid w:val="003A55D0"/>
    <w:rsid w:val="003A57C9"/>
    <w:rsid w:val="003A5FA3"/>
    <w:rsid w:val="003A6452"/>
    <w:rsid w:val="003A66F6"/>
    <w:rsid w:val="003A6E88"/>
    <w:rsid w:val="003A6ED6"/>
    <w:rsid w:val="003A70E4"/>
    <w:rsid w:val="003A75F9"/>
    <w:rsid w:val="003A7858"/>
    <w:rsid w:val="003A78C8"/>
    <w:rsid w:val="003A7A14"/>
    <w:rsid w:val="003A7B94"/>
    <w:rsid w:val="003A7C54"/>
    <w:rsid w:val="003A7E46"/>
    <w:rsid w:val="003B013F"/>
    <w:rsid w:val="003B047D"/>
    <w:rsid w:val="003B0515"/>
    <w:rsid w:val="003B0729"/>
    <w:rsid w:val="003B0EAE"/>
    <w:rsid w:val="003B1024"/>
    <w:rsid w:val="003B1191"/>
    <w:rsid w:val="003B11B9"/>
    <w:rsid w:val="003B1589"/>
    <w:rsid w:val="003B1766"/>
    <w:rsid w:val="003B1A3E"/>
    <w:rsid w:val="003B1A9C"/>
    <w:rsid w:val="003B1AA2"/>
    <w:rsid w:val="003B20F9"/>
    <w:rsid w:val="003B2703"/>
    <w:rsid w:val="003B2B3D"/>
    <w:rsid w:val="003B2B49"/>
    <w:rsid w:val="003B2BA5"/>
    <w:rsid w:val="003B2C31"/>
    <w:rsid w:val="003B2C4B"/>
    <w:rsid w:val="003B2F0B"/>
    <w:rsid w:val="003B3105"/>
    <w:rsid w:val="003B31B3"/>
    <w:rsid w:val="003B383B"/>
    <w:rsid w:val="003B3C7D"/>
    <w:rsid w:val="003B3F0A"/>
    <w:rsid w:val="003B3F5A"/>
    <w:rsid w:val="003B43DD"/>
    <w:rsid w:val="003B444A"/>
    <w:rsid w:val="003B4921"/>
    <w:rsid w:val="003B4A71"/>
    <w:rsid w:val="003B4D00"/>
    <w:rsid w:val="003B619C"/>
    <w:rsid w:val="003B6468"/>
    <w:rsid w:val="003B69A5"/>
    <w:rsid w:val="003B6B71"/>
    <w:rsid w:val="003B6BD6"/>
    <w:rsid w:val="003B6C98"/>
    <w:rsid w:val="003B6DCA"/>
    <w:rsid w:val="003B7019"/>
    <w:rsid w:val="003B706B"/>
    <w:rsid w:val="003B725E"/>
    <w:rsid w:val="003B7A19"/>
    <w:rsid w:val="003B7C2D"/>
    <w:rsid w:val="003B7CF2"/>
    <w:rsid w:val="003B7D76"/>
    <w:rsid w:val="003C0196"/>
    <w:rsid w:val="003C06D1"/>
    <w:rsid w:val="003C081B"/>
    <w:rsid w:val="003C098E"/>
    <w:rsid w:val="003C0A47"/>
    <w:rsid w:val="003C0AAA"/>
    <w:rsid w:val="003C0C4E"/>
    <w:rsid w:val="003C0E72"/>
    <w:rsid w:val="003C10D6"/>
    <w:rsid w:val="003C1143"/>
    <w:rsid w:val="003C147A"/>
    <w:rsid w:val="003C159D"/>
    <w:rsid w:val="003C15A6"/>
    <w:rsid w:val="003C167B"/>
    <w:rsid w:val="003C1737"/>
    <w:rsid w:val="003C1A01"/>
    <w:rsid w:val="003C1F0D"/>
    <w:rsid w:val="003C20E6"/>
    <w:rsid w:val="003C221F"/>
    <w:rsid w:val="003C2312"/>
    <w:rsid w:val="003C2369"/>
    <w:rsid w:val="003C2E93"/>
    <w:rsid w:val="003C2EC8"/>
    <w:rsid w:val="003C32D6"/>
    <w:rsid w:val="003C334E"/>
    <w:rsid w:val="003C370F"/>
    <w:rsid w:val="003C3724"/>
    <w:rsid w:val="003C37B6"/>
    <w:rsid w:val="003C3B80"/>
    <w:rsid w:val="003C3F91"/>
    <w:rsid w:val="003C483F"/>
    <w:rsid w:val="003C49B6"/>
    <w:rsid w:val="003C4A94"/>
    <w:rsid w:val="003C4E98"/>
    <w:rsid w:val="003C51BD"/>
    <w:rsid w:val="003C54BC"/>
    <w:rsid w:val="003C5737"/>
    <w:rsid w:val="003C5832"/>
    <w:rsid w:val="003C587C"/>
    <w:rsid w:val="003C5C0C"/>
    <w:rsid w:val="003C5C2B"/>
    <w:rsid w:val="003C5D28"/>
    <w:rsid w:val="003C5E72"/>
    <w:rsid w:val="003C5EAF"/>
    <w:rsid w:val="003C5F4F"/>
    <w:rsid w:val="003C5FA8"/>
    <w:rsid w:val="003C6288"/>
    <w:rsid w:val="003C6555"/>
    <w:rsid w:val="003C6592"/>
    <w:rsid w:val="003C65AD"/>
    <w:rsid w:val="003C6B88"/>
    <w:rsid w:val="003C6BD9"/>
    <w:rsid w:val="003C6EFD"/>
    <w:rsid w:val="003C7230"/>
    <w:rsid w:val="003C7331"/>
    <w:rsid w:val="003C7464"/>
    <w:rsid w:val="003C747A"/>
    <w:rsid w:val="003C7521"/>
    <w:rsid w:val="003C77F1"/>
    <w:rsid w:val="003C7A57"/>
    <w:rsid w:val="003C7E98"/>
    <w:rsid w:val="003C7FBA"/>
    <w:rsid w:val="003D0244"/>
    <w:rsid w:val="003D0369"/>
    <w:rsid w:val="003D03B3"/>
    <w:rsid w:val="003D0890"/>
    <w:rsid w:val="003D0A1D"/>
    <w:rsid w:val="003D0C2F"/>
    <w:rsid w:val="003D0D35"/>
    <w:rsid w:val="003D1583"/>
    <w:rsid w:val="003D1A9C"/>
    <w:rsid w:val="003D1CF7"/>
    <w:rsid w:val="003D1E84"/>
    <w:rsid w:val="003D2243"/>
    <w:rsid w:val="003D2332"/>
    <w:rsid w:val="003D26D9"/>
    <w:rsid w:val="003D282B"/>
    <w:rsid w:val="003D2A69"/>
    <w:rsid w:val="003D2D78"/>
    <w:rsid w:val="003D2D8F"/>
    <w:rsid w:val="003D2E06"/>
    <w:rsid w:val="003D2F92"/>
    <w:rsid w:val="003D2FB6"/>
    <w:rsid w:val="003D2FCE"/>
    <w:rsid w:val="003D30CD"/>
    <w:rsid w:val="003D31A3"/>
    <w:rsid w:val="003D3321"/>
    <w:rsid w:val="003D3380"/>
    <w:rsid w:val="003D3420"/>
    <w:rsid w:val="003D36D3"/>
    <w:rsid w:val="003D3700"/>
    <w:rsid w:val="003D39CD"/>
    <w:rsid w:val="003D3D49"/>
    <w:rsid w:val="003D3DC4"/>
    <w:rsid w:val="003D4313"/>
    <w:rsid w:val="003D45B9"/>
    <w:rsid w:val="003D46EE"/>
    <w:rsid w:val="003D4804"/>
    <w:rsid w:val="003D497D"/>
    <w:rsid w:val="003D4A22"/>
    <w:rsid w:val="003D4BED"/>
    <w:rsid w:val="003D4C6F"/>
    <w:rsid w:val="003D5306"/>
    <w:rsid w:val="003D5476"/>
    <w:rsid w:val="003D5A06"/>
    <w:rsid w:val="003D5C2D"/>
    <w:rsid w:val="003D5C93"/>
    <w:rsid w:val="003D5CCD"/>
    <w:rsid w:val="003D5E25"/>
    <w:rsid w:val="003D5EDE"/>
    <w:rsid w:val="003D63DE"/>
    <w:rsid w:val="003D694C"/>
    <w:rsid w:val="003D6B55"/>
    <w:rsid w:val="003D6CF0"/>
    <w:rsid w:val="003D6D35"/>
    <w:rsid w:val="003D7048"/>
    <w:rsid w:val="003D75CE"/>
    <w:rsid w:val="003D7661"/>
    <w:rsid w:val="003D7AF2"/>
    <w:rsid w:val="003D7C73"/>
    <w:rsid w:val="003D7F20"/>
    <w:rsid w:val="003D7FDC"/>
    <w:rsid w:val="003E0043"/>
    <w:rsid w:val="003E036E"/>
    <w:rsid w:val="003E0540"/>
    <w:rsid w:val="003E06A4"/>
    <w:rsid w:val="003E08D6"/>
    <w:rsid w:val="003E0AB1"/>
    <w:rsid w:val="003E0AB9"/>
    <w:rsid w:val="003E13CE"/>
    <w:rsid w:val="003E165F"/>
    <w:rsid w:val="003E1C65"/>
    <w:rsid w:val="003E20F3"/>
    <w:rsid w:val="003E2158"/>
    <w:rsid w:val="003E22CD"/>
    <w:rsid w:val="003E2C21"/>
    <w:rsid w:val="003E2D57"/>
    <w:rsid w:val="003E3098"/>
    <w:rsid w:val="003E30C0"/>
    <w:rsid w:val="003E3383"/>
    <w:rsid w:val="003E3434"/>
    <w:rsid w:val="003E345B"/>
    <w:rsid w:val="003E383A"/>
    <w:rsid w:val="003E3B36"/>
    <w:rsid w:val="003E3B7C"/>
    <w:rsid w:val="003E3C45"/>
    <w:rsid w:val="003E3C4D"/>
    <w:rsid w:val="003E3CA1"/>
    <w:rsid w:val="003E4173"/>
    <w:rsid w:val="003E4653"/>
    <w:rsid w:val="003E46B2"/>
    <w:rsid w:val="003E4916"/>
    <w:rsid w:val="003E4A78"/>
    <w:rsid w:val="003E4C25"/>
    <w:rsid w:val="003E4DE1"/>
    <w:rsid w:val="003E4EC5"/>
    <w:rsid w:val="003E4F5D"/>
    <w:rsid w:val="003E4FEF"/>
    <w:rsid w:val="003E51AB"/>
    <w:rsid w:val="003E5279"/>
    <w:rsid w:val="003E52EA"/>
    <w:rsid w:val="003E534A"/>
    <w:rsid w:val="003E5936"/>
    <w:rsid w:val="003E5D9C"/>
    <w:rsid w:val="003E5E62"/>
    <w:rsid w:val="003E62E6"/>
    <w:rsid w:val="003E6354"/>
    <w:rsid w:val="003E6591"/>
    <w:rsid w:val="003E661A"/>
    <w:rsid w:val="003E6685"/>
    <w:rsid w:val="003E680F"/>
    <w:rsid w:val="003E6A2D"/>
    <w:rsid w:val="003E6C93"/>
    <w:rsid w:val="003E7171"/>
    <w:rsid w:val="003E74E7"/>
    <w:rsid w:val="003E7522"/>
    <w:rsid w:val="003E7BA0"/>
    <w:rsid w:val="003E7BCA"/>
    <w:rsid w:val="003E7E51"/>
    <w:rsid w:val="003E7EDE"/>
    <w:rsid w:val="003F0073"/>
    <w:rsid w:val="003F03F7"/>
    <w:rsid w:val="003F073C"/>
    <w:rsid w:val="003F0E7E"/>
    <w:rsid w:val="003F135B"/>
    <w:rsid w:val="003F18C9"/>
    <w:rsid w:val="003F1900"/>
    <w:rsid w:val="003F1A48"/>
    <w:rsid w:val="003F1BBA"/>
    <w:rsid w:val="003F1D01"/>
    <w:rsid w:val="003F1DAF"/>
    <w:rsid w:val="003F1DDA"/>
    <w:rsid w:val="003F22A3"/>
    <w:rsid w:val="003F22FE"/>
    <w:rsid w:val="003F230F"/>
    <w:rsid w:val="003F262B"/>
    <w:rsid w:val="003F26E6"/>
    <w:rsid w:val="003F29BE"/>
    <w:rsid w:val="003F29E0"/>
    <w:rsid w:val="003F2B35"/>
    <w:rsid w:val="003F2BD9"/>
    <w:rsid w:val="003F2DBD"/>
    <w:rsid w:val="003F3081"/>
    <w:rsid w:val="003F3186"/>
    <w:rsid w:val="003F3296"/>
    <w:rsid w:val="003F35AE"/>
    <w:rsid w:val="003F3AFC"/>
    <w:rsid w:val="003F3B58"/>
    <w:rsid w:val="003F3B72"/>
    <w:rsid w:val="003F40B6"/>
    <w:rsid w:val="003F40DB"/>
    <w:rsid w:val="003F412E"/>
    <w:rsid w:val="003F423C"/>
    <w:rsid w:val="003F42CC"/>
    <w:rsid w:val="003F4370"/>
    <w:rsid w:val="003F4418"/>
    <w:rsid w:val="003F4481"/>
    <w:rsid w:val="003F4608"/>
    <w:rsid w:val="003F4B1B"/>
    <w:rsid w:val="003F4B93"/>
    <w:rsid w:val="003F4BE7"/>
    <w:rsid w:val="003F4EFC"/>
    <w:rsid w:val="003F4FA8"/>
    <w:rsid w:val="003F50ED"/>
    <w:rsid w:val="003F55CF"/>
    <w:rsid w:val="003F588B"/>
    <w:rsid w:val="003F5978"/>
    <w:rsid w:val="003F5996"/>
    <w:rsid w:val="003F5A61"/>
    <w:rsid w:val="003F5BC4"/>
    <w:rsid w:val="003F5E59"/>
    <w:rsid w:val="003F5FA4"/>
    <w:rsid w:val="003F60DA"/>
    <w:rsid w:val="003F6311"/>
    <w:rsid w:val="003F6655"/>
    <w:rsid w:val="003F688F"/>
    <w:rsid w:val="003F74A1"/>
    <w:rsid w:val="003F78C7"/>
    <w:rsid w:val="003F7CC9"/>
    <w:rsid w:val="003F7ED0"/>
    <w:rsid w:val="003F7FED"/>
    <w:rsid w:val="004000E1"/>
    <w:rsid w:val="004002AD"/>
    <w:rsid w:val="00400487"/>
    <w:rsid w:val="0040049D"/>
    <w:rsid w:val="004004DB"/>
    <w:rsid w:val="00400552"/>
    <w:rsid w:val="004008C9"/>
    <w:rsid w:val="00400E21"/>
    <w:rsid w:val="00400ED9"/>
    <w:rsid w:val="0040105C"/>
    <w:rsid w:val="00401137"/>
    <w:rsid w:val="004012BE"/>
    <w:rsid w:val="00401380"/>
    <w:rsid w:val="004018D5"/>
    <w:rsid w:val="00401A44"/>
    <w:rsid w:val="00401CFC"/>
    <w:rsid w:val="00401D98"/>
    <w:rsid w:val="00401F79"/>
    <w:rsid w:val="0040350F"/>
    <w:rsid w:val="00403936"/>
    <w:rsid w:val="00403AD0"/>
    <w:rsid w:val="0040425F"/>
    <w:rsid w:val="0040435D"/>
    <w:rsid w:val="00404F5A"/>
    <w:rsid w:val="00405779"/>
    <w:rsid w:val="00405903"/>
    <w:rsid w:val="00405D17"/>
    <w:rsid w:val="004060CF"/>
    <w:rsid w:val="004064B6"/>
    <w:rsid w:val="004064EB"/>
    <w:rsid w:val="00406558"/>
    <w:rsid w:val="00406685"/>
    <w:rsid w:val="004067D6"/>
    <w:rsid w:val="004068F8"/>
    <w:rsid w:val="00406993"/>
    <w:rsid w:val="004070E0"/>
    <w:rsid w:val="004072CA"/>
    <w:rsid w:val="00407326"/>
    <w:rsid w:val="00407642"/>
    <w:rsid w:val="00410145"/>
    <w:rsid w:val="00410469"/>
    <w:rsid w:val="00410844"/>
    <w:rsid w:val="00410938"/>
    <w:rsid w:val="00410ACE"/>
    <w:rsid w:val="00410CBB"/>
    <w:rsid w:val="004111F0"/>
    <w:rsid w:val="004113EB"/>
    <w:rsid w:val="0041146E"/>
    <w:rsid w:val="004119A0"/>
    <w:rsid w:val="00411B2C"/>
    <w:rsid w:val="00411B81"/>
    <w:rsid w:val="00411E52"/>
    <w:rsid w:val="004120BE"/>
    <w:rsid w:val="00412369"/>
    <w:rsid w:val="0041287D"/>
    <w:rsid w:val="00412A67"/>
    <w:rsid w:val="00412DAF"/>
    <w:rsid w:val="00412E0B"/>
    <w:rsid w:val="00413419"/>
    <w:rsid w:val="004135F8"/>
    <w:rsid w:val="00413705"/>
    <w:rsid w:val="00413851"/>
    <w:rsid w:val="00413AA6"/>
    <w:rsid w:val="00413C23"/>
    <w:rsid w:val="00413F8E"/>
    <w:rsid w:val="0041426F"/>
    <w:rsid w:val="0041433E"/>
    <w:rsid w:val="00414373"/>
    <w:rsid w:val="00414507"/>
    <w:rsid w:val="00414564"/>
    <w:rsid w:val="004146F6"/>
    <w:rsid w:val="004148E2"/>
    <w:rsid w:val="004151D2"/>
    <w:rsid w:val="004155E6"/>
    <w:rsid w:val="00415839"/>
    <w:rsid w:val="00415A0D"/>
    <w:rsid w:val="00415D46"/>
    <w:rsid w:val="00415D8D"/>
    <w:rsid w:val="00415E85"/>
    <w:rsid w:val="00415FBC"/>
    <w:rsid w:val="0041628F"/>
    <w:rsid w:val="00416329"/>
    <w:rsid w:val="00416334"/>
    <w:rsid w:val="00416771"/>
    <w:rsid w:val="00416AD3"/>
    <w:rsid w:val="0041754E"/>
    <w:rsid w:val="0041757A"/>
    <w:rsid w:val="00417844"/>
    <w:rsid w:val="00417E05"/>
    <w:rsid w:val="00420714"/>
    <w:rsid w:val="004207F4"/>
    <w:rsid w:val="0042080D"/>
    <w:rsid w:val="0042095A"/>
    <w:rsid w:val="004209A0"/>
    <w:rsid w:val="00420D69"/>
    <w:rsid w:val="00420F60"/>
    <w:rsid w:val="0042109A"/>
    <w:rsid w:val="004210BC"/>
    <w:rsid w:val="004210DA"/>
    <w:rsid w:val="00421283"/>
    <w:rsid w:val="004212F4"/>
    <w:rsid w:val="00421672"/>
    <w:rsid w:val="004218BB"/>
    <w:rsid w:val="00421A87"/>
    <w:rsid w:val="00421AD8"/>
    <w:rsid w:val="00421DF1"/>
    <w:rsid w:val="00421FAA"/>
    <w:rsid w:val="00422001"/>
    <w:rsid w:val="004220FA"/>
    <w:rsid w:val="0042234D"/>
    <w:rsid w:val="0042252D"/>
    <w:rsid w:val="00422758"/>
    <w:rsid w:val="00422870"/>
    <w:rsid w:val="0042287F"/>
    <w:rsid w:val="00422A6D"/>
    <w:rsid w:val="00422CD9"/>
    <w:rsid w:val="0042325E"/>
    <w:rsid w:val="00423263"/>
    <w:rsid w:val="00423406"/>
    <w:rsid w:val="00423455"/>
    <w:rsid w:val="004234B9"/>
    <w:rsid w:val="004234F9"/>
    <w:rsid w:val="0042365D"/>
    <w:rsid w:val="004237A9"/>
    <w:rsid w:val="004237E9"/>
    <w:rsid w:val="0042385A"/>
    <w:rsid w:val="004239BC"/>
    <w:rsid w:val="00423EBB"/>
    <w:rsid w:val="004245A4"/>
    <w:rsid w:val="00424AC7"/>
    <w:rsid w:val="00424FCB"/>
    <w:rsid w:val="004252B6"/>
    <w:rsid w:val="0042532B"/>
    <w:rsid w:val="00425F0E"/>
    <w:rsid w:val="00426178"/>
    <w:rsid w:val="0042619F"/>
    <w:rsid w:val="00426362"/>
    <w:rsid w:val="004263B3"/>
    <w:rsid w:val="00426548"/>
    <w:rsid w:val="00426EA9"/>
    <w:rsid w:val="00426FD1"/>
    <w:rsid w:val="004273B3"/>
    <w:rsid w:val="0042740D"/>
    <w:rsid w:val="004275C4"/>
    <w:rsid w:val="00427E06"/>
    <w:rsid w:val="0043028E"/>
    <w:rsid w:val="00430492"/>
    <w:rsid w:val="004304DB"/>
    <w:rsid w:val="00430535"/>
    <w:rsid w:val="004306BF"/>
    <w:rsid w:val="004308D7"/>
    <w:rsid w:val="00430DA7"/>
    <w:rsid w:val="004310A5"/>
    <w:rsid w:val="0043141B"/>
    <w:rsid w:val="00431ACA"/>
    <w:rsid w:val="00431D16"/>
    <w:rsid w:val="0043214E"/>
    <w:rsid w:val="004321E6"/>
    <w:rsid w:val="00432234"/>
    <w:rsid w:val="00432327"/>
    <w:rsid w:val="00432553"/>
    <w:rsid w:val="004325E2"/>
    <w:rsid w:val="0043266C"/>
    <w:rsid w:val="0043267F"/>
    <w:rsid w:val="004326D7"/>
    <w:rsid w:val="0043288B"/>
    <w:rsid w:val="0043295E"/>
    <w:rsid w:val="00432A42"/>
    <w:rsid w:val="00432E5C"/>
    <w:rsid w:val="00432F32"/>
    <w:rsid w:val="00432F85"/>
    <w:rsid w:val="004330AF"/>
    <w:rsid w:val="00433147"/>
    <w:rsid w:val="004334C1"/>
    <w:rsid w:val="0043374E"/>
    <w:rsid w:val="00433836"/>
    <w:rsid w:val="00433BB9"/>
    <w:rsid w:val="00433F4A"/>
    <w:rsid w:val="00433FAA"/>
    <w:rsid w:val="00434217"/>
    <w:rsid w:val="004344B3"/>
    <w:rsid w:val="004345D2"/>
    <w:rsid w:val="00434953"/>
    <w:rsid w:val="00434A1B"/>
    <w:rsid w:val="00434B96"/>
    <w:rsid w:val="00434DD7"/>
    <w:rsid w:val="004354A6"/>
    <w:rsid w:val="004355A8"/>
    <w:rsid w:val="00435807"/>
    <w:rsid w:val="00435BAF"/>
    <w:rsid w:val="00435CEC"/>
    <w:rsid w:val="004361B6"/>
    <w:rsid w:val="0043621E"/>
    <w:rsid w:val="0043646B"/>
    <w:rsid w:val="00436595"/>
    <w:rsid w:val="004368C6"/>
    <w:rsid w:val="00436A60"/>
    <w:rsid w:val="00436AD8"/>
    <w:rsid w:val="00436C7A"/>
    <w:rsid w:val="00436E50"/>
    <w:rsid w:val="004376A7"/>
    <w:rsid w:val="00437867"/>
    <w:rsid w:val="00437A7D"/>
    <w:rsid w:val="00437B7C"/>
    <w:rsid w:val="00440657"/>
    <w:rsid w:val="004407ED"/>
    <w:rsid w:val="00440C4A"/>
    <w:rsid w:val="00440E15"/>
    <w:rsid w:val="00440EFD"/>
    <w:rsid w:val="00441019"/>
    <w:rsid w:val="004413AF"/>
    <w:rsid w:val="00441664"/>
    <w:rsid w:val="00441A2D"/>
    <w:rsid w:val="00441B83"/>
    <w:rsid w:val="004423AF"/>
    <w:rsid w:val="0044242C"/>
    <w:rsid w:val="004424CE"/>
    <w:rsid w:val="004425F6"/>
    <w:rsid w:val="00442ADF"/>
    <w:rsid w:val="00443340"/>
    <w:rsid w:val="00443571"/>
    <w:rsid w:val="00443761"/>
    <w:rsid w:val="00443E72"/>
    <w:rsid w:val="00443FA2"/>
    <w:rsid w:val="0044414C"/>
    <w:rsid w:val="004442A4"/>
    <w:rsid w:val="004442F2"/>
    <w:rsid w:val="00444ADF"/>
    <w:rsid w:val="00444C26"/>
    <w:rsid w:val="0044500D"/>
    <w:rsid w:val="00445083"/>
    <w:rsid w:val="004453B3"/>
    <w:rsid w:val="004457A4"/>
    <w:rsid w:val="00445A9F"/>
    <w:rsid w:val="00445D74"/>
    <w:rsid w:val="00445E2F"/>
    <w:rsid w:val="004461B7"/>
    <w:rsid w:val="004466D5"/>
    <w:rsid w:val="004467CE"/>
    <w:rsid w:val="00446BED"/>
    <w:rsid w:val="00446D12"/>
    <w:rsid w:val="00447014"/>
    <w:rsid w:val="00447095"/>
    <w:rsid w:val="00447108"/>
    <w:rsid w:val="0044723A"/>
    <w:rsid w:val="00447553"/>
    <w:rsid w:val="004475BC"/>
    <w:rsid w:val="00447794"/>
    <w:rsid w:val="00447828"/>
    <w:rsid w:val="00447C47"/>
    <w:rsid w:val="00450237"/>
    <w:rsid w:val="00450400"/>
    <w:rsid w:val="0045050E"/>
    <w:rsid w:val="00450609"/>
    <w:rsid w:val="004509A9"/>
    <w:rsid w:val="00450DF2"/>
    <w:rsid w:val="004511B5"/>
    <w:rsid w:val="00451329"/>
    <w:rsid w:val="004513CD"/>
    <w:rsid w:val="0045151F"/>
    <w:rsid w:val="00451550"/>
    <w:rsid w:val="004516E6"/>
    <w:rsid w:val="00451F01"/>
    <w:rsid w:val="00451FFD"/>
    <w:rsid w:val="00452113"/>
    <w:rsid w:val="0045227B"/>
    <w:rsid w:val="00452D1C"/>
    <w:rsid w:val="00452F29"/>
    <w:rsid w:val="00452FFD"/>
    <w:rsid w:val="004530CF"/>
    <w:rsid w:val="00453264"/>
    <w:rsid w:val="0045328D"/>
    <w:rsid w:val="00453716"/>
    <w:rsid w:val="004539A1"/>
    <w:rsid w:val="00454074"/>
    <w:rsid w:val="004540AD"/>
    <w:rsid w:val="00454466"/>
    <w:rsid w:val="004544E2"/>
    <w:rsid w:val="00454919"/>
    <w:rsid w:val="00454C13"/>
    <w:rsid w:val="00454C80"/>
    <w:rsid w:val="00454D5A"/>
    <w:rsid w:val="00454F13"/>
    <w:rsid w:val="00455249"/>
    <w:rsid w:val="004553CD"/>
    <w:rsid w:val="00455D89"/>
    <w:rsid w:val="00455DF6"/>
    <w:rsid w:val="00455E7B"/>
    <w:rsid w:val="00456148"/>
    <w:rsid w:val="00456240"/>
    <w:rsid w:val="004562E3"/>
    <w:rsid w:val="00456770"/>
    <w:rsid w:val="004567C9"/>
    <w:rsid w:val="004567CF"/>
    <w:rsid w:val="004568FA"/>
    <w:rsid w:val="00456AA0"/>
    <w:rsid w:val="00456ABC"/>
    <w:rsid w:val="00456D05"/>
    <w:rsid w:val="00456FF1"/>
    <w:rsid w:val="00457074"/>
    <w:rsid w:val="0045735E"/>
    <w:rsid w:val="004574F6"/>
    <w:rsid w:val="0045767E"/>
    <w:rsid w:val="00457835"/>
    <w:rsid w:val="00457BF4"/>
    <w:rsid w:val="00457F79"/>
    <w:rsid w:val="00457FE2"/>
    <w:rsid w:val="00460057"/>
    <w:rsid w:val="004606A1"/>
    <w:rsid w:val="004606C5"/>
    <w:rsid w:val="00460822"/>
    <w:rsid w:val="004609F9"/>
    <w:rsid w:val="00460A8F"/>
    <w:rsid w:val="00460DDF"/>
    <w:rsid w:val="00460EA8"/>
    <w:rsid w:val="00460F69"/>
    <w:rsid w:val="004614A3"/>
    <w:rsid w:val="004617F2"/>
    <w:rsid w:val="00461AF1"/>
    <w:rsid w:val="00461C24"/>
    <w:rsid w:val="00461D98"/>
    <w:rsid w:val="004620E9"/>
    <w:rsid w:val="0046254A"/>
    <w:rsid w:val="004625EE"/>
    <w:rsid w:val="004629E2"/>
    <w:rsid w:val="00462B34"/>
    <w:rsid w:val="00462B3A"/>
    <w:rsid w:val="004632A7"/>
    <w:rsid w:val="004632C0"/>
    <w:rsid w:val="00463634"/>
    <w:rsid w:val="00463B71"/>
    <w:rsid w:val="00464265"/>
    <w:rsid w:val="00464477"/>
    <w:rsid w:val="004646AF"/>
    <w:rsid w:val="00464951"/>
    <w:rsid w:val="00464C73"/>
    <w:rsid w:val="00464E87"/>
    <w:rsid w:val="004651CE"/>
    <w:rsid w:val="00465269"/>
    <w:rsid w:val="00465273"/>
    <w:rsid w:val="0046552F"/>
    <w:rsid w:val="00465560"/>
    <w:rsid w:val="004656B8"/>
    <w:rsid w:val="00465B7D"/>
    <w:rsid w:val="00465D26"/>
    <w:rsid w:val="00465F9C"/>
    <w:rsid w:val="0046612E"/>
    <w:rsid w:val="004662F8"/>
    <w:rsid w:val="00466577"/>
    <w:rsid w:val="00466710"/>
    <w:rsid w:val="00466975"/>
    <w:rsid w:val="00466ABB"/>
    <w:rsid w:val="00466F8A"/>
    <w:rsid w:val="00467003"/>
    <w:rsid w:val="00467326"/>
    <w:rsid w:val="00467833"/>
    <w:rsid w:val="00467A51"/>
    <w:rsid w:val="00470526"/>
    <w:rsid w:val="004706D7"/>
    <w:rsid w:val="004708A9"/>
    <w:rsid w:val="004708C6"/>
    <w:rsid w:val="004709D4"/>
    <w:rsid w:val="00470D6D"/>
    <w:rsid w:val="00470E06"/>
    <w:rsid w:val="00470E97"/>
    <w:rsid w:val="0047117F"/>
    <w:rsid w:val="004713B2"/>
    <w:rsid w:val="00471956"/>
    <w:rsid w:val="00471AC5"/>
    <w:rsid w:val="00471E53"/>
    <w:rsid w:val="0047219F"/>
    <w:rsid w:val="00472632"/>
    <w:rsid w:val="0047269E"/>
    <w:rsid w:val="0047271E"/>
    <w:rsid w:val="00472AAE"/>
    <w:rsid w:val="00472B0B"/>
    <w:rsid w:val="00472D67"/>
    <w:rsid w:val="00472E66"/>
    <w:rsid w:val="004730A8"/>
    <w:rsid w:val="0047310B"/>
    <w:rsid w:val="0047326B"/>
    <w:rsid w:val="004732BB"/>
    <w:rsid w:val="004733DC"/>
    <w:rsid w:val="00473492"/>
    <w:rsid w:val="0047355E"/>
    <w:rsid w:val="00473BAE"/>
    <w:rsid w:val="00473E8B"/>
    <w:rsid w:val="00473EC9"/>
    <w:rsid w:val="004740C6"/>
    <w:rsid w:val="004746C2"/>
    <w:rsid w:val="00474796"/>
    <w:rsid w:val="00474E3C"/>
    <w:rsid w:val="00474E4E"/>
    <w:rsid w:val="0047556E"/>
    <w:rsid w:val="004756D1"/>
    <w:rsid w:val="00475E2F"/>
    <w:rsid w:val="004760DB"/>
    <w:rsid w:val="004760F3"/>
    <w:rsid w:val="0047624A"/>
    <w:rsid w:val="00476848"/>
    <w:rsid w:val="0047688B"/>
    <w:rsid w:val="0047697F"/>
    <w:rsid w:val="00476D3F"/>
    <w:rsid w:val="00476E04"/>
    <w:rsid w:val="00476FD1"/>
    <w:rsid w:val="004771CB"/>
    <w:rsid w:val="00477254"/>
    <w:rsid w:val="004772D3"/>
    <w:rsid w:val="004777C8"/>
    <w:rsid w:val="00477945"/>
    <w:rsid w:val="00477A14"/>
    <w:rsid w:val="004800FC"/>
    <w:rsid w:val="004804FD"/>
    <w:rsid w:val="0048061D"/>
    <w:rsid w:val="004806CB"/>
    <w:rsid w:val="00480706"/>
    <w:rsid w:val="0048097F"/>
    <w:rsid w:val="00480A15"/>
    <w:rsid w:val="00480A8A"/>
    <w:rsid w:val="00480AC8"/>
    <w:rsid w:val="00480CAE"/>
    <w:rsid w:val="00480E7E"/>
    <w:rsid w:val="004811DC"/>
    <w:rsid w:val="004815FE"/>
    <w:rsid w:val="004817D9"/>
    <w:rsid w:val="0048187C"/>
    <w:rsid w:val="004818D9"/>
    <w:rsid w:val="0048193E"/>
    <w:rsid w:val="00481D64"/>
    <w:rsid w:val="00481DDC"/>
    <w:rsid w:val="00481E81"/>
    <w:rsid w:val="0048271D"/>
    <w:rsid w:val="00482A18"/>
    <w:rsid w:val="00482DF6"/>
    <w:rsid w:val="00483447"/>
    <w:rsid w:val="00483661"/>
    <w:rsid w:val="004837B7"/>
    <w:rsid w:val="00483A03"/>
    <w:rsid w:val="00483BA5"/>
    <w:rsid w:val="00483C61"/>
    <w:rsid w:val="00483E46"/>
    <w:rsid w:val="00483E8C"/>
    <w:rsid w:val="00483F7A"/>
    <w:rsid w:val="00484238"/>
    <w:rsid w:val="00484545"/>
    <w:rsid w:val="004845ED"/>
    <w:rsid w:val="00484B73"/>
    <w:rsid w:val="00484BAD"/>
    <w:rsid w:val="00484DDD"/>
    <w:rsid w:val="00485198"/>
    <w:rsid w:val="00485680"/>
    <w:rsid w:val="00486034"/>
    <w:rsid w:val="00486048"/>
    <w:rsid w:val="00486099"/>
    <w:rsid w:val="004860E6"/>
    <w:rsid w:val="00486729"/>
    <w:rsid w:val="00486928"/>
    <w:rsid w:val="0048696A"/>
    <w:rsid w:val="00486B72"/>
    <w:rsid w:val="00486CCD"/>
    <w:rsid w:val="00486CF3"/>
    <w:rsid w:val="00486EAE"/>
    <w:rsid w:val="0048708F"/>
    <w:rsid w:val="0048725D"/>
    <w:rsid w:val="0048792D"/>
    <w:rsid w:val="00487A98"/>
    <w:rsid w:val="00490229"/>
    <w:rsid w:val="004904B4"/>
    <w:rsid w:val="0049065D"/>
    <w:rsid w:val="004906EC"/>
    <w:rsid w:val="00490895"/>
    <w:rsid w:val="00490C6C"/>
    <w:rsid w:val="00490FAE"/>
    <w:rsid w:val="004910C1"/>
    <w:rsid w:val="004913E4"/>
    <w:rsid w:val="004914CC"/>
    <w:rsid w:val="004915B8"/>
    <w:rsid w:val="00491875"/>
    <w:rsid w:val="004918B5"/>
    <w:rsid w:val="00491AFF"/>
    <w:rsid w:val="00491B2B"/>
    <w:rsid w:val="004920D2"/>
    <w:rsid w:val="00492221"/>
    <w:rsid w:val="00492358"/>
    <w:rsid w:val="00492475"/>
    <w:rsid w:val="00492907"/>
    <w:rsid w:val="00492977"/>
    <w:rsid w:val="00492CA4"/>
    <w:rsid w:val="00493191"/>
    <w:rsid w:val="004931C2"/>
    <w:rsid w:val="0049330A"/>
    <w:rsid w:val="0049345F"/>
    <w:rsid w:val="00493763"/>
    <w:rsid w:val="0049388D"/>
    <w:rsid w:val="004939EE"/>
    <w:rsid w:val="00493CB9"/>
    <w:rsid w:val="0049418F"/>
    <w:rsid w:val="0049443D"/>
    <w:rsid w:val="004944FF"/>
    <w:rsid w:val="00494582"/>
    <w:rsid w:val="0049467D"/>
    <w:rsid w:val="004948A4"/>
    <w:rsid w:val="004949B7"/>
    <w:rsid w:val="0049575C"/>
    <w:rsid w:val="004957FA"/>
    <w:rsid w:val="00495C40"/>
    <w:rsid w:val="00495D19"/>
    <w:rsid w:val="00495D2A"/>
    <w:rsid w:val="00495E1C"/>
    <w:rsid w:val="00495ED8"/>
    <w:rsid w:val="00495FED"/>
    <w:rsid w:val="00496066"/>
    <w:rsid w:val="00496115"/>
    <w:rsid w:val="00496194"/>
    <w:rsid w:val="0049624B"/>
    <w:rsid w:val="00496374"/>
    <w:rsid w:val="004964FA"/>
    <w:rsid w:val="00496701"/>
    <w:rsid w:val="0049698A"/>
    <w:rsid w:val="004969E5"/>
    <w:rsid w:val="00496B88"/>
    <w:rsid w:val="00496C08"/>
    <w:rsid w:val="00496ED1"/>
    <w:rsid w:val="00496FA4"/>
    <w:rsid w:val="00497028"/>
    <w:rsid w:val="004976D9"/>
    <w:rsid w:val="004976F8"/>
    <w:rsid w:val="0049788B"/>
    <w:rsid w:val="004979A5"/>
    <w:rsid w:val="00497B55"/>
    <w:rsid w:val="00497F59"/>
    <w:rsid w:val="0049D48E"/>
    <w:rsid w:val="004A04D5"/>
    <w:rsid w:val="004A072B"/>
    <w:rsid w:val="004A0B32"/>
    <w:rsid w:val="004A0BAD"/>
    <w:rsid w:val="004A0C1C"/>
    <w:rsid w:val="004A0DAF"/>
    <w:rsid w:val="004A0F94"/>
    <w:rsid w:val="004A1153"/>
    <w:rsid w:val="004A15E0"/>
    <w:rsid w:val="004A16EE"/>
    <w:rsid w:val="004A182A"/>
    <w:rsid w:val="004A1BD1"/>
    <w:rsid w:val="004A1BE4"/>
    <w:rsid w:val="004A1FCF"/>
    <w:rsid w:val="004A2019"/>
    <w:rsid w:val="004A2050"/>
    <w:rsid w:val="004A20E1"/>
    <w:rsid w:val="004A2123"/>
    <w:rsid w:val="004A22EB"/>
    <w:rsid w:val="004A25D2"/>
    <w:rsid w:val="004A29FC"/>
    <w:rsid w:val="004A2CD3"/>
    <w:rsid w:val="004A3035"/>
    <w:rsid w:val="004A3146"/>
    <w:rsid w:val="004A345C"/>
    <w:rsid w:val="004A3643"/>
    <w:rsid w:val="004A36A4"/>
    <w:rsid w:val="004A39B9"/>
    <w:rsid w:val="004A3B8A"/>
    <w:rsid w:val="004A421A"/>
    <w:rsid w:val="004A43D3"/>
    <w:rsid w:val="004A4A85"/>
    <w:rsid w:val="004A4B12"/>
    <w:rsid w:val="004A50A4"/>
    <w:rsid w:val="004A5353"/>
    <w:rsid w:val="004A546B"/>
    <w:rsid w:val="004A5486"/>
    <w:rsid w:val="004A5545"/>
    <w:rsid w:val="004A55ED"/>
    <w:rsid w:val="004A59D9"/>
    <w:rsid w:val="004A6096"/>
    <w:rsid w:val="004A6338"/>
    <w:rsid w:val="004A6435"/>
    <w:rsid w:val="004A6636"/>
    <w:rsid w:val="004A6758"/>
    <w:rsid w:val="004A69FA"/>
    <w:rsid w:val="004A6B04"/>
    <w:rsid w:val="004A6F31"/>
    <w:rsid w:val="004A6FB2"/>
    <w:rsid w:val="004A6FF1"/>
    <w:rsid w:val="004A7274"/>
    <w:rsid w:val="004A7379"/>
    <w:rsid w:val="004A73F6"/>
    <w:rsid w:val="004A77E2"/>
    <w:rsid w:val="004A793D"/>
    <w:rsid w:val="004A7A17"/>
    <w:rsid w:val="004A7AA0"/>
    <w:rsid w:val="004A7B1C"/>
    <w:rsid w:val="004A7B7B"/>
    <w:rsid w:val="004A7E68"/>
    <w:rsid w:val="004A7F79"/>
    <w:rsid w:val="004B00D1"/>
    <w:rsid w:val="004B0337"/>
    <w:rsid w:val="004B0415"/>
    <w:rsid w:val="004B0545"/>
    <w:rsid w:val="004B0696"/>
    <w:rsid w:val="004B0901"/>
    <w:rsid w:val="004B098D"/>
    <w:rsid w:val="004B0C90"/>
    <w:rsid w:val="004B0F67"/>
    <w:rsid w:val="004B143C"/>
    <w:rsid w:val="004B1484"/>
    <w:rsid w:val="004B163C"/>
    <w:rsid w:val="004B183A"/>
    <w:rsid w:val="004B19E5"/>
    <w:rsid w:val="004B1CD6"/>
    <w:rsid w:val="004B1DAB"/>
    <w:rsid w:val="004B20B5"/>
    <w:rsid w:val="004B2359"/>
    <w:rsid w:val="004B299F"/>
    <w:rsid w:val="004B29BE"/>
    <w:rsid w:val="004B2B8F"/>
    <w:rsid w:val="004B2BB2"/>
    <w:rsid w:val="004B2D11"/>
    <w:rsid w:val="004B2EA1"/>
    <w:rsid w:val="004B2F8B"/>
    <w:rsid w:val="004B3096"/>
    <w:rsid w:val="004B3167"/>
    <w:rsid w:val="004B3306"/>
    <w:rsid w:val="004B382C"/>
    <w:rsid w:val="004B3AA8"/>
    <w:rsid w:val="004B3D39"/>
    <w:rsid w:val="004B3E67"/>
    <w:rsid w:val="004B3ED7"/>
    <w:rsid w:val="004B41E8"/>
    <w:rsid w:val="004B4236"/>
    <w:rsid w:val="004B457F"/>
    <w:rsid w:val="004B4AD4"/>
    <w:rsid w:val="004B4B67"/>
    <w:rsid w:val="004B4C18"/>
    <w:rsid w:val="004B4E67"/>
    <w:rsid w:val="004B4FB6"/>
    <w:rsid w:val="004B50C5"/>
    <w:rsid w:val="004B54DF"/>
    <w:rsid w:val="004B57E4"/>
    <w:rsid w:val="004B59D9"/>
    <w:rsid w:val="004B5B88"/>
    <w:rsid w:val="004B5FEE"/>
    <w:rsid w:val="004B61ED"/>
    <w:rsid w:val="004B6218"/>
    <w:rsid w:val="004B63DF"/>
    <w:rsid w:val="004B687B"/>
    <w:rsid w:val="004B6908"/>
    <w:rsid w:val="004B695D"/>
    <w:rsid w:val="004B69B3"/>
    <w:rsid w:val="004B702C"/>
    <w:rsid w:val="004B73CD"/>
    <w:rsid w:val="004B7461"/>
    <w:rsid w:val="004B76F3"/>
    <w:rsid w:val="004B7FF2"/>
    <w:rsid w:val="004C028F"/>
    <w:rsid w:val="004C0555"/>
    <w:rsid w:val="004C0655"/>
    <w:rsid w:val="004C0683"/>
    <w:rsid w:val="004C0686"/>
    <w:rsid w:val="004C0DBC"/>
    <w:rsid w:val="004C0F09"/>
    <w:rsid w:val="004C1110"/>
    <w:rsid w:val="004C12F3"/>
    <w:rsid w:val="004C175B"/>
    <w:rsid w:val="004C1852"/>
    <w:rsid w:val="004C1936"/>
    <w:rsid w:val="004C1D1F"/>
    <w:rsid w:val="004C2118"/>
    <w:rsid w:val="004C2133"/>
    <w:rsid w:val="004C22E1"/>
    <w:rsid w:val="004C2584"/>
    <w:rsid w:val="004C283E"/>
    <w:rsid w:val="004C2BF3"/>
    <w:rsid w:val="004C2C65"/>
    <w:rsid w:val="004C2D48"/>
    <w:rsid w:val="004C2E1C"/>
    <w:rsid w:val="004C2EC4"/>
    <w:rsid w:val="004C2FF3"/>
    <w:rsid w:val="004C32EF"/>
    <w:rsid w:val="004C35C7"/>
    <w:rsid w:val="004C383E"/>
    <w:rsid w:val="004C38C2"/>
    <w:rsid w:val="004C3B50"/>
    <w:rsid w:val="004C3D7A"/>
    <w:rsid w:val="004C4024"/>
    <w:rsid w:val="004C4203"/>
    <w:rsid w:val="004C4225"/>
    <w:rsid w:val="004C42A1"/>
    <w:rsid w:val="004C44AF"/>
    <w:rsid w:val="004C4CDC"/>
    <w:rsid w:val="004C4E4D"/>
    <w:rsid w:val="004C4EC6"/>
    <w:rsid w:val="004C5042"/>
    <w:rsid w:val="004C5125"/>
    <w:rsid w:val="004C5180"/>
    <w:rsid w:val="004C5359"/>
    <w:rsid w:val="004C5635"/>
    <w:rsid w:val="004C5695"/>
    <w:rsid w:val="004C594F"/>
    <w:rsid w:val="004C597D"/>
    <w:rsid w:val="004C5D70"/>
    <w:rsid w:val="004C5D94"/>
    <w:rsid w:val="004C5DB0"/>
    <w:rsid w:val="004C6459"/>
    <w:rsid w:val="004C6622"/>
    <w:rsid w:val="004C66B6"/>
    <w:rsid w:val="004C6707"/>
    <w:rsid w:val="004C67A5"/>
    <w:rsid w:val="004C6B72"/>
    <w:rsid w:val="004C6CA8"/>
    <w:rsid w:val="004C6D1E"/>
    <w:rsid w:val="004C6D49"/>
    <w:rsid w:val="004C6EA6"/>
    <w:rsid w:val="004C6EB1"/>
    <w:rsid w:val="004C6FE1"/>
    <w:rsid w:val="004C7158"/>
    <w:rsid w:val="004C71F5"/>
    <w:rsid w:val="004C7298"/>
    <w:rsid w:val="004C7726"/>
    <w:rsid w:val="004C7764"/>
    <w:rsid w:val="004D039C"/>
    <w:rsid w:val="004D04B2"/>
    <w:rsid w:val="004D0501"/>
    <w:rsid w:val="004D090A"/>
    <w:rsid w:val="004D0B90"/>
    <w:rsid w:val="004D0C96"/>
    <w:rsid w:val="004D0CDB"/>
    <w:rsid w:val="004D1074"/>
    <w:rsid w:val="004D1195"/>
    <w:rsid w:val="004D1458"/>
    <w:rsid w:val="004D1490"/>
    <w:rsid w:val="004D14BE"/>
    <w:rsid w:val="004D1678"/>
    <w:rsid w:val="004D1762"/>
    <w:rsid w:val="004D1846"/>
    <w:rsid w:val="004D19C1"/>
    <w:rsid w:val="004D1B86"/>
    <w:rsid w:val="004D1D44"/>
    <w:rsid w:val="004D1E42"/>
    <w:rsid w:val="004D20AC"/>
    <w:rsid w:val="004D21A4"/>
    <w:rsid w:val="004D2265"/>
    <w:rsid w:val="004D27AB"/>
    <w:rsid w:val="004D27D4"/>
    <w:rsid w:val="004D2801"/>
    <w:rsid w:val="004D2BD2"/>
    <w:rsid w:val="004D2BF3"/>
    <w:rsid w:val="004D2C5B"/>
    <w:rsid w:val="004D2D2A"/>
    <w:rsid w:val="004D2F5C"/>
    <w:rsid w:val="004D3002"/>
    <w:rsid w:val="004D339E"/>
    <w:rsid w:val="004D3713"/>
    <w:rsid w:val="004D381D"/>
    <w:rsid w:val="004D3E4F"/>
    <w:rsid w:val="004D3EA7"/>
    <w:rsid w:val="004D3EE5"/>
    <w:rsid w:val="004D40C1"/>
    <w:rsid w:val="004D464A"/>
    <w:rsid w:val="004D4A70"/>
    <w:rsid w:val="004D4AEE"/>
    <w:rsid w:val="004D4CED"/>
    <w:rsid w:val="004D4D49"/>
    <w:rsid w:val="004D5036"/>
    <w:rsid w:val="004D52DE"/>
    <w:rsid w:val="004D55F0"/>
    <w:rsid w:val="004D5879"/>
    <w:rsid w:val="004D5DE3"/>
    <w:rsid w:val="004D5F32"/>
    <w:rsid w:val="004D62AE"/>
    <w:rsid w:val="004D66A6"/>
    <w:rsid w:val="004D6958"/>
    <w:rsid w:val="004D6CE8"/>
    <w:rsid w:val="004D6D71"/>
    <w:rsid w:val="004D71B2"/>
    <w:rsid w:val="004D738F"/>
    <w:rsid w:val="004D73EA"/>
    <w:rsid w:val="004D7405"/>
    <w:rsid w:val="004D7490"/>
    <w:rsid w:val="004D75CF"/>
    <w:rsid w:val="004D77A7"/>
    <w:rsid w:val="004D77E9"/>
    <w:rsid w:val="004D7833"/>
    <w:rsid w:val="004D793D"/>
    <w:rsid w:val="004D79A1"/>
    <w:rsid w:val="004D7B67"/>
    <w:rsid w:val="004D7CD0"/>
    <w:rsid w:val="004DF178"/>
    <w:rsid w:val="004E020E"/>
    <w:rsid w:val="004E024E"/>
    <w:rsid w:val="004E0519"/>
    <w:rsid w:val="004E0683"/>
    <w:rsid w:val="004E0727"/>
    <w:rsid w:val="004E0A04"/>
    <w:rsid w:val="004E0A50"/>
    <w:rsid w:val="004E1341"/>
    <w:rsid w:val="004E14F5"/>
    <w:rsid w:val="004E170F"/>
    <w:rsid w:val="004E1A76"/>
    <w:rsid w:val="004E1FA4"/>
    <w:rsid w:val="004E20B3"/>
    <w:rsid w:val="004E213F"/>
    <w:rsid w:val="004E2164"/>
    <w:rsid w:val="004E29A2"/>
    <w:rsid w:val="004E3112"/>
    <w:rsid w:val="004E3134"/>
    <w:rsid w:val="004E377E"/>
    <w:rsid w:val="004E3B6D"/>
    <w:rsid w:val="004E3DC8"/>
    <w:rsid w:val="004E3F57"/>
    <w:rsid w:val="004E402B"/>
    <w:rsid w:val="004E465B"/>
    <w:rsid w:val="004E48A5"/>
    <w:rsid w:val="004E4C84"/>
    <w:rsid w:val="004E5139"/>
    <w:rsid w:val="004E523E"/>
    <w:rsid w:val="004E529F"/>
    <w:rsid w:val="004E5398"/>
    <w:rsid w:val="004E544E"/>
    <w:rsid w:val="004E5477"/>
    <w:rsid w:val="004E5A87"/>
    <w:rsid w:val="004E5CBF"/>
    <w:rsid w:val="004E5D62"/>
    <w:rsid w:val="004E5DE3"/>
    <w:rsid w:val="004E6106"/>
    <w:rsid w:val="004E653F"/>
    <w:rsid w:val="004E656A"/>
    <w:rsid w:val="004E666C"/>
    <w:rsid w:val="004E6883"/>
    <w:rsid w:val="004E697F"/>
    <w:rsid w:val="004E6ACF"/>
    <w:rsid w:val="004E6B39"/>
    <w:rsid w:val="004E6F2B"/>
    <w:rsid w:val="004E7811"/>
    <w:rsid w:val="004E78B4"/>
    <w:rsid w:val="004E79C9"/>
    <w:rsid w:val="004E79DE"/>
    <w:rsid w:val="004E7A0D"/>
    <w:rsid w:val="004E7A3A"/>
    <w:rsid w:val="004E7D48"/>
    <w:rsid w:val="004E7E3A"/>
    <w:rsid w:val="004F00A3"/>
    <w:rsid w:val="004F00B9"/>
    <w:rsid w:val="004F0929"/>
    <w:rsid w:val="004F0C4A"/>
    <w:rsid w:val="004F0D0A"/>
    <w:rsid w:val="004F10B6"/>
    <w:rsid w:val="004F18B5"/>
    <w:rsid w:val="004F1A18"/>
    <w:rsid w:val="004F1B57"/>
    <w:rsid w:val="004F1B6F"/>
    <w:rsid w:val="004F1C65"/>
    <w:rsid w:val="004F1CE4"/>
    <w:rsid w:val="004F1D6E"/>
    <w:rsid w:val="004F2313"/>
    <w:rsid w:val="004F2502"/>
    <w:rsid w:val="004F29D5"/>
    <w:rsid w:val="004F2ADD"/>
    <w:rsid w:val="004F2B03"/>
    <w:rsid w:val="004F3146"/>
    <w:rsid w:val="004F33B9"/>
    <w:rsid w:val="004F363C"/>
    <w:rsid w:val="004F36C2"/>
    <w:rsid w:val="004F39DB"/>
    <w:rsid w:val="004F3A6A"/>
    <w:rsid w:val="004F3B85"/>
    <w:rsid w:val="004F3E79"/>
    <w:rsid w:val="004F462F"/>
    <w:rsid w:val="004F463F"/>
    <w:rsid w:val="004F4844"/>
    <w:rsid w:val="004F4A63"/>
    <w:rsid w:val="004F4AB8"/>
    <w:rsid w:val="004F4B58"/>
    <w:rsid w:val="004F5251"/>
    <w:rsid w:val="004F55FE"/>
    <w:rsid w:val="004F57DF"/>
    <w:rsid w:val="004F58B1"/>
    <w:rsid w:val="004F592F"/>
    <w:rsid w:val="004F5D55"/>
    <w:rsid w:val="004F66D9"/>
    <w:rsid w:val="004F66EC"/>
    <w:rsid w:val="004F6832"/>
    <w:rsid w:val="004F69C1"/>
    <w:rsid w:val="004F6A46"/>
    <w:rsid w:val="004F6C4D"/>
    <w:rsid w:val="004F6DD7"/>
    <w:rsid w:val="004F6DF6"/>
    <w:rsid w:val="004F6F01"/>
    <w:rsid w:val="004F6FA9"/>
    <w:rsid w:val="004F7036"/>
    <w:rsid w:val="004F71B3"/>
    <w:rsid w:val="004F7225"/>
    <w:rsid w:val="004F734A"/>
    <w:rsid w:val="004F739C"/>
    <w:rsid w:val="004F742C"/>
    <w:rsid w:val="004F7609"/>
    <w:rsid w:val="004F7694"/>
    <w:rsid w:val="004F77D1"/>
    <w:rsid w:val="004F7C1B"/>
    <w:rsid w:val="0050016D"/>
    <w:rsid w:val="00500B84"/>
    <w:rsid w:val="00500C72"/>
    <w:rsid w:val="00500FED"/>
    <w:rsid w:val="00501156"/>
    <w:rsid w:val="005015EB"/>
    <w:rsid w:val="00501698"/>
    <w:rsid w:val="005025BC"/>
    <w:rsid w:val="005026F9"/>
    <w:rsid w:val="005027C5"/>
    <w:rsid w:val="00502F63"/>
    <w:rsid w:val="00502FA4"/>
    <w:rsid w:val="005030E6"/>
    <w:rsid w:val="005030F0"/>
    <w:rsid w:val="0050332C"/>
    <w:rsid w:val="005033F7"/>
    <w:rsid w:val="0050383E"/>
    <w:rsid w:val="00503978"/>
    <w:rsid w:val="0050398B"/>
    <w:rsid w:val="00503C12"/>
    <w:rsid w:val="00503F10"/>
    <w:rsid w:val="00504047"/>
    <w:rsid w:val="005042E0"/>
    <w:rsid w:val="005043C4"/>
    <w:rsid w:val="00504498"/>
    <w:rsid w:val="0050459C"/>
    <w:rsid w:val="00504653"/>
    <w:rsid w:val="00504725"/>
    <w:rsid w:val="005049D6"/>
    <w:rsid w:val="00504A7D"/>
    <w:rsid w:val="00504AC6"/>
    <w:rsid w:val="00504AD7"/>
    <w:rsid w:val="00504C6C"/>
    <w:rsid w:val="00505206"/>
    <w:rsid w:val="0050552E"/>
    <w:rsid w:val="005056E5"/>
    <w:rsid w:val="005059B2"/>
    <w:rsid w:val="00505DB0"/>
    <w:rsid w:val="00505DC9"/>
    <w:rsid w:val="005061D3"/>
    <w:rsid w:val="00506302"/>
    <w:rsid w:val="005068D3"/>
    <w:rsid w:val="0050694D"/>
    <w:rsid w:val="00506D4E"/>
    <w:rsid w:val="00506EE8"/>
    <w:rsid w:val="00507077"/>
    <w:rsid w:val="005072F3"/>
    <w:rsid w:val="00507337"/>
    <w:rsid w:val="00507723"/>
    <w:rsid w:val="005078E1"/>
    <w:rsid w:val="00507A51"/>
    <w:rsid w:val="00507C2B"/>
    <w:rsid w:val="00507DE2"/>
    <w:rsid w:val="00510195"/>
    <w:rsid w:val="0051022B"/>
    <w:rsid w:val="0051043F"/>
    <w:rsid w:val="00510476"/>
    <w:rsid w:val="00510586"/>
    <w:rsid w:val="00510DB1"/>
    <w:rsid w:val="00510F3B"/>
    <w:rsid w:val="005110B6"/>
    <w:rsid w:val="00511190"/>
    <w:rsid w:val="0051126F"/>
    <w:rsid w:val="005112A1"/>
    <w:rsid w:val="0051131F"/>
    <w:rsid w:val="005115D8"/>
    <w:rsid w:val="00511717"/>
    <w:rsid w:val="00511962"/>
    <w:rsid w:val="00511D32"/>
    <w:rsid w:val="00512673"/>
    <w:rsid w:val="0051299B"/>
    <w:rsid w:val="00512A2D"/>
    <w:rsid w:val="00512BE0"/>
    <w:rsid w:val="00512CFE"/>
    <w:rsid w:val="00512D1D"/>
    <w:rsid w:val="00513211"/>
    <w:rsid w:val="005133B2"/>
    <w:rsid w:val="0051374F"/>
    <w:rsid w:val="0051385A"/>
    <w:rsid w:val="005138C3"/>
    <w:rsid w:val="00513D18"/>
    <w:rsid w:val="00513E97"/>
    <w:rsid w:val="005141BD"/>
    <w:rsid w:val="005141ED"/>
    <w:rsid w:val="005142B5"/>
    <w:rsid w:val="0051433C"/>
    <w:rsid w:val="005144D0"/>
    <w:rsid w:val="00514522"/>
    <w:rsid w:val="005147E7"/>
    <w:rsid w:val="00514A70"/>
    <w:rsid w:val="00514B0A"/>
    <w:rsid w:val="00514BF3"/>
    <w:rsid w:val="00514EBA"/>
    <w:rsid w:val="00515220"/>
    <w:rsid w:val="00515420"/>
    <w:rsid w:val="0051560B"/>
    <w:rsid w:val="0051590E"/>
    <w:rsid w:val="005159B9"/>
    <w:rsid w:val="00515AC4"/>
    <w:rsid w:val="005160CE"/>
    <w:rsid w:val="00516479"/>
    <w:rsid w:val="00516550"/>
    <w:rsid w:val="005166B4"/>
    <w:rsid w:val="00516717"/>
    <w:rsid w:val="0051673C"/>
    <w:rsid w:val="00516805"/>
    <w:rsid w:val="00516830"/>
    <w:rsid w:val="005169AF"/>
    <w:rsid w:val="00516A48"/>
    <w:rsid w:val="00516B0D"/>
    <w:rsid w:val="00516BB2"/>
    <w:rsid w:val="00516D71"/>
    <w:rsid w:val="00516E0C"/>
    <w:rsid w:val="00517476"/>
    <w:rsid w:val="005177B2"/>
    <w:rsid w:val="00517DB6"/>
    <w:rsid w:val="00517EC9"/>
    <w:rsid w:val="005200A0"/>
    <w:rsid w:val="005200E1"/>
    <w:rsid w:val="00520368"/>
    <w:rsid w:val="005208D1"/>
    <w:rsid w:val="00520A85"/>
    <w:rsid w:val="00520B85"/>
    <w:rsid w:val="00520EBC"/>
    <w:rsid w:val="00520FCA"/>
    <w:rsid w:val="005210A5"/>
    <w:rsid w:val="0052112D"/>
    <w:rsid w:val="005212DF"/>
    <w:rsid w:val="0052138A"/>
    <w:rsid w:val="005214A8"/>
    <w:rsid w:val="00521700"/>
    <w:rsid w:val="00521791"/>
    <w:rsid w:val="005219A3"/>
    <w:rsid w:val="005219BA"/>
    <w:rsid w:val="00521B18"/>
    <w:rsid w:val="00521C69"/>
    <w:rsid w:val="00522370"/>
    <w:rsid w:val="00522656"/>
    <w:rsid w:val="0052286E"/>
    <w:rsid w:val="0052298F"/>
    <w:rsid w:val="00522BAC"/>
    <w:rsid w:val="00522D78"/>
    <w:rsid w:val="0052332B"/>
    <w:rsid w:val="005233C7"/>
    <w:rsid w:val="00523582"/>
    <w:rsid w:val="0052384B"/>
    <w:rsid w:val="00523A23"/>
    <w:rsid w:val="0052454E"/>
    <w:rsid w:val="0052460D"/>
    <w:rsid w:val="00524758"/>
    <w:rsid w:val="0052476D"/>
    <w:rsid w:val="005247A2"/>
    <w:rsid w:val="00524877"/>
    <w:rsid w:val="00524EA2"/>
    <w:rsid w:val="0052511D"/>
    <w:rsid w:val="005252B7"/>
    <w:rsid w:val="0052532C"/>
    <w:rsid w:val="00525BFA"/>
    <w:rsid w:val="00525E30"/>
    <w:rsid w:val="00525FDC"/>
    <w:rsid w:val="00526143"/>
    <w:rsid w:val="0052622D"/>
    <w:rsid w:val="00526266"/>
    <w:rsid w:val="00526736"/>
    <w:rsid w:val="005267DD"/>
    <w:rsid w:val="00526BA7"/>
    <w:rsid w:val="00526C69"/>
    <w:rsid w:val="00526C89"/>
    <w:rsid w:val="00526D7F"/>
    <w:rsid w:val="00526F19"/>
    <w:rsid w:val="00527209"/>
    <w:rsid w:val="005274E0"/>
    <w:rsid w:val="005275AC"/>
    <w:rsid w:val="0052770F"/>
    <w:rsid w:val="00527738"/>
    <w:rsid w:val="00527AF3"/>
    <w:rsid w:val="00527C8A"/>
    <w:rsid w:val="00527CE9"/>
    <w:rsid w:val="00527D5A"/>
    <w:rsid w:val="005301E1"/>
    <w:rsid w:val="00531119"/>
    <w:rsid w:val="00531224"/>
    <w:rsid w:val="005312B4"/>
    <w:rsid w:val="005312EC"/>
    <w:rsid w:val="0053162D"/>
    <w:rsid w:val="0053171B"/>
    <w:rsid w:val="00531858"/>
    <w:rsid w:val="00531FB1"/>
    <w:rsid w:val="005323A2"/>
    <w:rsid w:val="00532A62"/>
    <w:rsid w:val="00532BBE"/>
    <w:rsid w:val="00532C5F"/>
    <w:rsid w:val="00532C8A"/>
    <w:rsid w:val="00532DED"/>
    <w:rsid w:val="00532FAC"/>
    <w:rsid w:val="0053314C"/>
    <w:rsid w:val="00533156"/>
    <w:rsid w:val="0053322D"/>
    <w:rsid w:val="005332D5"/>
    <w:rsid w:val="0053340E"/>
    <w:rsid w:val="0053359F"/>
    <w:rsid w:val="00533666"/>
    <w:rsid w:val="0053367F"/>
    <w:rsid w:val="00533693"/>
    <w:rsid w:val="005339C9"/>
    <w:rsid w:val="00533D9F"/>
    <w:rsid w:val="00533E11"/>
    <w:rsid w:val="0053410D"/>
    <w:rsid w:val="005342DA"/>
    <w:rsid w:val="00534381"/>
    <w:rsid w:val="005344D0"/>
    <w:rsid w:val="0053456B"/>
    <w:rsid w:val="00534576"/>
    <w:rsid w:val="0053473B"/>
    <w:rsid w:val="005347C1"/>
    <w:rsid w:val="00534867"/>
    <w:rsid w:val="00534904"/>
    <w:rsid w:val="00534ECB"/>
    <w:rsid w:val="00534FFC"/>
    <w:rsid w:val="00535037"/>
    <w:rsid w:val="00535057"/>
    <w:rsid w:val="0053505B"/>
    <w:rsid w:val="00535297"/>
    <w:rsid w:val="005352FE"/>
    <w:rsid w:val="005353E1"/>
    <w:rsid w:val="00535446"/>
    <w:rsid w:val="0053544E"/>
    <w:rsid w:val="00535486"/>
    <w:rsid w:val="00535508"/>
    <w:rsid w:val="00535753"/>
    <w:rsid w:val="00535931"/>
    <w:rsid w:val="00535E87"/>
    <w:rsid w:val="00535FA1"/>
    <w:rsid w:val="005361EA"/>
    <w:rsid w:val="00536545"/>
    <w:rsid w:val="005365F3"/>
    <w:rsid w:val="005368F4"/>
    <w:rsid w:val="00536C15"/>
    <w:rsid w:val="00536F15"/>
    <w:rsid w:val="005373FA"/>
    <w:rsid w:val="0053752F"/>
    <w:rsid w:val="005375E9"/>
    <w:rsid w:val="00537758"/>
    <w:rsid w:val="005379C7"/>
    <w:rsid w:val="00537BAC"/>
    <w:rsid w:val="00537C14"/>
    <w:rsid w:val="00537CAC"/>
    <w:rsid w:val="00537EF3"/>
    <w:rsid w:val="00537F08"/>
    <w:rsid w:val="005401E5"/>
    <w:rsid w:val="00540287"/>
    <w:rsid w:val="00540702"/>
    <w:rsid w:val="00540788"/>
    <w:rsid w:val="00540F8F"/>
    <w:rsid w:val="005412D3"/>
    <w:rsid w:val="00541321"/>
    <w:rsid w:val="00541628"/>
    <w:rsid w:val="005416BD"/>
    <w:rsid w:val="005416C4"/>
    <w:rsid w:val="00541BF3"/>
    <w:rsid w:val="00541CAF"/>
    <w:rsid w:val="00541EE1"/>
    <w:rsid w:val="00541F27"/>
    <w:rsid w:val="00542055"/>
    <w:rsid w:val="005420D6"/>
    <w:rsid w:val="0054251F"/>
    <w:rsid w:val="00542605"/>
    <w:rsid w:val="005428CC"/>
    <w:rsid w:val="005428D9"/>
    <w:rsid w:val="00542B97"/>
    <w:rsid w:val="00542E61"/>
    <w:rsid w:val="0054301D"/>
    <w:rsid w:val="00543068"/>
    <w:rsid w:val="005432D6"/>
    <w:rsid w:val="005433D0"/>
    <w:rsid w:val="005436A3"/>
    <w:rsid w:val="00543706"/>
    <w:rsid w:val="0054375D"/>
    <w:rsid w:val="005438BD"/>
    <w:rsid w:val="00543990"/>
    <w:rsid w:val="00543AAC"/>
    <w:rsid w:val="00543D72"/>
    <w:rsid w:val="00543D89"/>
    <w:rsid w:val="0054409B"/>
    <w:rsid w:val="005440C1"/>
    <w:rsid w:val="0054438F"/>
    <w:rsid w:val="005445AF"/>
    <w:rsid w:val="0054479D"/>
    <w:rsid w:val="00544A22"/>
    <w:rsid w:val="00544E84"/>
    <w:rsid w:val="00544F56"/>
    <w:rsid w:val="00544FD4"/>
    <w:rsid w:val="00544FDD"/>
    <w:rsid w:val="00545158"/>
    <w:rsid w:val="00545171"/>
    <w:rsid w:val="00545A05"/>
    <w:rsid w:val="00545D2E"/>
    <w:rsid w:val="00545EC0"/>
    <w:rsid w:val="00545EF7"/>
    <w:rsid w:val="00545F7C"/>
    <w:rsid w:val="00546705"/>
    <w:rsid w:val="00546845"/>
    <w:rsid w:val="00546D9C"/>
    <w:rsid w:val="00546E32"/>
    <w:rsid w:val="00546EC5"/>
    <w:rsid w:val="00546FB3"/>
    <w:rsid w:val="00547181"/>
    <w:rsid w:val="0054723C"/>
    <w:rsid w:val="00547276"/>
    <w:rsid w:val="005473C0"/>
    <w:rsid w:val="0054742C"/>
    <w:rsid w:val="0054765A"/>
    <w:rsid w:val="005478A3"/>
    <w:rsid w:val="005478A8"/>
    <w:rsid w:val="0054791E"/>
    <w:rsid w:val="00547BC0"/>
    <w:rsid w:val="00547C62"/>
    <w:rsid w:val="00547F88"/>
    <w:rsid w:val="0055055F"/>
    <w:rsid w:val="00550620"/>
    <w:rsid w:val="00550967"/>
    <w:rsid w:val="00550A8E"/>
    <w:rsid w:val="00550DFA"/>
    <w:rsid w:val="005511FB"/>
    <w:rsid w:val="00551397"/>
    <w:rsid w:val="00551AA5"/>
    <w:rsid w:val="00551B9F"/>
    <w:rsid w:val="00552459"/>
    <w:rsid w:val="005525DE"/>
    <w:rsid w:val="0055297F"/>
    <w:rsid w:val="005529D6"/>
    <w:rsid w:val="00552BEF"/>
    <w:rsid w:val="00552C6E"/>
    <w:rsid w:val="00552C83"/>
    <w:rsid w:val="00552FD8"/>
    <w:rsid w:val="00553053"/>
    <w:rsid w:val="00553275"/>
    <w:rsid w:val="00553370"/>
    <w:rsid w:val="00553622"/>
    <w:rsid w:val="00553836"/>
    <w:rsid w:val="005539B5"/>
    <w:rsid w:val="00553B3C"/>
    <w:rsid w:val="00553EF0"/>
    <w:rsid w:val="00553F52"/>
    <w:rsid w:val="00554381"/>
    <w:rsid w:val="005543E2"/>
    <w:rsid w:val="005547A7"/>
    <w:rsid w:val="00554877"/>
    <w:rsid w:val="00554A7C"/>
    <w:rsid w:val="00554ACD"/>
    <w:rsid w:val="00554DEE"/>
    <w:rsid w:val="00554F5E"/>
    <w:rsid w:val="0055550F"/>
    <w:rsid w:val="005555FB"/>
    <w:rsid w:val="00555715"/>
    <w:rsid w:val="005559F9"/>
    <w:rsid w:val="00555B73"/>
    <w:rsid w:val="00555D6F"/>
    <w:rsid w:val="00555F64"/>
    <w:rsid w:val="005563B4"/>
    <w:rsid w:val="005563CF"/>
    <w:rsid w:val="0055648C"/>
    <w:rsid w:val="005568AE"/>
    <w:rsid w:val="005568B7"/>
    <w:rsid w:val="005569CF"/>
    <w:rsid w:val="00556A3D"/>
    <w:rsid w:val="00556ACF"/>
    <w:rsid w:val="00556EAA"/>
    <w:rsid w:val="00557186"/>
    <w:rsid w:val="005572A4"/>
    <w:rsid w:val="00557472"/>
    <w:rsid w:val="0055754F"/>
    <w:rsid w:val="005578A1"/>
    <w:rsid w:val="0055790C"/>
    <w:rsid w:val="00557A18"/>
    <w:rsid w:val="00557B4A"/>
    <w:rsid w:val="00557B90"/>
    <w:rsid w:val="00557D55"/>
    <w:rsid w:val="00557FBB"/>
    <w:rsid w:val="0055DE7C"/>
    <w:rsid w:val="0056029F"/>
    <w:rsid w:val="0056030C"/>
    <w:rsid w:val="005604A5"/>
    <w:rsid w:val="005606E3"/>
    <w:rsid w:val="00560823"/>
    <w:rsid w:val="00560A88"/>
    <w:rsid w:val="00560B07"/>
    <w:rsid w:val="005610F6"/>
    <w:rsid w:val="0056126D"/>
    <w:rsid w:val="0056156B"/>
    <w:rsid w:val="00561C70"/>
    <w:rsid w:val="00561E06"/>
    <w:rsid w:val="00561E3E"/>
    <w:rsid w:val="00561F89"/>
    <w:rsid w:val="00562112"/>
    <w:rsid w:val="00562372"/>
    <w:rsid w:val="00562437"/>
    <w:rsid w:val="0056261E"/>
    <w:rsid w:val="00562746"/>
    <w:rsid w:val="00562D27"/>
    <w:rsid w:val="00562F71"/>
    <w:rsid w:val="00563038"/>
    <w:rsid w:val="00563190"/>
    <w:rsid w:val="00563235"/>
    <w:rsid w:val="0056330A"/>
    <w:rsid w:val="0056331A"/>
    <w:rsid w:val="005633F8"/>
    <w:rsid w:val="0056387C"/>
    <w:rsid w:val="00563B6D"/>
    <w:rsid w:val="00563EDE"/>
    <w:rsid w:val="005645AC"/>
    <w:rsid w:val="0056487A"/>
    <w:rsid w:val="00564970"/>
    <w:rsid w:val="00564BE2"/>
    <w:rsid w:val="00564FF3"/>
    <w:rsid w:val="005653FD"/>
    <w:rsid w:val="00565405"/>
    <w:rsid w:val="0056540D"/>
    <w:rsid w:val="005655D2"/>
    <w:rsid w:val="0056569F"/>
    <w:rsid w:val="00565816"/>
    <w:rsid w:val="005664B2"/>
    <w:rsid w:val="00566990"/>
    <w:rsid w:val="00566E61"/>
    <w:rsid w:val="00567478"/>
    <w:rsid w:val="00567A16"/>
    <w:rsid w:val="00567D90"/>
    <w:rsid w:val="00570369"/>
    <w:rsid w:val="00570540"/>
    <w:rsid w:val="005706E0"/>
    <w:rsid w:val="005708FE"/>
    <w:rsid w:val="00570D8B"/>
    <w:rsid w:val="00570E76"/>
    <w:rsid w:val="00570EE7"/>
    <w:rsid w:val="005712F5"/>
    <w:rsid w:val="005715AF"/>
    <w:rsid w:val="0057174A"/>
    <w:rsid w:val="005718C2"/>
    <w:rsid w:val="005719DB"/>
    <w:rsid w:val="00572008"/>
    <w:rsid w:val="00572025"/>
    <w:rsid w:val="005722CA"/>
    <w:rsid w:val="00572461"/>
    <w:rsid w:val="005724D0"/>
    <w:rsid w:val="005724D3"/>
    <w:rsid w:val="00572573"/>
    <w:rsid w:val="00572814"/>
    <w:rsid w:val="00572954"/>
    <w:rsid w:val="005729CA"/>
    <w:rsid w:val="00572B1F"/>
    <w:rsid w:val="00572C0D"/>
    <w:rsid w:val="00572CE1"/>
    <w:rsid w:val="00572EEF"/>
    <w:rsid w:val="00572F1E"/>
    <w:rsid w:val="0057316C"/>
    <w:rsid w:val="0057319B"/>
    <w:rsid w:val="005734AF"/>
    <w:rsid w:val="005734C8"/>
    <w:rsid w:val="0057367B"/>
    <w:rsid w:val="005738BD"/>
    <w:rsid w:val="0057391A"/>
    <w:rsid w:val="00573AE5"/>
    <w:rsid w:val="00573F5A"/>
    <w:rsid w:val="0057414C"/>
    <w:rsid w:val="0057453D"/>
    <w:rsid w:val="00574DED"/>
    <w:rsid w:val="00574EC1"/>
    <w:rsid w:val="005750A4"/>
    <w:rsid w:val="00575476"/>
    <w:rsid w:val="005759BB"/>
    <w:rsid w:val="00575AD5"/>
    <w:rsid w:val="00575B27"/>
    <w:rsid w:val="00575B2A"/>
    <w:rsid w:val="00575EEA"/>
    <w:rsid w:val="00575EF9"/>
    <w:rsid w:val="005762CE"/>
    <w:rsid w:val="0057632E"/>
    <w:rsid w:val="00576768"/>
    <w:rsid w:val="005769AF"/>
    <w:rsid w:val="005769B5"/>
    <w:rsid w:val="00576A4D"/>
    <w:rsid w:val="00577029"/>
    <w:rsid w:val="005771B0"/>
    <w:rsid w:val="005773B9"/>
    <w:rsid w:val="00577674"/>
    <w:rsid w:val="005778CB"/>
    <w:rsid w:val="00577987"/>
    <w:rsid w:val="005779C0"/>
    <w:rsid w:val="00577AFA"/>
    <w:rsid w:val="00577E12"/>
    <w:rsid w:val="00577FA8"/>
    <w:rsid w:val="0057C099"/>
    <w:rsid w:val="005802A6"/>
    <w:rsid w:val="005806D9"/>
    <w:rsid w:val="0058096F"/>
    <w:rsid w:val="005809F9"/>
    <w:rsid w:val="00580AF9"/>
    <w:rsid w:val="00581779"/>
    <w:rsid w:val="005817BC"/>
    <w:rsid w:val="00581AB5"/>
    <w:rsid w:val="00581B21"/>
    <w:rsid w:val="00581D05"/>
    <w:rsid w:val="0058211B"/>
    <w:rsid w:val="005822BB"/>
    <w:rsid w:val="0058233E"/>
    <w:rsid w:val="00582350"/>
    <w:rsid w:val="00582472"/>
    <w:rsid w:val="0058251B"/>
    <w:rsid w:val="0058255B"/>
    <w:rsid w:val="005825C3"/>
    <w:rsid w:val="005831BC"/>
    <w:rsid w:val="005833B5"/>
    <w:rsid w:val="0058344D"/>
    <w:rsid w:val="005836D9"/>
    <w:rsid w:val="00583779"/>
    <w:rsid w:val="00583885"/>
    <w:rsid w:val="00583893"/>
    <w:rsid w:val="00583C27"/>
    <w:rsid w:val="00583F53"/>
    <w:rsid w:val="005840B1"/>
    <w:rsid w:val="00584218"/>
    <w:rsid w:val="00584A13"/>
    <w:rsid w:val="00584A93"/>
    <w:rsid w:val="00584B1A"/>
    <w:rsid w:val="00584B89"/>
    <w:rsid w:val="00584BEE"/>
    <w:rsid w:val="005850AD"/>
    <w:rsid w:val="005857C6"/>
    <w:rsid w:val="00585DD3"/>
    <w:rsid w:val="00585F4B"/>
    <w:rsid w:val="005863EF"/>
    <w:rsid w:val="0058661C"/>
    <w:rsid w:val="005867D0"/>
    <w:rsid w:val="005867E6"/>
    <w:rsid w:val="00586A20"/>
    <w:rsid w:val="00586A36"/>
    <w:rsid w:val="00586AEB"/>
    <w:rsid w:val="00586BC4"/>
    <w:rsid w:val="00586BE4"/>
    <w:rsid w:val="00586F88"/>
    <w:rsid w:val="00586FC5"/>
    <w:rsid w:val="0058709E"/>
    <w:rsid w:val="005873CF"/>
    <w:rsid w:val="005874AD"/>
    <w:rsid w:val="005875C8"/>
    <w:rsid w:val="00587616"/>
    <w:rsid w:val="0058767A"/>
    <w:rsid w:val="0058778C"/>
    <w:rsid w:val="00587920"/>
    <w:rsid w:val="00587A80"/>
    <w:rsid w:val="00587A88"/>
    <w:rsid w:val="00587ABC"/>
    <w:rsid w:val="00587F70"/>
    <w:rsid w:val="00590147"/>
    <w:rsid w:val="00590430"/>
    <w:rsid w:val="005904D9"/>
    <w:rsid w:val="00590771"/>
    <w:rsid w:val="00590880"/>
    <w:rsid w:val="005908E9"/>
    <w:rsid w:val="00590EF1"/>
    <w:rsid w:val="005910F3"/>
    <w:rsid w:val="00591306"/>
    <w:rsid w:val="005916C7"/>
    <w:rsid w:val="005917F0"/>
    <w:rsid w:val="00591D26"/>
    <w:rsid w:val="0059218E"/>
    <w:rsid w:val="0059264C"/>
    <w:rsid w:val="005926C4"/>
    <w:rsid w:val="0059273D"/>
    <w:rsid w:val="0059285A"/>
    <w:rsid w:val="0059294F"/>
    <w:rsid w:val="00592B62"/>
    <w:rsid w:val="005934DC"/>
    <w:rsid w:val="005936E3"/>
    <w:rsid w:val="00593721"/>
    <w:rsid w:val="0059379E"/>
    <w:rsid w:val="005938D5"/>
    <w:rsid w:val="005938EA"/>
    <w:rsid w:val="005939D3"/>
    <w:rsid w:val="00593AFF"/>
    <w:rsid w:val="00593D0F"/>
    <w:rsid w:val="00593FA3"/>
    <w:rsid w:val="00594053"/>
    <w:rsid w:val="005940AD"/>
    <w:rsid w:val="0059414A"/>
    <w:rsid w:val="00594209"/>
    <w:rsid w:val="00594352"/>
    <w:rsid w:val="00594381"/>
    <w:rsid w:val="0059488C"/>
    <w:rsid w:val="005949ED"/>
    <w:rsid w:val="00594CE6"/>
    <w:rsid w:val="00594E0B"/>
    <w:rsid w:val="00595006"/>
    <w:rsid w:val="005953FD"/>
    <w:rsid w:val="0059595B"/>
    <w:rsid w:val="00595A95"/>
    <w:rsid w:val="00595CD4"/>
    <w:rsid w:val="00595D73"/>
    <w:rsid w:val="00596495"/>
    <w:rsid w:val="005967BE"/>
    <w:rsid w:val="00596A2D"/>
    <w:rsid w:val="00596A43"/>
    <w:rsid w:val="00596B9D"/>
    <w:rsid w:val="00596EF9"/>
    <w:rsid w:val="00596F54"/>
    <w:rsid w:val="005970EF"/>
    <w:rsid w:val="00597180"/>
    <w:rsid w:val="00597427"/>
    <w:rsid w:val="00597465"/>
    <w:rsid w:val="005976BB"/>
    <w:rsid w:val="00597923"/>
    <w:rsid w:val="00597938"/>
    <w:rsid w:val="00597945"/>
    <w:rsid w:val="00597AD7"/>
    <w:rsid w:val="00597C9E"/>
    <w:rsid w:val="00597D2C"/>
    <w:rsid w:val="00597F5A"/>
    <w:rsid w:val="005A0108"/>
    <w:rsid w:val="005A01DA"/>
    <w:rsid w:val="005A0394"/>
    <w:rsid w:val="005A0425"/>
    <w:rsid w:val="005A04CB"/>
    <w:rsid w:val="005A05F7"/>
    <w:rsid w:val="005A0BF3"/>
    <w:rsid w:val="005A0DD5"/>
    <w:rsid w:val="005A134D"/>
    <w:rsid w:val="005A1501"/>
    <w:rsid w:val="005A156A"/>
    <w:rsid w:val="005A1689"/>
    <w:rsid w:val="005A171A"/>
    <w:rsid w:val="005A22DB"/>
    <w:rsid w:val="005A2345"/>
    <w:rsid w:val="005A2358"/>
    <w:rsid w:val="005A23B8"/>
    <w:rsid w:val="005A24FB"/>
    <w:rsid w:val="005A259F"/>
    <w:rsid w:val="005A2859"/>
    <w:rsid w:val="005A2C03"/>
    <w:rsid w:val="005A2D88"/>
    <w:rsid w:val="005A2E5E"/>
    <w:rsid w:val="005A2FA2"/>
    <w:rsid w:val="005A3296"/>
    <w:rsid w:val="005A3302"/>
    <w:rsid w:val="005A35C5"/>
    <w:rsid w:val="005A375F"/>
    <w:rsid w:val="005A37B3"/>
    <w:rsid w:val="005A39E1"/>
    <w:rsid w:val="005A3ACD"/>
    <w:rsid w:val="005A3B8E"/>
    <w:rsid w:val="005A3D40"/>
    <w:rsid w:val="005A4003"/>
    <w:rsid w:val="005A4330"/>
    <w:rsid w:val="005A4469"/>
    <w:rsid w:val="005A47A2"/>
    <w:rsid w:val="005A48E3"/>
    <w:rsid w:val="005A4E2E"/>
    <w:rsid w:val="005A5167"/>
    <w:rsid w:val="005A5334"/>
    <w:rsid w:val="005A53A8"/>
    <w:rsid w:val="005A582E"/>
    <w:rsid w:val="005A59F2"/>
    <w:rsid w:val="005A6025"/>
    <w:rsid w:val="005A6419"/>
    <w:rsid w:val="005A6456"/>
    <w:rsid w:val="005A64DA"/>
    <w:rsid w:val="005A6AE9"/>
    <w:rsid w:val="005A6E8A"/>
    <w:rsid w:val="005A6F19"/>
    <w:rsid w:val="005A6F50"/>
    <w:rsid w:val="005A71D9"/>
    <w:rsid w:val="005A72DC"/>
    <w:rsid w:val="005A744E"/>
    <w:rsid w:val="005A7469"/>
    <w:rsid w:val="005A749C"/>
    <w:rsid w:val="005A77AF"/>
    <w:rsid w:val="005A77CF"/>
    <w:rsid w:val="005A7822"/>
    <w:rsid w:val="005A792A"/>
    <w:rsid w:val="005A7ED1"/>
    <w:rsid w:val="005B0042"/>
    <w:rsid w:val="005B0087"/>
    <w:rsid w:val="005B0103"/>
    <w:rsid w:val="005B022F"/>
    <w:rsid w:val="005B05A5"/>
    <w:rsid w:val="005B07F2"/>
    <w:rsid w:val="005B0A12"/>
    <w:rsid w:val="005B0B5B"/>
    <w:rsid w:val="005B0C5B"/>
    <w:rsid w:val="005B0DD9"/>
    <w:rsid w:val="005B0F94"/>
    <w:rsid w:val="005B0FE6"/>
    <w:rsid w:val="005B1128"/>
    <w:rsid w:val="005B1352"/>
    <w:rsid w:val="005B1567"/>
    <w:rsid w:val="005B15DA"/>
    <w:rsid w:val="005B1613"/>
    <w:rsid w:val="005B1615"/>
    <w:rsid w:val="005B1787"/>
    <w:rsid w:val="005B1A7D"/>
    <w:rsid w:val="005B23F2"/>
    <w:rsid w:val="005B2927"/>
    <w:rsid w:val="005B2A18"/>
    <w:rsid w:val="005B2AA3"/>
    <w:rsid w:val="005B3267"/>
    <w:rsid w:val="005B3395"/>
    <w:rsid w:val="005B34ED"/>
    <w:rsid w:val="005B3715"/>
    <w:rsid w:val="005B3D79"/>
    <w:rsid w:val="005B3DB6"/>
    <w:rsid w:val="005B3DCA"/>
    <w:rsid w:val="005B3DFE"/>
    <w:rsid w:val="005B3F44"/>
    <w:rsid w:val="005B40B2"/>
    <w:rsid w:val="005B4439"/>
    <w:rsid w:val="005B471D"/>
    <w:rsid w:val="005B4E96"/>
    <w:rsid w:val="005B4EFA"/>
    <w:rsid w:val="005B4F9A"/>
    <w:rsid w:val="005B5437"/>
    <w:rsid w:val="005B5462"/>
    <w:rsid w:val="005B5992"/>
    <w:rsid w:val="005B5C36"/>
    <w:rsid w:val="005B65E0"/>
    <w:rsid w:val="005B665D"/>
    <w:rsid w:val="005B66A6"/>
    <w:rsid w:val="005B6AA9"/>
    <w:rsid w:val="005B6BC5"/>
    <w:rsid w:val="005B6DF8"/>
    <w:rsid w:val="005B713B"/>
    <w:rsid w:val="005B7325"/>
    <w:rsid w:val="005B73E4"/>
    <w:rsid w:val="005B767E"/>
    <w:rsid w:val="005B7B02"/>
    <w:rsid w:val="005B7B44"/>
    <w:rsid w:val="005B7B70"/>
    <w:rsid w:val="005C0052"/>
    <w:rsid w:val="005C00D0"/>
    <w:rsid w:val="005C0413"/>
    <w:rsid w:val="005C04E0"/>
    <w:rsid w:val="005C052B"/>
    <w:rsid w:val="005C06C9"/>
    <w:rsid w:val="005C086F"/>
    <w:rsid w:val="005C093C"/>
    <w:rsid w:val="005C0A00"/>
    <w:rsid w:val="005C0B17"/>
    <w:rsid w:val="005C0B58"/>
    <w:rsid w:val="005C0BA3"/>
    <w:rsid w:val="005C0C94"/>
    <w:rsid w:val="005C0F25"/>
    <w:rsid w:val="005C14B5"/>
    <w:rsid w:val="005C1509"/>
    <w:rsid w:val="005C1668"/>
    <w:rsid w:val="005C1D9A"/>
    <w:rsid w:val="005C1DFA"/>
    <w:rsid w:val="005C1DFE"/>
    <w:rsid w:val="005C22B6"/>
    <w:rsid w:val="005C22BA"/>
    <w:rsid w:val="005C2369"/>
    <w:rsid w:val="005C240D"/>
    <w:rsid w:val="005C245D"/>
    <w:rsid w:val="005C2597"/>
    <w:rsid w:val="005C2849"/>
    <w:rsid w:val="005C2A72"/>
    <w:rsid w:val="005C2D05"/>
    <w:rsid w:val="005C2D45"/>
    <w:rsid w:val="005C2DD8"/>
    <w:rsid w:val="005C2F8D"/>
    <w:rsid w:val="005C2FCA"/>
    <w:rsid w:val="005C2FCD"/>
    <w:rsid w:val="005C3424"/>
    <w:rsid w:val="005C3468"/>
    <w:rsid w:val="005C3781"/>
    <w:rsid w:val="005C3B8B"/>
    <w:rsid w:val="005C3BC4"/>
    <w:rsid w:val="005C3CDA"/>
    <w:rsid w:val="005C3DD2"/>
    <w:rsid w:val="005C45D0"/>
    <w:rsid w:val="005C46B0"/>
    <w:rsid w:val="005C4719"/>
    <w:rsid w:val="005C48D7"/>
    <w:rsid w:val="005C4CB4"/>
    <w:rsid w:val="005C4F17"/>
    <w:rsid w:val="005C50F3"/>
    <w:rsid w:val="005C526A"/>
    <w:rsid w:val="005C55FC"/>
    <w:rsid w:val="005C56F4"/>
    <w:rsid w:val="005C5B7D"/>
    <w:rsid w:val="005C5BF1"/>
    <w:rsid w:val="005C6038"/>
    <w:rsid w:val="005C63C5"/>
    <w:rsid w:val="005C6807"/>
    <w:rsid w:val="005C6844"/>
    <w:rsid w:val="005C6CE1"/>
    <w:rsid w:val="005C6F5F"/>
    <w:rsid w:val="005C738F"/>
    <w:rsid w:val="005C7548"/>
    <w:rsid w:val="005C7891"/>
    <w:rsid w:val="005C7AC2"/>
    <w:rsid w:val="005C7AFB"/>
    <w:rsid w:val="005C7DFC"/>
    <w:rsid w:val="005C7F8D"/>
    <w:rsid w:val="005C7FAD"/>
    <w:rsid w:val="005D00C2"/>
    <w:rsid w:val="005D034A"/>
    <w:rsid w:val="005D0A62"/>
    <w:rsid w:val="005D0BB5"/>
    <w:rsid w:val="005D0E7A"/>
    <w:rsid w:val="005D1046"/>
    <w:rsid w:val="005D13F3"/>
    <w:rsid w:val="005D1404"/>
    <w:rsid w:val="005D157E"/>
    <w:rsid w:val="005D1679"/>
    <w:rsid w:val="005D1E9B"/>
    <w:rsid w:val="005D2844"/>
    <w:rsid w:val="005D28C8"/>
    <w:rsid w:val="005D2D11"/>
    <w:rsid w:val="005D3048"/>
    <w:rsid w:val="005D308E"/>
    <w:rsid w:val="005D3440"/>
    <w:rsid w:val="005D3764"/>
    <w:rsid w:val="005D3A88"/>
    <w:rsid w:val="005D3B22"/>
    <w:rsid w:val="005D43B6"/>
    <w:rsid w:val="005D4494"/>
    <w:rsid w:val="005D454F"/>
    <w:rsid w:val="005D48E2"/>
    <w:rsid w:val="005D4A02"/>
    <w:rsid w:val="005D4BA2"/>
    <w:rsid w:val="005D4BEC"/>
    <w:rsid w:val="005D4C7C"/>
    <w:rsid w:val="005D4C80"/>
    <w:rsid w:val="005D4D98"/>
    <w:rsid w:val="005D5276"/>
    <w:rsid w:val="005D52E2"/>
    <w:rsid w:val="005D5686"/>
    <w:rsid w:val="005D580D"/>
    <w:rsid w:val="005D5C11"/>
    <w:rsid w:val="005D6660"/>
    <w:rsid w:val="005D6A69"/>
    <w:rsid w:val="005D6BF5"/>
    <w:rsid w:val="005D6C34"/>
    <w:rsid w:val="005D722A"/>
    <w:rsid w:val="005D757A"/>
    <w:rsid w:val="005D7647"/>
    <w:rsid w:val="005D7A01"/>
    <w:rsid w:val="005D7EE6"/>
    <w:rsid w:val="005D7F17"/>
    <w:rsid w:val="005E00C3"/>
    <w:rsid w:val="005E05E9"/>
    <w:rsid w:val="005E0645"/>
    <w:rsid w:val="005E078A"/>
    <w:rsid w:val="005E0BF6"/>
    <w:rsid w:val="005E0CFC"/>
    <w:rsid w:val="005E13C8"/>
    <w:rsid w:val="005E1A96"/>
    <w:rsid w:val="005E1AE1"/>
    <w:rsid w:val="005E1C26"/>
    <w:rsid w:val="005E1CFC"/>
    <w:rsid w:val="005E1EF5"/>
    <w:rsid w:val="005E1F1F"/>
    <w:rsid w:val="005E2558"/>
    <w:rsid w:val="005E2911"/>
    <w:rsid w:val="005E2D51"/>
    <w:rsid w:val="005E312C"/>
    <w:rsid w:val="005E31A1"/>
    <w:rsid w:val="005E31A6"/>
    <w:rsid w:val="005E3259"/>
    <w:rsid w:val="005E34C1"/>
    <w:rsid w:val="005E34D6"/>
    <w:rsid w:val="005E3914"/>
    <w:rsid w:val="005E467F"/>
    <w:rsid w:val="005E4685"/>
    <w:rsid w:val="005E4AEF"/>
    <w:rsid w:val="005E4C3E"/>
    <w:rsid w:val="005E4CF1"/>
    <w:rsid w:val="005E4D60"/>
    <w:rsid w:val="005E4F27"/>
    <w:rsid w:val="005E5075"/>
    <w:rsid w:val="005E50A3"/>
    <w:rsid w:val="005E51D5"/>
    <w:rsid w:val="005E51E8"/>
    <w:rsid w:val="005E52F6"/>
    <w:rsid w:val="005E53D3"/>
    <w:rsid w:val="005E53E6"/>
    <w:rsid w:val="005E55B2"/>
    <w:rsid w:val="005E5910"/>
    <w:rsid w:val="005E5C1C"/>
    <w:rsid w:val="005E5DE2"/>
    <w:rsid w:val="005E5F51"/>
    <w:rsid w:val="005E617E"/>
    <w:rsid w:val="005E64C2"/>
    <w:rsid w:val="005E65F2"/>
    <w:rsid w:val="005E6727"/>
    <w:rsid w:val="005E6F73"/>
    <w:rsid w:val="005E7294"/>
    <w:rsid w:val="005E74C7"/>
    <w:rsid w:val="005E74CD"/>
    <w:rsid w:val="005E74EF"/>
    <w:rsid w:val="005E75FE"/>
    <w:rsid w:val="005E77EE"/>
    <w:rsid w:val="005E7912"/>
    <w:rsid w:val="005E7932"/>
    <w:rsid w:val="005E7961"/>
    <w:rsid w:val="005E7ABD"/>
    <w:rsid w:val="005E7C5B"/>
    <w:rsid w:val="005E7E40"/>
    <w:rsid w:val="005F006A"/>
    <w:rsid w:val="005F0291"/>
    <w:rsid w:val="005F04F7"/>
    <w:rsid w:val="005F0869"/>
    <w:rsid w:val="005F0873"/>
    <w:rsid w:val="005F090F"/>
    <w:rsid w:val="005F0C54"/>
    <w:rsid w:val="005F0C94"/>
    <w:rsid w:val="005F0DEF"/>
    <w:rsid w:val="005F0F25"/>
    <w:rsid w:val="005F10CA"/>
    <w:rsid w:val="005F1178"/>
    <w:rsid w:val="005F124D"/>
    <w:rsid w:val="005F1255"/>
    <w:rsid w:val="005F12BD"/>
    <w:rsid w:val="005F12C2"/>
    <w:rsid w:val="005F1609"/>
    <w:rsid w:val="005F1676"/>
    <w:rsid w:val="005F1679"/>
    <w:rsid w:val="005F16F3"/>
    <w:rsid w:val="005F18DC"/>
    <w:rsid w:val="005F19FD"/>
    <w:rsid w:val="005F1CE8"/>
    <w:rsid w:val="005F1E26"/>
    <w:rsid w:val="005F1F1B"/>
    <w:rsid w:val="005F23FD"/>
    <w:rsid w:val="005F26A6"/>
    <w:rsid w:val="005F281D"/>
    <w:rsid w:val="005F2824"/>
    <w:rsid w:val="005F2976"/>
    <w:rsid w:val="005F2D14"/>
    <w:rsid w:val="005F2EB6"/>
    <w:rsid w:val="005F3140"/>
    <w:rsid w:val="005F346C"/>
    <w:rsid w:val="005F35B8"/>
    <w:rsid w:val="005F38A6"/>
    <w:rsid w:val="005F38EA"/>
    <w:rsid w:val="005F3994"/>
    <w:rsid w:val="005F3A49"/>
    <w:rsid w:val="005F3D12"/>
    <w:rsid w:val="005F40EA"/>
    <w:rsid w:val="005F4383"/>
    <w:rsid w:val="005F47F7"/>
    <w:rsid w:val="005F502A"/>
    <w:rsid w:val="005F5372"/>
    <w:rsid w:val="005F56D8"/>
    <w:rsid w:val="005F5820"/>
    <w:rsid w:val="005F5D44"/>
    <w:rsid w:val="005F5F26"/>
    <w:rsid w:val="005F60DA"/>
    <w:rsid w:val="005F6861"/>
    <w:rsid w:val="005F6D7C"/>
    <w:rsid w:val="005F6FF9"/>
    <w:rsid w:val="005F72FD"/>
    <w:rsid w:val="005F732D"/>
    <w:rsid w:val="005F7487"/>
    <w:rsid w:val="005F78C3"/>
    <w:rsid w:val="005F7D76"/>
    <w:rsid w:val="005F7F10"/>
    <w:rsid w:val="006000D0"/>
    <w:rsid w:val="0060053C"/>
    <w:rsid w:val="006009E5"/>
    <w:rsid w:val="00600AD5"/>
    <w:rsid w:val="00600BBA"/>
    <w:rsid w:val="00600D1E"/>
    <w:rsid w:val="00600D70"/>
    <w:rsid w:val="00600F85"/>
    <w:rsid w:val="006017AB"/>
    <w:rsid w:val="00601A49"/>
    <w:rsid w:val="00602033"/>
    <w:rsid w:val="00602108"/>
    <w:rsid w:val="00602704"/>
    <w:rsid w:val="0060297F"/>
    <w:rsid w:val="006029DB"/>
    <w:rsid w:val="00602B96"/>
    <w:rsid w:val="0060319C"/>
    <w:rsid w:val="006035FB"/>
    <w:rsid w:val="006036C5"/>
    <w:rsid w:val="006037E4"/>
    <w:rsid w:val="006038EC"/>
    <w:rsid w:val="00603A23"/>
    <w:rsid w:val="00603AEC"/>
    <w:rsid w:val="00603AF6"/>
    <w:rsid w:val="00603EB1"/>
    <w:rsid w:val="0060410D"/>
    <w:rsid w:val="0060431D"/>
    <w:rsid w:val="00604383"/>
    <w:rsid w:val="00604498"/>
    <w:rsid w:val="00604526"/>
    <w:rsid w:val="0060457C"/>
    <w:rsid w:val="006045E6"/>
    <w:rsid w:val="006047AE"/>
    <w:rsid w:val="00604930"/>
    <w:rsid w:val="00604A1B"/>
    <w:rsid w:val="00604C81"/>
    <w:rsid w:val="0060512B"/>
    <w:rsid w:val="00605A75"/>
    <w:rsid w:val="00606123"/>
    <w:rsid w:val="00606125"/>
    <w:rsid w:val="006061B6"/>
    <w:rsid w:val="0060620D"/>
    <w:rsid w:val="00606550"/>
    <w:rsid w:val="006066AC"/>
    <w:rsid w:val="00606978"/>
    <w:rsid w:val="00606AEF"/>
    <w:rsid w:val="00606B1F"/>
    <w:rsid w:val="00606C42"/>
    <w:rsid w:val="00607194"/>
    <w:rsid w:val="00607231"/>
    <w:rsid w:val="0060740A"/>
    <w:rsid w:val="006078C8"/>
    <w:rsid w:val="00607AC9"/>
    <w:rsid w:val="00607CE6"/>
    <w:rsid w:val="00607EC9"/>
    <w:rsid w:val="0061019C"/>
    <w:rsid w:val="00610692"/>
    <w:rsid w:val="006108AB"/>
    <w:rsid w:val="006108EA"/>
    <w:rsid w:val="006109FB"/>
    <w:rsid w:val="00610AB8"/>
    <w:rsid w:val="00610AEF"/>
    <w:rsid w:val="00610B67"/>
    <w:rsid w:val="00610C17"/>
    <w:rsid w:val="00610CEC"/>
    <w:rsid w:val="00610E56"/>
    <w:rsid w:val="00610E6C"/>
    <w:rsid w:val="00611135"/>
    <w:rsid w:val="00611241"/>
    <w:rsid w:val="006112DC"/>
    <w:rsid w:val="006113DE"/>
    <w:rsid w:val="00611730"/>
    <w:rsid w:val="006118AC"/>
    <w:rsid w:val="00611925"/>
    <w:rsid w:val="00611BA0"/>
    <w:rsid w:val="00611CF5"/>
    <w:rsid w:val="00611D10"/>
    <w:rsid w:val="00611E47"/>
    <w:rsid w:val="00611E73"/>
    <w:rsid w:val="00612F73"/>
    <w:rsid w:val="006133C4"/>
    <w:rsid w:val="00613810"/>
    <w:rsid w:val="0061396F"/>
    <w:rsid w:val="006140FF"/>
    <w:rsid w:val="006143E5"/>
    <w:rsid w:val="00614642"/>
    <w:rsid w:val="006149FA"/>
    <w:rsid w:val="00614AF7"/>
    <w:rsid w:val="00614E04"/>
    <w:rsid w:val="006152B7"/>
    <w:rsid w:val="00615474"/>
    <w:rsid w:val="00615529"/>
    <w:rsid w:val="00615744"/>
    <w:rsid w:val="00615924"/>
    <w:rsid w:val="00615B19"/>
    <w:rsid w:val="00615DF3"/>
    <w:rsid w:val="00615E4F"/>
    <w:rsid w:val="00615F25"/>
    <w:rsid w:val="00616026"/>
    <w:rsid w:val="0061644F"/>
    <w:rsid w:val="0061657E"/>
    <w:rsid w:val="00616ADA"/>
    <w:rsid w:val="00616C06"/>
    <w:rsid w:val="00617222"/>
    <w:rsid w:val="006173F4"/>
    <w:rsid w:val="00617830"/>
    <w:rsid w:val="00617DA6"/>
    <w:rsid w:val="006200DB"/>
    <w:rsid w:val="006203A0"/>
    <w:rsid w:val="006203A3"/>
    <w:rsid w:val="00620872"/>
    <w:rsid w:val="00620B56"/>
    <w:rsid w:val="00620D67"/>
    <w:rsid w:val="00620DBE"/>
    <w:rsid w:val="00621001"/>
    <w:rsid w:val="0062124F"/>
    <w:rsid w:val="006217B1"/>
    <w:rsid w:val="00621811"/>
    <w:rsid w:val="006219BE"/>
    <w:rsid w:val="00621BF2"/>
    <w:rsid w:val="00621C31"/>
    <w:rsid w:val="00622195"/>
    <w:rsid w:val="006227C4"/>
    <w:rsid w:val="0062286B"/>
    <w:rsid w:val="006229D2"/>
    <w:rsid w:val="00622A3B"/>
    <w:rsid w:val="00622AA1"/>
    <w:rsid w:val="00622B4A"/>
    <w:rsid w:val="00622DD2"/>
    <w:rsid w:val="00622F6F"/>
    <w:rsid w:val="006232A9"/>
    <w:rsid w:val="006234B2"/>
    <w:rsid w:val="00623582"/>
    <w:rsid w:val="00623FB8"/>
    <w:rsid w:val="006240E7"/>
    <w:rsid w:val="00624131"/>
    <w:rsid w:val="006241AC"/>
    <w:rsid w:val="00624207"/>
    <w:rsid w:val="006248C4"/>
    <w:rsid w:val="00624CBC"/>
    <w:rsid w:val="00624CE4"/>
    <w:rsid w:val="00624DC8"/>
    <w:rsid w:val="00624FA4"/>
    <w:rsid w:val="00624FC5"/>
    <w:rsid w:val="00625398"/>
    <w:rsid w:val="00625414"/>
    <w:rsid w:val="0062576F"/>
    <w:rsid w:val="00625C76"/>
    <w:rsid w:val="00625FE1"/>
    <w:rsid w:val="00626003"/>
    <w:rsid w:val="0062612E"/>
    <w:rsid w:val="006263C5"/>
    <w:rsid w:val="006265D6"/>
    <w:rsid w:val="006266B8"/>
    <w:rsid w:val="006269CC"/>
    <w:rsid w:val="00626B6F"/>
    <w:rsid w:val="00626D37"/>
    <w:rsid w:val="006271C6"/>
    <w:rsid w:val="0062731B"/>
    <w:rsid w:val="00627AFF"/>
    <w:rsid w:val="0063027F"/>
    <w:rsid w:val="00630337"/>
    <w:rsid w:val="00630566"/>
    <w:rsid w:val="0063074D"/>
    <w:rsid w:val="0063089C"/>
    <w:rsid w:val="00630BB5"/>
    <w:rsid w:val="00630CFA"/>
    <w:rsid w:val="00630D15"/>
    <w:rsid w:val="00630D5D"/>
    <w:rsid w:val="00630E8C"/>
    <w:rsid w:val="00630FE8"/>
    <w:rsid w:val="00631016"/>
    <w:rsid w:val="0063137E"/>
    <w:rsid w:val="00631816"/>
    <w:rsid w:val="00631838"/>
    <w:rsid w:val="00631A7C"/>
    <w:rsid w:val="006320F2"/>
    <w:rsid w:val="006323C4"/>
    <w:rsid w:val="006323F1"/>
    <w:rsid w:val="0063246E"/>
    <w:rsid w:val="00632A8B"/>
    <w:rsid w:val="00632C89"/>
    <w:rsid w:val="00632D28"/>
    <w:rsid w:val="00632F58"/>
    <w:rsid w:val="00632F7B"/>
    <w:rsid w:val="0063316D"/>
    <w:rsid w:val="006334EB"/>
    <w:rsid w:val="00633571"/>
    <w:rsid w:val="0063392F"/>
    <w:rsid w:val="00633D1A"/>
    <w:rsid w:val="00633EAD"/>
    <w:rsid w:val="00634403"/>
    <w:rsid w:val="00634789"/>
    <w:rsid w:val="006347AC"/>
    <w:rsid w:val="00634855"/>
    <w:rsid w:val="00634B58"/>
    <w:rsid w:val="00634D3D"/>
    <w:rsid w:val="00634E06"/>
    <w:rsid w:val="006351FE"/>
    <w:rsid w:val="0063535E"/>
    <w:rsid w:val="00635389"/>
    <w:rsid w:val="006356EE"/>
    <w:rsid w:val="00635C88"/>
    <w:rsid w:val="00635E57"/>
    <w:rsid w:val="00635F2E"/>
    <w:rsid w:val="0063611E"/>
    <w:rsid w:val="006361D2"/>
    <w:rsid w:val="006362E1"/>
    <w:rsid w:val="006363B1"/>
    <w:rsid w:val="006366F6"/>
    <w:rsid w:val="0063695D"/>
    <w:rsid w:val="00636BEF"/>
    <w:rsid w:val="00636BF1"/>
    <w:rsid w:val="00636C79"/>
    <w:rsid w:val="00636D32"/>
    <w:rsid w:val="00636D4C"/>
    <w:rsid w:val="00637064"/>
    <w:rsid w:val="006370B5"/>
    <w:rsid w:val="006372B3"/>
    <w:rsid w:val="0063732C"/>
    <w:rsid w:val="00637331"/>
    <w:rsid w:val="00637497"/>
    <w:rsid w:val="0063777C"/>
    <w:rsid w:val="00640277"/>
    <w:rsid w:val="006402FA"/>
    <w:rsid w:val="00640A32"/>
    <w:rsid w:val="00640DFF"/>
    <w:rsid w:val="00640EDA"/>
    <w:rsid w:val="00640F0A"/>
    <w:rsid w:val="0064112A"/>
    <w:rsid w:val="0064120A"/>
    <w:rsid w:val="006412D2"/>
    <w:rsid w:val="0064131A"/>
    <w:rsid w:val="006417A6"/>
    <w:rsid w:val="00642196"/>
    <w:rsid w:val="0064220F"/>
    <w:rsid w:val="0064236E"/>
    <w:rsid w:val="00642686"/>
    <w:rsid w:val="0064297E"/>
    <w:rsid w:val="00642A87"/>
    <w:rsid w:val="00642A9A"/>
    <w:rsid w:val="00642D7F"/>
    <w:rsid w:val="00643029"/>
    <w:rsid w:val="006431E4"/>
    <w:rsid w:val="00643392"/>
    <w:rsid w:val="006433B3"/>
    <w:rsid w:val="006433BD"/>
    <w:rsid w:val="006433E4"/>
    <w:rsid w:val="006435C8"/>
    <w:rsid w:val="00643785"/>
    <w:rsid w:val="0064396C"/>
    <w:rsid w:val="00643A46"/>
    <w:rsid w:val="00643A6A"/>
    <w:rsid w:val="00643D85"/>
    <w:rsid w:val="00643F57"/>
    <w:rsid w:val="006440B8"/>
    <w:rsid w:val="0064421B"/>
    <w:rsid w:val="0064422A"/>
    <w:rsid w:val="006442D4"/>
    <w:rsid w:val="00644461"/>
    <w:rsid w:val="0064449E"/>
    <w:rsid w:val="0064485D"/>
    <w:rsid w:val="00644A22"/>
    <w:rsid w:val="00644A42"/>
    <w:rsid w:val="00644A58"/>
    <w:rsid w:val="00644A87"/>
    <w:rsid w:val="00644AEA"/>
    <w:rsid w:val="00644DD3"/>
    <w:rsid w:val="00644DEA"/>
    <w:rsid w:val="00644E8A"/>
    <w:rsid w:val="00644F10"/>
    <w:rsid w:val="006453B6"/>
    <w:rsid w:val="0064546A"/>
    <w:rsid w:val="006454EC"/>
    <w:rsid w:val="00645724"/>
    <w:rsid w:val="00645C32"/>
    <w:rsid w:val="00645D9C"/>
    <w:rsid w:val="00645F49"/>
    <w:rsid w:val="00646048"/>
    <w:rsid w:val="006462D7"/>
    <w:rsid w:val="00646699"/>
    <w:rsid w:val="00646A8C"/>
    <w:rsid w:val="00646F88"/>
    <w:rsid w:val="006470AC"/>
    <w:rsid w:val="0064715E"/>
    <w:rsid w:val="00647201"/>
    <w:rsid w:val="006473EF"/>
    <w:rsid w:val="0064758C"/>
    <w:rsid w:val="0064781B"/>
    <w:rsid w:val="0064782D"/>
    <w:rsid w:val="006479E3"/>
    <w:rsid w:val="00647CAF"/>
    <w:rsid w:val="00647CE4"/>
    <w:rsid w:val="00647DDF"/>
    <w:rsid w:val="00647E5E"/>
    <w:rsid w:val="00647F28"/>
    <w:rsid w:val="00647FD7"/>
    <w:rsid w:val="006505B2"/>
    <w:rsid w:val="006508DE"/>
    <w:rsid w:val="00650C34"/>
    <w:rsid w:val="00650C69"/>
    <w:rsid w:val="00650D91"/>
    <w:rsid w:val="00651306"/>
    <w:rsid w:val="00651546"/>
    <w:rsid w:val="006525A3"/>
    <w:rsid w:val="006526BD"/>
    <w:rsid w:val="00652BF7"/>
    <w:rsid w:val="00652DAA"/>
    <w:rsid w:val="00652DD1"/>
    <w:rsid w:val="0065333F"/>
    <w:rsid w:val="00653602"/>
    <w:rsid w:val="00653733"/>
    <w:rsid w:val="00653861"/>
    <w:rsid w:val="00653C49"/>
    <w:rsid w:val="006540D8"/>
    <w:rsid w:val="00654445"/>
    <w:rsid w:val="0065448F"/>
    <w:rsid w:val="0065453E"/>
    <w:rsid w:val="0065490F"/>
    <w:rsid w:val="0065494D"/>
    <w:rsid w:val="00654A7C"/>
    <w:rsid w:val="00654CCE"/>
    <w:rsid w:val="006551A6"/>
    <w:rsid w:val="006554AE"/>
    <w:rsid w:val="006554E2"/>
    <w:rsid w:val="0065562B"/>
    <w:rsid w:val="00655734"/>
    <w:rsid w:val="00655761"/>
    <w:rsid w:val="00655ED0"/>
    <w:rsid w:val="00656145"/>
    <w:rsid w:val="00656971"/>
    <w:rsid w:val="00656A1F"/>
    <w:rsid w:val="00656ABB"/>
    <w:rsid w:val="00657154"/>
    <w:rsid w:val="006572EB"/>
    <w:rsid w:val="00657320"/>
    <w:rsid w:val="00657336"/>
    <w:rsid w:val="006575CE"/>
    <w:rsid w:val="00657655"/>
    <w:rsid w:val="006577F2"/>
    <w:rsid w:val="0065789B"/>
    <w:rsid w:val="006578DA"/>
    <w:rsid w:val="006579E2"/>
    <w:rsid w:val="00657A6D"/>
    <w:rsid w:val="00657A6F"/>
    <w:rsid w:val="00657D11"/>
    <w:rsid w:val="00657EAD"/>
    <w:rsid w:val="00657EF3"/>
    <w:rsid w:val="0066019E"/>
    <w:rsid w:val="00660226"/>
    <w:rsid w:val="00660438"/>
    <w:rsid w:val="00660607"/>
    <w:rsid w:val="0066067E"/>
    <w:rsid w:val="006606F2"/>
    <w:rsid w:val="0066087B"/>
    <w:rsid w:val="006609B7"/>
    <w:rsid w:val="00660CC4"/>
    <w:rsid w:val="00660FFA"/>
    <w:rsid w:val="0066123B"/>
    <w:rsid w:val="00661448"/>
    <w:rsid w:val="00661B38"/>
    <w:rsid w:val="00661C50"/>
    <w:rsid w:val="00661FAC"/>
    <w:rsid w:val="00662228"/>
    <w:rsid w:val="0066263D"/>
    <w:rsid w:val="00662656"/>
    <w:rsid w:val="006627BC"/>
    <w:rsid w:val="00662970"/>
    <w:rsid w:val="00662A42"/>
    <w:rsid w:val="00662A5E"/>
    <w:rsid w:val="00663084"/>
    <w:rsid w:val="006630CF"/>
    <w:rsid w:val="006633F7"/>
    <w:rsid w:val="006639CF"/>
    <w:rsid w:val="00663A53"/>
    <w:rsid w:val="00663DAC"/>
    <w:rsid w:val="00663E82"/>
    <w:rsid w:val="00663EFC"/>
    <w:rsid w:val="00664302"/>
    <w:rsid w:val="0066433F"/>
    <w:rsid w:val="00664659"/>
    <w:rsid w:val="00664711"/>
    <w:rsid w:val="006647F0"/>
    <w:rsid w:val="00664AC4"/>
    <w:rsid w:val="00664BFA"/>
    <w:rsid w:val="00664E0C"/>
    <w:rsid w:val="00664EA4"/>
    <w:rsid w:val="00665008"/>
    <w:rsid w:val="00665289"/>
    <w:rsid w:val="00665404"/>
    <w:rsid w:val="0066589E"/>
    <w:rsid w:val="00665979"/>
    <w:rsid w:val="00666086"/>
    <w:rsid w:val="00666119"/>
    <w:rsid w:val="00666144"/>
    <w:rsid w:val="00666242"/>
    <w:rsid w:val="00666417"/>
    <w:rsid w:val="00666842"/>
    <w:rsid w:val="00666875"/>
    <w:rsid w:val="006670E2"/>
    <w:rsid w:val="006671CB"/>
    <w:rsid w:val="0066731D"/>
    <w:rsid w:val="00667723"/>
    <w:rsid w:val="00667E92"/>
    <w:rsid w:val="00667F68"/>
    <w:rsid w:val="00667FEA"/>
    <w:rsid w:val="0066B184"/>
    <w:rsid w:val="006701A4"/>
    <w:rsid w:val="006701CF"/>
    <w:rsid w:val="006703E1"/>
    <w:rsid w:val="006704A2"/>
    <w:rsid w:val="006705BD"/>
    <w:rsid w:val="0067069F"/>
    <w:rsid w:val="00670F41"/>
    <w:rsid w:val="00671054"/>
    <w:rsid w:val="0067112D"/>
    <w:rsid w:val="00671134"/>
    <w:rsid w:val="006714DD"/>
    <w:rsid w:val="00671508"/>
    <w:rsid w:val="006715B3"/>
    <w:rsid w:val="006716C9"/>
    <w:rsid w:val="00671708"/>
    <w:rsid w:val="00671755"/>
    <w:rsid w:val="00671A69"/>
    <w:rsid w:val="00671A9B"/>
    <w:rsid w:val="00671AD8"/>
    <w:rsid w:val="00671BE0"/>
    <w:rsid w:val="006720C2"/>
    <w:rsid w:val="006720F9"/>
    <w:rsid w:val="00672268"/>
    <w:rsid w:val="00672422"/>
    <w:rsid w:val="00672432"/>
    <w:rsid w:val="006728BC"/>
    <w:rsid w:val="00672904"/>
    <w:rsid w:val="00672B4D"/>
    <w:rsid w:val="00672CB4"/>
    <w:rsid w:val="006733EF"/>
    <w:rsid w:val="0067348E"/>
    <w:rsid w:val="00673586"/>
    <w:rsid w:val="00673629"/>
    <w:rsid w:val="00673817"/>
    <w:rsid w:val="00673851"/>
    <w:rsid w:val="00673C2E"/>
    <w:rsid w:val="00673C4E"/>
    <w:rsid w:val="00673F48"/>
    <w:rsid w:val="0067436E"/>
    <w:rsid w:val="006746BB"/>
    <w:rsid w:val="0067471D"/>
    <w:rsid w:val="006747D4"/>
    <w:rsid w:val="00674AD3"/>
    <w:rsid w:val="00674C4E"/>
    <w:rsid w:val="00674D6C"/>
    <w:rsid w:val="00675187"/>
    <w:rsid w:val="006753B5"/>
    <w:rsid w:val="00675541"/>
    <w:rsid w:val="00675688"/>
    <w:rsid w:val="006756B6"/>
    <w:rsid w:val="006756C5"/>
    <w:rsid w:val="00675717"/>
    <w:rsid w:val="006757E4"/>
    <w:rsid w:val="00675BA8"/>
    <w:rsid w:val="00675BDB"/>
    <w:rsid w:val="0067603D"/>
    <w:rsid w:val="0067661E"/>
    <w:rsid w:val="00676F42"/>
    <w:rsid w:val="00677098"/>
    <w:rsid w:val="00677B4F"/>
    <w:rsid w:val="00677DB9"/>
    <w:rsid w:val="006802B4"/>
    <w:rsid w:val="0068046A"/>
    <w:rsid w:val="006807DA"/>
    <w:rsid w:val="00680C01"/>
    <w:rsid w:val="00680C12"/>
    <w:rsid w:val="00680C33"/>
    <w:rsid w:val="00680E1B"/>
    <w:rsid w:val="00680FE2"/>
    <w:rsid w:val="00681AF9"/>
    <w:rsid w:val="00681F2D"/>
    <w:rsid w:val="00681FAC"/>
    <w:rsid w:val="006821D4"/>
    <w:rsid w:val="00682288"/>
    <w:rsid w:val="006822FC"/>
    <w:rsid w:val="006824E2"/>
    <w:rsid w:val="00682622"/>
    <w:rsid w:val="00682717"/>
    <w:rsid w:val="00682733"/>
    <w:rsid w:val="006829A8"/>
    <w:rsid w:val="00682E46"/>
    <w:rsid w:val="00682E92"/>
    <w:rsid w:val="00682F36"/>
    <w:rsid w:val="0068303B"/>
    <w:rsid w:val="00683406"/>
    <w:rsid w:val="0068340F"/>
    <w:rsid w:val="006837A5"/>
    <w:rsid w:val="00683CBD"/>
    <w:rsid w:val="00684177"/>
    <w:rsid w:val="006841BA"/>
    <w:rsid w:val="0068466A"/>
    <w:rsid w:val="006846B4"/>
    <w:rsid w:val="00684F27"/>
    <w:rsid w:val="0068510A"/>
    <w:rsid w:val="00685179"/>
    <w:rsid w:val="00685271"/>
    <w:rsid w:val="00685342"/>
    <w:rsid w:val="006854DE"/>
    <w:rsid w:val="0068562B"/>
    <w:rsid w:val="00685C16"/>
    <w:rsid w:val="00685FC8"/>
    <w:rsid w:val="006860E4"/>
    <w:rsid w:val="006866E3"/>
    <w:rsid w:val="00686761"/>
    <w:rsid w:val="00686D65"/>
    <w:rsid w:val="00687109"/>
    <w:rsid w:val="006873D1"/>
    <w:rsid w:val="006874B5"/>
    <w:rsid w:val="006874CB"/>
    <w:rsid w:val="0068789E"/>
    <w:rsid w:val="00687924"/>
    <w:rsid w:val="00687961"/>
    <w:rsid w:val="00687C41"/>
    <w:rsid w:val="00687C63"/>
    <w:rsid w:val="0068AAFD"/>
    <w:rsid w:val="0069036C"/>
    <w:rsid w:val="00690637"/>
    <w:rsid w:val="0069081A"/>
    <w:rsid w:val="00690880"/>
    <w:rsid w:val="006909E2"/>
    <w:rsid w:val="00690AAA"/>
    <w:rsid w:val="00690CC2"/>
    <w:rsid w:val="00690F4A"/>
    <w:rsid w:val="0069120E"/>
    <w:rsid w:val="006915FA"/>
    <w:rsid w:val="00691BA6"/>
    <w:rsid w:val="00691C07"/>
    <w:rsid w:val="00691C5D"/>
    <w:rsid w:val="00691E19"/>
    <w:rsid w:val="00691E71"/>
    <w:rsid w:val="00691EA3"/>
    <w:rsid w:val="00691FAB"/>
    <w:rsid w:val="0069210B"/>
    <w:rsid w:val="006922C6"/>
    <w:rsid w:val="00692363"/>
    <w:rsid w:val="006923E5"/>
    <w:rsid w:val="0069280E"/>
    <w:rsid w:val="006928EC"/>
    <w:rsid w:val="00692972"/>
    <w:rsid w:val="006933CE"/>
    <w:rsid w:val="006934F9"/>
    <w:rsid w:val="0069353B"/>
    <w:rsid w:val="006937EF"/>
    <w:rsid w:val="00693CE3"/>
    <w:rsid w:val="00693E99"/>
    <w:rsid w:val="00693FAB"/>
    <w:rsid w:val="00694365"/>
    <w:rsid w:val="00694437"/>
    <w:rsid w:val="00694986"/>
    <w:rsid w:val="00694A92"/>
    <w:rsid w:val="00694A9B"/>
    <w:rsid w:val="00694C40"/>
    <w:rsid w:val="00694EBC"/>
    <w:rsid w:val="00694FA2"/>
    <w:rsid w:val="006950D7"/>
    <w:rsid w:val="006951CA"/>
    <w:rsid w:val="006953E1"/>
    <w:rsid w:val="00695AC0"/>
    <w:rsid w:val="00695BB5"/>
    <w:rsid w:val="00695C20"/>
    <w:rsid w:val="00695CF2"/>
    <w:rsid w:val="0069624B"/>
    <w:rsid w:val="00696E2A"/>
    <w:rsid w:val="00697182"/>
    <w:rsid w:val="006972DC"/>
    <w:rsid w:val="00697387"/>
    <w:rsid w:val="006976E5"/>
    <w:rsid w:val="0069788F"/>
    <w:rsid w:val="00697B6A"/>
    <w:rsid w:val="00697CE0"/>
    <w:rsid w:val="006A01CF"/>
    <w:rsid w:val="006A0200"/>
    <w:rsid w:val="006A069B"/>
    <w:rsid w:val="006A094C"/>
    <w:rsid w:val="006A0F48"/>
    <w:rsid w:val="006A122D"/>
    <w:rsid w:val="006A1505"/>
    <w:rsid w:val="006A165F"/>
    <w:rsid w:val="006A1722"/>
    <w:rsid w:val="006A1872"/>
    <w:rsid w:val="006A19B4"/>
    <w:rsid w:val="006A1D7C"/>
    <w:rsid w:val="006A1ED8"/>
    <w:rsid w:val="006A2043"/>
    <w:rsid w:val="006A207B"/>
    <w:rsid w:val="006A2137"/>
    <w:rsid w:val="006A2142"/>
    <w:rsid w:val="006A21E9"/>
    <w:rsid w:val="006A2395"/>
    <w:rsid w:val="006A251E"/>
    <w:rsid w:val="006A2551"/>
    <w:rsid w:val="006A256F"/>
    <w:rsid w:val="006A2621"/>
    <w:rsid w:val="006A288D"/>
    <w:rsid w:val="006A2E43"/>
    <w:rsid w:val="006A31C6"/>
    <w:rsid w:val="006A3231"/>
    <w:rsid w:val="006A3266"/>
    <w:rsid w:val="006A338A"/>
    <w:rsid w:val="006A3538"/>
    <w:rsid w:val="006A384A"/>
    <w:rsid w:val="006A38F9"/>
    <w:rsid w:val="006A39A9"/>
    <w:rsid w:val="006A3A2E"/>
    <w:rsid w:val="006A3DA4"/>
    <w:rsid w:val="006A3EB9"/>
    <w:rsid w:val="006A3FC9"/>
    <w:rsid w:val="006A4200"/>
    <w:rsid w:val="006A42DA"/>
    <w:rsid w:val="006A43B1"/>
    <w:rsid w:val="006A44FD"/>
    <w:rsid w:val="006A482A"/>
    <w:rsid w:val="006A4967"/>
    <w:rsid w:val="006A4A23"/>
    <w:rsid w:val="006A5095"/>
    <w:rsid w:val="006A521E"/>
    <w:rsid w:val="006A5325"/>
    <w:rsid w:val="006A54C6"/>
    <w:rsid w:val="006A54F7"/>
    <w:rsid w:val="006A55CD"/>
    <w:rsid w:val="006A5B06"/>
    <w:rsid w:val="006A5B74"/>
    <w:rsid w:val="006A5E5E"/>
    <w:rsid w:val="006A5E84"/>
    <w:rsid w:val="006A5EFD"/>
    <w:rsid w:val="006A61CC"/>
    <w:rsid w:val="006A6421"/>
    <w:rsid w:val="006A6483"/>
    <w:rsid w:val="006A64D7"/>
    <w:rsid w:val="006A66AD"/>
    <w:rsid w:val="006A66B0"/>
    <w:rsid w:val="006A6706"/>
    <w:rsid w:val="006A6ADE"/>
    <w:rsid w:val="006A703C"/>
    <w:rsid w:val="006A7102"/>
    <w:rsid w:val="006A717A"/>
    <w:rsid w:val="006A7220"/>
    <w:rsid w:val="006A75E8"/>
    <w:rsid w:val="006A7BD1"/>
    <w:rsid w:val="006A7EA7"/>
    <w:rsid w:val="006A7F18"/>
    <w:rsid w:val="006A7F6F"/>
    <w:rsid w:val="006B0358"/>
    <w:rsid w:val="006B03CD"/>
    <w:rsid w:val="006B0607"/>
    <w:rsid w:val="006B07E4"/>
    <w:rsid w:val="006B0833"/>
    <w:rsid w:val="006B09D2"/>
    <w:rsid w:val="006B0C82"/>
    <w:rsid w:val="006B0F00"/>
    <w:rsid w:val="006B0FE2"/>
    <w:rsid w:val="006B1A14"/>
    <w:rsid w:val="006B1D88"/>
    <w:rsid w:val="006B1E17"/>
    <w:rsid w:val="006B1EB5"/>
    <w:rsid w:val="006B1ECC"/>
    <w:rsid w:val="006B22C6"/>
    <w:rsid w:val="006B2915"/>
    <w:rsid w:val="006B303B"/>
    <w:rsid w:val="006B317A"/>
    <w:rsid w:val="006B33EF"/>
    <w:rsid w:val="006B3A25"/>
    <w:rsid w:val="006B3C4D"/>
    <w:rsid w:val="006B3FD4"/>
    <w:rsid w:val="006B41FE"/>
    <w:rsid w:val="006B4288"/>
    <w:rsid w:val="006B4488"/>
    <w:rsid w:val="006B46D3"/>
    <w:rsid w:val="006B4E09"/>
    <w:rsid w:val="006B5425"/>
    <w:rsid w:val="006B5484"/>
    <w:rsid w:val="006B54CF"/>
    <w:rsid w:val="006B55B9"/>
    <w:rsid w:val="006B5B3B"/>
    <w:rsid w:val="006B5E81"/>
    <w:rsid w:val="006B6496"/>
    <w:rsid w:val="006B64D1"/>
    <w:rsid w:val="006B6944"/>
    <w:rsid w:val="006B69D1"/>
    <w:rsid w:val="006B6A3C"/>
    <w:rsid w:val="006B6F1E"/>
    <w:rsid w:val="006B6F25"/>
    <w:rsid w:val="006B720D"/>
    <w:rsid w:val="006B7379"/>
    <w:rsid w:val="006B7446"/>
    <w:rsid w:val="006B763B"/>
    <w:rsid w:val="006B77CB"/>
    <w:rsid w:val="006B77F2"/>
    <w:rsid w:val="006B7AD1"/>
    <w:rsid w:val="006B7BD1"/>
    <w:rsid w:val="006B7D2E"/>
    <w:rsid w:val="006C021C"/>
    <w:rsid w:val="006C042F"/>
    <w:rsid w:val="006C0A87"/>
    <w:rsid w:val="006C0B15"/>
    <w:rsid w:val="006C0C66"/>
    <w:rsid w:val="006C0C78"/>
    <w:rsid w:val="006C0D05"/>
    <w:rsid w:val="006C126D"/>
    <w:rsid w:val="006C127A"/>
    <w:rsid w:val="006C1291"/>
    <w:rsid w:val="006C13CF"/>
    <w:rsid w:val="006C1573"/>
    <w:rsid w:val="006C1942"/>
    <w:rsid w:val="006C1991"/>
    <w:rsid w:val="006C1A86"/>
    <w:rsid w:val="006C1B01"/>
    <w:rsid w:val="006C1DBD"/>
    <w:rsid w:val="006C1E05"/>
    <w:rsid w:val="006C2420"/>
    <w:rsid w:val="006C25B3"/>
    <w:rsid w:val="006C2945"/>
    <w:rsid w:val="006C29FC"/>
    <w:rsid w:val="006C2AF9"/>
    <w:rsid w:val="006C2B1E"/>
    <w:rsid w:val="006C2B2F"/>
    <w:rsid w:val="006C2B5E"/>
    <w:rsid w:val="006C2CA3"/>
    <w:rsid w:val="006C2DC7"/>
    <w:rsid w:val="006C3471"/>
    <w:rsid w:val="006C3D46"/>
    <w:rsid w:val="006C3DDA"/>
    <w:rsid w:val="006C3FEA"/>
    <w:rsid w:val="006C4594"/>
    <w:rsid w:val="006C4712"/>
    <w:rsid w:val="006C4BBD"/>
    <w:rsid w:val="006C593C"/>
    <w:rsid w:val="006C5B39"/>
    <w:rsid w:val="006C5ECA"/>
    <w:rsid w:val="006C5ED3"/>
    <w:rsid w:val="006C5FFA"/>
    <w:rsid w:val="006C604D"/>
    <w:rsid w:val="006C61BA"/>
    <w:rsid w:val="006C6237"/>
    <w:rsid w:val="006C635C"/>
    <w:rsid w:val="006C6691"/>
    <w:rsid w:val="006C6748"/>
    <w:rsid w:val="006C6823"/>
    <w:rsid w:val="006C69A9"/>
    <w:rsid w:val="006C6C37"/>
    <w:rsid w:val="006C6CBA"/>
    <w:rsid w:val="006C6E0B"/>
    <w:rsid w:val="006C6FC3"/>
    <w:rsid w:val="006C70CD"/>
    <w:rsid w:val="006C715C"/>
    <w:rsid w:val="006C732E"/>
    <w:rsid w:val="006C7761"/>
    <w:rsid w:val="006C7772"/>
    <w:rsid w:val="006C77BA"/>
    <w:rsid w:val="006C7FCE"/>
    <w:rsid w:val="006D02A2"/>
    <w:rsid w:val="006D0308"/>
    <w:rsid w:val="006D0343"/>
    <w:rsid w:val="006D03B1"/>
    <w:rsid w:val="006D03EA"/>
    <w:rsid w:val="006D063C"/>
    <w:rsid w:val="006D0791"/>
    <w:rsid w:val="006D08E9"/>
    <w:rsid w:val="006D0A14"/>
    <w:rsid w:val="006D0D71"/>
    <w:rsid w:val="006D0E28"/>
    <w:rsid w:val="006D1422"/>
    <w:rsid w:val="006D1429"/>
    <w:rsid w:val="006D14EC"/>
    <w:rsid w:val="006D16FE"/>
    <w:rsid w:val="006D1B17"/>
    <w:rsid w:val="006D1D9F"/>
    <w:rsid w:val="006D1E76"/>
    <w:rsid w:val="006D2317"/>
    <w:rsid w:val="006D24E5"/>
    <w:rsid w:val="006D2848"/>
    <w:rsid w:val="006D29E3"/>
    <w:rsid w:val="006D2B59"/>
    <w:rsid w:val="006D3043"/>
    <w:rsid w:val="006D31F5"/>
    <w:rsid w:val="006D31F8"/>
    <w:rsid w:val="006D328A"/>
    <w:rsid w:val="006D33DB"/>
    <w:rsid w:val="006D3656"/>
    <w:rsid w:val="006D376D"/>
    <w:rsid w:val="006D37AA"/>
    <w:rsid w:val="006D37CE"/>
    <w:rsid w:val="006D3855"/>
    <w:rsid w:val="006D387B"/>
    <w:rsid w:val="006D3AA0"/>
    <w:rsid w:val="006D3BF0"/>
    <w:rsid w:val="006D3E1C"/>
    <w:rsid w:val="006D3F61"/>
    <w:rsid w:val="006D4032"/>
    <w:rsid w:val="006D414F"/>
    <w:rsid w:val="006D4635"/>
    <w:rsid w:val="006D465A"/>
    <w:rsid w:val="006D4A48"/>
    <w:rsid w:val="006D4AD6"/>
    <w:rsid w:val="006D4B0B"/>
    <w:rsid w:val="006D4BB3"/>
    <w:rsid w:val="006D4C11"/>
    <w:rsid w:val="006D4C73"/>
    <w:rsid w:val="006D50FD"/>
    <w:rsid w:val="006D5226"/>
    <w:rsid w:val="006D5653"/>
    <w:rsid w:val="006D57DF"/>
    <w:rsid w:val="006D5869"/>
    <w:rsid w:val="006D5CCE"/>
    <w:rsid w:val="006D5DEA"/>
    <w:rsid w:val="006D60AE"/>
    <w:rsid w:val="006D61F3"/>
    <w:rsid w:val="006D626F"/>
    <w:rsid w:val="006D6622"/>
    <w:rsid w:val="006D680E"/>
    <w:rsid w:val="006D6BA1"/>
    <w:rsid w:val="006D6C7A"/>
    <w:rsid w:val="006D6D44"/>
    <w:rsid w:val="006D6E83"/>
    <w:rsid w:val="006D6F35"/>
    <w:rsid w:val="006D701C"/>
    <w:rsid w:val="006D71B1"/>
    <w:rsid w:val="006D7D71"/>
    <w:rsid w:val="006E049E"/>
    <w:rsid w:val="006E0805"/>
    <w:rsid w:val="006E0875"/>
    <w:rsid w:val="006E0AFE"/>
    <w:rsid w:val="006E0CC9"/>
    <w:rsid w:val="006E1104"/>
    <w:rsid w:val="006E128B"/>
    <w:rsid w:val="006E14F6"/>
    <w:rsid w:val="006E1533"/>
    <w:rsid w:val="006E17D7"/>
    <w:rsid w:val="006E1874"/>
    <w:rsid w:val="006E19CD"/>
    <w:rsid w:val="006E1F4D"/>
    <w:rsid w:val="006E2279"/>
    <w:rsid w:val="006E24C5"/>
    <w:rsid w:val="006E25B9"/>
    <w:rsid w:val="006E2787"/>
    <w:rsid w:val="006E2A87"/>
    <w:rsid w:val="006E2EF7"/>
    <w:rsid w:val="006E308D"/>
    <w:rsid w:val="006E34CD"/>
    <w:rsid w:val="006E3A08"/>
    <w:rsid w:val="006E3E82"/>
    <w:rsid w:val="006E46F0"/>
    <w:rsid w:val="006E47BC"/>
    <w:rsid w:val="006E4967"/>
    <w:rsid w:val="006E4B23"/>
    <w:rsid w:val="006E4D1E"/>
    <w:rsid w:val="006E4D3D"/>
    <w:rsid w:val="006E576E"/>
    <w:rsid w:val="006E586B"/>
    <w:rsid w:val="006E619B"/>
    <w:rsid w:val="006E6904"/>
    <w:rsid w:val="006E6DB7"/>
    <w:rsid w:val="006E6DC9"/>
    <w:rsid w:val="006E70DB"/>
    <w:rsid w:val="006E74D4"/>
    <w:rsid w:val="006E756C"/>
    <w:rsid w:val="006E7A11"/>
    <w:rsid w:val="006F009E"/>
    <w:rsid w:val="006F04DA"/>
    <w:rsid w:val="006F04F6"/>
    <w:rsid w:val="006F069A"/>
    <w:rsid w:val="006F0D96"/>
    <w:rsid w:val="006F0F7D"/>
    <w:rsid w:val="006F12DD"/>
    <w:rsid w:val="006F1B05"/>
    <w:rsid w:val="006F1E8E"/>
    <w:rsid w:val="006F2168"/>
    <w:rsid w:val="006F25FC"/>
    <w:rsid w:val="006F270F"/>
    <w:rsid w:val="006F2B94"/>
    <w:rsid w:val="006F2EC7"/>
    <w:rsid w:val="006F31DF"/>
    <w:rsid w:val="006F3569"/>
    <w:rsid w:val="006F3621"/>
    <w:rsid w:val="006F3813"/>
    <w:rsid w:val="006F3842"/>
    <w:rsid w:val="006F3964"/>
    <w:rsid w:val="006F3B49"/>
    <w:rsid w:val="006F40AE"/>
    <w:rsid w:val="006F42C9"/>
    <w:rsid w:val="006F4966"/>
    <w:rsid w:val="006F4A4E"/>
    <w:rsid w:val="006F4ADA"/>
    <w:rsid w:val="006F4DCF"/>
    <w:rsid w:val="006F51F2"/>
    <w:rsid w:val="006F55AF"/>
    <w:rsid w:val="006F57A3"/>
    <w:rsid w:val="006F5874"/>
    <w:rsid w:val="006F5A01"/>
    <w:rsid w:val="006F5A70"/>
    <w:rsid w:val="006F5CA9"/>
    <w:rsid w:val="006F5D5B"/>
    <w:rsid w:val="006F619C"/>
    <w:rsid w:val="006F61E8"/>
    <w:rsid w:val="006F63C3"/>
    <w:rsid w:val="006F6517"/>
    <w:rsid w:val="006F6695"/>
    <w:rsid w:val="006F6984"/>
    <w:rsid w:val="006F69AB"/>
    <w:rsid w:val="006F6F0C"/>
    <w:rsid w:val="006F6F94"/>
    <w:rsid w:val="006F7387"/>
    <w:rsid w:val="006F73A2"/>
    <w:rsid w:val="006F7438"/>
    <w:rsid w:val="006F789C"/>
    <w:rsid w:val="006F799D"/>
    <w:rsid w:val="006F7B31"/>
    <w:rsid w:val="006F7B4C"/>
    <w:rsid w:val="006F7B5E"/>
    <w:rsid w:val="006F7D71"/>
    <w:rsid w:val="006F7EB0"/>
    <w:rsid w:val="0070001A"/>
    <w:rsid w:val="007004BB"/>
    <w:rsid w:val="0070054E"/>
    <w:rsid w:val="00700924"/>
    <w:rsid w:val="00700A41"/>
    <w:rsid w:val="00700D8F"/>
    <w:rsid w:val="00700ECC"/>
    <w:rsid w:val="00700FFE"/>
    <w:rsid w:val="00701032"/>
    <w:rsid w:val="0070127F"/>
    <w:rsid w:val="00701320"/>
    <w:rsid w:val="007014A4"/>
    <w:rsid w:val="0070172A"/>
    <w:rsid w:val="00701BCB"/>
    <w:rsid w:val="00701D24"/>
    <w:rsid w:val="00701E62"/>
    <w:rsid w:val="00702000"/>
    <w:rsid w:val="007025DA"/>
    <w:rsid w:val="007027D4"/>
    <w:rsid w:val="007029DB"/>
    <w:rsid w:val="00702A40"/>
    <w:rsid w:val="00702BF2"/>
    <w:rsid w:val="00702E5D"/>
    <w:rsid w:val="00702E9D"/>
    <w:rsid w:val="00702F7B"/>
    <w:rsid w:val="00702FA6"/>
    <w:rsid w:val="0070320A"/>
    <w:rsid w:val="0070334D"/>
    <w:rsid w:val="00703521"/>
    <w:rsid w:val="00703693"/>
    <w:rsid w:val="00703713"/>
    <w:rsid w:val="0070397E"/>
    <w:rsid w:val="007039EC"/>
    <w:rsid w:val="00703EAE"/>
    <w:rsid w:val="00703EF1"/>
    <w:rsid w:val="00704233"/>
    <w:rsid w:val="007046B9"/>
    <w:rsid w:val="00704A0C"/>
    <w:rsid w:val="00704C65"/>
    <w:rsid w:val="00704CD1"/>
    <w:rsid w:val="00704ECF"/>
    <w:rsid w:val="00704FAE"/>
    <w:rsid w:val="007051FC"/>
    <w:rsid w:val="00705391"/>
    <w:rsid w:val="0070553C"/>
    <w:rsid w:val="007056EB"/>
    <w:rsid w:val="00705A58"/>
    <w:rsid w:val="00705AA0"/>
    <w:rsid w:val="00705CF0"/>
    <w:rsid w:val="007060DD"/>
    <w:rsid w:val="0070611E"/>
    <w:rsid w:val="00706242"/>
    <w:rsid w:val="00706605"/>
    <w:rsid w:val="007067F5"/>
    <w:rsid w:val="00706E52"/>
    <w:rsid w:val="00706FDB"/>
    <w:rsid w:val="00707049"/>
    <w:rsid w:val="00707514"/>
    <w:rsid w:val="007076A5"/>
    <w:rsid w:val="007077E4"/>
    <w:rsid w:val="00707825"/>
    <w:rsid w:val="007079BB"/>
    <w:rsid w:val="00707A9C"/>
    <w:rsid w:val="00707BA9"/>
    <w:rsid w:val="00707EC4"/>
    <w:rsid w:val="00710016"/>
    <w:rsid w:val="00710153"/>
    <w:rsid w:val="007102A9"/>
    <w:rsid w:val="00710A53"/>
    <w:rsid w:val="00710B2C"/>
    <w:rsid w:val="00710C2F"/>
    <w:rsid w:val="00710DB4"/>
    <w:rsid w:val="007111D3"/>
    <w:rsid w:val="00711214"/>
    <w:rsid w:val="00711712"/>
    <w:rsid w:val="00711723"/>
    <w:rsid w:val="007117E4"/>
    <w:rsid w:val="007119C0"/>
    <w:rsid w:val="00711A1D"/>
    <w:rsid w:val="00711F24"/>
    <w:rsid w:val="00712029"/>
    <w:rsid w:val="007122CA"/>
    <w:rsid w:val="007125B4"/>
    <w:rsid w:val="00712730"/>
    <w:rsid w:val="00712B0E"/>
    <w:rsid w:val="00712D21"/>
    <w:rsid w:val="00712F3B"/>
    <w:rsid w:val="00713124"/>
    <w:rsid w:val="007131D5"/>
    <w:rsid w:val="007131D7"/>
    <w:rsid w:val="00713496"/>
    <w:rsid w:val="007134B8"/>
    <w:rsid w:val="0071359F"/>
    <w:rsid w:val="00713901"/>
    <w:rsid w:val="0071392C"/>
    <w:rsid w:val="00713A77"/>
    <w:rsid w:val="00713DA2"/>
    <w:rsid w:val="00713E7A"/>
    <w:rsid w:val="00713F6E"/>
    <w:rsid w:val="007140C3"/>
    <w:rsid w:val="00714387"/>
    <w:rsid w:val="00714392"/>
    <w:rsid w:val="00714423"/>
    <w:rsid w:val="007148D2"/>
    <w:rsid w:val="007149E7"/>
    <w:rsid w:val="00714A6D"/>
    <w:rsid w:val="00714CC1"/>
    <w:rsid w:val="00714E63"/>
    <w:rsid w:val="00714F88"/>
    <w:rsid w:val="007152EB"/>
    <w:rsid w:val="007154A4"/>
    <w:rsid w:val="00715631"/>
    <w:rsid w:val="007156D8"/>
    <w:rsid w:val="00715ED0"/>
    <w:rsid w:val="00715FC7"/>
    <w:rsid w:val="00716498"/>
    <w:rsid w:val="007165F9"/>
    <w:rsid w:val="00716B45"/>
    <w:rsid w:val="00716B4F"/>
    <w:rsid w:val="00716C05"/>
    <w:rsid w:val="00716E7F"/>
    <w:rsid w:val="00716F52"/>
    <w:rsid w:val="0071704A"/>
    <w:rsid w:val="007170CB"/>
    <w:rsid w:val="00717145"/>
    <w:rsid w:val="007171CF"/>
    <w:rsid w:val="00717E1B"/>
    <w:rsid w:val="007200FC"/>
    <w:rsid w:val="00720133"/>
    <w:rsid w:val="00720167"/>
    <w:rsid w:val="007201BA"/>
    <w:rsid w:val="00720F0F"/>
    <w:rsid w:val="007211ED"/>
    <w:rsid w:val="007212B8"/>
    <w:rsid w:val="007213A7"/>
    <w:rsid w:val="0072172A"/>
    <w:rsid w:val="0072185A"/>
    <w:rsid w:val="007219F5"/>
    <w:rsid w:val="00721A06"/>
    <w:rsid w:val="0072208E"/>
    <w:rsid w:val="00722392"/>
    <w:rsid w:val="0072259F"/>
    <w:rsid w:val="0072262D"/>
    <w:rsid w:val="00722667"/>
    <w:rsid w:val="0072267F"/>
    <w:rsid w:val="0072269D"/>
    <w:rsid w:val="00722970"/>
    <w:rsid w:val="00723204"/>
    <w:rsid w:val="0072337B"/>
    <w:rsid w:val="007234D3"/>
    <w:rsid w:val="00723769"/>
    <w:rsid w:val="00723780"/>
    <w:rsid w:val="007238ED"/>
    <w:rsid w:val="00723DC1"/>
    <w:rsid w:val="00724208"/>
    <w:rsid w:val="00724247"/>
    <w:rsid w:val="007242EF"/>
    <w:rsid w:val="007243CF"/>
    <w:rsid w:val="00724415"/>
    <w:rsid w:val="00724594"/>
    <w:rsid w:val="007245C4"/>
    <w:rsid w:val="00724A2A"/>
    <w:rsid w:val="00724BA4"/>
    <w:rsid w:val="00724CDB"/>
    <w:rsid w:val="00724F73"/>
    <w:rsid w:val="00724FAB"/>
    <w:rsid w:val="00724FB5"/>
    <w:rsid w:val="007253E7"/>
    <w:rsid w:val="0072557F"/>
    <w:rsid w:val="00725640"/>
    <w:rsid w:val="007258B8"/>
    <w:rsid w:val="00725EC3"/>
    <w:rsid w:val="007263C9"/>
    <w:rsid w:val="007268BE"/>
    <w:rsid w:val="00726952"/>
    <w:rsid w:val="00726A2E"/>
    <w:rsid w:val="00726D19"/>
    <w:rsid w:val="00726DA1"/>
    <w:rsid w:val="00727062"/>
    <w:rsid w:val="00727287"/>
    <w:rsid w:val="0072753A"/>
    <w:rsid w:val="00727AB3"/>
    <w:rsid w:val="00727C2F"/>
    <w:rsid w:val="00730039"/>
    <w:rsid w:val="007301AA"/>
    <w:rsid w:val="007303F3"/>
    <w:rsid w:val="0073050D"/>
    <w:rsid w:val="00730808"/>
    <w:rsid w:val="007309C5"/>
    <w:rsid w:val="00730CD5"/>
    <w:rsid w:val="007310EE"/>
    <w:rsid w:val="007311B1"/>
    <w:rsid w:val="00731309"/>
    <w:rsid w:val="00731680"/>
    <w:rsid w:val="0073189B"/>
    <w:rsid w:val="007318B0"/>
    <w:rsid w:val="007319EC"/>
    <w:rsid w:val="0073206B"/>
    <w:rsid w:val="00732210"/>
    <w:rsid w:val="007326AC"/>
    <w:rsid w:val="007328DA"/>
    <w:rsid w:val="00732B3F"/>
    <w:rsid w:val="00732C38"/>
    <w:rsid w:val="00732D28"/>
    <w:rsid w:val="00732E07"/>
    <w:rsid w:val="00732E54"/>
    <w:rsid w:val="00732F7B"/>
    <w:rsid w:val="00733107"/>
    <w:rsid w:val="007333B0"/>
    <w:rsid w:val="00733566"/>
    <w:rsid w:val="007338EB"/>
    <w:rsid w:val="00733B25"/>
    <w:rsid w:val="00733B84"/>
    <w:rsid w:val="0073422B"/>
    <w:rsid w:val="00734454"/>
    <w:rsid w:val="00734468"/>
    <w:rsid w:val="007344B2"/>
    <w:rsid w:val="00734524"/>
    <w:rsid w:val="00734AE8"/>
    <w:rsid w:val="00734BA3"/>
    <w:rsid w:val="00734D40"/>
    <w:rsid w:val="00734D85"/>
    <w:rsid w:val="0073502A"/>
    <w:rsid w:val="0073517C"/>
    <w:rsid w:val="0073554B"/>
    <w:rsid w:val="00735595"/>
    <w:rsid w:val="007355B1"/>
    <w:rsid w:val="007355D6"/>
    <w:rsid w:val="00735AD0"/>
    <w:rsid w:val="00735B80"/>
    <w:rsid w:val="00736277"/>
    <w:rsid w:val="007363A4"/>
    <w:rsid w:val="00736745"/>
    <w:rsid w:val="00736914"/>
    <w:rsid w:val="00736AFD"/>
    <w:rsid w:val="00736D3D"/>
    <w:rsid w:val="007374BA"/>
    <w:rsid w:val="007377B8"/>
    <w:rsid w:val="007379D1"/>
    <w:rsid w:val="00737B1C"/>
    <w:rsid w:val="00737E06"/>
    <w:rsid w:val="00739B6C"/>
    <w:rsid w:val="007404D6"/>
    <w:rsid w:val="00740513"/>
    <w:rsid w:val="00740540"/>
    <w:rsid w:val="00740632"/>
    <w:rsid w:val="007408E6"/>
    <w:rsid w:val="00740A85"/>
    <w:rsid w:val="00740AFE"/>
    <w:rsid w:val="00741111"/>
    <w:rsid w:val="007412EE"/>
    <w:rsid w:val="007416AC"/>
    <w:rsid w:val="00741772"/>
    <w:rsid w:val="00741A07"/>
    <w:rsid w:val="00741A3F"/>
    <w:rsid w:val="00741B7D"/>
    <w:rsid w:val="007420AC"/>
    <w:rsid w:val="007420C7"/>
    <w:rsid w:val="0074211D"/>
    <w:rsid w:val="007424E4"/>
    <w:rsid w:val="0074270F"/>
    <w:rsid w:val="0074298E"/>
    <w:rsid w:val="00742A2C"/>
    <w:rsid w:val="00742A4A"/>
    <w:rsid w:val="00742D56"/>
    <w:rsid w:val="00743058"/>
    <w:rsid w:val="00743259"/>
    <w:rsid w:val="007433FF"/>
    <w:rsid w:val="00743855"/>
    <w:rsid w:val="00743E04"/>
    <w:rsid w:val="007444C3"/>
    <w:rsid w:val="00744AFB"/>
    <w:rsid w:val="00744CEC"/>
    <w:rsid w:val="00744DCB"/>
    <w:rsid w:val="00744FA6"/>
    <w:rsid w:val="007454B0"/>
    <w:rsid w:val="007454B9"/>
    <w:rsid w:val="00745611"/>
    <w:rsid w:val="00745690"/>
    <w:rsid w:val="00745794"/>
    <w:rsid w:val="00745E65"/>
    <w:rsid w:val="00745F32"/>
    <w:rsid w:val="00746012"/>
    <w:rsid w:val="0074609A"/>
    <w:rsid w:val="007462F4"/>
    <w:rsid w:val="007466DB"/>
    <w:rsid w:val="00746758"/>
    <w:rsid w:val="00746AC7"/>
    <w:rsid w:val="00746CD1"/>
    <w:rsid w:val="00746D0C"/>
    <w:rsid w:val="00746EF9"/>
    <w:rsid w:val="00746FE5"/>
    <w:rsid w:val="0074709A"/>
    <w:rsid w:val="00747CEB"/>
    <w:rsid w:val="00747E10"/>
    <w:rsid w:val="00747ED1"/>
    <w:rsid w:val="00750062"/>
    <w:rsid w:val="00750096"/>
    <w:rsid w:val="0075075C"/>
    <w:rsid w:val="007509E9"/>
    <w:rsid w:val="0075109B"/>
    <w:rsid w:val="00751265"/>
    <w:rsid w:val="00751384"/>
    <w:rsid w:val="007513D2"/>
    <w:rsid w:val="007514B4"/>
    <w:rsid w:val="0075172E"/>
    <w:rsid w:val="00751EC3"/>
    <w:rsid w:val="00752639"/>
    <w:rsid w:val="0075281A"/>
    <w:rsid w:val="00752CD5"/>
    <w:rsid w:val="007532FF"/>
    <w:rsid w:val="00753343"/>
    <w:rsid w:val="00753591"/>
    <w:rsid w:val="00753B79"/>
    <w:rsid w:val="00753F95"/>
    <w:rsid w:val="00754FD6"/>
    <w:rsid w:val="00755220"/>
    <w:rsid w:val="0075548A"/>
    <w:rsid w:val="007556A6"/>
    <w:rsid w:val="007556AE"/>
    <w:rsid w:val="007560E0"/>
    <w:rsid w:val="00756251"/>
    <w:rsid w:val="00756275"/>
    <w:rsid w:val="0075641B"/>
    <w:rsid w:val="00756904"/>
    <w:rsid w:val="00756B6C"/>
    <w:rsid w:val="00756F56"/>
    <w:rsid w:val="00757028"/>
    <w:rsid w:val="0075702D"/>
    <w:rsid w:val="007572D4"/>
    <w:rsid w:val="0075794E"/>
    <w:rsid w:val="00757D5E"/>
    <w:rsid w:val="00760155"/>
    <w:rsid w:val="0076034D"/>
    <w:rsid w:val="007603CF"/>
    <w:rsid w:val="00760C7A"/>
    <w:rsid w:val="00761190"/>
    <w:rsid w:val="007611EF"/>
    <w:rsid w:val="0076125C"/>
    <w:rsid w:val="00761A35"/>
    <w:rsid w:val="00761D53"/>
    <w:rsid w:val="00761F58"/>
    <w:rsid w:val="00761FBA"/>
    <w:rsid w:val="007620ED"/>
    <w:rsid w:val="007623E1"/>
    <w:rsid w:val="007628E4"/>
    <w:rsid w:val="00762981"/>
    <w:rsid w:val="00762D62"/>
    <w:rsid w:val="007636A7"/>
    <w:rsid w:val="00763C0C"/>
    <w:rsid w:val="00763C78"/>
    <w:rsid w:val="00763CB0"/>
    <w:rsid w:val="00763E50"/>
    <w:rsid w:val="00764696"/>
    <w:rsid w:val="00764A04"/>
    <w:rsid w:val="00764CC3"/>
    <w:rsid w:val="00764FFC"/>
    <w:rsid w:val="0076514C"/>
    <w:rsid w:val="00765322"/>
    <w:rsid w:val="007656F0"/>
    <w:rsid w:val="007659D4"/>
    <w:rsid w:val="00765A1B"/>
    <w:rsid w:val="00765CB9"/>
    <w:rsid w:val="00765D0F"/>
    <w:rsid w:val="00765F96"/>
    <w:rsid w:val="0076687C"/>
    <w:rsid w:val="00766AD9"/>
    <w:rsid w:val="00766CEE"/>
    <w:rsid w:val="00766DB6"/>
    <w:rsid w:val="00767182"/>
    <w:rsid w:val="007671F5"/>
    <w:rsid w:val="00767336"/>
    <w:rsid w:val="007675F4"/>
    <w:rsid w:val="00767B71"/>
    <w:rsid w:val="00770520"/>
    <w:rsid w:val="00770AB8"/>
    <w:rsid w:val="00770CDE"/>
    <w:rsid w:val="00770E2D"/>
    <w:rsid w:val="00771254"/>
    <w:rsid w:val="00771296"/>
    <w:rsid w:val="00771391"/>
    <w:rsid w:val="0077145F"/>
    <w:rsid w:val="007714B3"/>
    <w:rsid w:val="007714CA"/>
    <w:rsid w:val="00771851"/>
    <w:rsid w:val="007718A8"/>
    <w:rsid w:val="00771928"/>
    <w:rsid w:val="00771CCF"/>
    <w:rsid w:val="00771E18"/>
    <w:rsid w:val="007720DA"/>
    <w:rsid w:val="00772158"/>
    <w:rsid w:val="007724AE"/>
    <w:rsid w:val="00772667"/>
    <w:rsid w:val="007729D4"/>
    <w:rsid w:val="00772BDC"/>
    <w:rsid w:val="00772D40"/>
    <w:rsid w:val="00772F5B"/>
    <w:rsid w:val="00772FA6"/>
    <w:rsid w:val="00773072"/>
    <w:rsid w:val="0077338A"/>
    <w:rsid w:val="00773822"/>
    <w:rsid w:val="00773941"/>
    <w:rsid w:val="00773A78"/>
    <w:rsid w:val="00773FB7"/>
    <w:rsid w:val="00774045"/>
    <w:rsid w:val="007741AB"/>
    <w:rsid w:val="0077420B"/>
    <w:rsid w:val="00774672"/>
    <w:rsid w:val="00774821"/>
    <w:rsid w:val="007748CD"/>
    <w:rsid w:val="00774B55"/>
    <w:rsid w:val="00774EB7"/>
    <w:rsid w:val="007758E1"/>
    <w:rsid w:val="007759EC"/>
    <w:rsid w:val="00775B75"/>
    <w:rsid w:val="00775BA9"/>
    <w:rsid w:val="00775D04"/>
    <w:rsid w:val="00775E87"/>
    <w:rsid w:val="00776149"/>
    <w:rsid w:val="00776191"/>
    <w:rsid w:val="007761FB"/>
    <w:rsid w:val="007767B8"/>
    <w:rsid w:val="00776921"/>
    <w:rsid w:val="0077698D"/>
    <w:rsid w:val="007769A2"/>
    <w:rsid w:val="00776B9E"/>
    <w:rsid w:val="00776DF1"/>
    <w:rsid w:val="00776E8D"/>
    <w:rsid w:val="00777319"/>
    <w:rsid w:val="007773B0"/>
    <w:rsid w:val="007773E6"/>
    <w:rsid w:val="00777F87"/>
    <w:rsid w:val="007801F6"/>
    <w:rsid w:val="007802F0"/>
    <w:rsid w:val="007808F1"/>
    <w:rsid w:val="0078093A"/>
    <w:rsid w:val="00780D7B"/>
    <w:rsid w:val="00781058"/>
    <w:rsid w:val="007813C3"/>
    <w:rsid w:val="007815E4"/>
    <w:rsid w:val="007818F7"/>
    <w:rsid w:val="00781A1A"/>
    <w:rsid w:val="00781C1A"/>
    <w:rsid w:val="007824B3"/>
    <w:rsid w:val="00782581"/>
    <w:rsid w:val="007828A0"/>
    <w:rsid w:val="0078294C"/>
    <w:rsid w:val="007829D7"/>
    <w:rsid w:val="00782A68"/>
    <w:rsid w:val="00783095"/>
    <w:rsid w:val="00783136"/>
    <w:rsid w:val="00783379"/>
    <w:rsid w:val="007834D1"/>
    <w:rsid w:val="00783E0D"/>
    <w:rsid w:val="00783E4C"/>
    <w:rsid w:val="00783E8E"/>
    <w:rsid w:val="007840B1"/>
    <w:rsid w:val="00784122"/>
    <w:rsid w:val="0078444D"/>
    <w:rsid w:val="007844E1"/>
    <w:rsid w:val="007846BF"/>
    <w:rsid w:val="007846FE"/>
    <w:rsid w:val="00784926"/>
    <w:rsid w:val="00784A0E"/>
    <w:rsid w:val="00784CB3"/>
    <w:rsid w:val="00784CF5"/>
    <w:rsid w:val="00784DB1"/>
    <w:rsid w:val="007850B4"/>
    <w:rsid w:val="0078510F"/>
    <w:rsid w:val="00785911"/>
    <w:rsid w:val="00785D1A"/>
    <w:rsid w:val="00786075"/>
    <w:rsid w:val="00786A33"/>
    <w:rsid w:val="00786C9A"/>
    <w:rsid w:val="00786D52"/>
    <w:rsid w:val="00786DD1"/>
    <w:rsid w:val="00786F01"/>
    <w:rsid w:val="0078703A"/>
    <w:rsid w:val="0078723E"/>
    <w:rsid w:val="007877C9"/>
    <w:rsid w:val="00787914"/>
    <w:rsid w:val="007879ED"/>
    <w:rsid w:val="00787CF5"/>
    <w:rsid w:val="00787E4D"/>
    <w:rsid w:val="00787F92"/>
    <w:rsid w:val="00787FA7"/>
    <w:rsid w:val="00790008"/>
    <w:rsid w:val="007901FD"/>
    <w:rsid w:val="00790417"/>
    <w:rsid w:val="007906A8"/>
    <w:rsid w:val="00790771"/>
    <w:rsid w:val="007907B2"/>
    <w:rsid w:val="00790954"/>
    <w:rsid w:val="00790BB8"/>
    <w:rsid w:val="00790CC4"/>
    <w:rsid w:val="00790DBB"/>
    <w:rsid w:val="00790E00"/>
    <w:rsid w:val="00790FFA"/>
    <w:rsid w:val="00791099"/>
    <w:rsid w:val="0079114C"/>
    <w:rsid w:val="00791355"/>
    <w:rsid w:val="00791389"/>
    <w:rsid w:val="007914BA"/>
    <w:rsid w:val="0079169C"/>
    <w:rsid w:val="007918C2"/>
    <w:rsid w:val="00791CCE"/>
    <w:rsid w:val="00791FAB"/>
    <w:rsid w:val="0079216B"/>
    <w:rsid w:val="007923D7"/>
    <w:rsid w:val="007924BA"/>
    <w:rsid w:val="00792529"/>
    <w:rsid w:val="00792530"/>
    <w:rsid w:val="00792648"/>
    <w:rsid w:val="00792912"/>
    <w:rsid w:val="00792D7D"/>
    <w:rsid w:val="00792E54"/>
    <w:rsid w:val="0079315D"/>
    <w:rsid w:val="0079317D"/>
    <w:rsid w:val="007933EE"/>
    <w:rsid w:val="00793470"/>
    <w:rsid w:val="00793AEF"/>
    <w:rsid w:val="0079407B"/>
    <w:rsid w:val="0079472A"/>
    <w:rsid w:val="007947E4"/>
    <w:rsid w:val="0079498B"/>
    <w:rsid w:val="00794DC1"/>
    <w:rsid w:val="00794FA6"/>
    <w:rsid w:val="00795275"/>
    <w:rsid w:val="007952CA"/>
    <w:rsid w:val="0079563F"/>
    <w:rsid w:val="00795805"/>
    <w:rsid w:val="00795A50"/>
    <w:rsid w:val="00796095"/>
    <w:rsid w:val="007964C9"/>
    <w:rsid w:val="0079656B"/>
    <w:rsid w:val="007966F1"/>
    <w:rsid w:val="00796907"/>
    <w:rsid w:val="0079696C"/>
    <w:rsid w:val="00796C36"/>
    <w:rsid w:val="00796C6C"/>
    <w:rsid w:val="00796E89"/>
    <w:rsid w:val="00796FC8"/>
    <w:rsid w:val="00797433"/>
    <w:rsid w:val="007974D5"/>
    <w:rsid w:val="00797700"/>
    <w:rsid w:val="00797D75"/>
    <w:rsid w:val="00797DEE"/>
    <w:rsid w:val="007A003F"/>
    <w:rsid w:val="007A0669"/>
    <w:rsid w:val="007A06BC"/>
    <w:rsid w:val="007A0859"/>
    <w:rsid w:val="007A08AF"/>
    <w:rsid w:val="007A0B55"/>
    <w:rsid w:val="007A0BC5"/>
    <w:rsid w:val="007A0E94"/>
    <w:rsid w:val="007A1656"/>
    <w:rsid w:val="007A178E"/>
    <w:rsid w:val="007A1AEB"/>
    <w:rsid w:val="007A1B76"/>
    <w:rsid w:val="007A2508"/>
    <w:rsid w:val="007A250C"/>
    <w:rsid w:val="007A2E9F"/>
    <w:rsid w:val="007A3125"/>
    <w:rsid w:val="007A3174"/>
    <w:rsid w:val="007A3203"/>
    <w:rsid w:val="007A37B7"/>
    <w:rsid w:val="007A3B3B"/>
    <w:rsid w:val="007A3D85"/>
    <w:rsid w:val="007A3F4C"/>
    <w:rsid w:val="007A402D"/>
    <w:rsid w:val="007A42A8"/>
    <w:rsid w:val="007A4329"/>
    <w:rsid w:val="007A4900"/>
    <w:rsid w:val="007A4D30"/>
    <w:rsid w:val="007A4DE3"/>
    <w:rsid w:val="007A4DE9"/>
    <w:rsid w:val="007A4E07"/>
    <w:rsid w:val="007A4FBE"/>
    <w:rsid w:val="007A5174"/>
    <w:rsid w:val="007A5234"/>
    <w:rsid w:val="007A5261"/>
    <w:rsid w:val="007A5323"/>
    <w:rsid w:val="007A542F"/>
    <w:rsid w:val="007A5F4D"/>
    <w:rsid w:val="007A6285"/>
    <w:rsid w:val="007A65D0"/>
    <w:rsid w:val="007A65F4"/>
    <w:rsid w:val="007A66CC"/>
    <w:rsid w:val="007A68A0"/>
    <w:rsid w:val="007A693F"/>
    <w:rsid w:val="007A6A37"/>
    <w:rsid w:val="007A6A7E"/>
    <w:rsid w:val="007A6B6F"/>
    <w:rsid w:val="007A6C7D"/>
    <w:rsid w:val="007A6D87"/>
    <w:rsid w:val="007A6DF1"/>
    <w:rsid w:val="007A7203"/>
    <w:rsid w:val="007A7228"/>
    <w:rsid w:val="007A7261"/>
    <w:rsid w:val="007A73B3"/>
    <w:rsid w:val="007A7828"/>
    <w:rsid w:val="007A7870"/>
    <w:rsid w:val="007A7B66"/>
    <w:rsid w:val="007A7D45"/>
    <w:rsid w:val="007A7F97"/>
    <w:rsid w:val="007B0246"/>
    <w:rsid w:val="007B049B"/>
    <w:rsid w:val="007B0762"/>
    <w:rsid w:val="007B0986"/>
    <w:rsid w:val="007B0A67"/>
    <w:rsid w:val="007B0EE1"/>
    <w:rsid w:val="007B117A"/>
    <w:rsid w:val="007B118C"/>
    <w:rsid w:val="007B1B9A"/>
    <w:rsid w:val="007B1DE2"/>
    <w:rsid w:val="007B20CF"/>
    <w:rsid w:val="007B22C4"/>
    <w:rsid w:val="007B234C"/>
    <w:rsid w:val="007B23F5"/>
    <w:rsid w:val="007B2586"/>
    <w:rsid w:val="007B25D0"/>
    <w:rsid w:val="007B26B1"/>
    <w:rsid w:val="007B28DD"/>
    <w:rsid w:val="007B28FF"/>
    <w:rsid w:val="007B2A10"/>
    <w:rsid w:val="007B2A43"/>
    <w:rsid w:val="007B2E20"/>
    <w:rsid w:val="007B2F19"/>
    <w:rsid w:val="007B34B7"/>
    <w:rsid w:val="007B36E9"/>
    <w:rsid w:val="007B38DE"/>
    <w:rsid w:val="007B39CE"/>
    <w:rsid w:val="007B3A81"/>
    <w:rsid w:val="007B46ED"/>
    <w:rsid w:val="007B47A2"/>
    <w:rsid w:val="007B4B3F"/>
    <w:rsid w:val="007B4BB0"/>
    <w:rsid w:val="007B4DBF"/>
    <w:rsid w:val="007B508C"/>
    <w:rsid w:val="007B50D9"/>
    <w:rsid w:val="007B50EC"/>
    <w:rsid w:val="007B533C"/>
    <w:rsid w:val="007B5435"/>
    <w:rsid w:val="007B55D8"/>
    <w:rsid w:val="007B5982"/>
    <w:rsid w:val="007B5ACD"/>
    <w:rsid w:val="007B5AF1"/>
    <w:rsid w:val="007B5BC1"/>
    <w:rsid w:val="007B5DB5"/>
    <w:rsid w:val="007B5E0C"/>
    <w:rsid w:val="007B5E67"/>
    <w:rsid w:val="007B6B6F"/>
    <w:rsid w:val="007B6E26"/>
    <w:rsid w:val="007B7164"/>
    <w:rsid w:val="007B7366"/>
    <w:rsid w:val="007B7391"/>
    <w:rsid w:val="007B73DF"/>
    <w:rsid w:val="007B7677"/>
    <w:rsid w:val="007B77C4"/>
    <w:rsid w:val="007B78E6"/>
    <w:rsid w:val="007B79E0"/>
    <w:rsid w:val="007B7E40"/>
    <w:rsid w:val="007B7E57"/>
    <w:rsid w:val="007C0135"/>
    <w:rsid w:val="007C01EE"/>
    <w:rsid w:val="007C0526"/>
    <w:rsid w:val="007C05DC"/>
    <w:rsid w:val="007C128C"/>
    <w:rsid w:val="007C149E"/>
    <w:rsid w:val="007C14B9"/>
    <w:rsid w:val="007C1672"/>
    <w:rsid w:val="007C19E4"/>
    <w:rsid w:val="007C1A82"/>
    <w:rsid w:val="007C1B65"/>
    <w:rsid w:val="007C1D01"/>
    <w:rsid w:val="007C20E4"/>
    <w:rsid w:val="007C2257"/>
    <w:rsid w:val="007C240E"/>
    <w:rsid w:val="007C24D8"/>
    <w:rsid w:val="007C2656"/>
    <w:rsid w:val="007C26F5"/>
    <w:rsid w:val="007C2721"/>
    <w:rsid w:val="007C3055"/>
    <w:rsid w:val="007C3235"/>
    <w:rsid w:val="007C35C8"/>
    <w:rsid w:val="007C3692"/>
    <w:rsid w:val="007C38AE"/>
    <w:rsid w:val="007C3BC2"/>
    <w:rsid w:val="007C4028"/>
    <w:rsid w:val="007C40D0"/>
    <w:rsid w:val="007C4761"/>
    <w:rsid w:val="007C48F5"/>
    <w:rsid w:val="007C4EB7"/>
    <w:rsid w:val="007C4F8A"/>
    <w:rsid w:val="007C534E"/>
    <w:rsid w:val="007C56D3"/>
    <w:rsid w:val="007C585E"/>
    <w:rsid w:val="007C5A1E"/>
    <w:rsid w:val="007C5ABE"/>
    <w:rsid w:val="007C5B59"/>
    <w:rsid w:val="007C5CB9"/>
    <w:rsid w:val="007C5E16"/>
    <w:rsid w:val="007C6342"/>
    <w:rsid w:val="007C65B5"/>
    <w:rsid w:val="007C661A"/>
    <w:rsid w:val="007C6883"/>
    <w:rsid w:val="007C6A29"/>
    <w:rsid w:val="007C6BB2"/>
    <w:rsid w:val="007C6BF4"/>
    <w:rsid w:val="007C6CA6"/>
    <w:rsid w:val="007C6DBC"/>
    <w:rsid w:val="007C7042"/>
    <w:rsid w:val="007C73CF"/>
    <w:rsid w:val="007C7879"/>
    <w:rsid w:val="007C78E7"/>
    <w:rsid w:val="007C7AC5"/>
    <w:rsid w:val="007C7B93"/>
    <w:rsid w:val="007C7D12"/>
    <w:rsid w:val="007C7F56"/>
    <w:rsid w:val="007D02CA"/>
    <w:rsid w:val="007D0387"/>
    <w:rsid w:val="007D03B0"/>
    <w:rsid w:val="007D04B1"/>
    <w:rsid w:val="007D07AD"/>
    <w:rsid w:val="007D0975"/>
    <w:rsid w:val="007D0978"/>
    <w:rsid w:val="007D0B20"/>
    <w:rsid w:val="007D0C40"/>
    <w:rsid w:val="007D0DF6"/>
    <w:rsid w:val="007D10DA"/>
    <w:rsid w:val="007D125B"/>
    <w:rsid w:val="007D125E"/>
    <w:rsid w:val="007D13ED"/>
    <w:rsid w:val="007D142E"/>
    <w:rsid w:val="007D158A"/>
    <w:rsid w:val="007D15F0"/>
    <w:rsid w:val="007D180B"/>
    <w:rsid w:val="007D1BE1"/>
    <w:rsid w:val="007D1E85"/>
    <w:rsid w:val="007D2591"/>
    <w:rsid w:val="007D28EC"/>
    <w:rsid w:val="007D2BC9"/>
    <w:rsid w:val="007D2FC8"/>
    <w:rsid w:val="007D3165"/>
    <w:rsid w:val="007D31DC"/>
    <w:rsid w:val="007D3306"/>
    <w:rsid w:val="007D332B"/>
    <w:rsid w:val="007D3602"/>
    <w:rsid w:val="007D3706"/>
    <w:rsid w:val="007D37F8"/>
    <w:rsid w:val="007D383B"/>
    <w:rsid w:val="007D3CA4"/>
    <w:rsid w:val="007D3D6E"/>
    <w:rsid w:val="007D3DFF"/>
    <w:rsid w:val="007D4092"/>
    <w:rsid w:val="007D44AA"/>
    <w:rsid w:val="007D4544"/>
    <w:rsid w:val="007D4609"/>
    <w:rsid w:val="007D4641"/>
    <w:rsid w:val="007D472C"/>
    <w:rsid w:val="007D4AB5"/>
    <w:rsid w:val="007D4B76"/>
    <w:rsid w:val="007D5091"/>
    <w:rsid w:val="007D5354"/>
    <w:rsid w:val="007D5412"/>
    <w:rsid w:val="007D54AE"/>
    <w:rsid w:val="007D57DD"/>
    <w:rsid w:val="007D5E0F"/>
    <w:rsid w:val="007D5E39"/>
    <w:rsid w:val="007D5F4E"/>
    <w:rsid w:val="007D622D"/>
    <w:rsid w:val="007D6297"/>
    <w:rsid w:val="007D63E5"/>
    <w:rsid w:val="007D6542"/>
    <w:rsid w:val="007D6647"/>
    <w:rsid w:val="007D67BE"/>
    <w:rsid w:val="007D6822"/>
    <w:rsid w:val="007D6828"/>
    <w:rsid w:val="007D6C47"/>
    <w:rsid w:val="007D6CB1"/>
    <w:rsid w:val="007D7797"/>
    <w:rsid w:val="007D78B4"/>
    <w:rsid w:val="007D78FE"/>
    <w:rsid w:val="007D7962"/>
    <w:rsid w:val="007D7E0D"/>
    <w:rsid w:val="007D7E47"/>
    <w:rsid w:val="007D7EDD"/>
    <w:rsid w:val="007D7F07"/>
    <w:rsid w:val="007E006F"/>
    <w:rsid w:val="007E06EE"/>
    <w:rsid w:val="007E07B3"/>
    <w:rsid w:val="007E097A"/>
    <w:rsid w:val="007E0CFD"/>
    <w:rsid w:val="007E0E7C"/>
    <w:rsid w:val="007E0F4C"/>
    <w:rsid w:val="007E1161"/>
    <w:rsid w:val="007E1175"/>
    <w:rsid w:val="007E1225"/>
    <w:rsid w:val="007E1244"/>
    <w:rsid w:val="007E146C"/>
    <w:rsid w:val="007E16A4"/>
    <w:rsid w:val="007E1705"/>
    <w:rsid w:val="007E18CA"/>
    <w:rsid w:val="007E1A4D"/>
    <w:rsid w:val="007E1A7B"/>
    <w:rsid w:val="007E1D50"/>
    <w:rsid w:val="007E1E27"/>
    <w:rsid w:val="007E1F7C"/>
    <w:rsid w:val="007E206B"/>
    <w:rsid w:val="007E20C4"/>
    <w:rsid w:val="007E251B"/>
    <w:rsid w:val="007E26FB"/>
    <w:rsid w:val="007E2839"/>
    <w:rsid w:val="007E2C42"/>
    <w:rsid w:val="007E365F"/>
    <w:rsid w:val="007E3989"/>
    <w:rsid w:val="007E3B6B"/>
    <w:rsid w:val="007E3BA6"/>
    <w:rsid w:val="007E3BE1"/>
    <w:rsid w:val="007E3C78"/>
    <w:rsid w:val="007E3D1C"/>
    <w:rsid w:val="007E3DE8"/>
    <w:rsid w:val="007E3E8F"/>
    <w:rsid w:val="007E3F94"/>
    <w:rsid w:val="007E3FCD"/>
    <w:rsid w:val="007E4167"/>
    <w:rsid w:val="007E46B8"/>
    <w:rsid w:val="007E4727"/>
    <w:rsid w:val="007E48CB"/>
    <w:rsid w:val="007E4A66"/>
    <w:rsid w:val="007E50AA"/>
    <w:rsid w:val="007E53EF"/>
    <w:rsid w:val="007E5A3E"/>
    <w:rsid w:val="007E5CCE"/>
    <w:rsid w:val="007E5CF6"/>
    <w:rsid w:val="007E6389"/>
    <w:rsid w:val="007E63C7"/>
    <w:rsid w:val="007E653C"/>
    <w:rsid w:val="007E6CDF"/>
    <w:rsid w:val="007E6D31"/>
    <w:rsid w:val="007E6E50"/>
    <w:rsid w:val="007E6F17"/>
    <w:rsid w:val="007E6FE7"/>
    <w:rsid w:val="007E7245"/>
    <w:rsid w:val="007E7273"/>
    <w:rsid w:val="007E73AD"/>
    <w:rsid w:val="007E78C2"/>
    <w:rsid w:val="007F01C8"/>
    <w:rsid w:val="007F0225"/>
    <w:rsid w:val="007F022C"/>
    <w:rsid w:val="007F03A0"/>
    <w:rsid w:val="007F0585"/>
    <w:rsid w:val="007F05E3"/>
    <w:rsid w:val="007F086E"/>
    <w:rsid w:val="007F0910"/>
    <w:rsid w:val="007F0B01"/>
    <w:rsid w:val="007F0B85"/>
    <w:rsid w:val="007F0FEB"/>
    <w:rsid w:val="007F1146"/>
    <w:rsid w:val="007F137D"/>
    <w:rsid w:val="007F1466"/>
    <w:rsid w:val="007F15EE"/>
    <w:rsid w:val="007F1AD0"/>
    <w:rsid w:val="007F1C34"/>
    <w:rsid w:val="007F1D14"/>
    <w:rsid w:val="007F1E82"/>
    <w:rsid w:val="007F1F98"/>
    <w:rsid w:val="007F2093"/>
    <w:rsid w:val="007F2330"/>
    <w:rsid w:val="007F24BE"/>
    <w:rsid w:val="007F25A5"/>
    <w:rsid w:val="007F278C"/>
    <w:rsid w:val="007F2B07"/>
    <w:rsid w:val="007F2E1E"/>
    <w:rsid w:val="007F2E73"/>
    <w:rsid w:val="007F327E"/>
    <w:rsid w:val="007F3776"/>
    <w:rsid w:val="007F3837"/>
    <w:rsid w:val="007F3DA3"/>
    <w:rsid w:val="007F3E3A"/>
    <w:rsid w:val="007F415A"/>
    <w:rsid w:val="007F415E"/>
    <w:rsid w:val="007F4657"/>
    <w:rsid w:val="007F4D0A"/>
    <w:rsid w:val="007F4E98"/>
    <w:rsid w:val="007F4F88"/>
    <w:rsid w:val="007F5357"/>
    <w:rsid w:val="007F56D2"/>
    <w:rsid w:val="007F57F8"/>
    <w:rsid w:val="007F5A2C"/>
    <w:rsid w:val="007F5BBB"/>
    <w:rsid w:val="007F5C46"/>
    <w:rsid w:val="007F5D89"/>
    <w:rsid w:val="007F603D"/>
    <w:rsid w:val="007F60B7"/>
    <w:rsid w:val="007F60C8"/>
    <w:rsid w:val="007F64D5"/>
    <w:rsid w:val="007F64EC"/>
    <w:rsid w:val="007F6C10"/>
    <w:rsid w:val="007F6CFB"/>
    <w:rsid w:val="007F6DEF"/>
    <w:rsid w:val="007F6E50"/>
    <w:rsid w:val="007F7547"/>
    <w:rsid w:val="007F772C"/>
    <w:rsid w:val="007F796F"/>
    <w:rsid w:val="007F7C1E"/>
    <w:rsid w:val="007F7EC6"/>
    <w:rsid w:val="007F7F65"/>
    <w:rsid w:val="00800368"/>
    <w:rsid w:val="00800CF1"/>
    <w:rsid w:val="00800D5F"/>
    <w:rsid w:val="00800DD7"/>
    <w:rsid w:val="008011E3"/>
    <w:rsid w:val="008012A4"/>
    <w:rsid w:val="00801531"/>
    <w:rsid w:val="0080167E"/>
    <w:rsid w:val="00801696"/>
    <w:rsid w:val="0080196F"/>
    <w:rsid w:val="00801C7A"/>
    <w:rsid w:val="00801E26"/>
    <w:rsid w:val="00801EF7"/>
    <w:rsid w:val="00802941"/>
    <w:rsid w:val="00802B5C"/>
    <w:rsid w:val="00802D20"/>
    <w:rsid w:val="00802D2B"/>
    <w:rsid w:val="00802FA2"/>
    <w:rsid w:val="008030F6"/>
    <w:rsid w:val="00803553"/>
    <w:rsid w:val="00803682"/>
    <w:rsid w:val="008039E2"/>
    <w:rsid w:val="00803A85"/>
    <w:rsid w:val="00803D6B"/>
    <w:rsid w:val="00803D6D"/>
    <w:rsid w:val="00803E10"/>
    <w:rsid w:val="0080403D"/>
    <w:rsid w:val="008040D9"/>
    <w:rsid w:val="008042EA"/>
    <w:rsid w:val="00804323"/>
    <w:rsid w:val="008044B4"/>
    <w:rsid w:val="00804538"/>
    <w:rsid w:val="00804546"/>
    <w:rsid w:val="0080468A"/>
    <w:rsid w:val="008046C2"/>
    <w:rsid w:val="00804A72"/>
    <w:rsid w:val="00804C1F"/>
    <w:rsid w:val="00805001"/>
    <w:rsid w:val="00805466"/>
    <w:rsid w:val="008054BE"/>
    <w:rsid w:val="00805568"/>
    <w:rsid w:val="00805C39"/>
    <w:rsid w:val="00805CB3"/>
    <w:rsid w:val="00805E23"/>
    <w:rsid w:val="00805E74"/>
    <w:rsid w:val="00805F36"/>
    <w:rsid w:val="00805FD8"/>
    <w:rsid w:val="008061D9"/>
    <w:rsid w:val="0080642C"/>
    <w:rsid w:val="008065FF"/>
    <w:rsid w:val="00806967"/>
    <w:rsid w:val="00806C72"/>
    <w:rsid w:val="00806DB5"/>
    <w:rsid w:val="00806E0A"/>
    <w:rsid w:val="008071DA"/>
    <w:rsid w:val="008074AA"/>
    <w:rsid w:val="00807747"/>
    <w:rsid w:val="0081056A"/>
    <w:rsid w:val="008109EB"/>
    <w:rsid w:val="00810CA5"/>
    <w:rsid w:val="00810EFE"/>
    <w:rsid w:val="008110FD"/>
    <w:rsid w:val="00811381"/>
    <w:rsid w:val="00811544"/>
    <w:rsid w:val="00811A01"/>
    <w:rsid w:val="00811B34"/>
    <w:rsid w:val="00812521"/>
    <w:rsid w:val="0081276B"/>
    <w:rsid w:val="008128B0"/>
    <w:rsid w:val="00812A31"/>
    <w:rsid w:val="00812C29"/>
    <w:rsid w:val="00812CFE"/>
    <w:rsid w:val="008135BE"/>
    <w:rsid w:val="008135D7"/>
    <w:rsid w:val="0081364D"/>
    <w:rsid w:val="00813903"/>
    <w:rsid w:val="00813AF3"/>
    <w:rsid w:val="00813C91"/>
    <w:rsid w:val="00813DF8"/>
    <w:rsid w:val="00814320"/>
    <w:rsid w:val="00814452"/>
    <w:rsid w:val="00814523"/>
    <w:rsid w:val="0081503F"/>
    <w:rsid w:val="0081570D"/>
    <w:rsid w:val="0081582D"/>
    <w:rsid w:val="00815877"/>
    <w:rsid w:val="008158EA"/>
    <w:rsid w:val="00815F77"/>
    <w:rsid w:val="00816054"/>
    <w:rsid w:val="00816060"/>
    <w:rsid w:val="00816415"/>
    <w:rsid w:val="008165BE"/>
    <w:rsid w:val="00816A47"/>
    <w:rsid w:val="00816AC3"/>
    <w:rsid w:val="008171F4"/>
    <w:rsid w:val="00817277"/>
    <w:rsid w:val="008173FB"/>
    <w:rsid w:val="0081748F"/>
    <w:rsid w:val="00817542"/>
    <w:rsid w:val="008176E0"/>
    <w:rsid w:val="00817923"/>
    <w:rsid w:val="00817B68"/>
    <w:rsid w:val="00817D03"/>
    <w:rsid w:val="00817DDE"/>
    <w:rsid w:val="00817E97"/>
    <w:rsid w:val="00820270"/>
    <w:rsid w:val="008202FC"/>
    <w:rsid w:val="008204A9"/>
    <w:rsid w:val="0082075B"/>
    <w:rsid w:val="008207B1"/>
    <w:rsid w:val="00820E1C"/>
    <w:rsid w:val="00821DAA"/>
    <w:rsid w:val="00821FE2"/>
    <w:rsid w:val="008222A0"/>
    <w:rsid w:val="008222A5"/>
    <w:rsid w:val="00822449"/>
    <w:rsid w:val="008226C9"/>
    <w:rsid w:val="00822A98"/>
    <w:rsid w:val="00822D9E"/>
    <w:rsid w:val="00823525"/>
    <w:rsid w:val="008235BA"/>
    <w:rsid w:val="00823B5E"/>
    <w:rsid w:val="00823B6F"/>
    <w:rsid w:val="00823BEC"/>
    <w:rsid w:val="00823F0D"/>
    <w:rsid w:val="00823F5C"/>
    <w:rsid w:val="00823FF5"/>
    <w:rsid w:val="0082412D"/>
    <w:rsid w:val="0082430E"/>
    <w:rsid w:val="00824570"/>
    <w:rsid w:val="0082465D"/>
    <w:rsid w:val="00824D01"/>
    <w:rsid w:val="00824FDB"/>
    <w:rsid w:val="008250A9"/>
    <w:rsid w:val="00825369"/>
    <w:rsid w:val="008253E8"/>
    <w:rsid w:val="00825432"/>
    <w:rsid w:val="00825476"/>
    <w:rsid w:val="008257EC"/>
    <w:rsid w:val="008257FA"/>
    <w:rsid w:val="00825872"/>
    <w:rsid w:val="00825F77"/>
    <w:rsid w:val="008261BC"/>
    <w:rsid w:val="008262DF"/>
    <w:rsid w:val="008262E9"/>
    <w:rsid w:val="0082636B"/>
    <w:rsid w:val="008263DB"/>
    <w:rsid w:val="00826434"/>
    <w:rsid w:val="00826769"/>
    <w:rsid w:val="00826B6A"/>
    <w:rsid w:val="00826E7D"/>
    <w:rsid w:val="00826FC2"/>
    <w:rsid w:val="0082730F"/>
    <w:rsid w:val="0082767F"/>
    <w:rsid w:val="00827C17"/>
    <w:rsid w:val="00827E84"/>
    <w:rsid w:val="00827F3C"/>
    <w:rsid w:val="00830419"/>
    <w:rsid w:val="00830AED"/>
    <w:rsid w:val="00830D56"/>
    <w:rsid w:val="00830FE8"/>
    <w:rsid w:val="00831088"/>
    <w:rsid w:val="0083154D"/>
    <w:rsid w:val="008316C8"/>
    <w:rsid w:val="008317A4"/>
    <w:rsid w:val="008318A3"/>
    <w:rsid w:val="0083229F"/>
    <w:rsid w:val="00832439"/>
    <w:rsid w:val="00832480"/>
    <w:rsid w:val="00832A99"/>
    <w:rsid w:val="00832B03"/>
    <w:rsid w:val="00833472"/>
    <w:rsid w:val="00833603"/>
    <w:rsid w:val="008338B7"/>
    <w:rsid w:val="00833A19"/>
    <w:rsid w:val="00833B0D"/>
    <w:rsid w:val="0083426D"/>
    <w:rsid w:val="0083439C"/>
    <w:rsid w:val="00834468"/>
    <w:rsid w:val="008346CC"/>
    <w:rsid w:val="00834746"/>
    <w:rsid w:val="00834814"/>
    <w:rsid w:val="00834B24"/>
    <w:rsid w:val="00834D30"/>
    <w:rsid w:val="00834E86"/>
    <w:rsid w:val="00834FDB"/>
    <w:rsid w:val="00835009"/>
    <w:rsid w:val="0083556A"/>
    <w:rsid w:val="00835AAB"/>
    <w:rsid w:val="00835B42"/>
    <w:rsid w:val="008360FC"/>
    <w:rsid w:val="008361FF"/>
    <w:rsid w:val="00836242"/>
    <w:rsid w:val="008364CF"/>
    <w:rsid w:val="00836763"/>
    <w:rsid w:val="008367A2"/>
    <w:rsid w:val="008367D9"/>
    <w:rsid w:val="0083685A"/>
    <w:rsid w:val="00836C09"/>
    <w:rsid w:val="008370B1"/>
    <w:rsid w:val="008374A5"/>
    <w:rsid w:val="00837583"/>
    <w:rsid w:val="008377B5"/>
    <w:rsid w:val="00837895"/>
    <w:rsid w:val="00837945"/>
    <w:rsid w:val="00837B0B"/>
    <w:rsid w:val="00837B65"/>
    <w:rsid w:val="00837C06"/>
    <w:rsid w:val="00837E03"/>
    <w:rsid w:val="00837F3F"/>
    <w:rsid w:val="00840101"/>
    <w:rsid w:val="00840181"/>
    <w:rsid w:val="00840226"/>
    <w:rsid w:val="008403F8"/>
    <w:rsid w:val="00840DD1"/>
    <w:rsid w:val="00840E40"/>
    <w:rsid w:val="008415C8"/>
    <w:rsid w:val="00841D39"/>
    <w:rsid w:val="00841E81"/>
    <w:rsid w:val="00841F14"/>
    <w:rsid w:val="0084220D"/>
    <w:rsid w:val="008422AA"/>
    <w:rsid w:val="0084231D"/>
    <w:rsid w:val="00842591"/>
    <w:rsid w:val="00842682"/>
    <w:rsid w:val="008426F7"/>
    <w:rsid w:val="00842A55"/>
    <w:rsid w:val="00842A5B"/>
    <w:rsid w:val="00842A98"/>
    <w:rsid w:val="00842C54"/>
    <w:rsid w:val="00843061"/>
    <w:rsid w:val="00843809"/>
    <w:rsid w:val="00843935"/>
    <w:rsid w:val="008439AD"/>
    <w:rsid w:val="00843AD9"/>
    <w:rsid w:val="00843B47"/>
    <w:rsid w:val="00844323"/>
    <w:rsid w:val="00844623"/>
    <w:rsid w:val="008446D8"/>
    <w:rsid w:val="00844726"/>
    <w:rsid w:val="0084486B"/>
    <w:rsid w:val="00844943"/>
    <w:rsid w:val="00844CD4"/>
    <w:rsid w:val="00844FB4"/>
    <w:rsid w:val="00845585"/>
    <w:rsid w:val="008457A7"/>
    <w:rsid w:val="00845825"/>
    <w:rsid w:val="00845868"/>
    <w:rsid w:val="00845911"/>
    <w:rsid w:val="00845944"/>
    <w:rsid w:val="00845A0B"/>
    <w:rsid w:val="00845B82"/>
    <w:rsid w:val="00845C1E"/>
    <w:rsid w:val="00845C30"/>
    <w:rsid w:val="00845E1C"/>
    <w:rsid w:val="00846159"/>
    <w:rsid w:val="00846414"/>
    <w:rsid w:val="00846737"/>
    <w:rsid w:val="00846818"/>
    <w:rsid w:val="00846864"/>
    <w:rsid w:val="00846ADD"/>
    <w:rsid w:val="00846C3D"/>
    <w:rsid w:val="00847634"/>
    <w:rsid w:val="008478A3"/>
    <w:rsid w:val="0084796D"/>
    <w:rsid w:val="00847A08"/>
    <w:rsid w:val="00847E6C"/>
    <w:rsid w:val="00847F20"/>
    <w:rsid w:val="008502FC"/>
    <w:rsid w:val="00850613"/>
    <w:rsid w:val="00850819"/>
    <w:rsid w:val="0085147F"/>
    <w:rsid w:val="00851506"/>
    <w:rsid w:val="00851A83"/>
    <w:rsid w:val="00851F6B"/>
    <w:rsid w:val="008522AD"/>
    <w:rsid w:val="00852435"/>
    <w:rsid w:val="00852C64"/>
    <w:rsid w:val="00852E55"/>
    <w:rsid w:val="00852ECD"/>
    <w:rsid w:val="00853507"/>
    <w:rsid w:val="0085373A"/>
    <w:rsid w:val="008538A3"/>
    <w:rsid w:val="0085396B"/>
    <w:rsid w:val="00853ADD"/>
    <w:rsid w:val="00853D9F"/>
    <w:rsid w:val="00854140"/>
    <w:rsid w:val="008541A9"/>
    <w:rsid w:val="00854383"/>
    <w:rsid w:val="00854387"/>
    <w:rsid w:val="00854429"/>
    <w:rsid w:val="00854796"/>
    <w:rsid w:val="0085499A"/>
    <w:rsid w:val="00854C1B"/>
    <w:rsid w:val="00854DF8"/>
    <w:rsid w:val="00855119"/>
    <w:rsid w:val="00855616"/>
    <w:rsid w:val="008557CC"/>
    <w:rsid w:val="00855949"/>
    <w:rsid w:val="008559DA"/>
    <w:rsid w:val="00855DD9"/>
    <w:rsid w:val="00856000"/>
    <w:rsid w:val="00856358"/>
    <w:rsid w:val="00856537"/>
    <w:rsid w:val="008565AA"/>
    <w:rsid w:val="00856785"/>
    <w:rsid w:val="008567ED"/>
    <w:rsid w:val="00856B00"/>
    <w:rsid w:val="00856B6B"/>
    <w:rsid w:val="00856C10"/>
    <w:rsid w:val="00857134"/>
    <w:rsid w:val="008571D4"/>
    <w:rsid w:val="00857A57"/>
    <w:rsid w:val="00857B28"/>
    <w:rsid w:val="00857B36"/>
    <w:rsid w:val="00857C04"/>
    <w:rsid w:val="00860888"/>
    <w:rsid w:val="00860977"/>
    <w:rsid w:val="0086097A"/>
    <w:rsid w:val="00860A9D"/>
    <w:rsid w:val="00860E7C"/>
    <w:rsid w:val="00860EBF"/>
    <w:rsid w:val="00860F31"/>
    <w:rsid w:val="00860FAF"/>
    <w:rsid w:val="00861029"/>
    <w:rsid w:val="008610F1"/>
    <w:rsid w:val="00861279"/>
    <w:rsid w:val="00861345"/>
    <w:rsid w:val="008618A4"/>
    <w:rsid w:val="00861A0B"/>
    <w:rsid w:val="00861D52"/>
    <w:rsid w:val="0086212F"/>
    <w:rsid w:val="00862146"/>
    <w:rsid w:val="0086242C"/>
    <w:rsid w:val="00862498"/>
    <w:rsid w:val="00862798"/>
    <w:rsid w:val="008627A7"/>
    <w:rsid w:val="00862A00"/>
    <w:rsid w:val="00862B95"/>
    <w:rsid w:val="00862C13"/>
    <w:rsid w:val="0086313D"/>
    <w:rsid w:val="0086324B"/>
    <w:rsid w:val="008636DD"/>
    <w:rsid w:val="0086377E"/>
    <w:rsid w:val="008638FB"/>
    <w:rsid w:val="008638FC"/>
    <w:rsid w:val="00863C80"/>
    <w:rsid w:val="00863CC8"/>
    <w:rsid w:val="008642C3"/>
    <w:rsid w:val="008643A7"/>
    <w:rsid w:val="008646BA"/>
    <w:rsid w:val="00864801"/>
    <w:rsid w:val="00864CE2"/>
    <w:rsid w:val="00865169"/>
    <w:rsid w:val="00865448"/>
    <w:rsid w:val="008655A7"/>
    <w:rsid w:val="008655FA"/>
    <w:rsid w:val="008660F0"/>
    <w:rsid w:val="00866215"/>
    <w:rsid w:val="008662CA"/>
    <w:rsid w:val="008665B0"/>
    <w:rsid w:val="008667C5"/>
    <w:rsid w:val="008667C9"/>
    <w:rsid w:val="00866CDE"/>
    <w:rsid w:val="00866FF0"/>
    <w:rsid w:val="00867004"/>
    <w:rsid w:val="008675BA"/>
    <w:rsid w:val="0086781B"/>
    <w:rsid w:val="00867A2A"/>
    <w:rsid w:val="00867D2E"/>
    <w:rsid w:val="00867D5A"/>
    <w:rsid w:val="00867D9A"/>
    <w:rsid w:val="008703C8"/>
    <w:rsid w:val="00870448"/>
    <w:rsid w:val="00870892"/>
    <w:rsid w:val="0087099A"/>
    <w:rsid w:val="00870AB5"/>
    <w:rsid w:val="00870BC8"/>
    <w:rsid w:val="00870D7E"/>
    <w:rsid w:val="0087136A"/>
    <w:rsid w:val="008718D3"/>
    <w:rsid w:val="0087196A"/>
    <w:rsid w:val="00871975"/>
    <w:rsid w:val="00871F72"/>
    <w:rsid w:val="008720F8"/>
    <w:rsid w:val="0087232C"/>
    <w:rsid w:val="00872584"/>
    <w:rsid w:val="0087278E"/>
    <w:rsid w:val="00872855"/>
    <w:rsid w:val="00872A29"/>
    <w:rsid w:val="00872B72"/>
    <w:rsid w:val="00872EB8"/>
    <w:rsid w:val="00872EC5"/>
    <w:rsid w:val="00872F30"/>
    <w:rsid w:val="0087302F"/>
    <w:rsid w:val="00873120"/>
    <w:rsid w:val="0087319B"/>
    <w:rsid w:val="008732F7"/>
    <w:rsid w:val="00873AE2"/>
    <w:rsid w:val="00873B12"/>
    <w:rsid w:val="00873B3C"/>
    <w:rsid w:val="00873D56"/>
    <w:rsid w:val="00874134"/>
    <w:rsid w:val="00874141"/>
    <w:rsid w:val="0087419A"/>
    <w:rsid w:val="008743C3"/>
    <w:rsid w:val="00874402"/>
    <w:rsid w:val="0087456E"/>
    <w:rsid w:val="0087466F"/>
    <w:rsid w:val="00874773"/>
    <w:rsid w:val="00874A63"/>
    <w:rsid w:val="00875024"/>
    <w:rsid w:val="0087509B"/>
    <w:rsid w:val="00875150"/>
    <w:rsid w:val="0087552B"/>
    <w:rsid w:val="008755AA"/>
    <w:rsid w:val="00875790"/>
    <w:rsid w:val="00875884"/>
    <w:rsid w:val="00875AFB"/>
    <w:rsid w:val="00875CED"/>
    <w:rsid w:val="00875E61"/>
    <w:rsid w:val="00875FA0"/>
    <w:rsid w:val="0087625B"/>
    <w:rsid w:val="008762C3"/>
    <w:rsid w:val="00876493"/>
    <w:rsid w:val="00876597"/>
    <w:rsid w:val="00876599"/>
    <w:rsid w:val="008766B2"/>
    <w:rsid w:val="00876EC3"/>
    <w:rsid w:val="00876ED8"/>
    <w:rsid w:val="00877191"/>
    <w:rsid w:val="008772D4"/>
    <w:rsid w:val="008773CD"/>
    <w:rsid w:val="008775D8"/>
    <w:rsid w:val="0087792E"/>
    <w:rsid w:val="00877BC0"/>
    <w:rsid w:val="00877D92"/>
    <w:rsid w:val="00877FA2"/>
    <w:rsid w:val="008801CF"/>
    <w:rsid w:val="00880F40"/>
    <w:rsid w:val="0088101B"/>
    <w:rsid w:val="00881139"/>
    <w:rsid w:val="008811B9"/>
    <w:rsid w:val="00881238"/>
    <w:rsid w:val="00881269"/>
    <w:rsid w:val="008816D0"/>
    <w:rsid w:val="0088190A"/>
    <w:rsid w:val="00881B0F"/>
    <w:rsid w:val="00881DAA"/>
    <w:rsid w:val="00881F48"/>
    <w:rsid w:val="008829FD"/>
    <w:rsid w:val="00882FAF"/>
    <w:rsid w:val="008830C5"/>
    <w:rsid w:val="0088315E"/>
    <w:rsid w:val="00883B29"/>
    <w:rsid w:val="00883BC2"/>
    <w:rsid w:val="00883CDB"/>
    <w:rsid w:val="00883D0F"/>
    <w:rsid w:val="00884173"/>
    <w:rsid w:val="0088424E"/>
    <w:rsid w:val="0088425A"/>
    <w:rsid w:val="008843E9"/>
    <w:rsid w:val="008844F5"/>
    <w:rsid w:val="00884AB4"/>
    <w:rsid w:val="00884E4E"/>
    <w:rsid w:val="00884FBB"/>
    <w:rsid w:val="008850E7"/>
    <w:rsid w:val="008851DC"/>
    <w:rsid w:val="00885233"/>
    <w:rsid w:val="00885594"/>
    <w:rsid w:val="008857BF"/>
    <w:rsid w:val="00885B0C"/>
    <w:rsid w:val="00885C57"/>
    <w:rsid w:val="00885ED1"/>
    <w:rsid w:val="00885EDA"/>
    <w:rsid w:val="00886046"/>
    <w:rsid w:val="0088615C"/>
    <w:rsid w:val="00886181"/>
    <w:rsid w:val="00886714"/>
    <w:rsid w:val="00886A6A"/>
    <w:rsid w:val="00886B08"/>
    <w:rsid w:val="00886E1F"/>
    <w:rsid w:val="00887025"/>
    <w:rsid w:val="008872FE"/>
    <w:rsid w:val="008873A6"/>
    <w:rsid w:val="0088750E"/>
    <w:rsid w:val="00887725"/>
    <w:rsid w:val="00887A73"/>
    <w:rsid w:val="00887B94"/>
    <w:rsid w:val="00887BD6"/>
    <w:rsid w:val="00887E9C"/>
    <w:rsid w:val="00887F91"/>
    <w:rsid w:val="00887FDE"/>
    <w:rsid w:val="008901E2"/>
    <w:rsid w:val="008903E3"/>
    <w:rsid w:val="008908C2"/>
    <w:rsid w:val="00890CA5"/>
    <w:rsid w:val="00890FEE"/>
    <w:rsid w:val="0089104C"/>
    <w:rsid w:val="008915A0"/>
    <w:rsid w:val="008916EF"/>
    <w:rsid w:val="00891C1E"/>
    <w:rsid w:val="00891CCB"/>
    <w:rsid w:val="00891E3D"/>
    <w:rsid w:val="00891F24"/>
    <w:rsid w:val="00891F78"/>
    <w:rsid w:val="008921C3"/>
    <w:rsid w:val="00892548"/>
    <w:rsid w:val="008928A2"/>
    <w:rsid w:val="00892CBF"/>
    <w:rsid w:val="0089300D"/>
    <w:rsid w:val="00893135"/>
    <w:rsid w:val="008932EF"/>
    <w:rsid w:val="00893367"/>
    <w:rsid w:val="0089338A"/>
    <w:rsid w:val="00893B3A"/>
    <w:rsid w:val="00894152"/>
    <w:rsid w:val="008942A3"/>
    <w:rsid w:val="00894317"/>
    <w:rsid w:val="0089432C"/>
    <w:rsid w:val="008944E9"/>
    <w:rsid w:val="0089450F"/>
    <w:rsid w:val="008948DE"/>
    <w:rsid w:val="00894BD1"/>
    <w:rsid w:val="00894BD5"/>
    <w:rsid w:val="00894EC6"/>
    <w:rsid w:val="0089501B"/>
    <w:rsid w:val="008952B8"/>
    <w:rsid w:val="00895652"/>
    <w:rsid w:val="0089573A"/>
    <w:rsid w:val="00895760"/>
    <w:rsid w:val="008959BB"/>
    <w:rsid w:val="00895AFE"/>
    <w:rsid w:val="00896814"/>
    <w:rsid w:val="00896839"/>
    <w:rsid w:val="0089685D"/>
    <w:rsid w:val="00896877"/>
    <w:rsid w:val="00897256"/>
    <w:rsid w:val="008972D5"/>
    <w:rsid w:val="008972F5"/>
    <w:rsid w:val="00897655"/>
    <w:rsid w:val="00897804"/>
    <w:rsid w:val="0089791B"/>
    <w:rsid w:val="00897961"/>
    <w:rsid w:val="00897C99"/>
    <w:rsid w:val="00897D61"/>
    <w:rsid w:val="008A007E"/>
    <w:rsid w:val="008A02E6"/>
    <w:rsid w:val="008A0418"/>
    <w:rsid w:val="008A043C"/>
    <w:rsid w:val="008A046D"/>
    <w:rsid w:val="008A0582"/>
    <w:rsid w:val="008A0592"/>
    <w:rsid w:val="008A05BD"/>
    <w:rsid w:val="008A07FB"/>
    <w:rsid w:val="008A0EB0"/>
    <w:rsid w:val="008A135C"/>
    <w:rsid w:val="008A140E"/>
    <w:rsid w:val="008A14F2"/>
    <w:rsid w:val="008A1625"/>
    <w:rsid w:val="008A18D0"/>
    <w:rsid w:val="008A18E7"/>
    <w:rsid w:val="008A1CC8"/>
    <w:rsid w:val="008A1EF5"/>
    <w:rsid w:val="008A1FD6"/>
    <w:rsid w:val="008A2036"/>
    <w:rsid w:val="008A2081"/>
    <w:rsid w:val="008A217A"/>
    <w:rsid w:val="008A24BA"/>
    <w:rsid w:val="008A24DD"/>
    <w:rsid w:val="008A284E"/>
    <w:rsid w:val="008A2A41"/>
    <w:rsid w:val="008A2AE9"/>
    <w:rsid w:val="008A2D34"/>
    <w:rsid w:val="008A2F06"/>
    <w:rsid w:val="008A30FB"/>
    <w:rsid w:val="008A33A2"/>
    <w:rsid w:val="008A356D"/>
    <w:rsid w:val="008A356F"/>
    <w:rsid w:val="008A3609"/>
    <w:rsid w:val="008A367A"/>
    <w:rsid w:val="008A3BD3"/>
    <w:rsid w:val="008A3EEA"/>
    <w:rsid w:val="008A40B4"/>
    <w:rsid w:val="008A41CA"/>
    <w:rsid w:val="008A437D"/>
    <w:rsid w:val="008A4435"/>
    <w:rsid w:val="008A448B"/>
    <w:rsid w:val="008A476F"/>
    <w:rsid w:val="008A4A13"/>
    <w:rsid w:val="008A4B4A"/>
    <w:rsid w:val="008A4D09"/>
    <w:rsid w:val="008A4D57"/>
    <w:rsid w:val="008A4F7A"/>
    <w:rsid w:val="008A50F7"/>
    <w:rsid w:val="008A5152"/>
    <w:rsid w:val="008A528E"/>
    <w:rsid w:val="008A533D"/>
    <w:rsid w:val="008A54DF"/>
    <w:rsid w:val="008A5591"/>
    <w:rsid w:val="008A55AE"/>
    <w:rsid w:val="008A5628"/>
    <w:rsid w:val="008A570E"/>
    <w:rsid w:val="008A5933"/>
    <w:rsid w:val="008A598B"/>
    <w:rsid w:val="008A5A69"/>
    <w:rsid w:val="008A5B4A"/>
    <w:rsid w:val="008A5D38"/>
    <w:rsid w:val="008A5DFC"/>
    <w:rsid w:val="008A629C"/>
    <w:rsid w:val="008A6460"/>
    <w:rsid w:val="008A6656"/>
    <w:rsid w:val="008A6812"/>
    <w:rsid w:val="008A6AE2"/>
    <w:rsid w:val="008A6BCE"/>
    <w:rsid w:val="008A6C36"/>
    <w:rsid w:val="008A6F36"/>
    <w:rsid w:val="008A6FFB"/>
    <w:rsid w:val="008A715F"/>
    <w:rsid w:val="008A74BB"/>
    <w:rsid w:val="008A7745"/>
    <w:rsid w:val="008A7887"/>
    <w:rsid w:val="008A7A76"/>
    <w:rsid w:val="008A7B55"/>
    <w:rsid w:val="008A7C4B"/>
    <w:rsid w:val="008A7EAF"/>
    <w:rsid w:val="008B01BA"/>
    <w:rsid w:val="008B0386"/>
    <w:rsid w:val="008B0658"/>
    <w:rsid w:val="008B06E3"/>
    <w:rsid w:val="008B0714"/>
    <w:rsid w:val="008B0AAF"/>
    <w:rsid w:val="008B0B87"/>
    <w:rsid w:val="008B0C65"/>
    <w:rsid w:val="008B0D3D"/>
    <w:rsid w:val="008B10B0"/>
    <w:rsid w:val="008B11E9"/>
    <w:rsid w:val="008B13CF"/>
    <w:rsid w:val="008B1626"/>
    <w:rsid w:val="008B16DF"/>
    <w:rsid w:val="008B19F7"/>
    <w:rsid w:val="008B1B98"/>
    <w:rsid w:val="008B2413"/>
    <w:rsid w:val="008B2776"/>
    <w:rsid w:val="008B2BEF"/>
    <w:rsid w:val="008B2C87"/>
    <w:rsid w:val="008B2F67"/>
    <w:rsid w:val="008B2FA3"/>
    <w:rsid w:val="008B30BB"/>
    <w:rsid w:val="008B3D4F"/>
    <w:rsid w:val="008B3DB9"/>
    <w:rsid w:val="008B3E8F"/>
    <w:rsid w:val="008B3F07"/>
    <w:rsid w:val="008B3F45"/>
    <w:rsid w:val="008B414B"/>
    <w:rsid w:val="008B4B04"/>
    <w:rsid w:val="008B4B05"/>
    <w:rsid w:val="008B4D5D"/>
    <w:rsid w:val="008B5406"/>
    <w:rsid w:val="008B5529"/>
    <w:rsid w:val="008B5845"/>
    <w:rsid w:val="008B5BC8"/>
    <w:rsid w:val="008B5C89"/>
    <w:rsid w:val="008B6341"/>
    <w:rsid w:val="008B6517"/>
    <w:rsid w:val="008B663A"/>
    <w:rsid w:val="008B6905"/>
    <w:rsid w:val="008B6B6C"/>
    <w:rsid w:val="008B6C9D"/>
    <w:rsid w:val="008B6E6C"/>
    <w:rsid w:val="008B75E1"/>
    <w:rsid w:val="008B762F"/>
    <w:rsid w:val="008B7B47"/>
    <w:rsid w:val="008B7B52"/>
    <w:rsid w:val="008B7EED"/>
    <w:rsid w:val="008C028B"/>
    <w:rsid w:val="008C05D1"/>
    <w:rsid w:val="008C0C30"/>
    <w:rsid w:val="008C0C5D"/>
    <w:rsid w:val="008C0DE3"/>
    <w:rsid w:val="008C0E84"/>
    <w:rsid w:val="008C10B3"/>
    <w:rsid w:val="008C1532"/>
    <w:rsid w:val="008C174E"/>
    <w:rsid w:val="008C1BE3"/>
    <w:rsid w:val="008C1CE4"/>
    <w:rsid w:val="008C1F8C"/>
    <w:rsid w:val="008C2013"/>
    <w:rsid w:val="008C20FA"/>
    <w:rsid w:val="008C2115"/>
    <w:rsid w:val="008C2829"/>
    <w:rsid w:val="008C2C76"/>
    <w:rsid w:val="008C2DB5"/>
    <w:rsid w:val="008C2FB1"/>
    <w:rsid w:val="008C3588"/>
    <w:rsid w:val="008C3699"/>
    <w:rsid w:val="008C380F"/>
    <w:rsid w:val="008C3B5D"/>
    <w:rsid w:val="008C3E98"/>
    <w:rsid w:val="008C40E3"/>
    <w:rsid w:val="008C4568"/>
    <w:rsid w:val="008C46C8"/>
    <w:rsid w:val="008C4AE4"/>
    <w:rsid w:val="008C50D9"/>
    <w:rsid w:val="008C50EC"/>
    <w:rsid w:val="008C5235"/>
    <w:rsid w:val="008C5645"/>
    <w:rsid w:val="008C583D"/>
    <w:rsid w:val="008C59DB"/>
    <w:rsid w:val="008C61D9"/>
    <w:rsid w:val="008C61E6"/>
    <w:rsid w:val="008C63FE"/>
    <w:rsid w:val="008C6584"/>
    <w:rsid w:val="008C659C"/>
    <w:rsid w:val="008C6696"/>
    <w:rsid w:val="008C6C1C"/>
    <w:rsid w:val="008C6DB0"/>
    <w:rsid w:val="008C6F03"/>
    <w:rsid w:val="008C6FBD"/>
    <w:rsid w:val="008C6FEA"/>
    <w:rsid w:val="008C7331"/>
    <w:rsid w:val="008C73EE"/>
    <w:rsid w:val="008C75E1"/>
    <w:rsid w:val="008C7C13"/>
    <w:rsid w:val="008C7C2B"/>
    <w:rsid w:val="008D0097"/>
    <w:rsid w:val="008D03D5"/>
    <w:rsid w:val="008D05EF"/>
    <w:rsid w:val="008D0715"/>
    <w:rsid w:val="008D08B6"/>
    <w:rsid w:val="008D0948"/>
    <w:rsid w:val="008D096C"/>
    <w:rsid w:val="008D0A2A"/>
    <w:rsid w:val="008D0D1E"/>
    <w:rsid w:val="008D0DF5"/>
    <w:rsid w:val="008D0EBE"/>
    <w:rsid w:val="008D0EED"/>
    <w:rsid w:val="008D0F88"/>
    <w:rsid w:val="008D1209"/>
    <w:rsid w:val="008D12CD"/>
    <w:rsid w:val="008D15E7"/>
    <w:rsid w:val="008D180E"/>
    <w:rsid w:val="008D1F61"/>
    <w:rsid w:val="008D2048"/>
    <w:rsid w:val="008D2206"/>
    <w:rsid w:val="008D229D"/>
    <w:rsid w:val="008D294E"/>
    <w:rsid w:val="008D2A5F"/>
    <w:rsid w:val="008D2AB8"/>
    <w:rsid w:val="008D2ACD"/>
    <w:rsid w:val="008D2BD3"/>
    <w:rsid w:val="008D2EF8"/>
    <w:rsid w:val="008D3405"/>
    <w:rsid w:val="008D3638"/>
    <w:rsid w:val="008D3A0F"/>
    <w:rsid w:val="008D3C01"/>
    <w:rsid w:val="008D3E86"/>
    <w:rsid w:val="008D3FA0"/>
    <w:rsid w:val="008D3FF4"/>
    <w:rsid w:val="008D4223"/>
    <w:rsid w:val="008D46FF"/>
    <w:rsid w:val="008D47E5"/>
    <w:rsid w:val="008D4AD4"/>
    <w:rsid w:val="008D4C86"/>
    <w:rsid w:val="008D4D2D"/>
    <w:rsid w:val="008D4F80"/>
    <w:rsid w:val="008D5006"/>
    <w:rsid w:val="008D51BF"/>
    <w:rsid w:val="008D5286"/>
    <w:rsid w:val="008D52E5"/>
    <w:rsid w:val="008D5B9E"/>
    <w:rsid w:val="008D60C9"/>
    <w:rsid w:val="008D6181"/>
    <w:rsid w:val="008D6503"/>
    <w:rsid w:val="008D659F"/>
    <w:rsid w:val="008D6719"/>
    <w:rsid w:val="008D6958"/>
    <w:rsid w:val="008D6D86"/>
    <w:rsid w:val="008D6F88"/>
    <w:rsid w:val="008D7220"/>
    <w:rsid w:val="008D7235"/>
    <w:rsid w:val="008D72E5"/>
    <w:rsid w:val="008D734D"/>
    <w:rsid w:val="008D73C3"/>
    <w:rsid w:val="008D73CC"/>
    <w:rsid w:val="008D74B4"/>
    <w:rsid w:val="008D7542"/>
    <w:rsid w:val="008D7624"/>
    <w:rsid w:val="008D7715"/>
    <w:rsid w:val="008D7729"/>
    <w:rsid w:val="008E023D"/>
    <w:rsid w:val="008E037B"/>
    <w:rsid w:val="008E03C1"/>
    <w:rsid w:val="008E0538"/>
    <w:rsid w:val="008E084A"/>
    <w:rsid w:val="008E09E9"/>
    <w:rsid w:val="008E0CED"/>
    <w:rsid w:val="008E0D7C"/>
    <w:rsid w:val="008E115E"/>
    <w:rsid w:val="008E1210"/>
    <w:rsid w:val="008E1519"/>
    <w:rsid w:val="008E1740"/>
    <w:rsid w:val="008E1CF7"/>
    <w:rsid w:val="008E2057"/>
    <w:rsid w:val="008E2312"/>
    <w:rsid w:val="008E234A"/>
    <w:rsid w:val="008E243D"/>
    <w:rsid w:val="008E24F8"/>
    <w:rsid w:val="008E2582"/>
    <w:rsid w:val="008E26F2"/>
    <w:rsid w:val="008E2783"/>
    <w:rsid w:val="008E3068"/>
    <w:rsid w:val="008E3BEF"/>
    <w:rsid w:val="008E3C7E"/>
    <w:rsid w:val="008E4070"/>
    <w:rsid w:val="008E414E"/>
    <w:rsid w:val="008E4369"/>
    <w:rsid w:val="008E4AD8"/>
    <w:rsid w:val="008E4C60"/>
    <w:rsid w:val="008E522C"/>
    <w:rsid w:val="008E5397"/>
    <w:rsid w:val="008E5606"/>
    <w:rsid w:val="008E585F"/>
    <w:rsid w:val="008E587C"/>
    <w:rsid w:val="008E5888"/>
    <w:rsid w:val="008E5AC4"/>
    <w:rsid w:val="008E5B49"/>
    <w:rsid w:val="008E5D13"/>
    <w:rsid w:val="008E62A2"/>
    <w:rsid w:val="008E62D6"/>
    <w:rsid w:val="008E62FB"/>
    <w:rsid w:val="008E64F6"/>
    <w:rsid w:val="008E6558"/>
    <w:rsid w:val="008E6A5A"/>
    <w:rsid w:val="008E6B21"/>
    <w:rsid w:val="008E6B58"/>
    <w:rsid w:val="008E6C88"/>
    <w:rsid w:val="008E6FCF"/>
    <w:rsid w:val="008E73F1"/>
    <w:rsid w:val="008E7740"/>
    <w:rsid w:val="008E7BE9"/>
    <w:rsid w:val="008E7D3F"/>
    <w:rsid w:val="008F0171"/>
    <w:rsid w:val="008F0342"/>
    <w:rsid w:val="008F05B4"/>
    <w:rsid w:val="008F0799"/>
    <w:rsid w:val="008F0990"/>
    <w:rsid w:val="008F0AE8"/>
    <w:rsid w:val="008F0CAF"/>
    <w:rsid w:val="008F0EB8"/>
    <w:rsid w:val="008F1028"/>
    <w:rsid w:val="008F14E0"/>
    <w:rsid w:val="008F198E"/>
    <w:rsid w:val="008F1BC8"/>
    <w:rsid w:val="008F1E65"/>
    <w:rsid w:val="008F1E72"/>
    <w:rsid w:val="008F205A"/>
    <w:rsid w:val="008F21BA"/>
    <w:rsid w:val="008F232B"/>
    <w:rsid w:val="008F2736"/>
    <w:rsid w:val="008F2C06"/>
    <w:rsid w:val="008F2EBF"/>
    <w:rsid w:val="008F2FEC"/>
    <w:rsid w:val="008F30C4"/>
    <w:rsid w:val="008F36B4"/>
    <w:rsid w:val="008F3727"/>
    <w:rsid w:val="008F3911"/>
    <w:rsid w:val="008F3A5A"/>
    <w:rsid w:val="008F3A65"/>
    <w:rsid w:val="008F3AC7"/>
    <w:rsid w:val="008F3B03"/>
    <w:rsid w:val="008F3BC0"/>
    <w:rsid w:val="008F4096"/>
    <w:rsid w:val="008F4291"/>
    <w:rsid w:val="008F47F7"/>
    <w:rsid w:val="008F4978"/>
    <w:rsid w:val="008F49AF"/>
    <w:rsid w:val="008F4CDC"/>
    <w:rsid w:val="008F4D96"/>
    <w:rsid w:val="008F4E9A"/>
    <w:rsid w:val="008F4F68"/>
    <w:rsid w:val="008F50FA"/>
    <w:rsid w:val="008F5284"/>
    <w:rsid w:val="008F53A3"/>
    <w:rsid w:val="008F53F8"/>
    <w:rsid w:val="008F55AB"/>
    <w:rsid w:val="008F577D"/>
    <w:rsid w:val="008F5D21"/>
    <w:rsid w:val="008F5D53"/>
    <w:rsid w:val="008F61EA"/>
    <w:rsid w:val="008F62A1"/>
    <w:rsid w:val="008F6538"/>
    <w:rsid w:val="008F661B"/>
    <w:rsid w:val="008F679C"/>
    <w:rsid w:val="008F6A77"/>
    <w:rsid w:val="008F6B24"/>
    <w:rsid w:val="008F6B3B"/>
    <w:rsid w:val="008F6DB4"/>
    <w:rsid w:val="008F71D2"/>
    <w:rsid w:val="008F76CD"/>
    <w:rsid w:val="008F7701"/>
    <w:rsid w:val="008F7753"/>
    <w:rsid w:val="008F79C9"/>
    <w:rsid w:val="008F7A31"/>
    <w:rsid w:val="008F7B4E"/>
    <w:rsid w:val="008F7C02"/>
    <w:rsid w:val="008F7C39"/>
    <w:rsid w:val="008F7CA1"/>
    <w:rsid w:val="00900212"/>
    <w:rsid w:val="00900388"/>
    <w:rsid w:val="009006BA"/>
    <w:rsid w:val="0090089D"/>
    <w:rsid w:val="00900F01"/>
    <w:rsid w:val="00900F37"/>
    <w:rsid w:val="00901245"/>
    <w:rsid w:val="00901279"/>
    <w:rsid w:val="009012E6"/>
    <w:rsid w:val="009012F3"/>
    <w:rsid w:val="00901459"/>
    <w:rsid w:val="009015DA"/>
    <w:rsid w:val="00901618"/>
    <w:rsid w:val="00901932"/>
    <w:rsid w:val="00901E54"/>
    <w:rsid w:val="009024A7"/>
    <w:rsid w:val="00902821"/>
    <w:rsid w:val="00902917"/>
    <w:rsid w:val="009029C5"/>
    <w:rsid w:val="00902A01"/>
    <w:rsid w:val="00902E5A"/>
    <w:rsid w:val="00903272"/>
    <w:rsid w:val="009033EB"/>
    <w:rsid w:val="0090347D"/>
    <w:rsid w:val="0090395D"/>
    <w:rsid w:val="00903C7B"/>
    <w:rsid w:val="00903F45"/>
    <w:rsid w:val="00903F72"/>
    <w:rsid w:val="00904001"/>
    <w:rsid w:val="00904589"/>
    <w:rsid w:val="00904660"/>
    <w:rsid w:val="009046B9"/>
    <w:rsid w:val="009048CF"/>
    <w:rsid w:val="00904BD6"/>
    <w:rsid w:val="00904C92"/>
    <w:rsid w:val="00904D08"/>
    <w:rsid w:val="00904FAE"/>
    <w:rsid w:val="00905325"/>
    <w:rsid w:val="009053D8"/>
    <w:rsid w:val="00905495"/>
    <w:rsid w:val="009054B2"/>
    <w:rsid w:val="00905556"/>
    <w:rsid w:val="009057A7"/>
    <w:rsid w:val="0090590D"/>
    <w:rsid w:val="00905947"/>
    <w:rsid w:val="00906052"/>
    <w:rsid w:val="0090610F"/>
    <w:rsid w:val="009061F5"/>
    <w:rsid w:val="00906237"/>
    <w:rsid w:val="00906543"/>
    <w:rsid w:val="00906914"/>
    <w:rsid w:val="00906A88"/>
    <w:rsid w:val="00906B87"/>
    <w:rsid w:val="00906C80"/>
    <w:rsid w:val="00906D1C"/>
    <w:rsid w:val="00906E22"/>
    <w:rsid w:val="00906EA4"/>
    <w:rsid w:val="00906F07"/>
    <w:rsid w:val="00907380"/>
    <w:rsid w:val="009075BE"/>
    <w:rsid w:val="00907670"/>
    <w:rsid w:val="0090788F"/>
    <w:rsid w:val="00907D41"/>
    <w:rsid w:val="00910218"/>
    <w:rsid w:val="009105DF"/>
    <w:rsid w:val="00910678"/>
    <w:rsid w:val="00910A4B"/>
    <w:rsid w:val="00910A84"/>
    <w:rsid w:val="00910A91"/>
    <w:rsid w:val="00911B16"/>
    <w:rsid w:val="00911D6C"/>
    <w:rsid w:val="00912221"/>
    <w:rsid w:val="009123EC"/>
    <w:rsid w:val="00912430"/>
    <w:rsid w:val="009126A4"/>
    <w:rsid w:val="009126C1"/>
    <w:rsid w:val="00912711"/>
    <w:rsid w:val="00912736"/>
    <w:rsid w:val="00912764"/>
    <w:rsid w:val="009127CF"/>
    <w:rsid w:val="00912A40"/>
    <w:rsid w:val="00912EBE"/>
    <w:rsid w:val="00913099"/>
    <w:rsid w:val="0091321C"/>
    <w:rsid w:val="00913543"/>
    <w:rsid w:val="009135B3"/>
    <w:rsid w:val="00913759"/>
    <w:rsid w:val="0091386C"/>
    <w:rsid w:val="00913CC3"/>
    <w:rsid w:val="009142CD"/>
    <w:rsid w:val="00914479"/>
    <w:rsid w:val="009144F9"/>
    <w:rsid w:val="00914513"/>
    <w:rsid w:val="009147E7"/>
    <w:rsid w:val="0091482D"/>
    <w:rsid w:val="00914860"/>
    <w:rsid w:val="00914C80"/>
    <w:rsid w:val="00914D69"/>
    <w:rsid w:val="00914EF9"/>
    <w:rsid w:val="009150A4"/>
    <w:rsid w:val="009156F0"/>
    <w:rsid w:val="009157AB"/>
    <w:rsid w:val="0091581E"/>
    <w:rsid w:val="00915C17"/>
    <w:rsid w:val="00915E73"/>
    <w:rsid w:val="00916367"/>
    <w:rsid w:val="009166F9"/>
    <w:rsid w:val="00916770"/>
    <w:rsid w:val="00916A1D"/>
    <w:rsid w:val="00916B28"/>
    <w:rsid w:val="00916C52"/>
    <w:rsid w:val="00916DF0"/>
    <w:rsid w:val="009172C2"/>
    <w:rsid w:val="009175B0"/>
    <w:rsid w:val="00917626"/>
    <w:rsid w:val="00917725"/>
    <w:rsid w:val="00917829"/>
    <w:rsid w:val="00917840"/>
    <w:rsid w:val="00917ADD"/>
    <w:rsid w:val="00917AE8"/>
    <w:rsid w:val="00917B2A"/>
    <w:rsid w:val="00917DCB"/>
    <w:rsid w:val="00920156"/>
    <w:rsid w:val="00920272"/>
    <w:rsid w:val="0092082D"/>
    <w:rsid w:val="009208C9"/>
    <w:rsid w:val="009209DC"/>
    <w:rsid w:val="009209F5"/>
    <w:rsid w:val="00920A83"/>
    <w:rsid w:val="00920B13"/>
    <w:rsid w:val="00920CA6"/>
    <w:rsid w:val="00920DC2"/>
    <w:rsid w:val="009210F2"/>
    <w:rsid w:val="00921553"/>
    <w:rsid w:val="00921773"/>
    <w:rsid w:val="009219E6"/>
    <w:rsid w:val="00921FBB"/>
    <w:rsid w:val="00922263"/>
    <w:rsid w:val="009227FE"/>
    <w:rsid w:val="00923628"/>
    <w:rsid w:val="0092364F"/>
    <w:rsid w:val="009238D1"/>
    <w:rsid w:val="009238FB"/>
    <w:rsid w:val="009239CD"/>
    <w:rsid w:val="00923AD7"/>
    <w:rsid w:val="00923D1E"/>
    <w:rsid w:val="00923FE1"/>
    <w:rsid w:val="009242DD"/>
    <w:rsid w:val="0092438D"/>
    <w:rsid w:val="009245D7"/>
    <w:rsid w:val="00924675"/>
    <w:rsid w:val="00924795"/>
    <w:rsid w:val="00924B5C"/>
    <w:rsid w:val="00924BB5"/>
    <w:rsid w:val="00924D57"/>
    <w:rsid w:val="00924E1B"/>
    <w:rsid w:val="00924FAE"/>
    <w:rsid w:val="00925139"/>
    <w:rsid w:val="00925235"/>
    <w:rsid w:val="009253EA"/>
    <w:rsid w:val="009255CB"/>
    <w:rsid w:val="00925636"/>
    <w:rsid w:val="009259EC"/>
    <w:rsid w:val="00925B7C"/>
    <w:rsid w:val="0092607E"/>
    <w:rsid w:val="00926217"/>
    <w:rsid w:val="00926727"/>
    <w:rsid w:val="009269B0"/>
    <w:rsid w:val="00926B0D"/>
    <w:rsid w:val="00926B75"/>
    <w:rsid w:val="00926E27"/>
    <w:rsid w:val="009273C6"/>
    <w:rsid w:val="0092741C"/>
    <w:rsid w:val="00927603"/>
    <w:rsid w:val="009278E5"/>
    <w:rsid w:val="00927CFA"/>
    <w:rsid w:val="00927DE7"/>
    <w:rsid w:val="0093003D"/>
    <w:rsid w:val="009300C1"/>
    <w:rsid w:val="00930112"/>
    <w:rsid w:val="009302E4"/>
    <w:rsid w:val="009303C1"/>
    <w:rsid w:val="009304EE"/>
    <w:rsid w:val="009308E7"/>
    <w:rsid w:val="00930A53"/>
    <w:rsid w:val="00930A6A"/>
    <w:rsid w:val="00930C0F"/>
    <w:rsid w:val="00930D10"/>
    <w:rsid w:val="0093151B"/>
    <w:rsid w:val="009317E9"/>
    <w:rsid w:val="009317F4"/>
    <w:rsid w:val="009319E4"/>
    <w:rsid w:val="00931B6F"/>
    <w:rsid w:val="00931E8B"/>
    <w:rsid w:val="00931F0A"/>
    <w:rsid w:val="00931FC4"/>
    <w:rsid w:val="009320FA"/>
    <w:rsid w:val="0093213F"/>
    <w:rsid w:val="009321B1"/>
    <w:rsid w:val="009322AA"/>
    <w:rsid w:val="009322C8"/>
    <w:rsid w:val="00932475"/>
    <w:rsid w:val="009326B5"/>
    <w:rsid w:val="00932704"/>
    <w:rsid w:val="00932876"/>
    <w:rsid w:val="00932C01"/>
    <w:rsid w:val="00932E34"/>
    <w:rsid w:val="00932F1A"/>
    <w:rsid w:val="00933028"/>
    <w:rsid w:val="00933289"/>
    <w:rsid w:val="0093349E"/>
    <w:rsid w:val="0093350F"/>
    <w:rsid w:val="00933623"/>
    <w:rsid w:val="009338D0"/>
    <w:rsid w:val="0093399D"/>
    <w:rsid w:val="00933AD1"/>
    <w:rsid w:val="00933B47"/>
    <w:rsid w:val="00933D42"/>
    <w:rsid w:val="00933EC5"/>
    <w:rsid w:val="00933FFE"/>
    <w:rsid w:val="009340AF"/>
    <w:rsid w:val="00934207"/>
    <w:rsid w:val="0093461B"/>
    <w:rsid w:val="009346C0"/>
    <w:rsid w:val="00934B24"/>
    <w:rsid w:val="00934EA5"/>
    <w:rsid w:val="00935A14"/>
    <w:rsid w:val="00935B2C"/>
    <w:rsid w:val="00935F39"/>
    <w:rsid w:val="00936057"/>
    <w:rsid w:val="0093608D"/>
    <w:rsid w:val="00936098"/>
    <w:rsid w:val="00936326"/>
    <w:rsid w:val="009363E6"/>
    <w:rsid w:val="00936B0E"/>
    <w:rsid w:val="00936CE2"/>
    <w:rsid w:val="00936F48"/>
    <w:rsid w:val="00937430"/>
    <w:rsid w:val="009374C0"/>
    <w:rsid w:val="009375B9"/>
    <w:rsid w:val="00937610"/>
    <w:rsid w:val="009377FB"/>
    <w:rsid w:val="00937A2A"/>
    <w:rsid w:val="00937E2E"/>
    <w:rsid w:val="00937F5F"/>
    <w:rsid w:val="0094032D"/>
    <w:rsid w:val="00940676"/>
    <w:rsid w:val="0094070A"/>
    <w:rsid w:val="0094095B"/>
    <w:rsid w:val="00940D9C"/>
    <w:rsid w:val="00940F8C"/>
    <w:rsid w:val="00941218"/>
    <w:rsid w:val="00941E7B"/>
    <w:rsid w:val="00941F6F"/>
    <w:rsid w:val="009423AB"/>
    <w:rsid w:val="009424CA"/>
    <w:rsid w:val="00942749"/>
    <w:rsid w:val="00942826"/>
    <w:rsid w:val="009428A4"/>
    <w:rsid w:val="00942AFC"/>
    <w:rsid w:val="00942BCF"/>
    <w:rsid w:val="00943029"/>
    <w:rsid w:val="00943120"/>
    <w:rsid w:val="009433CA"/>
    <w:rsid w:val="009434D3"/>
    <w:rsid w:val="00943613"/>
    <w:rsid w:val="0094370F"/>
    <w:rsid w:val="00943854"/>
    <w:rsid w:val="00943BFB"/>
    <w:rsid w:val="00943DF6"/>
    <w:rsid w:val="00943FF8"/>
    <w:rsid w:val="00944038"/>
    <w:rsid w:val="009440C4"/>
    <w:rsid w:val="0094446A"/>
    <w:rsid w:val="0094473F"/>
    <w:rsid w:val="00944811"/>
    <w:rsid w:val="00944E5A"/>
    <w:rsid w:val="00944FF9"/>
    <w:rsid w:val="00945011"/>
    <w:rsid w:val="009450CC"/>
    <w:rsid w:val="00945130"/>
    <w:rsid w:val="009454D2"/>
    <w:rsid w:val="00945501"/>
    <w:rsid w:val="009456CD"/>
    <w:rsid w:val="009458C1"/>
    <w:rsid w:val="0094598E"/>
    <w:rsid w:val="00945B12"/>
    <w:rsid w:val="009461C4"/>
    <w:rsid w:val="00946213"/>
    <w:rsid w:val="00946214"/>
    <w:rsid w:val="0094656C"/>
    <w:rsid w:val="0094662E"/>
    <w:rsid w:val="00946856"/>
    <w:rsid w:val="0094689A"/>
    <w:rsid w:val="009469FE"/>
    <w:rsid w:val="0094702D"/>
    <w:rsid w:val="00947360"/>
    <w:rsid w:val="009473BD"/>
    <w:rsid w:val="009473C3"/>
    <w:rsid w:val="009474D0"/>
    <w:rsid w:val="00947632"/>
    <w:rsid w:val="0094776D"/>
    <w:rsid w:val="009477C3"/>
    <w:rsid w:val="009478F5"/>
    <w:rsid w:val="00947A69"/>
    <w:rsid w:val="00947BED"/>
    <w:rsid w:val="00947C39"/>
    <w:rsid w:val="00947E05"/>
    <w:rsid w:val="0095014A"/>
    <w:rsid w:val="00950310"/>
    <w:rsid w:val="009505AB"/>
    <w:rsid w:val="009507D6"/>
    <w:rsid w:val="00950A8E"/>
    <w:rsid w:val="00950D5E"/>
    <w:rsid w:val="00950EC5"/>
    <w:rsid w:val="009510E3"/>
    <w:rsid w:val="00951141"/>
    <w:rsid w:val="009511C8"/>
    <w:rsid w:val="009515B5"/>
    <w:rsid w:val="00951C14"/>
    <w:rsid w:val="009521A5"/>
    <w:rsid w:val="009526D5"/>
    <w:rsid w:val="00952821"/>
    <w:rsid w:val="009536FD"/>
    <w:rsid w:val="00953789"/>
    <w:rsid w:val="00953824"/>
    <w:rsid w:val="00953A05"/>
    <w:rsid w:val="00953A9C"/>
    <w:rsid w:val="00953EF5"/>
    <w:rsid w:val="00954021"/>
    <w:rsid w:val="009541A7"/>
    <w:rsid w:val="009543F6"/>
    <w:rsid w:val="0095442D"/>
    <w:rsid w:val="0095492C"/>
    <w:rsid w:val="00954AD7"/>
    <w:rsid w:val="00954C52"/>
    <w:rsid w:val="00954DDC"/>
    <w:rsid w:val="00954F2E"/>
    <w:rsid w:val="00954FF2"/>
    <w:rsid w:val="0095559B"/>
    <w:rsid w:val="009555B5"/>
    <w:rsid w:val="00955DA0"/>
    <w:rsid w:val="00955E96"/>
    <w:rsid w:val="00956BA2"/>
    <w:rsid w:val="00956D7A"/>
    <w:rsid w:val="0095706A"/>
    <w:rsid w:val="0095738A"/>
    <w:rsid w:val="00957895"/>
    <w:rsid w:val="00957BDD"/>
    <w:rsid w:val="00957D52"/>
    <w:rsid w:val="00957F3C"/>
    <w:rsid w:val="00960029"/>
    <w:rsid w:val="00960372"/>
    <w:rsid w:val="0096043C"/>
    <w:rsid w:val="00960761"/>
    <w:rsid w:val="009607F3"/>
    <w:rsid w:val="00960AA4"/>
    <w:rsid w:val="00960B92"/>
    <w:rsid w:val="00960DE1"/>
    <w:rsid w:val="009613BF"/>
    <w:rsid w:val="0096141D"/>
    <w:rsid w:val="00961585"/>
    <w:rsid w:val="00961901"/>
    <w:rsid w:val="00961A4D"/>
    <w:rsid w:val="00961B10"/>
    <w:rsid w:val="00961DA2"/>
    <w:rsid w:val="00961DF0"/>
    <w:rsid w:val="00961EE4"/>
    <w:rsid w:val="00962240"/>
    <w:rsid w:val="00962B70"/>
    <w:rsid w:val="00962E1C"/>
    <w:rsid w:val="00962ED9"/>
    <w:rsid w:val="00963195"/>
    <w:rsid w:val="009632DD"/>
    <w:rsid w:val="00963527"/>
    <w:rsid w:val="00963A7D"/>
    <w:rsid w:val="00963C96"/>
    <w:rsid w:val="00963E69"/>
    <w:rsid w:val="00963FFB"/>
    <w:rsid w:val="00964232"/>
    <w:rsid w:val="009642A4"/>
    <w:rsid w:val="00964370"/>
    <w:rsid w:val="0096445C"/>
    <w:rsid w:val="0096446D"/>
    <w:rsid w:val="00964523"/>
    <w:rsid w:val="00964586"/>
    <w:rsid w:val="00964681"/>
    <w:rsid w:val="009646B6"/>
    <w:rsid w:val="009646BA"/>
    <w:rsid w:val="009646ED"/>
    <w:rsid w:val="00964A0F"/>
    <w:rsid w:val="00964A48"/>
    <w:rsid w:val="00964B2F"/>
    <w:rsid w:val="0096509D"/>
    <w:rsid w:val="0096546F"/>
    <w:rsid w:val="00965A63"/>
    <w:rsid w:val="00965A8A"/>
    <w:rsid w:val="00965C87"/>
    <w:rsid w:val="00965D69"/>
    <w:rsid w:val="00965F12"/>
    <w:rsid w:val="00965F1E"/>
    <w:rsid w:val="00966018"/>
    <w:rsid w:val="009663FB"/>
    <w:rsid w:val="009664BE"/>
    <w:rsid w:val="00966641"/>
    <w:rsid w:val="00966722"/>
    <w:rsid w:val="009667CE"/>
    <w:rsid w:val="009670EE"/>
    <w:rsid w:val="009670FF"/>
    <w:rsid w:val="009672DB"/>
    <w:rsid w:val="00967538"/>
    <w:rsid w:val="009675EA"/>
    <w:rsid w:val="009676D9"/>
    <w:rsid w:val="00967A5B"/>
    <w:rsid w:val="00967CB2"/>
    <w:rsid w:val="00967F75"/>
    <w:rsid w:val="00967FB9"/>
    <w:rsid w:val="00967FC3"/>
    <w:rsid w:val="00970020"/>
    <w:rsid w:val="0097002E"/>
    <w:rsid w:val="0097005C"/>
    <w:rsid w:val="00970193"/>
    <w:rsid w:val="009702F9"/>
    <w:rsid w:val="009703AE"/>
    <w:rsid w:val="009704BF"/>
    <w:rsid w:val="00970713"/>
    <w:rsid w:val="009707BA"/>
    <w:rsid w:val="009708BF"/>
    <w:rsid w:val="009708E2"/>
    <w:rsid w:val="00970901"/>
    <w:rsid w:val="00970939"/>
    <w:rsid w:val="00970B4A"/>
    <w:rsid w:val="00970C7D"/>
    <w:rsid w:val="00970CA6"/>
    <w:rsid w:val="00970F7E"/>
    <w:rsid w:val="0097131C"/>
    <w:rsid w:val="009715DC"/>
    <w:rsid w:val="00971980"/>
    <w:rsid w:val="00971D08"/>
    <w:rsid w:val="00971EB8"/>
    <w:rsid w:val="00971F4A"/>
    <w:rsid w:val="00972181"/>
    <w:rsid w:val="0097237B"/>
    <w:rsid w:val="00972428"/>
    <w:rsid w:val="00972453"/>
    <w:rsid w:val="009724A1"/>
    <w:rsid w:val="0097255B"/>
    <w:rsid w:val="00972662"/>
    <w:rsid w:val="0097282F"/>
    <w:rsid w:val="00972B47"/>
    <w:rsid w:val="00972F4E"/>
    <w:rsid w:val="00973008"/>
    <w:rsid w:val="0097337D"/>
    <w:rsid w:val="009734C7"/>
    <w:rsid w:val="009734D2"/>
    <w:rsid w:val="00973586"/>
    <w:rsid w:val="009736A9"/>
    <w:rsid w:val="009736EC"/>
    <w:rsid w:val="00973926"/>
    <w:rsid w:val="00973A10"/>
    <w:rsid w:val="009741B2"/>
    <w:rsid w:val="009742E8"/>
    <w:rsid w:val="00974424"/>
    <w:rsid w:val="009744BC"/>
    <w:rsid w:val="00974AFA"/>
    <w:rsid w:val="00974F1C"/>
    <w:rsid w:val="0097553C"/>
    <w:rsid w:val="00975A84"/>
    <w:rsid w:val="00975B8A"/>
    <w:rsid w:val="00975C97"/>
    <w:rsid w:val="00975FDA"/>
    <w:rsid w:val="009760CD"/>
    <w:rsid w:val="0097613A"/>
    <w:rsid w:val="009761A3"/>
    <w:rsid w:val="009761D5"/>
    <w:rsid w:val="00976439"/>
    <w:rsid w:val="0097669F"/>
    <w:rsid w:val="0097683C"/>
    <w:rsid w:val="0097688D"/>
    <w:rsid w:val="00976C51"/>
    <w:rsid w:val="00976CD4"/>
    <w:rsid w:val="00976F5E"/>
    <w:rsid w:val="00977015"/>
    <w:rsid w:val="009770E3"/>
    <w:rsid w:val="00977128"/>
    <w:rsid w:val="00977252"/>
    <w:rsid w:val="0097741D"/>
    <w:rsid w:val="009778A4"/>
    <w:rsid w:val="00977AB1"/>
    <w:rsid w:val="00977B48"/>
    <w:rsid w:val="00977C96"/>
    <w:rsid w:val="00977F5F"/>
    <w:rsid w:val="0098006A"/>
    <w:rsid w:val="009801AB"/>
    <w:rsid w:val="00980513"/>
    <w:rsid w:val="00980580"/>
    <w:rsid w:val="009805A3"/>
    <w:rsid w:val="00980614"/>
    <w:rsid w:val="00980852"/>
    <w:rsid w:val="00980BED"/>
    <w:rsid w:val="00980CF7"/>
    <w:rsid w:val="00980F6B"/>
    <w:rsid w:val="00981142"/>
    <w:rsid w:val="00981210"/>
    <w:rsid w:val="00981380"/>
    <w:rsid w:val="00981690"/>
    <w:rsid w:val="00981762"/>
    <w:rsid w:val="009819D6"/>
    <w:rsid w:val="00981E39"/>
    <w:rsid w:val="00981FE3"/>
    <w:rsid w:val="009828F3"/>
    <w:rsid w:val="00982A00"/>
    <w:rsid w:val="00982BB8"/>
    <w:rsid w:val="00982EB1"/>
    <w:rsid w:val="00982F2B"/>
    <w:rsid w:val="0098336D"/>
    <w:rsid w:val="00983546"/>
    <w:rsid w:val="0098355C"/>
    <w:rsid w:val="00983986"/>
    <w:rsid w:val="00983A89"/>
    <w:rsid w:val="00983CF1"/>
    <w:rsid w:val="00983DDE"/>
    <w:rsid w:val="009840E8"/>
    <w:rsid w:val="00984308"/>
    <w:rsid w:val="00984632"/>
    <w:rsid w:val="00984A30"/>
    <w:rsid w:val="00985114"/>
    <w:rsid w:val="0098527A"/>
    <w:rsid w:val="009855BB"/>
    <w:rsid w:val="0098576A"/>
    <w:rsid w:val="009859E9"/>
    <w:rsid w:val="00985A7B"/>
    <w:rsid w:val="00985C94"/>
    <w:rsid w:val="00986173"/>
    <w:rsid w:val="009863BB"/>
    <w:rsid w:val="009863E7"/>
    <w:rsid w:val="009864B2"/>
    <w:rsid w:val="0098680D"/>
    <w:rsid w:val="00986C9B"/>
    <w:rsid w:val="00986E9C"/>
    <w:rsid w:val="009873D2"/>
    <w:rsid w:val="0098760D"/>
    <w:rsid w:val="009876A0"/>
    <w:rsid w:val="009877CC"/>
    <w:rsid w:val="00987CE0"/>
    <w:rsid w:val="00987E7A"/>
    <w:rsid w:val="00987F12"/>
    <w:rsid w:val="00990025"/>
    <w:rsid w:val="009900D2"/>
    <w:rsid w:val="0099019A"/>
    <w:rsid w:val="00990205"/>
    <w:rsid w:val="00990660"/>
    <w:rsid w:val="0099086E"/>
    <w:rsid w:val="009909AE"/>
    <w:rsid w:val="00990B86"/>
    <w:rsid w:val="00990BF6"/>
    <w:rsid w:val="00990DFC"/>
    <w:rsid w:val="00990FF0"/>
    <w:rsid w:val="009911B2"/>
    <w:rsid w:val="0099129C"/>
    <w:rsid w:val="009912F3"/>
    <w:rsid w:val="009914F3"/>
    <w:rsid w:val="009917CB"/>
    <w:rsid w:val="0099190F"/>
    <w:rsid w:val="00991DD8"/>
    <w:rsid w:val="00991E57"/>
    <w:rsid w:val="00991EC1"/>
    <w:rsid w:val="00991EDB"/>
    <w:rsid w:val="00992397"/>
    <w:rsid w:val="0099276C"/>
    <w:rsid w:val="00992A70"/>
    <w:rsid w:val="0099315D"/>
    <w:rsid w:val="009937A7"/>
    <w:rsid w:val="00993A4D"/>
    <w:rsid w:val="0099418D"/>
    <w:rsid w:val="00994415"/>
    <w:rsid w:val="00994557"/>
    <w:rsid w:val="00994650"/>
    <w:rsid w:val="0099481B"/>
    <w:rsid w:val="00994851"/>
    <w:rsid w:val="00994BAF"/>
    <w:rsid w:val="00994CC1"/>
    <w:rsid w:val="00994DAD"/>
    <w:rsid w:val="00994DE4"/>
    <w:rsid w:val="0099506D"/>
    <w:rsid w:val="009951FE"/>
    <w:rsid w:val="0099524A"/>
    <w:rsid w:val="009952F0"/>
    <w:rsid w:val="00995589"/>
    <w:rsid w:val="0099585F"/>
    <w:rsid w:val="00995B2E"/>
    <w:rsid w:val="00995DAD"/>
    <w:rsid w:val="00995E2A"/>
    <w:rsid w:val="00995F11"/>
    <w:rsid w:val="00995FAE"/>
    <w:rsid w:val="00995FE7"/>
    <w:rsid w:val="0099608C"/>
    <w:rsid w:val="009961A5"/>
    <w:rsid w:val="00996377"/>
    <w:rsid w:val="009965DA"/>
    <w:rsid w:val="0099668A"/>
    <w:rsid w:val="00996F77"/>
    <w:rsid w:val="00996F9E"/>
    <w:rsid w:val="009971EC"/>
    <w:rsid w:val="009974A2"/>
    <w:rsid w:val="00997B02"/>
    <w:rsid w:val="00997C9D"/>
    <w:rsid w:val="00997FB9"/>
    <w:rsid w:val="009A004A"/>
    <w:rsid w:val="009A03BA"/>
    <w:rsid w:val="009A0456"/>
    <w:rsid w:val="009A0660"/>
    <w:rsid w:val="009A0756"/>
    <w:rsid w:val="009A076E"/>
    <w:rsid w:val="009A0B0E"/>
    <w:rsid w:val="009A0B8A"/>
    <w:rsid w:val="009A0DAB"/>
    <w:rsid w:val="009A0DC4"/>
    <w:rsid w:val="009A0FEE"/>
    <w:rsid w:val="009A119D"/>
    <w:rsid w:val="009A1324"/>
    <w:rsid w:val="009A1784"/>
    <w:rsid w:val="009A1BA3"/>
    <w:rsid w:val="009A20EB"/>
    <w:rsid w:val="009A214A"/>
    <w:rsid w:val="009A240C"/>
    <w:rsid w:val="009A2594"/>
    <w:rsid w:val="009A2A19"/>
    <w:rsid w:val="009A2C41"/>
    <w:rsid w:val="009A2D3B"/>
    <w:rsid w:val="009A308A"/>
    <w:rsid w:val="009A30C0"/>
    <w:rsid w:val="009A3287"/>
    <w:rsid w:val="009A368F"/>
    <w:rsid w:val="009A38F9"/>
    <w:rsid w:val="009A3AF4"/>
    <w:rsid w:val="009A3E4E"/>
    <w:rsid w:val="009A3FBC"/>
    <w:rsid w:val="009A446E"/>
    <w:rsid w:val="009A4563"/>
    <w:rsid w:val="009A46FC"/>
    <w:rsid w:val="009A4956"/>
    <w:rsid w:val="009A4961"/>
    <w:rsid w:val="009A4AE1"/>
    <w:rsid w:val="009A4B8F"/>
    <w:rsid w:val="009A4D83"/>
    <w:rsid w:val="009A4E88"/>
    <w:rsid w:val="009A515F"/>
    <w:rsid w:val="009A53ED"/>
    <w:rsid w:val="009A5875"/>
    <w:rsid w:val="009A58D4"/>
    <w:rsid w:val="009A597C"/>
    <w:rsid w:val="009A5B75"/>
    <w:rsid w:val="009A6187"/>
    <w:rsid w:val="009A6642"/>
    <w:rsid w:val="009A6820"/>
    <w:rsid w:val="009A68C6"/>
    <w:rsid w:val="009A6FAD"/>
    <w:rsid w:val="009A709F"/>
    <w:rsid w:val="009A754B"/>
    <w:rsid w:val="009A75CA"/>
    <w:rsid w:val="009A7ABC"/>
    <w:rsid w:val="009A7BF0"/>
    <w:rsid w:val="009A7DAB"/>
    <w:rsid w:val="009B0061"/>
    <w:rsid w:val="009B0D7A"/>
    <w:rsid w:val="009B11A3"/>
    <w:rsid w:val="009B1468"/>
    <w:rsid w:val="009B173B"/>
    <w:rsid w:val="009B17F5"/>
    <w:rsid w:val="009B1BC9"/>
    <w:rsid w:val="009B1C13"/>
    <w:rsid w:val="009B1D9B"/>
    <w:rsid w:val="009B1E6A"/>
    <w:rsid w:val="009B24D2"/>
    <w:rsid w:val="009B27A7"/>
    <w:rsid w:val="009B2987"/>
    <w:rsid w:val="009B2A9D"/>
    <w:rsid w:val="009B2F20"/>
    <w:rsid w:val="009B303A"/>
    <w:rsid w:val="009B30FB"/>
    <w:rsid w:val="009B315D"/>
    <w:rsid w:val="009B3194"/>
    <w:rsid w:val="009B321F"/>
    <w:rsid w:val="009B32FD"/>
    <w:rsid w:val="009B338B"/>
    <w:rsid w:val="009B34C4"/>
    <w:rsid w:val="009B3577"/>
    <w:rsid w:val="009B3701"/>
    <w:rsid w:val="009B3772"/>
    <w:rsid w:val="009B39D8"/>
    <w:rsid w:val="009B3D0A"/>
    <w:rsid w:val="009B40A8"/>
    <w:rsid w:val="009B446E"/>
    <w:rsid w:val="009B4598"/>
    <w:rsid w:val="009B46ED"/>
    <w:rsid w:val="009B4A10"/>
    <w:rsid w:val="009B4E17"/>
    <w:rsid w:val="009B506F"/>
    <w:rsid w:val="009B50F4"/>
    <w:rsid w:val="009B51F3"/>
    <w:rsid w:val="009B5226"/>
    <w:rsid w:val="009B5625"/>
    <w:rsid w:val="009B573E"/>
    <w:rsid w:val="009B575B"/>
    <w:rsid w:val="009B5772"/>
    <w:rsid w:val="009B57F8"/>
    <w:rsid w:val="009B5835"/>
    <w:rsid w:val="009B5889"/>
    <w:rsid w:val="009B5933"/>
    <w:rsid w:val="009B5B26"/>
    <w:rsid w:val="009B5F38"/>
    <w:rsid w:val="009B609A"/>
    <w:rsid w:val="009B6188"/>
    <w:rsid w:val="009B6B95"/>
    <w:rsid w:val="009B6CB3"/>
    <w:rsid w:val="009B7239"/>
    <w:rsid w:val="009B7326"/>
    <w:rsid w:val="009B75AC"/>
    <w:rsid w:val="009B76AA"/>
    <w:rsid w:val="009B7AA2"/>
    <w:rsid w:val="009B7CFD"/>
    <w:rsid w:val="009B7EB5"/>
    <w:rsid w:val="009B7F31"/>
    <w:rsid w:val="009B7FA7"/>
    <w:rsid w:val="009C00FD"/>
    <w:rsid w:val="009C0156"/>
    <w:rsid w:val="009C01A7"/>
    <w:rsid w:val="009C0359"/>
    <w:rsid w:val="009C0390"/>
    <w:rsid w:val="009C07DE"/>
    <w:rsid w:val="009C0DAA"/>
    <w:rsid w:val="009C0E97"/>
    <w:rsid w:val="009C0FD1"/>
    <w:rsid w:val="009C175C"/>
    <w:rsid w:val="009C17DF"/>
    <w:rsid w:val="009C18C0"/>
    <w:rsid w:val="009C1995"/>
    <w:rsid w:val="009C1C00"/>
    <w:rsid w:val="009C1D32"/>
    <w:rsid w:val="009C258B"/>
    <w:rsid w:val="009C2615"/>
    <w:rsid w:val="009C28E6"/>
    <w:rsid w:val="009C299F"/>
    <w:rsid w:val="009C2A6D"/>
    <w:rsid w:val="009C2E1D"/>
    <w:rsid w:val="009C30D9"/>
    <w:rsid w:val="009C327D"/>
    <w:rsid w:val="009C32AC"/>
    <w:rsid w:val="009C36CD"/>
    <w:rsid w:val="009C396C"/>
    <w:rsid w:val="009C3D0F"/>
    <w:rsid w:val="009C3D46"/>
    <w:rsid w:val="009C46A2"/>
    <w:rsid w:val="009C4B97"/>
    <w:rsid w:val="009C4CD1"/>
    <w:rsid w:val="009C4E5D"/>
    <w:rsid w:val="009C5370"/>
    <w:rsid w:val="009C546C"/>
    <w:rsid w:val="009C564A"/>
    <w:rsid w:val="009C5662"/>
    <w:rsid w:val="009C576C"/>
    <w:rsid w:val="009C576E"/>
    <w:rsid w:val="009C5B3D"/>
    <w:rsid w:val="009C5DE7"/>
    <w:rsid w:val="009C5F1B"/>
    <w:rsid w:val="009C5F45"/>
    <w:rsid w:val="009C6174"/>
    <w:rsid w:val="009C642A"/>
    <w:rsid w:val="009C66BB"/>
    <w:rsid w:val="009C6772"/>
    <w:rsid w:val="009C75A8"/>
    <w:rsid w:val="009C7884"/>
    <w:rsid w:val="009C78E1"/>
    <w:rsid w:val="009C78F2"/>
    <w:rsid w:val="009C796C"/>
    <w:rsid w:val="009C79D5"/>
    <w:rsid w:val="009C7EA3"/>
    <w:rsid w:val="009D00D1"/>
    <w:rsid w:val="009D019A"/>
    <w:rsid w:val="009D0849"/>
    <w:rsid w:val="009D08CB"/>
    <w:rsid w:val="009D09AD"/>
    <w:rsid w:val="009D0E16"/>
    <w:rsid w:val="009D10F7"/>
    <w:rsid w:val="009D117E"/>
    <w:rsid w:val="009D1235"/>
    <w:rsid w:val="009D1277"/>
    <w:rsid w:val="009D16D4"/>
    <w:rsid w:val="009D18D1"/>
    <w:rsid w:val="009D1B17"/>
    <w:rsid w:val="009D20E5"/>
    <w:rsid w:val="009D220E"/>
    <w:rsid w:val="009D2418"/>
    <w:rsid w:val="009D25FF"/>
    <w:rsid w:val="009D290F"/>
    <w:rsid w:val="009D2969"/>
    <w:rsid w:val="009D2BAA"/>
    <w:rsid w:val="009D2BB7"/>
    <w:rsid w:val="009D2BE6"/>
    <w:rsid w:val="009D3346"/>
    <w:rsid w:val="009D33CC"/>
    <w:rsid w:val="009D3688"/>
    <w:rsid w:val="009D374E"/>
    <w:rsid w:val="009D397B"/>
    <w:rsid w:val="009D3B07"/>
    <w:rsid w:val="009D3D1E"/>
    <w:rsid w:val="009D3E28"/>
    <w:rsid w:val="009D45B9"/>
    <w:rsid w:val="009D4755"/>
    <w:rsid w:val="009D4953"/>
    <w:rsid w:val="009D496F"/>
    <w:rsid w:val="009D4B4E"/>
    <w:rsid w:val="009D4EE3"/>
    <w:rsid w:val="009D58B0"/>
    <w:rsid w:val="009D59C0"/>
    <w:rsid w:val="009D5AB8"/>
    <w:rsid w:val="009D5CB0"/>
    <w:rsid w:val="009D5D94"/>
    <w:rsid w:val="009D5EB3"/>
    <w:rsid w:val="009D66D0"/>
    <w:rsid w:val="009D6DC1"/>
    <w:rsid w:val="009D6F40"/>
    <w:rsid w:val="009D7156"/>
    <w:rsid w:val="009D7165"/>
    <w:rsid w:val="009D7495"/>
    <w:rsid w:val="009D77ED"/>
    <w:rsid w:val="009D7C84"/>
    <w:rsid w:val="009D7DB2"/>
    <w:rsid w:val="009D7EBA"/>
    <w:rsid w:val="009E00A3"/>
    <w:rsid w:val="009E02C9"/>
    <w:rsid w:val="009E047E"/>
    <w:rsid w:val="009E1078"/>
    <w:rsid w:val="009E1197"/>
    <w:rsid w:val="009E1232"/>
    <w:rsid w:val="009E1385"/>
    <w:rsid w:val="009E14F3"/>
    <w:rsid w:val="009E1BEB"/>
    <w:rsid w:val="009E1C4F"/>
    <w:rsid w:val="009E1F10"/>
    <w:rsid w:val="009E2019"/>
    <w:rsid w:val="009E20FF"/>
    <w:rsid w:val="009E22A6"/>
    <w:rsid w:val="009E23F1"/>
    <w:rsid w:val="009E24B3"/>
    <w:rsid w:val="009E27D4"/>
    <w:rsid w:val="009E2E30"/>
    <w:rsid w:val="009E2EAA"/>
    <w:rsid w:val="009E2F15"/>
    <w:rsid w:val="009E317E"/>
    <w:rsid w:val="009E3723"/>
    <w:rsid w:val="009E3B82"/>
    <w:rsid w:val="009E3D7A"/>
    <w:rsid w:val="009E42DF"/>
    <w:rsid w:val="009E4482"/>
    <w:rsid w:val="009E4660"/>
    <w:rsid w:val="009E4A91"/>
    <w:rsid w:val="009E4B81"/>
    <w:rsid w:val="009E4CCD"/>
    <w:rsid w:val="009E53DD"/>
    <w:rsid w:val="009E5909"/>
    <w:rsid w:val="009E5B31"/>
    <w:rsid w:val="009E5CE5"/>
    <w:rsid w:val="009E5ECF"/>
    <w:rsid w:val="009E5F6D"/>
    <w:rsid w:val="009E5FF5"/>
    <w:rsid w:val="009E602B"/>
    <w:rsid w:val="009E632D"/>
    <w:rsid w:val="009E6379"/>
    <w:rsid w:val="009E64D1"/>
    <w:rsid w:val="009E6588"/>
    <w:rsid w:val="009E6F1D"/>
    <w:rsid w:val="009E6FDF"/>
    <w:rsid w:val="009E709F"/>
    <w:rsid w:val="009E729A"/>
    <w:rsid w:val="009E7723"/>
    <w:rsid w:val="009E79CB"/>
    <w:rsid w:val="009E7C23"/>
    <w:rsid w:val="009E7C37"/>
    <w:rsid w:val="009E7C88"/>
    <w:rsid w:val="009E7CEE"/>
    <w:rsid w:val="009E7E7B"/>
    <w:rsid w:val="009E7FCB"/>
    <w:rsid w:val="009F01EE"/>
    <w:rsid w:val="009F0226"/>
    <w:rsid w:val="009F05DB"/>
    <w:rsid w:val="009F063F"/>
    <w:rsid w:val="009F082C"/>
    <w:rsid w:val="009F0936"/>
    <w:rsid w:val="009F09DB"/>
    <w:rsid w:val="009F0D20"/>
    <w:rsid w:val="009F141A"/>
    <w:rsid w:val="009F141D"/>
    <w:rsid w:val="009F1672"/>
    <w:rsid w:val="009F1983"/>
    <w:rsid w:val="009F1BD0"/>
    <w:rsid w:val="009F2078"/>
    <w:rsid w:val="009F273F"/>
    <w:rsid w:val="009F2B4F"/>
    <w:rsid w:val="009F2D65"/>
    <w:rsid w:val="009F2F64"/>
    <w:rsid w:val="009F3060"/>
    <w:rsid w:val="009F3412"/>
    <w:rsid w:val="009F3803"/>
    <w:rsid w:val="009F3D5A"/>
    <w:rsid w:val="009F3F9E"/>
    <w:rsid w:val="009F41AB"/>
    <w:rsid w:val="009F41B5"/>
    <w:rsid w:val="009F4473"/>
    <w:rsid w:val="009F48BA"/>
    <w:rsid w:val="009F4BA0"/>
    <w:rsid w:val="009F4C34"/>
    <w:rsid w:val="009F4D02"/>
    <w:rsid w:val="009F5390"/>
    <w:rsid w:val="009F5552"/>
    <w:rsid w:val="009F57A9"/>
    <w:rsid w:val="009F58BE"/>
    <w:rsid w:val="009F611F"/>
    <w:rsid w:val="009F61A9"/>
    <w:rsid w:val="009F64FB"/>
    <w:rsid w:val="009F66F6"/>
    <w:rsid w:val="009F6AB8"/>
    <w:rsid w:val="009F6CEF"/>
    <w:rsid w:val="009F6D4B"/>
    <w:rsid w:val="009F6F5A"/>
    <w:rsid w:val="009F6F60"/>
    <w:rsid w:val="009F6FFF"/>
    <w:rsid w:val="009F708A"/>
    <w:rsid w:val="009F7126"/>
    <w:rsid w:val="009F764A"/>
    <w:rsid w:val="009F7DA2"/>
    <w:rsid w:val="009F7E1A"/>
    <w:rsid w:val="009F7F9A"/>
    <w:rsid w:val="00A0008F"/>
    <w:rsid w:val="00A00322"/>
    <w:rsid w:val="00A00507"/>
    <w:rsid w:val="00A0083E"/>
    <w:rsid w:val="00A00932"/>
    <w:rsid w:val="00A00B10"/>
    <w:rsid w:val="00A00B8F"/>
    <w:rsid w:val="00A00BCD"/>
    <w:rsid w:val="00A00C68"/>
    <w:rsid w:val="00A00CC9"/>
    <w:rsid w:val="00A00FE7"/>
    <w:rsid w:val="00A0128C"/>
    <w:rsid w:val="00A0138E"/>
    <w:rsid w:val="00A0141A"/>
    <w:rsid w:val="00A0150D"/>
    <w:rsid w:val="00A017EB"/>
    <w:rsid w:val="00A018BC"/>
    <w:rsid w:val="00A01B69"/>
    <w:rsid w:val="00A01BD3"/>
    <w:rsid w:val="00A01D0D"/>
    <w:rsid w:val="00A01D45"/>
    <w:rsid w:val="00A01D5B"/>
    <w:rsid w:val="00A021FB"/>
    <w:rsid w:val="00A022D1"/>
    <w:rsid w:val="00A022F2"/>
    <w:rsid w:val="00A0241D"/>
    <w:rsid w:val="00A02483"/>
    <w:rsid w:val="00A02552"/>
    <w:rsid w:val="00A029A0"/>
    <w:rsid w:val="00A02D29"/>
    <w:rsid w:val="00A02E05"/>
    <w:rsid w:val="00A02EF9"/>
    <w:rsid w:val="00A031A1"/>
    <w:rsid w:val="00A033C3"/>
    <w:rsid w:val="00A03441"/>
    <w:rsid w:val="00A034DD"/>
    <w:rsid w:val="00A03766"/>
    <w:rsid w:val="00A03BD7"/>
    <w:rsid w:val="00A03E53"/>
    <w:rsid w:val="00A03F0D"/>
    <w:rsid w:val="00A03FF1"/>
    <w:rsid w:val="00A048C6"/>
    <w:rsid w:val="00A04AB3"/>
    <w:rsid w:val="00A04F4F"/>
    <w:rsid w:val="00A04FAF"/>
    <w:rsid w:val="00A0522D"/>
    <w:rsid w:val="00A05436"/>
    <w:rsid w:val="00A0552B"/>
    <w:rsid w:val="00A055CC"/>
    <w:rsid w:val="00A05623"/>
    <w:rsid w:val="00A05729"/>
    <w:rsid w:val="00A05733"/>
    <w:rsid w:val="00A057B6"/>
    <w:rsid w:val="00A05975"/>
    <w:rsid w:val="00A059ED"/>
    <w:rsid w:val="00A05A66"/>
    <w:rsid w:val="00A05CD8"/>
    <w:rsid w:val="00A05FF9"/>
    <w:rsid w:val="00A0615D"/>
    <w:rsid w:val="00A061A5"/>
    <w:rsid w:val="00A0661B"/>
    <w:rsid w:val="00A06930"/>
    <w:rsid w:val="00A06C5C"/>
    <w:rsid w:val="00A06D73"/>
    <w:rsid w:val="00A06EC1"/>
    <w:rsid w:val="00A06F74"/>
    <w:rsid w:val="00A06F83"/>
    <w:rsid w:val="00A0716B"/>
    <w:rsid w:val="00A07351"/>
    <w:rsid w:val="00A0736E"/>
    <w:rsid w:val="00A073E2"/>
    <w:rsid w:val="00A07483"/>
    <w:rsid w:val="00A074CC"/>
    <w:rsid w:val="00A07521"/>
    <w:rsid w:val="00A075E3"/>
    <w:rsid w:val="00A07924"/>
    <w:rsid w:val="00A079B2"/>
    <w:rsid w:val="00A07A91"/>
    <w:rsid w:val="00A07B68"/>
    <w:rsid w:val="00A07C00"/>
    <w:rsid w:val="00A07E98"/>
    <w:rsid w:val="00A10230"/>
    <w:rsid w:val="00A10243"/>
    <w:rsid w:val="00A10635"/>
    <w:rsid w:val="00A10847"/>
    <w:rsid w:val="00A10F22"/>
    <w:rsid w:val="00A110A7"/>
    <w:rsid w:val="00A1128B"/>
    <w:rsid w:val="00A11291"/>
    <w:rsid w:val="00A11A93"/>
    <w:rsid w:val="00A11D70"/>
    <w:rsid w:val="00A120D1"/>
    <w:rsid w:val="00A121D9"/>
    <w:rsid w:val="00A12541"/>
    <w:rsid w:val="00A12BB5"/>
    <w:rsid w:val="00A12F95"/>
    <w:rsid w:val="00A130D0"/>
    <w:rsid w:val="00A134F6"/>
    <w:rsid w:val="00A1355E"/>
    <w:rsid w:val="00A135B3"/>
    <w:rsid w:val="00A137D7"/>
    <w:rsid w:val="00A137FF"/>
    <w:rsid w:val="00A139FC"/>
    <w:rsid w:val="00A13D42"/>
    <w:rsid w:val="00A13E3E"/>
    <w:rsid w:val="00A13E88"/>
    <w:rsid w:val="00A14230"/>
    <w:rsid w:val="00A142A0"/>
    <w:rsid w:val="00A142DE"/>
    <w:rsid w:val="00A1459A"/>
    <w:rsid w:val="00A14923"/>
    <w:rsid w:val="00A14B81"/>
    <w:rsid w:val="00A14E0B"/>
    <w:rsid w:val="00A14E42"/>
    <w:rsid w:val="00A150A0"/>
    <w:rsid w:val="00A15592"/>
    <w:rsid w:val="00A15B5F"/>
    <w:rsid w:val="00A15F47"/>
    <w:rsid w:val="00A160DB"/>
    <w:rsid w:val="00A169C5"/>
    <w:rsid w:val="00A16A9B"/>
    <w:rsid w:val="00A174E9"/>
    <w:rsid w:val="00A17672"/>
    <w:rsid w:val="00A1791B"/>
    <w:rsid w:val="00A17C82"/>
    <w:rsid w:val="00A17D39"/>
    <w:rsid w:val="00A17EF6"/>
    <w:rsid w:val="00A20355"/>
    <w:rsid w:val="00A208FC"/>
    <w:rsid w:val="00A20A61"/>
    <w:rsid w:val="00A20ACB"/>
    <w:rsid w:val="00A20C86"/>
    <w:rsid w:val="00A20D21"/>
    <w:rsid w:val="00A20ECE"/>
    <w:rsid w:val="00A21AE2"/>
    <w:rsid w:val="00A21E73"/>
    <w:rsid w:val="00A22064"/>
    <w:rsid w:val="00A222C8"/>
    <w:rsid w:val="00A2265A"/>
    <w:rsid w:val="00A22783"/>
    <w:rsid w:val="00A228B3"/>
    <w:rsid w:val="00A22B19"/>
    <w:rsid w:val="00A23014"/>
    <w:rsid w:val="00A232E5"/>
    <w:rsid w:val="00A23302"/>
    <w:rsid w:val="00A233CC"/>
    <w:rsid w:val="00A239F6"/>
    <w:rsid w:val="00A23A12"/>
    <w:rsid w:val="00A23BBE"/>
    <w:rsid w:val="00A23C75"/>
    <w:rsid w:val="00A2413E"/>
    <w:rsid w:val="00A24291"/>
    <w:rsid w:val="00A243F5"/>
    <w:rsid w:val="00A245AA"/>
    <w:rsid w:val="00A24944"/>
    <w:rsid w:val="00A24A61"/>
    <w:rsid w:val="00A24B89"/>
    <w:rsid w:val="00A24E15"/>
    <w:rsid w:val="00A250BB"/>
    <w:rsid w:val="00A250CC"/>
    <w:rsid w:val="00A252D2"/>
    <w:rsid w:val="00A25323"/>
    <w:rsid w:val="00A25482"/>
    <w:rsid w:val="00A25928"/>
    <w:rsid w:val="00A2618B"/>
    <w:rsid w:val="00A263BA"/>
    <w:rsid w:val="00A26421"/>
    <w:rsid w:val="00A27153"/>
    <w:rsid w:val="00A275B5"/>
    <w:rsid w:val="00A2769E"/>
    <w:rsid w:val="00A2779F"/>
    <w:rsid w:val="00A278BB"/>
    <w:rsid w:val="00A27FF4"/>
    <w:rsid w:val="00A3018B"/>
    <w:rsid w:val="00A3049B"/>
    <w:rsid w:val="00A3085B"/>
    <w:rsid w:val="00A3091F"/>
    <w:rsid w:val="00A30E2A"/>
    <w:rsid w:val="00A30FB1"/>
    <w:rsid w:val="00A31142"/>
    <w:rsid w:val="00A31371"/>
    <w:rsid w:val="00A318BE"/>
    <w:rsid w:val="00A31A39"/>
    <w:rsid w:val="00A31AC6"/>
    <w:rsid w:val="00A31CB3"/>
    <w:rsid w:val="00A31DA1"/>
    <w:rsid w:val="00A31F99"/>
    <w:rsid w:val="00A32278"/>
    <w:rsid w:val="00A3230D"/>
    <w:rsid w:val="00A329A9"/>
    <w:rsid w:val="00A329D1"/>
    <w:rsid w:val="00A32BC3"/>
    <w:rsid w:val="00A32CD9"/>
    <w:rsid w:val="00A32F7B"/>
    <w:rsid w:val="00A33069"/>
    <w:rsid w:val="00A330F2"/>
    <w:rsid w:val="00A3332E"/>
    <w:rsid w:val="00A33403"/>
    <w:rsid w:val="00A33895"/>
    <w:rsid w:val="00A339B9"/>
    <w:rsid w:val="00A339C5"/>
    <w:rsid w:val="00A33B75"/>
    <w:rsid w:val="00A33C92"/>
    <w:rsid w:val="00A34297"/>
    <w:rsid w:val="00A345A6"/>
    <w:rsid w:val="00A346ED"/>
    <w:rsid w:val="00A347D6"/>
    <w:rsid w:val="00A34AB9"/>
    <w:rsid w:val="00A34BB3"/>
    <w:rsid w:val="00A34D1D"/>
    <w:rsid w:val="00A3509B"/>
    <w:rsid w:val="00A35120"/>
    <w:rsid w:val="00A351B6"/>
    <w:rsid w:val="00A356F7"/>
    <w:rsid w:val="00A35908"/>
    <w:rsid w:val="00A35BC1"/>
    <w:rsid w:val="00A35CDC"/>
    <w:rsid w:val="00A35DDD"/>
    <w:rsid w:val="00A36043"/>
    <w:rsid w:val="00A3632B"/>
    <w:rsid w:val="00A363C8"/>
    <w:rsid w:val="00A3643B"/>
    <w:rsid w:val="00A36441"/>
    <w:rsid w:val="00A365A4"/>
    <w:rsid w:val="00A36810"/>
    <w:rsid w:val="00A36ADF"/>
    <w:rsid w:val="00A37026"/>
    <w:rsid w:val="00A3742C"/>
    <w:rsid w:val="00A378EC"/>
    <w:rsid w:val="00A37DFD"/>
    <w:rsid w:val="00A37F2F"/>
    <w:rsid w:val="00A37F3E"/>
    <w:rsid w:val="00A400FB"/>
    <w:rsid w:val="00A4017E"/>
    <w:rsid w:val="00A4025B"/>
    <w:rsid w:val="00A403A2"/>
    <w:rsid w:val="00A403EC"/>
    <w:rsid w:val="00A4056E"/>
    <w:rsid w:val="00A4062D"/>
    <w:rsid w:val="00A40837"/>
    <w:rsid w:val="00A4099D"/>
    <w:rsid w:val="00A40AE2"/>
    <w:rsid w:val="00A40BC3"/>
    <w:rsid w:val="00A40C73"/>
    <w:rsid w:val="00A40DF3"/>
    <w:rsid w:val="00A411F7"/>
    <w:rsid w:val="00A419A0"/>
    <w:rsid w:val="00A41A15"/>
    <w:rsid w:val="00A41A2D"/>
    <w:rsid w:val="00A41A63"/>
    <w:rsid w:val="00A41C85"/>
    <w:rsid w:val="00A42016"/>
    <w:rsid w:val="00A4207E"/>
    <w:rsid w:val="00A420BF"/>
    <w:rsid w:val="00A42406"/>
    <w:rsid w:val="00A424BE"/>
    <w:rsid w:val="00A42546"/>
    <w:rsid w:val="00A425E2"/>
    <w:rsid w:val="00A42610"/>
    <w:rsid w:val="00A42903"/>
    <w:rsid w:val="00A42984"/>
    <w:rsid w:val="00A429D2"/>
    <w:rsid w:val="00A42A95"/>
    <w:rsid w:val="00A42D54"/>
    <w:rsid w:val="00A431BC"/>
    <w:rsid w:val="00A4352B"/>
    <w:rsid w:val="00A43A81"/>
    <w:rsid w:val="00A43C31"/>
    <w:rsid w:val="00A43F97"/>
    <w:rsid w:val="00A440DE"/>
    <w:rsid w:val="00A44396"/>
    <w:rsid w:val="00A443A8"/>
    <w:rsid w:val="00A445D5"/>
    <w:rsid w:val="00A44621"/>
    <w:rsid w:val="00A44818"/>
    <w:rsid w:val="00A44913"/>
    <w:rsid w:val="00A44EEF"/>
    <w:rsid w:val="00A4536D"/>
    <w:rsid w:val="00A45435"/>
    <w:rsid w:val="00A45488"/>
    <w:rsid w:val="00A45497"/>
    <w:rsid w:val="00A456AD"/>
    <w:rsid w:val="00A45780"/>
    <w:rsid w:val="00A457A1"/>
    <w:rsid w:val="00A4582D"/>
    <w:rsid w:val="00A458FF"/>
    <w:rsid w:val="00A45C99"/>
    <w:rsid w:val="00A45D04"/>
    <w:rsid w:val="00A4605A"/>
    <w:rsid w:val="00A4607E"/>
    <w:rsid w:val="00A4609E"/>
    <w:rsid w:val="00A460D2"/>
    <w:rsid w:val="00A464CF"/>
    <w:rsid w:val="00A465F0"/>
    <w:rsid w:val="00A4660A"/>
    <w:rsid w:val="00A467B2"/>
    <w:rsid w:val="00A4694C"/>
    <w:rsid w:val="00A46A9B"/>
    <w:rsid w:val="00A46C30"/>
    <w:rsid w:val="00A46C7B"/>
    <w:rsid w:val="00A46E5E"/>
    <w:rsid w:val="00A46EA3"/>
    <w:rsid w:val="00A47169"/>
    <w:rsid w:val="00A47247"/>
    <w:rsid w:val="00A47267"/>
    <w:rsid w:val="00A478A5"/>
    <w:rsid w:val="00A47ECD"/>
    <w:rsid w:val="00A47F09"/>
    <w:rsid w:val="00A502D8"/>
    <w:rsid w:val="00A505A3"/>
    <w:rsid w:val="00A505B5"/>
    <w:rsid w:val="00A50709"/>
    <w:rsid w:val="00A50810"/>
    <w:rsid w:val="00A508AA"/>
    <w:rsid w:val="00A50B86"/>
    <w:rsid w:val="00A50CC0"/>
    <w:rsid w:val="00A5130E"/>
    <w:rsid w:val="00A51888"/>
    <w:rsid w:val="00A5191F"/>
    <w:rsid w:val="00A51B47"/>
    <w:rsid w:val="00A51D30"/>
    <w:rsid w:val="00A523A1"/>
    <w:rsid w:val="00A52419"/>
    <w:rsid w:val="00A526E3"/>
    <w:rsid w:val="00A52BC8"/>
    <w:rsid w:val="00A52F7A"/>
    <w:rsid w:val="00A53634"/>
    <w:rsid w:val="00A53664"/>
    <w:rsid w:val="00A5366F"/>
    <w:rsid w:val="00A53B4A"/>
    <w:rsid w:val="00A53C38"/>
    <w:rsid w:val="00A53DD6"/>
    <w:rsid w:val="00A5404F"/>
    <w:rsid w:val="00A5411C"/>
    <w:rsid w:val="00A541D9"/>
    <w:rsid w:val="00A5426E"/>
    <w:rsid w:val="00A5433E"/>
    <w:rsid w:val="00A546AE"/>
    <w:rsid w:val="00A546DA"/>
    <w:rsid w:val="00A547CC"/>
    <w:rsid w:val="00A54800"/>
    <w:rsid w:val="00A54AD1"/>
    <w:rsid w:val="00A553D2"/>
    <w:rsid w:val="00A55857"/>
    <w:rsid w:val="00A558DB"/>
    <w:rsid w:val="00A55A20"/>
    <w:rsid w:val="00A55CF4"/>
    <w:rsid w:val="00A56032"/>
    <w:rsid w:val="00A56071"/>
    <w:rsid w:val="00A563ED"/>
    <w:rsid w:val="00A56778"/>
    <w:rsid w:val="00A56800"/>
    <w:rsid w:val="00A568B3"/>
    <w:rsid w:val="00A56980"/>
    <w:rsid w:val="00A56A13"/>
    <w:rsid w:val="00A56D42"/>
    <w:rsid w:val="00A56F70"/>
    <w:rsid w:val="00A5713F"/>
    <w:rsid w:val="00A57408"/>
    <w:rsid w:val="00A577D9"/>
    <w:rsid w:val="00A577F6"/>
    <w:rsid w:val="00A57B56"/>
    <w:rsid w:val="00A6008E"/>
    <w:rsid w:val="00A60350"/>
    <w:rsid w:val="00A6074B"/>
    <w:rsid w:val="00A607B9"/>
    <w:rsid w:val="00A607DA"/>
    <w:rsid w:val="00A60803"/>
    <w:rsid w:val="00A60987"/>
    <w:rsid w:val="00A60AD3"/>
    <w:rsid w:val="00A60E16"/>
    <w:rsid w:val="00A60E44"/>
    <w:rsid w:val="00A61430"/>
    <w:rsid w:val="00A61637"/>
    <w:rsid w:val="00A61706"/>
    <w:rsid w:val="00A617A2"/>
    <w:rsid w:val="00A61C9B"/>
    <w:rsid w:val="00A61DD9"/>
    <w:rsid w:val="00A61DF2"/>
    <w:rsid w:val="00A61DFC"/>
    <w:rsid w:val="00A61F12"/>
    <w:rsid w:val="00A61FBE"/>
    <w:rsid w:val="00A621AD"/>
    <w:rsid w:val="00A6231F"/>
    <w:rsid w:val="00A626C1"/>
    <w:rsid w:val="00A6297C"/>
    <w:rsid w:val="00A62B9F"/>
    <w:rsid w:val="00A62C4D"/>
    <w:rsid w:val="00A62F54"/>
    <w:rsid w:val="00A63145"/>
    <w:rsid w:val="00A631E2"/>
    <w:rsid w:val="00A63315"/>
    <w:rsid w:val="00A6371A"/>
    <w:rsid w:val="00A63CC9"/>
    <w:rsid w:val="00A63DEE"/>
    <w:rsid w:val="00A63E88"/>
    <w:rsid w:val="00A64268"/>
    <w:rsid w:val="00A642A3"/>
    <w:rsid w:val="00A6466B"/>
    <w:rsid w:val="00A648C9"/>
    <w:rsid w:val="00A64BFF"/>
    <w:rsid w:val="00A64E4A"/>
    <w:rsid w:val="00A6522C"/>
    <w:rsid w:val="00A653E2"/>
    <w:rsid w:val="00A654B8"/>
    <w:rsid w:val="00A6562D"/>
    <w:rsid w:val="00A65671"/>
    <w:rsid w:val="00A65B24"/>
    <w:rsid w:val="00A65DDC"/>
    <w:rsid w:val="00A65E7A"/>
    <w:rsid w:val="00A66503"/>
    <w:rsid w:val="00A66E4A"/>
    <w:rsid w:val="00A66FB5"/>
    <w:rsid w:val="00A67394"/>
    <w:rsid w:val="00A67643"/>
    <w:rsid w:val="00A67A3A"/>
    <w:rsid w:val="00A67C0E"/>
    <w:rsid w:val="00A67D5E"/>
    <w:rsid w:val="00A67DF2"/>
    <w:rsid w:val="00A700ED"/>
    <w:rsid w:val="00A7035C"/>
    <w:rsid w:val="00A706C9"/>
    <w:rsid w:val="00A7091D"/>
    <w:rsid w:val="00A70B16"/>
    <w:rsid w:val="00A7143A"/>
    <w:rsid w:val="00A7149A"/>
    <w:rsid w:val="00A714C1"/>
    <w:rsid w:val="00A7180A"/>
    <w:rsid w:val="00A71DE5"/>
    <w:rsid w:val="00A7202A"/>
    <w:rsid w:val="00A723DE"/>
    <w:rsid w:val="00A728A0"/>
    <w:rsid w:val="00A72F0E"/>
    <w:rsid w:val="00A73C15"/>
    <w:rsid w:val="00A73E8C"/>
    <w:rsid w:val="00A74043"/>
    <w:rsid w:val="00A742DE"/>
    <w:rsid w:val="00A74621"/>
    <w:rsid w:val="00A7466D"/>
    <w:rsid w:val="00A748CD"/>
    <w:rsid w:val="00A74C24"/>
    <w:rsid w:val="00A74DB4"/>
    <w:rsid w:val="00A75227"/>
    <w:rsid w:val="00A75358"/>
    <w:rsid w:val="00A758B6"/>
    <w:rsid w:val="00A7599D"/>
    <w:rsid w:val="00A76109"/>
    <w:rsid w:val="00A767FE"/>
    <w:rsid w:val="00A76A1B"/>
    <w:rsid w:val="00A76AED"/>
    <w:rsid w:val="00A76FE3"/>
    <w:rsid w:val="00A77363"/>
    <w:rsid w:val="00A77621"/>
    <w:rsid w:val="00A77AD2"/>
    <w:rsid w:val="00A80154"/>
    <w:rsid w:val="00A80290"/>
    <w:rsid w:val="00A806D7"/>
    <w:rsid w:val="00A80825"/>
    <w:rsid w:val="00A80843"/>
    <w:rsid w:val="00A80AD7"/>
    <w:rsid w:val="00A80BAC"/>
    <w:rsid w:val="00A80C09"/>
    <w:rsid w:val="00A80C4C"/>
    <w:rsid w:val="00A80DB0"/>
    <w:rsid w:val="00A80FEA"/>
    <w:rsid w:val="00A813B6"/>
    <w:rsid w:val="00A81568"/>
    <w:rsid w:val="00A819B4"/>
    <w:rsid w:val="00A81C9D"/>
    <w:rsid w:val="00A81E8B"/>
    <w:rsid w:val="00A81FE9"/>
    <w:rsid w:val="00A822EB"/>
    <w:rsid w:val="00A822EF"/>
    <w:rsid w:val="00A82477"/>
    <w:rsid w:val="00A824D5"/>
    <w:rsid w:val="00A82B5A"/>
    <w:rsid w:val="00A82D11"/>
    <w:rsid w:val="00A82D41"/>
    <w:rsid w:val="00A83046"/>
    <w:rsid w:val="00A8315A"/>
    <w:rsid w:val="00A83275"/>
    <w:rsid w:val="00A8392E"/>
    <w:rsid w:val="00A83F0E"/>
    <w:rsid w:val="00A8431A"/>
    <w:rsid w:val="00A846A3"/>
    <w:rsid w:val="00A84747"/>
    <w:rsid w:val="00A849C6"/>
    <w:rsid w:val="00A84EEA"/>
    <w:rsid w:val="00A84F1D"/>
    <w:rsid w:val="00A84FE1"/>
    <w:rsid w:val="00A853E8"/>
    <w:rsid w:val="00A8541D"/>
    <w:rsid w:val="00A856E6"/>
    <w:rsid w:val="00A85739"/>
    <w:rsid w:val="00A85910"/>
    <w:rsid w:val="00A859DF"/>
    <w:rsid w:val="00A85DE8"/>
    <w:rsid w:val="00A86083"/>
    <w:rsid w:val="00A8661C"/>
    <w:rsid w:val="00A86643"/>
    <w:rsid w:val="00A8676C"/>
    <w:rsid w:val="00A86AA3"/>
    <w:rsid w:val="00A86C69"/>
    <w:rsid w:val="00A86CBA"/>
    <w:rsid w:val="00A871E9"/>
    <w:rsid w:val="00A878D0"/>
    <w:rsid w:val="00A87C62"/>
    <w:rsid w:val="00A87F37"/>
    <w:rsid w:val="00A87FE6"/>
    <w:rsid w:val="00A900FC"/>
    <w:rsid w:val="00A909D5"/>
    <w:rsid w:val="00A909D6"/>
    <w:rsid w:val="00A90AF9"/>
    <w:rsid w:val="00A90E21"/>
    <w:rsid w:val="00A91057"/>
    <w:rsid w:val="00A910EC"/>
    <w:rsid w:val="00A912C7"/>
    <w:rsid w:val="00A913C3"/>
    <w:rsid w:val="00A918DA"/>
    <w:rsid w:val="00A91A71"/>
    <w:rsid w:val="00A91BA6"/>
    <w:rsid w:val="00A91DDB"/>
    <w:rsid w:val="00A92020"/>
    <w:rsid w:val="00A924AC"/>
    <w:rsid w:val="00A9269E"/>
    <w:rsid w:val="00A92835"/>
    <w:rsid w:val="00A928AC"/>
    <w:rsid w:val="00A92B25"/>
    <w:rsid w:val="00A92EF3"/>
    <w:rsid w:val="00A92F9C"/>
    <w:rsid w:val="00A93575"/>
    <w:rsid w:val="00A93692"/>
    <w:rsid w:val="00A937DB"/>
    <w:rsid w:val="00A93C04"/>
    <w:rsid w:val="00A93DA4"/>
    <w:rsid w:val="00A93DD4"/>
    <w:rsid w:val="00A93E80"/>
    <w:rsid w:val="00A93F50"/>
    <w:rsid w:val="00A947B9"/>
    <w:rsid w:val="00A94B96"/>
    <w:rsid w:val="00A94D5A"/>
    <w:rsid w:val="00A95190"/>
    <w:rsid w:val="00A95318"/>
    <w:rsid w:val="00A95863"/>
    <w:rsid w:val="00A95A18"/>
    <w:rsid w:val="00A95A19"/>
    <w:rsid w:val="00A96108"/>
    <w:rsid w:val="00A96155"/>
    <w:rsid w:val="00A96449"/>
    <w:rsid w:val="00A9658B"/>
    <w:rsid w:val="00A96A80"/>
    <w:rsid w:val="00A96C7F"/>
    <w:rsid w:val="00A9733C"/>
    <w:rsid w:val="00A97419"/>
    <w:rsid w:val="00A9775E"/>
    <w:rsid w:val="00A97AFF"/>
    <w:rsid w:val="00A97BDD"/>
    <w:rsid w:val="00A9BFF9"/>
    <w:rsid w:val="00AA023A"/>
    <w:rsid w:val="00AA028D"/>
    <w:rsid w:val="00AA0293"/>
    <w:rsid w:val="00AA02F0"/>
    <w:rsid w:val="00AA0413"/>
    <w:rsid w:val="00AA06F0"/>
    <w:rsid w:val="00AA0766"/>
    <w:rsid w:val="00AA0920"/>
    <w:rsid w:val="00AA0C2C"/>
    <w:rsid w:val="00AA0C89"/>
    <w:rsid w:val="00AA0D4B"/>
    <w:rsid w:val="00AA10FB"/>
    <w:rsid w:val="00AA1142"/>
    <w:rsid w:val="00AA1280"/>
    <w:rsid w:val="00AA14FE"/>
    <w:rsid w:val="00AA1645"/>
    <w:rsid w:val="00AA1F45"/>
    <w:rsid w:val="00AA200B"/>
    <w:rsid w:val="00AA210D"/>
    <w:rsid w:val="00AA211A"/>
    <w:rsid w:val="00AA2173"/>
    <w:rsid w:val="00AA222B"/>
    <w:rsid w:val="00AA225A"/>
    <w:rsid w:val="00AA25C4"/>
    <w:rsid w:val="00AA270B"/>
    <w:rsid w:val="00AA288E"/>
    <w:rsid w:val="00AA2925"/>
    <w:rsid w:val="00AA2D5E"/>
    <w:rsid w:val="00AA2FDA"/>
    <w:rsid w:val="00AA3208"/>
    <w:rsid w:val="00AA332F"/>
    <w:rsid w:val="00AA3386"/>
    <w:rsid w:val="00AA3AAD"/>
    <w:rsid w:val="00AA3AED"/>
    <w:rsid w:val="00AA3B63"/>
    <w:rsid w:val="00AA3BD3"/>
    <w:rsid w:val="00AA3FB9"/>
    <w:rsid w:val="00AA40F2"/>
    <w:rsid w:val="00AA412E"/>
    <w:rsid w:val="00AA428A"/>
    <w:rsid w:val="00AA436B"/>
    <w:rsid w:val="00AA441E"/>
    <w:rsid w:val="00AA45F8"/>
    <w:rsid w:val="00AA477E"/>
    <w:rsid w:val="00AA4D9E"/>
    <w:rsid w:val="00AA4E5C"/>
    <w:rsid w:val="00AA4E9B"/>
    <w:rsid w:val="00AA4F21"/>
    <w:rsid w:val="00AA512E"/>
    <w:rsid w:val="00AA55D2"/>
    <w:rsid w:val="00AA586D"/>
    <w:rsid w:val="00AA592B"/>
    <w:rsid w:val="00AA5939"/>
    <w:rsid w:val="00AA5B1F"/>
    <w:rsid w:val="00AA5D04"/>
    <w:rsid w:val="00AA5D5D"/>
    <w:rsid w:val="00AA5EEF"/>
    <w:rsid w:val="00AA612A"/>
    <w:rsid w:val="00AA6186"/>
    <w:rsid w:val="00AA647C"/>
    <w:rsid w:val="00AA6514"/>
    <w:rsid w:val="00AA6574"/>
    <w:rsid w:val="00AA6BB0"/>
    <w:rsid w:val="00AA6C0F"/>
    <w:rsid w:val="00AA6DB5"/>
    <w:rsid w:val="00AA6F23"/>
    <w:rsid w:val="00AA6FA0"/>
    <w:rsid w:val="00AA758A"/>
    <w:rsid w:val="00AA7659"/>
    <w:rsid w:val="00AA787C"/>
    <w:rsid w:val="00AA792B"/>
    <w:rsid w:val="00AA7EE7"/>
    <w:rsid w:val="00AA7FD3"/>
    <w:rsid w:val="00AB0050"/>
    <w:rsid w:val="00AB0139"/>
    <w:rsid w:val="00AB048C"/>
    <w:rsid w:val="00AB06D3"/>
    <w:rsid w:val="00AB07C9"/>
    <w:rsid w:val="00AB0B33"/>
    <w:rsid w:val="00AB0CD3"/>
    <w:rsid w:val="00AB0FD6"/>
    <w:rsid w:val="00AB1027"/>
    <w:rsid w:val="00AB15A6"/>
    <w:rsid w:val="00AB15A7"/>
    <w:rsid w:val="00AB1AD3"/>
    <w:rsid w:val="00AB1B33"/>
    <w:rsid w:val="00AB1F38"/>
    <w:rsid w:val="00AB255D"/>
    <w:rsid w:val="00AB32BB"/>
    <w:rsid w:val="00AB33A8"/>
    <w:rsid w:val="00AB3510"/>
    <w:rsid w:val="00AB36C1"/>
    <w:rsid w:val="00AB3B3A"/>
    <w:rsid w:val="00AB3C7D"/>
    <w:rsid w:val="00AB3D8D"/>
    <w:rsid w:val="00AB3F34"/>
    <w:rsid w:val="00AB44AE"/>
    <w:rsid w:val="00AB46F2"/>
    <w:rsid w:val="00AB4C25"/>
    <w:rsid w:val="00AB4C45"/>
    <w:rsid w:val="00AB4C76"/>
    <w:rsid w:val="00AB4DF9"/>
    <w:rsid w:val="00AB51FA"/>
    <w:rsid w:val="00AB5610"/>
    <w:rsid w:val="00AB5646"/>
    <w:rsid w:val="00AB58AA"/>
    <w:rsid w:val="00AB5960"/>
    <w:rsid w:val="00AB5BFA"/>
    <w:rsid w:val="00AB5C46"/>
    <w:rsid w:val="00AB5DAD"/>
    <w:rsid w:val="00AB612A"/>
    <w:rsid w:val="00AB64CB"/>
    <w:rsid w:val="00AB64F9"/>
    <w:rsid w:val="00AB663B"/>
    <w:rsid w:val="00AB66E8"/>
    <w:rsid w:val="00AB687E"/>
    <w:rsid w:val="00AB711F"/>
    <w:rsid w:val="00AB72CA"/>
    <w:rsid w:val="00AB72F6"/>
    <w:rsid w:val="00AB7352"/>
    <w:rsid w:val="00AB78AA"/>
    <w:rsid w:val="00AB78D7"/>
    <w:rsid w:val="00AB7A50"/>
    <w:rsid w:val="00AB7B9B"/>
    <w:rsid w:val="00AB7EC7"/>
    <w:rsid w:val="00AC01CB"/>
    <w:rsid w:val="00AC01F6"/>
    <w:rsid w:val="00AC0534"/>
    <w:rsid w:val="00AC07C0"/>
    <w:rsid w:val="00AC0801"/>
    <w:rsid w:val="00AC0838"/>
    <w:rsid w:val="00AC0892"/>
    <w:rsid w:val="00AC08F1"/>
    <w:rsid w:val="00AC0A2C"/>
    <w:rsid w:val="00AC0ACB"/>
    <w:rsid w:val="00AC0C96"/>
    <w:rsid w:val="00AC0DBC"/>
    <w:rsid w:val="00AC11D2"/>
    <w:rsid w:val="00AC13C2"/>
    <w:rsid w:val="00AC1672"/>
    <w:rsid w:val="00AC18FA"/>
    <w:rsid w:val="00AC1990"/>
    <w:rsid w:val="00AC1C73"/>
    <w:rsid w:val="00AC1ECF"/>
    <w:rsid w:val="00AC222E"/>
    <w:rsid w:val="00AC2445"/>
    <w:rsid w:val="00AC258E"/>
    <w:rsid w:val="00AC26E3"/>
    <w:rsid w:val="00AC27C5"/>
    <w:rsid w:val="00AC2928"/>
    <w:rsid w:val="00AC2B13"/>
    <w:rsid w:val="00AC2BF4"/>
    <w:rsid w:val="00AC2D80"/>
    <w:rsid w:val="00AC2E68"/>
    <w:rsid w:val="00AC3094"/>
    <w:rsid w:val="00AC33E9"/>
    <w:rsid w:val="00AC3628"/>
    <w:rsid w:val="00AC37AE"/>
    <w:rsid w:val="00AC37B2"/>
    <w:rsid w:val="00AC37F8"/>
    <w:rsid w:val="00AC3A37"/>
    <w:rsid w:val="00AC3A9B"/>
    <w:rsid w:val="00AC3D8C"/>
    <w:rsid w:val="00AC41B0"/>
    <w:rsid w:val="00AC429B"/>
    <w:rsid w:val="00AC471F"/>
    <w:rsid w:val="00AC4B62"/>
    <w:rsid w:val="00AC507C"/>
    <w:rsid w:val="00AC516F"/>
    <w:rsid w:val="00AC51E4"/>
    <w:rsid w:val="00AC53F3"/>
    <w:rsid w:val="00AC55C6"/>
    <w:rsid w:val="00AC5688"/>
    <w:rsid w:val="00AC57E7"/>
    <w:rsid w:val="00AC5B30"/>
    <w:rsid w:val="00AC61BC"/>
    <w:rsid w:val="00AC6202"/>
    <w:rsid w:val="00AC623F"/>
    <w:rsid w:val="00AC633B"/>
    <w:rsid w:val="00AC63BB"/>
    <w:rsid w:val="00AC67DE"/>
    <w:rsid w:val="00AC6AE9"/>
    <w:rsid w:val="00AC6C9C"/>
    <w:rsid w:val="00AC72CA"/>
    <w:rsid w:val="00AC7337"/>
    <w:rsid w:val="00AC7482"/>
    <w:rsid w:val="00AC75C5"/>
    <w:rsid w:val="00AC763D"/>
    <w:rsid w:val="00AC76B3"/>
    <w:rsid w:val="00AC7729"/>
    <w:rsid w:val="00AC784A"/>
    <w:rsid w:val="00AC78EA"/>
    <w:rsid w:val="00AC79AF"/>
    <w:rsid w:val="00AC7A93"/>
    <w:rsid w:val="00AC7B3D"/>
    <w:rsid w:val="00AC7CF7"/>
    <w:rsid w:val="00AC7E2C"/>
    <w:rsid w:val="00AD035C"/>
    <w:rsid w:val="00AD040D"/>
    <w:rsid w:val="00AD06DE"/>
    <w:rsid w:val="00AD085A"/>
    <w:rsid w:val="00AD09C4"/>
    <w:rsid w:val="00AD0C12"/>
    <w:rsid w:val="00AD0D20"/>
    <w:rsid w:val="00AD0F56"/>
    <w:rsid w:val="00AD118C"/>
    <w:rsid w:val="00AD11F0"/>
    <w:rsid w:val="00AD1354"/>
    <w:rsid w:val="00AD18F4"/>
    <w:rsid w:val="00AD1B6F"/>
    <w:rsid w:val="00AD1D3D"/>
    <w:rsid w:val="00AD1F59"/>
    <w:rsid w:val="00AD1FF3"/>
    <w:rsid w:val="00AD22A5"/>
    <w:rsid w:val="00AD23E4"/>
    <w:rsid w:val="00AD2531"/>
    <w:rsid w:val="00AD2F43"/>
    <w:rsid w:val="00AD3137"/>
    <w:rsid w:val="00AD3276"/>
    <w:rsid w:val="00AD35B3"/>
    <w:rsid w:val="00AD35F2"/>
    <w:rsid w:val="00AD3768"/>
    <w:rsid w:val="00AD3E61"/>
    <w:rsid w:val="00AD4409"/>
    <w:rsid w:val="00AD49C8"/>
    <w:rsid w:val="00AD4B8E"/>
    <w:rsid w:val="00AD4DF5"/>
    <w:rsid w:val="00AD4E64"/>
    <w:rsid w:val="00AD4FE9"/>
    <w:rsid w:val="00AD5229"/>
    <w:rsid w:val="00AD52D7"/>
    <w:rsid w:val="00AD572B"/>
    <w:rsid w:val="00AD572E"/>
    <w:rsid w:val="00AD57C3"/>
    <w:rsid w:val="00AD5956"/>
    <w:rsid w:val="00AD59A0"/>
    <w:rsid w:val="00AD5B94"/>
    <w:rsid w:val="00AD5C01"/>
    <w:rsid w:val="00AD5FFF"/>
    <w:rsid w:val="00AD6491"/>
    <w:rsid w:val="00AD65A7"/>
    <w:rsid w:val="00AD6683"/>
    <w:rsid w:val="00AD68DC"/>
    <w:rsid w:val="00AD6B16"/>
    <w:rsid w:val="00AD6C66"/>
    <w:rsid w:val="00AD6D19"/>
    <w:rsid w:val="00AD6EA9"/>
    <w:rsid w:val="00AD73B9"/>
    <w:rsid w:val="00AD740B"/>
    <w:rsid w:val="00AD78BF"/>
    <w:rsid w:val="00AD7A36"/>
    <w:rsid w:val="00AD7AB7"/>
    <w:rsid w:val="00AD7FD6"/>
    <w:rsid w:val="00AD7FFC"/>
    <w:rsid w:val="00AE0012"/>
    <w:rsid w:val="00AE00FE"/>
    <w:rsid w:val="00AE0347"/>
    <w:rsid w:val="00AE05FC"/>
    <w:rsid w:val="00AE0626"/>
    <w:rsid w:val="00AE092A"/>
    <w:rsid w:val="00AE13E3"/>
    <w:rsid w:val="00AE158B"/>
    <w:rsid w:val="00AE1625"/>
    <w:rsid w:val="00AE16CB"/>
    <w:rsid w:val="00AE174B"/>
    <w:rsid w:val="00AE1AAA"/>
    <w:rsid w:val="00AE1B3B"/>
    <w:rsid w:val="00AE1D1A"/>
    <w:rsid w:val="00AE1E40"/>
    <w:rsid w:val="00AE2072"/>
    <w:rsid w:val="00AE250B"/>
    <w:rsid w:val="00AE2647"/>
    <w:rsid w:val="00AE272A"/>
    <w:rsid w:val="00AE2A9C"/>
    <w:rsid w:val="00AE3214"/>
    <w:rsid w:val="00AE32D1"/>
    <w:rsid w:val="00AE355E"/>
    <w:rsid w:val="00AE36FA"/>
    <w:rsid w:val="00AE3725"/>
    <w:rsid w:val="00AE39F1"/>
    <w:rsid w:val="00AE3B39"/>
    <w:rsid w:val="00AE3DE7"/>
    <w:rsid w:val="00AE40D9"/>
    <w:rsid w:val="00AE43F8"/>
    <w:rsid w:val="00AE4499"/>
    <w:rsid w:val="00AE4675"/>
    <w:rsid w:val="00AE4B6E"/>
    <w:rsid w:val="00AE4BE5"/>
    <w:rsid w:val="00AE4CDD"/>
    <w:rsid w:val="00AE4EE1"/>
    <w:rsid w:val="00AE4FE1"/>
    <w:rsid w:val="00AE51F4"/>
    <w:rsid w:val="00AE5238"/>
    <w:rsid w:val="00AE5348"/>
    <w:rsid w:val="00AE54F0"/>
    <w:rsid w:val="00AE57F4"/>
    <w:rsid w:val="00AE5A7C"/>
    <w:rsid w:val="00AE60C9"/>
    <w:rsid w:val="00AE6109"/>
    <w:rsid w:val="00AE634D"/>
    <w:rsid w:val="00AE66AB"/>
    <w:rsid w:val="00AE66B3"/>
    <w:rsid w:val="00AE67B8"/>
    <w:rsid w:val="00AE6882"/>
    <w:rsid w:val="00AE68ED"/>
    <w:rsid w:val="00AE6DA7"/>
    <w:rsid w:val="00AE7007"/>
    <w:rsid w:val="00AE7172"/>
    <w:rsid w:val="00AE7191"/>
    <w:rsid w:val="00AE7343"/>
    <w:rsid w:val="00AE74B5"/>
    <w:rsid w:val="00AE74D6"/>
    <w:rsid w:val="00AE7795"/>
    <w:rsid w:val="00AE788D"/>
    <w:rsid w:val="00AE79F7"/>
    <w:rsid w:val="00AE7A88"/>
    <w:rsid w:val="00AE7BDF"/>
    <w:rsid w:val="00AE7D71"/>
    <w:rsid w:val="00AF0112"/>
    <w:rsid w:val="00AF0670"/>
    <w:rsid w:val="00AF07B5"/>
    <w:rsid w:val="00AF08E9"/>
    <w:rsid w:val="00AF0977"/>
    <w:rsid w:val="00AF0CE9"/>
    <w:rsid w:val="00AF0F66"/>
    <w:rsid w:val="00AF1227"/>
    <w:rsid w:val="00AF1301"/>
    <w:rsid w:val="00AF1393"/>
    <w:rsid w:val="00AF1452"/>
    <w:rsid w:val="00AF1501"/>
    <w:rsid w:val="00AF1552"/>
    <w:rsid w:val="00AF15C4"/>
    <w:rsid w:val="00AF181E"/>
    <w:rsid w:val="00AF1952"/>
    <w:rsid w:val="00AF1BA0"/>
    <w:rsid w:val="00AF1C9F"/>
    <w:rsid w:val="00AF1E39"/>
    <w:rsid w:val="00AF20EA"/>
    <w:rsid w:val="00AF236B"/>
    <w:rsid w:val="00AF27BD"/>
    <w:rsid w:val="00AF2B44"/>
    <w:rsid w:val="00AF2B83"/>
    <w:rsid w:val="00AF2BB4"/>
    <w:rsid w:val="00AF2E01"/>
    <w:rsid w:val="00AF31E2"/>
    <w:rsid w:val="00AF3222"/>
    <w:rsid w:val="00AF32DE"/>
    <w:rsid w:val="00AF335D"/>
    <w:rsid w:val="00AF3381"/>
    <w:rsid w:val="00AF33F6"/>
    <w:rsid w:val="00AF35C2"/>
    <w:rsid w:val="00AF36DC"/>
    <w:rsid w:val="00AF37B0"/>
    <w:rsid w:val="00AF37CD"/>
    <w:rsid w:val="00AF39ED"/>
    <w:rsid w:val="00AF3C89"/>
    <w:rsid w:val="00AF3D10"/>
    <w:rsid w:val="00AF3FD2"/>
    <w:rsid w:val="00AF42BD"/>
    <w:rsid w:val="00AF4320"/>
    <w:rsid w:val="00AF43F4"/>
    <w:rsid w:val="00AF4450"/>
    <w:rsid w:val="00AF465C"/>
    <w:rsid w:val="00AF47C2"/>
    <w:rsid w:val="00AF4820"/>
    <w:rsid w:val="00AF5060"/>
    <w:rsid w:val="00AF517C"/>
    <w:rsid w:val="00AF51DE"/>
    <w:rsid w:val="00AF52BE"/>
    <w:rsid w:val="00AF53BB"/>
    <w:rsid w:val="00AF55D4"/>
    <w:rsid w:val="00AF55EA"/>
    <w:rsid w:val="00AF56D6"/>
    <w:rsid w:val="00AF5927"/>
    <w:rsid w:val="00AF5AB2"/>
    <w:rsid w:val="00AF5CD6"/>
    <w:rsid w:val="00AF5CFE"/>
    <w:rsid w:val="00AF5DC2"/>
    <w:rsid w:val="00AF5F04"/>
    <w:rsid w:val="00AF6023"/>
    <w:rsid w:val="00AF630B"/>
    <w:rsid w:val="00AF6417"/>
    <w:rsid w:val="00AF696C"/>
    <w:rsid w:val="00AF6BB9"/>
    <w:rsid w:val="00AF6C4E"/>
    <w:rsid w:val="00AF6DEC"/>
    <w:rsid w:val="00AF6E9F"/>
    <w:rsid w:val="00AF783A"/>
    <w:rsid w:val="00AF7D3C"/>
    <w:rsid w:val="00B0011D"/>
    <w:rsid w:val="00B00202"/>
    <w:rsid w:val="00B00558"/>
    <w:rsid w:val="00B00900"/>
    <w:rsid w:val="00B0099A"/>
    <w:rsid w:val="00B00A7C"/>
    <w:rsid w:val="00B00FF6"/>
    <w:rsid w:val="00B010F8"/>
    <w:rsid w:val="00B011CD"/>
    <w:rsid w:val="00B013EC"/>
    <w:rsid w:val="00B0143B"/>
    <w:rsid w:val="00B01454"/>
    <w:rsid w:val="00B01501"/>
    <w:rsid w:val="00B019DA"/>
    <w:rsid w:val="00B01AAF"/>
    <w:rsid w:val="00B01B48"/>
    <w:rsid w:val="00B01F6F"/>
    <w:rsid w:val="00B0219F"/>
    <w:rsid w:val="00B023CA"/>
    <w:rsid w:val="00B02497"/>
    <w:rsid w:val="00B024B3"/>
    <w:rsid w:val="00B02A13"/>
    <w:rsid w:val="00B02B40"/>
    <w:rsid w:val="00B02CC7"/>
    <w:rsid w:val="00B02DB7"/>
    <w:rsid w:val="00B0304C"/>
    <w:rsid w:val="00B033C6"/>
    <w:rsid w:val="00B035DB"/>
    <w:rsid w:val="00B03722"/>
    <w:rsid w:val="00B04001"/>
    <w:rsid w:val="00B04357"/>
    <w:rsid w:val="00B046DC"/>
    <w:rsid w:val="00B046EE"/>
    <w:rsid w:val="00B04862"/>
    <w:rsid w:val="00B04F32"/>
    <w:rsid w:val="00B04FEF"/>
    <w:rsid w:val="00B0528F"/>
    <w:rsid w:val="00B056A7"/>
    <w:rsid w:val="00B056F4"/>
    <w:rsid w:val="00B05711"/>
    <w:rsid w:val="00B0592A"/>
    <w:rsid w:val="00B05A99"/>
    <w:rsid w:val="00B05AE6"/>
    <w:rsid w:val="00B06072"/>
    <w:rsid w:val="00B0627A"/>
    <w:rsid w:val="00B0675C"/>
    <w:rsid w:val="00B0698E"/>
    <w:rsid w:val="00B06A45"/>
    <w:rsid w:val="00B06E6E"/>
    <w:rsid w:val="00B06FC4"/>
    <w:rsid w:val="00B071F5"/>
    <w:rsid w:val="00B073D5"/>
    <w:rsid w:val="00B074CE"/>
    <w:rsid w:val="00B07A4F"/>
    <w:rsid w:val="00B07BD6"/>
    <w:rsid w:val="00B10215"/>
    <w:rsid w:val="00B1031C"/>
    <w:rsid w:val="00B10333"/>
    <w:rsid w:val="00B10579"/>
    <w:rsid w:val="00B105E5"/>
    <w:rsid w:val="00B10636"/>
    <w:rsid w:val="00B10B3E"/>
    <w:rsid w:val="00B10DB8"/>
    <w:rsid w:val="00B10F6B"/>
    <w:rsid w:val="00B10F91"/>
    <w:rsid w:val="00B11653"/>
    <w:rsid w:val="00B1169B"/>
    <w:rsid w:val="00B118F1"/>
    <w:rsid w:val="00B11BE4"/>
    <w:rsid w:val="00B11D3B"/>
    <w:rsid w:val="00B1235A"/>
    <w:rsid w:val="00B124C5"/>
    <w:rsid w:val="00B127D1"/>
    <w:rsid w:val="00B12853"/>
    <w:rsid w:val="00B12BE5"/>
    <w:rsid w:val="00B12C5B"/>
    <w:rsid w:val="00B12CC9"/>
    <w:rsid w:val="00B12E7A"/>
    <w:rsid w:val="00B13005"/>
    <w:rsid w:val="00B13526"/>
    <w:rsid w:val="00B1389C"/>
    <w:rsid w:val="00B13911"/>
    <w:rsid w:val="00B13956"/>
    <w:rsid w:val="00B1398A"/>
    <w:rsid w:val="00B139B2"/>
    <w:rsid w:val="00B13BC6"/>
    <w:rsid w:val="00B13E82"/>
    <w:rsid w:val="00B13EDA"/>
    <w:rsid w:val="00B141E1"/>
    <w:rsid w:val="00B14282"/>
    <w:rsid w:val="00B14573"/>
    <w:rsid w:val="00B14583"/>
    <w:rsid w:val="00B14A3E"/>
    <w:rsid w:val="00B14B40"/>
    <w:rsid w:val="00B14C3A"/>
    <w:rsid w:val="00B14FAD"/>
    <w:rsid w:val="00B151E9"/>
    <w:rsid w:val="00B1556E"/>
    <w:rsid w:val="00B15773"/>
    <w:rsid w:val="00B15855"/>
    <w:rsid w:val="00B15BC1"/>
    <w:rsid w:val="00B15D11"/>
    <w:rsid w:val="00B15EEC"/>
    <w:rsid w:val="00B15F32"/>
    <w:rsid w:val="00B15FC8"/>
    <w:rsid w:val="00B161D6"/>
    <w:rsid w:val="00B16230"/>
    <w:rsid w:val="00B16485"/>
    <w:rsid w:val="00B16596"/>
    <w:rsid w:val="00B16C3F"/>
    <w:rsid w:val="00B16D03"/>
    <w:rsid w:val="00B16E0E"/>
    <w:rsid w:val="00B172C3"/>
    <w:rsid w:val="00B17937"/>
    <w:rsid w:val="00B179B6"/>
    <w:rsid w:val="00B17C24"/>
    <w:rsid w:val="00B17E8D"/>
    <w:rsid w:val="00B201A0"/>
    <w:rsid w:val="00B203FA"/>
    <w:rsid w:val="00B2056D"/>
    <w:rsid w:val="00B20816"/>
    <w:rsid w:val="00B20CE1"/>
    <w:rsid w:val="00B20D96"/>
    <w:rsid w:val="00B20E67"/>
    <w:rsid w:val="00B21001"/>
    <w:rsid w:val="00B2114F"/>
    <w:rsid w:val="00B21209"/>
    <w:rsid w:val="00B21422"/>
    <w:rsid w:val="00B215E8"/>
    <w:rsid w:val="00B216AA"/>
    <w:rsid w:val="00B21E1F"/>
    <w:rsid w:val="00B21F9C"/>
    <w:rsid w:val="00B2203D"/>
    <w:rsid w:val="00B220DA"/>
    <w:rsid w:val="00B22117"/>
    <w:rsid w:val="00B223C0"/>
    <w:rsid w:val="00B225B2"/>
    <w:rsid w:val="00B22699"/>
    <w:rsid w:val="00B22847"/>
    <w:rsid w:val="00B22E7E"/>
    <w:rsid w:val="00B22FD5"/>
    <w:rsid w:val="00B22FEA"/>
    <w:rsid w:val="00B232A3"/>
    <w:rsid w:val="00B23328"/>
    <w:rsid w:val="00B234F5"/>
    <w:rsid w:val="00B23935"/>
    <w:rsid w:val="00B23BC4"/>
    <w:rsid w:val="00B23E90"/>
    <w:rsid w:val="00B23FC2"/>
    <w:rsid w:val="00B24242"/>
    <w:rsid w:val="00B2461E"/>
    <w:rsid w:val="00B24690"/>
    <w:rsid w:val="00B246C7"/>
    <w:rsid w:val="00B24E3E"/>
    <w:rsid w:val="00B251CF"/>
    <w:rsid w:val="00B25263"/>
    <w:rsid w:val="00B25728"/>
    <w:rsid w:val="00B259CC"/>
    <w:rsid w:val="00B25A34"/>
    <w:rsid w:val="00B25AAF"/>
    <w:rsid w:val="00B2626F"/>
    <w:rsid w:val="00B263B4"/>
    <w:rsid w:val="00B2692C"/>
    <w:rsid w:val="00B26B75"/>
    <w:rsid w:val="00B26C19"/>
    <w:rsid w:val="00B27542"/>
    <w:rsid w:val="00B275B4"/>
    <w:rsid w:val="00B2764F"/>
    <w:rsid w:val="00B27B40"/>
    <w:rsid w:val="00B27C11"/>
    <w:rsid w:val="00B3000B"/>
    <w:rsid w:val="00B3035F"/>
    <w:rsid w:val="00B303BD"/>
    <w:rsid w:val="00B30C49"/>
    <w:rsid w:val="00B316D7"/>
    <w:rsid w:val="00B31D26"/>
    <w:rsid w:val="00B3219C"/>
    <w:rsid w:val="00B32225"/>
    <w:rsid w:val="00B323A2"/>
    <w:rsid w:val="00B325D3"/>
    <w:rsid w:val="00B3261F"/>
    <w:rsid w:val="00B328BA"/>
    <w:rsid w:val="00B32938"/>
    <w:rsid w:val="00B32985"/>
    <w:rsid w:val="00B32B62"/>
    <w:rsid w:val="00B32BD1"/>
    <w:rsid w:val="00B32CE6"/>
    <w:rsid w:val="00B32F0E"/>
    <w:rsid w:val="00B32F3C"/>
    <w:rsid w:val="00B3302B"/>
    <w:rsid w:val="00B33285"/>
    <w:rsid w:val="00B333AE"/>
    <w:rsid w:val="00B3349F"/>
    <w:rsid w:val="00B33666"/>
    <w:rsid w:val="00B33D38"/>
    <w:rsid w:val="00B33FF7"/>
    <w:rsid w:val="00B3416B"/>
    <w:rsid w:val="00B341CE"/>
    <w:rsid w:val="00B342E6"/>
    <w:rsid w:val="00B342FF"/>
    <w:rsid w:val="00B343BD"/>
    <w:rsid w:val="00B34549"/>
    <w:rsid w:val="00B34ABE"/>
    <w:rsid w:val="00B34C3E"/>
    <w:rsid w:val="00B34C48"/>
    <w:rsid w:val="00B34DBE"/>
    <w:rsid w:val="00B34EBB"/>
    <w:rsid w:val="00B34FE7"/>
    <w:rsid w:val="00B35476"/>
    <w:rsid w:val="00B35B0F"/>
    <w:rsid w:val="00B35BCA"/>
    <w:rsid w:val="00B35D11"/>
    <w:rsid w:val="00B3609B"/>
    <w:rsid w:val="00B362E9"/>
    <w:rsid w:val="00B3640E"/>
    <w:rsid w:val="00B36BF4"/>
    <w:rsid w:val="00B36CCF"/>
    <w:rsid w:val="00B36D2F"/>
    <w:rsid w:val="00B36EC0"/>
    <w:rsid w:val="00B37095"/>
    <w:rsid w:val="00B3749F"/>
    <w:rsid w:val="00B3764E"/>
    <w:rsid w:val="00B37977"/>
    <w:rsid w:val="00B37BBE"/>
    <w:rsid w:val="00B37CE3"/>
    <w:rsid w:val="00B37CF7"/>
    <w:rsid w:val="00B37DDE"/>
    <w:rsid w:val="00B37F36"/>
    <w:rsid w:val="00B4001D"/>
    <w:rsid w:val="00B400C0"/>
    <w:rsid w:val="00B4034C"/>
    <w:rsid w:val="00B40811"/>
    <w:rsid w:val="00B40A13"/>
    <w:rsid w:val="00B40A5A"/>
    <w:rsid w:val="00B414BF"/>
    <w:rsid w:val="00B4154C"/>
    <w:rsid w:val="00B4172A"/>
    <w:rsid w:val="00B41834"/>
    <w:rsid w:val="00B41877"/>
    <w:rsid w:val="00B419B1"/>
    <w:rsid w:val="00B420AF"/>
    <w:rsid w:val="00B421DE"/>
    <w:rsid w:val="00B42409"/>
    <w:rsid w:val="00B4282D"/>
    <w:rsid w:val="00B4291A"/>
    <w:rsid w:val="00B42AFF"/>
    <w:rsid w:val="00B42B4D"/>
    <w:rsid w:val="00B42B73"/>
    <w:rsid w:val="00B42C0D"/>
    <w:rsid w:val="00B42C4F"/>
    <w:rsid w:val="00B42EE3"/>
    <w:rsid w:val="00B42EFD"/>
    <w:rsid w:val="00B43174"/>
    <w:rsid w:val="00B43309"/>
    <w:rsid w:val="00B43652"/>
    <w:rsid w:val="00B43C9C"/>
    <w:rsid w:val="00B43DA0"/>
    <w:rsid w:val="00B43F35"/>
    <w:rsid w:val="00B4423B"/>
    <w:rsid w:val="00B445D0"/>
    <w:rsid w:val="00B445F3"/>
    <w:rsid w:val="00B44615"/>
    <w:rsid w:val="00B44E60"/>
    <w:rsid w:val="00B44ED6"/>
    <w:rsid w:val="00B44FA3"/>
    <w:rsid w:val="00B4549E"/>
    <w:rsid w:val="00B457B7"/>
    <w:rsid w:val="00B45934"/>
    <w:rsid w:val="00B461BA"/>
    <w:rsid w:val="00B46647"/>
    <w:rsid w:val="00B4685E"/>
    <w:rsid w:val="00B46928"/>
    <w:rsid w:val="00B46A28"/>
    <w:rsid w:val="00B46A81"/>
    <w:rsid w:val="00B46F29"/>
    <w:rsid w:val="00B4764A"/>
    <w:rsid w:val="00B477C5"/>
    <w:rsid w:val="00B4781F"/>
    <w:rsid w:val="00B47952"/>
    <w:rsid w:val="00B47A06"/>
    <w:rsid w:val="00B47A3D"/>
    <w:rsid w:val="00B47C17"/>
    <w:rsid w:val="00B47C3A"/>
    <w:rsid w:val="00B47D16"/>
    <w:rsid w:val="00B47D7D"/>
    <w:rsid w:val="00B50264"/>
    <w:rsid w:val="00B50385"/>
    <w:rsid w:val="00B50432"/>
    <w:rsid w:val="00B506A2"/>
    <w:rsid w:val="00B508B4"/>
    <w:rsid w:val="00B50AA3"/>
    <w:rsid w:val="00B50BFD"/>
    <w:rsid w:val="00B50CDD"/>
    <w:rsid w:val="00B50D18"/>
    <w:rsid w:val="00B5115A"/>
    <w:rsid w:val="00B51339"/>
    <w:rsid w:val="00B51372"/>
    <w:rsid w:val="00B51639"/>
    <w:rsid w:val="00B521D3"/>
    <w:rsid w:val="00B52253"/>
    <w:rsid w:val="00B52615"/>
    <w:rsid w:val="00B52945"/>
    <w:rsid w:val="00B52FB7"/>
    <w:rsid w:val="00B531DC"/>
    <w:rsid w:val="00B53204"/>
    <w:rsid w:val="00B53545"/>
    <w:rsid w:val="00B539BD"/>
    <w:rsid w:val="00B53BA7"/>
    <w:rsid w:val="00B53C7F"/>
    <w:rsid w:val="00B53CE2"/>
    <w:rsid w:val="00B544E4"/>
    <w:rsid w:val="00B54660"/>
    <w:rsid w:val="00B54889"/>
    <w:rsid w:val="00B548E4"/>
    <w:rsid w:val="00B54B94"/>
    <w:rsid w:val="00B54C76"/>
    <w:rsid w:val="00B54C8C"/>
    <w:rsid w:val="00B54F44"/>
    <w:rsid w:val="00B5500B"/>
    <w:rsid w:val="00B5545C"/>
    <w:rsid w:val="00B55E2A"/>
    <w:rsid w:val="00B56116"/>
    <w:rsid w:val="00B56664"/>
    <w:rsid w:val="00B5666C"/>
    <w:rsid w:val="00B5677C"/>
    <w:rsid w:val="00B56974"/>
    <w:rsid w:val="00B56B1A"/>
    <w:rsid w:val="00B56C48"/>
    <w:rsid w:val="00B56D5B"/>
    <w:rsid w:val="00B56E0B"/>
    <w:rsid w:val="00B56E48"/>
    <w:rsid w:val="00B56F67"/>
    <w:rsid w:val="00B56FB4"/>
    <w:rsid w:val="00B57066"/>
    <w:rsid w:val="00B5737E"/>
    <w:rsid w:val="00B574FF"/>
    <w:rsid w:val="00B57607"/>
    <w:rsid w:val="00B57612"/>
    <w:rsid w:val="00B57708"/>
    <w:rsid w:val="00B57888"/>
    <w:rsid w:val="00B5794A"/>
    <w:rsid w:val="00B57AFF"/>
    <w:rsid w:val="00B57C54"/>
    <w:rsid w:val="00B57DA4"/>
    <w:rsid w:val="00B57FFB"/>
    <w:rsid w:val="00B604AD"/>
    <w:rsid w:val="00B60798"/>
    <w:rsid w:val="00B60DD5"/>
    <w:rsid w:val="00B60E73"/>
    <w:rsid w:val="00B6109B"/>
    <w:rsid w:val="00B614E5"/>
    <w:rsid w:val="00B61656"/>
    <w:rsid w:val="00B618CA"/>
    <w:rsid w:val="00B618E7"/>
    <w:rsid w:val="00B61F21"/>
    <w:rsid w:val="00B620FA"/>
    <w:rsid w:val="00B6228B"/>
    <w:rsid w:val="00B62351"/>
    <w:rsid w:val="00B62438"/>
    <w:rsid w:val="00B624B1"/>
    <w:rsid w:val="00B627A2"/>
    <w:rsid w:val="00B6310F"/>
    <w:rsid w:val="00B63265"/>
    <w:rsid w:val="00B63636"/>
    <w:rsid w:val="00B637CD"/>
    <w:rsid w:val="00B6398F"/>
    <w:rsid w:val="00B63D04"/>
    <w:rsid w:val="00B642FC"/>
    <w:rsid w:val="00B64372"/>
    <w:rsid w:val="00B644AC"/>
    <w:rsid w:val="00B646A3"/>
    <w:rsid w:val="00B64901"/>
    <w:rsid w:val="00B64A77"/>
    <w:rsid w:val="00B64CE6"/>
    <w:rsid w:val="00B650F6"/>
    <w:rsid w:val="00B652F4"/>
    <w:rsid w:val="00B65453"/>
    <w:rsid w:val="00B654E2"/>
    <w:rsid w:val="00B65929"/>
    <w:rsid w:val="00B659EB"/>
    <w:rsid w:val="00B65C18"/>
    <w:rsid w:val="00B65C6B"/>
    <w:rsid w:val="00B66789"/>
    <w:rsid w:val="00B667D8"/>
    <w:rsid w:val="00B66853"/>
    <w:rsid w:val="00B668A8"/>
    <w:rsid w:val="00B669EF"/>
    <w:rsid w:val="00B66B34"/>
    <w:rsid w:val="00B66B76"/>
    <w:rsid w:val="00B66DC4"/>
    <w:rsid w:val="00B66E2F"/>
    <w:rsid w:val="00B676AD"/>
    <w:rsid w:val="00B676DB"/>
    <w:rsid w:val="00B6782D"/>
    <w:rsid w:val="00B67928"/>
    <w:rsid w:val="00B679BF"/>
    <w:rsid w:val="00B67B1A"/>
    <w:rsid w:val="00B67D68"/>
    <w:rsid w:val="00B700BA"/>
    <w:rsid w:val="00B700D5"/>
    <w:rsid w:val="00B7049F"/>
    <w:rsid w:val="00B70673"/>
    <w:rsid w:val="00B706E4"/>
    <w:rsid w:val="00B7082B"/>
    <w:rsid w:val="00B709F6"/>
    <w:rsid w:val="00B70BAA"/>
    <w:rsid w:val="00B70C25"/>
    <w:rsid w:val="00B70F09"/>
    <w:rsid w:val="00B71209"/>
    <w:rsid w:val="00B716BB"/>
    <w:rsid w:val="00B71911"/>
    <w:rsid w:val="00B71EBB"/>
    <w:rsid w:val="00B71FC1"/>
    <w:rsid w:val="00B71FC2"/>
    <w:rsid w:val="00B720AB"/>
    <w:rsid w:val="00B7222C"/>
    <w:rsid w:val="00B724DF"/>
    <w:rsid w:val="00B72B28"/>
    <w:rsid w:val="00B72BE2"/>
    <w:rsid w:val="00B72D6A"/>
    <w:rsid w:val="00B7306D"/>
    <w:rsid w:val="00B732A7"/>
    <w:rsid w:val="00B7331B"/>
    <w:rsid w:val="00B733FA"/>
    <w:rsid w:val="00B7344A"/>
    <w:rsid w:val="00B73E8A"/>
    <w:rsid w:val="00B74164"/>
    <w:rsid w:val="00B74649"/>
    <w:rsid w:val="00B74A0B"/>
    <w:rsid w:val="00B74D84"/>
    <w:rsid w:val="00B74E31"/>
    <w:rsid w:val="00B751BB"/>
    <w:rsid w:val="00B7524E"/>
    <w:rsid w:val="00B7567C"/>
    <w:rsid w:val="00B75803"/>
    <w:rsid w:val="00B75973"/>
    <w:rsid w:val="00B75AD7"/>
    <w:rsid w:val="00B75FD7"/>
    <w:rsid w:val="00B7603E"/>
    <w:rsid w:val="00B76406"/>
    <w:rsid w:val="00B7695C"/>
    <w:rsid w:val="00B76A90"/>
    <w:rsid w:val="00B77050"/>
    <w:rsid w:val="00B771CA"/>
    <w:rsid w:val="00B77220"/>
    <w:rsid w:val="00B77420"/>
    <w:rsid w:val="00B7742C"/>
    <w:rsid w:val="00B77580"/>
    <w:rsid w:val="00B7768A"/>
    <w:rsid w:val="00B777BC"/>
    <w:rsid w:val="00B777C5"/>
    <w:rsid w:val="00B77C30"/>
    <w:rsid w:val="00B80349"/>
    <w:rsid w:val="00B80618"/>
    <w:rsid w:val="00B80AFF"/>
    <w:rsid w:val="00B80B13"/>
    <w:rsid w:val="00B80B55"/>
    <w:rsid w:val="00B81135"/>
    <w:rsid w:val="00B81207"/>
    <w:rsid w:val="00B81353"/>
    <w:rsid w:val="00B816CF"/>
    <w:rsid w:val="00B81780"/>
    <w:rsid w:val="00B8185F"/>
    <w:rsid w:val="00B819B8"/>
    <w:rsid w:val="00B823F1"/>
    <w:rsid w:val="00B82603"/>
    <w:rsid w:val="00B828CA"/>
    <w:rsid w:val="00B82948"/>
    <w:rsid w:val="00B82C70"/>
    <w:rsid w:val="00B82FBE"/>
    <w:rsid w:val="00B830BD"/>
    <w:rsid w:val="00B83174"/>
    <w:rsid w:val="00B833AF"/>
    <w:rsid w:val="00B833D4"/>
    <w:rsid w:val="00B83440"/>
    <w:rsid w:val="00B83447"/>
    <w:rsid w:val="00B837AB"/>
    <w:rsid w:val="00B83B99"/>
    <w:rsid w:val="00B83CAC"/>
    <w:rsid w:val="00B840B7"/>
    <w:rsid w:val="00B841A0"/>
    <w:rsid w:val="00B841AF"/>
    <w:rsid w:val="00B84283"/>
    <w:rsid w:val="00B84470"/>
    <w:rsid w:val="00B84482"/>
    <w:rsid w:val="00B845DE"/>
    <w:rsid w:val="00B8483B"/>
    <w:rsid w:val="00B849A8"/>
    <w:rsid w:val="00B84C0C"/>
    <w:rsid w:val="00B84C6F"/>
    <w:rsid w:val="00B84C9D"/>
    <w:rsid w:val="00B84EC1"/>
    <w:rsid w:val="00B854F8"/>
    <w:rsid w:val="00B85588"/>
    <w:rsid w:val="00B856DF"/>
    <w:rsid w:val="00B8594B"/>
    <w:rsid w:val="00B85988"/>
    <w:rsid w:val="00B85A3A"/>
    <w:rsid w:val="00B85D47"/>
    <w:rsid w:val="00B85FED"/>
    <w:rsid w:val="00B864E7"/>
    <w:rsid w:val="00B86519"/>
    <w:rsid w:val="00B86671"/>
    <w:rsid w:val="00B86712"/>
    <w:rsid w:val="00B86986"/>
    <w:rsid w:val="00B869A1"/>
    <w:rsid w:val="00B86AA4"/>
    <w:rsid w:val="00B86B6D"/>
    <w:rsid w:val="00B86D2F"/>
    <w:rsid w:val="00B86EF3"/>
    <w:rsid w:val="00B87166"/>
    <w:rsid w:val="00B871D3"/>
    <w:rsid w:val="00B874EF"/>
    <w:rsid w:val="00B8798F"/>
    <w:rsid w:val="00B87B5C"/>
    <w:rsid w:val="00B87DAE"/>
    <w:rsid w:val="00B87EE0"/>
    <w:rsid w:val="00B9023B"/>
    <w:rsid w:val="00B90543"/>
    <w:rsid w:val="00B906D3"/>
    <w:rsid w:val="00B90752"/>
    <w:rsid w:val="00B909A5"/>
    <w:rsid w:val="00B90C88"/>
    <w:rsid w:val="00B91025"/>
    <w:rsid w:val="00B9112B"/>
    <w:rsid w:val="00B911A0"/>
    <w:rsid w:val="00B91233"/>
    <w:rsid w:val="00B91366"/>
    <w:rsid w:val="00B914AD"/>
    <w:rsid w:val="00B917CD"/>
    <w:rsid w:val="00B91C2D"/>
    <w:rsid w:val="00B91FA4"/>
    <w:rsid w:val="00B9217F"/>
    <w:rsid w:val="00B92396"/>
    <w:rsid w:val="00B925EB"/>
    <w:rsid w:val="00B92624"/>
    <w:rsid w:val="00B92855"/>
    <w:rsid w:val="00B92AD4"/>
    <w:rsid w:val="00B92AED"/>
    <w:rsid w:val="00B92D86"/>
    <w:rsid w:val="00B93045"/>
    <w:rsid w:val="00B932BA"/>
    <w:rsid w:val="00B933CF"/>
    <w:rsid w:val="00B93502"/>
    <w:rsid w:val="00B935ED"/>
    <w:rsid w:val="00B936B9"/>
    <w:rsid w:val="00B93718"/>
    <w:rsid w:val="00B937E8"/>
    <w:rsid w:val="00B9389C"/>
    <w:rsid w:val="00B938CA"/>
    <w:rsid w:val="00B93986"/>
    <w:rsid w:val="00B93AF7"/>
    <w:rsid w:val="00B93DCC"/>
    <w:rsid w:val="00B93E32"/>
    <w:rsid w:val="00B93E39"/>
    <w:rsid w:val="00B93E9C"/>
    <w:rsid w:val="00B941B9"/>
    <w:rsid w:val="00B94614"/>
    <w:rsid w:val="00B9488C"/>
    <w:rsid w:val="00B94A7B"/>
    <w:rsid w:val="00B94A94"/>
    <w:rsid w:val="00B94C59"/>
    <w:rsid w:val="00B95617"/>
    <w:rsid w:val="00B95755"/>
    <w:rsid w:val="00B9577B"/>
    <w:rsid w:val="00B957D3"/>
    <w:rsid w:val="00B9598E"/>
    <w:rsid w:val="00B95A25"/>
    <w:rsid w:val="00B95ADE"/>
    <w:rsid w:val="00B95CFE"/>
    <w:rsid w:val="00B95F7D"/>
    <w:rsid w:val="00B95FBB"/>
    <w:rsid w:val="00B95FCB"/>
    <w:rsid w:val="00B96647"/>
    <w:rsid w:val="00B966B6"/>
    <w:rsid w:val="00B96862"/>
    <w:rsid w:val="00B96CC2"/>
    <w:rsid w:val="00B96D41"/>
    <w:rsid w:val="00B9710E"/>
    <w:rsid w:val="00B972FB"/>
    <w:rsid w:val="00B973B4"/>
    <w:rsid w:val="00B97BF1"/>
    <w:rsid w:val="00BA0542"/>
    <w:rsid w:val="00BA06B4"/>
    <w:rsid w:val="00BA082E"/>
    <w:rsid w:val="00BA0BC9"/>
    <w:rsid w:val="00BA0CB2"/>
    <w:rsid w:val="00BA0D93"/>
    <w:rsid w:val="00BA0E32"/>
    <w:rsid w:val="00BA0E98"/>
    <w:rsid w:val="00BA0F31"/>
    <w:rsid w:val="00BA10AB"/>
    <w:rsid w:val="00BA11BA"/>
    <w:rsid w:val="00BA16D2"/>
    <w:rsid w:val="00BA1A60"/>
    <w:rsid w:val="00BA1B83"/>
    <w:rsid w:val="00BA1BEC"/>
    <w:rsid w:val="00BA1C9D"/>
    <w:rsid w:val="00BA1CBF"/>
    <w:rsid w:val="00BA1EAF"/>
    <w:rsid w:val="00BA2745"/>
    <w:rsid w:val="00BA2795"/>
    <w:rsid w:val="00BA29B9"/>
    <w:rsid w:val="00BA2A07"/>
    <w:rsid w:val="00BA2A1D"/>
    <w:rsid w:val="00BA2E75"/>
    <w:rsid w:val="00BA2F6B"/>
    <w:rsid w:val="00BA3089"/>
    <w:rsid w:val="00BA31B4"/>
    <w:rsid w:val="00BA33CB"/>
    <w:rsid w:val="00BA3443"/>
    <w:rsid w:val="00BA36B1"/>
    <w:rsid w:val="00BA36D4"/>
    <w:rsid w:val="00BA3DEF"/>
    <w:rsid w:val="00BA3E12"/>
    <w:rsid w:val="00BA3E21"/>
    <w:rsid w:val="00BA4293"/>
    <w:rsid w:val="00BA42B6"/>
    <w:rsid w:val="00BA4440"/>
    <w:rsid w:val="00BA482C"/>
    <w:rsid w:val="00BA48C4"/>
    <w:rsid w:val="00BA4EE7"/>
    <w:rsid w:val="00BA51E0"/>
    <w:rsid w:val="00BA52B7"/>
    <w:rsid w:val="00BA535D"/>
    <w:rsid w:val="00BA5430"/>
    <w:rsid w:val="00BA5589"/>
    <w:rsid w:val="00BA591B"/>
    <w:rsid w:val="00BA594D"/>
    <w:rsid w:val="00BA601B"/>
    <w:rsid w:val="00BA60E6"/>
    <w:rsid w:val="00BA634D"/>
    <w:rsid w:val="00BA637F"/>
    <w:rsid w:val="00BA65D3"/>
    <w:rsid w:val="00BA6ABF"/>
    <w:rsid w:val="00BA6B2F"/>
    <w:rsid w:val="00BA6B8C"/>
    <w:rsid w:val="00BA6EDD"/>
    <w:rsid w:val="00BA6F38"/>
    <w:rsid w:val="00BA70FD"/>
    <w:rsid w:val="00BA7132"/>
    <w:rsid w:val="00BA7203"/>
    <w:rsid w:val="00BA7665"/>
    <w:rsid w:val="00BA76AC"/>
    <w:rsid w:val="00BA7747"/>
    <w:rsid w:val="00BA796E"/>
    <w:rsid w:val="00BA79FF"/>
    <w:rsid w:val="00BA7A11"/>
    <w:rsid w:val="00BA7BE7"/>
    <w:rsid w:val="00BA7F76"/>
    <w:rsid w:val="00BB0040"/>
    <w:rsid w:val="00BB010C"/>
    <w:rsid w:val="00BB0340"/>
    <w:rsid w:val="00BB03E5"/>
    <w:rsid w:val="00BB083C"/>
    <w:rsid w:val="00BB0B0E"/>
    <w:rsid w:val="00BB0F4B"/>
    <w:rsid w:val="00BB0FAD"/>
    <w:rsid w:val="00BB1159"/>
    <w:rsid w:val="00BB1572"/>
    <w:rsid w:val="00BB180C"/>
    <w:rsid w:val="00BB186F"/>
    <w:rsid w:val="00BB1B0A"/>
    <w:rsid w:val="00BB1C40"/>
    <w:rsid w:val="00BB1CB5"/>
    <w:rsid w:val="00BB1CDE"/>
    <w:rsid w:val="00BB1D80"/>
    <w:rsid w:val="00BB1DBF"/>
    <w:rsid w:val="00BB1EB1"/>
    <w:rsid w:val="00BB204B"/>
    <w:rsid w:val="00BB204F"/>
    <w:rsid w:val="00BB205D"/>
    <w:rsid w:val="00BB22A3"/>
    <w:rsid w:val="00BB22A8"/>
    <w:rsid w:val="00BB29CF"/>
    <w:rsid w:val="00BB2B41"/>
    <w:rsid w:val="00BB2BD3"/>
    <w:rsid w:val="00BB31AD"/>
    <w:rsid w:val="00BB3243"/>
    <w:rsid w:val="00BB37C8"/>
    <w:rsid w:val="00BB38FB"/>
    <w:rsid w:val="00BB3AD0"/>
    <w:rsid w:val="00BB3EF9"/>
    <w:rsid w:val="00BB41F6"/>
    <w:rsid w:val="00BB4215"/>
    <w:rsid w:val="00BB440B"/>
    <w:rsid w:val="00BB44E0"/>
    <w:rsid w:val="00BB44F4"/>
    <w:rsid w:val="00BB453B"/>
    <w:rsid w:val="00BB4600"/>
    <w:rsid w:val="00BB4851"/>
    <w:rsid w:val="00BB4A22"/>
    <w:rsid w:val="00BB4A60"/>
    <w:rsid w:val="00BB4A61"/>
    <w:rsid w:val="00BB4CC2"/>
    <w:rsid w:val="00BB4D3D"/>
    <w:rsid w:val="00BB4D58"/>
    <w:rsid w:val="00BB505B"/>
    <w:rsid w:val="00BB5157"/>
    <w:rsid w:val="00BB5426"/>
    <w:rsid w:val="00BB546A"/>
    <w:rsid w:val="00BB5955"/>
    <w:rsid w:val="00BB5D51"/>
    <w:rsid w:val="00BB5FAC"/>
    <w:rsid w:val="00BB600D"/>
    <w:rsid w:val="00BB68D5"/>
    <w:rsid w:val="00BB696F"/>
    <w:rsid w:val="00BB69F2"/>
    <w:rsid w:val="00BB6A92"/>
    <w:rsid w:val="00BB6B9D"/>
    <w:rsid w:val="00BB6E2F"/>
    <w:rsid w:val="00BB6E30"/>
    <w:rsid w:val="00BB7040"/>
    <w:rsid w:val="00BB764A"/>
    <w:rsid w:val="00BB780D"/>
    <w:rsid w:val="00BB78A8"/>
    <w:rsid w:val="00BB7E82"/>
    <w:rsid w:val="00BB7F0F"/>
    <w:rsid w:val="00BC007A"/>
    <w:rsid w:val="00BC054D"/>
    <w:rsid w:val="00BC0623"/>
    <w:rsid w:val="00BC0AED"/>
    <w:rsid w:val="00BC0C1C"/>
    <w:rsid w:val="00BC117E"/>
    <w:rsid w:val="00BC12B9"/>
    <w:rsid w:val="00BC1404"/>
    <w:rsid w:val="00BC16BB"/>
    <w:rsid w:val="00BC1747"/>
    <w:rsid w:val="00BC1CC5"/>
    <w:rsid w:val="00BC1D42"/>
    <w:rsid w:val="00BC1DD0"/>
    <w:rsid w:val="00BC2048"/>
    <w:rsid w:val="00BC225A"/>
    <w:rsid w:val="00BC23E3"/>
    <w:rsid w:val="00BC2565"/>
    <w:rsid w:val="00BC25B8"/>
    <w:rsid w:val="00BC27E1"/>
    <w:rsid w:val="00BC27E9"/>
    <w:rsid w:val="00BC2A41"/>
    <w:rsid w:val="00BC2A43"/>
    <w:rsid w:val="00BC2A8A"/>
    <w:rsid w:val="00BC2B95"/>
    <w:rsid w:val="00BC2C0A"/>
    <w:rsid w:val="00BC2CAA"/>
    <w:rsid w:val="00BC2E63"/>
    <w:rsid w:val="00BC2F15"/>
    <w:rsid w:val="00BC2F7C"/>
    <w:rsid w:val="00BC2FA5"/>
    <w:rsid w:val="00BC3016"/>
    <w:rsid w:val="00BC315B"/>
    <w:rsid w:val="00BC35DB"/>
    <w:rsid w:val="00BC3607"/>
    <w:rsid w:val="00BC3A2A"/>
    <w:rsid w:val="00BC4316"/>
    <w:rsid w:val="00BC43BC"/>
    <w:rsid w:val="00BC43D8"/>
    <w:rsid w:val="00BC4470"/>
    <w:rsid w:val="00BC479B"/>
    <w:rsid w:val="00BC48C7"/>
    <w:rsid w:val="00BC4A45"/>
    <w:rsid w:val="00BC4B4E"/>
    <w:rsid w:val="00BC514A"/>
    <w:rsid w:val="00BC5241"/>
    <w:rsid w:val="00BC5308"/>
    <w:rsid w:val="00BC5ABF"/>
    <w:rsid w:val="00BC5E44"/>
    <w:rsid w:val="00BC60F5"/>
    <w:rsid w:val="00BC66B6"/>
    <w:rsid w:val="00BC691C"/>
    <w:rsid w:val="00BC6AA0"/>
    <w:rsid w:val="00BC6B44"/>
    <w:rsid w:val="00BC6EA1"/>
    <w:rsid w:val="00BC6F01"/>
    <w:rsid w:val="00BC730B"/>
    <w:rsid w:val="00BC74D0"/>
    <w:rsid w:val="00BC75B6"/>
    <w:rsid w:val="00BC75EF"/>
    <w:rsid w:val="00BC7E62"/>
    <w:rsid w:val="00BC7E6F"/>
    <w:rsid w:val="00BD004C"/>
    <w:rsid w:val="00BD006A"/>
    <w:rsid w:val="00BD02ED"/>
    <w:rsid w:val="00BD0C0B"/>
    <w:rsid w:val="00BD0CC9"/>
    <w:rsid w:val="00BD0DEF"/>
    <w:rsid w:val="00BD0F13"/>
    <w:rsid w:val="00BD0F8D"/>
    <w:rsid w:val="00BD10E1"/>
    <w:rsid w:val="00BD15D6"/>
    <w:rsid w:val="00BD17C7"/>
    <w:rsid w:val="00BD1903"/>
    <w:rsid w:val="00BD1A11"/>
    <w:rsid w:val="00BD1A41"/>
    <w:rsid w:val="00BD1B88"/>
    <w:rsid w:val="00BD1C2E"/>
    <w:rsid w:val="00BD1DAE"/>
    <w:rsid w:val="00BD1EE3"/>
    <w:rsid w:val="00BD1F2A"/>
    <w:rsid w:val="00BD26BA"/>
    <w:rsid w:val="00BD2719"/>
    <w:rsid w:val="00BD2C9C"/>
    <w:rsid w:val="00BD2E3D"/>
    <w:rsid w:val="00BD2EBF"/>
    <w:rsid w:val="00BD31C0"/>
    <w:rsid w:val="00BD3399"/>
    <w:rsid w:val="00BD37F6"/>
    <w:rsid w:val="00BD3901"/>
    <w:rsid w:val="00BD3C11"/>
    <w:rsid w:val="00BD3CB9"/>
    <w:rsid w:val="00BD3D45"/>
    <w:rsid w:val="00BD3F46"/>
    <w:rsid w:val="00BD4176"/>
    <w:rsid w:val="00BD41D8"/>
    <w:rsid w:val="00BD41EC"/>
    <w:rsid w:val="00BD4301"/>
    <w:rsid w:val="00BD46FD"/>
    <w:rsid w:val="00BD4752"/>
    <w:rsid w:val="00BD49CE"/>
    <w:rsid w:val="00BD4AAD"/>
    <w:rsid w:val="00BD4ABA"/>
    <w:rsid w:val="00BD4C6F"/>
    <w:rsid w:val="00BD4D31"/>
    <w:rsid w:val="00BD4F7B"/>
    <w:rsid w:val="00BD5017"/>
    <w:rsid w:val="00BD50D8"/>
    <w:rsid w:val="00BD5191"/>
    <w:rsid w:val="00BD530D"/>
    <w:rsid w:val="00BD544D"/>
    <w:rsid w:val="00BD54A4"/>
    <w:rsid w:val="00BD550C"/>
    <w:rsid w:val="00BD5C20"/>
    <w:rsid w:val="00BD5C5A"/>
    <w:rsid w:val="00BD5F7B"/>
    <w:rsid w:val="00BD649F"/>
    <w:rsid w:val="00BD650C"/>
    <w:rsid w:val="00BD6546"/>
    <w:rsid w:val="00BD65D3"/>
    <w:rsid w:val="00BD66DC"/>
    <w:rsid w:val="00BD67CE"/>
    <w:rsid w:val="00BD6914"/>
    <w:rsid w:val="00BD6934"/>
    <w:rsid w:val="00BD69B1"/>
    <w:rsid w:val="00BD6B18"/>
    <w:rsid w:val="00BD7016"/>
    <w:rsid w:val="00BD73DC"/>
    <w:rsid w:val="00BD748D"/>
    <w:rsid w:val="00BD74B5"/>
    <w:rsid w:val="00BD758A"/>
    <w:rsid w:val="00BD76CC"/>
    <w:rsid w:val="00BD7798"/>
    <w:rsid w:val="00BD7845"/>
    <w:rsid w:val="00BD7F71"/>
    <w:rsid w:val="00BE0119"/>
    <w:rsid w:val="00BE01D6"/>
    <w:rsid w:val="00BE05E0"/>
    <w:rsid w:val="00BE07C6"/>
    <w:rsid w:val="00BE09BE"/>
    <w:rsid w:val="00BE0CFD"/>
    <w:rsid w:val="00BE0D71"/>
    <w:rsid w:val="00BE104B"/>
    <w:rsid w:val="00BE145B"/>
    <w:rsid w:val="00BE1849"/>
    <w:rsid w:val="00BE1862"/>
    <w:rsid w:val="00BE1929"/>
    <w:rsid w:val="00BE1D83"/>
    <w:rsid w:val="00BE1E8F"/>
    <w:rsid w:val="00BE2379"/>
    <w:rsid w:val="00BE244C"/>
    <w:rsid w:val="00BE25C5"/>
    <w:rsid w:val="00BE263F"/>
    <w:rsid w:val="00BE26A5"/>
    <w:rsid w:val="00BE2774"/>
    <w:rsid w:val="00BE278B"/>
    <w:rsid w:val="00BE2B41"/>
    <w:rsid w:val="00BE30D0"/>
    <w:rsid w:val="00BE31CF"/>
    <w:rsid w:val="00BE3238"/>
    <w:rsid w:val="00BE32E0"/>
    <w:rsid w:val="00BE330F"/>
    <w:rsid w:val="00BE33D3"/>
    <w:rsid w:val="00BE342D"/>
    <w:rsid w:val="00BE34B0"/>
    <w:rsid w:val="00BE38F8"/>
    <w:rsid w:val="00BE38FC"/>
    <w:rsid w:val="00BE3CE5"/>
    <w:rsid w:val="00BE3DF9"/>
    <w:rsid w:val="00BE3F87"/>
    <w:rsid w:val="00BE4199"/>
    <w:rsid w:val="00BE419A"/>
    <w:rsid w:val="00BE4355"/>
    <w:rsid w:val="00BE476A"/>
    <w:rsid w:val="00BE47AC"/>
    <w:rsid w:val="00BE4853"/>
    <w:rsid w:val="00BE4878"/>
    <w:rsid w:val="00BE4AE8"/>
    <w:rsid w:val="00BE564C"/>
    <w:rsid w:val="00BE59CD"/>
    <w:rsid w:val="00BE5A7F"/>
    <w:rsid w:val="00BE5ACF"/>
    <w:rsid w:val="00BE6260"/>
    <w:rsid w:val="00BE6458"/>
    <w:rsid w:val="00BE6534"/>
    <w:rsid w:val="00BE65F2"/>
    <w:rsid w:val="00BE6725"/>
    <w:rsid w:val="00BE67B9"/>
    <w:rsid w:val="00BE68A6"/>
    <w:rsid w:val="00BE68A9"/>
    <w:rsid w:val="00BE6962"/>
    <w:rsid w:val="00BE6F96"/>
    <w:rsid w:val="00BE7220"/>
    <w:rsid w:val="00BE7299"/>
    <w:rsid w:val="00BE73E3"/>
    <w:rsid w:val="00BE74E5"/>
    <w:rsid w:val="00BE758D"/>
    <w:rsid w:val="00BE770F"/>
    <w:rsid w:val="00BE773B"/>
    <w:rsid w:val="00BE79DC"/>
    <w:rsid w:val="00BE7A5E"/>
    <w:rsid w:val="00BF0308"/>
    <w:rsid w:val="00BF03B9"/>
    <w:rsid w:val="00BF041B"/>
    <w:rsid w:val="00BF051A"/>
    <w:rsid w:val="00BF0567"/>
    <w:rsid w:val="00BF07C9"/>
    <w:rsid w:val="00BF0978"/>
    <w:rsid w:val="00BF0D77"/>
    <w:rsid w:val="00BF107D"/>
    <w:rsid w:val="00BF158D"/>
    <w:rsid w:val="00BF18C6"/>
    <w:rsid w:val="00BF18D1"/>
    <w:rsid w:val="00BF198C"/>
    <w:rsid w:val="00BF19EC"/>
    <w:rsid w:val="00BF1E47"/>
    <w:rsid w:val="00BF1EF1"/>
    <w:rsid w:val="00BF1FEA"/>
    <w:rsid w:val="00BF2344"/>
    <w:rsid w:val="00BF24C6"/>
    <w:rsid w:val="00BF25B2"/>
    <w:rsid w:val="00BF277D"/>
    <w:rsid w:val="00BF2842"/>
    <w:rsid w:val="00BF2A08"/>
    <w:rsid w:val="00BF2BF7"/>
    <w:rsid w:val="00BF2CCF"/>
    <w:rsid w:val="00BF2F52"/>
    <w:rsid w:val="00BF321A"/>
    <w:rsid w:val="00BF3333"/>
    <w:rsid w:val="00BF3722"/>
    <w:rsid w:val="00BF3AB9"/>
    <w:rsid w:val="00BF3BFC"/>
    <w:rsid w:val="00BF3D62"/>
    <w:rsid w:val="00BF3D8F"/>
    <w:rsid w:val="00BF3ED4"/>
    <w:rsid w:val="00BF41FD"/>
    <w:rsid w:val="00BF4299"/>
    <w:rsid w:val="00BF453D"/>
    <w:rsid w:val="00BF4D92"/>
    <w:rsid w:val="00BF53C1"/>
    <w:rsid w:val="00BF5449"/>
    <w:rsid w:val="00BF544D"/>
    <w:rsid w:val="00BF55D0"/>
    <w:rsid w:val="00BF5773"/>
    <w:rsid w:val="00BF5892"/>
    <w:rsid w:val="00BF5983"/>
    <w:rsid w:val="00BF5A52"/>
    <w:rsid w:val="00BF5BC9"/>
    <w:rsid w:val="00BF5E5F"/>
    <w:rsid w:val="00BF606B"/>
    <w:rsid w:val="00BF6437"/>
    <w:rsid w:val="00BF6633"/>
    <w:rsid w:val="00BF6D1E"/>
    <w:rsid w:val="00BF6D4A"/>
    <w:rsid w:val="00BF7538"/>
    <w:rsid w:val="00BF75C5"/>
    <w:rsid w:val="00BF781B"/>
    <w:rsid w:val="00BF7A6D"/>
    <w:rsid w:val="00BF7C6C"/>
    <w:rsid w:val="00BF7CC6"/>
    <w:rsid w:val="00BF7CE0"/>
    <w:rsid w:val="00BF7D56"/>
    <w:rsid w:val="00BF7ED5"/>
    <w:rsid w:val="00BF7F82"/>
    <w:rsid w:val="00BF7F94"/>
    <w:rsid w:val="00C00102"/>
    <w:rsid w:val="00C00359"/>
    <w:rsid w:val="00C00499"/>
    <w:rsid w:val="00C005B7"/>
    <w:rsid w:val="00C00904"/>
    <w:rsid w:val="00C00CC2"/>
    <w:rsid w:val="00C00E81"/>
    <w:rsid w:val="00C01045"/>
    <w:rsid w:val="00C01277"/>
    <w:rsid w:val="00C014AB"/>
    <w:rsid w:val="00C0164B"/>
    <w:rsid w:val="00C01780"/>
    <w:rsid w:val="00C01852"/>
    <w:rsid w:val="00C018B7"/>
    <w:rsid w:val="00C01E83"/>
    <w:rsid w:val="00C01FEF"/>
    <w:rsid w:val="00C021F0"/>
    <w:rsid w:val="00C02289"/>
    <w:rsid w:val="00C022F4"/>
    <w:rsid w:val="00C0272F"/>
    <w:rsid w:val="00C02778"/>
    <w:rsid w:val="00C02CFC"/>
    <w:rsid w:val="00C03289"/>
    <w:rsid w:val="00C033F7"/>
    <w:rsid w:val="00C0349C"/>
    <w:rsid w:val="00C03AE2"/>
    <w:rsid w:val="00C03CB7"/>
    <w:rsid w:val="00C03FA1"/>
    <w:rsid w:val="00C04046"/>
    <w:rsid w:val="00C045C2"/>
    <w:rsid w:val="00C04613"/>
    <w:rsid w:val="00C046B6"/>
    <w:rsid w:val="00C04738"/>
    <w:rsid w:val="00C04ABB"/>
    <w:rsid w:val="00C04C45"/>
    <w:rsid w:val="00C0515D"/>
    <w:rsid w:val="00C053A1"/>
    <w:rsid w:val="00C0555A"/>
    <w:rsid w:val="00C05ABD"/>
    <w:rsid w:val="00C05DC6"/>
    <w:rsid w:val="00C05E3E"/>
    <w:rsid w:val="00C05F1C"/>
    <w:rsid w:val="00C06222"/>
    <w:rsid w:val="00C06413"/>
    <w:rsid w:val="00C06436"/>
    <w:rsid w:val="00C06638"/>
    <w:rsid w:val="00C0680D"/>
    <w:rsid w:val="00C0695C"/>
    <w:rsid w:val="00C06B1F"/>
    <w:rsid w:val="00C06DE2"/>
    <w:rsid w:val="00C070AB"/>
    <w:rsid w:val="00C0767F"/>
    <w:rsid w:val="00C07981"/>
    <w:rsid w:val="00C07A43"/>
    <w:rsid w:val="00C07D1C"/>
    <w:rsid w:val="00C07F3C"/>
    <w:rsid w:val="00C10303"/>
    <w:rsid w:val="00C10506"/>
    <w:rsid w:val="00C10563"/>
    <w:rsid w:val="00C10943"/>
    <w:rsid w:val="00C11337"/>
    <w:rsid w:val="00C11383"/>
    <w:rsid w:val="00C1158D"/>
    <w:rsid w:val="00C119E0"/>
    <w:rsid w:val="00C11D3D"/>
    <w:rsid w:val="00C11DA8"/>
    <w:rsid w:val="00C11F31"/>
    <w:rsid w:val="00C1230D"/>
    <w:rsid w:val="00C12374"/>
    <w:rsid w:val="00C12631"/>
    <w:rsid w:val="00C12897"/>
    <w:rsid w:val="00C1293B"/>
    <w:rsid w:val="00C129A8"/>
    <w:rsid w:val="00C12A16"/>
    <w:rsid w:val="00C12B7C"/>
    <w:rsid w:val="00C13444"/>
    <w:rsid w:val="00C134C4"/>
    <w:rsid w:val="00C137E4"/>
    <w:rsid w:val="00C13E12"/>
    <w:rsid w:val="00C1406C"/>
    <w:rsid w:val="00C1454D"/>
    <w:rsid w:val="00C14629"/>
    <w:rsid w:val="00C14707"/>
    <w:rsid w:val="00C149D4"/>
    <w:rsid w:val="00C14DC3"/>
    <w:rsid w:val="00C1522C"/>
    <w:rsid w:val="00C15563"/>
    <w:rsid w:val="00C155EA"/>
    <w:rsid w:val="00C15716"/>
    <w:rsid w:val="00C1585C"/>
    <w:rsid w:val="00C15C86"/>
    <w:rsid w:val="00C16103"/>
    <w:rsid w:val="00C1625C"/>
    <w:rsid w:val="00C16364"/>
    <w:rsid w:val="00C16729"/>
    <w:rsid w:val="00C173A7"/>
    <w:rsid w:val="00C175AE"/>
    <w:rsid w:val="00C17619"/>
    <w:rsid w:val="00C1763C"/>
    <w:rsid w:val="00C177B0"/>
    <w:rsid w:val="00C17849"/>
    <w:rsid w:val="00C1786A"/>
    <w:rsid w:val="00C178C6"/>
    <w:rsid w:val="00C17BC1"/>
    <w:rsid w:val="00C20089"/>
    <w:rsid w:val="00C20154"/>
    <w:rsid w:val="00C201C0"/>
    <w:rsid w:val="00C2081A"/>
    <w:rsid w:val="00C20AB9"/>
    <w:rsid w:val="00C20CE4"/>
    <w:rsid w:val="00C20D2D"/>
    <w:rsid w:val="00C20DD7"/>
    <w:rsid w:val="00C20F01"/>
    <w:rsid w:val="00C20FD7"/>
    <w:rsid w:val="00C211D9"/>
    <w:rsid w:val="00C21344"/>
    <w:rsid w:val="00C21457"/>
    <w:rsid w:val="00C216E6"/>
    <w:rsid w:val="00C21FAC"/>
    <w:rsid w:val="00C22021"/>
    <w:rsid w:val="00C22139"/>
    <w:rsid w:val="00C2218F"/>
    <w:rsid w:val="00C221A0"/>
    <w:rsid w:val="00C222A0"/>
    <w:rsid w:val="00C22440"/>
    <w:rsid w:val="00C22612"/>
    <w:rsid w:val="00C22D8E"/>
    <w:rsid w:val="00C231B8"/>
    <w:rsid w:val="00C23251"/>
    <w:rsid w:val="00C23269"/>
    <w:rsid w:val="00C23310"/>
    <w:rsid w:val="00C234AE"/>
    <w:rsid w:val="00C234E9"/>
    <w:rsid w:val="00C23514"/>
    <w:rsid w:val="00C2363B"/>
    <w:rsid w:val="00C23749"/>
    <w:rsid w:val="00C23C97"/>
    <w:rsid w:val="00C23CBA"/>
    <w:rsid w:val="00C23CBC"/>
    <w:rsid w:val="00C24001"/>
    <w:rsid w:val="00C243DD"/>
    <w:rsid w:val="00C24806"/>
    <w:rsid w:val="00C24AE6"/>
    <w:rsid w:val="00C24C06"/>
    <w:rsid w:val="00C24D80"/>
    <w:rsid w:val="00C24F79"/>
    <w:rsid w:val="00C250C7"/>
    <w:rsid w:val="00C251B9"/>
    <w:rsid w:val="00C251F3"/>
    <w:rsid w:val="00C25A72"/>
    <w:rsid w:val="00C25AF1"/>
    <w:rsid w:val="00C25BFE"/>
    <w:rsid w:val="00C25D34"/>
    <w:rsid w:val="00C25D8B"/>
    <w:rsid w:val="00C2601C"/>
    <w:rsid w:val="00C26037"/>
    <w:rsid w:val="00C265AA"/>
    <w:rsid w:val="00C270CB"/>
    <w:rsid w:val="00C27192"/>
    <w:rsid w:val="00C27260"/>
    <w:rsid w:val="00C27382"/>
    <w:rsid w:val="00C27642"/>
    <w:rsid w:val="00C276C8"/>
    <w:rsid w:val="00C278A9"/>
    <w:rsid w:val="00C27A63"/>
    <w:rsid w:val="00C27B1D"/>
    <w:rsid w:val="00C27DD5"/>
    <w:rsid w:val="00C27DD8"/>
    <w:rsid w:val="00C301AB"/>
    <w:rsid w:val="00C3039D"/>
    <w:rsid w:val="00C304C3"/>
    <w:rsid w:val="00C3064C"/>
    <w:rsid w:val="00C3068A"/>
    <w:rsid w:val="00C307D1"/>
    <w:rsid w:val="00C3086E"/>
    <w:rsid w:val="00C309E9"/>
    <w:rsid w:val="00C30BBB"/>
    <w:rsid w:val="00C30F78"/>
    <w:rsid w:val="00C3135B"/>
    <w:rsid w:val="00C3156A"/>
    <w:rsid w:val="00C317F3"/>
    <w:rsid w:val="00C31F14"/>
    <w:rsid w:val="00C3253E"/>
    <w:rsid w:val="00C325F0"/>
    <w:rsid w:val="00C32827"/>
    <w:rsid w:val="00C32CEE"/>
    <w:rsid w:val="00C32E91"/>
    <w:rsid w:val="00C32EAE"/>
    <w:rsid w:val="00C32F8D"/>
    <w:rsid w:val="00C336F6"/>
    <w:rsid w:val="00C337A3"/>
    <w:rsid w:val="00C33938"/>
    <w:rsid w:val="00C33E62"/>
    <w:rsid w:val="00C33EEC"/>
    <w:rsid w:val="00C34031"/>
    <w:rsid w:val="00C3436C"/>
    <w:rsid w:val="00C3459D"/>
    <w:rsid w:val="00C34623"/>
    <w:rsid w:val="00C346B9"/>
    <w:rsid w:val="00C34A9D"/>
    <w:rsid w:val="00C34DEF"/>
    <w:rsid w:val="00C34E37"/>
    <w:rsid w:val="00C34F00"/>
    <w:rsid w:val="00C35049"/>
    <w:rsid w:val="00C35646"/>
    <w:rsid w:val="00C3578F"/>
    <w:rsid w:val="00C358A2"/>
    <w:rsid w:val="00C35B92"/>
    <w:rsid w:val="00C35F21"/>
    <w:rsid w:val="00C360CE"/>
    <w:rsid w:val="00C366F5"/>
    <w:rsid w:val="00C367F0"/>
    <w:rsid w:val="00C36B21"/>
    <w:rsid w:val="00C36FFD"/>
    <w:rsid w:val="00C3711D"/>
    <w:rsid w:val="00C373B1"/>
    <w:rsid w:val="00C373C7"/>
    <w:rsid w:val="00C3778F"/>
    <w:rsid w:val="00C3779E"/>
    <w:rsid w:val="00C37BEC"/>
    <w:rsid w:val="00C37DB4"/>
    <w:rsid w:val="00C37EA1"/>
    <w:rsid w:val="00C37EC3"/>
    <w:rsid w:val="00C37F06"/>
    <w:rsid w:val="00C40359"/>
    <w:rsid w:val="00C40A34"/>
    <w:rsid w:val="00C40BAD"/>
    <w:rsid w:val="00C40C4A"/>
    <w:rsid w:val="00C40F60"/>
    <w:rsid w:val="00C41202"/>
    <w:rsid w:val="00C413BF"/>
    <w:rsid w:val="00C41A11"/>
    <w:rsid w:val="00C41F3D"/>
    <w:rsid w:val="00C42395"/>
    <w:rsid w:val="00C42586"/>
    <w:rsid w:val="00C425D3"/>
    <w:rsid w:val="00C4295C"/>
    <w:rsid w:val="00C42A77"/>
    <w:rsid w:val="00C42A81"/>
    <w:rsid w:val="00C42D0F"/>
    <w:rsid w:val="00C42FE5"/>
    <w:rsid w:val="00C4312F"/>
    <w:rsid w:val="00C4379F"/>
    <w:rsid w:val="00C43B3D"/>
    <w:rsid w:val="00C43BD9"/>
    <w:rsid w:val="00C43DE9"/>
    <w:rsid w:val="00C43F84"/>
    <w:rsid w:val="00C44178"/>
    <w:rsid w:val="00C443E5"/>
    <w:rsid w:val="00C4469E"/>
    <w:rsid w:val="00C44E07"/>
    <w:rsid w:val="00C44E21"/>
    <w:rsid w:val="00C44EEF"/>
    <w:rsid w:val="00C450CF"/>
    <w:rsid w:val="00C4524A"/>
    <w:rsid w:val="00C45493"/>
    <w:rsid w:val="00C4570C"/>
    <w:rsid w:val="00C45787"/>
    <w:rsid w:val="00C45892"/>
    <w:rsid w:val="00C4594F"/>
    <w:rsid w:val="00C45968"/>
    <w:rsid w:val="00C459D4"/>
    <w:rsid w:val="00C459F6"/>
    <w:rsid w:val="00C45B27"/>
    <w:rsid w:val="00C45B4E"/>
    <w:rsid w:val="00C45C43"/>
    <w:rsid w:val="00C45EDA"/>
    <w:rsid w:val="00C45F8B"/>
    <w:rsid w:val="00C46385"/>
    <w:rsid w:val="00C4686D"/>
    <w:rsid w:val="00C46A5D"/>
    <w:rsid w:val="00C46C91"/>
    <w:rsid w:val="00C46D80"/>
    <w:rsid w:val="00C4733D"/>
    <w:rsid w:val="00C478DF"/>
    <w:rsid w:val="00C47E45"/>
    <w:rsid w:val="00C50058"/>
    <w:rsid w:val="00C50146"/>
    <w:rsid w:val="00C503AA"/>
    <w:rsid w:val="00C504E9"/>
    <w:rsid w:val="00C50C86"/>
    <w:rsid w:val="00C50CB7"/>
    <w:rsid w:val="00C50EA2"/>
    <w:rsid w:val="00C50F40"/>
    <w:rsid w:val="00C50F46"/>
    <w:rsid w:val="00C51193"/>
    <w:rsid w:val="00C51330"/>
    <w:rsid w:val="00C514B0"/>
    <w:rsid w:val="00C514D5"/>
    <w:rsid w:val="00C518DB"/>
    <w:rsid w:val="00C518DF"/>
    <w:rsid w:val="00C51997"/>
    <w:rsid w:val="00C51A52"/>
    <w:rsid w:val="00C51AD3"/>
    <w:rsid w:val="00C51B46"/>
    <w:rsid w:val="00C51F42"/>
    <w:rsid w:val="00C520FA"/>
    <w:rsid w:val="00C52407"/>
    <w:rsid w:val="00C52512"/>
    <w:rsid w:val="00C52836"/>
    <w:rsid w:val="00C52A5E"/>
    <w:rsid w:val="00C52C9F"/>
    <w:rsid w:val="00C52D16"/>
    <w:rsid w:val="00C52F95"/>
    <w:rsid w:val="00C52F9F"/>
    <w:rsid w:val="00C530CE"/>
    <w:rsid w:val="00C531E3"/>
    <w:rsid w:val="00C5329B"/>
    <w:rsid w:val="00C53401"/>
    <w:rsid w:val="00C53428"/>
    <w:rsid w:val="00C5349E"/>
    <w:rsid w:val="00C53860"/>
    <w:rsid w:val="00C5395D"/>
    <w:rsid w:val="00C53BE5"/>
    <w:rsid w:val="00C53C7C"/>
    <w:rsid w:val="00C53DE9"/>
    <w:rsid w:val="00C54229"/>
    <w:rsid w:val="00C54286"/>
    <w:rsid w:val="00C54440"/>
    <w:rsid w:val="00C5469E"/>
    <w:rsid w:val="00C54AB1"/>
    <w:rsid w:val="00C54B44"/>
    <w:rsid w:val="00C54D3D"/>
    <w:rsid w:val="00C5524E"/>
    <w:rsid w:val="00C552CC"/>
    <w:rsid w:val="00C553DD"/>
    <w:rsid w:val="00C55909"/>
    <w:rsid w:val="00C55A2F"/>
    <w:rsid w:val="00C56244"/>
    <w:rsid w:val="00C56246"/>
    <w:rsid w:val="00C56601"/>
    <w:rsid w:val="00C56750"/>
    <w:rsid w:val="00C56890"/>
    <w:rsid w:val="00C568AE"/>
    <w:rsid w:val="00C56AE8"/>
    <w:rsid w:val="00C57112"/>
    <w:rsid w:val="00C57164"/>
    <w:rsid w:val="00C5720E"/>
    <w:rsid w:val="00C57B03"/>
    <w:rsid w:val="00C57E6E"/>
    <w:rsid w:val="00C57EE3"/>
    <w:rsid w:val="00C60395"/>
    <w:rsid w:val="00C607CB"/>
    <w:rsid w:val="00C60BFF"/>
    <w:rsid w:val="00C60ECA"/>
    <w:rsid w:val="00C60F63"/>
    <w:rsid w:val="00C61E2C"/>
    <w:rsid w:val="00C61F1C"/>
    <w:rsid w:val="00C62452"/>
    <w:rsid w:val="00C62804"/>
    <w:rsid w:val="00C62AC6"/>
    <w:rsid w:val="00C62AFC"/>
    <w:rsid w:val="00C62C9A"/>
    <w:rsid w:val="00C62CBA"/>
    <w:rsid w:val="00C62D97"/>
    <w:rsid w:val="00C62F37"/>
    <w:rsid w:val="00C634F5"/>
    <w:rsid w:val="00C63862"/>
    <w:rsid w:val="00C63A7C"/>
    <w:rsid w:val="00C63F2C"/>
    <w:rsid w:val="00C64004"/>
    <w:rsid w:val="00C641AF"/>
    <w:rsid w:val="00C6459A"/>
    <w:rsid w:val="00C6468F"/>
    <w:rsid w:val="00C64901"/>
    <w:rsid w:val="00C64BFF"/>
    <w:rsid w:val="00C650ED"/>
    <w:rsid w:val="00C65255"/>
    <w:rsid w:val="00C654B8"/>
    <w:rsid w:val="00C654E6"/>
    <w:rsid w:val="00C65851"/>
    <w:rsid w:val="00C6585F"/>
    <w:rsid w:val="00C65B14"/>
    <w:rsid w:val="00C65CE7"/>
    <w:rsid w:val="00C65DD6"/>
    <w:rsid w:val="00C6624A"/>
    <w:rsid w:val="00C6624B"/>
    <w:rsid w:val="00C667F6"/>
    <w:rsid w:val="00C66CAB"/>
    <w:rsid w:val="00C66E54"/>
    <w:rsid w:val="00C66E77"/>
    <w:rsid w:val="00C66F08"/>
    <w:rsid w:val="00C67353"/>
    <w:rsid w:val="00C6774B"/>
    <w:rsid w:val="00C67C18"/>
    <w:rsid w:val="00C7028B"/>
    <w:rsid w:val="00C7029F"/>
    <w:rsid w:val="00C704E9"/>
    <w:rsid w:val="00C70503"/>
    <w:rsid w:val="00C70669"/>
    <w:rsid w:val="00C70ABD"/>
    <w:rsid w:val="00C70D75"/>
    <w:rsid w:val="00C70F5A"/>
    <w:rsid w:val="00C71046"/>
    <w:rsid w:val="00C710AE"/>
    <w:rsid w:val="00C711AD"/>
    <w:rsid w:val="00C711EB"/>
    <w:rsid w:val="00C71306"/>
    <w:rsid w:val="00C7130C"/>
    <w:rsid w:val="00C7157D"/>
    <w:rsid w:val="00C717C8"/>
    <w:rsid w:val="00C71D8C"/>
    <w:rsid w:val="00C71E4C"/>
    <w:rsid w:val="00C72340"/>
    <w:rsid w:val="00C725B6"/>
    <w:rsid w:val="00C72882"/>
    <w:rsid w:val="00C72A0F"/>
    <w:rsid w:val="00C72A36"/>
    <w:rsid w:val="00C72B15"/>
    <w:rsid w:val="00C72E5F"/>
    <w:rsid w:val="00C731D1"/>
    <w:rsid w:val="00C73349"/>
    <w:rsid w:val="00C73398"/>
    <w:rsid w:val="00C73595"/>
    <w:rsid w:val="00C741D2"/>
    <w:rsid w:val="00C74366"/>
    <w:rsid w:val="00C746B7"/>
    <w:rsid w:val="00C746BA"/>
    <w:rsid w:val="00C74950"/>
    <w:rsid w:val="00C74A9E"/>
    <w:rsid w:val="00C74B81"/>
    <w:rsid w:val="00C74B97"/>
    <w:rsid w:val="00C74D20"/>
    <w:rsid w:val="00C74E1F"/>
    <w:rsid w:val="00C75430"/>
    <w:rsid w:val="00C75901"/>
    <w:rsid w:val="00C75911"/>
    <w:rsid w:val="00C75B1D"/>
    <w:rsid w:val="00C75B6D"/>
    <w:rsid w:val="00C75B77"/>
    <w:rsid w:val="00C75BC7"/>
    <w:rsid w:val="00C75D45"/>
    <w:rsid w:val="00C75EF5"/>
    <w:rsid w:val="00C7610A"/>
    <w:rsid w:val="00C76203"/>
    <w:rsid w:val="00C76330"/>
    <w:rsid w:val="00C7637E"/>
    <w:rsid w:val="00C7675D"/>
    <w:rsid w:val="00C769DD"/>
    <w:rsid w:val="00C76ABB"/>
    <w:rsid w:val="00C76D9F"/>
    <w:rsid w:val="00C770CD"/>
    <w:rsid w:val="00C774D9"/>
    <w:rsid w:val="00C77797"/>
    <w:rsid w:val="00C77870"/>
    <w:rsid w:val="00C77968"/>
    <w:rsid w:val="00C779B2"/>
    <w:rsid w:val="00C77A62"/>
    <w:rsid w:val="00C77C45"/>
    <w:rsid w:val="00C77E57"/>
    <w:rsid w:val="00C77F11"/>
    <w:rsid w:val="00C8043E"/>
    <w:rsid w:val="00C80633"/>
    <w:rsid w:val="00C8097A"/>
    <w:rsid w:val="00C809AF"/>
    <w:rsid w:val="00C80A29"/>
    <w:rsid w:val="00C80B44"/>
    <w:rsid w:val="00C8126C"/>
    <w:rsid w:val="00C81944"/>
    <w:rsid w:val="00C81A0B"/>
    <w:rsid w:val="00C81C2F"/>
    <w:rsid w:val="00C81FA0"/>
    <w:rsid w:val="00C8225A"/>
    <w:rsid w:val="00C82383"/>
    <w:rsid w:val="00C82AEE"/>
    <w:rsid w:val="00C82C3B"/>
    <w:rsid w:val="00C830E6"/>
    <w:rsid w:val="00C8351D"/>
    <w:rsid w:val="00C8355B"/>
    <w:rsid w:val="00C83685"/>
    <w:rsid w:val="00C83D52"/>
    <w:rsid w:val="00C83DFC"/>
    <w:rsid w:val="00C843C8"/>
    <w:rsid w:val="00C84457"/>
    <w:rsid w:val="00C8451B"/>
    <w:rsid w:val="00C8460C"/>
    <w:rsid w:val="00C84BB6"/>
    <w:rsid w:val="00C85165"/>
    <w:rsid w:val="00C8583C"/>
    <w:rsid w:val="00C85B26"/>
    <w:rsid w:val="00C85E92"/>
    <w:rsid w:val="00C85F07"/>
    <w:rsid w:val="00C86168"/>
    <w:rsid w:val="00C863FE"/>
    <w:rsid w:val="00C86925"/>
    <w:rsid w:val="00C869E7"/>
    <w:rsid w:val="00C86ACA"/>
    <w:rsid w:val="00C87102"/>
    <w:rsid w:val="00C877F1"/>
    <w:rsid w:val="00C8792C"/>
    <w:rsid w:val="00C87DF3"/>
    <w:rsid w:val="00C8DB87"/>
    <w:rsid w:val="00C90013"/>
    <w:rsid w:val="00C90424"/>
    <w:rsid w:val="00C905BF"/>
    <w:rsid w:val="00C907A4"/>
    <w:rsid w:val="00C90ADB"/>
    <w:rsid w:val="00C90F40"/>
    <w:rsid w:val="00C91068"/>
    <w:rsid w:val="00C91078"/>
    <w:rsid w:val="00C910A4"/>
    <w:rsid w:val="00C912C3"/>
    <w:rsid w:val="00C912EE"/>
    <w:rsid w:val="00C91409"/>
    <w:rsid w:val="00C91510"/>
    <w:rsid w:val="00C916DF"/>
    <w:rsid w:val="00C91777"/>
    <w:rsid w:val="00C917E3"/>
    <w:rsid w:val="00C919CB"/>
    <w:rsid w:val="00C91B95"/>
    <w:rsid w:val="00C92044"/>
    <w:rsid w:val="00C920BC"/>
    <w:rsid w:val="00C921B2"/>
    <w:rsid w:val="00C92240"/>
    <w:rsid w:val="00C92343"/>
    <w:rsid w:val="00C92746"/>
    <w:rsid w:val="00C9296E"/>
    <w:rsid w:val="00C92C1F"/>
    <w:rsid w:val="00C93174"/>
    <w:rsid w:val="00C933C3"/>
    <w:rsid w:val="00C93757"/>
    <w:rsid w:val="00C94175"/>
    <w:rsid w:val="00C946B2"/>
    <w:rsid w:val="00C94B50"/>
    <w:rsid w:val="00C94F6C"/>
    <w:rsid w:val="00C9505C"/>
    <w:rsid w:val="00C95558"/>
    <w:rsid w:val="00C95701"/>
    <w:rsid w:val="00C959CF"/>
    <w:rsid w:val="00C95A6F"/>
    <w:rsid w:val="00C95C57"/>
    <w:rsid w:val="00C95CCC"/>
    <w:rsid w:val="00C95D24"/>
    <w:rsid w:val="00C96058"/>
    <w:rsid w:val="00C96080"/>
    <w:rsid w:val="00C96385"/>
    <w:rsid w:val="00C9658B"/>
    <w:rsid w:val="00C96691"/>
    <w:rsid w:val="00C968DD"/>
    <w:rsid w:val="00C96CE1"/>
    <w:rsid w:val="00C972FC"/>
    <w:rsid w:val="00C97387"/>
    <w:rsid w:val="00C974A8"/>
    <w:rsid w:val="00C974E8"/>
    <w:rsid w:val="00C97E7A"/>
    <w:rsid w:val="00C97F81"/>
    <w:rsid w:val="00CA0126"/>
    <w:rsid w:val="00CA01F1"/>
    <w:rsid w:val="00CA06F1"/>
    <w:rsid w:val="00CA0A62"/>
    <w:rsid w:val="00CA0A65"/>
    <w:rsid w:val="00CA0F6C"/>
    <w:rsid w:val="00CA1040"/>
    <w:rsid w:val="00CA16A3"/>
    <w:rsid w:val="00CA18F6"/>
    <w:rsid w:val="00CA18FF"/>
    <w:rsid w:val="00CA1B68"/>
    <w:rsid w:val="00CA1D32"/>
    <w:rsid w:val="00CA1D85"/>
    <w:rsid w:val="00CA2029"/>
    <w:rsid w:val="00CA230D"/>
    <w:rsid w:val="00CA241C"/>
    <w:rsid w:val="00CA26B1"/>
    <w:rsid w:val="00CA2BED"/>
    <w:rsid w:val="00CA2F82"/>
    <w:rsid w:val="00CA3286"/>
    <w:rsid w:val="00CA3376"/>
    <w:rsid w:val="00CA3684"/>
    <w:rsid w:val="00CA36A2"/>
    <w:rsid w:val="00CA3922"/>
    <w:rsid w:val="00CA3CEE"/>
    <w:rsid w:val="00CA3F96"/>
    <w:rsid w:val="00CA4037"/>
    <w:rsid w:val="00CA41FD"/>
    <w:rsid w:val="00CA4234"/>
    <w:rsid w:val="00CA43D5"/>
    <w:rsid w:val="00CA44D2"/>
    <w:rsid w:val="00CA4515"/>
    <w:rsid w:val="00CA4A97"/>
    <w:rsid w:val="00CA4C8F"/>
    <w:rsid w:val="00CA4F30"/>
    <w:rsid w:val="00CA564E"/>
    <w:rsid w:val="00CA56DB"/>
    <w:rsid w:val="00CA5CAC"/>
    <w:rsid w:val="00CA5DCD"/>
    <w:rsid w:val="00CA5DED"/>
    <w:rsid w:val="00CA5E4A"/>
    <w:rsid w:val="00CA5F7E"/>
    <w:rsid w:val="00CA5F84"/>
    <w:rsid w:val="00CA61C1"/>
    <w:rsid w:val="00CA6661"/>
    <w:rsid w:val="00CA66AA"/>
    <w:rsid w:val="00CA6C61"/>
    <w:rsid w:val="00CA6E1C"/>
    <w:rsid w:val="00CA6E5F"/>
    <w:rsid w:val="00CA728C"/>
    <w:rsid w:val="00CA759B"/>
    <w:rsid w:val="00CA75A7"/>
    <w:rsid w:val="00CA75D1"/>
    <w:rsid w:val="00CA793C"/>
    <w:rsid w:val="00CA7AB9"/>
    <w:rsid w:val="00CA7CB7"/>
    <w:rsid w:val="00CA7E26"/>
    <w:rsid w:val="00CA7EC0"/>
    <w:rsid w:val="00CA7F61"/>
    <w:rsid w:val="00CB000D"/>
    <w:rsid w:val="00CB0259"/>
    <w:rsid w:val="00CB034A"/>
    <w:rsid w:val="00CB0578"/>
    <w:rsid w:val="00CB10DA"/>
    <w:rsid w:val="00CB1124"/>
    <w:rsid w:val="00CB132E"/>
    <w:rsid w:val="00CB1604"/>
    <w:rsid w:val="00CB1A91"/>
    <w:rsid w:val="00CB1AAF"/>
    <w:rsid w:val="00CB1F41"/>
    <w:rsid w:val="00CB2124"/>
    <w:rsid w:val="00CB216E"/>
    <w:rsid w:val="00CB2266"/>
    <w:rsid w:val="00CB227D"/>
    <w:rsid w:val="00CB2315"/>
    <w:rsid w:val="00CB2374"/>
    <w:rsid w:val="00CB2432"/>
    <w:rsid w:val="00CB39C9"/>
    <w:rsid w:val="00CB3E2E"/>
    <w:rsid w:val="00CB4504"/>
    <w:rsid w:val="00CB46B9"/>
    <w:rsid w:val="00CB46C4"/>
    <w:rsid w:val="00CB47B9"/>
    <w:rsid w:val="00CB4866"/>
    <w:rsid w:val="00CB4E9E"/>
    <w:rsid w:val="00CB4FD5"/>
    <w:rsid w:val="00CB526B"/>
    <w:rsid w:val="00CB52AD"/>
    <w:rsid w:val="00CB52D0"/>
    <w:rsid w:val="00CB5FF0"/>
    <w:rsid w:val="00CB6034"/>
    <w:rsid w:val="00CB605B"/>
    <w:rsid w:val="00CB6162"/>
    <w:rsid w:val="00CB6335"/>
    <w:rsid w:val="00CB64A5"/>
    <w:rsid w:val="00CB66D8"/>
    <w:rsid w:val="00CB70D1"/>
    <w:rsid w:val="00CB76D0"/>
    <w:rsid w:val="00CB7A2A"/>
    <w:rsid w:val="00CB7AD3"/>
    <w:rsid w:val="00CB7DE5"/>
    <w:rsid w:val="00CB7F4B"/>
    <w:rsid w:val="00CB7F7E"/>
    <w:rsid w:val="00CC04CE"/>
    <w:rsid w:val="00CC06C2"/>
    <w:rsid w:val="00CC08AA"/>
    <w:rsid w:val="00CC09B4"/>
    <w:rsid w:val="00CC0AE9"/>
    <w:rsid w:val="00CC0BD9"/>
    <w:rsid w:val="00CC1193"/>
    <w:rsid w:val="00CC137E"/>
    <w:rsid w:val="00CC1A18"/>
    <w:rsid w:val="00CC1AA9"/>
    <w:rsid w:val="00CC1AD9"/>
    <w:rsid w:val="00CC1BC7"/>
    <w:rsid w:val="00CC1EF3"/>
    <w:rsid w:val="00CC292D"/>
    <w:rsid w:val="00CC2AA5"/>
    <w:rsid w:val="00CC2AB2"/>
    <w:rsid w:val="00CC343C"/>
    <w:rsid w:val="00CC3785"/>
    <w:rsid w:val="00CC39FA"/>
    <w:rsid w:val="00CC3F9E"/>
    <w:rsid w:val="00CC4062"/>
    <w:rsid w:val="00CC4094"/>
    <w:rsid w:val="00CC4499"/>
    <w:rsid w:val="00CC4537"/>
    <w:rsid w:val="00CC46C4"/>
    <w:rsid w:val="00CC47FE"/>
    <w:rsid w:val="00CC5141"/>
    <w:rsid w:val="00CC5194"/>
    <w:rsid w:val="00CC51CE"/>
    <w:rsid w:val="00CC527D"/>
    <w:rsid w:val="00CC53E0"/>
    <w:rsid w:val="00CC5469"/>
    <w:rsid w:val="00CC5804"/>
    <w:rsid w:val="00CC581D"/>
    <w:rsid w:val="00CC5832"/>
    <w:rsid w:val="00CC5ABA"/>
    <w:rsid w:val="00CC6126"/>
    <w:rsid w:val="00CC68FE"/>
    <w:rsid w:val="00CC6958"/>
    <w:rsid w:val="00CC6D07"/>
    <w:rsid w:val="00CC6DD1"/>
    <w:rsid w:val="00CC72D4"/>
    <w:rsid w:val="00CC731D"/>
    <w:rsid w:val="00CC75D7"/>
    <w:rsid w:val="00CC77CC"/>
    <w:rsid w:val="00CC7A37"/>
    <w:rsid w:val="00CC7C0C"/>
    <w:rsid w:val="00CC7C10"/>
    <w:rsid w:val="00CC7CCD"/>
    <w:rsid w:val="00CC7D6E"/>
    <w:rsid w:val="00CC7EC2"/>
    <w:rsid w:val="00CC7F6F"/>
    <w:rsid w:val="00CD00A5"/>
    <w:rsid w:val="00CD016C"/>
    <w:rsid w:val="00CD01AA"/>
    <w:rsid w:val="00CD0266"/>
    <w:rsid w:val="00CD0385"/>
    <w:rsid w:val="00CD04E5"/>
    <w:rsid w:val="00CD0716"/>
    <w:rsid w:val="00CD07D2"/>
    <w:rsid w:val="00CD0A41"/>
    <w:rsid w:val="00CD0E67"/>
    <w:rsid w:val="00CD0FDF"/>
    <w:rsid w:val="00CD1136"/>
    <w:rsid w:val="00CD136C"/>
    <w:rsid w:val="00CD13EB"/>
    <w:rsid w:val="00CD191C"/>
    <w:rsid w:val="00CD1A16"/>
    <w:rsid w:val="00CD1D50"/>
    <w:rsid w:val="00CD2437"/>
    <w:rsid w:val="00CD268E"/>
    <w:rsid w:val="00CD2B66"/>
    <w:rsid w:val="00CD2BAE"/>
    <w:rsid w:val="00CD2EAE"/>
    <w:rsid w:val="00CD3582"/>
    <w:rsid w:val="00CD398D"/>
    <w:rsid w:val="00CD3D1D"/>
    <w:rsid w:val="00CD45FD"/>
    <w:rsid w:val="00CD47EA"/>
    <w:rsid w:val="00CD48AA"/>
    <w:rsid w:val="00CD4942"/>
    <w:rsid w:val="00CD4A08"/>
    <w:rsid w:val="00CD4B6E"/>
    <w:rsid w:val="00CD4D28"/>
    <w:rsid w:val="00CD4F66"/>
    <w:rsid w:val="00CD50DE"/>
    <w:rsid w:val="00CD5173"/>
    <w:rsid w:val="00CD52FB"/>
    <w:rsid w:val="00CD5598"/>
    <w:rsid w:val="00CD5724"/>
    <w:rsid w:val="00CD5D93"/>
    <w:rsid w:val="00CD5EB6"/>
    <w:rsid w:val="00CD5ECC"/>
    <w:rsid w:val="00CD632A"/>
    <w:rsid w:val="00CD637E"/>
    <w:rsid w:val="00CD6386"/>
    <w:rsid w:val="00CD64B6"/>
    <w:rsid w:val="00CD64C2"/>
    <w:rsid w:val="00CD6619"/>
    <w:rsid w:val="00CD67B8"/>
    <w:rsid w:val="00CD67CE"/>
    <w:rsid w:val="00CD6AB5"/>
    <w:rsid w:val="00CD6C04"/>
    <w:rsid w:val="00CD6C5F"/>
    <w:rsid w:val="00CD6E56"/>
    <w:rsid w:val="00CD73A3"/>
    <w:rsid w:val="00CD77EE"/>
    <w:rsid w:val="00CE0243"/>
    <w:rsid w:val="00CE06B7"/>
    <w:rsid w:val="00CE0722"/>
    <w:rsid w:val="00CE09FE"/>
    <w:rsid w:val="00CE0AFB"/>
    <w:rsid w:val="00CE0D95"/>
    <w:rsid w:val="00CE0F82"/>
    <w:rsid w:val="00CE1081"/>
    <w:rsid w:val="00CE10BE"/>
    <w:rsid w:val="00CE13E0"/>
    <w:rsid w:val="00CE155E"/>
    <w:rsid w:val="00CE1966"/>
    <w:rsid w:val="00CE1A91"/>
    <w:rsid w:val="00CE2509"/>
    <w:rsid w:val="00CE25DB"/>
    <w:rsid w:val="00CE26A0"/>
    <w:rsid w:val="00CE27B9"/>
    <w:rsid w:val="00CE2E2E"/>
    <w:rsid w:val="00CE30E3"/>
    <w:rsid w:val="00CE343D"/>
    <w:rsid w:val="00CE3753"/>
    <w:rsid w:val="00CE423A"/>
    <w:rsid w:val="00CE43F4"/>
    <w:rsid w:val="00CE440C"/>
    <w:rsid w:val="00CE4554"/>
    <w:rsid w:val="00CE4AE4"/>
    <w:rsid w:val="00CE4CA7"/>
    <w:rsid w:val="00CE4F69"/>
    <w:rsid w:val="00CE54EB"/>
    <w:rsid w:val="00CE58A2"/>
    <w:rsid w:val="00CE58A5"/>
    <w:rsid w:val="00CE5915"/>
    <w:rsid w:val="00CE59B6"/>
    <w:rsid w:val="00CE5B7B"/>
    <w:rsid w:val="00CE5C6A"/>
    <w:rsid w:val="00CE5EEC"/>
    <w:rsid w:val="00CE5F0E"/>
    <w:rsid w:val="00CE61C6"/>
    <w:rsid w:val="00CE6291"/>
    <w:rsid w:val="00CE63C2"/>
    <w:rsid w:val="00CE6555"/>
    <w:rsid w:val="00CE6577"/>
    <w:rsid w:val="00CE666A"/>
    <w:rsid w:val="00CE68A9"/>
    <w:rsid w:val="00CE6A81"/>
    <w:rsid w:val="00CE6F88"/>
    <w:rsid w:val="00CE71B8"/>
    <w:rsid w:val="00CE728D"/>
    <w:rsid w:val="00CE74AA"/>
    <w:rsid w:val="00CE77AA"/>
    <w:rsid w:val="00CE7805"/>
    <w:rsid w:val="00CE7880"/>
    <w:rsid w:val="00CE7B3B"/>
    <w:rsid w:val="00CE7B40"/>
    <w:rsid w:val="00CE7C08"/>
    <w:rsid w:val="00CE7DB3"/>
    <w:rsid w:val="00CE7E8A"/>
    <w:rsid w:val="00CF000D"/>
    <w:rsid w:val="00CF0636"/>
    <w:rsid w:val="00CF0AA6"/>
    <w:rsid w:val="00CF0ADF"/>
    <w:rsid w:val="00CF0BF1"/>
    <w:rsid w:val="00CF0CEF"/>
    <w:rsid w:val="00CF0D87"/>
    <w:rsid w:val="00CF0E35"/>
    <w:rsid w:val="00CF0EA2"/>
    <w:rsid w:val="00CF0F98"/>
    <w:rsid w:val="00CF1110"/>
    <w:rsid w:val="00CF149F"/>
    <w:rsid w:val="00CF14C2"/>
    <w:rsid w:val="00CF153E"/>
    <w:rsid w:val="00CF172C"/>
    <w:rsid w:val="00CF1780"/>
    <w:rsid w:val="00CF18E0"/>
    <w:rsid w:val="00CF18E5"/>
    <w:rsid w:val="00CF1D44"/>
    <w:rsid w:val="00CF1F11"/>
    <w:rsid w:val="00CF1F42"/>
    <w:rsid w:val="00CF207C"/>
    <w:rsid w:val="00CF21F8"/>
    <w:rsid w:val="00CF2351"/>
    <w:rsid w:val="00CF24E2"/>
    <w:rsid w:val="00CF2598"/>
    <w:rsid w:val="00CF2965"/>
    <w:rsid w:val="00CF2A45"/>
    <w:rsid w:val="00CF2A99"/>
    <w:rsid w:val="00CF2B17"/>
    <w:rsid w:val="00CF3C7A"/>
    <w:rsid w:val="00CF3D8D"/>
    <w:rsid w:val="00CF40CE"/>
    <w:rsid w:val="00CF40E1"/>
    <w:rsid w:val="00CF421B"/>
    <w:rsid w:val="00CF4334"/>
    <w:rsid w:val="00CF457E"/>
    <w:rsid w:val="00CF45E8"/>
    <w:rsid w:val="00CF4F7D"/>
    <w:rsid w:val="00CF4FF7"/>
    <w:rsid w:val="00CF5248"/>
    <w:rsid w:val="00CF5A1F"/>
    <w:rsid w:val="00CF5EE9"/>
    <w:rsid w:val="00CF600A"/>
    <w:rsid w:val="00CF608C"/>
    <w:rsid w:val="00CF65E0"/>
    <w:rsid w:val="00CF67D9"/>
    <w:rsid w:val="00CF680A"/>
    <w:rsid w:val="00CF6F3A"/>
    <w:rsid w:val="00CF6FA8"/>
    <w:rsid w:val="00CF7367"/>
    <w:rsid w:val="00CF7547"/>
    <w:rsid w:val="00CF7939"/>
    <w:rsid w:val="00CF7E43"/>
    <w:rsid w:val="00CF7EF0"/>
    <w:rsid w:val="00D001FB"/>
    <w:rsid w:val="00D0040B"/>
    <w:rsid w:val="00D005F6"/>
    <w:rsid w:val="00D00D67"/>
    <w:rsid w:val="00D00D9D"/>
    <w:rsid w:val="00D01009"/>
    <w:rsid w:val="00D011D1"/>
    <w:rsid w:val="00D01416"/>
    <w:rsid w:val="00D01804"/>
    <w:rsid w:val="00D01C5D"/>
    <w:rsid w:val="00D01F60"/>
    <w:rsid w:val="00D02173"/>
    <w:rsid w:val="00D021EF"/>
    <w:rsid w:val="00D025C0"/>
    <w:rsid w:val="00D02A31"/>
    <w:rsid w:val="00D02AEC"/>
    <w:rsid w:val="00D030B7"/>
    <w:rsid w:val="00D03589"/>
    <w:rsid w:val="00D035ED"/>
    <w:rsid w:val="00D037F1"/>
    <w:rsid w:val="00D03A2A"/>
    <w:rsid w:val="00D03CE5"/>
    <w:rsid w:val="00D03DED"/>
    <w:rsid w:val="00D03E6B"/>
    <w:rsid w:val="00D04214"/>
    <w:rsid w:val="00D047FA"/>
    <w:rsid w:val="00D04F82"/>
    <w:rsid w:val="00D05138"/>
    <w:rsid w:val="00D052BC"/>
    <w:rsid w:val="00D0589D"/>
    <w:rsid w:val="00D05ADB"/>
    <w:rsid w:val="00D05C90"/>
    <w:rsid w:val="00D05CC0"/>
    <w:rsid w:val="00D06301"/>
    <w:rsid w:val="00D0648E"/>
    <w:rsid w:val="00D065D1"/>
    <w:rsid w:val="00D067EB"/>
    <w:rsid w:val="00D06A04"/>
    <w:rsid w:val="00D06A40"/>
    <w:rsid w:val="00D06E53"/>
    <w:rsid w:val="00D06E9B"/>
    <w:rsid w:val="00D073CA"/>
    <w:rsid w:val="00D07481"/>
    <w:rsid w:val="00D0785C"/>
    <w:rsid w:val="00D079AD"/>
    <w:rsid w:val="00D07C57"/>
    <w:rsid w:val="00D07F1A"/>
    <w:rsid w:val="00D10027"/>
    <w:rsid w:val="00D10227"/>
    <w:rsid w:val="00D10344"/>
    <w:rsid w:val="00D104E8"/>
    <w:rsid w:val="00D1050B"/>
    <w:rsid w:val="00D105EC"/>
    <w:rsid w:val="00D10A38"/>
    <w:rsid w:val="00D10A82"/>
    <w:rsid w:val="00D10B6A"/>
    <w:rsid w:val="00D10B8B"/>
    <w:rsid w:val="00D10B93"/>
    <w:rsid w:val="00D10BF9"/>
    <w:rsid w:val="00D110F0"/>
    <w:rsid w:val="00D110FE"/>
    <w:rsid w:val="00D11706"/>
    <w:rsid w:val="00D11CC4"/>
    <w:rsid w:val="00D120C0"/>
    <w:rsid w:val="00D120EB"/>
    <w:rsid w:val="00D12265"/>
    <w:rsid w:val="00D12335"/>
    <w:rsid w:val="00D125E1"/>
    <w:rsid w:val="00D12635"/>
    <w:rsid w:val="00D1291B"/>
    <w:rsid w:val="00D12A36"/>
    <w:rsid w:val="00D12AD3"/>
    <w:rsid w:val="00D12B6E"/>
    <w:rsid w:val="00D12C85"/>
    <w:rsid w:val="00D12DB6"/>
    <w:rsid w:val="00D133AE"/>
    <w:rsid w:val="00D13564"/>
    <w:rsid w:val="00D1388D"/>
    <w:rsid w:val="00D138A1"/>
    <w:rsid w:val="00D13ADC"/>
    <w:rsid w:val="00D13E96"/>
    <w:rsid w:val="00D13EA5"/>
    <w:rsid w:val="00D13EB4"/>
    <w:rsid w:val="00D140B0"/>
    <w:rsid w:val="00D14444"/>
    <w:rsid w:val="00D14987"/>
    <w:rsid w:val="00D149A1"/>
    <w:rsid w:val="00D14B7D"/>
    <w:rsid w:val="00D14F60"/>
    <w:rsid w:val="00D15444"/>
    <w:rsid w:val="00D157A2"/>
    <w:rsid w:val="00D15868"/>
    <w:rsid w:val="00D15895"/>
    <w:rsid w:val="00D158C9"/>
    <w:rsid w:val="00D15A8D"/>
    <w:rsid w:val="00D15D06"/>
    <w:rsid w:val="00D16091"/>
    <w:rsid w:val="00D160AA"/>
    <w:rsid w:val="00D16133"/>
    <w:rsid w:val="00D161A5"/>
    <w:rsid w:val="00D16918"/>
    <w:rsid w:val="00D1697C"/>
    <w:rsid w:val="00D16C4B"/>
    <w:rsid w:val="00D173A4"/>
    <w:rsid w:val="00D179FE"/>
    <w:rsid w:val="00D17B99"/>
    <w:rsid w:val="00D17FBA"/>
    <w:rsid w:val="00D200AE"/>
    <w:rsid w:val="00D203A9"/>
    <w:rsid w:val="00D20412"/>
    <w:rsid w:val="00D2050E"/>
    <w:rsid w:val="00D20522"/>
    <w:rsid w:val="00D2071E"/>
    <w:rsid w:val="00D20873"/>
    <w:rsid w:val="00D208D6"/>
    <w:rsid w:val="00D20F00"/>
    <w:rsid w:val="00D20F6E"/>
    <w:rsid w:val="00D21335"/>
    <w:rsid w:val="00D2145F"/>
    <w:rsid w:val="00D216C9"/>
    <w:rsid w:val="00D21787"/>
    <w:rsid w:val="00D21BBD"/>
    <w:rsid w:val="00D21EC4"/>
    <w:rsid w:val="00D21F5A"/>
    <w:rsid w:val="00D21F5B"/>
    <w:rsid w:val="00D21FF7"/>
    <w:rsid w:val="00D220BC"/>
    <w:rsid w:val="00D22192"/>
    <w:rsid w:val="00D22196"/>
    <w:rsid w:val="00D22254"/>
    <w:rsid w:val="00D222BA"/>
    <w:rsid w:val="00D22305"/>
    <w:rsid w:val="00D22444"/>
    <w:rsid w:val="00D226DB"/>
    <w:rsid w:val="00D2287B"/>
    <w:rsid w:val="00D22F0E"/>
    <w:rsid w:val="00D22FC7"/>
    <w:rsid w:val="00D2300E"/>
    <w:rsid w:val="00D230CC"/>
    <w:rsid w:val="00D23536"/>
    <w:rsid w:val="00D23630"/>
    <w:rsid w:val="00D23654"/>
    <w:rsid w:val="00D23E15"/>
    <w:rsid w:val="00D23EFF"/>
    <w:rsid w:val="00D24325"/>
    <w:rsid w:val="00D24343"/>
    <w:rsid w:val="00D243D2"/>
    <w:rsid w:val="00D2446F"/>
    <w:rsid w:val="00D249FB"/>
    <w:rsid w:val="00D24E8F"/>
    <w:rsid w:val="00D2556B"/>
    <w:rsid w:val="00D2567C"/>
    <w:rsid w:val="00D25C06"/>
    <w:rsid w:val="00D265C5"/>
    <w:rsid w:val="00D2686F"/>
    <w:rsid w:val="00D269AB"/>
    <w:rsid w:val="00D26B15"/>
    <w:rsid w:val="00D26C44"/>
    <w:rsid w:val="00D26F57"/>
    <w:rsid w:val="00D270A8"/>
    <w:rsid w:val="00D272D5"/>
    <w:rsid w:val="00D2730F"/>
    <w:rsid w:val="00D274BA"/>
    <w:rsid w:val="00D2766F"/>
    <w:rsid w:val="00D277F1"/>
    <w:rsid w:val="00D2786E"/>
    <w:rsid w:val="00D279E2"/>
    <w:rsid w:val="00D27D9A"/>
    <w:rsid w:val="00D27DE9"/>
    <w:rsid w:val="00D27F22"/>
    <w:rsid w:val="00D300B0"/>
    <w:rsid w:val="00D30256"/>
    <w:rsid w:val="00D30490"/>
    <w:rsid w:val="00D3070C"/>
    <w:rsid w:val="00D307A0"/>
    <w:rsid w:val="00D30E1C"/>
    <w:rsid w:val="00D30EF0"/>
    <w:rsid w:val="00D30FC9"/>
    <w:rsid w:val="00D30FD1"/>
    <w:rsid w:val="00D312E4"/>
    <w:rsid w:val="00D3136B"/>
    <w:rsid w:val="00D3146E"/>
    <w:rsid w:val="00D31B5E"/>
    <w:rsid w:val="00D31DE2"/>
    <w:rsid w:val="00D31EBA"/>
    <w:rsid w:val="00D31EEA"/>
    <w:rsid w:val="00D31FDE"/>
    <w:rsid w:val="00D32251"/>
    <w:rsid w:val="00D32672"/>
    <w:rsid w:val="00D327EF"/>
    <w:rsid w:val="00D32999"/>
    <w:rsid w:val="00D32C78"/>
    <w:rsid w:val="00D33720"/>
    <w:rsid w:val="00D339A0"/>
    <w:rsid w:val="00D343A2"/>
    <w:rsid w:val="00D3443A"/>
    <w:rsid w:val="00D3456E"/>
    <w:rsid w:val="00D34D11"/>
    <w:rsid w:val="00D34FCE"/>
    <w:rsid w:val="00D3513F"/>
    <w:rsid w:val="00D35428"/>
    <w:rsid w:val="00D3550B"/>
    <w:rsid w:val="00D355F9"/>
    <w:rsid w:val="00D357C7"/>
    <w:rsid w:val="00D35D2B"/>
    <w:rsid w:val="00D35D65"/>
    <w:rsid w:val="00D3632F"/>
    <w:rsid w:val="00D36611"/>
    <w:rsid w:val="00D36634"/>
    <w:rsid w:val="00D367FC"/>
    <w:rsid w:val="00D36984"/>
    <w:rsid w:val="00D36DB1"/>
    <w:rsid w:val="00D373BE"/>
    <w:rsid w:val="00D37492"/>
    <w:rsid w:val="00D375AB"/>
    <w:rsid w:val="00D37815"/>
    <w:rsid w:val="00D37CEF"/>
    <w:rsid w:val="00D37FFA"/>
    <w:rsid w:val="00D40532"/>
    <w:rsid w:val="00D40B26"/>
    <w:rsid w:val="00D40E56"/>
    <w:rsid w:val="00D4108F"/>
    <w:rsid w:val="00D410D5"/>
    <w:rsid w:val="00D411E6"/>
    <w:rsid w:val="00D41240"/>
    <w:rsid w:val="00D41405"/>
    <w:rsid w:val="00D4165D"/>
    <w:rsid w:val="00D4174B"/>
    <w:rsid w:val="00D4187F"/>
    <w:rsid w:val="00D41933"/>
    <w:rsid w:val="00D41CF1"/>
    <w:rsid w:val="00D41E7C"/>
    <w:rsid w:val="00D41F86"/>
    <w:rsid w:val="00D41FE3"/>
    <w:rsid w:val="00D41FFB"/>
    <w:rsid w:val="00D42178"/>
    <w:rsid w:val="00D425E6"/>
    <w:rsid w:val="00D42628"/>
    <w:rsid w:val="00D429D1"/>
    <w:rsid w:val="00D42A0B"/>
    <w:rsid w:val="00D42A25"/>
    <w:rsid w:val="00D42FFF"/>
    <w:rsid w:val="00D4316E"/>
    <w:rsid w:val="00D43256"/>
    <w:rsid w:val="00D433D0"/>
    <w:rsid w:val="00D435FD"/>
    <w:rsid w:val="00D436C0"/>
    <w:rsid w:val="00D437D8"/>
    <w:rsid w:val="00D43AF3"/>
    <w:rsid w:val="00D43F10"/>
    <w:rsid w:val="00D448E4"/>
    <w:rsid w:val="00D44B46"/>
    <w:rsid w:val="00D44BED"/>
    <w:rsid w:val="00D44C52"/>
    <w:rsid w:val="00D44D8A"/>
    <w:rsid w:val="00D44F6D"/>
    <w:rsid w:val="00D454C3"/>
    <w:rsid w:val="00D45562"/>
    <w:rsid w:val="00D4583D"/>
    <w:rsid w:val="00D45A74"/>
    <w:rsid w:val="00D45D56"/>
    <w:rsid w:val="00D46466"/>
    <w:rsid w:val="00D467A7"/>
    <w:rsid w:val="00D46AC3"/>
    <w:rsid w:val="00D46C55"/>
    <w:rsid w:val="00D4739F"/>
    <w:rsid w:val="00D47463"/>
    <w:rsid w:val="00D4757B"/>
    <w:rsid w:val="00D47762"/>
    <w:rsid w:val="00D47896"/>
    <w:rsid w:val="00D478C2"/>
    <w:rsid w:val="00D4790B"/>
    <w:rsid w:val="00D47A3A"/>
    <w:rsid w:val="00D47A91"/>
    <w:rsid w:val="00D47D2D"/>
    <w:rsid w:val="00D47FFE"/>
    <w:rsid w:val="00D50182"/>
    <w:rsid w:val="00D5031A"/>
    <w:rsid w:val="00D5081B"/>
    <w:rsid w:val="00D508BC"/>
    <w:rsid w:val="00D508F1"/>
    <w:rsid w:val="00D50A3F"/>
    <w:rsid w:val="00D511AC"/>
    <w:rsid w:val="00D51543"/>
    <w:rsid w:val="00D515CB"/>
    <w:rsid w:val="00D517CF"/>
    <w:rsid w:val="00D51916"/>
    <w:rsid w:val="00D5197F"/>
    <w:rsid w:val="00D51BF9"/>
    <w:rsid w:val="00D51CDD"/>
    <w:rsid w:val="00D51D61"/>
    <w:rsid w:val="00D51E43"/>
    <w:rsid w:val="00D52051"/>
    <w:rsid w:val="00D5225C"/>
    <w:rsid w:val="00D5230A"/>
    <w:rsid w:val="00D52599"/>
    <w:rsid w:val="00D5277E"/>
    <w:rsid w:val="00D52B06"/>
    <w:rsid w:val="00D52CD6"/>
    <w:rsid w:val="00D52E09"/>
    <w:rsid w:val="00D52FFC"/>
    <w:rsid w:val="00D531FA"/>
    <w:rsid w:val="00D5337D"/>
    <w:rsid w:val="00D53723"/>
    <w:rsid w:val="00D53A77"/>
    <w:rsid w:val="00D53AA2"/>
    <w:rsid w:val="00D53C18"/>
    <w:rsid w:val="00D53D9C"/>
    <w:rsid w:val="00D54076"/>
    <w:rsid w:val="00D54121"/>
    <w:rsid w:val="00D54125"/>
    <w:rsid w:val="00D54157"/>
    <w:rsid w:val="00D543CD"/>
    <w:rsid w:val="00D544DC"/>
    <w:rsid w:val="00D54519"/>
    <w:rsid w:val="00D549B4"/>
    <w:rsid w:val="00D54BC6"/>
    <w:rsid w:val="00D54E1A"/>
    <w:rsid w:val="00D54FC7"/>
    <w:rsid w:val="00D55233"/>
    <w:rsid w:val="00D55668"/>
    <w:rsid w:val="00D558AF"/>
    <w:rsid w:val="00D55B22"/>
    <w:rsid w:val="00D55B2B"/>
    <w:rsid w:val="00D55D3A"/>
    <w:rsid w:val="00D55F48"/>
    <w:rsid w:val="00D5600E"/>
    <w:rsid w:val="00D561E7"/>
    <w:rsid w:val="00D56255"/>
    <w:rsid w:val="00D562E8"/>
    <w:rsid w:val="00D56347"/>
    <w:rsid w:val="00D56919"/>
    <w:rsid w:val="00D56A63"/>
    <w:rsid w:val="00D56E72"/>
    <w:rsid w:val="00D56EE6"/>
    <w:rsid w:val="00D57591"/>
    <w:rsid w:val="00D577BD"/>
    <w:rsid w:val="00D578DA"/>
    <w:rsid w:val="00D57942"/>
    <w:rsid w:val="00D57CF1"/>
    <w:rsid w:val="00D57D04"/>
    <w:rsid w:val="00D600E3"/>
    <w:rsid w:val="00D607F6"/>
    <w:rsid w:val="00D60BC1"/>
    <w:rsid w:val="00D60C6E"/>
    <w:rsid w:val="00D612B4"/>
    <w:rsid w:val="00D61521"/>
    <w:rsid w:val="00D619CD"/>
    <w:rsid w:val="00D61B4F"/>
    <w:rsid w:val="00D61B7D"/>
    <w:rsid w:val="00D620A2"/>
    <w:rsid w:val="00D62249"/>
    <w:rsid w:val="00D62357"/>
    <w:rsid w:val="00D628F4"/>
    <w:rsid w:val="00D62B75"/>
    <w:rsid w:val="00D62CAD"/>
    <w:rsid w:val="00D62E6D"/>
    <w:rsid w:val="00D63021"/>
    <w:rsid w:val="00D630D3"/>
    <w:rsid w:val="00D63EA1"/>
    <w:rsid w:val="00D643FF"/>
    <w:rsid w:val="00D644DF"/>
    <w:rsid w:val="00D645D4"/>
    <w:rsid w:val="00D649AE"/>
    <w:rsid w:val="00D64AE1"/>
    <w:rsid w:val="00D64B6D"/>
    <w:rsid w:val="00D64EC9"/>
    <w:rsid w:val="00D6523B"/>
    <w:rsid w:val="00D65689"/>
    <w:rsid w:val="00D65777"/>
    <w:rsid w:val="00D65CC6"/>
    <w:rsid w:val="00D6618C"/>
    <w:rsid w:val="00D6664E"/>
    <w:rsid w:val="00D66919"/>
    <w:rsid w:val="00D66BE4"/>
    <w:rsid w:val="00D66CBC"/>
    <w:rsid w:val="00D66D6B"/>
    <w:rsid w:val="00D66DAC"/>
    <w:rsid w:val="00D6732E"/>
    <w:rsid w:val="00D67362"/>
    <w:rsid w:val="00D67AD2"/>
    <w:rsid w:val="00D67E2B"/>
    <w:rsid w:val="00D70087"/>
    <w:rsid w:val="00D70333"/>
    <w:rsid w:val="00D71052"/>
    <w:rsid w:val="00D710BC"/>
    <w:rsid w:val="00D711FC"/>
    <w:rsid w:val="00D71343"/>
    <w:rsid w:val="00D714FA"/>
    <w:rsid w:val="00D71751"/>
    <w:rsid w:val="00D7179F"/>
    <w:rsid w:val="00D71825"/>
    <w:rsid w:val="00D7189C"/>
    <w:rsid w:val="00D71FE6"/>
    <w:rsid w:val="00D7221F"/>
    <w:rsid w:val="00D72263"/>
    <w:rsid w:val="00D72662"/>
    <w:rsid w:val="00D72873"/>
    <w:rsid w:val="00D7290F"/>
    <w:rsid w:val="00D7293B"/>
    <w:rsid w:val="00D72A34"/>
    <w:rsid w:val="00D72A76"/>
    <w:rsid w:val="00D72F55"/>
    <w:rsid w:val="00D730FC"/>
    <w:rsid w:val="00D7316D"/>
    <w:rsid w:val="00D7334A"/>
    <w:rsid w:val="00D73350"/>
    <w:rsid w:val="00D733EE"/>
    <w:rsid w:val="00D7344E"/>
    <w:rsid w:val="00D73515"/>
    <w:rsid w:val="00D735D5"/>
    <w:rsid w:val="00D73B5E"/>
    <w:rsid w:val="00D73BEF"/>
    <w:rsid w:val="00D73C5F"/>
    <w:rsid w:val="00D7403B"/>
    <w:rsid w:val="00D741AA"/>
    <w:rsid w:val="00D74237"/>
    <w:rsid w:val="00D7435D"/>
    <w:rsid w:val="00D743B3"/>
    <w:rsid w:val="00D7453D"/>
    <w:rsid w:val="00D7462C"/>
    <w:rsid w:val="00D74DFC"/>
    <w:rsid w:val="00D75167"/>
    <w:rsid w:val="00D75222"/>
    <w:rsid w:val="00D7564B"/>
    <w:rsid w:val="00D75B2E"/>
    <w:rsid w:val="00D75D13"/>
    <w:rsid w:val="00D75DB9"/>
    <w:rsid w:val="00D76371"/>
    <w:rsid w:val="00D76CF2"/>
    <w:rsid w:val="00D778EE"/>
    <w:rsid w:val="00D7797C"/>
    <w:rsid w:val="00D77A18"/>
    <w:rsid w:val="00D77B2E"/>
    <w:rsid w:val="00D77F57"/>
    <w:rsid w:val="00D8028B"/>
    <w:rsid w:val="00D80297"/>
    <w:rsid w:val="00D803F5"/>
    <w:rsid w:val="00D805EF"/>
    <w:rsid w:val="00D806AA"/>
    <w:rsid w:val="00D80765"/>
    <w:rsid w:val="00D80A69"/>
    <w:rsid w:val="00D80AAE"/>
    <w:rsid w:val="00D80E8D"/>
    <w:rsid w:val="00D80FD4"/>
    <w:rsid w:val="00D811FF"/>
    <w:rsid w:val="00D8144C"/>
    <w:rsid w:val="00D819E7"/>
    <w:rsid w:val="00D81AE0"/>
    <w:rsid w:val="00D81D9C"/>
    <w:rsid w:val="00D81EFF"/>
    <w:rsid w:val="00D81F37"/>
    <w:rsid w:val="00D82025"/>
    <w:rsid w:val="00D82553"/>
    <w:rsid w:val="00D826EC"/>
    <w:rsid w:val="00D82783"/>
    <w:rsid w:val="00D82B64"/>
    <w:rsid w:val="00D82B8A"/>
    <w:rsid w:val="00D82C40"/>
    <w:rsid w:val="00D82D24"/>
    <w:rsid w:val="00D82D31"/>
    <w:rsid w:val="00D82FA2"/>
    <w:rsid w:val="00D830DB"/>
    <w:rsid w:val="00D8387B"/>
    <w:rsid w:val="00D83FB3"/>
    <w:rsid w:val="00D84336"/>
    <w:rsid w:val="00D8461A"/>
    <w:rsid w:val="00D8475A"/>
    <w:rsid w:val="00D8475C"/>
    <w:rsid w:val="00D8491E"/>
    <w:rsid w:val="00D84A69"/>
    <w:rsid w:val="00D84F47"/>
    <w:rsid w:val="00D84FA4"/>
    <w:rsid w:val="00D8516C"/>
    <w:rsid w:val="00D85957"/>
    <w:rsid w:val="00D85C17"/>
    <w:rsid w:val="00D85E57"/>
    <w:rsid w:val="00D861EA"/>
    <w:rsid w:val="00D8623E"/>
    <w:rsid w:val="00D8637F"/>
    <w:rsid w:val="00D863B7"/>
    <w:rsid w:val="00D8647C"/>
    <w:rsid w:val="00D866AB"/>
    <w:rsid w:val="00D867D1"/>
    <w:rsid w:val="00D86863"/>
    <w:rsid w:val="00D869E8"/>
    <w:rsid w:val="00D86AA1"/>
    <w:rsid w:val="00D86D51"/>
    <w:rsid w:val="00D86FC9"/>
    <w:rsid w:val="00D8711A"/>
    <w:rsid w:val="00D872B4"/>
    <w:rsid w:val="00D87C60"/>
    <w:rsid w:val="00D87CA7"/>
    <w:rsid w:val="00D87E72"/>
    <w:rsid w:val="00D90B44"/>
    <w:rsid w:val="00D911D9"/>
    <w:rsid w:val="00D9125D"/>
    <w:rsid w:val="00D91561"/>
    <w:rsid w:val="00D915D5"/>
    <w:rsid w:val="00D91761"/>
    <w:rsid w:val="00D91E48"/>
    <w:rsid w:val="00D921C1"/>
    <w:rsid w:val="00D92306"/>
    <w:rsid w:val="00D92367"/>
    <w:rsid w:val="00D92B65"/>
    <w:rsid w:val="00D92C1E"/>
    <w:rsid w:val="00D92F4E"/>
    <w:rsid w:val="00D936C9"/>
    <w:rsid w:val="00D93A56"/>
    <w:rsid w:val="00D93E5D"/>
    <w:rsid w:val="00D943A2"/>
    <w:rsid w:val="00D94437"/>
    <w:rsid w:val="00D9448D"/>
    <w:rsid w:val="00D94A84"/>
    <w:rsid w:val="00D94B7B"/>
    <w:rsid w:val="00D94CD1"/>
    <w:rsid w:val="00D9543E"/>
    <w:rsid w:val="00D95738"/>
    <w:rsid w:val="00D957AA"/>
    <w:rsid w:val="00D957FF"/>
    <w:rsid w:val="00D95851"/>
    <w:rsid w:val="00D95A00"/>
    <w:rsid w:val="00D95A49"/>
    <w:rsid w:val="00D95AC8"/>
    <w:rsid w:val="00D95F2F"/>
    <w:rsid w:val="00D9688D"/>
    <w:rsid w:val="00D96AB0"/>
    <w:rsid w:val="00D96C93"/>
    <w:rsid w:val="00D96D01"/>
    <w:rsid w:val="00D96D44"/>
    <w:rsid w:val="00D96D65"/>
    <w:rsid w:val="00D96EBA"/>
    <w:rsid w:val="00D96EF7"/>
    <w:rsid w:val="00D977D1"/>
    <w:rsid w:val="00D97A21"/>
    <w:rsid w:val="00D97A5D"/>
    <w:rsid w:val="00D97C28"/>
    <w:rsid w:val="00D97F6C"/>
    <w:rsid w:val="00DA027B"/>
    <w:rsid w:val="00DA0454"/>
    <w:rsid w:val="00DA0696"/>
    <w:rsid w:val="00DA06CD"/>
    <w:rsid w:val="00DA0724"/>
    <w:rsid w:val="00DA08DB"/>
    <w:rsid w:val="00DA0AB8"/>
    <w:rsid w:val="00DA0C28"/>
    <w:rsid w:val="00DA1075"/>
    <w:rsid w:val="00DA10C0"/>
    <w:rsid w:val="00DA12D0"/>
    <w:rsid w:val="00DA1542"/>
    <w:rsid w:val="00DA1B9C"/>
    <w:rsid w:val="00DA1C32"/>
    <w:rsid w:val="00DA1E4D"/>
    <w:rsid w:val="00DA22BD"/>
    <w:rsid w:val="00DA26E7"/>
    <w:rsid w:val="00DA2A23"/>
    <w:rsid w:val="00DA2E5A"/>
    <w:rsid w:val="00DA309A"/>
    <w:rsid w:val="00DA32DA"/>
    <w:rsid w:val="00DA3877"/>
    <w:rsid w:val="00DA3A38"/>
    <w:rsid w:val="00DA3E0C"/>
    <w:rsid w:val="00DA3E6F"/>
    <w:rsid w:val="00DA415E"/>
    <w:rsid w:val="00DA4280"/>
    <w:rsid w:val="00DA429D"/>
    <w:rsid w:val="00DA4565"/>
    <w:rsid w:val="00DA4B41"/>
    <w:rsid w:val="00DA51E6"/>
    <w:rsid w:val="00DA54CF"/>
    <w:rsid w:val="00DA5598"/>
    <w:rsid w:val="00DA575A"/>
    <w:rsid w:val="00DA5AB7"/>
    <w:rsid w:val="00DA6189"/>
    <w:rsid w:val="00DA6222"/>
    <w:rsid w:val="00DA6357"/>
    <w:rsid w:val="00DA6EBE"/>
    <w:rsid w:val="00DA7043"/>
    <w:rsid w:val="00DA7331"/>
    <w:rsid w:val="00DA770C"/>
    <w:rsid w:val="00DB01C3"/>
    <w:rsid w:val="00DB02CA"/>
    <w:rsid w:val="00DB0342"/>
    <w:rsid w:val="00DB045A"/>
    <w:rsid w:val="00DB0557"/>
    <w:rsid w:val="00DB0561"/>
    <w:rsid w:val="00DB064F"/>
    <w:rsid w:val="00DB0769"/>
    <w:rsid w:val="00DB07A7"/>
    <w:rsid w:val="00DB07DD"/>
    <w:rsid w:val="00DB0842"/>
    <w:rsid w:val="00DB08D5"/>
    <w:rsid w:val="00DB0E51"/>
    <w:rsid w:val="00DB101E"/>
    <w:rsid w:val="00DB1052"/>
    <w:rsid w:val="00DB1458"/>
    <w:rsid w:val="00DB15E4"/>
    <w:rsid w:val="00DB1640"/>
    <w:rsid w:val="00DB1CAD"/>
    <w:rsid w:val="00DB1FE1"/>
    <w:rsid w:val="00DB2641"/>
    <w:rsid w:val="00DB28EF"/>
    <w:rsid w:val="00DB2D8F"/>
    <w:rsid w:val="00DB2E0A"/>
    <w:rsid w:val="00DB2E5D"/>
    <w:rsid w:val="00DB345C"/>
    <w:rsid w:val="00DB386E"/>
    <w:rsid w:val="00DB38E2"/>
    <w:rsid w:val="00DB397C"/>
    <w:rsid w:val="00DB39C2"/>
    <w:rsid w:val="00DB3B40"/>
    <w:rsid w:val="00DB3C77"/>
    <w:rsid w:val="00DB40E4"/>
    <w:rsid w:val="00DB438C"/>
    <w:rsid w:val="00DB4478"/>
    <w:rsid w:val="00DB47CB"/>
    <w:rsid w:val="00DB48AC"/>
    <w:rsid w:val="00DB4DDB"/>
    <w:rsid w:val="00DB4F20"/>
    <w:rsid w:val="00DB4FCA"/>
    <w:rsid w:val="00DB5129"/>
    <w:rsid w:val="00DB52F2"/>
    <w:rsid w:val="00DB585F"/>
    <w:rsid w:val="00DB5986"/>
    <w:rsid w:val="00DB5BE2"/>
    <w:rsid w:val="00DB5E4F"/>
    <w:rsid w:val="00DB6197"/>
    <w:rsid w:val="00DB61AE"/>
    <w:rsid w:val="00DB6929"/>
    <w:rsid w:val="00DB6A7D"/>
    <w:rsid w:val="00DB6C61"/>
    <w:rsid w:val="00DB776A"/>
    <w:rsid w:val="00DB7B37"/>
    <w:rsid w:val="00DB7BA6"/>
    <w:rsid w:val="00DB7E29"/>
    <w:rsid w:val="00DC01A0"/>
    <w:rsid w:val="00DC06A3"/>
    <w:rsid w:val="00DC0C34"/>
    <w:rsid w:val="00DC0CF8"/>
    <w:rsid w:val="00DC113F"/>
    <w:rsid w:val="00DC1377"/>
    <w:rsid w:val="00DC15AA"/>
    <w:rsid w:val="00DC1611"/>
    <w:rsid w:val="00DC16DC"/>
    <w:rsid w:val="00DC1743"/>
    <w:rsid w:val="00DC19B6"/>
    <w:rsid w:val="00DC19C9"/>
    <w:rsid w:val="00DC1A3B"/>
    <w:rsid w:val="00DC1C48"/>
    <w:rsid w:val="00DC1D22"/>
    <w:rsid w:val="00DC2402"/>
    <w:rsid w:val="00DC2610"/>
    <w:rsid w:val="00DC29ED"/>
    <w:rsid w:val="00DC2C3D"/>
    <w:rsid w:val="00DC2F20"/>
    <w:rsid w:val="00DC3152"/>
    <w:rsid w:val="00DC3267"/>
    <w:rsid w:val="00DC32BD"/>
    <w:rsid w:val="00DC38C0"/>
    <w:rsid w:val="00DC3B0E"/>
    <w:rsid w:val="00DC3C1A"/>
    <w:rsid w:val="00DC3CC7"/>
    <w:rsid w:val="00DC3D4C"/>
    <w:rsid w:val="00DC40A0"/>
    <w:rsid w:val="00DC4235"/>
    <w:rsid w:val="00DC4271"/>
    <w:rsid w:val="00DC4E29"/>
    <w:rsid w:val="00DC4F9C"/>
    <w:rsid w:val="00DC4FD7"/>
    <w:rsid w:val="00DC506C"/>
    <w:rsid w:val="00DC518C"/>
    <w:rsid w:val="00DC54E2"/>
    <w:rsid w:val="00DC56C5"/>
    <w:rsid w:val="00DC57D3"/>
    <w:rsid w:val="00DC58EC"/>
    <w:rsid w:val="00DC5A8C"/>
    <w:rsid w:val="00DC5CA5"/>
    <w:rsid w:val="00DC64AE"/>
    <w:rsid w:val="00DC64C1"/>
    <w:rsid w:val="00DC65EE"/>
    <w:rsid w:val="00DC6608"/>
    <w:rsid w:val="00DC6ABF"/>
    <w:rsid w:val="00DC6FD2"/>
    <w:rsid w:val="00DC7199"/>
    <w:rsid w:val="00DC74F1"/>
    <w:rsid w:val="00DC74F5"/>
    <w:rsid w:val="00DC75A8"/>
    <w:rsid w:val="00DC7779"/>
    <w:rsid w:val="00DC77FA"/>
    <w:rsid w:val="00DD0176"/>
    <w:rsid w:val="00DD030C"/>
    <w:rsid w:val="00DD049B"/>
    <w:rsid w:val="00DD0CFC"/>
    <w:rsid w:val="00DD1194"/>
    <w:rsid w:val="00DD127A"/>
    <w:rsid w:val="00DD174F"/>
    <w:rsid w:val="00DD201D"/>
    <w:rsid w:val="00DD2136"/>
    <w:rsid w:val="00DD25F6"/>
    <w:rsid w:val="00DD2934"/>
    <w:rsid w:val="00DD2995"/>
    <w:rsid w:val="00DD2AA5"/>
    <w:rsid w:val="00DD2B2F"/>
    <w:rsid w:val="00DD2CD9"/>
    <w:rsid w:val="00DD2D8B"/>
    <w:rsid w:val="00DD2DBB"/>
    <w:rsid w:val="00DD304B"/>
    <w:rsid w:val="00DD3859"/>
    <w:rsid w:val="00DD3B62"/>
    <w:rsid w:val="00DD3C91"/>
    <w:rsid w:val="00DD3E23"/>
    <w:rsid w:val="00DD442C"/>
    <w:rsid w:val="00DD450C"/>
    <w:rsid w:val="00DD4BD2"/>
    <w:rsid w:val="00DD4C1B"/>
    <w:rsid w:val="00DD4F1A"/>
    <w:rsid w:val="00DD5165"/>
    <w:rsid w:val="00DD5558"/>
    <w:rsid w:val="00DD568B"/>
    <w:rsid w:val="00DD5F4F"/>
    <w:rsid w:val="00DD6962"/>
    <w:rsid w:val="00DD6C81"/>
    <w:rsid w:val="00DD7056"/>
    <w:rsid w:val="00DD7BF9"/>
    <w:rsid w:val="00DE00D3"/>
    <w:rsid w:val="00DE026B"/>
    <w:rsid w:val="00DE048E"/>
    <w:rsid w:val="00DE05F9"/>
    <w:rsid w:val="00DE0A68"/>
    <w:rsid w:val="00DE0EAD"/>
    <w:rsid w:val="00DE1211"/>
    <w:rsid w:val="00DE169E"/>
    <w:rsid w:val="00DE1718"/>
    <w:rsid w:val="00DE1B79"/>
    <w:rsid w:val="00DE1FEA"/>
    <w:rsid w:val="00DE24D1"/>
    <w:rsid w:val="00DE27B9"/>
    <w:rsid w:val="00DE28E8"/>
    <w:rsid w:val="00DE290B"/>
    <w:rsid w:val="00DE29E0"/>
    <w:rsid w:val="00DE2A9B"/>
    <w:rsid w:val="00DE2E90"/>
    <w:rsid w:val="00DE312A"/>
    <w:rsid w:val="00DE3193"/>
    <w:rsid w:val="00DE333E"/>
    <w:rsid w:val="00DE33F0"/>
    <w:rsid w:val="00DE3454"/>
    <w:rsid w:val="00DE3958"/>
    <w:rsid w:val="00DE3EED"/>
    <w:rsid w:val="00DE4736"/>
    <w:rsid w:val="00DE47E3"/>
    <w:rsid w:val="00DE4E39"/>
    <w:rsid w:val="00DE50A1"/>
    <w:rsid w:val="00DE51CF"/>
    <w:rsid w:val="00DE5281"/>
    <w:rsid w:val="00DE5540"/>
    <w:rsid w:val="00DE55B5"/>
    <w:rsid w:val="00DE560E"/>
    <w:rsid w:val="00DE593D"/>
    <w:rsid w:val="00DE5A26"/>
    <w:rsid w:val="00DE5DFC"/>
    <w:rsid w:val="00DE5F89"/>
    <w:rsid w:val="00DE60AB"/>
    <w:rsid w:val="00DE6172"/>
    <w:rsid w:val="00DE625C"/>
    <w:rsid w:val="00DE6474"/>
    <w:rsid w:val="00DE67FA"/>
    <w:rsid w:val="00DE6AD5"/>
    <w:rsid w:val="00DE6C10"/>
    <w:rsid w:val="00DE6D0A"/>
    <w:rsid w:val="00DE71CF"/>
    <w:rsid w:val="00DE72DA"/>
    <w:rsid w:val="00DE7459"/>
    <w:rsid w:val="00DE789A"/>
    <w:rsid w:val="00DE7B0D"/>
    <w:rsid w:val="00DE7EA7"/>
    <w:rsid w:val="00DF0024"/>
    <w:rsid w:val="00DF0913"/>
    <w:rsid w:val="00DF0B56"/>
    <w:rsid w:val="00DF11E4"/>
    <w:rsid w:val="00DF12D9"/>
    <w:rsid w:val="00DF12FD"/>
    <w:rsid w:val="00DF13BF"/>
    <w:rsid w:val="00DF151F"/>
    <w:rsid w:val="00DF153C"/>
    <w:rsid w:val="00DF1594"/>
    <w:rsid w:val="00DF15F5"/>
    <w:rsid w:val="00DF1608"/>
    <w:rsid w:val="00DF16A3"/>
    <w:rsid w:val="00DF1812"/>
    <w:rsid w:val="00DF1885"/>
    <w:rsid w:val="00DF1AC6"/>
    <w:rsid w:val="00DF1FF5"/>
    <w:rsid w:val="00DF2032"/>
    <w:rsid w:val="00DF21CF"/>
    <w:rsid w:val="00DF2228"/>
    <w:rsid w:val="00DF244A"/>
    <w:rsid w:val="00DF289D"/>
    <w:rsid w:val="00DF2BEE"/>
    <w:rsid w:val="00DF2C43"/>
    <w:rsid w:val="00DF2EAD"/>
    <w:rsid w:val="00DF3491"/>
    <w:rsid w:val="00DF39BF"/>
    <w:rsid w:val="00DF39DC"/>
    <w:rsid w:val="00DF3DF2"/>
    <w:rsid w:val="00DF3EF4"/>
    <w:rsid w:val="00DF3F5F"/>
    <w:rsid w:val="00DF3FF5"/>
    <w:rsid w:val="00DF40D1"/>
    <w:rsid w:val="00DF4240"/>
    <w:rsid w:val="00DF4801"/>
    <w:rsid w:val="00DF4B5F"/>
    <w:rsid w:val="00DF4EC4"/>
    <w:rsid w:val="00DF4FCE"/>
    <w:rsid w:val="00DF5392"/>
    <w:rsid w:val="00DF5420"/>
    <w:rsid w:val="00DF57B3"/>
    <w:rsid w:val="00DF58D6"/>
    <w:rsid w:val="00DF5D48"/>
    <w:rsid w:val="00DF5E81"/>
    <w:rsid w:val="00DF5EBC"/>
    <w:rsid w:val="00DF5F1F"/>
    <w:rsid w:val="00DF5F44"/>
    <w:rsid w:val="00DF5FA2"/>
    <w:rsid w:val="00DF608F"/>
    <w:rsid w:val="00DF616B"/>
    <w:rsid w:val="00DF62A5"/>
    <w:rsid w:val="00DF64C4"/>
    <w:rsid w:val="00DF65BF"/>
    <w:rsid w:val="00DF66EA"/>
    <w:rsid w:val="00DF6BC2"/>
    <w:rsid w:val="00DF6BC5"/>
    <w:rsid w:val="00DF6C57"/>
    <w:rsid w:val="00DF7271"/>
    <w:rsid w:val="00DF72A6"/>
    <w:rsid w:val="00DF7404"/>
    <w:rsid w:val="00DF7448"/>
    <w:rsid w:val="00DF7480"/>
    <w:rsid w:val="00DF74C5"/>
    <w:rsid w:val="00DF776C"/>
    <w:rsid w:val="00DF7B5D"/>
    <w:rsid w:val="00E001D7"/>
    <w:rsid w:val="00E0029C"/>
    <w:rsid w:val="00E0060D"/>
    <w:rsid w:val="00E00692"/>
    <w:rsid w:val="00E009EE"/>
    <w:rsid w:val="00E00A4A"/>
    <w:rsid w:val="00E00CFF"/>
    <w:rsid w:val="00E013E3"/>
    <w:rsid w:val="00E01415"/>
    <w:rsid w:val="00E01A8A"/>
    <w:rsid w:val="00E01E51"/>
    <w:rsid w:val="00E026D4"/>
    <w:rsid w:val="00E02A6D"/>
    <w:rsid w:val="00E02F75"/>
    <w:rsid w:val="00E02F9A"/>
    <w:rsid w:val="00E0318A"/>
    <w:rsid w:val="00E034AD"/>
    <w:rsid w:val="00E036B4"/>
    <w:rsid w:val="00E039B3"/>
    <w:rsid w:val="00E03A1E"/>
    <w:rsid w:val="00E03F82"/>
    <w:rsid w:val="00E04420"/>
    <w:rsid w:val="00E0446D"/>
    <w:rsid w:val="00E0460E"/>
    <w:rsid w:val="00E048ED"/>
    <w:rsid w:val="00E048F6"/>
    <w:rsid w:val="00E04BA1"/>
    <w:rsid w:val="00E04C3D"/>
    <w:rsid w:val="00E04CAD"/>
    <w:rsid w:val="00E04D7D"/>
    <w:rsid w:val="00E058A1"/>
    <w:rsid w:val="00E05977"/>
    <w:rsid w:val="00E05E68"/>
    <w:rsid w:val="00E06571"/>
    <w:rsid w:val="00E066E1"/>
    <w:rsid w:val="00E067D4"/>
    <w:rsid w:val="00E068AB"/>
    <w:rsid w:val="00E06DEA"/>
    <w:rsid w:val="00E071E9"/>
    <w:rsid w:val="00E07252"/>
    <w:rsid w:val="00E0766D"/>
    <w:rsid w:val="00E07693"/>
    <w:rsid w:val="00E07776"/>
    <w:rsid w:val="00E07BE9"/>
    <w:rsid w:val="00E07E9B"/>
    <w:rsid w:val="00E102B9"/>
    <w:rsid w:val="00E10538"/>
    <w:rsid w:val="00E10601"/>
    <w:rsid w:val="00E10782"/>
    <w:rsid w:val="00E108F9"/>
    <w:rsid w:val="00E109B7"/>
    <w:rsid w:val="00E10A7F"/>
    <w:rsid w:val="00E10DFB"/>
    <w:rsid w:val="00E10F49"/>
    <w:rsid w:val="00E11393"/>
    <w:rsid w:val="00E114BE"/>
    <w:rsid w:val="00E11594"/>
    <w:rsid w:val="00E11790"/>
    <w:rsid w:val="00E1184D"/>
    <w:rsid w:val="00E11919"/>
    <w:rsid w:val="00E11A79"/>
    <w:rsid w:val="00E11AEA"/>
    <w:rsid w:val="00E11B75"/>
    <w:rsid w:val="00E11C7B"/>
    <w:rsid w:val="00E12094"/>
    <w:rsid w:val="00E120C0"/>
    <w:rsid w:val="00E12204"/>
    <w:rsid w:val="00E12472"/>
    <w:rsid w:val="00E12661"/>
    <w:rsid w:val="00E1285B"/>
    <w:rsid w:val="00E12C2D"/>
    <w:rsid w:val="00E12F5C"/>
    <w:rsid w:val="00E137CE"/>
    <w:rsid w:val="00E13998"/>
    <w:rsid w:val="00E13A56"/>
    <w:rsid w:val="00E13B04"/>
    <w:rsid w:val="00E13B40"/>
    <w:rsid w:val="00E13B50"/>
    <w:rsid w:val="00E13C08"/>
    <w:rsid w:val="00E13E29"/>
    <w:rsid w:val="00E140C1"/>
    <w:rsid w:val="00E143A2"/>
    <w:rsid w:val="00E14405"/>
    <w:rsid w:val="00E1440B"/>
    <w:rsid w:val="00E1440D"/>
    <w:rsid w:val="00E145A2"/>
    <w:rsid w:val="00E14662"/>
    <w:rsid w:val="00E146C1"/>
    <w:rsid w:val="00E14A34"/>
    <w:rsid w:val="00E14CE7"/>
    <w:rsid w:val="00E1516C"/>
    <w:rsid w:val="00E15356"/>
    <w:rsid w:val="00E15442"/>
    <w:rsid w:val="00E15529"/>
    <w:rsid w:val="00E15726"/>
    <w:rsid w:val="00E15786"/>
    <w:rsid w:val="00E1585B"/>
    <w:rsid w:val="00E15921"/>
    <w:rsid w:val="00E15ACF"/>
    <w:rsid w:val="00E15D96"/>
    <w:rsid w:val="00E163E9"/>
    <w:rsid w:val="00E16A34"/>
    <w:rsid w:val="00E16DBA"/>
    <w:rsid w:val="00E1706A"/>
    <w:rsid w:val="00E1716B"/>
    <w:rsid w:val="00E171D1"/>
    <w:rsid w:val="00E1721C"/>
    <w:rsid w:val="00E174C9"/>
    <w:rsid w:val="00E17532"/>
    <w:rsid w:val="00E20B56"/>
    <w:rsid w:val="00E20B93"/>
    <w:rsid w:val="00E20E56"/>
    <w:rsid w:val="00E21243"/>
    <w:rsid w:val="00E218A1"/>
    <w:rsid w:val="00E21A8A"/>
    <w:rsid w:val="00E21BF4"/>
    <w:rsid w:val="00E21C35"/>
    <w:rsid w:val="00E21EBD"/>
    <w:rsid w:val="00E22023"/>
    <w:rsid w:val="00E220BC"/>
    <w:rsid w:val="00E22172"/>
    <w:rsid w:val="00E22A5E"/>
    <w:rsid w:val="00E22AA5"/>
    <w:rsid w:val="00E22B9E"/>
    <w:rsid w:val="00E22BBC"/>
    <w:rsid w:val="00E22C25"/>
    <w:rsid w:val="00E23100"/>
    <w:rsid w:val="00E23598"/>
    <w:rsid w:val="00E235CE"/>
    <w:rsid w:val="00E23955"/>
    <w:rsid w:val="00E23C91"/>
    <w:rsid w:val="00E23CB1"/>
    <w:rsid w:val="00E24089"/>
    <w:rsid w:val="00E24220"/>
    <w:rsid w:val="00E2447D"/>
    <w:rsid w:val="00E2486B"/>
    <w:rsid w:val="00E24A2B"/>
    <w:rsid w:val="00E24A50"/>
    <w:rsid w:val="00E24A5B"/>
    <w:rsid w:val="00E24C4D"/>
    <w:rsid w:val="00E24FBE"/>
    <w:rsid w:val="00E25AFF"/>
    <w:rsid w:val="00E25CF2"/>
    <w:rsid w:val="00E25DB5"/>
    <w:rsid w:val="00E261B7"/>
    <w:rsid w:val="00E2636D"/>
    <w:rsid w:val="00E26809"/>
    <w:rsid w:val="00E26911"/>
    <w:rsid w:val="00E26A60"/>
    <w:rsid w:val="00E26B0B"/>
    <w:rsid w:val="00E26BA9"/>
    <w:rsid w:val="00E26E75"/>
    <w:rsid w:val="00E26EF3"/>
    <w:rsid w:val="00E2712E"/>
    <w:rsid w:val="00E27467"/>
    <w:rsid w:val="00E303C7"/>
    <w:rsid w:val="00E304AA"/>
    <w:rsid w:val="00E304EB"/>
    <w:rsid w:val="00E305F5"/>
    <w:rsid w:val="00E30605"/>
    <w:rsid w:val="00E30A53"/>
    <w:rsid w:val="00E30ADA"/>
    <w:rsid w:val="00E30BAB"/>
    <w:rsid w:val="00E30C8A"/>
    <w:rsid w:val="00E30D9E"/>
    <w:rsid w:val="00E30F4D"/>
    <w:rsid w:val="00E3190F"/>
    <w:rsid w:val="00E31A7B"/>
    <w:rsid w:val="00E31B22"/>
    <w:rsid w:val="00E3225D"/>
    <w:rsid w:val="00E32462"/>
    <w:rsid w:val="00E324A1"/>
    <w:rsid w:val="00E32AD3"/>
    <w:rsid w:val="00E32B98"/>
    <w:rsid w:val="00E32D1E"/>
    <w:rsid w:val="00E32D91"/>
    <w:rsid w:val="00E32E0A"/>
    <w:rsid w:val="00E33136"/>
    <w:rsid w:val="00E334BB"/>
    <w:rsid w:val="00E33780"/>
    <w:rsid w:val="00E337F9"/>
    <w:rsid w:val="00E33E03"/>
    <w:rsid w:val="00E3402D"/>
    <w:rsid w:val="00E340A4"/>
    <w:rsid w:val="00E34115"/>
    <w:rsid w:val="00E3426B"/>
    <w:rsid w:val="00E3457D"/>
    <w:rsid w:val="00E34783"/>
    <w:rsid w:val="00E348E2"/>
    <w:rsid w:val="00E34A48"/>
    <w:rsid w:val="00E34A72"/>
    <w:rsid w:val="00E34B3C"/>
    <w:rsid w:val="00E34C17"/>
    <w:rsid w:val="00E34C4F"/>
    <w:rsid w:val="00E35088"/>
    <w:rsid w:val="00E350DB"/>
    <w:rsid w:val="00E35481"/>
    <w:rsid w:val="00E355E5"/>
    <w:rsid w:val="00E35675"/>
    <w:rsid w:val="00E35897"/>
    <w:rsid w:val="00E35A2D"/>
    <w:rsid w:val="00E35B69"/>
    <w:rsid w:val="00E35EC5"/>
    <w:rsid w:val="00E36057"/>
    <w:rsid w:val="00E36114"/>
    <w:rsid w:val="00E36478"/>
    <w:rsid w:val="00E36546"/>
    <w:rsid w:val="00E368DA"/>
    <w:rsid w:val="00E36B7C"/>
    <w:rsid w:val="00E37166"/>
    <w:rsid w:val="00E37771"/>
    <w:rsid w:val="00E3779D"/>
    <w:rsid w:val="00E378C1"/>
    <w:rsid w:val="00E37F37"/>
    <w:rsid w:val="00E40195"/>
    <w:rsid w:val="00E402DF"/>
    <w:rsid w:val="00E403ED"/>
    <w:rsid w:val="00E4047B"/>
    <w:rsid w:val="00E4050B"/>
    <w:rsid w:val="00E40710"/>
    <w:rsid w:val="00E40793"/>
    <w:rsid w:val="00E4079B"/>
    <w:rsid w:val="00E40849"/>
    <w:rsid w:val="00E40F09"/>
    <w:rsid w:val="00E411FB"/>
    <w:rsid w:val="00E4143F"/>
    <w:rsid w:val="00E415AC"/>
    <w:rsid w:val="00E41A3A"/>
    <w:rsid w:val="00E41C01"/>
    <w:rsid w:val="00E41DB9"/>
    <w:rsid w:val="00E41E93"/>
    <w:rsid w:val="00E4218A"/>
    <w:rsid w:val="00E421B7"/>
    <w:rsid w:val="00E422CC"/>
    <w:rsid w:val="00E425BA"/>
    <w:rsid w:val="00E4281E"/>
    <w:rsid w:val="00E42939"/>
    <w:rsid w:val="00E4299D"/>
    <w:rsid w:val="00E42C61"/>
    <w:rsid w:val="00E4361C"/>
    <w:rsid w:val="00E436EA"/>
    <w:rsid w:val="00E43984"/>
    <w:rsid w:val="00E439E8"/>
    <w:rsid w:val="00E43B13"/>
    <w:rsid w:val="00E43B8C"/>
    <w:rsid w:val="00E4410B"/>
    <w:rsid w:val="00E4424F"/>
    <w:rsid w:val="00E44560"/>
    <w:rsid w:val="00E44695"/>
    <w:rsid w:val="00E4470C"/>
    <w:rsid w:val="00E447A3"/>
    <w:rsid w:val="00E447F9"/>
    <w:rsid w:val="00E44B46"/>
    <w:rsid w:val="00E4526E"/>
    <w:rsid w:val="00E452D6"/>
    <w:rsid w:val="00E4550F"/>
    <w:rsid w:val="00E4581D"/>
    <w:rsid w:val="00E458E4"/>
    <w:rsid w:val="00E4596C"/>
    <w:rsid w:val="00E45CD4"/>
    <w:rsid w:val="00E45D08"/>
    <w:rsid w:val="00E461C1"/>
    <w:rsid w:val="00E46430"/>
    <w:rsid w:val="00E464F4"/>
    <w:rsid w:val="00E464FB"/>
    <w:rsid w:val="00E46797"/>
    <w:rsid w:val="00E46C05"/>
    <w:rsid w:val="00E46C30"/>
    <w:rsid w:val="00E46D17"/>
    <w:rsid w:val="00E46F08"/>
    <w:rsid w:val="00E47010"/>
    <w:rsid w:val="00E47214"/>
    <w:rsid w:val="00E474FF"/>
    <w:rsid w:val="00E47630"/>
    <w:rsid w:val="00E4774C"/>
    <w:rsid w:val="00E47782"/>
    <w:rsid w:val="00E47854"/>
    <w:rsid w:val="00E47E3C"/>
    <w:rsid w:val="00E47F60"/>
    <w:rsid w:val="00E47F66"/>
    <w:rsid w:val="00E50188"/>
    <w:rsid w:val="00E506B7"/>
    <w:rsid w:val="00E50AAD"/>
    <w:rsid w:val="00E50AF5"/>
    <w:rsid w:val="00E50B32"/>
    <w:rsid w:val="00E50DF9"/>
    <w:rsid w:val="00E50F3D"/>
    <w:rsid w:val="00E51056"/>
    <w:rsid w:val="00E510B9"/>
    <w:rsid w:val="00E51393"/>
    <w:rsid w:val="00E51528"/>
    <w:rsid w:val="00E51765"/>
    <w:rsid w:val="00E517A7"/>
    <w:rsid w:val="00E5184F"/>
    <w:rsid w:val="00E51982"/>
    <w:rsid w:val="00E51AED"/>
    <w:rsid w:val="00E51BC4"/>
    <w:rsid w:val="00E51C7B"/>
    <w:rsid w:val="00E51E02"/>
    <w:rsid w:val="00E52126"/>
    <w:rsid w:val="00E523C2"/>
    <w:rsid w:val="00E52B16"/>
    <w:rsid w:val="00E52DFA"/>
    <w:rsid w:val="00E52ED4"/>
    <w:rsid w:val="00E52F7A"/>
    <w:rsid w:val="00E531E0"/>
    <w:rsid w:val="00E532A5"/>
    <w:rsid w:val="00E53360"/>
    <w:rsid w:val="00E535F6"/>
    <w:rsid w:val="00E53895"/>
    <w:rsid w:val="00E53A4A"/>
    <w:rsid w:val="00E53AAE"/>
    <w:rsid w:val="00E53BBF"/>
    <w:rsid w:val="00E53CFA"/>
    <w:rsid w:val="00E53EFE"/>
    <w:rsid w:val="00E53F5C"/>
    <w:rsid w:val="00E53FEA"/>
    <w:rsid w:val="00E540E1"/>
    <w:rsid w:val="00E54196"/>
    <w:rsid w:val="00E541B6"/>
    <w:rsid w:val="00E5425A"/>
    <w:rsid w:val="00E5431C"/>
    <w:rsid w:val="00E5432C"/>
    <w:rsid w:val="00E5475D"/>
    <w:rsid w:val="00E548FD"/>
    <w:rsid w:val="00E5491E"/>
    <w:rsid w:val="00E54B59"/>
    <w:rsid w:val="00E5508C"/>
    <w:rsid w:val="00E5521B"/>
    <w:rsid w:val="00E558C3"/>
    <w:rsid w:val="00E55ACB"/>
    <w:rsid w:val="00E560E8"/>
    <w:rsid w:val="00E562C8"/>
    <w:rsid w:val="00E5636C"/>
    <w:rsid w:val="00E56B5F"/>
    <w:rsid w:val="00E56EE9"/>
    <w:rsid w:val="00E57711"/>
    <w:rsid w:val="00E57D05"/>
    <w:rsid w:val="00E57E95"/>
    <w:rsid w:val="00E57F4B"/>
    <w:rsid w:val="00E5BDE2"/>
    <w:rsid w:val="00E601A2"/>
    <w:rsid w:val="00E6047F"/>
    <w:rsid w:val="00E60767"/>
    <w:rsid w:val="00E60A66"/>
    <w:rsid w:val="00E60AD3"/>
    <w:rsid w:val="00E60F8F"/>
    <w:rsid w:val="00E60F96"/>
    <w:rsid w:val="00E60FE0"/>
    <w:rsid w:val="00E6115F"/>
    <w:rsid w:val="00E61866"/>
    <w:rsid w:val="00E61A13"/>
    <w:rsid w:val="00E61C15"/>
    <w:rsid w:val="00E61F54"/>
    <w:rsid w:val="00E621C8"/>
    <w:rsid w:val="00E62989"/>
    <w:rsid w:val="00E62ABF"/>
    <w:rsid w:val="00E62D13"/>
    <w:rsid w:val="00E62D1A"/>
    <w:rsid w:val="00E62E1F"/>
    <w:rsid w:val="00E62F84"/>
    <w:rsid w:val="00E62FB1"/>
    <w:rsid w:val="00E62FBA"/>
    <w:rsid w:val="00E631C3"/>
    <w:rsid w:val="00E6322C"/>
    <w:rsid w:val="00E64286"/>
    <w:rsid w:val="00E642C8"/>
    <w:rsid w:val="00E643C8"/>
    <w:rsid w:val="00E645F1"/>
    <w:rsid w:val="00E6464B"/>
    <w:rsid w:val="00E652D3"/>
    <w:rsid w:val="00E65366"/>
    <w:rsid w:val="00E654FD"/>
    <w:rsid w:val="00E6580C"/>
    <w:rsid w:val="00E65CDC"/>
    <w:rsid w:val="00E65F70"/>
    <w:rsid w:val="00E66077"/>
    <w:rsid w:val="00E660FD"/>
    <w:rsid w:val="00E66482"/>
    <w:rsid w:val="00E66D9A"/>
    <w:rsid w:val="00E66DBF"/>
    <w:rsid w:val="00E6733C"/>
    <w:rsid w:val="00E6734A"/>
    <w:rsid w:val="00E67567"/>
    <w:rsid w:val="00E678CA"/>
    <w:rsid w:val="00E67BC6"/>
    <w:rsid w:val="00E67C22"/>
    <w:rsid w:val="00E67D31"/>
    <w:rsid w:val="00E67E55"/>
    <w:rsid w:val="00E67ED0"/>
    <w:rsid w:val="00E7066F"/>
    <w:rsid w:val="00E70C09"/>
    <w:rsid w:val="00E70D74"/>
    <w:rsid w:val="00E70EB5"/>
    <w:rsid w:val="00E70EC6"/>
    <w:rsid w:val="00E70FFB"/>
    <w:rsid w:val="00E714F4"/>
    <w:rsid w:val="00E715C2"/>
    <w:rsid w:val="00E717F3"/>
    <w:rsid w:val="00E7181D"/>
    <w:rsid w:val="00E7183F"/>
    <w:rsid w:val="00E718A0"/>
    <w:rsid w:val="00E71C9A"/>
    <w:rsid w:val="00E71D6F"/>
    <w:rsid w:val="00E724C3"/>
    <w:rsid w:val="00E727B6"/>
    <w:rsid w:val="00E7283D"/>
    <w:rsid w:val="00E72B36"/>
    <w:rsid w:val="00E73164"/>
    <w:rsid w:val="00E73490"/>
    <w:rsid w:val="00E73518"/>
    <w:rsid w:val="00E7354F"/>
    <w:rsid w:val="00E7359D"/>
    <w:rsid w:val="00E73657"/>
    <w:rsid w:val="00E73798"/>
    <w:rsid w:val="00E740A5"/>
    <w:rsid w:val="00E748C8"/>
    <w:rsid w:val="00E7492D"/>
    <w:rsid w:val="00E74A94"/>
    <w:rsid w:val="00E75082"/>
    <w:rsid w:val="00E750FA"/>
    <w:rsid w:val="00E751F9"/>
    <w:rsid w:val="00E754DA"/>
    <w:rsid w:val="00E75635"/>
    <w:rsid w:val="00E75953"/>
    <w:rsid w:val="00E75A10"/>
    <w:rsid w:val="00E75A1C"/>
    <w:rsid w:val="00E75D5E"/>
    <w:rsid w:val="00E75E80"/>
    <w:rsid w:val="00E760D9"/>
    <w:rsid w:val="00E764F2"/>
    <w:rsid w:val="00E769B3"/>
    <w:rsid w:val="00E769DC"/>
    <w:rsid w:val="00E771E2"/>
    <w:rsid w:val="00E777D0"/>
    <w:rsid w:val="00E77A24"/>
    <w:rsid w:val="00E801C8"/>
    <w:rsid w:val="00E803B7"/>
    <w:rsid w:val="00E803D0"/>
    <w:rsid w:val="00E80450"/>
    <w:rsid w:val="00E8058E"/>
    <w:rsid w:val="00E806C7"/>
    <w:rsid w:val="00E80798"/>
    <w:rsid w:val="00E80850"/>
    <w:rsid w:val="00E80E0E"/>
    <w:rsid w:val="00E80E28"/>
    <w:rsid w:val="00E80F26"/>
    <w:rsid w:val="00E81174"/>
    <w:rsid w:val="00E811E6"/>
    <w:rsid w:val="00E814D4"/>
    <w:rsid w:val="00E816B7"/>
    <w:rsid w:val="00E81A1F"/>
    <w:rsid w:val="00E81CD2"/>
    <w:rsid w:val="00E81DAA"/>
    <w:rsid w:val="00E826E8"/>
    <w:rsid w:val="00E82725"/>
    <w:rsid w:val="00E83019"/>
    <w:rsid w:val="00E83503"/>
    <w:rsid w:val="00E8397B"/>
    <w:rsid w:val="00E83AD6"/>
    <w:rsid w:val="00E83C40"/>
    <w:rsid w:val="00E83F2B"/>
    <w:rsid w:val="00E83F6E"/>
    <w:rsid w:val="00E842F5"/>
    <w:rsid w:val="00E84C2C"/>
    <w:rsid w:val="00E84D4B"/>
    <w:rsid w:val="00E84E1E"/>
    <w:rsid w:val="00E852CF"/>
    <w:rsid w:val="00E853F3"/>
    <w:rsid w:val="00E854B6"/>
    <w:rsid w:val="00E858EA"/>
    <w:rsid w:val="00E85A09"/>
    <w:rsid w:val="00E85B53"/>
    <w:rsid w:val="00E85D69"/>
    <w:rsid w:val="00E85FAE"/>
    <w:rsid w:val="00E862D4"/>
    <w:rsid w:val="00E8691A"/>
    <w:rsid w:val="00E86EDD"/>
    <w:rsid w:val="00E871CE"/>
    <w:rsid w:val="00E872B8"/>
    <w:rsid w:val="00E8730C"/>
    <w:rsid w:val="00E87310"/>
    <w:rsid w:val="00E877B9"/>
    <w:rsid w:val="00E8782A"/>
    <w:rsid w:val="00E87878"/>
    <w:rsid w:val="00E878B8"/>
    <w:rsid w:val="00E879F1"/>
    <w:rsid w:val="00E87D45"/>
    <w:rsid w:val="00E901CC"/>
    <w:rsid w:val="00E90418"/>
    <w:rsid w:val="00E904BA"/>
    <w:rsid w:val="00E90543"/>
    <w:rsid w:val="00E9057E"/>
    <w:rsid w:val="00E90648"/>
    <w:rsid w:val="00E90EC4"/>
    <w:rsid w:val="00E91087"/>
    <w:rsid w:val="00E91484"/>
    <w:rsid w:val="00E9161C"/>
    <w:rsid w:val="00E91646"/>
    <w:rsid w:val="00E91650"/>
    <w:rsid w:val="00E91933"/>
    <w:rsid w:val="00E91CA8"/>
    <w:rsid w:val="00E91D21"/>
    <w:rsid w:val="00E922F3"/>
    <w:rsid w:val="00E92569"/>
    <w:rsid w:val="00E92CC2"/>
    <w:rsid w:val="00E92CE4"/>
    <w:rsid w:val="00E93101"/>
    <w:rsid w:val="00E93663"/>
    <w:rsid w:val="00E9367A"/>
    <w:rsid w:val="00E93A7C"/>
    <w:rsid w:val="00E93BE1"/>
    <w:rsid w:val="00E94074"/>
    <w:rsid w:val="00E9419B"/>
    <w:rsid w:val="00E944CE"/>
    <w:rsid w:val="00E94543"/>
    <w:rsid w:val="00E9457B"/>
    <w:rsid w:val="00E9469A"/>
    <w:rsid w:val="00E9484A"/>
    <w:rsid w:val="00E94AA3"/>
    <w:rsid w:val="00E94AB8"/>
    <w:rsid w:val="00E94AC8"/>
    <w:rsid w:val="00E95383"/>
    <w:rsid w:val="00E95562"/>
    <w:rsid w:val="00E9579A"/>
    <w:rsid w:val="00E9588C"/>
    <w:rsid w:val="00E9590A"/>
    <w:rsid w:val="00E96824"/>
    <w:rsid w:val="00E96A07"/>
    <w:rsid w:val="00E96D3F"/>
    <w:rsid w:val="00E96EA5"/>
    <w:rsid w:val="00E96EB2"/>
    <w:rsid w:val="00E974E4"/>
    <w:rsid w:val="00E97765"/>
    <w:rsid w:val="00E97938"/>
    <w:rsid w:val="00E97D4D"/>
    <w:rsid w:val="00E97DA9"/>
    <w:rsid w:val="00E97E6E"/>
    <w:rsid w:val="00E97EB6"/>
    <w:rsid w:val="00E97FAF"/>
    <w:rsid w:val="00E97FEC"/>
    <w:rsid w:val="00EA0511"/>
    <w:rsid w:val="00EA07A4"/>
    <w:rsid w:val="00EA099D"/>
    <w:rsid w:val="00EA0D29"/>
    <w:rsid w:val="00EA0DE7"/>
    <w:rsid w:val="00EA121F"/>
    <w:rsid w:val="00EA14DD"/>
    <w:rsid w:val="00EA16BB"/>
    <w:rsid w:val="00EA1913"/>
    <w:rsid w:val="00EA198C"/>
    <w:rsid w:val="00EA19E4"/>
    <w:rsid w:val="00EA1B8F"/>
    <w:rsid w:val="00EA1EB6"/>
    <w:rsid w:val="00EA2306"/>
    <w:rsid w:val="00EA2462"/>
    <w:rsid w:val="00EA26ED"/>
    <w:rsid w:val="00EA288E"/>
    <w:rsid w:val="00EA29C0"/>
    <w:rsid w:val="00EA2CEC"/>
    <w:rsid w:val="00EA2EBF"/>
    <w:rsid w:val="00EA2EEC"/>
    <w:rsid w:val="00EA2F37"/>
    <w:rsid w:val="00EA309E"/>
    <w:rsid w:val="00EA309F"/>
    <w:rsid w:val="00EA3D6A"/>
    <w:rsid w:val="00EA4100"/>
    <w:rsid w:val="00EA4252"/>
    <w:rsid w:val="00EA46AB"/>
    <w:rsid w:val="00EA487A"/>
    <w:rsid w:val="00EA487B"/>
    <w:rsid w:val="00EA4A24"/>
    <w:rsid w:val="00EA4E3A"/>
    <w:rsid w:val="00EA5054"/>
    <w:rsid w:val="00EA5484"/>
    <w:rsid w:val="00EA55DA"/>
    <w:rsid w:val="00EA55E7"/>
    <w:rsid w:val="00EA585C"/>
    <w:rsid w:val="00EA5D07"/>
    <w:rsid w:val="00EA5FF8"/>
    <w:rsid w:val="00EA6091"/>
    <w:rsid w:val="00EA6449"/>
    <w:rsid w:val="00EA66D9"/>
    <w:rsid w:val="00EA6710"/>
    <w:rsid w:val="00EA6A55"/>
    <w:rsid w:val="00EA6B0F"/>
    <w:rsid w:val="00EA7069"/>
    <w:rsid w:val="00EA713B"/>
    <w:rsid w:val="00EA72A6"/>
    <w:rsid w:val="00EA75C3"/>
    <w:rsid w:val="00EA77A3"/>
    <w:rsid w:val="00EA7C71"/>
    <w:rsid w:val="00EA7E10"/>
    <w:rsid w:val="00EB025A"/>
    <w:rsid w:val="00EB0353"/>
    <w:rsid w:val="00EB03A8"/>
    <w:rsid w:val="00EB04C5"/>
    <w:rsid w:val="00EB0631"/>
    <w:rsid w:val="00EB067B"/>
    <w:rsid w:val="00EB07A0"/>
    <w:rsid w:val="00EB08BC"/>
    <w:rsid w:val="00EB0FAF"/>
    <w:rsid w:val="00EB100D"/>
    <w:rsid w:val="00EB131D"/>
    <w:rsid w:val="00EB14A4"/>
    <w:rsid w:val="00EB1988"/>
    <w:rsid w:val="00EB1A18"/>
    <w:rsid w:val="00EB1AE5"/>
    <w:rsid w:val="00EB1B51"/>
    <w:rsid w:val="00EB239E"/>
    <w:rsid w:val="00EB2426"/>
    <w:rsid w:val="00EB24A9"/>
    <w:rsid w:val="00EB25C8"/>
    <w:rsid w:val="00EB2BCA"/>
    <w:rsid w:val="00EB2E1B"/>
    <w:rsid w:val="00EB2E7B"/>
    <w:rsid w:val="00EB31B7"/>
    <w:rsid w:val="00EB31D5"/>
    <w:rsid w:val="00EB323C"/>
    <w:rsid w:val="00EB32B8"/>
    <w:rsid w:val="00EB32D1"/>
    <w:rsid w:val="00EB35F5"/>
    <w:rsid w:val="00EB3B39"/>
    <w:rsid w:val="00EB3C74"/>
    <w:rsid w:val="00EB3D1C"/>
    <w:rsid w:val="00EB3D9B"/>
    <w:rsid w:val="00EB3E32"/>
    <w:rsid w:val="00EB3ED1"/>
    <w:rsid w:val="00EB41F4"/>
    <w:rsid w:val="00EB4377"/>
    <w:rsid w:val="00EB4404"/>
    <w:rsid w:val="00EB4446"/>
    <w:rsid w:val="00EB457C"/>
    <w:rsid w:val="00EB4724"/>
    <w:rsid w:val="00EB4B20"/>
    <w:rsid w:val="00EB4B4B"/>
    <w:rsid w:val="00EB4D9F"/>
    <w:rsid w:val="00EB4E61"/>
    <w:rsid w:val="00EB50C9"/>
    <w:rsid w:val="00EB5212"/>
    <w:rsid w:val="00EB53A3"/>
    <w:rsid w:val="00EB53F1"/>
    <w:rsid w:val="00EB5611"/>
    <w:rsid w:val="00EB564C"/>
    <w:rsid w:val="00EB57A6"/>
    <w:rsid w:val="00EB5D5E"/>
    <w:rsid w:val="00EB6015"/>
    <w:rsid w:val="00EB616A"/>
    <w:rsid w:val="00EB676D"/>
    <w:rsid w:val="00EB6BE6"/>
    <w:rsid w:val="00EB71D6"/>
    <w:rsid w:val="00EB7270"/>
    <w:rsid w:val="00EB7529"/>
    <w:rsid w:val="00EB7728"/>
    <w:rsid w:val="00EB7E30"/>
    <w:rsid w:val="00EB7F7F"/>
    <w:rsid w:val="00EB7F9B"/>
    <w:rsid w:val="00EB7FC3"/>
    <w:rsid w:val="00EB7FF0"/>
    <w:rsid w:val="00EC0272"/>
    <w:rsid w:val="00EC0395"/>
    <w:rsid w:val="00EC0634"/>
    <w:rsid w:val="00EC0745"/>
    <w:rsid w:val="00EC07E4"/>
    <w:rsid w:val="00EC0B74"/>
    <w:rsid w:val="00EC0F92"/>
    <w:rsid w:val="00EC0FCB"/>
    <w:rsid w:val="00EC118C"/>
    <w:rsid w:val="00EC11B4"/>
    <w:rsid w:val="00EC1408"/>
    <w:rsid w:val="00EC184F"/>
    <w:rsid w:val="00EC189A"/>
    <w:rsid w:val="00EC1998"/>
    <w:rsid w:val="00EC1A29"/>
    <w:rsid w:val="00EC1B36"/>
    <w:rsid w:val="00EC23C4"/>
    <w:rsid w:val="00EC25AC"/>
    <w:rsid w:val="00EC2627"/>
    <w:rsid w:val="00EC2967"/>
    <w:rsid w:val="00EC2C8E"/>
    <w:rsid w:val="00EC2CAD"/>
    <w:rsid w:val="00EC30BA"/>
    <w:rsid w:val="00EC3402"/>
    <w:rsid w:val="00EC3995"/>
    <w:rsid w:val="00EC3B7D"/>
    <w:rsid w:val="00EC3D15"/>
    <w:rsid w:val="00EC3D3B"/>
    <w:rsid w:val="00EC3E7A"/>
    <w:rsid w:val="00EC4049"/>
    <w:rsid w:val="00EC405B"/>
    <w:rsid w:val="00EC4285"/>
    <w:rsid w:val="00EC43E7"/>
    <w:rsid w:val="00EC465F"/>
    <w:rsid w:val="00EC46EC"/>
    <w:rsid w:val="00EC4C37"/>
    <w:rsid w:val="00EC4E14"/>
    <w:rsid w:val="00EC5086"/>
    <w:rsid w:val="00EC5328"/>
    <w:rsid w:val="00EC53A6"/>
    <w:rsid w:val="00EC5508"/>
    <w:rsid w:val="00EC58DB"/>
    <w:rsid w:val="00EC5A3C"/>
    <w:rsid w:val="00EC5CF9"/>
    <w:rsid w:val="00EC5EB8"/>
    <w:rsid w:val="00EC5F56"/>
    <w:rsid w:val="00EC5FE4"/>
    <w:rsid w:val="00EC60AC"/>
    <w:rsid w:val="00EC612D"/>
    <w:rsid w:val="00EC632C"/>
    <w:rsid w:val="00EC6524"/>
    <w:rsid w:val="00EC67FE"/>
    <w:rsid w:val="00EC687A"/>
    <w:rsid w:val="00EC6C68"/>
    <w:rsid w:val="00EC6E27"/>
    <w:rsid w:val="00EC6ED4"/>
    <w:rsid w:val="00EC7195"/>
    <w:rsid w:val="00EC7339"/>
    <w:rsid w:val="00EC73E2"/>
    <w:rsid w:val="00EC7484"/>
    <w:rsid w:val="00EC754D"/>
    <w:rsid w:val="00EC75AE"/>
    <w:rsid w:val="00EC76AC"/>
    <w:rsid w:val="00EC7704"/>
    <w:rsid w:val="00EC794A"/>
    <w:rsid w:val="00EC7ABF"/>
    <w:rsid w:val="00EC7CDF"/>
    <w:rsid w:val="00EC7F46"/>
    <w:rsid w:val="00ED03A7"/>
    <w:rsid w:val="00ED059E"/>
    <w:rsid w:val="00ED05DE"/>
    <w:rsid w:val="00ED05FA"/>
    <w:rsid w:val="00ED0789"/>
    <w:rsid w:val="00ED07B4"/>
    <w:rsid w:val="00ED07EE"/>
    <w:rsid w:val="00ED0BB6"/>
    <w:rsid w:val="00ED0D51"/>
    <w:rsid w:val="00ED0EC5"/>
    <w:rsid w:val="00ED0ECA"/>
    <w:rsid w:val="00ED0F32"/>
    <w:rsid w:val="00ED1182"/>
    <w:rsid w:val="00ED12A2"/>
    <w:rsid w:val="00ED142D"/>
    <w:rsid w:val="00ED1C6E"/>
    <w:rsid w:val="00ED1D98"/>
    <w:rsid w:val="00ED1E6C"/>
    <w:rsid w:val="00ED2050"/>
    <w:rsid w:val="00ED26D3"/>
    <w:rsid w:val="00ED2A95"/>
    <w:rsid w:val="00ED2C5D"/>
    <w:rsid w:val="00ED2F8A"/>
    <w:rsid w:val="00ED2F9E"/>
    <w:rsid w:val="00ED32CF"/>
    <w:rsid w:val="00ED32F9"/>
    <w:rsid w:val="00ED34DA"/>
    <w:rsid w:val="00ED34E1"/>
    <w:rsid w:val="00ED36C3"/>
    <w:rsid w:val="00ED4136"/>
    <w:rsid w:val="00ED41D1"/>
    <w:rsid w:val="00ED4537"/>
    <w:rsid w:val="00ED4582"/>
    <w:rsid w:val="00ED4672"/>
    <w:rsid w:val="00ED4B9F"/>
    <w:rsid w:val="00ED4BF6"/>
    <w:rsid w:val="00ED4FBB"/>
    <w:rsid w:val="00ED504D"/>
    <w:rsid w:val="00ED5066"/>
    <w:rsid w:val="00ED52B9"/>
    <w:rsid w:val="00ED563F"/>
    <w:rsid w:val="00ED56B8"/>
    <w:rsid w:val="00ED58FE"/>
    <w:rsid w:val="00ED5C08"/>
    <w:rsid w:val="00ED5D99"/>
    <w:rsid w:val="00ED5EF6"/>
    <w:rsid w:val="00ED5EFD"/>
    <w:rsid w:val="00ED5F55"/>
    <w:rsid w:val="00ED60C2"/>
    <w:rsid w:val="00ED62E0"/>
    <w:rsid w:val="00ED643F"/>
    <w:rsid w:val="00ED69F3"/>
    <w:rsid w:val="00ED6E86"/>
    <w:rsid w:val="00ED6FAA"/>
    <w:rsid w:val="00ED754B"/>
    <w:rsid w:val="00ED79DD"/>
    <w:rsid w:val="00ED7AC9"/>
    <w:rsid w:val="00ED7D71"/>
    <w:rsid w:val="00EE01C3"/>
    <w:rsid w:val="00EE0332"/>
    <w:rsid w:val="00EE05F5"/>
    <w:rsid w:val="00EE0734"/>
    <w:rsid w:val="00EE0956"/>
    <w:rsid w:val="00EE0BDC"/>
    <w:rsid w:val="00EE0BEB"/>
    <w:rsid w:val="00EE0BF3"/>
    <w:rsid w:val="00EE0FDD"/>
    <w:rsid w:val="00EE16BE"/>
    <w:rsid w:val="00EE179A"/>
    <w:rsid w:val="00EE184B"/>
    <w:rsid w:val="00EE1D2D"/>
    <w:rsid w:val="00EE1EF5"/>
    <w:rsid w:val="00EE21CB"/>
    <w:rsid w:val="00EE22B9"/>
    <w:rsid w:val="00EE22C1"/>
    <w:rsid w:val="00EE23A9"/>
    <w:rsid w:val="00EE2411"/>
    <w:rsid w:val="00EE2514"/>
    <w:rsid w:val="00EE25FE"/>
    <w:rsid w:val="00EE29DC"/>
    <w:rsid w:val="00EE2D69"/>
    <w:rsid w:val="00EE2E54"/>
    <w:rsid w:val="00EE2F65"/>
    <w:rsid w:val="00EE324C"/>
    <w:rsid w:val="00EE3426"/>
    <w:rsid w:val="00EE37D5"/>
    <w:rsid w:val="00EE3860"/>
    <w:rsid w:val="00EE3F0A"/>
    <w:rsid w:val="00EE4366"/>
    <w:rsid w:val="00EE4755"/>
    <w:rsid w:val="00EE4A46"/>
    <w:rsid w:val="00EE4C19"/>
    <w:rsid w:val="00EE549D"/>
    <w:rsid w:val="00EE582D"/>
    <w:rsid w:val="00EE5B75"/>
    <w:rsid w:val="00EE5B9B"/>
    <w:rsid w:val="00EE5BC8"/>
    <w:rsid w:val="00EE5ECE"/>
    <w:rsid w:val="00EE606E"/>
    <w:rsid w:val="00EE668A"/>
    <w:rsid w:val="00EE6FFC"/>
    <w:rsid w:val="00EE720F"/>
    <w:rsid w:val="00EE730B"/>
    <w:rsid w:val="00EE7B4C"/>
    <w:rsid w:val="00EF0084"/>
    <w:rsid w:val="00EF0289"/>
    <w:rsid w:val="00EF0716"/>
    <w:rsid w:val="00EF0752"/>
    <w:rsid w:val="00EF09CC"/>
    <w:rsid w:val="00EF0BA8"/>
    <w:rsid w:val="00EF119F"/>
    <w:rsid w:val="00EF11BD"/>
    <w:rsid w:val="00EF165A"/>
    <w:rsid w:val="00EF168E"/>
    <w:rsid w:val="00EF16AC"/>
    <w:rsid w:val="00EF1C6D"/>
    <w:rsid w:val="00EF1DEA"/>
    <w:rsid w:val="00EF1ECB"/>
    <w:rsid w:val="00EF2112"/>
    <w:rsid w:val="00EF2195"/>
    <w:rsid w:val="00EF2312"/>
    <w:rsid w:val="00EF278C"/>
    <w:rsid w:val="00EF2E32"/>
    <w:rsid w:val="00EF2FFC"/>
    <w:rsid w:val="00EF326A"/>
    <w:rsid w:val="00EF328C"/>
    <w:rsid w:val="00EF36C2"/>
    <w:rsid w:val="00EF36CB"/>
    <w:rsid w:val="00EF3BD5"/>
    <w:rsid w:val="00EF3C31"/>
    <w:rsid w:val="00EF3E75"/>
    <w:rsid w:val="00EF3F6C"/>
    <w:rsid w:val="00EF407F"/>
    <w:rsid w:val="00EF4228"/>
    <w:rsid w:val="00EF42FF"/>
    <w:rsid w:val="00EF4CC2"/>
    <w:rsid w:val="00EF4CD5"/>
    <w:rsid w:val="00EF4D70"/>
    <w:rsid w:val="00EF4E29"/>
    <w:rsid w:val="00EF52E2"/>
    <w:rsid w:val="00EF55F5"/>
    <w:rsid w:val="00EF55FC"/>
    <w:rsid w:val="00EF56FA"/>
    <w:rsid w:val="00EF5731"/>
    <w:rsid w:val="00EF578F"/>
    <w:rsid w:val="00EF59A6"/>
    <w:rsid w:val="00EF5D73"/>
    <w:rsid w:val="00EF5FA6"/>
    <w:rsid w:val="00EF611E"/>
    <w:rsid w:val="00EF6168"/>
    <w:rsid w:val="00EF62F1"/>
    <w:rsid w:val="00EF684C"/>
    <w:rsid w:val="00EF687D"/>
    <w:rsid w:val="00EF6A2D"/>
    <w:rsid w:val="00EF6A93"/>
    <w:rsid w:val="00EF6ACD"/>
    <w:rsid w:val="00EF6CBA"/>
    <w:rsid w:val="00EF6E8E"/>
    <w:rsid w:val="00EF6F6F"/>
    <w:rsid w:val="00EF722C"/>
    <w:rsid w:val="00EF7368"/>
    <w:rsid w:val="00EF752C"/>
    <w:rsid w:val="00EF7A91"/>
    <w:rsid w:val="00EF7D87"/>
    <w:rsid w:val="00EF7DDE"/>
    <w:rsid w:val="00EF7E0A"/>
    <w:rsid w:val="00EF7F4A"/>
    <w:rsid w:val="00EF7F7B"/>
    <w:rsid w:val="00F002A3"/>
    <w:rsid w:val="00F002C7"/>
    <w:rsid w:val="00F0045A"/>
    <w:rsid w:val="00F00555"/>
    <w:rsid w:val="00F0059E"/>
    <w:rsid w:val="00F005A3"/>
    <w:rsid w:val="00F006FB"/>
    <w:rsid w:val="00F00777"/>
    <w:rsid w:val="00F0078B"/>
    <w:rsid w:val="00F008D1"/>
    <w:rsid w:val="00F0093E"/>
    <w:rsid w:val="00F00B49"/>
    <w:rsid w:val="00F00B51"/>
    <w:rsid w:val="00F00BAE"/>
    <w:rsid w:val="00F0103D"/>
    <w:rsid w:val="00F011BC"/>
    <w:rsid w:val="00F011F6"/>
    <w:rsid w:val="00F013DE"/>
    <w:rsid w:val="00F014CE"/>
    <w:rsid w:val="00F01A7F"/>
    <w:rsid w:val="00F01AD4"/>
    <w:rsid w:val="00F01B41"/>
    <w:rsid w:val="00F02166"/>
    <w:rsid w:val="00F02265"/>
    <w:rsid w:val="00F027CF"/>
    <w:rsid w:val="00F02863"/>
    <w:rsid w:val="00F030AC"/>
    <w:rsid w:val="00F034DE"/>
    <w:rsid w:val="00F03624"/>
    <w:rsid w:val="00F03AD4"/>
    <w:rsid w:val="00F03E08"/>
    <w:rsid w:val="00F03FD4"/>
    <w:rsid w:val="00F04158"/>
    <w:rsid w:val="00F041D5"/>
    <w:rsid w:val="00F045AB"/>
    <w:rsid w:val="00F0488D"/>
    <w:rsid w:val="00F050A3"/>
    <w:rsid w:val="00F050AA"/>
    <w:rsid w:val="00F05235"/>
    <w:rsid w:val="00F05244"/>
    <w:rsid w:val="00F0550C"/>
    <w:rsid w:val="00F05586"/>
    <w:rsid w:val="00F0598C"/>
    <w:rsid w:val="00F05A1E"/>
    <w:rsid w:val="00F05BB4"/>
    <w:rsid w:val="00F05C07"/>
    <w:rsid w:val="00F05F42"/>
    <w:rsid w:val="00F066EF"/>
    <w:rsid w:val="00F067D0"/>
    <w:rsid w:val="00F0684C"/>
    <w:rsid w:val="00F06C8D"/>
    <w:rsid w:val="00F06DC4"/>
    <w:rsid w:val="00F074D5"/>
    <w:rsid w:val="00F075E0"/>
    <w:rsid w:val="00F07818"/>
    <w:rsid w:val="00F07A9C"/>
    <w:rsid w:val="00F07B4F"/>
    <w:rsid w:val="00F07BED"/>
    <w:rsid w:val="00F07BF3"/>
    <w:rsid w:val="00F10014"/>
    <w:rsid w:val="00F10025"/>
    <w:rsid w:val="00F1027E"/>
    <w:rsid w:val="00F102F2"/>
    <w:rsid w:val="00F1060A"/>
    <w:rsid w:val="00F1063A"/>
    <w:rsid w:val="00F106F6"/>
    <w:rsid w:val="00F10A53"/>
    <w:rsid w:val="00F10A7A"/>
    <w:rsid w:val="00F10EF2"/>
    <w:rsid w:val="00F10F3F"/>
    <w:rsid w:val="00F10FF5"/>
    <w:rsid w:val="00F110E4"/>
    <w:rsid w:val="00F110FC"/>
    <w:rsid w:val="00F1136A"/>
    <w:rsid w:val="00F11393"/>
    <w:rsid w:val="00F11544"/>
    <w:rsid w:val="00F117FC"/>
    <w:rsid w:val="00F11893"/>
    <w:rsid w:val="00F118A3"/>
    <w:rsid w:val="00F119F4"/>
    <w:rsid w:val="00F11B75"/>
    <w:rsid w:val="00F11ED6"/>
    <w:rsid w:val="00F11FC0"/>
    <w:rsid w:val="00F1208D"/>
    <w:rsid w:val="00F12193"/>
    <w:rsid w:val="00F1236E"/>
    <w:rsid w:val="00F12392"/>
    <w:rsid w:val="00F127ED"/>
    <w:rsid w:val="00F1293D"/>
    <w:rsid w:val="00F12C8C"/>
    <w:rsid w:val="00F12CD4"/>
    <w:rsid w:val="00F12DA8"/>
    <w:rsid w:val="00F12F7B"/>
    <w:rsid w:val="00F13248"/>
    <w:rsid w:val="00F13275"/>
    <w:rsid w:val="00F13388"/>
    <w:rsid w:val="00F1357D"/>
    <w:rsid w:val="00F135D4"/>
    <w:rsid w:val="00F13E08"/>
    <w:rsid w:val="00F14690"/>
    <w:rsid w:val="00F1474F"/>
    <w:rsid w:val="00F14A75"/>
    <w:rsid w:val="00F14C13"/>
    <w:rsid w:val="00F14CB6"/>
    <w:rsid w:val="00F14FB1"/>
    <w:rsid w:val="00F14FDC"/>
    <w:rsid w:val="00F150D0"/>
    <w:rsid w:val="00F152F2"/>
    <w:rsid w:val="00F1539F"/>
    <w:rsid w:val="00F15436"/>
    <w:rsid w:val="00F15546"/>
    <w:rsid w:val="00F156E6"/>
    <w:rsid w:val="00F1581D"/>
    <w:rsid w:val="00F15C26"/>
    <w:rsid w:val="00F15D31"/>
    <w:rsid w:val="00F1600E"/>
    <w:rsid w:val="00F17485"/>
    <w:rsid w:val="00F175B7"/>
    <w:rsid w:val="00F175DA"/>
    <w:rsid w:val="00F175F9"/>
    <w:rsid w:val="00F17CAE"/>
    <w:rsid w:val="00F17E1F"/>
    <w:rsid w:val="00F2007A"/>
    <w:rsid w:val="00F202C5"/>
    <w:rsid w:val="00F2056F"/>
    <w:rsid w:val="00F20CD4"/>
    <w:rsid w:val="00F20ED9"/>
    <w:rsid w:val="00F20EDD"/>
    <w:rsid w:val="00F20FE4"/>
    <w:rsid w:val="00F21282"/>
    <w:rsid w:val="00F217DA"/>
    <w:rsid w:val="00F21949"/>
    <w:rsid w:val="00F21C6E"/>
    <w:rsid w:val="00F21CF9"/>
    <w:rsid w:val="00F21E81"/>
    <w:rsid w:val="00F223B8"/>
    <w:rsid w:val="00F224CB"/>
    <w:rsid w:val="00F2255A"/>
    <w:rsid w:val="00F2273F"/>
    <w:rsid w:val="00F22C2D"/>
    <w:rsid w:val="00F22F55"/>
    <w:rsid w:val="00F22FA0"/>
    <w:rsid w:val="00F22FF1"/>
    <w:rsid w:val="00F2300D"/>
    <w:rsid w:val="00F231CD"/>
    <w:rsid w:val="00F23877"/>
    <w:rsid w:val="00F23889"/>
    <w:rsid w:val="00F23A05"/>
    <w:rsid w:val="00F23A34"/>
    <w:rsid w:val="00F23EE9"/>
    <w:rsid w:val="00F23F15"/>
    <w:rsid w:val="00F23FBC"/>
    <w:rsid w:val="00F243E6"/>
    <w:rsid w:val="00F2446A"/>
    <w:rsid w:val="00F2449D"/>
    <w:rsid w:val="00F246C6"/>
    <w:rsid w:val="00F248EE"/>
    <w:rsid w:val="00F24B32"/>
    <w:rsid w:val="00F25269"/>
    <w:rsid w:val="00F2536E"/>
    <w:rsid w:val="00F253A5"/>
    <w:rsid w:val="00F25581"/>
    <w:rsid w:val="00F25667"/>
    <w:rsid w:val="00F256E6"/>
    <w:rsid w:val="00F2580B"/>
    <w:rsid w:val="00F25967"/>
    <w:rsid w:val="00F259BE"/>
    <w:rsid w:val="00F25C8A"/>
    <w:rsid w:val="00F25CEE"/>
    <w:rsid w:val="00F25F8E"/>
    <w:rsid w:val="00F260E5"/>
    <w:rsid w:val="00F263C6"/>
    <w:rsid w:val="00F2685E"/>
    <w:rsid w:val="00F269F4"/>
    <w:rsid w:val="00F26C65"/>
    <w:rsid w:val="00F26CEA"/>
    <w:rsid w:val="00F2707B"/>
    <w:rsid w:val="00F271B2"/>
    <w:rsid w:val="00F27669"/>
    <w:rsid w:val="00F27B9A"/>
    <w:rsid w:val="00F27C58"/>
    <w:rsid w:val="00F27CD3"/>
    <w:rsid w:val="00F30520"/>
    <w:rsid w:val="00F3058E"/>
    <w:rsid w:val="00F3064A"/>
    <w:rsid w:val="00F308FB"/>
    <w:rsid w:val="00F3093F"/>
    <w:rsid w:val="00F30B69"/>
    <w:rsid w:val="00F30C19"/>
    <w:rsid w:val="00F31130"/>
    <w:rsid w:val="00F31137"/>
    <w:rsid w:val="00F3135B"/>
    <w:rsid w:val="00F31567"/>
    <w:rsid w:val="00F31843"/>
    <w:rsid w:val="00F3197A"/>
    <w:rsid w:val="00F31B5F"/>
    <w:rsid w:val="00F31B61"/>
    <w:rsid w:val="00F31CC4"/>
    <w:rsid w:val="00F31FE1"/>
    <w:rsid w:val="00F3219E"/>
    <w:rsid w:val="00F321E4"/>
    <w:rsid w:val="00F322D7"/>
    <w:rsid w:val="00F324CC"/>
    <w:rsid w:val="00F32607"/>
    <w:rsid w:val="00F3262D"/>
    <w:rsid w:val="00F32A75"/>
    <w:rsid w:val="00F33149"/>
    <w:rsid w:val="00F3322E"/>
    <w:rsid w:val="00F33418"/>
    <w:rsid w:val="00F337E6"/>
    <w:rsid w:val="00F33902"/>
    <w:rsid w:val="00F339BB"/>
    <w:rsid w:val="00F33B81"/>
    <w:rsid w:val="00F34283"/>
    <w:rsid w:val="00F346ED"/>
    <w:rsid w:val="00F34A22"/>
    <w:rsid w:val="00F34B77"/>
    <w:rsid w:val="00F34C0B"/>
    <w:rsid w:val="00F34D3F"/>
    <w:rsid w:val="00F34F50"/>
    <w:rsid w:val="00F35B49"/>
    <w:rsid w:val="00F35FB2"/>
    <w:rsid w:val="00F36568"/>
    <w:rsid w:val="00F36644"/>
    <w:rsid w:val="00F366EC"/>
    <w:rsid w:val="00F3677C"/>
    <w:rsid w:val="00F36A0B"/>
    <w:rsid w:val="00F36A41"/>
    <w:rsid w:val="00F36D8D"/>
    <w:rsid w:val="00F36F6A"/>
    <w:rsid w:val="00F370F9"/>
    <w:rsid w:val="00F371B1"/>
    <w:rsid w:val="00F37239"/>
    <w:rsid w:val="00F37594"/>
    <w:rsid w:val="00F37D09"/>
    <w:rsid w:val="00F37F15"/>
    <w:rsid w:val="00F40609"/>
    <w:rsid w:val="00F40726"/>
    <w:rsid w:val="00F40865"/>
    <w:rsid w:val="00F40A92"/>
    <w:rsid w:val="00F40C43"/>
    <w:rsid w:val="00F40CC9"/>
    <w:rsid w:val="00F40D32"/>
    <w:rsid w:val="00F411A1"/>
    <w:rsid w:val="00F412EE"/>
    <w:rsid w:val="00F416F0"/>
    <w:rsid w:val="00F41755"/>
    <w:rsid w:val="00F41A8C"/>
    <w:rsid w:val="00F41AE1"/>
    <w:rsid w:val="00F41AF2"/>
    <w:rsid w:val="00F42042"/>
    <w:rsid w:val="00F42288"/>
    <w:rsid w:val="00F42552"/>
    <w:rsid w:val="00F428EC"/>
    <w:rsid w:val="00F429A2"/>
    <w:rsid w:val="00F42B46"/>
    <w:rsid w:val="00F42B54"/>
    <w:rsid w:val="00F42B5A"/>
    <w:rsid w:val="00F42CE3"/>
    <w:rsid w:val="00F43469"/>
    <w:rsid w:val="00F4386B"/>
    <w:rsid w:val="00F4395F"/>
    <w:rsid w:val="00F43AB5"/>
    <w:rsid w:val="00F43C88"/>
    <w:rsid w:val="00F43F5E"/>
    <w:rsid w:val="00F43F75"/>
    <w:rsid w:val="00F4417F"/>
    <w:rsid w:val="00F442A3"/>
    <w:rsid w:val="00F442E7"/>
    <w:rsid w:val="00F44370"/>
    <w:rsid w:val="00F44406"/>
    <w:rsid w:val="00F44414"/>
    <w:rsid w:val="00F4464D"/>
    <w:rsid w:val="00F44FAD"/>
    <w:rsid w:val="00F4518E"/>
    <w:rsid w:val="00F45429"/>
    <w:rsid w:val="00F4574A"/>
    <w:rsid w:val="00F4587F"/>
    <w:rsid w:val="00F458F7"/>
    <w:rsid w:val="00F4595E"/>
    <w:rsid w:val="00F45B9E"/>
    <w:rsid w:val="00F45D69"/>
    <w:rsid w:val="00F45F2F"/>
    <w:rsid w:val="00F4605E"/>
    <w:rsid w:val="00F4673F"/>
    <w:rsid w:val="00F46830"/>
    <w:rsid w:val="00F468C0"/>
    <w:rsid w:val="00F47299"/>
    <w:rsid w:val="00F478E2"/>
    <w:rsid w:val="00F47953"/>
    <w:rsid w:val="00F47EDF"/>
    <w:rsid w:val="00F50101"/>
    <w:rsid w:val="00F50178"/>
    <w:rsid w:val="00F504C4"/>
    <w:rsid w:val="00F50502"/>
    <w:rsid w:val="00F50542"/>
    <w:rsid w:val="00F50692"/>
    <w:rsid w:val="00F507E0"/>
    <w:rsid w:val="00F509BE"/>
    <w:rsid w:val="00F50B00"/>
    <w:rsid w:val="00F50CEA"/>
    <w:rsid w:val="00F5131F"/>
    <w:rsid w:val="00F5189A"/>
    <w:rsid w:val="00F51B37"/>
    <w:rsid w:val="00F51BC4"/>
    <w:rsid w:val="00F51EDD"/>
    <w:rsid w:val="00F51EF5"/>
    <w:rsid w:val="00F523FC"/>
    <w:rsid w:val="00F52563"/>
    <w:rsid w:val="00F52888"/>
    <w:rsid w:val="00F529AF"/>
    <w:rsid w:val="00F52AD8"/>
    <w:rsid w:val="00F52C35"/>
    <w:rsid w:val="00F52C7A"/>
    <w:rsid w:val="00F53073"/>
    <w:rsid w:val="00F53095"/>
    <w:rsid w:val="00F530B2"/>
    <w:rsid w:val="00F53178"/>
    <w:rsid w:val="00F53835"/>
    <w:rsid w:val="00F53B0A"/>
    <w:rsid w:val="00F53C83"/>
    <w:rsid w:val="00F53CC1"/>
    <w:rsid w:val="00F53D5A"/>
    <w:rsid w:val="00F53EAF"/>
    <w:rsid w:val="00F53FA8"/>
    <w:rsid w:val="00F540F5"/>
    <w:rsid w:val="00F541B4"/>
    <w:rsid w:val="00F5432E"/>
    <w:rsid w:val="00F54435"/>
    <w:rsid w:val="00F546C6"/>
    <w:rsid w:val="00F546FE"/>
    <w:rsid w:val="00F5471F"/>
    <w:rsid w:val="00F547F5"/>
    <w:rsid w:val="00F54A5F"/>
    <w:rsid w:val="00F55278"/>
    <w:rsid w:val="00F552EB"/>
    <w:rsid w:val="00F55519"/>
    <w:rsid w:val="00F55525"/>
    <w:rsid w:val="00F557C8"/>
    <w:rsid w:val="00F558F1"/>
    <w:rsid w:val="00F55ECB"/>
    <w:rsid w:val="00F55F44"/>
    <w:rsid w:val="00F560B2"/>
    <w:rsid w:val="00F562BB"/>
    <w:rsid w:val="00F5661D"/>
    <w:rsid w:val="00F56889"/>
    <w:rsid w:val="00F56B29"/>
    <w:rsid w:val="00F56B30"/>
    <w:rsid w:val="00F56DDE"/>
    <w:rsid w:val="00F570D5"/>
    <w:rsid w:val="00F571FC"/>
    <w:rsid w:val="00F572EE"/>
    <w:rsid w:val="00F573B0"/>
    <w:rsid w:val="00F5750F"/>
    <w:rsid w:val="00F57629"/>
    <w:rsid w:val="00F5785D"/>
    <w:rsid w:val="00F57F07"/>
    <w:rsid w:val="00F6016C"/>
    <w:rsid w:val="00F60760"/>
    <w:rsid w:val="00F60A23"/>
    <w:rsid w:val="00F60AEA"/>
    <w:rsid w:val="00F60BCB"/>
    <w:rsid w:val="00F61096"/>
    <w:rsid w:val="00F611F7"/>
    <w:rsid w:val="00F613FF"/>
    <w:rsid w:val="00F616FB"/>
    <w:rsid w:val="00F618A0"/>
    <w:rsid w:val="00F61A51"/>
    <w:rsid w:val="00F61B8E"/>
    <w:rsid w:val="00F61BC0"/>
    <w:rsid w:val="00F62002"/>
    <w:rsid w:val="00F620FF"/>
    <w:rsid w:val="00F62239"/>
    <w:rsid w:val="00F62481"/>
    <w:rsid w:val="00F62BC7"/>
    <w:rsid w:val="00F63016"/>
    <w:rsid w:val="00F632F4"/>
    <w:rsid w:val="00F63762"/>
    <w:rsid w:val="00F63810"/>
    <w:rsid w:val="00F63AB9"/>
    <w:rsid w:val="00F6411F"/>
    <w:rsid w:val="00F6429A"/>
    <w:rsid w:val="00F6485C"/>
    <w:rsid w:val="00F64E4D"/>
    <w:rsid w:val="00F653BF"/>
    <w:rsid w:val="00F658D3"/>
    <w:rsid w:val="00F65AA0"/>
    <w:rsid w:val="00F65DA0"/>
    <w:rsid w:val="00F65DF0"/>
    <w:rsid w:val="00F65EA7"/>
    <w:rsid w:val="00F65F37"/>
    <w:rsid w:val="00F6619E"/>
    <w:rsid w:val="00F6675B"/>
    <w:rsid w:val="00F66874"/>
    <w:rsid w:val="00F66885"/>
    <w:rsid w:val="00F66B8D"/>
    <w:rsid w:val="00F66E54"/>
    <w:rsid w:val="00F66EA1"/>
    <w:rsid w:val="00F66F5C"/>
    <w:rsid w:val="00F67196"/>
    <w:rsid w:val="00F672A7"/>
    <w:rsid w:val="00F67372"/>
    <w:rsid w:val="00F67384"/>
    <w:rsid w:val="00F67595"/>
    <w:rsid w:val="00F677CA"/>
    <w:rsid w:val="00F67818"/>
    <w:rsid w:val="00F67D30"/>
    <w:rsid w:val="00F67DF0"/>
    <w:rsid w:val="00F67FD2"/>
    <w:rsid w:val="00F703EA"/>
    <w:rsid w:val="00F704BE"/>
    <w:rsid w:val="00F705F1"/>
    <w:rsid w:val="00F7095E"/>
    <w:rsid w:val="00F70A83"/>
    <w:rsid w:val="00F70A8E"/>
    <w:rsid w:val="00F70BCC"/>
    <w:rsid w:val="00F70C18"/>
    <w:rsid w:val="00F70D89"/>
    <w:rsid w:val="00F70EE6"/>
    <w:rsid w:val="00F710B5"/>
    <w:rsid w:val="00F710BD"/>
    <w:rsid w:val="00F712CC"/>
    <w:rsid w:val="00F714D9"/>
    <w:rsid w:val="00F7168B"/>
    <w:rsid w:val="00F71819"/>
    <w:rsid w:val="00F71C90"/>
    <w:rsid w:val="00F71F24"/>
    <w:rsid w:val="00F72330"/>
    <w:rsid w:val="00F7242A"/>
    <w:rsid w:val="00F7269C"/>
    <w:rsid w:val="00F72DDF"/>
    <w:rsid w:val="00F72E2B"/>
    <w:rsid w:val="00F73290"/>
    <w:rsid w:val="00F734A2"/>
    <w:rsid w:val="00F73B3F"/>
    <w:rsid w:val="00F73C1A"/>
    <w:rsid w:val="00F73F5F"/>
    <w:rsid w:val="00F741CC"/>
    <w:rsid w:val="00F74488"/>
    <w:rsid w:val="00F74661"/>
    <w:rsid w:val="00F74802"/>
    <w:rsid w:val="00F74D0D"/>
    <w:rsid w:val="00F74D51"/>
    <w:rsid w:val="00F74FD0"/>
    <w:rsid w:val="00F75180"/>
    <w:rsid w:val="00F75315"/>
    <w:rsid w:val="00F75543"/>
    <w:rsid w:val="00F7555E"/>
    <w:rsid w:val="00F75B0C"/>
    <w:rsid w:val="00F75B5F"/>
    <w:rsid w:val="00F75D3D"/>
    <w:rsid w:val="00F75F31"/>
    <w:rsid w:val="00F7651D"/>
    <w:rsid w:val="00F767BB"/>
    <w:rsid w:val="00F769B1"/>
    <w:rsid w:val="00F76B1D"/>
    <w:rsid w:val="00F76BE8"/>
    <w:rsid w:val="00F76C46"/>
    <w:rsid w:val="00F76D21"/>
    <w:rsid w:val="00F76D48"/>
    <w:rsid w:val="00F76F72"/>
    <w:rsid w:val="00F76FE7"/>
    <w:rsid w:val="00F77192"/>
    <w:rsid w:val="00F778DB"/>
    <w:rsid w:val="00F77A6B"/>
    <w:rsid w:val="00F77C2B"/>
    <w:rsid w:val="00F77EAC"/>
    <w:rsid w:val="00F77FCA"/>
    <w:rsid w:val="00F801E4"/>
    <w:rsid w:val="00F8028A"/>
    <w:rsid w:val="00F80346"/>
    <w:rsid w:val="00F806FE"/>
    <w:rsid w:val="00F80930"/>
    <w:rsid w:val="00F80D53"/>
    <w:rsid w:val="00F80DA0"/>
    <w:rsid w:val="00F80DE0"/>
    <w:rsid w:val="00F80ED6"/>
    <w:rsid w:val="00F81042"/>
    <w:rsid w:val="00F816A5"/>
    <w:rsid w:val="00F818A5"/>
    <w:rsid w:val="00F8273D"/>
    <w:rsid w:val="00F82854"/>
    <w:rsid w:val="00F8299D"/>
    <w:rsid w:val="00F83139"/>
    <w:rsid w:val="00F83206"/>
    <w:rsid w:val="00F833C7"/>
    <w:rsid w:val="00F834E0"/>
    <w:rsid w:val="00F83795"/>
    <w:rsid w:val="00F83B25"/>
    <w:rsid w:val="00F83B5F"/>
    <w:rsid w:val="00F8419A"/>
    <w:rsid w:val="00F8423D"/>
    <w:rsid w:val="00F845CD"/>
    <w:rsid w:val="00F84641"/>
    <w:rsid w:val="00F84957"/>
    <w:rsid w:val="00F84989"/>
    <w:rsid w:val="00F84BE7"/>
    <w:rsid w:val="00F84BEB"/>
    <w:rsid w:val="00F84E6E"/>
    <w:rsid w:val="00F8505A"/>
    <w:rsid w:val="00F8523F"/>
    <w:rsid w:val="00F852A1"/>
    <w:rsid w:val="00F85433"/>
    <w:rsid w:val="00F8547B"/>
    <w:rsid w:val="00F854F1"/>
    <w:rsid w:val="00F859F9"/>
    <w:rsid w:val="00F85D2A"/>
    <w:rsid w:val="00F85DAA"/>
    <w:rsid w:val="00F85F90"/>
    <w:rsid w:val="00F8634D"/>
    <w:rsid w:val="00F865E2"/>
    <w:rsid w:val="00F8694E"/>
    <w:rsid w:val="00F86A48"/>
    <w:rsid w:val="00F86B53"/>
    <w:rsid w:val="00F86BAA"/>
    <w:rsid w:val="00F86BF1"/>
    <w:rsid w:val="00F86DA7"/>
    <w:rsid w:val="00F86E2B"/>
    <w:rsid w:val="00F87046"/>
    <w:rsid w:val="00F87120"/>
    <w:rsid w:val="00F872CB"/>
    <w:rsid w:val="00F872F9"/>
    <w:rsid w:val="00F87536"/>
    <w:rsid w:val="00F87740"/>
    <w:rsid w:val="00F8790B"/>
    <w:rsid w:val="00F879CF"/>
    <w:rsid w:val="00F87B43"/>
    <w:rsid w:val="00F87C25"/>
    <w:rsid w:val="00F9010C"/>
    <w:rsid w:val="00F90110"/>
    <w:rsid w:val="00F904E0"/>
    <w:rsid w:val="00F90613"/>
    <w:rsid w:val="00F907F6"/>
    <w:rsid w:val="00F90B34"/>
    <w:rsid w:val="00F90BB0"/>
    <w:rsid w:val="00F90CE4"/>
    <w:rsid w:val="00F90EA5"/>
    <w:rsid w:val="00F912AF"/>
    <w:rsid w:val="00F914B7"/>
    <w:rsid w:val="00F9156E"/>
    <w:rsid w:val="00F916F9"/>
    <w:rsid w:val="00F91735"/>
    <w:rsid w:val="00F91779"/>
    <w:rsid w:val="00F91974"/>
    <w:rsid w:val="00F919A6"/>
    <w:rsid w:val="00F91C12"/>
    <w:rsid w:val="00F91D36"/>
    <w:rsid w:val="00F91EB3"/>
    <w:rsid w:val="00F91F42"/>
    <w:rsid w:val="00F91F76"/>
    <w:rsid w:val="00F91FF1"/>
    <w:rsid w:val="00F928C3"/>
    <w:rsid w:val="00F92DD6"/>
    <w:rsid w:val="00F930D7"/>
    <w:rsid w:val="00F93346"/>
    <w:rsid w:val="00F935D2"/>
    <w:rsid w:val="00F937D6"/>
    <w:rsid w:val="00F9380C"/>
    <w:rsid w:val="00F939E7"/>
    <w:rsid w:val="00F93A9C"/>
    <w:rsid w:val="00F93CD0"/>
    <w:rsid w:val="00F93FB3"/>
    <w:rsid w:val="00F9436A"/>
    <w:rsid w:val="00F9448F"/>
    <w:rsid w:val="00F94962"/>
    <w:rsid w:val="00F94BB2"/>
    <w:rsid w:val="00F950CF"/>
    <w:rsid w:val="00F95178"/>
    <w:rsid w:val="00F9524B"/>
    <w:rsid w:val="00F95575"/>
    <w:rsid w:val="00F956ED"/>
    <w:rsid w:val="00F956FE"/>
    <w:rsid w:val="00F9590D"/>
    <w:rsid w:val="00F95F52"/>
    <w:rsid w:val="00F960CA"/>
    <w:rsid w:val="00F96108"/>
    <w:rsid w:val="00F96238"/>
    <w:rsid w:val="00F966AD"/>
    <w:rsid w:val="00F96869"/>
    <w:rsid w:val="00F96A67"/>
    <w:rsid w:val="00F96C23"/>
    <w:rsid w:val="00F9723B"/>
    <w:rsid w:val="00F9755E"/>
    <w:rsid w:val="00F975BB"/>
    <w:rsid w:val="00F9767B"/>
    <w:rsid w:val="00F97924"/>
    <w:rsid w:val="00F97BF8"/>
    <w:rsid w:val="00F97C7E"/>
    <w:rsid w:val="00FA0121"/>
    <w:rsid w:val="00FA0208"/>
    <w:rsid w:val="00FA0627"/>
    <w:rsid w:val="00FA069B"/>
    <w:rsid w:val="00FA07C0"/>
    <w:rsid w:val="00FA0A97"/>
    <w:rsid w:val="00FA1036"/>
    <w:rsid w:val="00FA10D4"/>
    <w:rsid w:val="00FA1374"/>
    <w:rsid w:val="00FA137A"/>
    <w:rsid w:val="00FA158E"/>
    <w:rsid w:val="00FA1765"/>
    <w:rsid w:val="00FA1BD4"/>
    <w:rsid w:val="00FA1C90"/>
    <w:rsid w:val="00FA1D4C"/>
    <w:rsid w:val="00FA1DE9"/>
    <w:rsid w:val="00FA1E91"/>
    <w:rsid w:val="00FA1FDC"/>
    <w:rsid w:val="00FA20DC"/>
    <w:rsid w:val="00FA275B"/>
    <w:rsid w:val="00FA2CDC"/>
    <w:rsid w:val="00FA3528"/>
    <w:rsid w:val="00FA35F1"/>
    <w:rsid w:val="00FA3E7C"/>
    <w:rsid w:val="00FA47EC"/>
    <w:rsid w:val="00FA483A"/>
    <w:rsid w:val="00FA4A39"/>
    <w:rsid w:val="00FA4A49"/>
    <w:rsid w:val="00FA4B3A"/>
    <w:rsid w:val="00FA4CDA"/>
    <w:rsid w:val="00FA4FB4"/>
    <w:rsid w:val="00FA51C5"/>
    <w:rsid w:val="00FA5402"/>
    <w:rsid w:val="00FA55EC"/>
    <w:rsid w:val="00FA574E"/>
    <w:rsid w:val="00FA5760"/>
    <w:rsid w:val="00FA59D4"/>
    <w:rsid w:val="00FA5D5C"/>
    <w:rsid w:val="00FA5DAB"/>
    <w:rsid w:val="00FA5DB7"/>
    <w:rsid w:val="00FA5E2A"/>
    <w:rsid w:val="00FA6092"/>
    <w:rsid w:val="00FA64C1"/>
    <w:rsid w:val="00FA6764"/>
    <w:rsid w:val="00FA6A3B"/>
    <w:rsid w:val="00FA6BDE"/>
    <w:rsid w:val="00FA6FA0"/>
    <w:rsid w:val="00FA723C"/>
    <w:rsid w:val="00FA7487"/>
    <w:rsid w:val="00FA77F7"/>
    <w:rsid w:val="00FA7AB5"/>
    <w:rsid w:val="00FA7CA0"/>
    <w:rsid w:val="00FA7D76"/>
    <w:rsid w:val="00FA7D9F"/>
    <w:rsid w:val="00FA7FF7"/>
    <w:rsid w:val="00FB066B"/>
    <w:rsid w:val="00FB06F5"/>
    <w:rsid w:val="00FB0743"/>
    <w:rsid w:val="00FB09DA"/>
    <w:rsid w:val="00FB0C16"/>
    <w:rsid w:val="00FB1131"/>
    <w:rsid w:val="00FB1143"/>
    <w:rsid w:val="00FB128C"/>
    <w:rsid w:val="00FB132B"/>
    <w:rsid w:val="00FB15FB"/>
    <w:rsid w:val="00FB1D81"/>
    <w:rsid w:val="00FB1F14"/>
    <w:rsid w:val="00FB213B"/>
    <w:rsid w:val="00FB23DA"/>
    <w:rsid w:val="00FB2E76"/>
    <w:rsid w:val="00FB2EE6"/>
    <w:rsid w:val="00FB2F6C"/>
    <w:rsid w:val="00FB3084"/>
    <w:rsid w:val="00FB3437"/>
    <w:rsid w:val="00FB34CD"/>
    <w:rsid w:val="00FB3731"/>
    <w:rsid w:val="00FB39CA"/>
    <w:rsid w:val="00FB3D73"/>
    <w:rsid w:val="00FB3E81"/>
    <w:rsid w:val="00FB400A"/>
    <w:rsid w:val="00FB4128"/>
    <w:rsid w:val="00FB44E0"/>
    <w:rsid w:val="00FB4E03"/>
    <w:rsid w:val="00FB4E7B"/>
    <w:rsid w:val="00FB4F1C"/>
    <w:rsid w:val="00FB503F"/>
    <w:rsid w:val="00FB52BD"/>
    <w:rsid w:val="00FB5371"/>
    <w:rsid w:val="00FB53EC"/>
    <w:rsid w:val="00FB5C34"/>
    <w:rsid w:val="00FB5FCF"/>
    <w:rsid w:val="00FB60F5"/>
    <w:rsid w:val="00FB6313"/>
    <w:rsid w:val="00FB65AC"/>
    <w:rsid w:val="00FB70AF"/>
    <w:rsid w:val="00FB7114"/>
    <w:rsid w:val="00FB734A"/>
    <w:rsid w:val="00FB782E"/>
    <w:rsid w:val="00FB7B61"/>
    <w:rsid w:val="00FB7CFD"/>
    <w:rsid w:val="00FB7D54"/>
    <w:rsid w:val="00FC01C6"/>
    <w:rsid w:val="00FC0B49"/>
    <w:rsid w:val="00FC0DC4"/>
    <w:rsid w:val="00FC1178"/>
    <w:rsid w:val="00FC12AE"/>
    <w:rsid w:val="00FC15E7"/>
    <w:rsid w:val="00FC1925"/>
    <w:rsid w:val="00FC1A15"/>
    <w:rsid w:val="00FC1A2E"/>
    <w:rsid w:val="00FC1A6B"/>
    <w:rsid w:val="00FC1BCB"/>
    <w:rsid w:val="00FC1F5E"/>
    <w:rsid w:val="00FC21CD"/>
    <w:rsid w:val="00FC236D"/>
    <w:rsid w:val="00FC2539"/>
    <w:rsid w:val="00FC267C"/>
    <w:rsid w:val="00FC26F7"/>
    <w:rsid w:val="00FC27DE"/>
    <w:rsid w:val="00FC29A6"/>
    <w:rsid w:val="00FC2A84"/>
    <w:rsid w:val="00FC2FCC"/>
    <w:rsid w:val="00FC2FD0"/>
    <w:rsid w:val="00FC36F0"/>
    <w:rsid w:val="00FC3A99"/>
    <w:rsid w:val="00FC3BA6"/>
    <w:rsid w:val="00FC4059"/>
    <w:rsid w:val="00FC46A4"/>
    <w:rsid w:val="00FC47B9"/>
    <w:rsid w:val="00FC4919"/>
    <w:rsid w:val="00FC492E"/>
    <w:rsid w:val="00FC49FC"/>
    <w:rsid w:val="00FC4C03"/>
    <w:rsid w:val="00FC4D7B"/>
    <w:rsid w:val="00FC4E68"/>
    <w:rsid w:val="00FC4FA4"/>
    <w:rsid w:val="00FC5445"/>
    <w:rsid w:val="00FC56DD"/>
    <w:rsid w:val="00FC5A53"/>
    <w:rsid w:val="00FC5AF0"/>
    <w:rsid w:val="00FC60D4"/>
    <w:rsid w:val="00FC6113"/>
    <w:rsid w:val="00FC61CE"/>
    <w:rsid w:val="00FC64E4"/>
    <w:rsid w:val="00FC654F"/>
    <w:rsid w:val="00FC6599"/>
    <w:rsid w:val="00FC66E5"/>
    <w:rsid w:val="00FC68B3"/>
    <w:rsid w:val="00FC69D3"/>
    <w:rsid w:val="00FC6D94"/>
    <w:rsid w:val="00FC6FD4"/>
    <w:rsid w:val="00FC70B1"/>
    <w:rsid w:val="00FC71AA"/>
    <w:rsid w:val="00FC71F1"/>
    <w:rsid w:val="00FC72D2"/>
    <w:rsid w:val="00FC73E0"/>
    <w:rsid w:val="00FC7759"/>
    <w:rsid w:val="00FC7D39"/>
    <w:rsid w:val="00FD0053"/>
    <w:rsid w:val="00FD0065"/>
    <w:rsid w:val="00FD0353"/>
    <w:rsid w:val="00FD0470"/>
    <w:rsid w:val="00FD0662"/>
    <w:rsid w:val="00FD0881"/>
    <w:rsid w:val="00FD0A08"/>
    <w:rsid w:val="00FD0A10"/>
    <w:rsid w:val="00FD0C6C"/>
    <w:rsid w:val="00FD0E7E"/>
    <w:rsid w:val="00FD1077"/>
    <w:rsid w:val="00FD10B8"/>
    <w:rsid w:val="00FD15FA"/>
    <w:rsid w:val="00FD172E"/>
    <w:rsid w:val="00FD1BB3"/>
    <w:rsid w:val="00FD1F6A"/>
    <w:rsid w:val="00FD21B3"/>
    <w:rsid w:val="00FD2679"/>
    <w:rsid w:val="00FD27AE"/>
    <w:rsid w:val="00FD27F1"/>
    <w:rsid w:val="00FD2C25"/>
    <w:rsid w:val="00FD2D32"/>
    <w:rsid w:val="00FD2E0F"/>
    <w:rsid w:val="00FD2F69"/>
    <w:rsid w:val="00FD308F"/>
    <w:rsid w:val="00FD327A"/>
    <w:rsid w:val="00FD33ED"/>
    <w:rsid w:val="00FD3479"/>
    <w:rsid w:val="00FD3487"/>
    <w:rsid w:val="00FD39AC"/>
    <w:rsid w:val="00FD423C"/>
    <w:rsid w:val="00FD4288"/>
    <w:rsid w:val="00FD433C"/>
    <w:rsid w:val="00FD47FA"/>
    <w:rsid w:val="00FD4905"/>
    <w:rsid w:val="00FD4A4A"/>
    <w:rsid w:val="00FD4C02"/>
    <w:rsid w:val="00FD4CAE"/>
    <w:rsid w:val="00FD4D7F"/>
    <w:rsid w:val="00FD4FCA"/>
    <w:rsid w:val="00FD5156"/>
    <w:rsid w:val="00FD51B5"/>
    <w:rsid w:val="00FD52AA"/>
    <w:rsid w:val="00FD55C9"/>
    <w:rsid w:val="00FD5669"/>
    <w:rsid w:val="00FD5766"/>
    <w:rsid w:val="00FD5CBD"/>
    <w:rsid w:val="00FD6760"/>
    <w:rsid w:val="00FD6A07"/>
    <w:rsid w:val="00FD6E96"/>
    <w:rsid w:val="00FD72CF"/>
    <w:rsid w:val="00FD7428"/>
    <w:rsid w:val="00FD75F5"/>
    <w:rsid w:val="00FD76A3"/>
    <w:rsid w:val="00FD7E8B"/>
    <w:rsid w:val="00FE0023"/>
    <w:rsid w:val="00FE0180"/>
    <w:rsid w:val="00FE0A2F"/>
    <w:rsid w:val="00FE0B4F"/>
    <w:rsid w:val="00FE0DC1"/>
    <w:rsid w:val="00FE0FF2"/>
    <w:rsid w:val="00FE10B8"/>
    <w:rsid w:val="00FE11AF"/>
    <w:rsid w:val="00FE1244"/>
    <w:rsid w:val="00FE15F6"/>
    <w:rsid w:val="00FE1849"/>
    <w:rsid w:val="00FE1941"/>
    <w:rsid w:val="00FE1AEB"/>
    <w:rsid w:val="00FE1C24"/>
    <w:rsid w:val="00FE1DE3"/>
    <w:rsid w:val="00FE204A"/>
    <w:rsid w:val="00FE2092"/>
    <w:rsid w:val="00FE20F5"/>
    <w:rsid w:val="00FE2103"/>
    <w:rsid w:val="00FE21BA"/>
    <w:rsid w:val="00FE2606"/>
    <w:rsid w:val="00FE2815"/>
    <w:rsid w:val="00FE2C79"/>
    <w:rsid w:val="00FE2F61"/>
    <w:rsid w:val="00FE350E"/>
    <w:rsid w:val="00FE3607"/>
    <w:rsid w:val="00FE37ED"/>
    <w:rsid w:val="00FE3A59"/>
    <w:rsid w:val="00FE3B00"/>
    <w:rsid w:val="00FE40E0"/>
    <w:rsid w:val="00FE4850"/>
    <w:rsid w:val="00FE4A25"/>
    <w:rsid w:val="00FE4BCC"/>
    <w:rsid w:val="00FE5072"/>
    <w:rsid w:val="00FE52D7"/>
    <w:rsid w:val="00FE53A4"/>
    <w:rsid w:val="00FE5697"/>
    <w:rsid w:val="00FE5AB7"/>
    <w:rsid w:val="00FE63FC"/>
    <w:rsid w:val="00FE641A"/>
    <w:rsid w:val="00FE65AC"/>
    <w:rsid w:val="00FE66F8"/>
    <w:rsid w:val="00FE6EEF"/>
    <w:rsid w:val="00FE6FB5"/>
    <w:rsid w:val="00FE700D"/>
    <w:rsid w:val="00FE7727"/>
    <w:rsid w:val="00FE7F47"/>
    <w:rsid w:val="00FE7F53"/>
    <w:rsid w:val="00FF04FC"/>
    <w:rsid w:val="00FF0B66"/>
    <w:rsid w:val="00FF0E24"/>
    <w:rsid w:val="00FF0ED6"/>
    <w:rsid w:val="00FF0F09"/>
    <w:rsid w:val="00FF0F22"/>
    <w:rsid w:val="00FF1188"/>
    <w:rsid w:val="00FF11DD"/>
    <w:rsid w:val="00FF1346"/>
    <w:rsid w:val="00FF155F"/>
    <w:rsid w:val="00FF19B4"/>
    <w:rsid w:val="00FF1D30"/>
    <w:rsid w:val="00FF1D5B"/>
    <w:rsid w:val="00FF1FBC"/>
    <w:rsid w:val="00FF2063"/>
    <w:rsid w:val="00FF2097"/>
    <w:rsid w:val="00FF2876"/>
    <w:rsid w:val="00FF2C8B"/>
    <w:rsid w:val="00FF2FA2"/>
    <w:rsid w:val="00FF3297"/>
    <w:rsid w:val="00FF32A4"/>
    <w:rsid w:val="00FF3600"/>
    <w:rsid w:val="00FF36C3"/>
    <w:rsid w:val="00FF37C0"/>
    <w:rsid w:val="00FF3DAB"/>
    <w:rsid w:val="00FF3F43"/>
    <w:rsid w:val="00FF4007"/>
    <w:rsid w:val="00FF40C4"/>
    <w:rsid w:val="00FF41D0"/>
    <w:rsid w:val="00FF4B34"/>
    <w:rsid w:val="00FF4DB0"/>
    <w:rsid w:val="00FF4FA7"/>
    <w:rsid w:val="00FF55ED"/>
    <w:rsid w:val="00FF5708"/>
    <w:rsid w:val="00FF58D1"/>
    <w:rsid w:val="00FF5B0D"/>
    <w:rsid w:val="00FF5C2C"/>
    <w:rsid w:val="00FF6317"/>
    <w:rsid w:val="00FF635C"/>
    <w:rsid w:val="00FF63A1"/>
    <w:rsid w:val="00FF63A9"/>
    <w:rsid w:val="00FF64B8"/>
    <w:rsid w:val="00FF655E"/>
    <w:rsid w:val="00FF673B"/>
    <w:rsid w:val="00FF680A"/>
    <w:rsid w:val="00FF68F8"/>
    <w:rsid w:val="00FF6B20"/>
    <w:rsid w:val="00FF6F6E"/>
    <w:rsid w:val="00FF75BB"/>
    <w:rsid w:val="00FF7823"/>
    <w:rsid w:val="00FF7A08"/>
    <w:rsid w:val="00FF7AAF"/>
    <w:rsid w:val="00FF7E65"/>
    <w:rsid w:val="0101171C"/>
    <w:rsid w:val="0107F95B"/>
    <w:rsid w:val="0114135B"/>
    <w:rsid w:val="01150EE7"/>
    <w:rsid w:val="01255227"/>
    <w:rsid w:val="0126B970"/>
    <w:rsid w:val="01286E03"/>
    <w:rsid w:val="01299D85"/>
    <w:rsid w:val="0141A8D7"/>
    <w:rsid w:val="0143696A"/>
    <w:rsid w:val="0148DB66"/>
    <w:rsid w:val="014C4E2A"/>
    <w:rsid w:val="014E36D1"/>
    <w:rsid w:val="0154A4A1"/>
    <w:rsid w:val="015FA63A"/>
    <w:rsid w:val="016736E3"/>
    <w:rsid w:val="0172130D"/>
    <w:rsid w:val="0172962D"/>
    <w:rsid w:val="01745A17"/>
    <w:rsid w:val="01874449"/>
    <w:rsid w:val="018782F5"/>
    <w:rsid w:val="018A5E66"/>
    <w:rsid w:val="0191BC03"/>
    <w:rsid w:val="0193EF6F"/>
    <w:rsid w:val="0197BA6B"/>
    <w:rsid w:val="019FE547"/>
    <w:rsid w:val="01B73FCF"/>
    <w:rsid w:val="01D55E63"/>
    <w:rsid w:val="01DC3AD5"/>
    <w:rsid w:val="01DC3ADD"/>
    <w:rsid w:val="01F1ECBE"/>
    <w:rsid w:val="01F521ED"/>
    <w:rsid w:val="01FB6652"/>
    <w:rsid w:val="01FE54FC"/>
    <w:rsid w:val="01FF77C9"/>
    <w:rsid w:val="0202E96B"/>
    <w:rsid w:val="02119B67"/>
    <w:rsid w:val="021F7B34"/>
    <w:rsid w:val="02219F89"/>
    <w:rsid w:val="0237F2F5"/>
    <w:rsid w:val="023947C3"/>
    <w:rsid w:val="023F9C5F"/>
    <w:rsid w:val="02471D3D"/>
    <w:rsid w:val="024834B7"/>
    <w:rsid w:val="024BDA4B"/>
    <w:rsid w:val="0254D049"/>
    <w:rsid w:val="0255B762"/>
    <w:rsid w:val="025D207F"/>
    <w:rsid w:val="02622ED8"/>
    <w:rsid w:val="0262D111"/>
    <w:rsid w:val="02658968"/>
    <w:rsid w:val="02711C3C"/>
    <w:rsid w:val="02794827"/>
    <w:rsid w:val="0281FE74"/>
    <w:rsid w:val="028CCD15"/>
    <w:rsid w:val="02934A2A"/>
    <w:rsid w:val="0297C195"/>
    <w:rsid w:val="029C8337"/>
    <w:rsid w:val="029DA908"/>
    <w:rsid w:val="029FD50E"/>
    <w:rsid w:val="02A0DD08"/>
    <w:rsid w:val="02A2AEB8"/>
    <w:rsid w:val="02A68ADD"/>
    <w:rsid w:val="02ADDF0F"/>
    <w:rsid w:val="02AF4152"/>
    <w:rsid w:val="02B0C07A"/>
    <w:rsid w:val="02B9EB60"/>
    <w:rsid w:val="02C119D4"/>
    <w:rsid w:val="02C59EDF"/>
    <w:rsid w:val="02C742AE"/>
    <w:rsid w:val="02C91E9C"/>
    <w:rsid w:val="02D5F529"/>
    <w:rsid w:val="02E76CC2"/>
    <w:rsid w:val="02EE92C0"/>
    <w:rsid w:val="02F4FB3B"/>
    <w:rsid w:val="02F78EB8"/>
    <w:rsid w:val="02FE54D4"/>
    <w:rsid w:val="03017F8A"/>
    <w:rsid w:val="0306C30E"/>
    <w:rsid w:val="03091DB4"/>
    <w:rsid w:val="0309AEFE"/>
    <w:rsid w:val="031A3B97"/>
    <w:rsid w:val="032A45B2"/>
    <w:rsid w:val="033010D8"/>
    <w:rsid w:val="0332328D"/>
    <w:rsid w:val="0350E6FC"/>
    <w:rsid w:val="03719424"/>
    <w:rsid w:val="03724FFC"/>
    <w:rsid w:val="0382077F"/>
    <w:rsid w:val="0384FE7E"/>
    <w:rsid w:val="03953789"/>
    <w:rsid w:val="039F2ED0"/>
    <w:rsid w:val="03A0C631"/>
    <w:rsid w:val="03A1291F"/>
    <w:rsid w:val="03A487E6"/>
    <w:rsid w:val="03B0353E"/>
    <w:rsid w:val="03B62ABD"/>
    <w:rsid w:val="03BAE5EB"/>
    <w:rsid w:val="03C64D02"/>
    <w:rsid w:val="03C717D7"/>
    <w:rsid w:val="03D44A00"/>
    <w:rsid w:val="03EA20E9"/>
    <w:rsid w:val="03EB9C0D"/>
    <w:rsid w:val="03ED26EE"/>
    <w:rsid w:val="03F57A98"/>
    <w:rsid w:val="03FE11F3"/>
    <w:rsid w:val="040615C0"/>
    <w:rsid w:val="0407EC7C"/>
    <w:rsid w:val="042C0592"/>
    <w:rsid w:val="042E8D78"/>
    <w:rsid w:val="042F7ED7"/>
    <w:rsid w:val="043078EA"/>
    <w:rsid w:val="0438CB53"/>
    <w:rsid w:val="0440D79B"/>
    <w:rsid w:val="045A69BE"/>
    <w:rsid w:val="0461C2A1"/>
    <w:rsid w:val="047341D4"/>
    <w:rsid w:val="047376EF"/>
    <w:rsid w:val="0479B038"/>
    <w:rsid w:val="0480947F"/>
    <w:rsid w:val="0485224D"/>
    <w:rsid w:val="048F4487"/>
    <w:rsid w:val="0498E317"/>
    <w:rsid w:val="04AF31F4"/>
    <w:rsid w:val="04B42BF4"/>
    <w:rsid w:val="04B622EF"/>
    <w:rsid w:val="04B75C0F"/>
    <w:rsid w:val="04B98C96"/>
    <w:rsid w:val="04BE499A"/>
    <w:rsid w:val="04C75408"/>
    <w:rsid w:val="04D0E4DC"/>
    <w:rsid w:val="04DEE6CE"/>
    <w:rsid w:val="04EDC47B"/>
    <w:rsid w:val="05150E18"/>
    <w:rsid w:val="051A2696"/>
    <w:rsid w:val="051D4E86"/>
    <w:rsid w:val="05346DD6"/>
    <w:rsid w:val="0535D619"/>
    <w:rsid w:val="05391B4B"/>
    <w:rsid w:val="0541ED76"/>
    <w:rsid w:val="0553C64C"/>
    <w:rsid w:val="057E973D"/>
    <w:rsid w:val="05815901"/>
    <w:rsid w:val="0587FDF2"/>
    <w:rsid w:val="05911C35"/>
    <w:rsid w:val="0595B9E6"/>
    <w:rsid w:val="0597D0F4"/>
    <w:rsid w:val="0598BE5F"/>
    <w:rsid w:val="05A16E33"/>
    <w:rsid w:val="05A24B70"/>
    <w:rsid w:val="05B87B09"/>
    <w:rsid w:val="05BD35B2"/>
    <w:rsid w:val="05C20B64"/>
    <w:rsid w:val="05D2F006"/>
    <w:rsid w:val="05D33CB7"/>
    <w:rsid w:val="05E2A7CA"/>
    <w:rsid w:val="05F1A5D7"/>
    <w:rsid w:val="0600C2F0"/>
    <w:rsid w:val="060EE021"/>
    <w:rsid w:val="061CDDA7"/>
    <w:rsid w:val="06473D97"/>
    <w:rsid w:val="06496104"/>
    <w:rsid w:val="064EDF6D"/>
    <w:rsid w:val="066298EF"/>
    <w:rsid w:val="067127E6"/>
    <w:rsid w:val="06724372"/>
    <w:rsid w:val="06726987"/>
    <w:rsid w:val="069DE310"/>
    <w:rsid w:val="069DFE86"/>
    <w:rsid w:val="06A91B77"/>
    <w:rsid w:val="06ACF93E"/>
    <w:rsid w:val="06C198D2"/>
    <w:rsid w:val="06C199A0"/>
    <w:rsid w:val="06C300C9"/>
    <w:rsid w:val="06CA8C16"/>
    <w:rsid w:val="06CEE422"/>
    <w:rsid w:val="06CF16F8"/>
    <w:rsid w:val="06D0A69A"/>
    <w:rsid w:val="06D3592E"/>
    <w:rsid w:val="06D3C3D9"/>
    <w:rsid w:val="06D668E5"/>
    <w:rsid w:val="06DA9AEC"/>
    <w:rsid w:val="06DB9030"/>
    <w:rsid w:val="06E471D7"/>
    <w:rsid w:val="06FAD8EB"/>
    <w:rsid w:val="07022B0F"/>
    <w:rsid w:val="071D3553"/>
    <w:rsid w:val="07215468"/>
    <w:rsid w:val="0724657D"/>
    <w:rsid w:val="0726524A"/>
    <w:rsid w:val="072B1A62"/>
    <w:rsid w:val="0739E717"/>
    <w:rsid w:val="073B8E2D"/>
    <w:rsid w:val="073E7C92"/>
    <w:rsid w:val="07404935"/>
    <w:rsid w:val="07424ABF"/>
    <w:rsid w:val="074C0E65"/>
    <w:rsid w:val="0763FEFF"/>
    <w:rsid w:val="07675C81"/>
    <w:rsid w:val="0767F870"/>
    <w:rsid w:val="076D30BC"/>
    <w:rsid w:val="077808CA"/>
    <w:rsid w:val="078248CA"/>
    <w:rsid w:val="0788EA2C"/>
    <w:rsid w:val="079A187B"/>
    <w:rsid w:val="07A3C44B"/>
    <w:rsid w:val="07C12F0D"/>
    <w:rsid w:val="07C30E52"/>
    <w:rsid w:val="07DA4A2F"/>
    <w:rsid w:val="07DD6361"/>
    <w:rsid w:val="07E1858C"/>
    <w:rsid w:val="07E2E486"/>
    <w:rsid w:val="07E3EE29"/>
    <w:rsid w:val="07E60FCA"/>
    <w:rsid w:val="07F069A8"/>
    <w:rsid w:val="07F0BEA4"/>
    <w:rsid w:val="07F86B09"/>
    <w:rsid w:val="0800E467"/>
    <w:rsid w:val="080ADAFC"/>
    <w:rsid w:val="080F88EF"/>
    <w:rsid w:val="083017CA"/>
    <w:rsid w:val="0830D032"/>
    <w:rsid w:val="0832015C"/>
    <w:rsid w:val="084353D0"/>
    <w:rsid w:val="0843B32D"/>
    <w:rsid w:val="084B3EB8"/>
    <w:rsid w:val="0861C31F"/>
    <w:rsid w:val="086A70BF"/>
    <w:rsid w:val="086EFEB5"/>
    <w:rsid w:val="086F30F8"/>
    <w:rsid w:val="088306BF"/>
    <w:rsid w:val="088832E4"/>
    <w:rsid w:val="089F5E9B"/>
    <w:rsid w:val="08A7291F"/>
    <w:rsid w:val="08A7ADAD"/>
    <w:rsid w:val="08ADDD68"/>
    <w:rsid w:val="08ADF6D1"/>
    <w:rsid w:val="08C484D0"/>
    <w:rsid w:val="08CACC1C"/>
    <w:rsid w:val="08D3FF16"/>
    <w:rsid w:val="08D76F4B"/>
    <w:rsid w:val="08DFC344"/>
    <w:rsid w:val="08E2A461"/>
    <w:rsid w:val="08E88E06"/>
    <w:rsid w:val="08F3EC97"/>
    <w:rsid w:val="08FDD153"/>
    <w:rsid w:val="08FFBD27"/>
    <w:rsid w:val="090A87A2"/>
    <w:rsid w:val="090C443B"/>
    <w:rsid w:val="09178D66"/>
    <w:rsid w:val="091BF88B"/>
    <w:rsid w:val="09237FAC"/>
    <w:rsid w:val="09276DCA"/>
    <w:rsid w:val="0934F028"/>
    <w:rsid w:val="0935720F"/>
    <w:rsid w:val="0939BA14"/>
    <w:rsid w:val="093A2922"/>
    <w:rsid w:val="093AADDE"/>
    <w:rsid w:val="0944C06E"/>
    <w:rsid w:val="0948B460"/>
    <w:rsid w:val="094F7C90"/>
    <w:rsid w:val="0952C3BE"/>
    <w:rsid w:val="095A61C3"/>
    <w:rsid w:val="095C556E"/>
    <w:rsid w:val="095CD160"/>
    <w:rsid w:val="09680BFB"/>
    <w:rsid w:val="096AE56D"/>
    <w:rsid w:val="096D78E2"/>
    <w:rsid w:val="09753B91"/>
    <w:rsid w:val="097B3D41"/>
    <w:rsid w:val="0986012F"/>
    <w:rsid w:val="0987011E"/>
    <w:rsid w:val="0987F25A"/>
    <w:rsid w:val="098BE8EE"/>
    <w:rsid w:val="09A0434E"/>
    <w:rsid w:val="09A57FD0"/>
    <w:rsid w:val="09BD8360"/>
    <w:rsid w:val="09BFE800"/>
    <w:rsid w:val="09C1BB43"/>
    <w:rsid w:val="09C4CDCD"/>
    <w:rsid w:val="09CB5AA0"/>
    <w:rsid w:val="09CC3233"/>
    <w:rsid w:val="09CF3272"/>
    <w:rsid w:val="09D1BA11"/>
    <w:rsid w:val="09D6888F"/>
    <w:rsid w:val="09D92FD8"/>
    <w:rsid w:val="09DB1AEC"/>
    <w:rsid w:val="09E1A7BE"/>
    <w:rsid w:val="09E361EC"/>
    <w:rsid w:val="09E85648"/>
    <w:rsid w:val="09F8AD3D"/>
    <w:rsid w:val="09FC28D4"/>
    <w:rsid w:val="09FC9912"/>
    <w:rsid w:val="0A06B7BA"/>
    <w:rsid w:val="0A11D51C"/>
    <w:rsid w:val="0A1614D2"/>
    <w:rsid w:val="0A18195F"/>
    <w:rsid w:val="0A1C78E6"/>
    <w:rsid w:val="0A1F6011"/>
    <w:rsid w:val="0A21A02C"/>
    <w:rsid w:val="0A360D58"/>
    <w:rsid w:val="0A3D9B70"/>
    <w:rsid w:val="0A444C33"/>
    <w:rsid w:val="0A474A2A"/>
    <w:rsid w:val="0A4762B7"/>
    <w:rsid w:val="0A6A945B"/>
    <w:rsid w:val="0A71B8A6"/>
    <w:rsid w:val="0A723CF8"/>
    <w:rsid w:val="0A779019"/>
    <w:rsid w:val="0A7999C7"/>
    <w:rsid w:val="0A7E5A91"/>
    <w:rsid w:val="0A7FF8F4"/>
    <w:rsid w:val="0A84B6FE"/>
    <w:rsid w:val="0A914073"/>
    <w:rsid w:val="0AA23B5D"/>
    <w:rsid w:val="0AA8761F"/>
    <w:rsid w:val="0AA9C2BE"/>
    <w:rsid w:val="0ABBAEF9"/>
    <w:rsid w:val="0ACF2370"/>
    <w:rsid w:val="0ACF72CB"/>
    <w:rsid w:val="0ADBEDD4"/>
    <w:rsid w:val="0ADC3E95"/>
    <w:rsid w:val="0ADE870E"/>
    <w:rsid w:val="0AFAC5B7"/>
    <w:rsid w:val="0B0691E7"/>
    <w:rsid w:val="0B151C43"/>
    <w:rsid w:val="0B1A6B89"/>
    <w:rsid w:val="0B1D8B94"/>
    <w:rsid w:val="0B21208F"/>
    <w:rsid w:val="0B2A2447"/>
    <w:rsid w:val="0B30586C"/>
    <w:rsid w:val="0B3A44E2"/>
    <w:rsid w:val="0B3B8AA5"/>
    <w:rsid w:val="0B3BB7FF"/>
    <w:rsid w:val="0B3E42AA"/>
    <w:rsid w:val="0B41BF2D"/>
    <w:rsid w:val="0B424C50"/>
    <w:rsid w:val="0B42EDF2"/>
    <w:rsid w:val="0B483228"/>
    <w:rsid w:val="0B488413"/>
    <w:rsid w:val="0B518683"/>
    <w:rsid w:val="0B581F5C"/>
    <w:rsid w:val="0B60D3B7"/>
    <w:rsid w:val="0B65A81B"/>
    <w:rsid w:val="0B6A7F89"/>
    <w:rsid w:val="0B6BC1DD"/>
    <w:rsid w:val="0B773208"/>
    <w:rsid w:val="0B7C87AD"/>
    <w:rsid w:val="0B7DC65B"/>
    <w:rsid w:val="0B806A61"/>
    <w:rsid w:val="0B85D1F4"/>
    <w:rsid w:val="0B883E6B"/>
    <w:rsid w:val="0B9CCB6D"/>
    <w:rsid w:val="0BA6BEBB"/>
    <w:rsid w:val="0BA71104"/>
    <w:rsid w:val="0BA9F5FB"/>
    <w:rsid w:val="0BBF70C3"/>
    <w:rsid w:val="0BC53BDE"/>
    <w:rsid w:val="0BC77F69"/>
    <w:rsid w:val="0BDDA1DB"/>
    <w:rsid w:val="0BE31D79"/>
    <w:rsid w:val="0BE6EA55"/>
    <w:rsid w:val="0BE8CC71"/>
    <w:rsid w:val="0BEAF68A"/>
    <w:rsid w:val="0BF0A58B"/>
    <w:rsid w:val="0BF12754"/>
    <w:rsid w:val="0BFB0DF6"/>
    <w:rsid w:val="0C0E37F3"/>
    <w:rsid w:val="0C29647E"/>
    <w:rsid w:val="0C33B10B"/>
    <w:rsid w:val="0C3C9D70"/>
    <w:rsid w:val="0C43E7F6"/>
    <w:rsid w:val="0C44D9C2"/>
    <w:rsid w:val="0C46F562"/>
    <w:rsid w:val="0C48460B"/>
    <w:rsid w:val="0C4EBFC0"/>
    <w:rsid w:val="0C5055E5"/>
    <w:rsid w:val="0C518012"/>
    <w:rsid w:val="0C538C28"/>
    <w:rsid w:val="0C55A5B9"/>
    <w:rsid w:val="0C56B1FE"/>
    <w:rsid w:val="0C597B4E"/>
    <w:rsid w:val="0C5F488F"/>
    <w:rsid w:val="0C68BAE8"/>
    <w:rsid w:val="0C737607"/>
    <w:rsid w:val="0C771315"/>
    <w:rsid w:val="0C7C29D1"/>
    <w:rsid w:val="0C7CBE1F"/>
    <w:rsid w:val="0C8408EF"/>
    <w:rsid w:val="0C8DC15A"/>
    <w:rsid w:val="0C9EBD68"/>
    <w:rsid w:val="0CA0C84A"/>
    <w:rsid w:val="0CAD3767"/>
    <w:rsid w:val="0CB6D97A"/>
    <w:rsid w:val="0CBB5E30"/>
    <w:rsid w:val="0CBB8532"/>
    <w:rsid w:val="0CBEC4B9"/>
    <w:rsid w:val="0CC50568"/>
    <w:rsid w:val="0CD9350A"/>
    <w:rsid w:val="0CD9E614"/>
    <w:rsid w:val="0CDCED3B"/>
    <w:rsid w:val="0CDDB846"/>
    <w:rsid w:val="0CEA3494"/>
    <w:rsid w:val="0CFE2519"/>
    <w:rsid w:val="0D060CAA"/>
    <w:rsid w:val="0D0C4E47"/>
    <w:rsid w:val="0D211AF2"/>
    <w:rsid w:val="0D285F73"/>
    <w:rsid w:val="0D3032B5"/>
    <w:rsid w:val="0D359A0C"/>
    <w:rsid w:val="0D45D279"/>
    <w:rsid w:val="0D4C137D"/>
    <w:rsid w:val="0D4D5640"/>
    <w:rsid w:val="0D62E77D"/>
    <w:rsid w:val="0D6301EB"/>
    <w:rsid w:val="0D6C118B"/>
    <w:rsid w:val="0D6F2DCC"/>
    <w:rsid w:val="0D85229C"/>
    <w:rsid w:val="0D89220E"/>
    <w:rsid w:val="0D8CE0F1"/>
    <w:rsid w:val="0D8FD14D"/>
    <w:rsid w:val="0D9630DE"/>
    <w:rsid w:val="0DA0954F"/>
    <w:rsid w:val="0DA8A1F9"/>
    <w:rsid w:val="0DAABC0C"/>
    <w:rsid w:val="0DB141F0"/>
    <w:rsid w:val="0DC4FA68"/>
    <w:rsid w:val="0DD2D54E"/>
    <w:rsid w:val="0DE4024F"/>
    <w:rsid w:val="0DE70581"/>
    <w:rsid w:val="0DECF3C8"/>
    <w:rsid w:val="0DED5401"/>
    <w:rsid w:val="0E066476"/>
    <w:rsid w:val="0E096C7C"/>
    <w:rsid w:val="0E1BAA56"/>
    <w:rsid w:val="0E1EDB25"/>
    <w:rsid w:val="0E1FBE61"/>
    <w:rsid w:val="0E239771"/>
    <w:rsid w:val="0E2C0D84"/>
    <w:rsid w:val="0E3E6E0A"/>
    <w:rsid w:val="0E437E78"/>
    <w:rsid w:val="0E46A89A"/>
    <w:rsid w:val="0E49C862"/>
    <w:rsid w:val="0E73E214"/>
    <w:rsid w:val="0E754FD7"/>
    <w:rsid w:val="0E78A66B"/>
    <w:rsid w:val="0E82BAAA"/>
    <w:rsid w:val="0E86BD45"/>
    <w:rsid w:val="0E8EE6B1"/>
    <w:rsid w:val="0E8FD1DE"/>
    <w:rsid w:val="0EB3AA6D"/>
    <w:rsid w:val="0EC3640A"/>
    <w:rsid w:val="0EC7CE5D"/>
    <w:rsid w:val="0ED9EADB"/>
    <w:rsid w:val="0EE05418"/>
    <w:rsid w:val="0EF0F144"/>
    <w:rsid w:val="0EFB9973"/>
    <w:rsid w:val="0F08BF2F"/>
    <w:rsid w:val="0F0A3BC8"/>
    <w:rsid w:val="0F18BF85"/>
    <w:rsid w:val="0F3C8CF9"/>
    <w:rsid w:val="0F60EC7D"/>
    <w:rsid w:val="0F64FAFE"/>
    <w:rsid w:val="0F661783"/>
    <w:rsid w:val="0F6B0E41"/>
    <w:rsid w:val="0F6B3842"/>
    <w:rsid w:val="0F743252"/>
    <w:rsid w:val="0F7F8BA0"/>
    <w:rsid w:val="0F823331"/>
    <w:rsid w:val="0F843265"/>
    <w:rsid w:val="0F906FC5"/>
    <w:rsid w:val="0F9B8A4A"/>
    <w:rsid w:val="0F9CB681"/>
    <w:rsid w:val="0FB5620C"/>
    <w:rsid w:val="0FBA3989"/>
    <w:rsid w:val="0FBC9B6A"/>
    <w:rsid w:val="0FC0F291"/>
    <w:rsid w:val="0FC6CDCD"/>
    <w:rsid w:val="0FC7297A"/>
    <w:rsid w:val="0FD0BA9B"/>
    <w:rsid w:val="0FDB8841"/>
    <w:rsid w:val="0FDE8037"/>
    <w:rsid w:val="0FEE1BF6"/>
    <w:rsid w:val="0FF3FCF6"/>
    <w:rsid w:val="0FFE017A"/>
    <w:rsid w:val="1004372E"/>
    <w:rsid w:val="1004DC43"/>
    <w:rsid w:val="100D0B45"/>
    <w:rsid w:val="10152227"/>
    <w:rsid w:val="1024D9D6"/>
    <w:rsid w:val="1030DC9D"/>
    <w:rsid w:val="10316D05"/>
    <w:rsid w:val="103321DF"/>
    <w:rsid w:val="10397869"/>
    <w:rsid w:val="103B4E6C"/>
    <w:rsid w:val="1054D656"/>
    <w:rsid w:val="1055EF7D"/>
    <w:rsid w:val="105CE3FD"/>
    <w:rsid w:val="10747BB7"/>
    <w:rsid w:val="10766091"/>
    <w:rsid w:val="108324D4"/>
    <w:rsid w:val="108DB5BB"/>
    <w:rsid w:val="10915A21"/>
    <w:rsid w:val="1097123F"/>
    <w:rsid w:val="109C87FD"/>
    <w:rsid w:val="10A10347"/>
    <w:rsid w:val="10B26D3D"/>
    <w:rsid w:val="10BF373A"/>
    <w:rsid w:val="10C795FF"/>
    <w:rsid w:val="10CDDC66"/>
    <w:rsid w:val="10E50029"/>
    <w:rsid w:val="10F14442"/>
    <w:rsid w:val="10F7A986"/>
    <w:rsid w:val="10FDF404"/>
    <w:rsid w:val="1103E27F"/>
    <w:rsid w:val="11042DDB"/>
    <w:rsid w:val="1105CFEE"/>
    <w:rsid w:val="11065884"/>
    <w:rsid w:val="110CC7F6"/>
    <w:rsid w:val="11133E0A"/>
    <w:rsid w:val="111BAF4F"/>
    <w:rsid w:val="111CBB52"/>
    <w:rsid w:val="1120E3AD"/>
    <w:rsid w:val="11229F4B"/>
    <w:rsid w:val="1138A9F7"/>
    <w:rsid w:val="11397CE2"/>
    <w:rsid w:val="113C5E25"/>
    <w:rsid w:val="11464189"/>
    <w:rsid w:val="114FBBEF"/>
    <w:rsid w:val="1151F65C"/>
    <w:rsid w:val="115DE83E"/>
    <w:rsid w:val="115E27AC"/>
    <w:rsid w:val="11655B61"/>
    <w:rsid w:val="1180DE62"/>
    <w:rsid w:val="11810018"/>
    <w:rsid w:val="11905F90"/>
    <w:rsid w:val="11923CFF"/>
    <w:rsid w:val="119CCA10"/>
    <w:rsid w:val="119DFADB"/>
    <w:rsid w:val="11AA2AEB"/>
    <w:rsid w:val="11C520B7"/>
    <w:rsid w:val="11C70D13"/>
    <w:rsid w:val="11D115ED"/>
    <w:rsid w:val="11EE5F32"/>
    <w:rsid w:val="11F4364E"/>
    <w:rsid w:val="11F9C377"/>
    <w:rsid w:val="11FC3A5A"/>
    <w:rsid w:val="11FED41B"/>
    <w:rsid w:val="12045B07"/>
    <w:rsid w:val="120FFA1B"/>
    <w:rsid w:val="1216FDC1"/>
    <w:rsid w:val="1217053E"/>
    <w:rsid w:val="121B739D"/>
    <w:rsid w:val="12263725"/>
    <w:rsid w:val="12274289"/>
    <w:rsid w:val="122778A7"/>
    <w:rsid w:val="122A207B"/>
    <w:rsid w:val="123E1F13"/>
    <w:rsid w:val="124C7516"/>
    <w:rsid w:val="124DE6EF"/>
    <w:rsid w:val="124EBA0E"/>
    <w:rsid w:val="125642CB"/>
    <w:rsid w:val="1256EDB8"/>
    <w:rsid w:val="125B079B"/>
    <w:rsid w:val="125DBB57"/>
    <w:rsid w:val="12632F3B"/>
    <w:rsid w:val="1265D770"/>
    <w:rsid w:val="12669B7A"/>
    <w:rsid w:val="126BF99D"/>
    <w:rsid w:val="1270C5D4"/>
    <w:rsid w:val="127237A4"/>
    <w:rsid w:val="1275158F"/>
    <w:rsid w:val="128055D4"/>
    <w:rsid w:val="1282BD13"/>
    <w:rsid w:val="128851F3"/>
    <w:rsid w:val="128B08AC"/>
    <w:rsid w:val="12900EBB"/>
    <w:rsid w:val="1293A371"/>
    <w:rsid w:val="129489A6"/>
    <w:rsid w:val="129A2442"/>
    <w:rsid w:val="129DAA3F"/>
    <w:rsid w:val="12A14910"/>
    <w:rsid w:val="12AD38C7"/>
    <w:rsid w:val="12B4927E"/>
    <w:rsid w:val="12C681C5"/>
    <w:rsid w:val="12C9FE8A"/>
    <w:rsid w:val="12D1B014"/>
    <w:rsid w:val="12DAE4A9"/>
    <w:rsid w:val="12DC300D"/>
    <w:rsid w:val="12DF9213"/>
    <w:rsid w:val="12E15D5F"/>
    <w:rsid w:val="12E6AA7E"/>
    <w:rsid w:val="12F7547F"/>
    <w:rsid w:val="12FE25EC"/>
    <w:rsid w:val="1304B6D1"/>
    <w:rsid w:val="1311F9DE"/>
    <w:rsid w:val="13167F33"/>
    <w:rsid w:val="131B6249"/>
    <w:rsid w:val="131C1CED"/>
    <w:rsid w:val="132030CE"/>
    <w:rsid w:val="1323742A"/>
    <w:rsid w:val="1338483C"/>
    <w:rsid w:val="133E0BC2"/>
    <w:rsid w:val="1345CDF6"/>
    <w:rsid w:val="134A4618"/>
    <w:rsid w:val="134C2845"/>
    <w:rsid w:val="13507CBE"/>
    <w:rsid w:val="13644B44"/>
    <w:rsid w:val="136A4152"/>
    <w:rsid w:val="137612B1"/>
    <w:rsid w:val="137F669B"/>
    <w:rsid w:val="139AA13F"/>
    <w:rsid w:val="13A1BC91"/>
    <w:rsid w:val="13B824B8"/>
    <w:rsid w:val="13B9CA54"/>
    <w:rsid w:val="13C37587"/>
    <w:rsid w:val="13CC04EA"/>
    <w:rsid w:val="13D7361C"/>
    <w:rsid w:val="13D832BA"/>
    <w:rsid w:val="13E661F2"/>
    <w:rsid w:val="13E8E7B7"/>
    <w:rsid w:val="13EB16FD"/>
    <w:rsid w:val="13F14024"/>
    <w:rsid w:val="13F6D7FC"/>
    <w:rsid w:val="13FA46D1"/>
    <w:rsid w:val="13FBE2D5"/>
    <w:rsid w:val="14058DA2"/>
    <w:rsid w:val="1405E62B"/>
    <w:rsid w:val="14144E13"/>
    <w:rsid w:val="141DB40E"/>
    <w:rsid w:val="14203F51"/>
    <w:rsid w:val="1423E704"/>
    <w:rsid w:val="1427BD68"/>
    <w:rsid w:val="1439B8A4"/>
    <w:rsid w:val="143A0095"/>
    <w:rsid w:val="1450A521"/>
    <w:rsid w:val="14560596"/>
    <w:rsid w:val="145DED48"/>
    <w:rsid w:val="145E3F4F"/>
    <w:rsid w:val="1473381D"/>
    <w:rsid w:val="1473FEE7"/>
    <w:rsid w:val="1476BF61"/>
    <w:rsid w:val="14B4A272"/>
    <w:rsid w:val="14B4AC58"/>
    <w:rsid w:val="14B553D2"/>
    <w:rsid w:val="14BF2FA1"/>
    <w:rsid w:val="14C83D16"/>
    <w:rsid w:val="14D27C1A"/>
    <w:rsid w:val="14D793B8"/>
    <w:rsid w:val="14D96D4C"/>
    <w:rsid w:val="14D9C5A0"/>
    <w:rsid w:val="14DE7DDE"/>
    <w:rsid w:val="14DF2138"/>
    <w:rsid w:val="14EA51D8"/>
    <w:rsid w:val="150DC370"/>
    <w:rsid w:val="1514ED0D"/>
    <w:rsid w:val="1519D2CD"/>
    <w:rsid w:val="152005AC"/>
    <w:rsid w:val="15255EA8"/>
    <w:rsid w:val="152CB624"/>
    <w:rsid w:val="153444EE"/>
    <w:rsid w:val="153BD650"/>
    <w:rsid w:val="153CFD57"/>
    <w:rsid w:val="153E4171"/>
    <w:rsid w:val="15498DC5"/>
    <w:rsid w:val="157ADF21"/>
    <w:rsid w:val="15839C6F"/>
    <w:rsid w:val="158A985D"/>
    <w:rsid w:val="158C6392"/>
    <w:rsid w:val="158C6E6F"/>
    <w:rsid w:val="158FEBFA"/>
    <w:rsid w:val="159A5F02"/>
    <w:rsid w:val="159D6295"/>
    <w:rsid w:val="15B3594B"/>
    <w:rsid w:val="15D00ECC"/>
    <w:rsid w:val="15D45557"/>
    <w:rsid w:val="15D90733"/>
    <w:rsid w:val="15E940C7"/>
    <w:rsid w:val="15F78709"/>
    <w:rsid w:val="15F85F21"/>
    <w:rsid w:val="15FEFC98"/>
    <w:rsid w:val="160E92A8"/>
    <w:rsid w:val="16100E70"/>
    <w:rsid w:val="16198CB9"/>
    <w:rsid w:val="161F15BD"/>
    <w:rsid w:val="162385D7"/>
    <w:rsid w:val="162464C0"/>
    <w:rsid w:val="163392D5"/>
    <w:rsid w:val="1633D895"/>
    <w:rsid w:val="1642DE5C"/>
    <w:rsid w:val="164D32A6"/>
    <w:rsid w:val="1651AC4B"/>
    <w:rsid w:val="1654A3F5"/>
    <w:rsid w:val="1655D36E"/>
    <w:rsid w:val="1657C4AB"/>
    <w:rsid w:val="1659C19A"/>
    <w:rsid w:val="16615FE0"/>
    <w:rsid w:val="166946FD"/>
    <w:rsid w:val="167E8DFC"/>
    <w:rsid w:val="168C4F1F"/>
    <w:rsid w:val="16904C51"/>
    <w:rsid w:val="16934666"/>
    <w:rsid w:val="1696A028"/>
    <w:rsid w:val="16A13CDC"/>
    <w:rsid w:val="16A20316"/>
    <w:rsid w:val="16B817B3"/>
    <w:rsid w:val="16BFEF5A"/>
    <w:rsid w:val="16C1DE57"/>
    <w:rsid w:val="16D2D9B6"/>
    <w:rsid w:val="16EB4D49"/>
    <w:rsid w:val="16ED4D25"/>
    <w:rsid w:val="16F85BA5"/>
    <w:rsid w:val="16FA40B9"/>
    <w:rsid w:val="170929E1"/>
    <w:rsid w:val="170C30CB"/>
    <w:rsid w:val="170D8DF0"/>
    <w:rsid w:val="170F4EB0"/>
    <w:rsid w:val="1714B328"/>
    <w:rsid w:val="17256B18"/>
    <w:rsid w:val="173D3E69"/>
    <w:rsid w:val="17445633"/>
    <w:rsid w:val="1744E56F"/>
    <w:rsid w:val="17465912"/>
    <w:rsid w:val="174B18EC"/>
    <w:rsid w:val="174D6F93"/>
    <w:rsid w:val="174E9576"/>
    <w:rsid w:val="174F0311"/>
    <w:rsid w:val="1754927E"/>
    <w:rsid w:val="1768F71F"/>
    <w:rsid w:val="177E686C"/>
    <w:rsid w:val="177E6CFA"/>
    <w:rsid w:val="17813F3A"/>
    <w:rsid w:val="178AB2D1"/>
    <w:rsid w:val="1794B82C"/>
    <w:rsid w:val="179F3F2A"/>
    <w:rsid w:val="17A0B506"/>
    <w:rsid w:val="17B6F3C8"/>
    <w:rsid w:val="17B96871"/>
    <w:rsid w:val="17BC33B4"/>
    <w:rsid w:val="17C1E8C8"/>
    <w:rsid w:val="17C3523F"/>
    <w:rsid w:val="17C8A737"/>
    <w:rsid w:val="17CB2A9A"/>
    <w:rsid w:val="17CC8E4A"/>
    <w:rsid w:val="17D2D25F"/>
    <w:rsid w:val="17DCC1BA"/>
    <w:rsid w:val="17DCF8CE"/>
    <w:rsid w:val="17ECE39D"/>
    <w:rsid w:val="17F95955"/>
    <w:rsid w:val="17FE3700"/>
    <w:rsid w:val="1815334C"/>
    <w:rsid w:val="181AF689"/>
    <w:rsid w:val="181C3024"/>
    <w:rsid w:val="1823BD2E"/>
    <w:rsid w:val="1824FF1E"/>
    <w:rsid w:val="182CCC4D"/>
    <w:rsid w:val="1836A806"/>
    <w:rsid w:val="1838314D"/>
    <w:rsid w:val="1842BE1B"/>
    <w:rsid w:val="185BC32E"/>
    <w:rsid w:val="18674D0A"/>
    <w:rsid w:val="1868B227"/>
    <w:rsid w:val="1878755F"/>
    <w:rsid w:val="187F62B9"/>
    <w:rsid w:val="189059C7"/>
    <w:rsid w:val="189C705A"/>
    <w:rsid w:val="189F616A"/>
    <w:rsid w:val="189F737F"/>
    <w:rsid w:val="18A19628"/>
    <w:rsid w:val="18ACA747"/>
    <w:rsid w:val="18B6EE06"/>
    <w:rsid w:val="18C07C38"/>
    <w:rsid w:val="18C33D6F"/>
    <w:rsid w:val="18C5A7B1"/>
    <w:rsid w:val="18D3E522"/>
    <w:rsid w:val="18E10C72"/>
    <w:rsid w:val="18EAE8A2"/>
    <w:rsid w:val="18FB2A95"/>
    <w:rsid w:val="190852A9"/>
    <w:rsid w:val="190A268D"/>
    <w:rsid w:val="190B6E69"/>
    <w:rsid w:val="190B7830"/>
    <w:rsid w:val="190E38B7"/>
    <w:rsid w:val="190E4EB2"/>
    <w:rsid w:val="190E6DFB"/>
    <w:rsid w:val="19110ACD"/>
    <w:rsid w:val="191459EE"/>
    <w:rsid w:val="1918EF22"/>
    <w:rsid w:val="192CE679"/>
    <w:rsid w:val="192E97C3"/>
    <w:rsid w:val="1934591E"/>
    <w:rsid w:val="1935E418"/>
    <w:rsid w:val="19466C51"/>
    <w:rsid w:val="1947841A"/>
    <w:rsid w:val="1947AF32"/>
    <w:rsid w:val="194F6CC3"/>
    <w:rsid w:val="194FDE81"/>
    <w:rsid w:val="19529B25"/>
    <w:rsid w:val="195708D9"/>
    <w:rsid w:val="195E290C"/>
    <w:rsid w:val="196B8C46"/>
    <w:rsid w:val="196BD905"/>
    <w:rsid w:val="196E7A89"/>
    <w:rsid w:val="1979EF30"/>
    <w:rsid w:val="197DF95E"/>
    <w:rsid w:val="197F269C"/>
    <w:rsid w:val="19828BAF"/>
    <w:rsid w:val="1998D14D"/>
    <w:rsid w:val="199965BC"/>
    <w:rsid w:val="199ADB20"/>
    <w:rsid w:val="199DEF25"/>
    <w:rsid w:val="19A5B1D8"/>
    <w:rsid w:val="19AC50A9"/>
    <w:rsid w:val="19BC55D7"/>
    <w:rsid w:val="19C0C584"/>
    <w:rsid w:val="19C858FD"/>
    <w:rsid w:val="19CB6ABA"/>
    <w:rsid w:val="19CDE174"/>
    <w:rsid w:val="19CF38B7"/>
    <w:rsid w:val="19D81573"/>
    <w:rsid w:val="19DEA32B"/>
    <w:rsid w:val="1A004352"/>
    <w:rsid w:val="1A09C392"/>
    <w:rsid w:val="1A0AD7E8"/>
    <w:rsid w:val="1A0ED0A2"/>
    <w:rsid w:val="1A119813"/>
    <w:rsid w:val="1A1A1F61"/>
    <w:rsid w:val="1A28AA75"/>
    <w:rsid w:val="1A2DA9A7"/>
    <w:rsid w:val="1A60E3A3"/>
    <w:rsid w:val="1A61B65B"/>
    <w:rsid w:val="1A647E2A"/>
    <w:rsid w:val="1A65E591"/>
    <w:rsid w:val="1A6A26E0"/>
    <w:rsid w:val="1A782B69"/>
    <w:rsid w:val="1A7CE4AA"/>
    <w:rsid w:val="1A8B9A11"/>
    <w:rsid w:val="1A92F092"/>
    <w:rsid w:val="1A937AD9"/>
    <w:rsid w:val="1AA793F5"/>
    <w:rsid w:val="1AACFB66"/>
    <w:rsid w:val="1ABA3B57"/>
    <w:rsid w:val="1ABC4CF3"/>
    <w:rsid w:val="1AD09C42"/>
    <w:rsid w:val="1ADEDE2B"/>
    <w:rsid w:val="1B06CA5A"/>
    <w:rsid w:val="1B0DAC66"/>
    <w:rsid w:val="1B0F4071"/>
    <w:rsid w:val="1B19005B"/>
    <w:rsid w:val="1B1D5904"/>
    <w:rsid w:val="1B20550D"/>
    <w:rsid w:val="1B21044A"/>
    <w:rsid w:val="1B237B0D"/>
    <w:rsid w:val="1B326DEE"/>
    <w:rsid w:val="1B3734A5"/>
    <w:rsid w:val="1B3B7419"/>
    <w:rsid w:val="1B42C7B2"/>
    <w:rsid w:val="1B466BF5"/>
    <w:rsid w:val="1B532E61"/>
    <w:rsid w:val="1B6CB4A3"/>
    <w:rsid w:val="1B7E8666"/>
    <w:rsid w:val="1B83AB8D"/>
    <w:rsid w:val="1B879FA7"/>
    <w:rsid w:val="1B8A0470"/>
    <w:rsid w:val="1B8BAEC5"/>
    <w:rsid w:val="1B8F8EBC"/>
    <w:rsid w:val="1B9BF1BA"/>
    <w:rsid w:val="1BA56D95"/>
    <w:rsid w:val="1BAC2C2F"/>
    <w:rsid w:val="1BB3268E"/>
    <w:rsid w:val="1BB72400"/>
    <w:rsid w:val="1BB8442E"/>
    <w:rsid w:val="1BC41B95"/>
    <w:rsid w:val="1BC47AD6"/>
    <w:rsid w:val="1BD5451A"/>
    <w:rsid w:val="1BD564CB"/>
    <w:rsid w:val="1BE9638B"/>
    <w:rsid w:val="1BECFB54"/>
    <w:rsid w:val="1BF51CDA"/>
    <w:rsid w:val="1BF8D118"/>
    <w:rsid w:val="1BF999C1"/>
    <w:rsid w:val="1C036B6A"/>
    <w:rsid w:val="1C12A9CF"/>
    <w:rsid w:val="1C1C4CA6"/>
    <w:rsid w:val="1C21EB62"/>
    <w:rsid w:val="1C2DC38E"/>
    <w:rsid w:val="1C30A29E"/>
    <w:rsid w:val="1C38513B"/>
    <w:rsid w:val="1C4D918F"/>
    <w:rsid w:val="1C4FAF0D"/>
    <w:rsid w:val="1C5A5E9C"/>
    <w:rsid w:val="1C78A12A"/>
    <w:rsid w:val="1C7BF17A"/>
    <w:rsid w:val="1C83B793"/>
    <w:rsid w:val="1C90B362"/>
    <w:rsid w:val="1C928005"/>
    <w:rsid w:val="1CA2B6A1"/>
    <w:rsid w:val="1CA52BF3"/>
    <w:rsid w:val="1CAD9115"/>
    <w:rsid w:val="1CB1F526"/>
    <w:rsid w:val="1CB29302"/>
    <w:rsid w:val="1CBF1FE6"/>
    <w:rsid w:val="1CC36B52"/>
    <w:rsid w:val="1CC80845"/>
    <w:rsid w:val="1CD9EEE7"/>
    <w:rsid w:val="1CDCA28F"/>
    <w:rsid w:val="1CDF2837"/>
    <w:rsid w:val="1CE50C6A"/>
    <w:rsid w:val="1CED93BA"/>
    <w:rsid w:val="1D00895F"/>
    <w:rsid w:val="1D00F15A"/>
    <w:rsid w:val="1D07639C"/>
    <w:rsid w:val="1D0E989F"/>
    <w:rsid w:val="1D17ED9D"/>
    <w:rsid w:val="1D1A457B"/>
    <w:rsid w:val="1D1D2E21"/>
    <w:rsid w:val="1D292D40"/>
    <w:rsid w:val="1D298A6F"/>
    <w:rsid w:val="1D30FD05"/>
    <w:rsid w:val="1D3CE66F"/>
    <w:rsid w:val="1D480096"/>
    <w:rsid w:val="1D4A27D7"/>
    <w:rsid w:val="1D6F8432"/>
    <w:rsid w:val="1D709BB9"/>
    <w:rsid w:val="1D7A86E7"/>
    <w:rsid w:val="1D7C0724"/>
    <w:rsid w:val="1D94CAAB"/>
    <w:rsid w:val="1D95B473"/>
    <w:rsid w:val="1D97B85B"/>
    <w:rsid w:val="1D9C2BB3"/>
    <w:rsid w:val="1DAC641A"/>
    <w:rsid w:val="1DBEAB33"/>
    <w:rsid w:val="1DC840C3"/>
    <w:rsid w:val="1DEF306A"/>
    <w:rsid w:val="1DF584C7"/>
    <w:rsid w:val="1DFF84E9"/>
    <w:rsid w:val="1E0208E6"/>
    <w:rsid w:val="1E087DEB"/>
    <w:rsid w:val="1E20BBF6"/>
    <w:rsid w:val="1E28CAD6"/>
    <w:rsid w:val="1E296447"/>
    <w:rsid w:val="1E2FE292"/>
    <w:rsid w:val="1E351243"/>
    <w:rsid w:val="1E3A928C"/>
    <w:rsid w:val="1E4E3322"/>
    <w:rsid w:val="1E550270"/>
    <w:rsid w:val="1E8368AA"/>
    <w:rsid w:val="1E9531EE"/>
    <w:rsid w:val="1E96EE8E"/>
    <w:rsid w:val="1EA7AFA4"/>
    <w:rsid w:val="1EB57872"/>
    <w:rsid w:val="1EBC96A6"/>
    <w:rsid w:val="1EC3FEE3"/>
    <w:rsid w:val="1EC44439"/>
    <w:rsid w:val="1ECDF79B"/>
    <w:rsid w:val="1EDA6906"/>
    <w:rsid w:val="1EDFF448"/>
    <w:rsid w:val="1EEF931C"/>
    <w:rsid w:val="1EF4B90F"/>
    <w:rsid w:val="1EF57362"/>
    <w:rsid w:val="1EFC5ECE"/>
    <w:rsid w:val="1F0E0D74"/>
    <w:rsid w:val="1F1B97BC"/>
    <w:rsid w:val="1F3349FE"/>
    <w:rsid w:val="1F4EEBE8"/>
    <w:rsid w:val="1F54AF61"/>
    <w:rsid w:val="1F6F3CCC"/>
    <w:rsid w:val="1F74B350"/>
    <w:rsid w:val="1F74E16A"/>
    <w:rsid w:val="1F80EBAA"/>
    <w:rsid w:val="1F83EDE9"/>
    <w:rsid w:val="1F860692"/>
    <w:rsid w:val="1F909361"/>
    <w:rsid w:val="1FA1FFA5"/>
    <w:rsid w:val="1FA2C91E"/>
    <w:rsid w:val="1FA86FB9"/>
    <w:rsid w:val="1FA8946F"/>
    <w:rsid w:val="1FB5484D"/>
    <w:rsid w:val="1FBE523A"/>
    <w:rsid w:val="1FC23511"/>
    <w:rsid w:val="1FCB361B"/>
    <w:rsid w:val="1FD7C9DE"/>
    <w:rsid w:val="1FDC5A73"/>
    <w:rsid w:val="1FDD023E"/>
    <w:rsid w:val="1FE05F6A"/>
    <w:rsid w:val="1FF402B8"/>
    <w:rsid w:val="1FF8236B"/>
    <w:rsid w:val="2010F820"/>
    <w:rsid w:val="201BCE9D"/>
    <w:rsid w:val="201CDE19"/>
    <w:rsid w:val="201E990F"/>
    <w:rsid w:val="2022AC09"/>
    <w:rsid w:val="20236251"/>
    <w:rsid w:val="202E1364"/>
    <w:rsid w:val="20428855"/>
    <w:rsid w:val="20483511"/>
    <w:rsid w:val="20621823"/>
    <w:rsid w:val="2063413C"/>
    <w:rsid w:val="2074D423"/>
    <w:rsid w:val="20754A23"/>
    <w:rsid w:val="207D2FCB"/>
    <w:rsid w:val="208F8200"/>
    <w:rsid w:val="20B0CF5F"/>
    <w:rsid w:val="20B4962F"/>
    <w:rsid w:val="20BF6CFE"/>
    <w:rsid w:val="20C9CA1B"/>
    <w:rsid w:val="20DFCE7B"/>
    <w:rsid w:val="20F1E723"/>
    <w:rsid w:val="20FEB852"/>
    <w:rsid w:val="20FF156C"/>
    <w:rsid w:val="21083389"/>
    <w:rsid w:val="21099429"/>
    <w:rsid w:val="211A83B8"/>
    <w:rsid w:val="211B7FE8"/>
    <w:rsid w:val="21260197"/>
    <w:rsid w:val="21295422"/>
    <w:rsid w:val="212AAEF4"/>
    <w:rsid w:val="214399E8"/>
    <w:rsid w:val="217472CD"/>
    <w:rsid w:val="2174B8EA"/>
    <w:rsid w:val="2177D700"/>
    <w:rsid w:val="217A564A"/>
    <w:rsid w:val="218DDDD5"/>
    <w:rsid w:val="21977FF2"/>
    <w:rsid w:val="21984CC3"/>
    <w:rsid w:val="21ADDD85"/>
    <w:rsid w:val="21AF89E6"/>
    <w:rsid w:val="21B08555"/>
    <w:rsid w:val="21B37D4A"/>
    <w:rsid w:val="21C150BF"/>
    <w:rsid w:val="21CD224D"/>
    <w:rsid w:val="21D05919"/>
    <w:rsid w:val="21DB9260"/>
    <w:rsid w:val="21E5B479"/>
    <w:rsid w:val="21E7249D"/>
    <w:rsid w:val="21E812DC"/>
    <w:rsid w:val="21E8C894"/>
    <w:rsid w:val="21F12081"/>
    <w:rsid w:val="21F44E50"/>
    <w:rsid w:val="21F4D5DC"/>
    <w:rsid w:val="21F735C9"/>
    <w:rsid w:val="21F8DCCD"/>
    <w:rsid w:val="21FB3C16"/>
    <w:rsid w:val="21FD6B93"/>
    <w:rsid w:val="220DF88B"/>
    <w:rsid w:val="221C6744"/>
    <w:rsid w:val="2221C5DF"/>
    <w:rsid w:val="22282F5E"/>
    <w:rsid w:val="222D8B70"/>
    <w:rsid w:val="223303EB"/>
    <w:rsid w:val="2234DE04"/>
    <w:rsid w:val="22352431"/>
    <w:rsid w:val="22374B64"/>
    <w:rsid w:val="223C25DB"/>
    <w:rsid w:val="22402662"/>
    <w:rsid w:val="224E84B9"/>
    <w:rsid w:val="22547031"/>
    <w:rsid w:val="225C8BB6"/>
    <w:rsid w:val="225E4B05"/>
    <w:rsid w:val="226826EA"/>
    <w:rsid w:val="2277A466"/>
    <w:rsid w:val="2293040A"/>
    <w:rsid w:val="22984A1A"/>
    <w:rsid w:val="229970D4"/>
    <w:rsid w:val="229E912C"/>
    <w:rsid w:val="22A9F9AC"/>
    <w:rsid w:val="22AA1F5F"/>
    <w:rsid w:val="22C17B26"/>
    <w:rsid w:val="22C8BB58"/>
    <w:rsid w:val="22D22C42"/>
    <w:rsid w:val="22DC215C"/>
    <w:rsid w:val="22EAA83F"/>
    <w:rsid w:val="22FCA0E3"/>
    <w:rsid w:val="22FD9F4F"/>
    <w:rsid w:val="230FD42D"/>
    <w:rsid w:val="23230DF6"/>
    <w:rsid w:val="23275997"/>
    <w:rsid w:val="232CC372"/>
    <w:rsid w:val="233561C4"/>
    <w:rsid w:val="233E19B4"/>
    <w:rsid w:val="233E6BC8"/>
    <w:rsid w:val="234617F5"/>
    <w:rsid w:val="2357C577"/>
    <w:rsid w:val="23668519"/>
    <w:rsid w:val="2368C333"/>
    <w:rsid w:val="236DDF0D"/>
    <w:rsid w:val="2375B6AC"/>
    <w:rsid w:val="237FDF7F"/>
    <w:rsid w:val="23850BDF"/>
    <w:rsid w:val="238BA1F7"/>
    <w:rsid w:val="238CD6F5"/>
    <w:rsid w:val="238F23EC"/>
    <w:rsid w:val="239C3558"/>
    <w:rsid w:val="23A82719"/>
    <w:rsid w:val="23AC4026"/>
    <w:rsid w:val="23B1C201"/>
    <w:rsid w:val="23B7AA1E"/>
    <w:rsid w:val="23BAF113"/>
    <w:rsid w:val="23CE606A"/>
    <w:rsid w:val="23D987D5"/>
    <w:rsid w:val="23DC3F7E"/>
    <w:rsid w:val="23DEED44"/>
    <w:rsid w:val="23ED6962"/>
    <w:rsid w:val="23F12B4E"/>
    <w:rsid w:val="23F6D352"/>
    <w:rsid w:val="23FC48BE"/>
    <w:rsid w:val="23FFB605"/>
    <w:rsid w:val="24077E02"/>
    <w:rsid w:val="24221956"/>
    <w:rsid w:val="24276638"/>
    <w:rsid w:val="242A75B4"/>
    <w:rsid w:val="242B994B"/>
    <w:rsid w:val="244AEC1E"/>
    <w:rsid w:val="245049D4"/>
    <w:rsid w:val="2450AC1C"/>
    <w:rsid w:val="24551143"/>
    <w:rsid w:val="24602B9F"/>
    <w:rsid w:val="246B1130"/>
    <w:rsid w:val="246D0080"/>
    <w:rsid w:val="246DEBB6"/>
    <w:rsid w:val="247FF80F"/>
    <w:rsid w:val="2488797E"/>
    <w:rsid w:val="248D5B44"/>
    <w:rsid w:val="248FEF6A"/>
    <w:rsid w:val="24973604"/>
    <w:rsid w:val="2498FD44"/>
    <w:rsid w:val="24B1A83F"/>
    <w:rsid w:val="24B5DC62"/>
    <w:rsid w:val="24B8A8FF"/>
    <w:rsid w:val="24C762C8"/>
    <w:rsid w:val="24CFEAA8"/>
    <w:rsid w:val="24E21AD6"/>
    <w:rsid w:val="24E6F367"/>
    <w:rsid w:val="24ECD8F4"/>
    <w:rsid w:val="24F0EC86"/>
    <w:rsid w:val="24FCC0E3"/>
    <w:rsid w:val="250079DF"/>
    <w:rsid w:val="250EC055"/>
    <w:rsid w:val="251833A2"/>
    <w:rsid w:val="251B6849"/>
    <w:rsid w:val="2522C218"/>
    <w:rsid w:val="2522EB06"/>
    <w:rsid w:val="2522F1E3"/>
    <w:rsid w:val="252B21BF"/>
    <w:rsid w:val="252D0B4F"/>
    <w:rsid w:val="253A9CA6"/>
    <w:rsid w:val="253AEC04"/>
    <w:rsid w:val="2566DEF2"/>
    <w:rsid w:val="2574C5FA"/>
    <w:rsid w:val="2577A995"/>
    <w:rsid w:val="258921F4"/>
    <w:rsid w:val="258C97E9"/>
    <w:rsid w:val="258CF5D1"/>
    <w:rsid w:val="25923D64"/>
    <w:rsid w:val="259EA52F"/>
    <w:rsid w:val="25A37ED2"/>
    <w:rsid w:val="25ADD42C"/>
    <w:rsid w:val="25B2B56F"/>
    <w:rsid w:val="25B7576E"/>
    <w:rsid w:val="25B99804"/>
    <w:rsid w:val="25CE48A8"/>
    <w:rsid w:val="25D60544"/>
    <w:rsid w:val="25D6085F"/>
    <w:rsid w:val="25E97697"/>
    <w:rsid w:val="25EDC1DC"/>
    <w:rsid w:val="2601447E"/>
    <w:rsid w:val="26203423"/>
    <w:rsid w:val="2627AC16"/>
    <w:rsid w:val="26280AD9"/>
    <w:rsid w:val="26299A3E"/>
    <w:rsid w:val="26317FA4"/>
    <w:rsid w:val="2639CC60"/>
    <w:rsid w:val="264E6A00"/>
    <w:rsid w:val="264EAB77"/>
    <w:rsid w:val="2651A9AA"/>
    <w:rsid w:val="26523B56"/>
    <w:rsid w:val="26776793"/>
    <w:rsid w:val="2683198B"/>
    <w:rsid w:val="26865DCC"/>
    <w:rsid w:val="268AEDDC"/>
    <w:rsid w:val="26903459"/>
    <w:rsid w:val="269E025E"/>
    <w:rsid w:val="26A3C1AE"/>
    <w:rsid w:val="26A7F526"/>
    <w:rsid w:val="26AB7B22"/>
    <w:rsid w:val="26C4C689"/>
    <w:rsid w:val="26C5130B"/>
    <w:rsid w:val="26CA84E6"/>
    <w:rsid w:val="26D1873D"/>
    <w:rsid w:val="26D3C3FA"/>
    <w:rsid w:val="26E12E58"/>
    <w:rsid w:val="26E8E80D"/>
    <w:rsid w:val="26F2754C"/>
    <w:rsid w:val="26F6DFC4"/>
    <w:rsid w:val="26FA08FD"/>
    <w:rsid w:val="26FA360C"/>
    <w:rsid w:val="26FEC3B3"/>
    <w:rsid w:val="270A02E7"/>
    <w:rsid w:val="270C0D79"/>
    <w:rsid w:val="2711BAE9"/>
    <w:rsid w:val="271B38B4"/>
    <w:rsid w:val="272135F8"/>
    <w:rsid w:val="27229B6A"/>
    <w:rsid w:val="273EB075"/>
    <w:rsid w:val="2749A9FF"/>
    <w:rsid w:val="274D0012"/>
    <w:rsid w:val="274F397F"/>
    <w:rsid w:val="275D7FE1"/>
    <w:rsid w:val="2764CAB9"/>
    <w:rsid w:val="27749E73"/>
    <w:rsid w:val="27827965"/>
    <w:rsid w:val="27850DFC"/>
    <w:rsid w:val="278B9260"/>
    <w:rsid w:val="278CA1BC"/>
    <w:rsid w:val="278D7414"/>
    <w:rsid w:val="279D656F"/>
    <w:rsid w:val="27B119DC"/>
    <w:rsid w:val="27B207C3"/>
    <w:rsid w:val="27B35063"/>
    <w:rsid w:val="27B90E2A"/>
    <w:rsid w:val="27C321E2"/>
    <w:rsid w:val="27C9F021"/>
    <w:rsid w:val="27CA2008"/>
    <w:rsid w:val="27D2A57B"/>
    <w:rsid w:val="27DBDE53"/>
    <w:rsid w:val="27F1FBBE"/>
    <w:rsid w:val="27F34321"/>
    <w:rsid w:val="27F585D5"/>
    <w:rsid w:val="27F6A84A"/>
    <w:rsid w:val="27F82B8B"/>
    <w:rsid w:val="280B9139"/>
    <w:rsid w:val="281F8002"/>
    <w:rsid w:val="2823B797"/>
    <w:rsid w:val="2824DDCA"/>
    <w:rsid w:val="2825A074"/>
    <w:rsid w:val="2825B84B"/>
    <w:rsid w:val="28269D2E"/>
    <w:rsid w:val="2829DE76"/>
    <w:rsid w:val="28360A8F"/>
    <w:rsid w:val="2837D9EB"/>
    <w:rsid w:val="283D7AC6"/>
    <w:rsid w:val="28474B83"/>
    <w:rsid w:val="284772E6"/>
    <w:rsid w:val="284A678D"/>
    <w:rsid w:val="2850FCCC"/>
    <w:rsid w:val="2854D2C7"/>
    <w:rsid w:val="28610433"/>
    <w:rsid w:val="2865309B"/>
    <w:rsid w:val="2866D5D6"/>
    <w:rsid w:val="286F6EB9"/>
    <w:rsid w:val="28728BAE"/>
    <w:rsid w:val="287660E8"/>
    <w:rsid w:val="2877CD53"/>
    <w:rsid w:val="28782281"/>
    <w:rsid w:val="2879B668"/>
    <w:rsid w:val="288BCFCE"/>
    <w:rsid w:val="288D2075"/>
    <w:rsid w:val="288D9D29"/>
    <w:rsid w:val="289D5AAE"/>
    <w:rsid w:val="28A6ACA3"/>
    <w:rsid w:val="28AA9D02"/>
    <w:rsid w:val="28C1F67A"/>
    <w:rsid w:val="28CE02B3"/>
    <w:rsid w:val="28D09F1F"/>
    <w:rsid w:val="28F06B2F"/>
    <w:rsid w:val="290E538A"/>
    <w:rsid w:val="291AE42E"/>
    <w:rsid w:val="291DE647"/>
    <w:rsid w:val="291DEB57"/>
    <w:rsid w:val="2922FAB3"/>
    <w:rsid w:val="2929FB50"/>
    <w:rsid w:val="292E6A8A"/>
    <w:rsid w:val="293233F4"/>
    <w:rsid w:val="2936E778"/>
    <w:rsid w:val="294092E5"/>
    <w:rsid w:val="294CFF17"/>
    <w:rsid w:val="294DE271"/>
    <w:rsid w:val="2957823C"/>
    <w:rsid w:val="295C41B4"/>
    <w:rsid w:val="2963DBF8"/>
    <w:rsid w:val="2963F5A5"/>
    <w:rsid w:val="296F86EE"/>
    <w:rsid w:val="29770DCF"/>
    <w:rsid w:val="2987EE67"/>
    <w:rsid w:val="2989E832"/>
    <w:rsid w:val="29946EB9"/>
    <w:rsid w:val="29A473B1"/>
    <w:rsid w:val="29B19A7C"/>
    <w:rsid w:val="29BC532C"/>
    <w:rsid w:val="29E1BB1E"/>
    <w:rsid w:val="29EABE0F"/>
    <w:rsid w:val="29EC9DD2"/>
    <w:rsid w:val="29ED8B64"/>
    <w:rsid w:val="29F2D63F"/>
    <w:rsid w:val="29FA0CBC"/>
    <w:rsid w:val="29FA2426"/>
    <w:rsid w:val="29FCFF2D"/>
    <w:rsid w:val="2A041251"/>
    <w:rsid w:val="2A160CAD"/>
    <w:rsid w:val="2A23FB33"/>
    <w:rsid w:val="2A26AE7E"/>
    <w:rsid w:val="2A289488"/>
    <w:rsid w:val="2A2E3242"/>
    <w:rsid w:val="2A411975"/>
    <w:rsid w:val="2A46BBC5"/>
    <w:rsid w:val="2A56E2A1"/>
    <w:rsid w:val="2A5FB1DD"/>
    <w:rsid w:val="2A6019A9"/>
    <w:rsid w:val="2A60521E"/>
    <w:rsid w:val="2A61425D"/>
    <w:rsid w:val="2A6568F4"/>
    <w:rsid w:val="2A694CD2"/>
    <w:rsid w:val="2A6B97A8"/>
    <w:rsid w:val="2A70612D"/>
    <w:rsid w:val="2A7371AB"/>
    <w:rsid w:val="2A78C59F"/>
    <w:rsid w:val="2A7F243B"/>
    <w:rsid w:val="2A81826C"/>
    <w:rsid w:val="2A874345"/>
    <w:rsid w:val="2A8EFAA5"/>
    <w:rsid w:val="2A95CE28"/>
    <w:rsid w:val="2A98277B"/>
    <w:rsid w:val="2AA63C09"/>
    <w:rsid w:val="2AB21FF8"/>
    <w:rsid w:val="2AB74CC0"/>
    <w:rsid w:val="2ABA16AC"/>
    <w:rsid w:val="2AC38FF2"/>
    <w:rsid w:val="2AD85DE5"/>
    <w:rsid w:val="2B102268"/>
    <w:rsid w:val="2B10A15F"/>
    <w:rsid w:val="2B10E5F5"/>
    <w:rsid w:val="2B1E119A"/>
    <w:rsid w:val="2B20785F"/>
    <w:rsid w:val="2B2366E4"/>
    <w:rsid w:val="2B2D10FF"/>
    <w:rsid w:val="2B2D50F7"/>
    <w:rsid w:val="2B2EAFC7"/>
    <w:rsid w:val="2B30A8AA"/>
    <w:rsid w:val="2B30D7D4"/>
    <w:rsid w:val="2B316AAC"/>
    <w:rsid w:val="2B360CFD"/>
    <w:rsid w:val="2B45488C"/>
    <w:rsid w:val="2B474D46"/>
    <w:rsid w:val="2B49739A"/>
    <w:rsid w:val="2B4CC046"/>
    <w:rsid w:val="2B4DBF63"/>
    <w:rsid w:val="2B51D2AD"/>
    <w:rsid w:val="2B527430"/>
    <w:rsid w:val="2B5906C9"/>
    <w:rsid w:val="2B5B3445"/>
    <w:rsid w:val="2B5B7203"/>
    <w:rsid w:val="2B5B8CBC"/>
    <w:rsid w:val="2B6917E2"/>
    <w:rsid w:val="2B716829"/>
    <w:rsid w:val="2B777503"/>
    <w:rsid w:val="2B78E7D1"/>
    <w:rsid w:val="2B79B4D2"/>
    <w:rsid w:val="2B7ABA0D"/>
    <w:rsid w:val="2B7D5E91"/>
    <w:rsid w:val="2B97FDD5"/>
    <w:rsid w:val="2BA88701"/>
    <w:rsid w:val="2BABA01C"/>
    <w:rsid w:val="2BAC7D88"/>
    <w:rsid w:val="2BB297CF"/>
    <w:rsid w:val="2BB2F188"/>
    <w:rsid w:val="2BB876E9"/>
    <w:rsid w:val="2BBFDCC5"/>
    <w:rsid w:val="2BC20DD4"/>
    <w:rsid w:val="2BC8F05C"/>
    <w:rsid w:val="2BC96E30"/>
    <w:rsid w:val="2BD65258"/>
    <w:rsid w:val="2BE1198F"/>
    <w:rsid w:val="2BE401B2"/>
    <w:rsid w:val="2BEDD91E"/>
    <w:rsid w:val="2BEEA7C3"/>
    <w:rsid w:val="2C03EB8B"/>
    <w:rsid w:val="2C06037B"/>
    <w:rsid w:val="2C0D1A92"/>
    <w:rsid w:val="2C0D7C9F"/>
    <w:rsid w:val="2C146BAB"/>
    <w:rsid w:val="2C1BD052"/>
    <w:rsid w:val="2C24656A"/>
    <w:rsid w:val="2C2693AE"/>
    <w:rsid w:val="2C2D8689"/>
    <w:rsid w:val="2C416994"/>
    <w:rsid w:val="2C5869F7"/>
    <w:rsid w:val="2C5CE365"/>
    <w:rsid w:val="2C60B11A"/>
    <w:rsid w:val="2C668AAD"/>
    <w:rsid w:val="2C8A2B4B"/>
    <w:rsid w:val="2C90F5BB"/>
    <w:rsid w:val="2C9CDC55"/>
    <w:rsid w:val="2C9D6144"/>
    <w:rsid w:val="2CA2A42C"/>
    <w:rsid w:val="2CA82AD2"/>
    <w:rsid w:val="2CC0D656"/>
    <w:rsid w:val="2CD714FF"/>
    <w:rsid w:val="2CDAA1D1"/>
    <w:rsid w:val="2CDE939A"/>
    <w:rsid w:val="2CDEB1CA"/>
    <w:rsid w:val="2CEE7BF2"/>
    <w:rsid w:val="2CF62A4B"/>
    <w:rsid w:val="2CFB1892"/>
    <w:rsid w:val="2CFBC044"/>
    <w:rsid w:val="2CFD7816"/>
    <w:rsid w:val="2D1037E5"/>
    <w:rsid w:val="2D18B4A8"/>
    <w:rsid w:val="2D22DC10"/>
    <w:rsid w:val="2D2FB24A"/>
    <w:rsid w:val="2D3BBCD1"/>
    <w:rsid w:val="2D3F596A"/>
    <w:rsid w:val="2D421865"/>
    <w:rsid w:val="2D499E60"/>
    <w:rsid w:val="2D54A286"/>
    <w:rsid w:val="2D565F6F"/>
    <w:rsid w:val="2D69A935"/>
    <w:rsid w:val="2D72B3BC"/>
    <w:rsid w:val="2D736F8E"/>
    <w:rsid w:val="2D8CDC54"/>
    <w:rsid w:val="2D96DD56"/>
    <w:rsid w:val="2D9C055C"/>
    <w:rsid w:val="2D9F7B41"/>
    <w:rsid w:val="2DA4B0CA"/>
    <w:rsid w:val="2DA4F9A0"/>
    <w:rsid w:val="2DA97E72"/>
    <w:rsid w:val="2DB08E0C"/>
    <w:rsid w:val="2DB6C6C4"/>
    <w:rsid w:val="2DBBFF02"/>
    <w:rsid w:val="2DBEE49C"/>
    <w:rsid w:val="2DC36D66"/>
    <w:rsid w:val="2DC59A24"/>
    <w:rsid w:val="2DC5EDA4"/>
    <w:rsid w:val="2DC81F40"/>
    <w:rsid w:val="2DCD0B73"/>
    <w:rsid w:val="2DDBB0A8"/>
    <w:rsid w:val="2DE10484"/>
    <w:rsid w:val="2DE2F087"/>
    <w:rsid w:val="2DE353A5"/>
    <w:rsid w:val="2DE384E6"/>
    <w:rsid w:val="2DF60066"/>
    <w:rsid w:val="2DFE6864"/>
    <w:rsid w:val="2E03DD23"/>
    <w:rsid w:val="2E073303"/>
    <w:rsid w:val="2E12A5B3"/>
    <w:rsid w:val="2E201CDD"/>
    <w:rsid w:val="2E222C60"/>
    <w:rsid w:val="2E270CE6"/>
    <w:rsid w:val="2E2A63D3"/>
    <w:rsid w:val="2E35BBDC"/>
    <w:rsid w:val="2E3B1DB4"/>
    <w:rsid w:val="2E3CE460"/>
    <w:rsid w:val="2E4A6B1B"/>
    <w:rsid w:val="2E524127"/>
    <w:rsid w:val="2E532A5B"/>
    <w:rsid w:val="2E570217"/>
    <w:rsid w:val="2E585F21"/>
    <w:rsid w:val="2E66F5C9"/>
    <w:rsid w:val="2E7192E2"/>
    <w:rsid w:val="2E952F8D"/>
    <w:rsid w:val="2E98897E"/>
    <w:rsid w:val="2E99EEE5"/>
    <w:rsid w:val="2EB39837"/>
    <w:rsid w:val="2EBB8DC5"/>
    <w:rsid w:val="2EBD9A5A"/>
    <w:rsid w:val="2EBFAA88"/>
    <w:rsid w:val="2EC55D0B"/>
    <w:rsid w:val="2EC9A8D1"/>
    <w:rsid w:val="2ED71433"/>
    <w:rsid w:val="2EDDDD05"/>
    <w:rsid w:val="2EEFAF7F"/>
    <w:rsid w:val="2EF3ED88"/>
    <w:rsid w:val="2F0B37A1"/>
    <w:rsid w:val="2F1475E6"/>
    <w:rsid w:val="2F18340E"/>
    <w:rsid w:val="2F20791E"/>
    <w:rsid w:val="2F24981A"/>
    <w:rsid w:val="2F25D3B9"/>
    <w:rsid w:val="2F2E6293"/>
    <w:rsid w:val="2F30CB0E"/>
    <w:rsid w:val="2F318FE4"/>
    <w:rsid w:val="2F3D73F3"/>
    <w:rsid w:val="2F40D091"/>
    <w:rsid w:val="2F5001A2"/>
    <w:rsid w:val="2F5E512C"/>
    <w:rsid w:val="2F63AEFD"/>
    <w:rsid w:val="2F75915F"/>
    <w:rsid w:val="2F7E0CB5"/>
    <w:rsid w:val="2F854F44"/>
    <w:rsid w:val="2F8A9760"/>
    <w:rsid w:val="2F8AB489"/>
    <w:rsid w:val="2F8BBFB9"/>
    <w:rsid w:val="2F8D9777"/>
    <w:rsid w:val="2F9BFDDA"/>
    <w:rsid w:val="2F9E6761"/>
    <w:rsid w:val="2FA2D2AE"/>
    <w:rsid w:val="2FA304CC"/>
    <w:rsid w:val="2FA3D2EC"/>
    <w:rsid w:val="2FA8F51B"/>
    <w:rsid w:val="2FB15462"/>
    <w:rsid w:val="2FB346FB"/>
    <w:rsid w:val="2FD2F79B"/>
    <w:rsid w:val="2FD84D81"/>
    <w:rsid w:val="2FDC2887"/>
    <w:rsid w:val="2FE36AB7"/>
    <w:rsid w:val="2FE556E9"/>
    <w:rsid w:val="2FF01A0E"/>
    <w:rsid w:val="3008D87E"/>
    <w:rsid w:val="300A3093"/>
    <w:rsid w:val="300CEC90"/>
    <w:rsid w:val="3018F1B9"/>
    <w:rsid w:val="302BC88D"/>
    <w:rsid w:val="303518D8"/>
    <w:rsid w:val="30407B93"/>
    <w:rsid w:val="30462EA6"/>
    <w:rsid w:val="30493278"/>
    <w:rsid w:val="3062C8D5"/>
    <w:rsid w:val="30676A4D"/>
    <w:rsid w:val="306F4E7C"/>
    <w:rsid w:val="3089D8E3"/>
    <w:rsid w:val="308F2F8D"/>
    <w:rsid w:val="30944985"/>
    <w:rsid w:val="3097CA6E"/>
    <w:rsid w:val="30A7885B"/>
    <w:rsid w:val="30ACFDD2"/>
    <w:rsid w:val="30AE4B1B"/>
    <w:rsid w:val="30B28BAA"/>
    <w:rsid w:val="30B3DA74"/>
    <w:rsid w:val="30B7E897"/>
    <w:rsid w:val="30BA564C"/>
    <w:rsid w:val="30DAB594"/>
    <w:rsid w:val="30DEC9C5"/>
    <w:rsid w:val="30E248CE"/>
    <w:rsid w:val="30E3EED0"/>
    <w:rsid w:val="30E6F36A"/>
    <w:rsid w:val="30ED0308"/>
    <w:rsid w:val="30F00B58"/>
    <w:rsid w:val="30F8FAC8"/>
    <w:rsid w:val="31072951"/>
    <w:rsid w:val="3114E4D7"/>
    <w:rsid w:val="31182BE2"/>
    <w:rsid w:val="311A953A"/>
    <w:rsid w:val="311E5B16"/>
    <w:rsid w:val="312A3216"/>
    <w:rsid w:val="312BA35B"/>
    <w:rsid w:val="312DDAA9"/>
    <w:rsid w:val="313ED3C5"/>
    <w:rsid w:val="3149397C"/>
    <w:rsid w:val="3157AA0A"/>
    <w:rsid w:val="3162BB47"/>
    <w:rsid w:val="317FE0CC"/>
    <w:rsid w:val="3189B52A"/>
    <w:rsid w:val="318BFD0F"/>
    <w:rsid w:val="3194DE5E"/>
    <w:rsid w:val="319EBEA3"/>
    <w:rsid w:val="31AC8B9B"/>
    <w:rsid w:val="31BB12B2"/>
    <w:rsid w:val="31BE8AAE"/>
    <w:rsid w:val="31C96FFC"/>
    <w:rsid w:val="31D02A40"/>
    <w:rsid w:val="31D2391F"/>
    <w:rsid w:val="31D87F86"/>
    <w:rsid w:val="31DAE31E"/>
    <w:rsid w:val="31DB0633"/>
    <w:rsid w:val="31DCB534"/>
    <w:rsid w:val="31E9C64D"/>
    <w:rsid w:val="31E9D1E5"/>
    <w:rsid w:val="31EAD70F"/>
    <w:rsid w:val="31F1EA3A"/>
    <w:rsid w:val="32082941"/>
    <w:rsid w:val="3228562E"/>
    <w:rsid w:val="3230BB77"/>
    <w:rsid w:val="32356341"/>
    <w:rsid w:val="324A5FD3"/>
    <w:rsid w:val="324E946E"/>
    <w:rsid w:val="325C31BE"/>
    <w:rsid w:val="325FA0BB"/>
    <w:rsid w:val="3264955A"/>
    <w:rsid w:val="32659C5E"/>
    <w:rsid w:val="327287EF"/>
    <w:rsid w:val="3276E62E"/>
    <w:rsid w:val="327EB694"/>
    <w:rsid w:val="328841FA"/>
    <w:rsid w:val="3291A074"/>
    <w:rsid w:val="329DD707"/>
    <w:rsid w:val="32A699A3"/>
    <w:rsid w:val="32A7EECB"/>
    <w:rsid w:val="32B00413"/>
    <w:rsid w:val="32B28428"/>
    <w:rsid w:val="32B2C1DB"/>
    <w:rsid w:val="32B9A19B"/>
    <w:rsid w:val="32DE9197"/>
    <w:rsid w:val="32E9F88E"/>
    <w:rsid w:val="32F67D53"/>
    <w:rsid w:val="32FAFE66"/>
    <w:rsid w:val="3306160C"/>
    <w:rsid w:val="330D64BF"/>
    <w:rsid w:val="3320994F"/>
    <w:rsid w:val="3327C8E3"/>
    <w:rsid w:val="3335F100"/>
    <w:rsid w:val="3345489F"/>
    <w:rsid w:val="3354F44B"/>
    <w:rsid w:val="335AA8EE"/>
    <w:rsid w:val="336F79D2"/>
    <w:rsid w:val="336FC7C2"/>
    <w:rsid w:val="33725E16"/>
    <w:rsid w:val="3373EEC6"/>
    <w:rsid w:val="33760BC0"/>
    <w:rsid w:val="3376C9FE"/>
    <w:rsid w:val="3377E68C"/>
    <w:rsid w:val="3377F966"/>
    <w:rsid w:val="337A3A8D"/>
    <w:rsid w:val="337B8EDF"/>
    <w:rsid w:val="33877BBF"/>
    <w:rsid w:val="3387D2C1"/>
    <w:rsid w:val="3388413A"/>
    <w:rsid w:val="3388CFB8"/>
    <w:rsid w:val="338A2CBC"/>
    <w:rsid w:val="338A7CC1"/>
    <w:rsid w:val="338AE490"/>
    <w:rsid w:val="338CF85B"/>
    <w:rsid w:val="33910EFF"/>
    <w:rsid w:val="339EB49C"/>
    <w:rsid w:val="33A15AAB"/>
    <w:rsid w:val="33B34DC0"/>
    <w:rsid w:val="33B62D36"/>
    <w:rsid w:val="33BA2D8B"/>
    <w:rsid w:val="33BCC44D"/>
    <w:rsid w:val="33C6DE17"/>
    <w:rsid w:val="33DB453A"/>
    <w:rsid w:val="33DD6C49"/>
    <w:rsid w:val="33E8FD9E"/>
    <w:rsid w:val="34128A54"/>
    <w:rsid w:val="34241BAC"/>
    <w:rsid w:val="343B02CA"/>
    <w:rsid w:val="343D6FF3"/>
    <w:rsid w:val="3441FC16"/>
    <w:rsid w:val="3451081E"/>
    <w:rsid w:val="3456126D"/>
    <w:rsid w:val="34752137"/>
    <w:rsid w:val="3478884E"/>
    <w:rsid w:val="347A4694"/>
    <w:rsid w:val="347DC9C1"/>
    <w:rsid w:val="34855950"/>
    <w:rsid w:val="348AD0EC"/>
    <w:rsid w:val="348F19BB"/>
    <w:rsid w:val="3491172A"/>
    <w:rsid w:val="349385DB"/>
    <w:rsid w:val="34951D86"/>
    <w:rsid w:val="3496F262"/>
    <w:rsid w:val="34B7886E"/>
    <w:rsid w:val="34BA8C58"/>
    <w:rsid w:val="34C7BEC9"/>
    <w:rsid w:val="34D5072F"/>
    <w:rsid w:val="34D7E76B"/>
    <w:rsid w:val="34D99A1F"/>
    <w:rsid w:val="34ED6705"/>
    <w:rsid w:val="34EFBAE8"/>
    <w:rsid w:val="34FB646F"/>
    <w:rsid w:val="35001E21"/>
    <w:rsid w:val="3514DC48"/>
    <w:rsid w:val="351E92AB"/>
    <w:rsid w:val="352A582F"/>
    <w:rsid w:val="3532ED31"/>
    <w:rsid w:val="3539F2E6"/>
    <w:rsid w:val="353F9D78"/>
    <w:rsid w:val="35539C84"/>
    <w:rsid w:val="35582175"/>
    <w:rsid w:val="355C178A"/>
    <w:rsid w:val="355ECF61"/>
    <w:rsid w:val="35614F73"/>
    <w:rsid w:val="35615E3A"/>
    <w:rsid w:val="3561CA31"/>
    <w:rsid w:val="3565371C"/>
    <w:rsid w:val="357B223F"/>
    <w:rsid w:val="35881A10"/>
    <w:rsid w:val="358AD991"/>
    <w:rsid w:val="358CDB72"/>
    <w:rsid w:val="35A25313"/>
    <w:rsid w:val="35A63E03"/>
    <w:rsid w:val="35C06A48"/>
    <w:rsid w:val="35C7E1A3"/>
    <w:rsid w:val="35CB4A5D"/>
    <w:rsid w:val="35CC6A6E"/>
    <w:rsid w:val="35E2C9E6"/>
    <w:rsid w:val="35F50C4B"/>
    <w:rsid w:val="35FE627E"/>
    <w:rsid w:val="35FFD3D6"/>
    <w:rsid w:val="36076873"/>
    <w:rsid w:val="36117CD6"/>
    <w:rsid w:val="3620C4B9"/>
    <w:rsid w:val="3623B784"/>
    <w:rsid w:val="362936A3"/>
    <w:rsid w:val="362C0A35"/>
    <w:rsid w:val="362C2EBF"/>
    <w:rsid w:val="36390CBD"/>
    <w:rsid w:val="3648825F"/>
    <w:rsid w:val="364D3256"/>
    <w:rsid w:val="3650A740"/>
    <w:rsid w:val="36533460"/>
    <w:rsid w:val="366302B9"/>
    <w:rsid w:val="36669DC6"/>
    <w:rsid w:val="366809A0"/>
    <w:rsid w:val="366FA20F"/>
    <w:rsid w:val="367A4B0B"/>
    <w:rsid w:val="3691BBDA"/>
    <w:rsid w:val="36BE02A7"/>
    <w:rsid w:val="36CC2D72"/>
    <w:rsid w:val="36DF30A7"/>
    <w:rsid w:val="36EBA5A3"/>
    <w:rsid w:val="36EFCF64"/>
    <w:rsid w:val="36F47D6F"/>
    <w:rsid w:val="36F675C7"/>
    <w:rsid w:val="3712E0C4"/>
    <w:rsid w:val="37195124"/>
    <w:rsid w:val="371ED272"/>
    <w:rsid w:val="3725EDED"/>
    <w:rsid w:val="37271ADF"/>
    <w:rsid w:val="373755AB"/>
    <w:rsid w:val="3738338E"/>
    <w:rsid w:val="373E1808"/>
    <w:rsid w:val="374D3B6F"/>
    <w:rsid w:val="374FBE3B"/>
    <w:rsid w:val="37506009"/>
    <w:rsid w:val="3769E8F0"/>
    <w:rsid w:val="376A9038"/>
    <w:rsid w:val="376F3D28"/>
    <w:rsid w:val="37741C65"/>
    <w:rsid w:val="377A804C"/>
    <w:rsid w:val="37860463"/>
    <w:rsid w:val="37864B13"/>
    <w:rsid w:val="3788972E"/>
    <w:rsid w:val="378AC7E5"/>
    <w:rsid w:val="37B05286"/>
    <w:rsid w:val="37B39EA0"/>
    <w:rsid w:val="37C237D3"/>
    <w:rsid w:val="37CC9D2C"/>
    <w:rsid w:val="37CD8C02"/>
    <w:rsid w:val="37CF54FC"/>
    <w:rsid w:val="37D1ECB8"/>
    <w:rsid w:val="37D87A49"/>
    <w:rsid w:val="37E20F9B"/>
    <w:rsid w:val="37EC1181"/>
    <w:rsid w:val="37F1BBB3"/>
    <w:rsid w:val="37FAB4E8"/>
    <w:rsid w:val="380973B9"/>
    <w:rsid w:val="380C6CAA"/>
    <w:rsid w:val="381E4C87"/>
    <w:rsid w:val="382939AA"/>
    <w:rsid w:val="382A76A4"/>
    <w:rsid w:val="3830B7CC"/>
    <w:rsid w:val="384B84FB"/>
    <w:rsid w:val="384DA7E9"/>
    <w:rsid w:val="385458BD"/>
    <w:rsid w:val="3854AFAE"/>
    <w:rsid w:val="385FD873"/>
    <w:rsid w:val="38614327"/>
    <w:rsid w:val="3866DE49"/>
    <w:rsid w:val="386C4EE0"/>
    <w:rsid w:val="3882D185"/>
    <w:rsid w:val="388973B8"/>
    <w:rsid w:val="38C6C62D"/>
    <w:rsid w:val="38DB9A15"/>
    <w:rsid w:val="38E341BD"/>
    <w:rsid w:val="38E36C9B"/>
    <w:rsid w:val="38F56713"/>
    <w:rsid w:val="3908DCD0"/>
    <w:rsid w:val="390EC6B6"/>
    <w:rsid w:val="39103523"/>
    <w:rsid w:val="391CD692"/>
    <w:rsid w:val="39221E80"/>
    <w:rsid w:val="392B91B0"/>
    <w:rsid w:val="392F38CA"/>
    <w:rsid w:val="393A3215"/>
    <w:rsid w:val="393D28B9"/>
    <w:rsid w:val="39460F76"/>
    <w:rsid w:val="394FD17A"/>
    <w:rsid w:val="3958460F"/>
    <w:rsid w:val="395B7889"/>
    <w:rsid w:val="395EDEB8"/>
    <w:rsid w:val="3960075B"/>
    <w:rsid w:val="3970DE93"/>
    <w:rsid w:val="39801003"/>
    <w:rsid w:val="399AEC89"/>
    <w:rsid w:val="399C2AE2"/>
    <w:rsid w:val="399C992B"/>
    <w:rsid w:val="39AD1941"/>
    <w:rsid w:val="39B0E6B7"/>
    <w:rsid w:val="39C27CBD"/>
    <w:rsid w:val="39C8E9A8"/>
    <w:rsid w:val="39DE1F6F"/>
    <w:rsid w:val="39EA969E"/>
    <w:rsid w:val="39EDF84E"/>
    <w:rsid w:val="39EF6798"/>
    <w:rsid w:val="3A0CC708"/>
    <w:rsid w:val="3A118382"/>
    <w:rsid w:val="3A13150F"/>
    <w:rsid w:val="3A16C1A2"/>
    <w:rsid w:val="3A175F9A"/>
    <w:rsid w:val="3A18A745"/>
    <w:rsid w:val="3A2357D5"/>
    <w:rsid w:val="3A2641E3"/>
    <w:rsid w:val="3A2C633C"/>
    <w:rsid w:val="3A3B7B03"/>
    <w:rsid w:val="3A3E1070"/>
    <w:rsid w:val="3A3EB6F3"/>
    <w:rsid w:val="3A43E801"/>
    <w:rsid w:val="3A53E126"/>
    <w:rsid w:val="3A567A18"/>
    <w:rsid w:val="3A594145"/>
    <w:rsid w:val="3A59B9B6"/>
    <w:rsid w:val="3A5D11A1"/>
    <w:rsid w:val="3A6AAD3E"/>
    <w:rsid w:val="3A708CFD"/>
    <w:rsid w:val="3A7F0B21"/>
    <w:rsid w:val="3A814B60"/>
    <w:rsid w:val="3A8CB639"/>
    <w:rsid w:val="3A93CA95"/>
    <w:rsid w:val="3A974873"/>
    <w:rsid w:val="3AA10B53"/>
    <w:rsid w:val="3AB0639D"/>
    <w:rsid w:val="3AC0FD7A"/>
    <w:rsid w:val="3AC4AF71"/>
    <w:rsid w:val="3ACA4850"/>
    <w:rsid w:val="3AD72EC4"/>
    <w:rsid w:val="3AE03CA2"/>
    <w:rsid w:val="3AEFDC95"/>
    <w:rsid w:val="3AF114F6"/>
    <w:rsid w:val="3AF180E2"/>
    <w:rsid w:val="3AFA2772"/>
    <w:rsid w:val="3AFA8890"/>
    <w:rsid w:val="3AFCCCE3"/>
    <w:rsid w:val="3B008EF6"/>
    <w:rsid w:val="3B09BBCA"/>
    <w:rsid w:val="3B1A13DD"/>
    <w:rsid w:val="3B2CCEAB"/>
    <w:rsid w:val="3B374FDF"/>
    <w:rsid w:val="3B41840F"/>
    <w:rsid w:val="3B4D52E7"/>
    <w:rsid w:val="3B4F6F38"/>
    <w:rsid w:val="3B4FD77B"/>
    <w:rsid w:val="3B55DC0E"/>
    <w:rsid w:val="3B615943"/>
    <w:rsid w:val="3B6254B0"/>
    <w:rsid w:val="3B6591BC"/>
    <w:rsid w:val="3B67EC97"/>
    <w:rsid w:val="3B6A174A"/>
    <w:rsid w:val="3B6C46FE"/>
    <w:rsid w:val="3B6FBF33"/>
    <w:rsid w:val="3B74A559"/>
    <w:rsid w:val="3B795E47"/>
    <w:rsid w:val="3B81BB98"/>
    <w:rsid w:val="3B83D844"/>
    <w:rsid w:val="3B888646"/>
    <w:rsid w:val="3B895159"/>
    <w:rsid w:val="3B8E2B36"/>
    <w:rsid w:val="3B901792"/>
    <w:rsid w:val="3B93663A"/>
    <w:rsid w:val="3B93C5A6"/>
    <w:rsid w:val="3BAC3E2F"/>
    <w:rsid w:val="3BAE9084"/>
    <w:rsid w:val="3BB00A42"/>
    <w:rsid w:val="3BB821F1"/>
    <w:rsid w:val="3BBB067A"/>
    <w:rsid w:val="3BBECA05"/>
    <w:rsid w:val="3BC42309"/>
    <w:rsid w:val="3BCD734E"/>
    <w:rsid w:val="3BDB7106"/>
    <w:rsid w:val="3BDE948F"/>
    <w:rsid w:val="3BDF039B"/>
    <w:rsid w:val="3BE68834"/>
    <w:rsid w:val="3BEB8709"/>
    <w:rsid w:val="3BED1776"/>
    <w:rsid w:val="3C119DC3"/>
    <w:rsid w:val="3C127911"/>
    <w:rsid w:val="3C1AB2E8"/>
    <w:rsid w:val="3C1FFA99"/>
    <w:rsid w:val="3C2729AC"/>
    <w:rsid w:val="3C2D01A5"/>
    <w:rsid w:val="3C3450E8"/>
    <w:rsid w:val="3C34E89E"/>
    <w:rsid w:val="3C3E5BBA"/>
    <w:rsid w:val="3C4744EB"/>
    <w:rsid w:val="3C4D984D"/>
    <w:rsid w:val="3C53A0CE"/>
    <w:rsid w:val="3C56CF99"/>
    <w:rsid w:val="3C58AEE7"/>
    <w:rsid w:val="3C5C57F7"/>
    <w:rsid w:val="3C5DB0D2"/>
    <w:rsid w:val="3C5E0DA7"/>
    <w:rsid w:val="3C61609E"/>
    <w:rsid w:val="3C6DDB05"/>
    <w:rsid w:val="3C769EDC"/>
    <w:rsid w:val="3C837DBC"/>
    <w:rsid w:val="3C83C139"/>
    <w:rsid w:val="3C84E5E7"/>
    <w:rsid w:val="3C8E0CD5"/>
    <w:rsid w:val="3C9685AA"/>
    <w:rsid w:val="3C97735C"/>
    <w:rsid w:val="3C9B2AC3"/>
    <w:rsid w:val="3C9F84B6"/>
    <w:rsid w:val="3CA34218"/>
    <w:rsid w:val="3CA426CF"/>
    <w:rsid w:val="3CA4F790"/>
    <w:rsid w:val="3CAEF915"/>
    <w:rsid w:val="3CB7D980"/>
    <w:rsid w:val="3CB91AF6"/>
    <w:rsid w:val="3CBB4481"/>
    <w:rsid w:val="3CC0AAD5"/>
    <w:rsid w:val="3CC1A75A"/>
    <w:rsid w:val="3CCAE792"/>
    <w:rsid w:val="3CCDEF1A"/>
    <w:rsid w:val="3CD76C86"/>
    <w:rsid w:val="3CDF5FFC"/>
    <w:rsid w:val="3CE29ACD"/>
    <w:rsid w:val="3CED036D"/>
    <w:rsid w:val="3CFC4BC6"/>
    <w:rsid w:val="3D024480"/>
    <w:rsid w:val="3D025E4B"/>
    <w:rsid w:val="3D0745BD"/>
    <w:rsid w:val="3D079090"/>
    <w:rsid w:val="3D10B991"/>
    <w:rsid w:val="3D18B95C"/>
    <w:rsid w:val="3D1F2FFD"/>
    <w:rsid w:val="3D2A3034"/>
    <w:rsid w:val="3D2CF034"/>
    <w:rsid w:val="3D2F8C41"/>
    <w:rsid w:val="3D3A7490"/>
    <w:rsid w:val="3D475568"/>
    <w:rsid w:val="3D49E993"/>
    <w:rsid w:val="3D4AEC0B"/>
    <w:rsid w:val="3D4E277C"/>
    <w:rsid w:val="3D53E009"/>
    <w:rsid w:val="3D693B0B"/>
    <w:rsid w:val="3D6A4474"/>
    <w:rsid w:val="3D74CC1A"/>
    <w:rsid w:val="3D75DA69"/>
    <w:rsid w:val="3D75E587"/>
    <w:rsid w:val="3D79F4B2"/>
    <w:rsid w:val="3D7D5E23"/>
    <w:rsid w:val="3DB09C6E"/>
    <w:rsid w:val="3DB3AEEB"/>
    <w:rsid w:val="3DC6B12E"/>
    <w:rsid w:val="3DE80536"/>
    <w:rsid w:val="3DFBA08A"/>
    <w:rsid w:val="3E05C7F6"/>
    <w:rsid w:val="3E0A1A40"/>
    <w:rsid w:val="3E206E4F"/>
    <w:rsid w:val="3E25955E"/>
    <w:rsid w:val="3E283CAC"/>
    <w:rsid w:val="3E292B52"/>
    <w:rsid w:val="3E2BCA53"/>
    <w:rsid w:val="3E3EF02A"/>
    <w:rsid w:val="3E412E3C"/>
    <w:rsid w:val="3E55E2DF"/>
    <w:rsid w:val="3E67FAAE"/>
    <w:rsid w:val="3E7C4FD1"/>
    <w:rsid w:val="3E7CB5D4"/>
    <w:rsid w:val="3E8087B0"/>
    <w:rsid w:val="3E88FAC4"/>
    <w:rsid w:val="3E8FB2FC"/>
    <w:rsid w:val="3E91D67E"/>
    <w:rsid w:val="3E930D5D"/>
    <w:rsid w:val="3E93B4CE"/>
    <w:rsid w:val="3E9C6AB3"/>
    <w:rsid w:val="3E9C75B2"/>
    <w:rsid w:val="3EB5C254"/>
    <w:rsid w:val="3EB69ACE"/>
    <w:rsid w:val="3EC2E465"/>
    <w:rsid w:val="3EC2EECD"/>
    <w:rsid w:val="3ED35AD1"/>
    <w:rsid w:val="3EDD2948"/>
    <w:rsid w:val="3EDECC51"/>
    <w:rsid w:val="3EF0941D"/>
    <w:rsid w:val="3EFE0BA2"/>
    <w:rsid w:val="3F0B885E"/>
    <w:rsid w:val="3F0DC598"/>
    <w:rsid w:val="3F0E41AC"/>
    <w:rsid w:val="3F198884"/>
    <w:rsid w:val="3F1BD92A"/>
    <w:rsid w:val="3F2ECEAE"/>
    <w:rsid w:val="3F488456"/>
    <w:rsid w:val="3F4B3F37"/>
    <w:rsid w:val="3F56779D"/>
    <w:rsid w:val="3F5AB0FE"/>
    <w:rsid w:val="3F5AF054"/>
    <w:rsid w:val="3F700061"/>
    <w:rsid w:val="3F7E35F6"/>
    <w:rsid w:val="3F7F3702"/>
    <w:rsid w:val="3F81BFB2"/>
    <w:rsid w:val="3F836365"/>
    <w:rsid w:val="3F8BCB04"/>
    <w:rsid w:val="3F9466DA"/>
    <w:rsid w:val="3F9EA0B5"/>
    <w:rsid w:val="3FA3524A"/>
    <w:rsid w:val="3FA3F213"/>
    <w:rsid w:val="3FA80ED1"/>
    <w:rsid w:val="3FB89B71"/>
    <w:rsid w:val="3FBAB824"/>
    <w:rsid w:val="3FBDEBE8"/>
    <w:rsid w:val="3FC9DC95"/>
    <w:rsid w:val="3FCADC40"/>
    <w:rsid w:val="3FCF8C65"/>
    <w:rsid w:val="3FD89DE7"/>
    <w:rsid w:val="3FFA0956"/>
    <w:rsid w:val="400856D8"/>
    <w:rsid w:val="40088D68"/>
    <w:rsid w:val="400A87F5"/>
    <w:rsid w:val="40241BAD"/>
    <w:rsid w:val="402A33DA"/>
    <w:rsid w:val="40350669"/>
    <w:rsid w:val="403BDD96"/>
    <w:rsid w:val="403CE955"/>
    <w:rsid w:val="403F6DE9"/>
    <w:rsid w:val="404E8319"/>
    <w:rsid w:val="40566F3D"/>
    <w:rsid w:val="4062B435"/>
    <w:rsid w:val="40632D0E"/>
    <w:rsid w:val="4068630E"/>
    <w:rsid w:val="407C4D1A"/>
    <w:rsid w:val="408DE392"/>
    <w:rsid w:val="409341E1"/>
    <w:rsid w:val="40991F93"/>
    <w:rsid w:val="40A576C1"/>
    <w:rsid w:val="40B0BB96"/>
    <w:rsid w:val="40C1AECB"/>
    <w:rsid w:val="40D3921C"/>
    <w:rsid w:val="40DD40A1"/>
    <w:rsid w:val="40E4320E"/>
    <w:rsid w:val="40E6ECAD"/>
    <w:rsid w:val="40F390EB"/>
    <w:rsid w:val="40FE5666"/>
    <w:rsid w:val="410205F9"/>
    <w:rsid w:val="410AA3A8"/>
    <w:rsid w:val="410B7CC9"/>
    <w:rsid w:val="41174E3C"/>
    <w:rsid w:val="411DA428"/>
    <w:rsid w:val="4120A7B7"/>
    <w:rsid w:val="4123CC66"/>
    <w:rsid w:val="412B5053"/>
    <w:rsid w:val="412ECA0E"/>
    <w:rsid w:val="4136FF31"/>
    <w:rsid w:val="41454002"/>
    <w:rsid w:val="41519C28"/>
    <w:rsid w:val="4154A414"/>
    <w:rsid w:val="415A3FF4"/>
    <w:rsid w:val="415B45EB"/>
    <w:rsid w:val="415FA6A1"/>
    <w:rsid w:val="416296C4"/>
    <w:rsid w:val="4167F36B"/>
    <w:rsid w:val="416EA0C5"/>
    <w:rsid w:val="4199FEF2"/>
    <w:rsid w:val="419F016A"/>
    <w:rsid w:val="41A36151"/>
    <w:rsid w:val="41ABAB28"/>
    <w:rsid w:val="41B15074"/>
    <w:rsid w:val="41B1F7BB"/>
    <w:rsid w:val="41B32047"/>
    <w:rsid w:val="41BB72B5"/>
    <w:rsid w:val="41BF0AF7"/>
    <w:rsid w:val="41D674DE"/>
    <w:rsid w:val="41E7E37B"/>
    <w:rsid w:val="41EAAD2F"/>
    <w:rsid w:val="41EC5953"/>
    <w:rsid w:val="41F088FD"/>
    <w:rsid w:val="41F3FBE4"/>
    <w:rsid w:val="41F42F0B"/>
    <w:rsid w:val="41F4A321"/>
    <w:rsid w:val="41F5CE0C"/>
    <w:rsid w:val="41FD2CD0"/>
    <w:rsid w:val="4207BD32"/>
    <w:rsid w:val="420ED919"/>
    <w:rsid w:val="42247CAE"/>
    <w:rsid w:val="4235504D"/>
    <w:rsid w:val="423F70D5"/>
    <w:rsid w:val="42417EBC"/>
    <w:rsid w:val="425112E7"/>
    <w:rsid w:val="42522705"/>
    <w:rsid w:val="42554A44"/>
    <w:rsid w:val="425ED576"/>
    <w:rsid w:val="42686E8C"/>
    <w:rsid w:val="426DA131"/>
    <w:rsid w:val="4274ADB7"/>
    <w:rsid w:val="4275BCE8"/>
    <w:rsid w:val="427746B0"/>
    <w:rsid w:val="42789B12"/>
    <w:rsid w:val="428677FE"/>
    <w:rsid w:val="429B29E7"/>
    <w:rsid w:val="429D76A7"/>
    <w:rsid w:val="42A9EFB3"/>
    <w:rsid w:val="42ACB2F8"/>
    <w:rsid w:val="42AFAB13"/>
    <w:rsid w:val="42B201CF"/>
    <w:rsid w:val="42B5E2C7"/>
    <w:rsid w:val="42BEB776"/>
    <w:rsid w:val="42CAC054"/>
    <w:rsid w:val="42D019CA"/>
    <w:rsid w:val="42D7B70D"/>
    <w:rsid w:val="42E15066"/>
    <w:rsid w:val="42E8AA72"/>
    <w:rsid w:val="42EFCFEE"/>
    <w:rsid w:val="4308C6B1"/>
    <w:rsid w:val="43112F44"/>
    <w:rsid w:val="432451B7"/>
    <w:rsid w:val="432B9DFC"/>
    <w:rsid w:val="43385737"/>
    <w:rsid w:val="433D7EF5"/>
    <w:rsid w:val="434B82A5"/>
    <w:rsid w:val="434D00B9"/>
    <w:rsid w:val="434E8795"/>
    <w:rsid w:val="435A5D01"/>
    <w:rsid w:val="436BC834"/>
    <w:rsid w:val="43719508"/>
    <w:rsid w:val="4381222D"/>
    <w:rsid w:val="438DF670"/>
    <w:rsid w:val="438FA785"/>
    <w:rsid w:val="4393370C"/>
    <w:rsid w:val="439B0445"/>
    <w:rsid w:val="43A075E4"/>
    <w:rsid w:val="43A13610"/>
    <w:rsid w:val="43AA8F87"/>
    <w:rsid w:val="43AAB7E8"/>
    <w:rsid w:val="43BAF830"/>
    <w:rsid w:val="43CB6286"/>
    <w:rsid w:val="43D382AC"/>
    <w:rsid w:val="43D98C3B"/>
    <w:rsid w:val="43E9D726"/>
    <w:rsid w:val="43F4DCC5"/>
    <w:rsid w:val="43F720B4"/>
    <w:rsid w:val="4404CF74"/>
    <w:rsid w:val="440FF2D5"/>
    <w:rsid w:val="44175BC8"/>
    <w:rsid w:val="441AEC89"/>
    <w:rsid w:val="441BD2D0"/>
    <w:rsid w:val="441CC448"/>
    <w:rsid w:val="441DD09E"/>
    <w:rsid w:val="4426BD2D"/>
    <w:rsid w:val="44279650"/>
    <w:rsid w:val="4427E968"/>
    <w:rsid w:val="44339346"/>
    <w:rsid w:val="443D47A3"/>
    <w:rsid w:val="44522239"/>
    <w:rsid w:val="44591D38"/>
    <w:rsid w:val="4463E519"/>
    <w:rsid w:val="447239DB"/>
    <w:rsid w:val="4489A953"/>
    <w:rsid w:val="448CE8FF"/>
    <w:rsid w:val="4492E6AD"/>
    <w:rsid w:val="449485D7"/>
    <w:rsid w:val="44A37234"/>
    <w:rsid w:val="44B49F88"/>
    <w:rsid w:val="44CF24CC"/>
    <w:rsid w:val="44EB02D9"/>
    <w:rsid w:val="44ED2264"/>
    <w:rsid w:val="44F465C1"/>
    <w:rsid w:val="4501A6FD"/>
    <w:rsid w:val="450538FF"/>
    <w:rsid w:val="450E5936"/>
    <w:rsid w:val="4510729B"/>
    <w:rsid w:val="452036EB"/>
    <w:rsid w:val="452B2D4A"/>
    <w:rsid w:val="452D6ECE"/>
    <w:rsid w:val="45327485"/>
    <w:rsid w:val="453B1DBC"/>
    <w:rsid w:val="45453465"/>
    <w:rsid w:val="455554BC"/>
    <w:rsid w:val="456094CC"/>
    <w:rsid w:val="4566AB1F"/>
    <w:rsid w:val="45691ECB"/>
    <w:rsid w:val="45746C10"/>
    <w:rsid w:val="457580A7"/>
    <w:rsid w:val="458F45B9"/>
    <w:rsid w:val="4590293C"/>
    <w:rsid w:val="459C6E4D"/>
    <w:rsid w:val="45A426CF"/>
    <w:rsid w:val="45B12C1C"/>
    <w:rsid w:val="45B2857A"/>
    <w:rsid w:val="45C20FB2"/>
    <w:rsid w:val="45C8EF48"/>
    <w:rsid w:val="45CFDF5B"/>
    <w:rsid w:val="45D37580"/>
    <w:rsid w:val="45D8B080"/>
    <w:rsid w:val="45E22350"/>
    <w:rsid w:val="45E460EC"/>
    <w:rsid w:val="45E63982"/>
    <w:rsid w:val="460885B7"/>
    <w:rsid w:val="460FC6F9"/>
    <w:rsid w:val="461A75DB"/>
    <w:rsid w:val="4620D166"/>
    <w:rsid w:val="4629CD04"/>
    <w:rsid w:val="462BE4CD"/>
    <w:rsid w:val="463004BF"/>
    <w:rsid w:val="463A9692"/>
    <w:rsid w:val="4651C9EB"/>
    <w:rsid w:val="46583165"/>
    <w:rsid w:val="465C69F9"/>
    <w:rsid w:val="465CBECE"/>
    <w:rsid w:val="465D225B"/>
    <w:rsid w:val="465D83F7"/>
    <w:rsid w:val="465F5CDE"/>
    <w:rsid w:val="4669068F"/>
    <w:rsid w:val="4669AF2C"/>
    <w:rsid w:val="466D6268"/>
    <w:rsid w:val="466FBBBE"/>
    <w:rsid w:val="466FC4B3"/>
    <w:rsid w:val="46789789"/>
    <w:rsid w:val="468C2E4E"/>
    <w:rsid w:val="46955663"/>
    <w:rsid w:val="469D7F4B"/>
    <w:rsid w:val="469FA042"/>
    <w:rsid w:val="46A0C059"/>
    <w:rsid w:val="46A6BEE9"/>
    <w:rsid w:val="46C26BAC"/>
    <w:rsid w:val="46C6DAB0"/>
    <w:rsid w:val="46CB403E"/>
    <w:rsid w:val="46CDF4C3"/>
    <w:rsid w:val="46D10683"/>
    <w:rsid w:val="46DA30FA"/>
    <w:rsid w:val="46DF92FC"/>
    <w:rsid w:val="46E12D64"/>
    <w:rsid w:val="46E7F939"/>
    <w:rsid w:val="46EF2E59"/>
    <w:rsid w:val="46F794A2"/>
    <w:rsid w:val="46FA5B3D"/>
    <w:rsid w:val="46FE72AF"/>
    <w:rsid w:val="47002B87"/>
    <w:rsid w:val="470BC375"/>
    <w:rsid w:val="470CDAF7"/>
    <w:rsid w:val="4718AE39"/>
    <w:rsid w:val="471ABFAA"/>
    <w:rsid w:val="472D2532"/>
    <w:rsid w:val="4731CA1F"/>
    <w:rsid w:val="4733F96E"/>
    <w:rsid w:val="473498BB"/>
    <w:rsid w:val="473862E3"/>
    <w:rsid w:val="4745A471"/>
    <w:rsid w:val="475375AD"/>
    <w:rsid w:val="4753A92A"/>
    <w:rsid w:val="47563C3D"/>
    <w:rsid w:val="475757B6"/>
    <w:rsid w:val="4758562D"/>
    <w:rsid w:val="475E0D7C"/>
    <w:rsid w:val="4767AD9D"/>
    <w:rsid w:val="476E7995"/>
    <w:rsid w:val="477CE2DF"/>
    <w:rsid w:val="4786D9CC"/>
    <w:rsid w:val="4788F517"/>
    <w:rsid w:val="4789E9DB"/>
    <w:rsid w:val="478C0976"/>
    <w:rsid w:val="478F38BF"/>
    <w:rsid w:val="4793E495"/>
    <w:rsid w:val="47A2E110"/>
    <w:rsid w:val="47AA6CDF"/>
    <w:rsid w:val="47AF532C"/>
    <w:rsid w:val="47B0FD39"/>
    <w:rsid w:val="47C9B13D"/>
    <w:rsid w:val="47CAB4F2"/>
    <w:rsid w:val="47D5AEF5"/>
    <w:rsid w:val="47E8B567"/>
    <w:rsid w:val="47F8ADED"/>
    <w:rsid w:val="47F9BD7F"/>
    <w:rsid w:val="47FAB669"/>
    <w:rsid w:val="48046EAE"/>
    <w:rsid w:val="48109411"/>
    <w:rsid w:val="4819FC69"/>
    <w:rsid w:val="482145B1"/>
    <w:rsid w:val="482B4A85"/>
    <w:rsid w:val="483205A9"/>
    <w:rsid w:val="483951F4"/>
    <w:rsid w:val="4864ADEB"/>
    <w:rsid w:val="4865735A"/>
    <w:rsid w:val="486DEAC9"/>
    <w:rsid w:val="486EF480"/>
    <w:rsid w:val="486F5E76"/>
    <w:rsid w:val="488462F1"/>
    <w:rsid w:val="4895BF2E"/>
    <w:rsid w:val="4898270A"/>
    <w:rsid w:val="48A96516"/>
    <w:rsid w:val="48B3FB3A"/>
    <w:rsid w:val="48B4D042"/>
    <w:rsid w:val="48B54FDA"/>
    <w:rsid w:val="48CBE291"/>
    <w:rsid w:val="48CF8C76"/>
    <w:rsid w:val="48D1E1BE"/>
    <w:rsid w:val="48D68410"/>
    <w:rsid w:val="48D729DC"/>
    <w:rsid w:val="48D7E274"/>
    <w:rsid w:val="48DD9092"/>
    <w:rsid w:val="48E84209"/>
    <w:rsid w:val="48EB89D9"/>
    <w:rsid w:val="48F454C5"/>
    <w:rsid w:val="48FA86DF"/>
    <w:rsid w:val="48FE0CAB"/>
    <w:rsid w:val="4901D399"/>
    <w:rsid w:val="490513CD"/>
    <w:rsid w:val="490ACD22"/>
    <w:rsid w:val="490C1F2C"/>
    <w:rsid w:val="491414DF"/>
    <w:rsid w:val="491CE3F9"/>
    <w:rsid w:val="492105A0"/>
    <w:rsid w:val="492635F7"/>
    <w:rsid w:val="4938C519"/>
    <w:rsid w:val="493E5EF1"/>
    <w:rsid w:val="49409FA1"/>
    <w:rsid w:val="49428ABB"/>
    <w:rsid w:val="4947F0A3"/>
    <w:rsid w:val="4949C71B"/>
    <w:rsid w:val="494AD4F8"/>
    <w:rsid w:val="496BAEEE"/>
    <w:rsid w:val="498C09D2"/>
    <w:rsid w:val="499C7679"/>
    <w:rsid w:val="49A79972"/>
    <w:rsid w:val="49AD6792"/>
    <w:rsid w:val="49B0D996"/>
    <w:rsid w:val="49B385EB"/>
    <w:rsid w:val="49CB6AA2"/>
    <w:rsid w:val="49CC7CF4"/>
    <w:rsid w:val="49D1C763"/>
    <w:rsid w:val="49D99C2C"/>
    <w:rsid w:val="49E10341"/>
    <w:rsid w:val="49E8D5BE"/>
    <w:rsid w:val="49E9F697"/>
    <w:rsid w:val="49FD1C2E"/>
    <w:rsid w:val="4A00362C"/>
    <w:rsid w:val="4A03430A"/>
    <w:rsid w:val="4A054C3A"/>
    <w:rsid w:val="4A08A569"/>
    <w:rsid w:val="4A1794E0"/>
    <w:rsid w:val="4A183D6F"/>
    <w:rsid w:val="4A2E4E85"/>
    <w:rsid w:val="4A33D7D6"/>
    <w:rsid w:val="4A3561E4"/>
    <w:rsid w:val="4A357781"/>
    <w:rsid w:val="4A424687"/>
    <w:rsid w:val="4A42DDB6"/>
    <w:rsid w:val="4A459E90"/>
    <w:rsid w:val="4A590CF3"/>
    <w:rsid w:val="4A68178C"/>
    <w:rsid w:val="4A6DE9FE"/>
    <w:rsid w:val="4A7583EC"/>
    <w:rsid w:val="4A7AFDF6"/>
    <w:rsid w:val="4A7BFD95"/>
    <w:rsid w:val="4A84412E"/>
    <w:rsid w:val="4A865896"/>
    <w:rsid w:val="4A8724C6"/>
    <w:rsid w:val="4A885231"/>
    <w:rsid w:val="4A984B76"/>
    <w:rsid w:val="4A9A16BF"/>
    <w:rsid w:val="4A9E8D30"/>
    <w:rsid w:val="4AA0B916"/>
    <w:rsid w:val="4AA5A538"/>
    <w:rsid w:val="4AAC47CD"/>
    <w:rsid w:val="4AB85436"/>
    <w:rsid w:val="4ABC8EDC"/>
    <w:rsid w:val="4AC552B9"/>
    <w:rsid w:val="4AC82801"/>
    <w:rsid w:val="4ACBDB2A"/>
    <w:rsid w:val="4ACD6DEC"/>
    <w:rsid w:val="4AD8944C"/>
    <w:rsid w:val="4ADDA318"/>
    <w:rsid w:val="4AE455B8"/>
    <w:rsid w:val="4AE933C5"/>
    <w:rsid w:val="4AF68ABE"/>
    <w:rsid w:val="4B126BE6"/>
    <w:rsid w:val="4B133313"/>
    <w:rsid w:val="4B166456"/>
    <w:rsid w:val="4B19AF08"/>
    <w:rsid w:val="4B1A56C0"/>
    <w:rsid w:val="4B207079"/>
    <w:rsid w:val="4B253ED5"/>
    <w:rsid w:val="4B35247F"/>
    <w:rsid w:val="4B3D6B47"/>
    <w:rsid w:val="4B44CCF2"/>
    <w:rsid w:val="4B46CB8D"/>
    <w:rsid w:val="4B49DF03"/>
    <w:rsid w:val="4B5828A8"/>
    <w:rsid w:val="4B5ACBF1"/>
    <w:rsid w:val="4B5CDFCE"/>
    <w:rsid w:val="4B5EBBC2"/>
    <w:rsid w:val="4B699197"/>
    <w:rsid w:val="4B7114A6"/>
    <w:rsid w:val="4B7764BE"/>
    <w:rsid w:val="4B7D246E"/>
    <w:rsid w:val="4B81C155"/>
    <w:rsid w:val="4B82394C"/>
    <w:rsid w:val="4B913FDA"/>
    <w:rsid w:val="4B96F9BF"/>
    <w:rsid w:val="4BA11C9B"/>
    <w:rsid w:val="4BA27BC4"/>
    <w:rsid w:val="4BA6FE26"/>
    <w:rsid w:val="4BAA3E4E"/>
    <w:rsid w:val="4BB62340"/>
    <w:rsid w:val="4BB62AE8"/>
    <w:rsid w:val="4BBB2FD7"/>
    <w:rsid w:val="4BBCE20A"/>
    <w:rsid w:val="4BBCF997"/>
    <w:rsid w:val="4BD0ACE9"/>
    <w:rsid w:val="4BDB6CB6"/>
    <w:rsid w:val="4BEC55C1"/>
    <w:rsid w:val="4BEE1545"/>
    <w:rsid w:val="4BF72A94"/>
    <w:rsid w:val="4C0C35C7"/>
    <w:rsid w:val="4C19924E"/>
    <w:rsid w:val="4C1D4036"/>
    <w:rsid w:val="4C1EFF89"/>
    <w:rsid w:val="4C302C43"/>
    <w:rsid w:val="4C34530E"/>
    <w:rsid w:val="4C470532"/>
    <w:rsid w:val="4C55DAB3"/>
    <w:rsid w:val="4C634510"/>
    <w:rsid w:val="4C77470E"/>
    <w:rsid w:val="4C79FF8C"/>
    <w:rsid w:val="4C7A9BDF"/>
    <w:rsid w:val="4C7DD7F7"/>
    <w:rsid w:val="4C93AF25"/>
    <w:rsid w:val="4C98FD41"/>
    <w:rsid w:val="4C9DF892"/>
    <w:rsid w:val="4CA55544"/>
    <w:rsid w:val="4CA9CB80"/>
    <w:rsid w:val="4CAAEF15"/>
    <w:rsid w:val="4CB04B1C"/>
    <w:rsid w:val="4CB19989"/>
    <w:rsid w:val="4CC78F2C"/>
    <w:rsid w:val="4CDAF8D3"/>
    <w:rsid w:val="4CE03F88"/>
    <w:rsid w:val="4CE20131"/>
    <w:rsid w:val="4CE23974"/>
    <w:rsid w:val="4CF3D264"/>
    <w:rsid w:val="4CF463E7"/>
    <w:rsid w:val="4CF994EE"/>
    <w:rsid w:val="4CFB0105"/>
    <w:rsid w:val="4D010FA5"/>
    <w:rsid w:val="4D02507F"/>
    <w:rsid w:val="4D092C0A"/>
    <w:rsid w:val="4D0EDAFE"/>
    <w:rsid w:val="4D18C74E"/>
    <w:rsid w:val="4D1C2DC4"/>
    <w:rsid w:val="4D1EDAFF"/>
    <w:rsid w:val="4D1FFA8C"/>
    <w:rsid w:val="4D2732C1"/>
    <w:rsid w:val="4D3B8FD9"/>
    <w:rsid w:val="4D4AC43B"/>
    <w:rsid w:val="4D4D0169"/>
    <w:rsid w:val="4D6BBE02"/>
    <w:rsid w:val="4D6ECCAF"/>
    <w:rsid w:val="4D7007B9"/>
    <w:rsid w:val="4D77F975"/>
    <w:rsid w:val="4D8CFB43"/>
    <w:rsid w:val="4D8F3215"/>
    <w:rsid w:val="4D8FF803"/>
    <w:rsid w:val="4D92826A"/>
    <w:rsid w:val="4D963008"/>
    <w:rsid w:val="4D98B97B"/>
    <w:rsid w:val="4D9C85B4"/>
    <w:rsid w:val="4DA0A5DF"/>
    <w:rsid w:val="4DAC7353"/>
    <w:rsid w:val="4DB7DFFE"/>
    <w:rsid w:val="4DC21A5E"/>
    <w:rsid w:val="4DC57611"/>
    <w:rsid w:val="4DD4D07B"/>
    <w:rsid w:val="4DF2EE5F"/>
    <w:rsid w:val="4DF3CE79"/>
    <w:rsid w:val="4DF9E072"/>
    <w:rsid w:val="4E021CFD"/>
    <w:rsid w:val="4E0843BA"/>
    <w:rsid w:val="4E0E215E"/>
    <w:rsid w:val="4E0E540C"/>
    <w:rsid w:val="4E1042E5"/>
    <w:rsid w:val="4E11E71C"/>
    <w:rsid w:val="4E1965CB"/>
    <w:rsid w:val="4E1F835C"/>
    <w:rsid w:val="4E281CDD"/>
    <w:rsid w:val="4E2826D5"/>
    <w:rsid w:val="4E29488A"/>
    <w:rsid w:val="4E47D555"/>
    <w:rsid w:val="4E7022EF"/>
    <w:rsid w:val="4E711009"/>
    <w:rsid w:val="4E848C04"/>
    <w:rsid w:val="4E880C30"/>
    <w:rsid w:val="4E887FE4"/>
    <w:rsid w:val="4E8B424B"/>
    <w:rsid w:val="4E8E0883"/>
    <w:rsid w:val="4EA32F73"/>
    <w:rsid w:val="4EA761E9"/>
    <w:rsid w:val="4EB613E3"/>
    <w:rsid w:val="4EB8EE26"/>
    <w:rsid w:val="4ED23257"/>
    <w:rsid w:val="4ED3E80D"/>
    <w:rsid w:val="4EE011B8"/>
    <w:rsid w:val="4EE50027"/>
    <w:rsid w:val="4EE5F919"/>
    <w:rsid w:val="4EEA7F7F"/>
    <w:rsid w:val="4EEC35A9"/>
    <w:rsid w:val="4EF7FC02"/>
    <w:rsid w:val="4F00398E"/>
    <w:rsid w:val="4F11B587"/>
    <w:rsid w:val="4F181F34"/>
    <w:rsid w:val="4F1A9EE2"/>
    <w:rsid w:val="4F201939"/>
    <w:rsid w:val="4F374A9D"/>
    <w:rsid w:val="4F3E05A2"/>
    <w:rsid w:val="4F410711"/>
    <w:rsid w:val="4F414E6F"/>
    <w:rsid w:val="4F501CF6"/>
    <w:rsid w:val="4F67EEB3"/>
    <w:rsid w:val="4F68F637"/>
    <w:rsid w:val="4F6E5B53"/>
    <w:rsid w:val="4F7A384A"/>
    <w:rsid w:val="4F86E2F0"/>
    <w:rsid w:val="4F8D235F"/>
    <w:rsid w:val="4F8E5AB3"/>
    <w:rsid w:val="4F91EB5F"/>
    <w:rsid w:val="4F9A5BE0"/>
    <w:rsid w:val="4F9A7FBB"/>
    <w:rsid w:val="4F9EF81B"/>
    <w:rsid w:val="4FA13CD8"/>
    <w:rsid w:val="4FA984B9"/>
    <w:rsid w:val="4FAC0E34"/>
    <w:rsid w:val="4FAC3A40"/>
    <w:rsid w:val="4FC7FEA7"/>
    <w:rsid w:val="4FC848D8"/>
    <w:rsid w:val="4FD016B0"/>
    <w:rsid w:val="4FD59E29"/>
    <w:rsid w:val="4FE11E14"/>
    <w:rsid w:val="4FE52A30"/>
    <w:rsid w:val="4FF45FD1"/>
    <w:rsid w:val="4FFCB3EB"/>
    <w:rsid w:val="50118FF5"/>
    <w:rsid w:val="5011D886"/>
    <w:rsid w:val="5011DF98"/>
    <w:rsid w:val="5018991F"/>
    <w:rsid w:val="502524A6"/>
    <w:rsid w:val="502875E6"/>
    <w:rsid w:val="502A4E23"/>
    <w:rsid w:val="503077AA"/>
    <w:rsid w:val="50330ABA"/>
    <w:rsid w:val="503426A9"/>
    <w:rsid w:val="50408D11"/>
    <w:rsid w:val="504143BE"/>
    <w:rsid w:val="5041BE7C"/>
    <w:rsid w:val="50469C2B"/>
    <w:rsid w:val="50472684"/>
    <w:rsid w:val="5050147A"/>
    <w:rsid w:val="5052486A"/>
    <w:rsid w:val="50530E38"/>
    <w:rsid w:val="50543E82"/>
    <w:rsid w:val="50592456"/>
    <w:rsid w:val="5060EA6F"/>
    <w:rsid w:val="50640230"/>
    <w:rsid w:val="5064CE6B"/>
    <w:rsid w:val="506B7243"/>
    <w:rsid w:val="506C2DDF"/>
    <w:rsid w:val="507C0728"/>
    <w:rsid w:val="50843D2E"/>
    <w:rsid w:val="508A9911"/>
    <w:rsid w:val="5090A80D"/>
    <w:rsid w:val="5093BBCC"/>
    <w:rsid w:val="5097C3D0"/>
    <w:rsid w:val="509820F5"/>
    <w:rsid w:val="50986A52"/>
    <w:rsid w:val="509A0A4D"/>
    <w:rsid w:val="509FBB26"/>
    <w:rsid w:val="50A26ABF"/>
    <w:rsid w:val="50A3C6BD"/>
    <w:rsid w:val="50A9ABB6"/>
    <w:rsid w:val="50B7060A"/>
    <w:rsid w:val="50C7454D"/>
    <w:rsid w:val="50DB8EB6"/>
    <w:rsid w:val="50E25038"/>
    <w:rsid w:val="50F0B684"/>
    <w:rsid w:val="50F1DE57"/>
    <w:rsid w:val="510DD7E2"/>
    <w:rsid w:val="51244AC0"/>
    <w:rsid w:val="512AB2BF"/>
    <w:rsid w:val="512C7717"/>
    <w:rsid w:val="512C9DAC"/>
    <w:rsid w:val="512FD14C"/>
    <w:rsid w:val="514D4037"/>
    <w:rsid w:val="51502F7C"/>
    <w:rsid w:val="515AB2AB"/>
    <w:rsid w:val="5160A599"/>
    <w:rsid w:val="516ADFD3"/>
    <w:rsid w:val="5177A67B"/>
    <w:rsid w:val="51827C23"/>
    <w:rsid w:val="51A664D5"/>
    <w:rsid w:val="51CBCA46"/>
    <w:rsid w:val="51CEDB1B"/>
    <w:rsid w:val="51D8C801"/>
    <w:rsid w:val="51DA6628"/>
    <w:rsid w:val="5200C359"/>
    <w:rsid w:val="520779B8"/>
    <w:rsid w:val="52106752"/>
    <w:rsid w:val="521DFB71"/>
    <w:rsid w:val="5223EB43"/>
    <w:rsid w:val="522C3AEF"/>
    <w:rsid w:val="523643A1"/>
    <w:rsid w:val="52430B53"/>
    <w:rsid w:val="5246EF7E"/>
    <w:rsid w:val="524ACFE7"/>
    <w:rsid w:val="524B4E43"/>
    <w:rsid w:val="524F780C"/>
    <w:rsid w:val="5251B39B"/>
    <w:rsid w:val="525AB0FC"/>
    <w:rsid w:val="5266AB19"/>
    <w:rsid w:val="526CE2AB"/>
    <w:rsid w:val="52821DDB"/>
    <w:rsid w:val="52828447"/>
    <w:rsid w:val="528721B7"/>
    <w:rsid w:val="528ABE26"/>
    <w:rsid w:val="5298D0BF"/>
    <w:rsid w:val="529A6D59"/>
    <w:rsid w:val="52B33C13"/>
    <w:rsid w:val="52B9A0B7"/>
    <w:rsid w:val="52BADCE0"/>
    <w:rsid w:val="52BC5AD1"/>
    <w:rsid w:val="52D8739C"/>
    <w:rsid w:val="52DBBEBA"/>
    <w:rsid w:val="52DBF930"/>
    <w:rsid w:val="52E35995"/>
    <w:rsid w:val="52EECB41"/>
    <w:rsid w:val="52F54EFB"/>
    <w:rsid w:val="52F9FB33"/>
    <w:rsid w:val="53058654"/>
    <w:rsid w:val="530FD3DF"/>
    <w:rsid w:val="53177EBA"/>
    <w:rsid w:val="53232A1E"/>
    <w:rsid w:val="533B1628"/>
    <w:rsid w:val="5345C4D7"/>
    <w:rsid w:val="534B3DF5"/>
    <w:rsid w:val="534C491B"/>
    <w:rsid w:val="534F33B6"/>
    <w:rsid w:val="53643741"/>
    <w:rsid w:val="536C3BF5"/>
    <w:rsid w:val="538160E9"/>
    <w:rsid w:val="5385ECF4"/>
    <w:rsid w:val="53899714"/>
    <w:rsid w:val="538D45CD"/>
    <w:rsid w:val="538E59DB"/>
    <w:rsid w:val="538E88CC"/>
    <w:rsid w:val="5392DB4C"/>
    <w:rsid w:val="53C6BA36"/>
    <w:rsid w:val="53CC7B40"/>
    <w:rsid w:val="53D76253"/>
    <w:rsid w:val="53E1A098"/>
    <w:rsid w:val="53F1839B"/>
    <w:rsid w:val="54026B7D"/>
    <w:rsid w:val="5408BEEA"/>
    <w:rsid w:val="540FFE33"/>
    <w:rsid w:val="5418148B"/>
    <w:rsid w:val="5424BDC1"/>
    <w:rsid w:val="54288695"/>
    <w:rsid w:val="542A58D2"/>
    <w:rsid w:val="543B08F9"/>
    <w:rsid w:val="5443EA0C"/>
    <w:rsid w:val="544E74D3"/>
    <w:rsid w:val="5458C544"/>
    <w:rsid w:val="545A2ADC"/>
    <w:rsid w:val="546E15DF"/>
    <w:rsid w:val="547C8F0B"/>
    <w:rsid w:val="5485BDA3"/>
    <w:rsid w:val="5492F649"/>
    <w:rsid w:val="5495C851"/>
    <w:rsid w:val="549E3EB3"/>
    <w:rsid w:val="54A21DE7"/>
    <w:rsid w:val="54A3C534"/>
    <w:rsid w:val="54A65BBD"/>
    <w:rsid w:val="54A9080B"/>
    <w:rsid w:val="54AA0E52"/>
    <w:rsid w:val="54ABD351"/>
    <w:rsid w:val="54AF3F4B"/>
    <w:rsid w:val="54B465FF"/>
    <w:rsid w:val="54DDD138"/>
    <w:rsid w:val="54E3A69D"/>
    <w:rsid w:val="54E9F1E6"/>
    <w:rsid w:val="54EA662A"/>
    <w:rsid w:val="54F31637"/>
    <w:rsid w:val="54F58FC4"/>
    <w:rsid w:val="55037B8C"/>
    <w:rsid w:val="550739AB"/>
    <w:rsid w:val="5507DDB8"/>
    <w:rsid w:val="55093904"/>
    <w:rsid w:val="551A6371"/>
    <w:rsid w:val="551B9609"/>
    <w:rsid w:val="552DFE69"/>
    <w:rsid w:val="5530266F"/>
    <w:rsid w:val="5532F97B"/>
    <w:rsid w:val="553694BC"/>
    <w:rsid w:val="553986A3"/>
    <w:rsid w:val="553A6874"/>
    <w:rsid w:val="553FB1FB"/>
    <w:rsid w:val="554220A9"/>
    <w:rsid w:val="55433183"/>
    <w:rsid w:val="55463DD1"/>
    <w:rsid w:val="555020AC"/>
    <w:rsid w:val="555041A1"/>
    <w:rsid w:val="5552B241"/>
    <w:rsid w:val="555BBE19"/>
    <w:rsid w:val="555C6F11"/>
    <w:rsid w:val="555C8390"/>
    <w:rsid w:val="556ED089"/>
    <w:rsid w:val="556F5EB1"/>
    <w:rsid w:val="5576B6F7"/>
    <w:rsid w:val="5589C1AA"/>
    <w:rsid w:val="559AC4E8"/>
    <w:rsid w:val="559B17D5"/>
    <w:rsid w:val="55A12E20"/>
    <w:rsid w:val="55A31773"/>
    <w:rsid w:val="55B4526D"/>
    <w:rsid w:val="55B7625E"/>
    <w:rsid w:val="55C0D0E6"/>
    <w:rsid w:val="55C70245"/>
    <w:rsid w:val="55C707C6"/>
    <w:rsid w:val="55C78E72"/>
    <w:rsid w:val="55C86751"/>
    <w:rsid w:val="55C8EFCC"/>
    <w:rsid w:val="55CB2716"/>
    <w:rsid w:val="55D91D35"/>
    <w:rsid w:val="55F7CC81"/>
    <w:rsid w:val="55F7E6D0"/>
    <w:rsid w:val="5603CD48"/>
    <w:rsid w:val="5607E53C"/>
    <w:rsid w:val="562283DE"/>
    <w:rsid w:val="56268619"/>
    <w:rsid w:val="5629F55F"/>
    <w:rsid w:val="562DC324"/>
    <w:rsid w:val="5630C68E"/>
    <w:rsid w:val="563A6CA6"/>
    <w:rsid w:val="563C455F"/>
    <w:rsid w:val="563C78F6"/>
    <w:rsid w:val="564A09F0"/>
    <w:rsid w:val="564AA917"/>
    <w:rsid w:val="564DF10A"/>
    <w:rsid w:val="5650AB0D"/>
    <w:rsid w:val="5650C36B"/>
    <w:rsid w:val="565318B1"/>
    <w:rsid w:val="566F5A16"/>
    <w:rsid w:val="567B22BF"/>
    <w:rsid w:val="568393AA"/>
    <w:rsid w:val="568922BE"/>
    <w:rsid w:val="568F5B5A"/>
    <w:rsid w:val="5691DFF3"/>
    <w:rsid w:val="56924CDF"/>
    <w:rsid w:val="56AAF561"/>
    <w:rsid w:val="56CAC150"/>
    <w:rsid w:val="56CBBAE4"/>
    <w:rsid w:val="56CE36B4"/>
    <w:rsid w:val="56D3F64E"/>
    <w:rsid w:val="56D48563"/>
    <w:rsid w:val="56D654EC"/>
    <w:rsid w:val="56D86226"/>
    <w:rsid w:val="56D9E1C1"/>
    <w:rsid w:val="56DDEA14"/>
    <w:rsid w:val="56DEE39A"/>
    <w:rsid w:val="56E30C28"/>
    <w:rsid w:val="56E6C799"/>
    <w:rsid w:val="56E8EE4E"/>
    <w:rsid w:val="56ED463F"/>
    <w:rsid w:val="56FA7EC8"/>
    <w:rsid w:val="56FD5A36"/>
    <w:rsid w:val="570BFA08"/>
    <w:rsid w:val="570CC271"/>
    <w:rsid w:val="570D7FFE"/>
    <w:rsid w:val="5710EE43"/>
    <w:rsid w:val="57121CB8"/>
    <w:rsid w:val="572784D7"/>
    <w:rsid w:val="5728A723"/>
    <w:rsid w:val="57429EF7"/>
    <w:rsid w:val="574305FA"/>
    <w:rsid w:val="57474ED6"/>
    <w:rsid w:val="5747BA0C"/>
    <w:rsid w:val="5748DE6D"/>
    <w:rsid w:val="5759B908"/>
    <w:rsid w:val="575ABA79"/>
    <w:rsid w:val="57641695"/>
    <w:rsid w:val="576ADCFF"/>
    <w:rsid w:val="577DCD18"/>
    <w:rsid w:val="5787FF8A"/>
    <w:rsid w:val="578F6345"/>
    <w:rsid w:val="579C129D"/>
    <w:rsid w:val="579D88D3"/>
    <w:rsid w:val="57A3B59D"/>
    <w:rsid w:val="57A7D87F"/>
    <w:rsid w:val="57ADA845"/>
    <w:rsid w:val="57B5DAA2"/>
    <w:rsid w:val="57BC70AC"/>
    <w:rsid w:val="57BD3CAB"/>
    <w:rsid w:val="57C23DD1"/>
    <w:rsid w:val="57D06E9C"/>
    <w:rsid w:val="57D37588"/>
    <w:rsid w:val="57F11C26"/>
    <w:rsid w:val="57F29C65"/>
    <w:rsid w:val="57F5DF62"/>
    <w:rsid w:val="57FD8E38"/>
    <w:rsid w:val="57FFAD13"/>
    <w:rsid w:val="57FFD450"/>
    <w:rsid w:val="580168FE"/>
    <w:rsid w:val="58063DAD"/>
    <w:rsid w:val="580C6C50"/>
    <w:rsid w:val="5815426A"/>
    <w:rsid w:val="581885D3"/>
    <w:rsid w:val="5819E870"/>
    <w:rsid w:val="581FFAED"/>
    <w:rsid w:val="58280414"/>
    <w:rsid w:val="582980F6"/>
    <w:rsid w:val="582DE658"/>
    <w:rsid w:val="582EDB13"/>
    <w:rsid w:val="5843CE13"/>
    <w:rsid w:val="5865CD5E"/>
    <w:rsid w:val="586924B9"/>
    <w:rsid w:val="586C1F69"/>
    <w:rsid w:val="58825353"/>
    <w:rsid w:val="58854131"/>
    <w:rsid w:val="5894E113"/>
    <w:rsid w:val="589BECCD"/>
    <w:rsid w:val="58A41E91"/>
    <w:rsid w:val="58A42AF4"/>
    <w:rsid w:val="58DE7C0C"/>
    <w:rsid w:val="58EF71DB"/>
    <w:rsid w:val="5909CB27"/>
    <w:rsid w:val="590D6D15"/>
    <w:rsid w:val="590E183E"/>
    <w:rsid w:val="59120EEC"/>
    <w:rsid w:val="591A9F47"/>
    <w:rsid w:val="5928CB79"/>
    <w:rsid w:val="5933F60A"/>
    <w:rsid w:val="594035B4"/>
    <w:rsid w:val="594063A7"/>
    <w:rsid w:val="59487869"/>
    <w:rsid w:val="594CC100"/>
    <w:rsid w:val="59566063"/>
    <w:rsid w:val="59676F86"/>
    <w:rsid w:val="596ED4D4"/>
    <w:rsid w:val="5977946C"/>
    <w:rsid w:val="59792E8E"/>
    <w:rsid w:val="5984FC65"/>
    <w:rsid w:val="598A8231"/>
    <w:rsid w:val="598ACB85"/>
    <w:rsid w:val="598FA414"/>
    <w:rsid w:val="59936F92"/>
    <w:rsid w:val="599544C8"/>
    <w:rsid w:val="5998339D"/>
    <w:rsid w:val="599AA6BD"/>
    <w:rsid w:val="599D92EB"/>
    <w:rsid w:val="59AE46AC"/>
    <w:rsid w:val="59D7D944"/>
    <w:rsid w:val="59E5AC41"/>
    <w:rsid w:val="59E78859"/>
    <w:rsid w:val="59EF23B5"/>
    <w:rsid w:val="5A173A8E"/>
    <w:rsid w:val="5A202AE1"/>
    <w:rsid w:val="5A24AF4C"/>
    <w:rsid w:val="5A27B1BE"/>
    <w:rsid w:val="5A2CF857"/>
    <w:rsid w:val="5A485DFB"/>
    <w:rsid w:val="5A4AF74F"/>
    <w:rsid w:val="5A4B366B"/>
    <w:rsid w:val="5A55F24D"/>
    <w:rsid w:val="5A5ABA01"/>
    <w:rsid w:val="5A6188BE"/>
    <w:rsid w:val="5A6673B7"/>
    <w:rsid w:val="5A69AE1A"/>
    <w:rsid w:val="5A947F45"/>
    <w:rsid w:val="5AA43481"/>
    <w:rsid w:val="5AB62E66"/>
    <w:rsid w:val="5ABB329F"/>
    <w:rsid w:val="5AD6DF7E"/>
    <w:rsid w:val="5AD70AC4"/>
    <w:rsid w:val="5AD918FF"/>
    <w:rsid w:val="5ADF000D"/>
    <w:rsid w:val="5ADF13E4"/>
    <w:rsid w:val="5AE20E31"/>
    <w:rsid w:val="5AE609EC"/>
    <w:rsid w:val="5AE6948C"/>
    <w:rsid w:val="5AEC7B32"/>
    <w:rsid w:val="5AFF9BDD"/>
    <w:rsid w:val="5B0A4D60"/>
    <w:rsid w:val="5B0B8898"/>
    <w:rsid w:val="5B0D51B6"/>
    <w:rsid w:val="5B0DE344"/>
    <w:rsid w:val="5B11F3B0"/>
    <w:rsid w:val="5B147393"/>
    <w:rsid w:val="5B17D2FF"/>
    <w:rsid w:val="5B25BFD6"/>
    <w:rsid w:val="5B263EBE"/>
    <w:rsid w:val="5B26E40B"/>
    <w:rsid w:val="5B36771E"/>
    <w:rsid w:val="5B367EC8"/>
    <w:rsid w:val="5B52484A"/>
    <w:rsid w:val="5B5B6DC4"/>
    <w:rsid w:val="5B5EF2ED"/>
    <w:rsid w:val="5B665720"/>
    <w:rsid w:val="5B891414"/>
    <w:rsid w:val="5B96C02D"/>
    <w:rsid w:val="5BB4D114"/>
    <w:rsid w:val="5BC0AA28"/>
    <w:rsid w:val="5BCF3976"/>
    <w:rsid w:val="5BD1D01F"/>
    <w:rsid w:val="5BE980D0"/>
    <w:rsid w:val="5BF00325"/>
    <w:rsid w:val="5BF3B75C"/>
    <w:rsid w:val="5BFCEBFB"/>
    <w:rsid w:val="5BFDDA3F"/>
    <w:rsid w:val="5C007E77"/>
    <w:rsid w:val="5C358227"/>
    <w:rsid w:val="5C3586F5"/>
    <w:rsid w:val="5C443C8E"/>
    <w:rsid w:val="5C57FCC1"/>
    <w:rsid w:val="5C5DFE21"/>
    <w:rsid w:val="5C71CCD5"/>
    <w:rsid w:val="5C7BC291"/>
    <w:rsid w:val="5C7D01F9"/>
    <w:rsid w:val="5C7F4DA4"/>
    <w:rsid w:val="5C7F7AAF"/>
    <w:rsid w:val="5C804E22"/>
    <w:rsid w:val="5C87E8A4"/>
    <w:rsid w:val="5C8DE9C2"/>
    <w:rsid w:val="5C9478B3"/>
    <w:rsid w:val="5CAF7444"/>
    <w:rsid w:val="5CBA428B"/>
    <w:rsid w:val="5CBB8E25"/>
    <w:rsid w:val="5CC1E8F4"/>
    <w:rsid w:val="5CC2DB24"/>
    <w:rsid w:val="5CC2FB83"/>
    <w:rsid w:val="5CC46A3B"/>
    <w:rsid w:val="5CC4F192"/>
    <w:rsid w:val="5CC60B0E"/>
    <w:rsid w:val="5CC77C25"/>
    <w:rsid w:val="5CE21B23"/>
    <w:rsid w:val="5CEA04FB"/>
    <w:rsid w:val="5CFC37DF"/>
    <w:rsid w:val="5D001852"/>
    <w:rsid w:val="5D059EFC"/>
    <w:rsid w:val="5D153479"/>
    <w:rsid w:val="5D196BF2"/>
    <w:rsid w:val="5D32CBD6"/>
    <w:rsid w:val="5D384CE6"/>
    <w:rsid w:val="5D4B04D5"/>
    <w:rsid w:val="5D4DA4C6"/>
    <w:rsid w:val="5D4F0A15"/>
    <w:rsid w:val="5D53ADEA"/>
    <w:rsid w:val="5D55239D"/>
    <w:rsid w:val="5D5CCCD5"/>
    <w:rsid w:val="5D5DD271"/>
    <w:rsid w:val="5D6C966F"/>
    <w:rsid w:val="5D6FED6A"/>
    <w:rsid w:val="5D844FC0"/>
    <w:rsid w:val="5D8B03A1"/>
    <w:rsid w:val="5DAA36F2"/>
    <w:rsid w:val="5DB810CE"/>
    <w:rsid w:val="5DB88C0B"/>
    <w:rsid w:val="5DB97DD8"/>
    <w:rsid w:val="5DBBD1B2"/>
    <w:rsid w:val="5DCE584E"/>
    <w:rsid w:val="5DD18856"/>
    <w:rsid w:val="5DD40B4D"/>
    <w:rsid w:val="5DDD3A26"/>
    <w:rsid w:val="5DE1FC77"/>
    <w:rsid w:val="5DF14A2E"/>
    <w:rsid w:val="5E18D160"/>
    <w:rsid w:val="5E226615"/>
    <w:rsid w:val="5E24A833"/>
    <w:rsid w:val="5E32503F"/>
    <w:rsid w:val="5E44A642"/>
    <w:rsid w:val="5E4DB715"/>
    <w:rsid w:val="5E57DA43"/>
    <w:rsid w:val="5E57FE41"/>
    <w:rsid w:val="5E597977"/>
    <w:rsid w:val="5E5F64BB"/>
    <w:rsid w:val="5E614794"/>
    <w:rsid w:val="5E73ACA5"/>
    <w:rsid w:val="5E85BC2A"/>
    <w:rsid w:val="5E8DFA46"/>
    <w:rsid w:val="5E93B110"/>
    <w:rsid w:val="5E998A61"/>
    <w:rsid w:val="5EC474B3"/>
    <w:rsid w:val="5EC9ACB2"/>
    <w:rsid w:val="5ECF8749"/>
    <w:rsid w:val="5ED8D1F8"/>
    <w:rsid w:val="5F00AACC"/>
    <w:rsid w:val="5F026EFE"/>
    <w:rsid w:val="5F02FB5C"/>
    <w:rsid w:val="5F02FC85"/>
    <w:rsid w:val="5F0A4D23"/>
    <w:rsid w:val="5F0F17D2"/>
    <w:rsid w:val="5F10B392"/>
    <w:rsid w:val="5F186228"/>
    <w:rsid w:val="5F1C3FB8"/>
    <w:rsid w:val="5F2783A2"/>
    <w:rsid w:val="5F2A47BA"/>
    <w:rsid w:val="5F2C4B82"/>
    <w:rsid w:val="5F46C5B5"/>
    <w:rsid w:val="5F493323"/>
    <w:rsid w:val="5F4F56BE"/>
    <w:rsid w:val="5F5A8A1D"/>
    <w:rsid w:val="5F5E580C"/>
    <w:rsid w:val="5F5F1D20"/>
    <w:rsid w:val="5F64DEE0"/>
    <w:rsid w:val="5F68563D"/>
    <w:rsid w:val="5F700763"/>
    <w:rsid w:val="5F7282C1"/>
    <w:rsid w:val="5F78C440"/>
    <w:rsid w:val="5F790EA0"/>
    <w:rsid w:val="5F814653"/>
    <w:rsid w:val="5F8E58E3"/>
    <w:rsid w:val="5F94B90F"/>
    <w:rsid w:val="5FA02F37"/>
    <w:rsid w:val="5FA7D37A"/>
    <w:rsid w:val="5FAE11D5"/>
    <w:rsid w:val="5FAEFC56"/>
    <w:rsid w:val="5FAF1030"/>
    <w:rsid w:val="5FAF1B30"/>
    <w:rsid w:val="5FB2BF1E"/>
    <w:rsid w:val="5FB965E7"/>
    <w:rsid w:val="5FBE1F0A"/>
    <w:rsid w:val="5FC82C0A"/>
    <w:rsid w:val="5FC92725"/>
    <w:rsid w:val="5FCF2C71"/>
    <w:rsid w:val="5FD11786"/>
    <w:rsid w:val="5FE0C4D2"/>
    <w:rsid w:val="5FE583FE"/>
    <w:rsid w:val="5FE907A6"/>
    <w:rsid w:val="5FF11865"/>
    <w:rsid w:val="5FF11872"/>
    <w:rsid w:val="5FF992FA"/>
    <w:rsid w:val="5FFD8CB5"/>
    <w:rsid w:val="5FFDABD0"/>
    <w:rsid w:val="600266D1"/>
    <w:rsid w:val="6018EEC4"/>
    <w:rsid w:val="601B0B0A"/>
    <w:rsid w:val="6020544F"/>
    <w:rsid w:val="60296163"/>
    <w:rsid w:val="6037C22A"/>
    <w:rsid w:val="603F66FD"/>
    <w:rsid w:val="60412712"/>
    <w:rsid w:val="604392DE"/>
    <w:rsid w:val="604659E2"/>
    <w:rsid w:val="604AB26B"/>
    <w:rsid w:val="60522EAA"/>
    <w:rsid w:val="6057C72E"/>
    <w:rsid w:val="605E8532"/>
    <w:rsid w:val="60641C4E"/>
    <w:rsid w:val="606565C0"/>
    <w:rsid w:val="607521AD"/>
    <w:rsid w:val="608C3CD8"/>
    <w:rsid w:val="608DDBBF"/>
    <w:rsid w:val="609BFCDA"/>
    <w:rsid w:val="60A3023F"/>
    <w:rsid w:val="60B0387C"/>
    <w:rsid w:val="60B3EBF8"/>
    <w:rsid w:val="60B4C13B"/>
    <w:rsid w:val="60C54F02"/>
    <w:rsid w:val="60D16719"/>
    <w:rsid w:val="60D882F4"/>
    <w:rsid w:val="60EC7CA2"/>
    <w:rsid w:val="60F3B1D0"/>
    <w:rsid w:val="60F68858"/>
    <w:rsid w:val="60F83AC5"/>
    <w:rsid w:val="60F8CCA0"/>
    <w:rsid w:val="60FA8682"/>
    <w:rsid w:val="6109F999"/>
    <w:rsid w:val="6118F933"/>
    <w:rsid w:val="611AA720"/>
    <w:rsid w:val="6133F250"/>
    <w:rsid w:val="613EB804"/>
    <w:rsid w:val="614270BD"/>
    <w:rsid w:val="61460CC0"/>
    <w:rsid w:val="614756AC"/>
    <w:rsid w:val="614CF65F"/>
    <w:rsid w:val="614D1AC6"/>
    <w:rsid w:val="614F5626"/>
    <w:rsid w:val="615101B4"/>
    <w:rsid w:val="61521A3F"/>
    <w:rsid w:val="61658207"/>
    <w:rsid w:val="6167F316"/>
    <w:rsid w:val="616DA056"/>
    <w:rsid w:val="6176973A"/>
    <w:rsid w:val="6179101C"/>
    <w:rsid w:val="617C23C7"/>
    <w:rsid w:val="617F9046"/>
    <w:rsid w:val="618CB5AE"/>
    <w:rsid w:val="61907F93"/>
    <w:rsid w:val="61940AFD"/>
    <w:rsid w:val="619840DB"/>
    <w:rsid w:val="61A788D6"/>
    <w:rsid w:val="61B88D26"/>
    <w:rsid w:val="61BB9BF8"/>
    <w:rsid w:val="61BC7901"/>
    <w:rsid w:val="61C46CE2"/>
    <w:rsid w:val="61C60F3D"/>
    <w:rsid w:val="61D34304"/>
    <w:rsid w:val="61D8EE23"/>
    <w:rsid w:val="61DE6A8A"/>
    <w:rsid w:val="61E15A34"/>
    <w:rsid w:val="61E938B6"/>
    <w:rsid w:val="61EF177E"/>
    <w:rsid w:val="61F045F2"/>
    <w:rsid w:val="61F6F5B9"/>
    <w:rsid w:val="61FFCCDC"/>
    <w:rsid w:val="620CB2C0"/>
    <w:rsid w:val="620F7E8B"/>
    <w:rsid w:val="6217F607"/>
    <w:rsid w:val="62324468"/>
    <w:rsid w:val="6247793D"/>
    <w:rsid w:val="6254CCAB"/>
    <w:rsid w:val="62593ACC"/>
    <w:rsid w:val="625B06F4"/>
    <w:rsid w:val="6264C88C"/>
    <w:rsid w:val="626A4702"/>
    <w:rsid w:val="626C2DDF"/>
    <w:rsid w:val="626C7EED"/>
    <w:rsid w:val="6279000E"/>
    <w:rsid w:val="627C9D84"/>
    <w:rsid w:val="627D04A5"/>
    <w:rsid w:val="627DC8A3"/>
    <w:rsid w:val="628850C6"/>
    <w:rsid w:val="628AE4E9"/>
    <w:rsid w:val="6290B7BB"/>
    <w:rsid w:val="629A638D"/>
    <w:rsid w:val="629BBF2A"/>
    <w:rsid w:val="62A463B1"/>
    <w:rsid w:val="62B571BE"/>
    <w:rsid w:val="62B755B8"/>
    <w:rsid w:val="62BAF28E"/>
    <w:rsid w:val="62C416BC"/>
    <w:rsid w:val="62C7164B"/>
    <w:rsid w:val="62CB464E"/>
    <w:rsid w:val="62CDA442"/>
    <w:rsid w:val="62D48DA7"/>
    <w:rsid w:val="62D68516"/>
    <w:rsid w:val="62E1CB20"/>
    <w:rsid w:val="62EC29A8"/>
    <w:rsid w:val="62F70987"/>
    <w:rsid w:val="62FFE127"/>
    <w:rsid w:val="630D1E24"/>
    <w:rsid w:val="631B08A9"/>
    <w:rsid w:val="631B3E84"/>
    <w:rsid w:val="631B5A93"/>
    <w:rsid w:val="631BA107"/>
    <w:rsid w:val="63202D96"/>
    <w:rsid w:val="632B6F64"/>
    <w:rsid w:val="632FD03A"/>
    <w:rsid w:val="634A2D43"/>
    <w:rsid w:val="634E23AA"/>
    <w:rsid w:val="635CA146"/>
    <w:rsid w:val="63896EB1"/>
    <w:rsid w:val="6391D2BB"/>
    <w:rsid w:val="6399FE1D"/>
    <w:rsid w:val="639C274A"/>
    <w:rsid w:val="63AA23BC"/>
    <w:rsid w:val="63AA891E"/>
    <w:rsid w:val="63B0ADB6"/>
    <w:rsid w:val="63B4DA48"/>
    <w:rsid w:val="63BC2094"/>
    <w:rsid w:val="63BC8FD3"/>
    <w:rsid w:val="63BCBC69"/>
    <w:rsid w:val="63BF2A5C"/>
    <w:rsid w:val="63C2414A"/>
    <w:rsid w:val="63C8717C"/>
    <w:rsid w:val="63C87803"/>
    <w:rsid w:val="63E1D049"/>
    <w:rsid w:val="63E4ADF3"/>
    <w:rsid w:val="63EA78AF"/>
    <w:rsid w:val="63ED5E21"/>
    <w:rsid w:val="63F6BF8E"/>
    <w:rsid w:val="6407C9BD"/>
    <w:rsid w:val="64132864"/>
    <w:rsid w:val="64133228"/>
    <w:rsid w:val="641F226F"/>
    <w:rsid w:val="6428C592"/>
    <w:rsid w:val="642C95ED"/>
    <w:rsid w:val="642E35B6"/>
    <w:rsid w:val="642F6320"/>
    <w:rsid w:val="6431A438"/>
    <w:rsid w:val="643627FC"/>
    <w:rsid w:val="64422AF4"/>
    <w:rsid w:val="6443D3AF"/>
    <w:rsid w:val="644EEA2B"/>
    <w:rsid w:val="64504E62"/>
    <w:rsid w:val="6455CF17"/>
    <w:rsid w:val="6464933F"/>
    <w:rsid w:val="6470425D"/>
    <w:rsid w:val="647A3846"/>
    <w:rsid w:val="649B9D2D"/>
    <w:rsid w:val="64A28FFA"/>
    <w:rsid w:val="64A61B21"/>
    <w:rsid w:val="64A8EB32"/>
    <w:rsid w:val="64AA5CED"/>
    <w:rsid w:val="64AB49FE"/>
    <w:rsid w:val="64B05127"/>
    <w:rsid w:val="64B3EE63"/>
    <w:rsid w:val="64B77A93"/>
    <w:rsid w:val="64C3C0B1"/>
    <w:rsid w:val="64CA1B9B"/>
    <w:rsid w:val="64D5E843"/>
    <w:rsid w:val="64D8CE45"/>
    <w:rsid w:val="64EBAD06"/>
    <w:rsid w:val="64ECDB2B"/>
    <w:rsid w:val="64EDFB68"/>
    <w:rsid w:val="6504AEE7"/>
    <w:rsid w:val="650503BD"/>
    <w:rsid w:val="65173A85"/>
    <w:rsid w:val="6519720D"/>
    <w:rsid w:val="651D8C6D"/>
    <w:rsid w:val="65242692"/>
    <w:rsid w:val="652A2D7F"/>
    <w:rsid w:val="652D7D5C"/>
    <w:rsid w:val="6541198D"/>
    <w:rsid w:val="6546AA83"/>
    <w:rsid w:val="6549D41D"/>
    <w:rsid w:val="654CA573"/>
    <w:rsid w:val="6550C9BB"/>
    <w:rsid w:val="6552B2B5"/>
    <w:rsid w:val="65569578"/>
    <w:rsid w:val="65622AB1"/>
    <w:rsid w:val="658CC9A9"/>
    <w:rsid w:val="65958623"/>
    <w:rsid w:val="6596ECEB"/>
    <w:rsid w:val="659FEB52"/>
    <w:rsid w:val="65B7E013"/>
    <w:rsid w:val="65B99FA8"/>
    <w:rsid w:val="65BDBC68"/>
    <w:rsid w:val="65D6E630"/>
    <w:rsid w:val="65E12AB5"/>
    <w:rsid w:val="65F4DB2A"/>
    <w:rsid w:val="6602BDA4"/>
    <w:rsid w:val="6606EE39"/>
    <w:rsid w:val="660BD088"/>
    <w:rsid w:val="6613961F"/>
    <w:rsid w:val="66165796"/>
    <w:rsid w:val="66282F24"/>
    <w:rsid w:val="6629E3F9"/>
    <w:rsid w:val="662CE219"/>
    <w:rsid w:val="662FA1C6"/>
    <w:rsid w:val="663038E2"/>
    <w:rsid w:val="663D1799"/>
    <w:rsid w:val="664D9495"/>
    <w:rsid w:val="6651C31C"/>
    <w:rsid w:val="6658CE96"/>
    <w:rsid w:val="666DA279"/>
    <w:rsid w:val="667C84D2"/>
    <w:rsid w:val="66880B73"/>
    <w:rsid w:val="66B37DA1"/>
    <w:rsid w:val="66C629B5"/>
    <w:rsid w:val="66CDDBC6"/>
    <w:rsid w:val="66D5A5CF"/>
    <w:rsid w:val="66D6078D"/>
    <w:rsid w:val="66DFE81D"/>
    <w:rsid w:val="66E023E3"/>
    <w:rsid w:val="66E14D86"/>
    <w:rsid w:val="66E48042"/>
    <w:rsid w:val="66EC8C21"/>
    <w:rsid w:val="66ECDB53"/>
    <w:rsid w:val="66F3B179"/>
    <w:rsid w:val="66F72579"/>
    <w:rsid w:val="67071CA1"/>
    <w:rsid w:val="671603EB"/>
    <w:rsid w:val="67175238"/>
    <w:rsid w:val="671AAF21"/>
    <w:rsid w:val="6727FE68"/>
    <w:rsid w:val="672EB817"/>
    <w:rsid w:val="672FB299"/>
    <w:rsid w:val="6742DCDF"/>
    <w:rsid w:val="6753BCD9"/>
    <w:rsid w:val="675609B5"/>
    <w:rsid w:val="67621184"/>
    <w:rsid w:val="6762D417"/>
    <w:rsid w:val="676D4CDB"/>
    <w:rsid w:val="676E8DBC"/>
    <w:rsid w:val="6775EB96"/>
    <w:rsid w:val="677CDADE"/>
    <w:rsid w:val="677EC083"/>
    <w:rsid w:val="6782EC4F"/>
    <w:rsid w:val="67842F93"/>
    <w:rsid w:val="67879023"/>
    <w:rsid w:val="67930A9E"/>
    <w:rsid w:val="67997A4E"/>
    <w:rsid w:val="679E6917"/>
    <w:rsid w:val="679E755E"/>
    <w:rsid w:val="67A697C0"/>
    <w:rsid w:val="67B9905B"/>
    <w:rsid w:val="67D46B51"/>
    <w:rsid w:val="67D970CD"/>
    <w:rsid w:val="67DD082D"/>
    <w:rsid w:val="67E2B788"/>
    <w:rsid w:val="67F32CC0"/>
    <w:rsid w:val="68026339"/>
    <w:rsid w:val="680D4342"/>
    <w:rsid w:val="6811E2AB"/>
    <w:rsid w:val="6816E1B0"/>
    <w:rsid w:val="6828F76F"/>
    <w:rsid w:val="6836DD0A"/>
    <w:rsid w:val="6837A080"/>
    <w:rsid w:val="684DB26E"/>
    <w:rsid w:val="684E1EA7"/>
    <w:rsid w:val="684F7A85"/>
    <w:rsid w:val="685EF6FC"/>
    <w:rsid w:val="686B653C"/>
    <w:rsid w:val="687330BA"/>
    <w:rsid w:val="687ADFE0"/>
    <w:rsid w:val="687B493C"/>
    <w:rsid w:val="689759D9"/>
    <w:rsid w:val="6899DFDC"/>
    <w:rsid w:val="689E0D65"/>
    <w:rsid w:val="689F9E0B"/>
    <w:rsid w:val="68A0C645"/>
    <w:rsid w:val="68A11AE5"/>
    <w:rsid w:val="68A339EE"/>
    <w:rsid w:val="68A4ABFA"/>
    <w:rsid w:val="68A78A28"/>
    <w:rsid w:val="68B10288"/>
    <w:rsid w:val="68C1786A"/>
    <w:rsid w:val="68C701C9"/>
    <w:rsid w:val="68DDCCE6"/>
    <w:rsid w:val="68DEAF75"/>
    <w:rsid w:val="68DF0FB3"/>
    <w:rsid w:val="68EBDF08"/>
    <w:rsid w:val="68F3F1D3"/>
    <w:rsid w:val="68F90F9A"/>
    <w:rsid w:val="69108388"/>
    <w:rsid w:val="691E8240"/>
    <w:rsid w:val="692BAB47"/>
    <w:rsid w:val="692C7B2F"/>
    <w:rsid w:val="69313DC4"/>
    <w:rsid w:val="693751FF"/>
    <w:rsid w:val="69448F15"/>
    <w:rsid w:val="6948960B"/>
    <w:rsid w:val="694B36E1"/>
    <w:rsid w:val="69532C0D"/>
    <w:rsid w:val="69592EDA"/>
    <w:rsid w:val="695ACF4E"/>
    <w:rsid w:val="696324EB"/>
    <w:rsid w:val="6966A575"/>
    <w:rsid w:val="6967776A"/>
    <w:rsid w:val="696EA957"/>
    <w:rsid w:val="69712C17"/>
    <w:rsid w:val="697420A3"/>
    <w:rsid w:val="69834EFB"/>
    <w:rsid w:val="6988309E"/>
    <w:rsid w:val="698929E0"/>
    <w:rsid w:val="69950FB7"/>
    <w:rsid w:val="69A94814"/>
    <w:rsid w:val="69BF463D"/>
    <w:rsid w:val="69C03ECB"/>
    <w:rsid w:val="69C50D73"/>
    <w:rsid w:val="69D73E5F"/>
    <w:rsid w:val="69E35CBD"/>
    <w:rsid w:val="69F28E59"/>
    <w:rsid w:val="69FA1D08"/>
    <w:rsid w:val="69FDD5E7"/>
    <w:rsid w:val="6A0255B6"/>
    <w:rsid w:val="6A051B6F"/>
    <w:rsid w:val="6A2BA6D7"/>
    <w:rsid w:val="6A301738"/>
    <w:rsid w:val="6A421A30"/>
    <w:rsid w:val="6A42FCAE"/>
    <w:rsid w:val="6A46F0C0"/>
    <w:rsid w:val="6A4AC586"/>
    <w:rsid w:val="6A4BFD64"/>
    <w:rsid w:val="6A4CDCCE"/>
    <w:rsid w:val="6A4EAD02"/>
    <w:rsid w:val="6A5B9E9E"/>
    <w:rsid w:val="6A65DD5D"/>
    <w:rsid w:val="6A6ABD1E"/>
    <w:rsid w:val="6A6BDC2C"/>
    <w:rsid w:val="6A6F761D"/>
    <w:rsid w:val="6A81B037"/>
    <w:rsid w:val="6A849827"/>
    <w:rsid w:val="6A8643BB"/>
    <w:rsid w:val="6A984F5F"/>
    <w:rsid w:val="6AA0E3E3"/>
    <w:rsid w:val="6AA552D9"/>
    <w:rsid w:val="6AADC555"/>
    <w:rsid w:val="6ABEF4C8"/>
    <w:rsid w:val="6AC5AB2B"/>
    <w:rsid w:val="6AD80BB0"/>
    <w:rsid w:val="6ADD10FC"/>
    <w:rsid w:val="6ADD7161"/>
    <w:rsid w:val="6AE01C3C"/>
    <w:rsid w:val="6AE40B28"/>
    <w:rsid w:val="6AE52F75"/>
    <w:rsid w:val="6AE94A76"/>
    <w:rsid w:val="6B0470B6"/>
    <w:rsid w:val="6B086A50"/>
    <w:rsid w:val="6B0ADEB1"/>
    <w:rsid w:val="6B0C5B9E"/>
    <w:rsid w:val="6B0D3EDD"/>
    <w:rsid w:val="6B15CB06"/>
    <w:rsid w:val="6B19FA86"/>
    <w:rsid w:val="6B2241A1"/>
    <w:rsid w:val="6B409E5E"/>
    <w:rsid w:val="6B5C13A1"/>
    <w:rsid w:val="6B5DA765"/>
    <w:rsid w:val="6B62307D"/>
    <w:rsid w:val="6B647998"/>
    <w:rsid w:val="6B6CD0E5"/>
    <w:rsid w:val="6B72946A"/>
    <w:rsid w:val="6B765D37"/>
    <w:rsid w:val="6B772E58"/>
    <w:rsid w:val="6B7C3E51"/>
    <w:rsid w:val="6B8CC1AE"/>
    <w:rsid w:val="6B93F4AC"/>
    <w:rsid w:val="6B9765E3"/>
    <w:rsid w:val="6BA7B550"/>
    <w:rsid w:val="6BAA398E"/>
    <w:rsid w:val="6BC772EA"/>
    <w:rsid w:val="6BC968CB"/>
    <w:rsid w:val="6BC9F94D"/>
    <w:rsid w:val="6BD8CA83"/>
    <w:rsid w:val="6BE0FA29"/>
    <w:rsid w:val="6BE2004B"/>
    <w:rsid w:val="6BE3F8B7"/>
    <w:rsid w:val="6BF76ED7"/>
    <w:rsid w:val="6BFC1833"/>
    <w:rsid w:val="6C07117A"/>
    <w:rsid w:val="6C0734EE"/>
    <w:rsid w:val="6C07CB78"/>
    <w:rsid w:val="6C152E79"/>
    <w:rsid w:val="6C18793D"/>
    <w:rsid w:val="6C1FBCD2"/>
    <w:rsid w:val="6C27F7A9"/>
    <w:rsid w:val="6C35D98E"/>
    <w:rsid w:val="6C44A513"/>
    <w:rsid w:val="6C4CC3D4"/>
    <w:rsid w:val="6C4DD7E1"/>
    <w:rsid w:val="6C4FF038"/>
    <w:rsid w:val="6C6AA615"/>
    <w:rsid w:val="6C6D3A70"/>
    <w:rsid w:val="6C6ED4D6"/>
    <w:rsid w:val="6C6F3295"/>
    <w:rsid w:val="6C73DDAA"/>
    <w:rsid w:val="6C75D618"/>
    <w:rsid w:val="6C78F44B"/>
    <w:rsid w:val="6C849F46"/>
    <w:rsid w:val="6C85A8A6"/>
    <w:rsid w:val="6C92841A"/>
    <w:rsid w:val="6C929033"/>
    <w:rsid w:val="6C94D62B"/>
    <w:rsid w:val="6C9D9469"/>
    <w:rsid w:val="6C9EE34A"/>
    <w:rsid w:val="6CB44BAB"/>
    <w:rsid w:val="6CB5EBB0"/>
    <w:rsid w:val="6CB6630D"/>
    <w:rsid w:val="6CB7B09D"/>
    <w:rsid w:val="6CC924E2"/>
    <w:rsid w:val="6CD0865B"/>
    <w:rsid w:val="6CD81D74"/>
    <w:rsid w:val="6CF01D70"/>
    <w:rsid w:val="6CF7E25F"/>
    <w:rsid w:val="6CFB90BB"/>
    <w:rsid w:val="6D08A681"/>
    <w:rsid w:val="6D0E54B9"/>
    <w:rsid w:val="6D137BE6"/>
    <w:rsid w:val="6D14D265"/>
    <w:rsid w:val="6D189434"/>
    <w:rsid w:val="6D1A004B"/>
    <w:rsid w:val="6D1E6995"/>
    <w:rsid w:val="6D31ED41"/>
    <w:rsid w:val="6D3AA418"/>
    <w:rsid w:val="6D3D4B2F"/>
    <w:rsid w:val="6D43048A"/>
    <w:rsid w:val="6D52C1D5"/>
    <w:rsid w:val="6D579A2E"/>
    <w:rsid w:val="6D61148F"/>
    <w:rsid w:val="6D65F3D5"/>
    <w:rsid w:val="6D719A94"/>
    <w:rsid w:val="6D7D4DCC"/>
    <w:rsid w:val="6D7E657B"/>
    <w:rsid w:val="6D8D5189"/>
    <w:rsid w:val="6D9BD3DE"/>
    <w:rsid w:val="6DA083C9"/>
    <w:rsid w:val="6DACA373"/>
    <w:rsid w:val="6DAF7287"/>
    <w:rsid w:val="6DB43C3E"/>
    <w:rsid w:val="6DB69736"/>
    <w:rsid w:val="6DCD6E6C"/>
    <w:rsid w:val="6DCE4F4D"/>
    <w:rsid w:val="6DD5D842"/>
    <w:rsid w:val="6DD67515"/>
    <w:rsid w:val="6DDB6965"/>
    <w:rsid w:val="6DDEE36D"/>
    <w:rsid w:val="6DE6A8F5"/>
    <w:rsid w:val="6DEE00B6"/>
    <w:rsid w:val="6E07AB19"/>
    <w:rsid w:val="6E2AEF1D"/>
    <w:rsid w:val="6E2CE429"/>
    <w:rsid w:val="6E329654"/>
    <w:rsid w:val="6E32ED09"/>
    <w:rsid w:val="6E332033"/>
    <w:rsid w:val="6E3B2632"/>
    <w:rsid w:val="6E3D0C36"/>
    <w:rsid w:val="6E48079E"/>
    <w:rsid w:val="6E48C429"/>
    <w:rsid w:val="6E58CD00"/>
    <w:rsid w:val="6E5AC803"/>
    <w:rsid w:val="6E6293F0"/>
    <w:rsid w:val="6E657700"/>
    <w:rsid w:val="6E6A872D"/>
    <w:rsid w:val="6E70C25C"/>
    <w:rsid w:val="6E7BE5A7"/>
    <w:rsid w:val="6E7BEE95"/>
    <w:rsid w:val="6E7E52AE"/>
    <w:rsid w:val="6E963224"/>
    <w:rsid w:val="6E99C9BB"/>
    <w:rsid w:val="6E9BE8D3"/>
    <w:rsid w:val="6E9CC3FF"/>
    <w:rsid w:val="6EB05778"/>
    <w:rsid w:val="6EB628EA"/>
    <w:rsid w:val="6EB9C521"/>
    <w:rsid w:val="6EBC97B0"/>
    <w:rsid w:val="6EBEF425"/>
    <w:rsid w:val="6ECBB419"/>
    <w:rsid w:val="6EDC54C0"/>
    <w:rsid w:val="6EE41BAE"/>
    <w:rsid w:val="6EE6BA6B"/>
    <w:rsid w:val="6EF43A70"/>
    <w:rsid w:val="6F086711"/>
    <w:rsid w:val="6F0DDF29"/>
    <w:rsid w:val="6F148E31"/>
    <w:rsid w:val="6F1C1AB4"/>
    <w:rsid w:val="6F20C415"/>
    <w:rsid w:val="6F225A5A"/>
    <w:rsid w:val="6F3B54B8"/>
    <w:rsid w:val="6F474ED9"/>
    <w:rsid w:val="6F4FD04C"/>
    <w:rsid w:val="6F5D02DF"/>
    <w:rsid w:val="6F6B655B"/>
    <w:rsid w:val="6F6E4C65"/>
    <w:rsid w:val="6F7BB124"/>
    <w:rsid w:val="6F805AEB"/>
    <w:rsid w:val="6F815232"/>
    <w:rsid w:val="6F9556E6"/>
    <w:rsid w:val="6F9B90D9"/>
    <w:rsid w:val="6FA76579"/>
    <w:rsid w:val="6FA7C6A3"/>
    <w:rsid w:val="6FA9680E"/>
    <w:rsid w:val="6FAA47F3"/>
    <w:rsid w:val="6FAEB410"/>
    <w:rsid w:val="6FB4759A"/>
    <w:rsid w:val="6FB5AC76"/>
    <w:rsid w:val="6FBBB9A6"/>
    <w:rsid w:val="6FCC2A91"/>
    <w:rsid w:val="6FD98C44"/>
    <w:rsid w:val="6FD9CA89"/>
    <w:rsid w:val="6FE1C69A"/>
    <w:rsid w:val="6FE2298A"/>
    <w:rsid w:val="6FE98DFE"/>
    <w:rsid w:val="6FF67928"/>
    <w:rsid w:val="6FF89045"/>
    <w:rsid w:val="7006D576"/>
    <w:rsid w:val="700C9EC2"/>
    <w:rsid w:val="700DC08C"/>
    <w:rsid w:val="7010DE76"/>
    <w:rsid w:val="701B5D4D"/>
    <w:rsid w:val="701D25CC"/>
    <w:rsid w:val="701FE366"/>
    <w:rsid w:val="70239C22"/>
    <w:rsid w:val="702B14CA"/>
    <w:rsid w:val="70355CF6"/>
    <w:rsid w:val="70387E11"/>
    <w:rsid w:val="703B50D4"/>
    <w:rsid w:val="7043FD71"/>
    <w:rsid w:val="704510E4"/>
    <w:rsid w:val="70461799"/>
    <w:rsid w:val="7047942F"/>
    <w:rsid w:val="7060AEEC"/>
    <w:rsid w:val="706572DC"/>
    <w:rsid w:val="7070BDDB"/>
    <w:rsid w:val="7073D215"/>
    <w:rsid w:val="707E51F5"/>
    <w:rsid w:val="707E667C"/>
    <w:rsid w:val="7085A137"/>
    <w:rsid w:val="70932029"/>
    <w:rsid w:val="70979B3C"/>
    <w:rsid w:val="709804A6"/>
    <w:rsid w:val="70A25134"/>
    <w:rsid w:val="70C0080A"/>
    <w:rsid w:val="70C0FE22"/>
    <w:rsid w:val="70D0EA2D"/>
    <w:rsid w:val="70D1AF68"/>
    <w:rsid w:val="70D8BBA4"/>
    <w:rsid w:val="70DD9D78"/>
    <w:rsid w:val="70E6A71E"/>
    <w:rsid w:val="70EFA8D9"/>
    <w:rsid w:val="70F8DA47"/>
    <w:rsid w:val="711C92C5"/>
    <w:rsid w:val="71262279"/>
    <w:rsid w:val="712D2C7B"/>
    <w:rsid w:val="7130CEC4"/>
    <w:rsid w:val="7157410C"/>
    <w:rsid w:val="71587D3C"/>
    <w:rsid w:val="715BE87C"/>
    <w:rsid w:val="715FE21F"/>
    <w:rsid w:val="71681E07"/>
    <w:rsid w:val="716CEC98"/>
    <w:rsid w:val="716D423A"/>
    <w:rsid w:val="71742A33"/>
    <w:rsid w:val="718CD66C"/>
    <w:rsid w:val="7191615F"/>
    <w:rsid w:val="71960502"/>
    <w:rsid w:val="71A87585"/>
    <w:rsid w:val="71B08A8C"/>
    <w:rsid w:val="71CDEF94"/>
    <w:rsid w:val="71CEB258"/>
    <w:rsid w:val="71D3F66B"/>
    <w:rsid w:val="71E74343"/>
    <w:rsid w:val="71E99A0B"/>
    <w:rsid w:val="71EAA6D1"/>
    <w:rsid w:val="71EB08BF"/>
    <w:rsid w:val="71F02BFB"/>
    <w:rsid w:val="71FAC075"/>
    <w:rsid w:val="71FC80D6"/>
    <w:rsid w:val="71FEAFD8"/>
    <w:rsid w:val="720B9F6F"/>
    <w:rsid w:val="72169E46"/>
    <w:rsid w:val="7217C78D"/>
    <w:rsid w:val="7226042A"/>
    <w:rsid w:val="7227EAB6"/>
    <w:rsid w:val="722E053B"/>
    <w:rsid w:val="7239DC71"/>
    <w:rsid w:val="7254DA69"/>
    <w:rsid w:val="725B1617"/>
    <w:rsid w:val="725CF014"/>
    <w:rsid w:val="72605D4D"/>
    <w:rsid w:val="726111FE"/>
    <w:rsid w:val="726A45F3"/>
    <w:rsid w:val="726F8151"/>
    <w:rsid w:val="727B8D3C"/>
    <w:rsid w:val="728B4E6E"/>
    <w:rsid w:val="729401AD"/>
    <w:rsid w:val="729B7500"/>
    <w:rsid w:val="72A5781B"/>
    <w:rsid w:val="72B073F7"/>
    <w:rsid w:val="72B268AA"/>
    <w:rsid w:val="72B8BCA3"/>
    <w:rsid w:val="72C1A0B2"/>
    <w:rsid w:val="72C7651D"/>
    <w:rsid w:val="72CD64F9"/>
    <w:rsid w:val="72CD9E80"/>
    <w:rsid w:val="72D6C00E"/>
    <w:rsid w:val="72D79C8D"/>
    <w:rsid w:val="72DF86A3"/>
    <w:rsid w:val="72E1C68C"/>
    <w:rsid w:val="72E6024F"/>
    <w:rsid w:val="72E71793"/>
    <w:rsid w:val="72E9335D"/>
    <w:rsid w:val="72EA4385"/>
    <w:rsid w:val="72EA994D"/>
    <w:rsid w:val="72F2E0ED"/>
    <w:rsid w:val="72FCFC40"/>
    <w:rsid w:val="730B90A9"/>
    <w:rsid w:val="731620EF"/>
    <w:rsid w:val="73259819"/>
    <w:rsid w:val="73308D76"/>
    <w:rsid w:val="7347F502"/>
    <w:rsid w:val="734BCE44"/>
    <w:rsid w:val="734DAAA7"/>
    <w:rsid w:val="7357B5CA"/>
    <w:rsid w:val="735DAB6F"/>
    <w:rsid w:val="735EDC4F"/>
    <w:rsid w:val="73641B11"/>
    <w:rsid w:val="736E0BA3"/>
    <w:rsid w:val="73729D2E"/>
    <w:rsid w:val="737372C9"/>
    <w:rsid w:val="737636DA"/>
    <w:rsid w:val="7388E287"/>
    <w:rsid w:val="738CAA64"/>
    <w:rsid w:val="739A55DB"/>
    <w:rsid w:val="739B10B1"/>
    <w:rsid w:val="73A4F5E9"/>
    <w:rsid w:val="73AA5DB2"/>
    <w:rsid w:val="73AD99AA"/>
    <w:rsid w:val="73B5FF2B"/>
    <w:rsid w:val="73BA36D1"/>
    <w:rsid w:val="73C2B4A1"/>
    <w:rsid w:val="73C6D982"/>
    <w:rsid w:val="73CC40A4"/>
    <w:rsid w:val="73D59B04"/>
    <w:rsid w:val="73DA776E"/>
    <w:rsid w:val="73DD095F"/>
    <w:rsid w:val="73DDD0E1"/>
    <w:rsid w:val="73DEC0E7"/>
    <w:rsid w:val="73DF9BCD"/>
    <w:rsid w:val="73EADF13"/>
    <w:rsid w:val="73EE2BA8"/>
    <w:rsid w:val="73EE3AC6"/>
    <w:rsid w:val="73F7162D"/>
    <w:rsid w:val="73FEDB4A"/>
    <w:rsid w:val="7405249C"/>
    <w:rsid w:val="74088A0F"/>
    <w:rsid w:val="740AD843"/>
    <w:rsid w:val="740B3BF5"/>
    <w:rsid w:val="74206A7C"/>
    <w:rsid w:val="742AFF15"/>
    <w:rsid w:val="743405ED"/>
    <w:rsid w:val="743A928C"/>
    <w:rsid w:val="743EDA67"/>
    <w:rsid w:val="743FCBB7"/>
    <w:rsid w:val="7446B173"/>
    <w:rsid w:val="7468FE1E"/>
    <w:rsid w:val="746C8C9C"/>
    <w:rsid w:val="74702C96"/>
    <w:rsid w:val="74772CAE"/>
    <w:rsid w:val="747B229D"/>
    <w:rsid w:val="747BCD16"/>
    <w:rsid w:val="748D667C"/>
    <w:rsid w:val="748FA073"/>
    <w:rsid w:val="749228A8"/>
    <w:rsid w:val="749373ED"/>
    <w:rsid w:val="749BC812"/>
    <w:rsid w:val="74A681FC"/>
    <w:rsid w:val="74AE2EBC"/>
    <w:rsid w:val="74D20B22"/>
    <w:rsid w:val="74D35FB7"/>
    <w:rsid w:val="74D469AE"/>
    <w:rsid w:val="74DDD4E3"/>
    <w:rsid w:val="74EFCE38"/>
    <w:rsid w:val="74F6A832"/>
    <w:rsid w:val="74FA81C4"/>
    <w:rsid w:val="74FED0C7"/>
    <w:rsid w:val="750CE80B"/>
    <w:rsid w:val="7514182B"/>
    <w:rsid w:val="7516A20D"/>
    <w:rsid w:val="75185201"/>
    <w:rsid w:val="751EFA4F"/>
    <w:rsid w:val="75232C62"/>
    <w:rsid w:val="752E40B3"/>
    <w:rsid w:val="7539B1FD"/>
    <w:rsid w:val="753CFE2C"/>
    <w:rsid w:val="7552942E"/>
    <w:rsid w:val="7562DFD5"/>
    <w:rsid w:val="7564BAA2"/>
    <w:rsid w:val="7567E41A"/>
    <w:rsid w:val="756F3C27"/>
    <w:rsid w:val="757108BC"/>
    <w:rsid w:val="7573EF25"/>
    <w:rsid w:val="7578E757"/>
    <w:rsid w:val="75871027"/>
    <w:rsid w:val="7592D21D"/>
    <w:rsid w:val="759837D0"/>
    <w:rsid w:val="759B4972"/>
    <w:rsid w:val="759F01EF"/>
    <w:rsid w:val="759F1997"/>
    <w:rsid w:val="75A542C2"/>
    <w:rsid w:val="75AD34CE"/>
    <w:rsid w:val="75B520CC"/>
    <w:rsid w:val="75B724CE"/>
    <w:rsid w:val="75B86B73"/>
    <w:rsid w:val="75CC3F65"/>
    <w:rsid w:val="75D72DBF"/>
    <w:rsid w:val="75E65956"/>
    <w:rsid w:val="75F1B346"/>
    <w:rsid w:val="75FFDB7E"/>
    <w:rsid w:val="76121836"/>
    <w:rsid w:val="76137575"/>
    <w:rsid w:val="761971AB"/>
    <w:rsid w:val="762C9D33"/>
    <w:rsid w:val="7638A6D7"/>
    <w:rsid w:val="763FA9A9"/>
    <w:rsid w:val="7648354A"/>
    <w:rsid w:val="766175F3"/>
    <w:rsid w:val="7663DF62"/>
    <w:rsid w:val="766C3B50"/>
    <w:rsid w:val="766FBBBA"/>
    <w:rsid w:val="76713578"/>
    <w:rsid w:val="768551D2"/>
    <w:rsid w:val="7686639F"/>
    <w:rsid w:val="768B9E99"/>
    <w:rsid w:val="768F1F8A"/>
    <w:rsid w:val="76B924FB"/>
    <w:rsid w:val="76C31833"/>
    <w:rsid w:val="76C4047F"/>
    <w:rsid w:val="76DC96AB"/>
    <w:rsid w:val="76DD159A"/>
    <w:rsid w:val="76EAF836"/>
    <w:rsid w:val="76EDF08A"/>
    <w:rsid w:val="76EECD96"/>
    <w:rsid w:val="76F14873"/>
    <w:rsid w:val="76F59F09"/>
    <w:rsid w:val="76F64D7A"/>
    <w:rsid w:val="7708AA94"/>
    <w:rsid w:val="7710C3FF"/>
    <w:rsid w:val="7710D851"/>
    <w:rsid w:val="7711AB6A"/>
    <w:rsid w:val="77121830"/>
    <w:rsid w:val="7738256E"/>
    <w:rsid w:val="773D8B50"/>
    <w:rsid w:val="773E9BE5"/>
    <w:rsid w:val="7749078A"/>
    <w:rsid w:val="774DB807"/>
    <w:rsid w:val="774E5306"/>
    <w:rsid w:val="77532A0D"/>
    <w:rsid w:val="775EA088"/>
    <w:rsid w:val="77611BCC"/>
    <w:rsid w:val="7766220E"/>
    <w:rsid w:val="7769A791"/>
    <w:rsid w:val="776FBAB2"/>
    <w:rsid w:val="77713652"/>
    <w:rsid w:val="7775AB4B"/>
    <w:rsid w:val="777BD8D7"/>
    <w:rsid w:val="77805433"/>
    <w:rsid w:val="778D2C69"/>
    <w:rsid w:val="77A4F635"/>
    <w:rsid w:val="77A6FEE1"/>
    <w:rsid w:val="77B1A4D0"/>
    <w:rsid w:val="77B37CD5"/>
    <w:rsid w:val="77D35D30"/>
    <w:rsid w:val="77E2C3D2"/>
    <w:rsid w:val="7804DA44"/>
    <w:rsid w:val="7808F57C"/>
    <w:rsid w:val="783C1242"/>
    <w:rsid w:val="785CC6C9"/>
    <w:rsid w:val="786018F0"/>
    <w:rsid w:val="7869F3FB"/>
    <w:rsid w:val="786C027B"/>
    <w:rsid w:val="786F7ECE"/>
    <w:rsid w:val="787642AC"/>
    <w:rsid w:val="787A4AFE"/>
    <w:rsid w:val="787EDA0D"/>
    <w:rsid w:val="789FBC1E"/>
    <w:rsid w:val="78BA2C6A"/>
    <w:rsid w:val="78BB0F50"/>
    <w:rsid w:val="78BCC7A3"/>
    <w:rsid w:val="78BD95E0"/>
    <w:rsid w:val="78BFFCE7"/>
    <w:rsid w:val="78C35E5C"/>
    <w:rsid w:val="78CF3206"/>
    <w:rsid w:val="78D3E98D"/>
    <w:rsid w:val="78DB24DA"/>
    <w:rsid w:val="78E65D37"/>
    <w:rsid w:val="78F07175"/>
    <w:rsid w:val="78FEA182"/>
    <w:rsid w:val="790D3652"/>
    <w:rsid w:val="7916E02C"/>
    <w:rsid w:val="791C8342"/>
    <w:rsid w:val="79213532"/>
    <w:rsid w:val="7924D8EA"/>
    <w:rsid w:val="792546CD"/>
    <w:rsid w:val="792955D1"/>
    <w:rsid w:val="792A248B"/>
    <w:rsid w:val="792C631D"/>
    <w:rsid w:val="7930BA41"/>
    <w:rsid w:val="79388C5C"/>
    <w:rsid w:val="793B5A09"/>
    <w:rsid w:val="794750E8"/>
    <w:rsid w:val="794E5310"/>
    <w:rsid w:val="797C9C4F"/>
    <w:rsid w:val="7981E6F1"/>
    <w:rsid w:val="79865C20"/>
    <w:rsid w:val="79886DB3"/>
    <w:rsid w:val="798CDDD0"/>
    <w:rsid w:val="79973EEA"/>
    <w:rsid w:val="799E0B44"/>
    <w:rsid w:val="79A2AABE"/>
    <w:rsid w:val="79A5AF7D"/>
    <w:rsid w:val="79A86AE3"/>
    <w:rsid w:val="79AA94B5"/>
    <w:rsid w:val="79B3D532"/>
    <w:rsid w:val="79C8B97E"/>
    <w:rsid w:val="79CF4E36"/>
    <w:rsid w:val="79D4A6DD"/>
    <w:rsid w:val="79EB5ABB"/>
    <w:rsid w:val="79ECF24B"/>
    <w:rsid w:val="79F4393E"/>
    <w:rsid w:val="79FA97AA"/>
    <w:rsid w:val="79FE3877"/>
    <w:rsid w:val="7A2C6EBC"/>
    <w:rsid w:val="7A3E0A69"/>
    <w:rsid w:val="7A433AB7"/>
    <w:rsid w:val="7A47CD46"/>
    <w:rsid w:val="7A5502B3"/>
    <w:rsid w:val="7A589804"/>
    <w:rsid w:val="7A5AAD2E"/>
    <w:rsid w:val="7A5FCCB0"/>
    <w:rsid w:val="7A74B2B2"/>
    <w:rsid w:val="7A8B234B"/>
    <w:rsid w:val="7A921B7F"/>
    <w:rsid w:val="7A96152E"/>
    <w:rsid w:val="7A9E7086"/>
    <w:rsid w:val="7AA29B35"/>
    <w:rsid w:val="7AA3E372"/>
    <w:rsid w:val="7ABEBD70"/>
    <w:rsid w:val="7AC173B5"/>
    <w:rsid w:val="7AD54343"/>
    <w:rsid w:val="7ADC07B2"/>
    <w:rsid w:val="7ADDD93A"/>
    <w:rsid w:val="7AEBFBC8"/>
    <w:rsid w:val="7AF43AD2"/>
    <w:rsid w:val="7B013D8B"/>
    <w:rsid w:val="7B01BA33"/>
    <w:rsid w:val="7B0EBD7C"/>
    <w:rsid w:val="7B17C422"/>
    <w:rsid w:val="7B1ADD01"/>
    <w:rsid w:val="7B1E33B1"/>
    <w:rsid w:val="7B427C3D"/>
    <w:rsid w:val="7B5AE208"/>
    <w:rsid w:val="7B6EAC4B"/>
    <w:rsid w:val="7B7D8092"/>
    <w:rsid w:val="7B832CCE"/>
    <w:rsid w:val="7B836345"/>
    <w:rsid w:val="7B88C2AC"/>
    <w:rsid w:val="7B8EFFA6"/>
    <w:rsid w:val="7B8F9B2E"/>
    <w:rsid w:val="7B9CDDA9"/>
    <w:rsid w:val="7BA20A61"/>
    <w:rsid w:val="7BA2C851"/>
    <w:rsid w:val="7BAADEEA"/>
    <w:rsid w:val="7BB626D9"/>
    <w:rsid w:val="7BB6EFC0"/>
    <w:rsid w:val="7BC17C2A"/>
    <w:rsid w:val="7BCBD9C6"/>
    <w:rsid w:val="7BD4E04D"/>
    <w:rsid w:val="7BE3D9E3"/>
    <w:rsid w:val="7BFF3D19"/>
    <w:rsid w:val="7C0135E1"/>
    <w:rsid w:val="7C0FACCE"/>
    <w:rsid w:val="7C11519C"/>
    <w:rsid w:val="7C15344D"/>
    <w:rsid w:val="7C1A6799"/>
    <w:rsid w:val="7C1A6C85"/>
    <w:rsid w:val="7C1C980B"/>
    <w:rsid w:val="7C271BAB"/>
    <w:rsid w:val="7C407EED"/>
    <w:rsid w:val="7C440A49"/>
    <w:rsid w:val="7C4B2BC7"/>
    <w:rsid w:val="7C4D36DE"/>
    <w:rsid w:val="7C5792F6"/>
    <w:rsid w:val="7C602B7C"/>
    <w:rsid w:val="7C6C3F98"/>
    <w:rsid w:val="7C721B91"/>
    <w:rsid w:val="7C7CEEF7"/>
    <w:rsid w:val="7C7F9794"/>
    <w:rsid w:val="7C8DE7BD"/>
    <w:rsid w:val="7CA01EF3"/>
    <w:rsid w:val="7CA1AE5B"/>
    <w:rsid w:val="7CA29CBE"/>
    <w:rsid w:val="7CA45366"/>
    <w:rsid w:val="7CAD351B"/>
    <w:rsid w:val="7CB0864D"/>
    <w:rsid w:val="7CB58487"/>
    <w:rsid w:val="7CCB2DF0"/>
    <w:rsid w:val="7CCBFEC0"/>
    <w:rsid w:val="7CD07DF6"/>
    <w:rsid w:val="7CD385A2"/>
    <w:rsid w:val="7CD5F421"/>
    <w:rsid w:val="7CD7DDAA"/>
    <w:rsid w:val="7CE5408F"/>
    <w:rsid w:val="7D044F9C"/>
    <w:rsid w:val="7D094C82"/>
    <w:rsid w:val="7D0E372A"/>
    <w:rsid w:val="7D22C7C3"/>
    <w:rsid w:val="7D32A901"/>
    <w:rsid w:val="7D466839"/>
    <w:rsid w:val="7D4FA9B4"/>
    <w:rsid w:val="7D51AE2F"/>
    <w:rsid w:val="7D55323A"/>
    <w:rsid w:val="7D5845DD"/>
    <w:rsid w:val="7D5C8288"/>
    <w:rsid w:val="7D642485"/>
    <w:rsid w:val="7D7F04B9"/>
    <w:rsid w:val="7D7FC871"/>
    <w:rsid w:val="7D84E750"/>
    <w:rsid w:val="7D884D00"/>
    <w:rsid w:val="7D8EA158"/>
    <w:rsid w:val="7D9424C9"/>
    <w:rsid w:val="7D960710"/>
    <w:rsid w:val="7D9B4A7F"/>
    <w:rsid w:val="7D9FDED5"/>
    <w:rsid w:val="7DA928E1"/>
    <w:rsid w:val="7DB12895"/>
    <w:rsid w:val="7DB54D00"/>
    <w:rsid w:val="7DBE81BF"/>
    <w:rsid w:val="7DC2652A"/>
    <w:rsid w:val="7DC39CB1"/>
    <w:rsid w:val="7DC6B9EB"/>
    <w:rsid w:val="7DC72D86"/>
    <w:rsid w:val="7DCE4960"/>
    <w:rsid w:val="7DD9AAC4"/>
    <w:rsid w:val="7DDDD19A"/>
    <w:rsid w:val="7DEBB7F3"/>
    <w:rsid w:val="7DEBD1F0"/>
    <w:rsid w:val="7DFE9A64"/>
    <w:rsid w:val="7E0CE08A"/>
    <w:rsid w:val="7E248497"/>
    <w:rsid w:val="7E2D59E6"/>
    <w:rsid w:val="7E38E403"/>
    <w:rsid w:val="7E4023C7"/>
    <w:rsid w:val="7E4789C8"/>
    <w:rsid w:val="7E4B6BF3"/>
    <w:rsid w:val="7E528D8E"/>
    <w:rsid w:val="7E614517"/>
    <w:rsid w:val="7E6C731C"/>
    <w:rsid w:val="7E6CAE57"/>
    <w:rsid w:val="7E6F5FA7"/>
    <w:rsid w:val="7E724C9A"/>
    <w:rsid w:val="7E85F4E8"/>
    <w:rsid w:val="7E880968"/>
    <w:rsid w:val="7E8E75EB"/>
    <w:rsid w:val="7E9C26B9"/>
    <w:rsid w:val="7E9DA3A4"/>
    <w:rsid w:val="7EA2E1B3"/>
    <w:rsid w:val="7EA5D042"/>
    <w:rsid w:val="7EADE877"/>
    <w:rsid w:val="7EB5957D"/>
    <w:rsid w:val="7EB7F290"/>
    <w:rsid w:val="7EC2E949"/>
    <w:rsid w:val="7EC31A2E"/>
    <w:rsid w:val="7EC33B7F"/>
    <w:rsid w:val="7EC92B6B"/>
    <w:rsid w:val="7EEBEFF4"/>
    <w:rsid w:val="7EF3A463"/>
    <w:rsid w:val="7EF8777D"/>
    <w:rsid w:val="7EFEB1F2"/>
    <w:rsid w:val="7EFF03E4"/>
    <w:rsid w:val="7F10B098"/>
    <w:rsid w:val="7F1317F0"/>
    <w:rsid w:val="7F173100"/>
    <w:rsid w:val="7F223C8B"/>
    <w:rsid w:val="7F24CE7B"/>
    <w:rsid w:val="7F2D6882"/>
    <w:rsid w:val="7F31B4F3"/>
    <w:rsid w:val="7F3502E8"/>
    <w:rsid w:val="7F477504"/>
    <w:rsid w:val="7F5FBAFB"/>
    <w:rsid w:val="7F6367B2"/>
    <w:rsid w:val="7F6F30D1"/>
    <w:rsid w:val="7F7AE829"/>
    <w:rsid w:val="7F7ED29B"/>
    <w:rsid w:val="7F90A6F1"/>
    <w:rsid w:val="7F922F39"/>
    <w:rsid w:val="7F943953"/>
    <w:rsid w:val="7F9A43DC"/>
    <w:rsid w:val="7FB7C14C"/>
    <w:rsid w:val="7FC32DFD"/>
    <w:rsid w:val="7FC39415"/>
    <w:rsid w:val="7FDFFAA3"/>
    <w:rsid w:val="7FE0B13C"/>
    <w:rsid w:val="7FE12FD8"/>
    <w:rsid w:val="7FFCD3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0737AF"/>
  <w15:docId w15:val="{6AF830DA-FCF4-42FD-BFEB-3C36F4EE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17"/>
      </w:numPr>
      <w:spacing w:before="240"/>
      <w:outlineLvl w:val="0"/>
    </w:pPr>
    <w:rPr>
      <w:b/>
      <w:smallCaps/>
    </w:rPr>
  </w:style>
  <w:style w:type="paragraph" w:styleId="Heading2">
    <w:name w:val="heading 2"/>
    <w:basedOn w:val="Normal"/>
    <w:next w:val="Text2"/>
    <w:uiPriority w:val="1"/>
    <w:qFormat/>
    <w:pPr>
      <w:keepNext/>
      <w:numPr>
        <w:ilvl w:val="1"/>
        <w:numId w:val="17"/>
      </w:numPr>
      <w:outlineLvl w:val="1"/>
    </w:pPr>
    <w:rPr>
      <w:b/>
    </w:rPr>
  </w:style>
  <w:style w:type="paragraph" w:styleId="Heading3">
    <w:name w:val="heading 3"/>
    <w:basedOn w:val="Normal"/>
    <w:next w:val="Text3"/>
    <w:uiPriority w:val="1"/>
    <w:qFormat/>
    <w:pPr>
      <w:keepNext/>
      <w:numPr>
        <w:ilvl w:val="2"/>
        <w:numId w:val="17"/>
      </w:numPr>
      <w:outlineLvl w:val="2"/>
    </w:pPr>
    <w:rPr>
      <w:i/>
    </w:rPr>
  </w:style>
  <w:style w:type="paragraph" w:styleId="Heading4">
    <w:name w:val="heading 4"/>
    <w:basedOn w:val="Normal"/>
    <w:next w:val="Text4"/>
    <w:uiPriority w:val="1"/>
    <w:qFormat/>
    <w:pPr>
      <w:keepNext/>
      <w:numPr>
        <w:ilvl w:val="3"/>
        <w:numId w:val="17"/>
      </w:numPr>
      <w:outlineLvl w:val="3"/>
    </w:pPr>
  </w:style>
  <w:style w:type="paragraph" w:styleId="Heading5">
    <w:name w:val="heading 5"/>
    <w:basedOn w:val="Normal"/>
    <w:next w:val="Normal"/>
    <w:semiHidden/>
    <w:pPr>
      <w:keepNext/>
      <w:numPr>
        <w:ilvl w:val="4"/>
        <w:numId w:val="17"/>
      </w:numPr>
      <w:outlineLvl w:val="4"/>
    </w:pPr>
  </w:style>
  <w:style w:type="paragraph" w:styleId="Heading6">
    <w:name w:val="heading 6"/>
    <w:basedOn w:val="Normal"/>
    <w:next w:val="Normal"/>
    <w:semiHidden/>
    <w:pPr>
      <w:keepNext/>
      <w:numPr>
        <w:ilvl w:val="5"/>
        <w:numId w:val="17"/>
      </w:numPr>
      <w:outlineLvl w:val="5"/>
    </w:pPr>
  </w:style>
  <w:style w:type="paragraph" w:styleId="Heading7">
    <w:name w:val="heading 7"/>
    <w:basedOn w:val="Normal"/>
    <w:next w:val="Normal"/>
    <w:semiHidden/>
    <w:pPr>
      <w:keepNext/>
      <w:numPr>
        <w:ilvl w:val="6"/>
        <w:numId w:val="17"/>
      </w:numPr>
      <w:outlineLvl w:val="6"/>
    </w:pPr>
  </w:style>
  <w:style w:type="paragraph" w:styleId="Heading8">
    <w:name w:val="heading 8"/>
    <w:basedOn w:val="Normal"/>
    <w:next w:val="Normal"/>
    <w:semiHidden/>
    <w:pPr>
      <w:keepNext/>
      <w:numPr>
        <w:ilvl w:val="7"/>
        <w:numId w:val="17"/>
      </w:numPr>
      <w:outlineLvl w:val="7"/>
    </w:pPr>
  </w:style>
  <w:style w:type="paragraph" w:styleId="Heading9">
    <w:name w:val="heading 9"/>
    <w:basedOn w:val="Normal"/>
    <w:next w:val="Normal"/>
    <w:semiHidden/>
    <w:pPr>
      <w:keepNext/>
      <w:numPr>
        <w:ilvl w:val="8"/>
        <w:numId w:val="17"/>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semiHidden/>
    <w:unhideWhenUsed/>
    <w:pPr>
      <w:spacing w:after="120"/>
    </w:pPr>
    <w:rPr>
      <w:b/>
      <w:i/>
    </w:rPr>
  </w:style>
  <w:style w:type="paragraph" w:customStyle="1" w:styleId="TableTitle3">
    <w:name w:val="Table Title 3"/>
    <w:basedOn w:val="Text3"/>
    <w:semiHidden/>
    <w:unhideWhenUsed/>
    <w:pPr>
      <w:spacing w:after="120"/>
    </w:pPr>
    <w:rPr>
      <w:b/>
      <w:i/>
    </w:rPr>
  </w:style>
  <w:style w:type="paragraph" w:customStyle="1" w:styleId="TableTitle2">
    <w:name w:val="Table Title 2"/>
    <w:basedOn w:val="Text2"/>
    <w:semiHidden/>
    <w:unhideWhenUsed/>
    <w:pPr>
      <w:spacing w:after="120"/>
    </w:pPr>
    <w:rPr>
      <w:b/>
      <w:i/>
    </w:rPr>
  </w:style>
  <w:style w:type="paragraph" w:customStyle="1" w:styleId="TableTitle1">
    <w:name w:val="Table Title 1"/>
    <w:basedOn w:val="Text1"/>
    <w:semiHidden/>
    <w:unhideWhenUsed/>
    <w:pPr>
      <w:spacing w:after="120"/>
    </w:pPr>
    <w:rPr>
      <w:b/>
      <w:i/>
    </w:rPr>
  </w:style>
  <w:style w:type="paragraph" w:customStyle="1" w:styleId="TableTitle">
    <w:name w:val="Table Title"/>
    <w:basedOn w:val="Normal"/>
    <w:semiHidden/>
    <w:unhideWhenUsed/>
    <w:pPr>
      <w:spacing w:after="120"/>
    </w:pPr>
    <w:rPr>
      <w:b/>
      <w:i/>
    </w:rPr>
  </w:style>
  <w:style w:type="paragraph" w:customStyle="1" w:styleId="FigureSource4">
    <w:name w:val="Figure Source 4"/>
    <w:basedOn w:val="Text4"/>
    <w:next w:val="Text3"/>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Note">
    <w:name w:val="Figure Note"/>
    <w:basedOn w:val="FigureSource"/>
    <w:next w:val="FigureSource"/>
    <w:uiPriority w:val="2"/>
    <w:rPr>
      <w:b/>
    </w:rPr>
  </w:style>
  <w:style w:type="paragraph" w:customStyle="1" w:styleId="FigureBody4">
    <w:name w:val="Figure Body 4"/>
    <w:basedOn w:val="Text4"/>
    <w:next w:val="FigureNote"/>
    <w:uiPriority w:val="2"/>
    <w:pPr>
      <w:keepNext/>
      <w:spacing w:after="40"/>
    </w:pPr>
  </w:style>
  <w:style w:type="paragraph" w:customStyle="1" w:styleId="FigureBody3">
    <w:name w:val="Figure Body 3"/>
    <w:basedOn w:val="Text3"/>
    <w:next w:val="FigureNote"/>
    <w:uiPriority w:val="2"/>
    <w:pPr>
      <w:keepNext/>
      <w:spacing w:after="40"/>
    </w:pPr>
  </w:style>
  <w:style w:type="paragraph" w:customStyle="1" w:styleId="FigureBody2">
    <w:name w:val="Figure Body 2"/>
    <w:basedOn w:val="Text2"/>
    <w:next w:val="FigureNote"/>
    <w:uiPriority w:val="2"/>
    <w:pPr>
      <w:keepNext/>
      <w:spacing w:after="40"/>
    </w:pPr>
  </w:style>
  <w:style w:type="paragraph" w:customStyle="1" w:styleId="FigureBody1">
    <w:name w:val="Figure Body 1"/>
    <w:basedOn w:val="Text1"/>
    <w:next w:val="FigureNote"/>
    <w:uiPriority w:val="2"/>
    <w:pPr>
      <w:keepNext/>
      <w:spacing w:after="40"/>
    </w:pPr>
  </w:style>
  <w:style w:type="paragraph" w:customStyle="1" w:styleId="FigureBody">
    <w:name w:val="Figure Body"/>
    <w:basedOn w:val="Normal"/>
    <w:next w:val="FigureNote"/>
    <w:uiPriority w:val="2"/>
    <w:pPr>
      <w:keepNext/>
      <w:spacing w:after="40"/>
    </w:pPr>
  </w:style>
  <w:style w:type="paragraph" w:customStyle="1" w:styleId="FigureTitle4">
    <w:name w:val="Figure Title 4"/>
    <w:basedOn w:val="Text4"/>
    <w:next w:val="FigureBody"/>
    <w:uiPriority w:val="2"/>
    <w:pPr>
      <w:keepNext/>
      <w:spacing w:after="180"/>
    </w:pPr>
    <w:rPr>
      <w:b/>
    </w:rPr>
  </w:style>
  <w:style w:type="paragraph" w:customStyle="1" w:styleId="FigureTitle3">
    <w:name w:val="Figure Title 3"/>
    <w:basedOn w:val="Text3"/>
    <w:next w:val="FigureBody"/>
    <w:uiPriority w:val="2"/>
    <w:pPr>
      <w:keepNext/>
      <w:spacing w:after="180"/>
    </w:pPr>
    <w:rPr>
      <w:b/>
    </w:rPr>
  </w:style>
  <w:style w:type="paragraph" w:customStyle="1" w:styleId="FigureTitle2">
    <w:name w:val="Figure Title 2"/>
    <w:basedOn w:val="Text2"/>
    <w:next w:val="FigureBody"/>
    <w:uiPriority w:val="2"/>
    <w:pPr>
      <w:keepNext/>
      <w:spacing w:after="180"/>
    </w:pPr>
    <w:rPr>
      <w:b/>
    </w:rPr>
  </w:style>
  <w:style w:type="paragraph" w:customStyle="1" w:styleId="FigureTitle1">
    <w:name w:val="Figure Title 1"/>
    <w:basedOn w:val="Text1"/>
    <w:next w:val="FigureBody"/>
    <w:uiPriority w:val="2"/>
    <w:pPr>
      <w:keepNext/>
      <w:spacing w:after="180"/>
    </w:pPr>
    <w:rPr>
      <w:b/>
    </w:rPr>
  </w:style>
  <w:style w:type="paragraph" w:customStyle="1" w:styleId="FigureTitle">
    <w:name w:val="Figure Title"/>
    <w:basedOn w:val="Normal"/>
    <w:next w:val="FigureBody"/>
    <w:uiPriority w:val="2"/>
    <w:pPr>
      <w:keepNext/>
      <w:spacing w:after="180"/>
    </w:pPr>
    <w:rPr>
      <w:b/>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uiPriority w:val="1"/>
    <w:qFormat/>
    <w:pPr>
      <w:ind w:left="1202"/>
    </w:pPr>
  </w:style>
  <w:style w:type="paragraph" w:customStyle="1" w:styleId="Text1">
    <w:name w:val="Text 1"/>
    <w:basedOn w:val="Normal"/>
    <w:uiPriority w:val="1"/>
    <w:qFormat/>
    <w:pPr>
      <w:ind w:left="482"/>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nhideWhenUsed/>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n,Footnote,Fußnote,Char Char Car,Fußnotentextf,Note de bas de page Car Car Car Car Car Car Car Car Car Car,Note de bas de page Car Car Car Car,Note de bas de page Car Car Car Car Car Car Car Car Car,ft,f,-E Fußnotentext,footnote text,Fußn"/>
    <w:basedOn w:val="Normal"/>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20"/>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16"/>
      </w:numPr>
    </w:pPr>
  </w:style>
  <w:style w:type="paragraph" w:customStyle="1" w:styleId="ListBulletLevel2">
    <w:name w:val="List Bullet (Level 2)"/>
    <w:basedOn w:val="Text1"/>
    <w:uiPriority w:val="1"/>
    <w:pPr>
      <w:numPr>
        <w:ilvl w:val="1"/>
        <w:numId w:val="16"/>
      </w:numPr>
    </w:pPr>
  </w:style>
  <w:style w:type="paragraph" w:customStyle="1" w:styleId="ListBulletLevel3">
    <w:name w:val="List Bullet (Level 3)"/>
    <w:basedOn w:val="Text1"/>
    <w:uiPriority w:val="1"/>
    <w:semiHidden/>
    <w:unhideWhenUsed/>
    <w:pPr>
      <w:numPr>
        <w:ilvl w:val="2"/>
        <w:numId w:val="16"/>
      </w:numPr>
    </w:pPr>
  </w:style>
  <w:style w:type="paragraph" w:customStyle="1" w:styleId="ListBulletLevel4">
    <w:name w:val="List Bullet (Level 4)"/>
    <w:basedOn w:val="Text1"/>
    <w:uiPriority w:val="1"/>
    <w:semiHidden/>
    <w:unhideWhenUsed/>
    <w:pPr>
      <w:numPr>
        <w:ilvl w:val="3"/>
        <w:numId w:val="16"/>
      </w:numPr>
    </w:pPr>
  </w:style>
  <w:style w:type="paragraph" w:customStyle="1" w:styleId="ListBullet1">
    <w:name w:val="List Bullet 1"/>
    <w:basedOn w:val="Text1"/>
    <w:uiPriority w:val="1"/>
    <w:pPr>
      <w:numPr>
        <w:numId w:val="15"/>
      </w:numPr>
    </w:pPr>
  </w:style>
  <w:style w:type="paragraph" w:customStyle="1" w:styleId="ListBullet1Level2">
    <w:name w:val="List Bullet 1 (Level 2)"/>
    <w:basedOn w:val="Text1"/>
    <w:uiPriority w:val="1"/>
    <w:pPr>
      <w:numPr>
        <w:ilvl w:val="1"/>
        <w:numId w:val="15"/>
      </w:numPr>
    </w:pPr>
  </w:style>
  <w:style w:type="paragraph" w:customStyle="1" w:styleId="ListBullet1Level3">
    <w:name w:val="List Bullet 1 (Level 3)"/>
    <w:basedOn w:val="Text1"/>
    <w:uiPriority w:val="1"/>
    <w:semiHidden/>
    <w:unhideWhenUsed/>
    <w:pPr>
      <w:numPr>
        <w:ilvl w:val="2"/>
        <w:numId w:val="15"/>
      </w:numPr>
    </w:pPr>
  </w:style>
  <w:style w:type="paragraph" w:customStyle="1" w:styleId="ListBullet1Level4">
    <w:name w:val="List Bullet 1 (Level 4)"/>
    <w:basedOn w:val="Text1"/>
    <w:uiPriority w:val="1"/>
    <w:semiHidden/>
    <w:unhideWhenUsed/>
    <w:pPr>
      <w:numPr>
        <w:ilvl w:val="3"/>
        <w:numId w:val="15"/>
      </w:numPr>
    </w:pPr>
  </w:style>
  <w:style w:type="paragraph" w:styleId="ListBullet2">
    <w:name w:val="List Bullet 2"/>
    <w:basedOn w:val="Text2"/>
    <w:uiPriority w:val="1"/>
    <w:pPr>
      <w:numPr>
        <w:numId w:val="14"/>
      </w:numPr>
    </w:pPr>
  </w:style>
  <w:style w:type="paragraph" w:customStyle="1" w:styleId="ListBullet2Level2">
    <w:name w:val="List Bullet 2 (Level 2)"/>
    <w:basedOn w:val="Text2"/>
    <w:uiPriority w:val="1"/>
    <w:pPr>
      <w:numPr>
        <w:ilvl w:val="1"/>
        <w:numId w:val="14"/>
      </w:numPr>
    </w:pPr>
  </w:style>
  <w:style w:type="paragraph" w:customStyle="1" w:styleId="ListBullet2Level3">
    <w:name w:val="List Bullet 2 (Level 3)"/>
    <w:basedOn w:val="Text2"/>
    <w:uiPriority w:val="1"/>
    <w:semiHidden/>
    <w:unhideWhenUsed/>
    <w:pPr>
      <w:numPr>
        <w:ilvl w:val="2"/>
        <w:numId w:val="14"/>
      </w:numPr>
    </w:pPr>
  </w:style>
  <w:style w:type="paragraph" w:customStyle="1" w:styleId="ListBullet2Level4">
    <w:name w:val="List Bullet 2 (Level 4)"/>
    <w:basedOn w:val="Text2"/>
    <w:uiPriority w:val="1"/>
    <w:semiHidden/>
    <w:unhideWhenUsed/>
    <w:pPr>
      <w:numPr>
        <w:ilvl w:val="3"/>
        <w:numId w:val="14"/>
      </w:numPr>
    </w:pPr>
  </w:style>
  <w:style w:type="paragraph" w:styleId="ListBullet3">
    <w:name w:val="List Bullet 3"/>
    <w:basedOn w:val="Text3"/>
    <w:uiPriority w:val="1"/>
    <w:pPr>
      <w:numPr>
        <w:numId w:val="13"/>
      </w:numPr>
    </w:pPr>
  </w:style>
  <w:style w:type="paragraph" w:customStyle="1" w:styleId="ListBullet3Level2">
    <w:name w:val="List Bullet 3 (Level 2)"/>
    <w:basedOn w:val="Text3"/>
    <w:uiPriority w:val="1"/>
    <w:pPr>
      <w:numPr>
        <w:ilvl w:val="1"/>
        <w:numId w:val="13"/>
      </w:numPr>
    </w:pPr>
  </w:style>
  <w:style w:type="paragraph" w:customStyle="1" w:styleId="ListBullet3Level3">
    <w:name w:val="List Bullet 3 (Level 3)"/>
    <w:basedOn w:val="Text3"/>
    <w:uiPriority w:val="1"/>
    <w:semiHidden/>
    <w:unhideWhenUsed/>
    <w:pPr>
      <w:numPr>
        <w:ilvl w:val="2"/>
        <w:numId w:val="13"/>
      </w:numPr>
    </w:pPr>
  </w:style>
  <w:style w:type="paragraph" w:customStyle="1" w:styleId="ListBullet3Level4">
    <w:name w:val="List Bullet 3 (Level 4)"/>
    <w:basedOn w:val="Text3"/>
    <w:uiPriority w:val="1"/>
    <w:semiHidden/>
    <w:unhideWhenUsed/>
    <w:pPr>
      <w:numPr>
        <w:ilvl w:val="3"/>
        <w:numId w:val="13"/>
      </w:numPr>
    </w:pPr>
  </w:style>
  <w:style w:type="paragraph" w:styleId="ListBullet4">
    <w:name w:val="List Bullet 4"/>
    <w:basedOn w:val="Text4"/>
    <w:uiPriority w:val="1"/>
    <w:pPr>
      <w:numPr>
        <w:numId w:val="12"/>
      </w:numPr>
    </w:pPr>
  </w:style>
  <w:style w:type="paragraph" w:customStyle="1" w:styleId="ListBullet4Level2">
    <w:name w:val="List Bullet 4 (Level 2)"/>
    <w:basedOn w:val="Text4"/>
    <w:uiPriority w:val="1"/>
    <w:pPr>
      <w:numPr>
        <w:ilvl w:val="1"/>
        <w:numId w:val="12"/>
      </w:numPr>
    </w:pPr>
  </w:style>
  <w:style w:type="paragraph" w:customStyle="1" w:styleId="ListBullet4Level3">
    <w:name w:val="List Bullet 4 (Level 3)"/>
    <w:basedOn w:val="Text4"/>
    <w:uiPriority w:val="1"/>
    <w:semiHidden/>
    <w:unhideWhenUsed/>
    <w:pPr>
      <w:numPr>
        <w:ilvl w:val="2"/>
        <w:numId w:val="12"/>
      </w:numPr>
    </w:pPr>
  </w:style>
  <w:style w:type="paragraph" w:customStyle="1" w:styleId="ListBullet4Level4">
    <w:name w:val="List Bullet 4 (Level 4)"/>
    <w:basedOn w:val="Text4"/>
    <w:uiPriority w:val="1"/>
    <w:semiHidden/>
    <w:unhideWhenUsed/>
    <w:pPr>
      <w:numPr>
        <w:ilvl w:val="3"/>
        <w:numId w:val="12"/>
      </w:numPr>
    </w:pPr>
  </w:style>
  <w:style w:type="paragraph" w:customStyle="1" w:styleId="ListDash">
    <w:name w:val="List Dash"/>
    <w:basedOn w:val="Normal"/>
    <w:uiPriority w:val="1"/>
    <w:pPr>
      <w:numPr>
        <w:numId w:val="6"/>
      </w:numPr>
    </w:pPr>
  </w:style>
  <w:style w:type="paragraph" w:customStyle="1" w:styleId="ListDashLevel2">
    <w:name w:val="List Dash (Level 2)"/>
    <w:basedOn w:val="Normal"/>
    <w:uiPriority w:val="1"/>
    <w:pPr>
      <w:numPr>
        <w:ilvl w:val="1"/>
        <w:numId w:val="6"/>
      </w:numPr>
    </w:pPr>
  </w:style>
  <w:style w:type="paragraph" w:customStyle="1" w:styleId="ListDashLevel3">
    <w:name w:val="List Dash (Level 3)"/>
    <w:basedOn w:val="Normal"/>
    <w:uiPriority w:val="1"/>
    <w:semiHidden/>
    <w:unhideWhenUsed/>
    <w:pPr>
      <w:numPr>
        <w:ilvl w:val="2"/>
        <w:numId w:val="6"/>
      </w:numPr>
    </w:pPr>
  </w:style>
  <w:style w:type="paragraph" w:customStyle="1" w:styleId="ListDashLevel4">
    <w:name w:val="List Dash (Level 4)"/>
    <w:basedOn w:val="Normal"/>
    <w:uiPriority w:val="1"/>
    <w:semiHidden/>
    <w:unhideWhenUsed/>
    <w:pPr>
      <w:numPr>
        <w:ilvl w:val="3"/>
        <w:numId w:val="6"/>
      </w:numPr>
    </w:pPr>
  </w:style>
  <w:style w:type="paragraph" w:customStyle="1" w:styleId="ListDash1">
    <w:name w:val="List Dash 1"/>
    <w:basedOn w:val="Text1"/>
    <w:uiPriority w:val="1"/>
    <w:pPr>
      <w:numPr>
        <w:numId w:val="5"/>
      </w:numPr>
    </w:pPr>
  </w:style>
  <w:style w:type="paragraph" w:customStyle="1" w:styleId="ListDash1Level2">
    <w:name w:val="List Dash 1 (Level 2)"/>
    <w:basedOn w:val="Text1"/>
    <w:uiPriority w:val="1"/>
    <w:pPr>
      <w:numPr>
        <w:ilvl w:val="1"/>
        <w:numId w:val="5"/>
      </w:numPr>
    </w:pPr>
  </w:style>
  <w:style w:type="paragraph" w:customStyle="1" w:styleId="ListDash1Level3">
    <w:name w:val="List Dash 1 (Level 3)"/>
    <w:basedOn w:val="Text1"/>
    <w:uiPriority w:val="1"/>
    <w:semiHidden/>
    <w:unhideWhenUsed/>
    <w:pPr>
      <w:numPr>
        <w:ilvl w:val="2"/>
        <w:numId w:val="5"/>
      </w:numPr>
    </w:pPr>
  </w:style>
  <w:style w:type="paragraph" w:customStyle="1" w:styleId="ListDash1Level4">
    <w:name w:val="List Dash 1 (Level 4)"/>
    <w:basedOn w:val="Text1"/>
    <w:uiPriority w:val="1"/>
    <w:semiHidden/>
    <w:unhideWhenUsed/>
    <w:pPr>
      <w:numPr>
        <w:ilvl w:val="3"/>
        <w:numId w:val="5"/>
      </w:numPr>
    </w:pPr>
  </w:style>
  <w:style w:type="paragraph" w:customStyle="1" w:styleId="ListDash2">
    <w:name w:val="List Dash 2"/>
    <w:basedOn w:val="Text2"/>
    <w:uiPriority w:val="1"/>
    <w:pPr>
      <w:numPr>
        <w:numId w:val="4"/>
      </w:numPr>
    </w:pPr>
  </w:style>
  <w:style w:type="paragraph" w:customStyle="1" w:styleId="ListDash2Level2">
    <w:name w:val="List Dash 2 (Level 2)"/>
    <w:basedOn w:val="Text2"/>
    <w:uiPriority w:val="1"/>
    <w:pPr>
      <w:numPr>
        <w:ilvl w:val="1"/>
        <w:numId w:val="4"/>
      </w:numPr>
    </w:pPr>
  </w:style>
  <w:style w:type="paragraph" w:customStyle="1" w:styleId="ListDash2Level3">
    <w:name w:val="List Dash 2 (Level 3)"/>
    <w:basedOn w:val="Text2"/>
    <w:uiPriority w:val="1"/>
    <w:semiHidden/>
    <w:unhideWhenUsed/>
    <w:pPr>
      <w:numPr>
        <w:ilvl w:val="2"/>
        <w:numId w:val="4"/>
      </w:numPr>
    </w:pPr>
  </w:style>
  <w:style w:type="paragraph" w:customStyle="1" w:styleId="ListDash2Level4">
    <w:name w:val="List Dash 2 (Level 4)"/>
    <w:basedOn w:val="Text2"/>
    <w:uiPriority w:val="1"/>
    <w:semiHidden/>
    <w:unhideWhenUsed/>
    <w:pPr>
      <w:numPr>
        <w:ilvl w:val="3"/>
        <w:numId w:val="4"/>
      </w:numPr>
    </w:pPr>
  </w:style>
  <w:style w:type="paragraph" w:customStyle="1" w:styleId="ListDash3">
    <w:name w:val="List Dash 3"/>
    <w:basedOn w:val="Text3"/>
    <w:uiPriority w:val="1"/>
    <w:pPr>
      <w:numPr>
        <w:numId w:val="3"/>
      </w:numPr>
    </w:pPr>
  </w:style>
  <w:style w:type="paragraph" w:customStyle="1" w:styleId="ListDash3Level2">
    <w:name w:val="List Dash 3 (Level 2)"/>
    <w:basedOn w:val="Text3"/>
    <w:uiPriority w:val="1"/>
    <w:pPr>
      <w:numPr>
        <w:ilvl w:val="1"/>
        <w:numId w:val="3"/>
      </w:numPr>
    </w:pPr>
  </w:style>
  <w:style w:type="paragraph" w:customStyle="1" w:styleId="ListDash3Level3">
    <w:name w:val="List Dash 3 (Level 3)"/>
    <w:basedOn w:val="Text3"/>
    <w:uiPriority w:val="1"/>
    <w:semiHidden/>
    <w:unhideWhenUsed/>
    <w:pPr>
      <w:numPr>
        <w:ilvl w:val="2"/>
        <w:numId w:val="3"/>
      </w:numPr>
    </w:pPr>
  </w:style>
  <w:style w:type="paragraph" w:customStyle="1" w:styleId="ListDash3Level4">
    <w:name w:val="List Dash 3 (Level 4)"/>
    <w:basedOn w:val="Text3"/>
    <w:uiPriority w:val="1"/>
    <w:semiHidden/>
    <w:unhideWhenUsed/>
    <w:pPr>
      <w:numPr>
        <w:ilvl w:val="3"/>
        <w:numId w:val="3"/>
      </w:numPr>
    </w:pPr>
  </w:style>
  <w:style w:type="paragraph" w:customStyle="1" w:styleId="ListDash4">
    <w:name w:val="List Dash 4"/>
    <w:basedOn w:val="Text4"/>
    <w:uiPriority w:val="1"/>
    <w:pPr>
      <w:numPr>
        <w:numId w:val="2"/>
      </w:numPr>
    </w:pPr>
  </w:style>
  <w:style w:type="paragraph" w:customStyle="1" w:styleId="ListDash4Level2">
    <w:name w:val="List Dash 4 (Level 2)"/>
    <w:basedOn w:val="Text4"/>
    <w:uiPriority w:val="1"/>
    <w:pPr>
      <w:numPr>
        <w:ilvl w:val="1"/>
        <w:numId w:val="2"/>
      </w:numPr>
    </w:pPr>
  </w:style>
  <w:style w:type="paragraph" w:customStyle="1" w:styleId="ListDash4Level3">
    <w:name w:val="List Dash 4 (Level 3)"/>
    <w:basedOn w:val="Text4"/>
    <w:uiPriority w:val="1"/>
    <w:semiHidden/>
    <w:unhideWhenUsed/>
    <w:pPr>
      <w:numPr>
        <w:ilvl w:val="2"/>
        <w:numId w:val="2"/>
      </w:numPr>
    </w:pPr>
  </w:style>
  <w:style w:type="paragraph" w:customStyle="1" w:styleId="ListDash4Level4">
    <w:name w:val="List Dash 4 (Level 4)"/>
    <w:basedOn w:val="Text4"/>
    <w:uiPriority w:val="1"/>
    <w:semiHidden/>
    <w:unhideWhenUsed/>
    <w:pPr>
      <w:numPr>
        <w:ilvl w:val="3"/>
        <w:numId w:val="2"/>
      </w:numPr>
    </w:pPr>
  </w:style>
  <w:style w:type="paragraph" w:styleId="ListNumber">
    <w:name w:val="List Number"/>
    <w:basedOn w:val="Normal"/>
    <w:uiPriority w:val="1"/>
    <w:pPr>
      <w:numPr>
        <w:numId w:val="11"/>
      </w:numPr>
    </w:pPr>
  </w:style>
  <w:style w:type="paragraph" w:customStyle="1" w:styleId="ListNumberLevel2">
    <w:name w:val="List Number (Level 2)"/>
    <w:basedOn w:val="Normal"/>
    <w:uiPriority w:val="1"/>
    <w:pPr>
      <w:numPr>
        <w:ilvl w:val="1"/>
        <w:numId w:val="11"/>
      </w:numPr>
    </w:pPr>
  </w:style>
  <w:style w:type="paragraph" w:customStyle="1" w:styleId="ListNumberLevel3">
    <w:name w:val="List Number (Level 3)"/>
    <w:basedOn w:val="Normal"/>
    <w:uiPriority w:val="1"/>
    <w:semiHidden/>
    <w:unhideWhenUsed/>
    <w:pPr>
      <w:numPr>
        <w:ilvl w:val="2"/>
        <w:numId w:val="11"/>
      </w:numPr>
    </w:pPr>
  </w:style>
  <w:style w:type="paragraph" w:customStyle="1" w:styleId="ListNumberLevel4">
    <w:name w:val="List Number (Level 4)"/>
    <w:basedOn w:val="Normal"/>
    <w:uiPriority w:val="1"/>
    <w:semiHidden/>
    <w:unhideWhenUsed/>
    <w:pPr>
      <w:numPr>
        <w:ilvl w:val="3"/>
        <w:numId w:val="11"/>
      </w:numPr>
    </w:pPr>
  </w:style>
  <w:style w:type="paragraph" w:customStyle="1" w:styleId="ListNumber1">
    <w:name w:val="List Number 1"/>
    <w:basedOn w:val="Text1"/>
    <w:uiPriority w:val="1"/>
    <w:pPr>
      <w:numPr>
        <w:numId w:val="10"/>
      </w:numPr>
    </w:pPr>
  </w:style>
  <w:style w:type="paragraph" w:customStyle="1" w:styleId="ListNumber1Level2">
    <w:name w:val="List Number 1 (Level 2)"/>
    <w:basedOn w:val="Text1"/>
    <w:uiPriority w:val="1"/>
    <w:pPr>
      <w:numPr>
        <w:ilvl w:val="1"/>
        <w:numId w:val="10"/>
      </w:numPr>
    </w:pPr>
  </w:style>
  <w:style w:type="paragraph" w:customStyle="1" w:styleId="ListNumber1Level3">
    <w:name w:val="List Number 1 (Level 3)"/>
    <w:basedOn w:val="Text1"/>
    <w:uiPriority w:val="1"/>
    <w:semiHidden/>
    <w:unhideWhenUsed/>
    <w:pPr>
      <w:numPr>
        <w:ilvl w:val="2"/>
        <w:numId w:val="10"/>
      </w:numPr>
    </w:pPr>
  </w:style>
  <w:style w:type="paragraph" w:customStyle="1" w:styleId="ListNumber1Level4">
    <w:name w:val="List Number 1 (Level 4)"/>
    <w:basedOn w:val="Text1"/>
    <w:uiPriority w:val="1"/>
    <w:semiHidden/>
    <w:unhideWhenUsed/>
    <w:pPr>
      <w:numPr>
        <w:ilvl w:val="3"/>
        <w:numId w:val="10"/>
      </w:numPr>
    </w:pPr>
  </w:style>
  <w:style w:type="paragraph" w:styleId="ListNumber2">
    <w:name w:val="List Number 2"/>
    <w:basedOn w:val="Text2"/>
    <w:uiPriority w:val="1"/>
    <w:pPr>
      <w:numPr>
        <w:numId w:val="9"/>
      </w:numPr>
    </w:pPr>
  </w:style>
  <w:style w:type="paragraph" w:customStyle="1" w:styleId="ListNumber2Level2">
    <w:name w:val="List Number 2 (Level 2)"/>
    <w:basedOn w:val="Text2"/>
    <w:uiPriority w:val="1"/>
    <w:pPr>
      <w:numPr>
        <w:ilvl w:val="1"/>
        <w:numId w:val="9"/>
      </w:numPr>
    </w:pPr>
  </w:style>
  <w:style w:type="paragraph" w:customStyle="1" w:styleId="ListNumber2Level3">
    <w:name w:val="List Number 2 (Level 3)"/>
    <w:basedOn w:val="Text2"/>
    <w:uiPriority w:val="1"/>
    <w:semiHidden/>
    <w:unhideWhenUsed/>
    <w:pPr>
      <w:numPr>
        <w:ilvl w:val="2"/>
        <w:numId w:val="9"/>
      </w:numPr>
    </w:pPr>
  </w:style>
  <w:style w:type="paragraph" w:customStyle="1" w:styleId="ListNumber2Level4">
    <w:name w:val="List Number 2 (Level 4)"/>
    <w:basedOn w:val="Text2"/>
    <w:uiPriority w:val="1"/>
    <w:semiHidden/>
    <w:unhideWhenUsed/>
    <w:pPr>
      <w:numPr>
        <w:ilvl w:val="3"/>
        <w:numId w:val="9"/>
      </w:numPr>
    </w:pPr>
  </w:style>
  <w:style w:type="paragraph" w:styleId="ListNumber3">
    <w:name w:val="List Number 3"/>
    <w:basedOn w:val="Text3"/>
    <w:uiPriority w:val="1"/>
    <w:pPr>
      <w:numPr>
        <w:numId w:val="8"/>
      </w:numPr>
    </w:pPr>
  </w:style>
  <w:style w:type="paragraph" w:customStyle="1" w:styleId="ListNumber3Level2">
    <w:name w:val="List Number 3 (Level 2)"/>
    <w:basedOn w:val="Text3"/>
    <w:uiPriority w:val="1"/>
    <w:pPr>
      <w:numPr>
        <w:ilvl w:val="1"/>
        <w:numId w:val="8"/>
      </w:numPr>
    </w:pPr>
  </w:style>
  <w:style w:type="paragraph" w:customStyle="1" w:styleId="ListNumber3Level3">
    <w:name w:val="List Number 3 (Level 3)"/>
    <w:basedOn w:val="Text3"/>
    <w:uiPriority w:val="1"/>
    <w:semiHidden/>
    <w:unhideWhenUsed/>
    <w:pPr>
      <w:numPr>
        <w:ilvl w:val="2"/>
        <w:numId w:val="8"/>
      </w:numPr>
    </w:pPr>
  </w:style>
  <w:style w:type="paragraph" w:customStyle="1" w:styleId="ListNumber3Level4">
    <w:name w:val="List Number 3 (Level 4)"/>
    <w:basedOn w:val="Text3"/>
    <w:uiPriority w:val="1"/>
    <w:semiHidden/>
    <w:unhideWhenUsed/>
    <w:pPr>
      <w:numPr>
        <w:ilvl w:val="3"/>
        <w:numId w:val="8"/>
      </w:numPr>
    </w:pPr>
  </w:style>
  <w:style w:type="paragraph" w:styleId="ListNumber4">
    <w:name w:val="List Number 4"/>
    <w:basedOn w:val="Text4"/>
    <w:uiPriority w:val="1"/>
    <w:pPr>
      <w:numPr>
        <w:numId w:val="7"/>
      </w:numPr>
    </w:pPr>
  </w:style>
  <w:style w:type="paragraph" w:customStyle="1" w:styleId="ListNumber4Level2">
    <w:name w:val="List Number 4 (Level 2)"/>
    <w:basedOn w:val="Text4"/>
    <w:uiPriority w:val="1"/>
    <w:pPr>
      <w:numPr>
        <w:ilvl w:val="1"/>
        <w:numId w:val="7"/>
      </w:numPr>
    </w:pPr>
  </w:style>
  <w:style w:type="paragraph" w:customStyle="1" w:styleId="ListNumber4Level3">
    <w:name w:val="List Number 4 (Level 3)"/>
    <w:basedOn w:val="Text4"/>
    <w:uiPriority w:val="1"/>
    <w:semiHidden/>
    <w:unhideWhenUsed/>
    <w:pPr>
      <w:numPr>
        <w:ilvl w:val="2"/>
        <w:numId w:val="7"/>
      </w:numPr>
    </w:pPr>
  </w:style>
  <w:style w:type="paragraph" w:customStyle="1" w:styleId="ListNumber4Level4">
    <w:name w:val="List Number 4 (Level 4)"/>
    <w:basedOn w:val="Text4"/>
    <w:uiPriority w:val="1"/>
    <w:semiHidden/>
    <w:unhideWhenUsed/>
    <w:pPr>
      <w:numPr>
        <w:ilvl w:val="3"/>
        <w:numId w:val="7"/>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18"/>
      </w:numPr>
      <w:spacing w:line="360" w:lineRule="auto"/>
    </w:pPr>
  </w:style>
  <w:style w:type="paragraph" w:customStyle="1" w:styleId="LegalNumPar2">
    <w:name w:val="LegalNumPar2"/>
    <w:basedOn w:val="Normal"/>
    <w:uiPriority w:val="1"/>
    <w:pPr>
      <w:numPr>
        <w:ilvl w:val="1"/>
        <w:numId w:val="18"/>
      </w:numPr>
      <w:spacing w:line="360" w:lineRule="auto"/>
    </w:pPr>
  </w:style>
  <w:style w:type="paragraph" w:customStyle="1" w:styleId="LegalNumPar3">
    <w:name w:val="LegalNumPar3"/>
    <w:basedOn w:val="Normal"/>
    <w:uiPriority w:val="1"/>
    <w:pPr>
      <w:numPr>
        <w:ilvl w:val="2"/>
        <w:numId w:val="18"/>
      </w:numPr>
      <w:spacing w:line="360" w:lineRule="auto"/>
    </w:pPr>
  </w:style>
  <w:style w:type="paragraph" w:customStyle="1" w:styleId="ContNum">
    <w:name w:val="ContNum"/>
    <w:basedOn w:val="Normal"/>
    <w:uiPriority w:val="1"/>
    <w:qFormat/>
    <w:pPr>
      <w:numPr>
        <w:numId w:val="19"/>
      </w:numPr>
    </w:pPr>
  </w:style>
  <w:style w:type="paragraph" w:customStyle="1" w:styleId="ContNumLevel2">
    <w:name w:val="ContNum (Level 2)"/>
    <w:basedOn w:val="Normal"/>
    <w:uiPriority w:val="1"/>
    <w:pPr>
      <w:numPr>
        <w:ilvl w:val="1"/>
        <w:numId w:val="19"/>
      </w:numPr>
    </w:pPr>
  </w:style>
  <w:style w:type="paragraph" w:customStyle="1" w:styleId="ContNumLevel3">
    <w:name w:val="ContNum (Level 3)"/>
    <w:basedOn w:val="Normal"/>
    <w:uiPriority w:val="1"/>
    <w:pPr>
      <w:numPr>
        <w:ilvl w:val="2"/>
        <w:numId w:val="19"/>
      </w:numPr>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TableHistory">
    <w:name w:val="Table History"/>
    <w:basedOn w:val="TableNormal"/>
    <w:semiHidden/>
    <w:pPr>
      <w:spacing w:before="60" w:after="60" w:line="264" w:lineRule="auto"/>
    </w:pPr>
    <w:rPr>
      <w:sz w:val="22"/>
    </w:rPr>
    <w:tblPr>
      <w:tblInd w:w="142" w:type="dxa"/>
    </w:tblPr>
  </w:style>
  <w:style w:type="table" w:customStyle="1" w:styleId="SignatureTable">
    <w:name w:val="Signature Table"/>
    <w:basedOn w:val="HelperTableBase"/>
    <w:semiHidden/>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style>
  <w:style w:type="character" w:styleId="FootnoteReference">
    <w:name w:val="footnote reference"/>
    <w:aliases w:val="-E Fußnotenzeichen,number,SUPERS,Footnote Reference Superscript,-E Fuﬂnotenzeichen,-E Fuûnotenzeichen,EN Footnote Reference,Footnote text,BVI fnr,Footnote symbol,stylish,Footnote reference number,note TESI,ftref,R,E FNZ,Ref"/>
    <w:basedOn w:val="DefaultParagraphFont"/>
    <w:link w:val="FootnotesymbolCarZchn"/>
    <w:uiPriority w:val="99"/>
    <w:qFormat/>
    <w:locked/>
    <w:rsid w:val="00375B0A"/>
    <w:rPr>
      <w:vertAlign w:val="superscript"/>
    </w:rPr>
  </w:style>
  <w:style w:type="character" w:styleId="Hyperlink">
    <w:name w:val="Hyperlink"/>
    <w:basedOn w:val="DefaultParagraphFont"/>
    <w:uiPriority w:val="99"/>
    <w:locked/>
    <w:rsid w:val="00375B0A"/>
    <w:rPr>
      <w:color w:val="0563C1" w:themeColor="hyperlink"/>
      <w:u w:val="single"/>
    </w:rPr>
  </w:style>
  <w:style w:type="table" w:styleId="TableGrid">
    <w:name w:val="Table Grid"/>
    <w:basedOn w:val="TableNormal"/>
    <w:locked/>
    <w:rsid w:val="009E2019"/>
    <w:tblPr/>
  </w:style>
  <w:style w:type="character" w:customStyle="1" w:styleId="normaltextrun">
    <w:name w:val="normaltextrun"/>
    <w:basedOn w:val="DefaultParagraphFont"/>
    <w:rsid w:val="009E2019"/>
  </w:style>
  <w:style w:type="paragraph" w:styleId="BalloonText">
    <w:name w:val="Balloon Text"/>
    <w:basedOn w:val="Normal"/>
    <w:link w:val="BalloonTextChar"/>
    <w:semiHidden/>
    <w:locked/>
    <w:rsid w:val="003772B0"/>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3772B0"/>
    <w:rPr>
      <w:rFonts w:ascii="Segoe UI" w:hAnsi="Segoe UI" w:cs="Segoe UI"/>
      <w:sz w:val="18"/>
      <w:szCs w:val="18"/>
    </w:rPr>
  </w:style>
  <w:style w:type="character" w:styleId="CommentReference">
    <w:name w:val="annotation reference"/>
    <w:basedOn w:val="DefaultParagraphFont"/>
    <w:uiPriority w:val="99"/>
    <w:semiHidden/>
    <w:locked/>
    <w:rsid w:val="00FA6A3B"/>
    <w:rPr>
      <w:sz w:val="16"/>
      <w:szCs w:val="16"/>
    </w:rPr>
  </w:style>
  <w:style w:type="paragraph" w:styleId="CommentText">
    <w:name w:val="annotation text"/>
    <w:basedOn w:val="Normal"/>
    <w:link w:val="CommentTextChar"/>
    <w:uiPriority w:val="99"/>
    <w:locked/>
    <w:rsid w:val="00FA6A3B"/>
    <w:rPr>
      <w:sz w:val="20"/>
    </w:rPr>
  </w:style>
  <w:style w:type="character" w:customStyle="1" w:styleId="CommentTextChar">
    <w:name w:val="Comment Text Char"/>
    <w:basedOn w:val="DefaultParagraphFont"/>
    <w:link w:val="CommentText"/>
    <w:uiPriority w:val="99"/>
    <w:rsid w:val="00FA6A3B"/>
    <w:rPr>
      <w:sz w:val="20"/>
    </w:rPr>
  </w:style>
  <w:style w:type="paragraph" w:styleId="CommentSubject">
    <w:name w:val="annotation subject"/>
    <w:basedOn w:val="CommentText"/>
    <w:next w:val="CommentText"/>
    <w:link w:val="CommentSubjectChar"/>
    <w:semiHidden/>
    <w:locked/>
    <w:rsid w:val="00FA6A3B"/>
    <w:rPr>
      <w:b/>
      <w:bCs/>
    </w:rPr>
  </w:style>
  <w:style w:type="character" w:customStyle="1" w:styleId="CommentSubjectChar">
    <w:name w:val="Comment Subject Char"/>
    <w:basedOn w:val="CommentTextChar"/>
    <w:link w:val="CommentSubject"/>
    <w:semiHidden/>
    <w:rsid w:val="00FA6A3B"/>
    <w:rPr>
      <w:b/>
      <w:bCs/>
      <w:sz w:val="20"/>
    </w:rPr>
  </w:style>
  <w:style w:type="character" w:styleId="FollowedHyperlink">
    <w:name w:val="FollowedHyperlink"/>
    <w:basedOn w:val="DefaultParagraphFont"/>
    <w:semiHidden/>
    <w:locked/>
    <w:rsid w:val="00550A8E"/>
    <w:rPr>
      <w:color w:val="954F72" w:themeColor="followedHyperlink"/>
      <w:u w:val="single"/>
    </w:rPr>
  </w:style>
  <w:style w:type="paragraph" w:styleId="Revision">
    <w:name w:val="Revision"/>
    <w:hidden/>
    <w:semiHidden/>
    <w:locked/>
    <w:rsid w:val="00345F07"/>
  </w:style>
  <w:style w:type="paragraph" w:styleId="ListParagraph">
    <w:name w:val="List Paragraph"/>
    <w:basedOn w:val="Normal"/>
    <w:qFormat/>
    <w:locked/>
    <w:rsid w:val="006551A6"/>
    <w:pPr>
      <w:ind w:left="720"/>
      <w:contextualSpacing/>
    </w:pPr>
  </w:style>
  <w:style w:type="character" w:customStyle="1" w:styleId="FootnoteTextChar">
    <w:name w:val="Footnote Text Char"/>
    <w:aliases w:val="fn Char,Footnote Char,Fußnote Char,Char Char Car Char,Fußnotentextf Char,Note de bas de page Car Car Car Car Car Car Car Car Car Car Char,Note de bas de page Car Car Car Car Char,ft Char,f Char,-E Fußnotentext Char,footnote text Char"/>
    <w:basedOn w:val="DefaultParagraphFont"/>
    <w:uiPriority w:val="99"/>
    <w:qFormat/>
    <w:rsid w:val="00DF151F"/>
    <w:rPr>
      <w:sz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F151F"/>
    <w:pPr>
      <w:spacing w:after="160" w:line="240" w:lineRule="exact"/>
    </w:pPr>
    <w:rPr>
      <w:vertAlign w:val="superscript"/>
    </w:rPr>
  </w:style>
  <w:style w:type="character" w:customStyle="1" w:styleId="Mention1">
    <w:name w:val="Mention1"/>
    <w:basedOn w:val="DefaultParagraphFont"/>
    <w:uiPriority w:val="99"/>
    <w:unhideWhenUsed/>
    <w:rPr>
      <w:color w:val="2B579A"/>
      <w:shd w:val="clear" w:color="auto" w:fill="E6E6E6"/>
    </w:rPr>
  </w:style>
  <w:style w:type="character" w:customStyle="1" w:styleId="Marker">
    <w:name w:val="Marker"/>
    <w:basedOn w:val="DefaultParagraphFont"/>
    <w:rsid w:val="00462B34"/>
    <w:rPr>
      <w:color w:val="0000FF"/>
      <w:shd w:val="clear" w:color="auto" w:fill="auto"/>
    </w:rPr>
  </w:style>
  <w:style w:type="paragraph" w:customStyle="1" w:styleId="Pagedecouverture">
    <w:name w:val="Page de couverture"/>
    <w:basedOn w:val="Normal"/>
    <w:next w:val="Normal"/>
    <w:rsid w:val="00462B34"/>
    <w:pPr>
      <w:spacing w:after="0"/>
    </w:pPr>
    <w:rPr>
      <w:rFonts w:eastAsiaTheme="minorHAnsi"/>
      <w:szCs w:val="22"/>
      <w:lang w:eastAsia="en-US"/>
    </w:rPr>
  </w:style>
  <w:style w:type="paragraph" w:customStyle="1" w:styleId="FooterCoverPage">
    <w:name w:val="Footer Cover Page"/>
    <w:basedOn w:val="Normal"/>
    <w:link w:val="FooterCoverPageChar"/>
    <w:rsid w:val="00462B34"/>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462B34"/>
  </w:style>
  <w:style w:type="paragraph" w:customStyle="1" w:styleId="FooterSensitivity">
    <w:name w:val="Footer Sensitivity"/>
    <w:basedOn w:val="Normal"/>
    <w:link w:val="FooterSensitivityChar"/>
    <w:rsid w:val="00462B3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462B34"/>
    <w:rPr>
      <w:b/>
      <w:sz w:val="32"/>
    </w:rPr>
  </w:style>
  <w:style w:type="paragraph" w:customStyle="1" w:styleId="HeaderCoverPage">
    <w:name w:val="Header Cover Page"/>
    <w:basedOn w:val="Normal"/>
    <w:link w:val="HeaderCoverPageChar"/>
    <w:rsid w:val="00462B34"/>
    <w:pPr>
      <w:tabs>
        <w:tab w:val="center" w:pos="4535"/>
        <w:tab w:val="right" w:pos="9071"/>
      </w:tabs>
      <w:spacing w:after="120"/>
    </w:pPr>
  </w:style>
  <w:style w:type="character" w:customStyle="1" w:styleId="HeaderCoverPageChar">
    <w:name w:val="Header Cover Page Char"/>
    <w:basedOn w:val="DefaultParagraphFont"/>
    <w:link w:val="HeaderCoverPage"/>
    <w:rsid w:val="00462B34"/>
  </w:style>
  <w:style w:type="paragraph" w:customStyle="1" w:styleId="HeaderSensitivity">
    <w:name w:val="Header Sensitivity"/>
    <w:basedOn w:val="Normal"/>
    <w:link w:val="HeaderSensitivityChar"/>
    <w:rsid w:val="00462B34"/>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462B34"/>
    <w:rPr>
      <w:b/>
      <w:sz w:val="32"/>
    </w:rPr>
  </w:style>
  <w:style w:type="paragraph" w:customStyle="1" w:styleId="HeaderSensitivityRight">
    <w:name w:val="Header Sensitivity Right"/>
    <w:basedOn w:val="Normal"/>
    <w:link w:val="HeaderSensitivityRightChar"/>
    <w:rsid w:val="002D060B"/>
    <w:pPr>
      <w:spacing w:after="120"/>
      <w:jc w:val="right"/>
    </w:pPr>
    <w:rPr>
      <w:sz w:val="28"/>
    </w:rPr>
  </w:style>
  <w:style w:type="character" w:customStyle="1" w:styleId="HeaderSensitivityRightChar">
    <w:name w:val="Header Sensitivity Right Char"/>
    <w:basedOn w:val="DefaultParagraphFont"/>
    <w:link w:val="HeaderSensitivityRight"/>
    <w:rsid w:val="00462B34"/>
    <w:rPr>
      <w:sz w:val="28"/>
    </w:rPr>
  </w:style>
  <w:style w:type="character" w:customStyle="1" w:styleId="FooterChar">
    <w:name w:val="Footer Char"/>
    <w:basedOn w:val="DefaultParagraphFont"/>
    <w:link w:val="Footer"/>
    <w:uiPriority w:val="99"/>
    <w:rsid w:val="00FF55ED"/>
    <w:rPr>
      <w:sz w:val="16"/>
    </w:rPr>
  </w:style>
  <w:style w:type="paragraph" w:customStyle="1" w:styleId="Languesfaisantfoi">
    <w:name w:val="Langues faisant foi"/>
    <w:basedOn w:val="Normal"/>
    <w:next w:val="Normal"/>
    <w:rsid w:val="00630D15"/>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630D15"/>
    <w:pPr>
      <w:spacing w:before="360"/>
      <w:jc w:val="center"/>
    </w:pPr>
    <w:rPr>
      <w:rFonts w:eastAsiaTheme="minorHAnsi"/>
      <w:szCs w:val="22"/>
      <w:lang w:eastAsia="en-US"/>
    </w:rPr>
  </w:style>
  <w:style w:type="paragraph" w:customStyle="1" w:styleId="IntrtEEE">
    <w:name w:val="Intérêt EEE"/>
    <w:basedOn w:val="Languesfaisantfoi"/>
    <w:next w:val="Normal"/>
    <w:rsid w:val="00630D15"/>
    <w:pPr>
      <w:spacing w:after="0"/>
    </w:pPr>
  </w:style>
  <w:style w:type="paragraph" w:customStyle="1" w:styleId="IntrtEEEPagedecouverture">
    <w:name w:val="Intérêt EEE (Page de couverture)"/>
    <w:basedOn w:val="IntrtEEE"/>
    <w:next w:val="Normal"/>
    <w:rsid w:val="00630D15"/>
  </w:style>
  <w:style w:type="character" w:customStyle="1" w:styleId="Mention">
    <w:name w:val="Mention"/>
    <w:basedOn w:val="DefaultParagraphFont"/>
    <w:uiPriority w:val="99"/>
    <w:unhideWhenUsed/>
    <w:rsid w:val="009B315D"/>
    <w:rPr>
      <w:color w:val="2B579A"/>
      <w:shd w:val="clear" w:color="auto" w:fill="E1DFDD"/>
    </w:rPr>
  </w:style>
  <w:style w:type="character" w:customStyle="1" w:styleId="UnresolvedMention">
    <w:name w:val="Unresolved Mention"/>
    <w:basedOn w:val="DefaultParagraphFont"/>
    <w:uiPriority w:val="99"/>
    <w:semiHidden/>
    <w:unhideWhenUsed/>
    <w:rsid w:val="00FD4FCA"/>
    <w:rPr>
      <w:color w:val="605E5C"/>
      <w:shd w:val="clear" w:color="auto" w:fill="E1DFDD"/>
    </w:rPr>
  </w:style>
  <w:style w:type="table" w:customStyle="1" w:styleId="TableGrid1">
    <w:name w:val="Table Grid1"/>
    <w:basedOn w:val="TableNormal"/>
    <w:next w:val="TableGrid"/>
    <w:uiPriority w:val="39"/>
    <w:rsid w:val="006F7438"/>
    <w:rPr>
      <w:rFonts w:ascii="Aptos" w:eastAsia="Aptos" w:hAnsi="Aptos" w:cs="Arial"/>
      <w:sz w:val="22"/>
      <w:szCs w:val="22"/>
      <w:lang w:val="pt-P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F684C"/>
    <w:rPr>
      <w:rFonts w:ascii="Aptos" w:eastAsia="Aptos" w:hAnsi="Aptos" w:cs="Arial"/>
      <w:sz w:val="22"/>
      <w:szCs w:val="22"/>
      <w:lang w:val="pt-P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2D060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2D060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2D060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2D060B"/>
    <w:pPr>
      <w:spacing w:after="0" w:line="276" w:lineRule="auto"/>
      <w:ind w:left="5103"/>
      <w:jc w:val="left"/>
    </w:pPr>
    <w:rPr>
      <w:rFonts w:eastAsiaTheme="minorHAnsi"/>
      <w:i/>
      <w:sz w:val="28"/>
      <w:szCs w:val="22"/>
      <w:lang w:eastAsia="en-US"/>
    </w:rPr>
  </w:style>
  <w:style w:type="paragraph" w:styleId="NormalWeb">
    <w:name w:val="Normal (Web)"/>
    <w:basedOn w:val="Normal"/>
    <w:semiHidden/>
    <w:locked/>
    <w:rsid w:val="001B1F85"/>
    <w:rPr>
      <w:szCs w:val="24"/>
    </w:rPr>
  </w:style>
  <w:style w:type="character" w:styleId="EndnoteReference">
    <w:name w:val="endnote reference"/>
    <w:basedOn w:val="DefaultParagraphFont"/>
    <w:semiHidden/>
    <w:locked/>
    <w:rsid w:val="00C20F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3225">
      <w:bodyDiv w:val="1"/>
      <w:marLeft w:val="0"/>
      <w:marRight w:val="0"/>
      <w:marTop w:val="0"/>
      <w:marBottom w:val="0"/>
      <w:divBdr>
        <w:top w:val="none" w:sz="0" w:space="0" w:color="auto"/>
        <w:left w:val="none" w:sz="0" w:space="0" w:color="auto"/>
        <w:bottom w:val="none" w:sz="0" w:space="0" w:color="auto"/>
        <w:right w:val="none" w:sz="0" w:space="0" w:color="auto"/>
      </w:divBdr>
      <w:divsChild>
        <w:div w:id="468280257">
          <w:marLeft w:val="0"/>
          <w:marRight w:val="0"/>
          <w:marTop w:val="0"/>
          <w:marBottom w:val="0"/>
          <w:divBdr>
            <w:top w:val="none" w:sz="0" w:space="0" w:color="auto"/>
            <w:left w:val="none" w:sz="0" w:space="0" w:color="auto"/>
            <w:bottom w:val="none" w:sz="0" w:space="0" w:color="auto"/>
            <w:right w:val="none" w:sz="0" w:space="0" w:color="auto"/>
          </w:divBdr>
          <w:divsChild>
            <w:div w:id="1941452521">
              <w:marLeft w:val="0"/>
              <w:marRight w:val="0"/>
              <w:marTop w:val="0"/>
              <w:marBottom w:val="0"/>
              <w:divBdr>
                <w:top w:val="none" w:sz="0" w:space="0" w:color="auto"/>
                <w:left w:val="none" w:sz="0" w:space="0" w:color="auto"/>
                <w:bottom w:val="none" w:sz="0" w:space="0" w:color="auto"/>
                <w:right w:val="none" w:sz="0" w:space="0" w:color="auto"/>
              </w:divBdr>
              <w:divsChild>
                <w:div w:id="796340601">
                  <w:marLeft w:val="0"/>
                  <w:marRight w:val="0"/>
                  <w:marTop w:val="0"/>
                  <w:marBottom w:val="0"/>
                  <w:divBdr>
                    <w:top w:val="none" w:sz="0" w:space="0" w:color="auto"/>
                    <w:left w:val="none" w:sz="0" w:space="0" w:color="auto"/>
                    <w:bottom w:val="none" w:sz="0" w:space="0" w:color="auto"/>
                    <w:right w:val="none" w:sz="0" w:space="0" w:color="auto"/>
                  </w:divBdr>
                  <w:divsChild>
                    <w:div w:id="1258127260">
                      <w:marLeft w:val="0"/>
                      <w:marRight w:val="0"/>
                      <w:marTop w:val="0"/>
                      <w:marBottom w:val="0"/>
                      <w:divBdr>
                        <w:top w:val="none" w:sz="0" w:space="0" w:color="auto"/>
                        <w:left w:val="none" w:sz="0" w:space="0" w:color="auto"/>
                        <w:bottom w:val="none" w:sz="0" w:space="0" w:color="auto"/>
                        <w:right w:val="none" w:sz="0" w:space="0" w:color="auto"/>
                      </w:divBdr>
                      <w:divsChild>
                        <w:div w:id="2049796175">
                          <w:marLeft w:val="0"/>
                          <w:marRight w:val="0"/>
                          <w:marTop w:val="0"/>
                          <w:marBottom w:val="0"/>
                          <w:divBdr>
                            <w:top w:val="none" w:sz="0" w:space="0" w:color="auto"/>
                            <w:left w:val="none" w:sz="0" w:space="0" w:color="auto"/>
                            <w:bottom w:val="none" w:sz="0" w:space="0" w:color="auto"/>
                            <w:right w:val="none" w:sz="0" w:space="0" w:color="auto"/>
                          </w:divBdr>
                          <w:divsChild>
                            <w:div w:id="819229814">
                              <w:marLeft w:val="0"/>
                              <w:marRight w:val="0"/>
                              <w:marTop w:val="0"/>
                              <w:marBottom w:val="0"/>
                              <w:divBdr>
                                <w:top w:val="none" w:sz="0" w:space="0" w:color="auto"/>
                                <w:left w:val="none" w:sz="0" w:space="0" w:color="auto"/>
                                <w:bottom w:val="none" w:sz="0" w:space="0" w:color="auto"/>
                                <w:right w:val="none" w:sz="0" w:space="0" w:color="auto"/>
                              </w:divBdr>
                              <w:divsChild>
                                <w:div w:id="19069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72227">
      <w:bodyDiv w:val="1"/>
      <w:marLeft w:val="0"/>
      <w:marRight w:val="0"/>
      <w:marTop w:val="0"/>
      <w:marBottom w:val="0"/>
      <w:divBdr>
        <w:top w:val="none" w:sz="0" w:space="0" w:color="auto"/>
        <w:left w:val="none" w:sz="0" w:space="0" w:color="auto"/>
        <w:bottom w:val="none" w:sz="0" w:space="0" w:color="auto"/>
        <w:right w:val="none" w:sz="0" w:space="0" w:color="auto"/>
      </w:divBdr>
    </w:div>
    <w:div w:id="139735675">
      <w:bodyDiv w:val="1"/>
      <w:marLeft w:val="0"/>
      <w:marRight w:val="0"/>
      <w:marTop w:val="0"/>
      <w:marBottom w:val="0"/>
      <w:divBdr>
        <w:top w:val="none" w:sz="0" w:space="0" w:color="auto"/>
        <w:left w:val="none" w:sz="0" w:space="0" w:color="auto"/>
        <w:bottom w:val="none" w:sz="0" w:space="0" w:color="auto"/>
        <w:right w:val="none" w:sz="0" w:space="0" w:color="auto"/>
      </w:divBdr>
    </w:div>
    <w:div w:id="158008670">
      <w:bodyDiv w:val="1"/>
      <w:marLeft w:val="0"/>
      <w:marRight w:val="0"/>
      <w:marTop w:val="0"/>
      <w:marBottom w:val="0"/>
      <w:divBdr>
        <w:top w:val="none" w:sz="0" w:space="0" w:color="auto"/>
        <w:left w:val="none" w:sz="0" w:space="0" w:color="auto"/>
        <w:bottom w:val="none" w:sz="0" w:space="0" w:color="auto"/>
        <w:right w:val="none" w:sz="0" w:space="0" w:color="auto"/>
      </w:divBdr>
    </w:div>
    <w:div w:id="206992913">
      <w:bodyDiv w:val="1"/>
      <w:marLeft w:val="0"/>
      <w:marRight w:val="0"/>
      <w:marTop w:val="0"/>
      <w:marBottom w:val="0"/>
      <w:divBdr>
        <w:top w:val="none" w:sz="0" w:space="0" w:color="auto"/>
        <w:left w:val="none" w:sz="0" w:space="0" w:color="auto"/>
        <w:bottom w:val="none" w:sz="0" w:space="0" w:color="auto"/>
        <w:right w:val="none" w:sz="0" w:space="0" w:color="auto"/>
      </w:divBdr>
    </w:div>
    <w:div w:id="267543191">
      <w:bodyDiv w:val="1"/>
      <w:marLeft w:val="0"/>
      <w:marRight w:val="0"/>
      <w:marTop w:val="0"/>
      <w:marBottom w:val="0"/>
      <w:divBdr>
        <w:top w:val="none" w:sz="0" w:space="0" w:color="auto"/>
        <w:left w:val="none" w:sz="0" w:space="0" w:color="auto"/>
        <w:bottom w:val="none" w:sz="0" w:space="0" w:color="auto"/>
        <w:right w:val="none" w:sz="0" w:space="0" w:color="auto"/>
      </w:divBdr>
      <w:divsChild>
        <w:div w:id="1278944649">
          <w:marLeft w:val="0"/>
          <w:marRight w:val="0"/>
          <w:marTop w:val="0"/>
          <w:marBottom w:val="0"/>
          <w:divBdr>
            <w:top w:val="none" w:sz="0" w:space="0" w:color="auto"/>
            <w:left w:val="none" w:sz="0" w:space="0" w:color="auto"/>
            <w:bottom w:val="none" w:sz="0" w:space="0" w:color="auto"/>
            <w:right w:val="none" w:sz="0" w:space="0" w:color="auto"/>
          </w:divBdr>
        </w:div>
      </w:divsChild>
    </w:div>
    <w:div w:id="289746841">
      <w:bodyDiv w:val="1"/>
      <w:marLeft w:val="0"/>
      <w:marRight w:val="0"/>
      <w:marTop w:val="0"/>
      <w:marBottom w:val="0"/>
      <w:divBdr>
        <w:top w:val="none" w:sz="0" w:space="0" w:color="auto"/>
        <w:left w:val="none" w:sz="0" w:space="0" w:color="auto"/>
        <w:bottom w:val="none" w:sz="0" w:space="0" w:color="auto"/>
        <w:right w:val="none" w:sz="0" w:space="0" w:color="auto"/>
      </w:divBdr>
    </w:div>
    <w:div w:id="295529843">
      <w:bodyDiv w:val="1"/>
      <w:marLeft w:val="0"/>
      <w:marRight w:val="0"/>
      <w:marTop w:val="0"/>
      <w:marBottom w:val="0"/>
      <w:divBdr>
        <w:top w:val="none" w:sz="0" w:space="0" w:color="auto"/>
        <w:left w:val="none" w:sz="0" w:space="0" w:color="auto"/>
        <w:bottom w:val="none" w:sz="0" w:space="0" w:color="auto"/>
        <w:right w:val="none" w:sz="0" w:space="0" w:color="auto"/>
      </w:divBdr>
    </w:div>
    <w:div w:id="330763807">
      <w:bodyDiv w:val="1"/>
      <w:marLeft w:val="0"/>
      <w:marRight w:val="0"/>
      <w:marTop w:val="0"/>
      <w:marBottom w:val="0"/>
      <w:divBdr>
        <w:top w:val="none" w:sz="0" w:space="0" w:color="auto"/>
        <w:left w:val="none" w:sz="0" w:space="0" w:color="auto"/>
        <w:bottom w:val="none" w:sz="0" w:space="0" w:color="auto"/>
        <w:right w:val="none" w:sz="0" w:space="0" w:color="auto"/>
      </w:divBdr>
    </w:div>
    <w:div w:id="330987961">
      <w:bodyDiv w:val="1"/>
      <w:marLeft w:val="0"/>
      <w:marRight w:val="0"/>
      <w:marTop w:val="0"/>
      <w:marBottom w:val="0"/>
      <w:divBdr>
        <w:top w:val="none" w:sz="0" w:space="0" w:color="auto"/>
        <w:left w:val="none" w:sz="0" w:space="0" w:color="auto"/>
        <w:bottom w:val="none" w:sz="0" w:space="0" w:color="auto"/>
        <w:right w:val="none" w:sz="0" w:space="0" w:color="auto"/>
      </w:divBdr>
    </w:div>
    <w:div w:id="334234852">
      <w:bodyDiv w:val="1"/>
      <w:marLeft w:val="0"/>
      <w:marRight w:val="0"/>
      <w:marTop w:val="0"/>
      <w:marBottom w:val="0"/>
      <w:divBdr>
        <w:top w:val="none" w:sz="0" w:space="0" w:color="auto"/>
        <w:left w:val="none" w:sz="0" w:space="0" w:color="auto"/>
        <w:bottom w:val="none" w:sz="0" w:space="0" w:color="auto"/>
        <w:right w:val="none" w:sz="0" w:space="0" w:color="auto"/>
      </w:divBdr>
      <w:divsChild>
        <w:div w:id="280839330">
          <w:marLeft w:val="0"/>
          <w:marRight w:val="0"/>
          <w:marTop w:val="0"/>
          <w:marBottom w:val="0"/>
          <w:divBdr>
            <w:top w:val="none" w:sz="0" w:space="0" w:color="auto"/>
            <w:left w:val="none" w:sz="0" w:space="0" w:color="auto"/>
            <w:bottom w:val="none" w:sz="0" w:space="0" w:color="auto"/>
            <w:right w:val="none" w:sz="0" w:space="0" w:color="auto"/>
          </w:divBdr>
        </w:div>
      </w:divsChild>
    </w:div>
    <w:div w:id="343825376">
      <w:bodyDiv w:val="1"/>
      <w:marLeft w:val="0"/>
      <w:marRight w:val="0"/>
      <w:marTop w:val="0"/>
      <w:marBottom w:val="0"/>
      <w:divBdr>
        <w:top w:val="none" w:sz="0" w:space="0" w:color="auto"/>
        <w:left w:val="none" w:sz="0" w:space="0" w:color="auto"/>
        <w:bottom w:val="none" w:sz="0" w:space="0" w:color="auto"/>
        <w:right w:val="none" w:sz="0" w:space="0" w:color="auto"/>
      </w:divBdr>
    </w:div>
    <w:div w:id="353386965">
      <w:bodyDiv w:val="1"/>
      <w:marLeft w:val="0"/>
      <w:marRight w:val="0"/>
      <w:marTop w:val="0"/>
      <w:marBottom w:val="0"/>
      <w:divBdr>
        <w:top w:val="none" w:sz="0" w:space="0" w:color="auto"/>
        <w:left w:val="none" w:sz="0" w:space="0" w:color="auto"/>
        <w:bottom w:val="none" w:sz="0" w:space="0" w:color="auto"/>
        <w:right w:val="none" w:sz="0" w:space="0" w:color="auto"/>
      </w:divBdr>
    </w:div>
    <w:div w:id="387918233">
      <w:bodyDiv w:val="1"/>
      <w:marLeft w:val="0"/>
      <w:marRight w:val="0"/>
      <w:marTop w:val="0"/>
      <w:marBottom w:val="0"/>
      <w:divBdr>
        <w:top w:val="none" w:sz="0" w:space="0" w:color="auto"/>
        <w:left w:val="none" w:sz="0" w:space="0" w:color="auto"/>
        <w:bottom w:val="none" w:sz="0" w:space="0" w:color="auto"/>
        <w:right w:val="none" w:sz="0" w:space="0" w:color="auto"/>
      </w:divBdr>
    </w:div>
    <w:div w:id="432438062">
      <w:bodyDiv w:val="1"/>
      <w:marLeft w:val="0"/>
      <w:marRight w:val="0"/>
      <w:marTop w:val="0"/>
      <w:marBottom w:val="0"/>
      <w:divBdr>
        <w:top w:val="none" w:sz="0" w:space="0" w:color="auto"/>
        <w:left w:val="none" w:sz="0" w:space="0" w:color="auto"/>
        <w:bottom w:val="none" w:sz="0" w:space="0" w:color="auto"/>
        <w:right w:val="none" w:sz="0" w:space="0" w:color="auto"/>
      </w:divBdr>
    </w:div>
    <w:div w:id="432750311">
      <w:bodyDiv w:val="1"/>
      <w:marLeft w:val="0"/>
      <w:marRight w:val="0"/>
      <w:marTop w:val="0"/>
      <w:marBottom w:val="0"/>
      <w:divBdr>
        <w:top w:val="none" w:sz="0" w:space="0" w:color="auto"/>
        <w:left w:val="none" w:sz="0" w:space="0" w:color="auto"/>
        <w:bottom w:val="none" w:sz="0" w:space="0" w:color="auto"/>
        <w:right w:val="none" w:sz="0" w:space="0" w:color="auto"/>
      </w:divBdr>
    </w:div>
    <w:div w:id="449936044">
      <w:bodyDiv w:val="1"/>
      <w:marLeft w:val="0"/>
      <w:marRight w:val="0"/>
      <w:marTop w:val="0"/>
      <w:marBottom w:val="0"/>
      <w:divBdr>
        <w:top w:val="none" w:sz="0" w:space="0" w:color="auto"/>
        <w:left w:val="none" w:sz="0" w:space="0" w:color="auto"/>
        <w:bottom w:val="none" w:sz="0" w:space="0" w:color="auto"/>
        <w:right w:val="none" w:sz="0" w:space="0" w:color="auto"/>
      </w:divBdr>
    </w:div>
    <w:div w:id="464661130">
      <w:bodyDiv w:val="1"/>
      <w:marLeft w:val="0"/>
      <w:marRight w:val="0"/>
      <w:marTop w:val="0"/>
      <w:marBottom w:val="0"/>
      <w:divBdr>
        <w:top w:val="none" w:sz="0" w:space="0" w:color="auto"/>
        <w:left w:val="none" w:sz="0" w:space="0" w:color="auto"/>
        <w:bottom w:val="none" w:sz="0" w:space="0" w:color="auto"/>
        <w:right w:val="none" w:sz="0" w:space="0" w:color="auto"/>
      </w:divBdr>
      <w:divsChild>
        <w:div w:id="333849136">
          <w:marLeft w:val="0"/>
          <w:marRight w:val="0"/>
          <w:marTop w:val="0"/>
          <w:marBottom w:val="0"/>
          <w:divBdr>
            <w:top w:val="none" w:sz="0" w:space="0" w:color="auto"/>
            <w:left w:val="none" w:sz="0" w:space="0" w:color="auto"/>
            <w:bottom w:val="none" w:sz="0" w:space="0" w:color="auto"/>
            <w:right w:val="none" w:sz="0" w:space="0" w:color="auto"/>
          </w:divBdr>
        </w:div>
      </w:divsChild>
    </w:div>
    <w:div w:id="472407183">
      <w:bodyDiv w:val="1"/>
      <w:marLeft w:val="0"/>
      <w:marRight w:val="0"/>
      <w:marTop w:val="0"/>
      <w:marBottom w:val="0"/>
      <w:divBdr>
        <w:top w:val="none" w:sz="0" w:space="0" w:color="auto"/>
        <w:left w:val="none" w:sz="0" w:space="0" w:color="auto"/>
        <w:bottom w:val="none" w:sz="0" w:space="0" w:color="auto"/>
        <w:right w:val="none" w:sz="0" w:space="0" w:color="auto"/>
      </w:divBdr>
    </w:div>
    <w:div w:id="476141957">
      <w:bodyDiv w:val="1"/>
      <w:marLeft w:val="0"/>
      <w:marRight w:val="0"/>
      <w:marTop w:val="0"/>
      <w:marBottom w:val="0"/>
      <w:divBdr>
        <w:top w:val="none" w:sz="0" w:space="0" w:color="auto"/>
        <w:left w:val="none" w:sz="0" w:space="0" w:color="auto"/>
        <w:bottom w:val="none" w:sz="0" w:space="0" w:color="auto"/>
        <w:right w:val="none" w:sz="0" w:space="0" w:color="auto"/>
      </w:divBdr>
      <w:divsChild>
        <w:div w:id="1802263152">
          <w:marLeft w:val="0"/>
          <w:marRight w:val="0"/>
          <w:marTop w:val="0"/>
          <w:marBottom w:val="0"/>
          <w:divBdr>
            <w:top w:val="none" w:sz="0" w:space="0" w:color="auto"/>
            <w:left w:val="none" w:sz="0" w:space="0" w:color="auto"/>
            <w:bottom w:val="none" w:sz="0" w:space="0" w:color="auto"/>
            <w:right w:val="none" w:sz="0" w:space="0" w:color="auto"/>
          </w:divBdr>
          <w:divsChild>
            <w:div w:id="733356844">
              <w:marLeft w:val="0"/>
              <w:marRight w:val="0"/>
              <w:marTop w:val="0"/>
              <w:marBottom w:val="0"/>
              <w:divBdr>
                <w:top w:val="none" w:sz="0" w:space="0" w:color="auto"/>
                <w:left w:val="none" w:sz="0" w:space="0" w:color="auto"/>
                <w:bottom w:val="none" w:sz="0" w:space="0" w:color="auto"/>
                <w:right w:val="none" w:sz="0" w:space="0" w:color="auto"/>
              </w:divBdr>
              <w:divsChild>
                <w:div w:id="957104377">
                  <w:marLeft w:val="0"/>
                  <w:marRight w:val="0"/>
                  <w:marTop w:val="0"/>
                  <w:marBottom w:val="0"/>
                  <w:divBdr>
                    <w:top w:val="none" w:sz="0" w:space="0" w:color="auto"/>
                    <w:left w:val="none" w:sz="0" w:space="0" w:color="auto"/>
                    <w:bottom w:val="none" w:sz="0" w:space="0" w:color="auto"/>
                    <w:right w:val="none" w:sz="0" w:space="0" w:color="auto"/>
                  </w:divBdr>
                  <w:divsChild>
                    <w:div w:id="2113890162">
                      <w:marLeft w:val="0"/>
                      <w:marRight w:val="0"/>
                      <w:marTop w:val="0"/>
                      <w:marBottom w:val="0"/>
                      <w:divBdr>
                        <w:top w:val="none" w:sz="0" w:space="0" w:color="auto"/>
                        <w:left w:val="none" w:sz="0" w:space="0" w:color="auto"/>
                        <w:bottom w:val="none" w:sz="0" w:space="0" w:color="auto"/>
                        <w:right w:val="none" w:sz="0" w:space="0" w:color="auto"/>
                      </w:divBdr>
                      <w:divsChild>
                        <w:div w:id="1405298761">
                          <w:marLeft w:val="0"/>
                          <w:marRight w:val="0"/>
                          <w:marTop w:val="0"/>
                          <w:marBottom w:val="0"/>
                          <w:divBdr>
                            <w:top w:val="none" w:sz="0" w:space="0" w:color="auto"/>
                            <w:left w:val="none" w:sz="0" w:space="0" w:color="auto"/>
                            <w:bottom w:val="none" w:sz="0" w:space="0" w:color="auto"/>
                            <w:right w:val="none" w:sz="0" w:space="0" w:color="auto"/>
                          </w:divBdr>
                          <w:divsChild>
                            <w:div w:id="1774520269">
                              <w:marLeft w:val="0"/>
                              <w:marRight w:val="0"/>
                              <w:marTop w:val="0"/>
                              <w:marBottom w:val="0"/>
                              <w:divBdr>
                                <w:top w:val="none" w:sz="0" w:space="0" w:color="auto"/>
                                <w:left w:val="none" w:sz="0" w:space="0" w:color="auto"/>
                                <w:bottom w:val="none" w:sz="0" w:space="0" w:color="auto"/>
                                <w:right w:val="none" w:sz="0" w:space="0" w:color="auto"/>
                              </w:divBdr>
                              <w:divsChild>
                                <w:div w:id="189434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797496">
      <w:bodyDiv w:val="1"/>
      <w:marLeft w:val="0"/>
      <w:marRight w:val="0"/>
      <w:marTop w:val="0"/>
      <w:marBottom w:val="0"/>
      <w:divBdr>
        <w:top w:val="none" w:sz="0" w:space="0" w:color="auto"/>
        <w:left w:val="none" w:sz="0" w:space="0" w:color="auto"/>
        <w:bottom w:val="none" w:sz="0" w:space="0" w:color="auto"/>
        <w:right w:val="none" w:sz="0" w:space="0" w:color="auto"/>
      </w:divBdr>
    </w:div>
    <w:div w:id="532766484">
      <w:bodyDiv w:val="1"/>
      <w:marLeft w:val="0"/>
      <w:marRight w:val="0"/>
      <w:marTop w:val="0"/>
      <w:marBottom w:val="0"/>
      <w:divBdr>
        <w:top w:val="none" w:sz="0" w:space="0" w:color="auto"/>
        <w:left w:val="none" w:sz="0" w:space="0" w:color="auto"/>
        <w:bottom w:val="none" w:sz="0" w:space="0" w:color="auto"/>
        <w:right w:val="none" w:sz="0" w:space="0" w:color="auto"/>
      </w:divBdr>
    </w:div>
    <w:div w:id="560680783">
      <w:bodyDiv w:val="1"/>
      <w:marLeft w:val="0"/>
      <w:marRight w:val="0"/>
      <w:marTop w:val="0"/>
      <w:marBottom w:val="0"/>
      <w:divBdr>
        <w:top w:val="none" w:sz="0" w:space="0" w:color="auto"/>
        <w:left w:val="none" w:sz="0" w:space="0" w:color="auto"/>
        <w:bottom w:val="none" w:sz="0" w:space="0" w:color="auto"/>
        <w:right w:val="none" w:sz="0" w:space="0" w:color="auto"/>
      </w:divBdr>
    </w:div>
    <w:div w:id="627129860">
      <w:bodyDiv w:val="1"/>
      <w:marLeft w:val="0"/>
      <w:marRight w:val="0"/>
      <w:marTop w:val="0"/>
      <w:marBottom w:val="0"/>
      <w:divBdr>
        <w:top w:val="none" w:sz="0" w:space="0" w:color="auto"/>
        <w:left w:val="none" w:sz="0" w:space="0" w:color="auto"/>
        <w:bottom w:val="none" w:sz="0" w:space="0" w:color="auto"/>
        <w:right w:val="none" w:sz="0" w:space="0" w:color="auto"/>
      </w:divBdr>
    </w:div>
    <w:div w:id="632370103">
      <w:bodyDiv w:val="1"/>
      <w:marLeft w:val="0"/>
      <w:marRight w:val="0"/>
      <w:marTop w:val="0"/>
      <w:marBottom w:val="0"/>
      <w:divBdr>
        <w:top w:val="none" w:sz="0" w:space="0" w:color="auto"/>
        <w:left w:val="none" w:sz="0" w:space="0" w:color="auto"/>
        <w:bottom w:val="none" w:sz="0" w:space="0" w:color="auto"/>
        <w:right w:val="none" w:sz="0" w:space="0" w:color="auto"/>
      </w:divBdr>
    </w:div>
    <w:div w:id="678241285">
      <w:bodyDiv w:val="1"/>
      <w:marLeft w:val="0"/>
      <w:marRight w:val="0"/>
      <w:marTop w:val="0"/>
      <w:marBottom w:val="0"/>
      <w:divBdr>
        <w:top w:val="none" w:sz="0" w:space="0" w:color="auto"/>
        <w:left w:val="none" w:sz="0" w:space="0" w:color="auto"/>
        <w:bottom w:val="none" w:sz="0" w:space="0" w:color="auto"/>
        <w:right w:val="none" w:sz="0" w:space="0" w:color="auto"/>
      </w:divBdr>
    </w:div>
    <w:div w:id="754086048">
      <w:bodyDiv w:val="1"/>
      <w:marLeft w:val="0"/>
      <w:marRight w:val="0"/>
      <w:marTop w:val="0"/>
      <w:marBottom w:val="0"/>
      <w:divBdr>
        <w:top w:val="none" w:sz="0" w:space="0" w:color="auto"/>
        <w:left w:val="none" w:sz="0" w:space="0" w:color="auto"/>
        <w:bottom w:val="none" w:sz="0" w:space="0" w:color="auto"/>
        <w:right w:val="none" w:sz="0" w:space="0" w:color="auto"/>
      </w:divBdr>
    </w:div>
    <w:div w:id="777868758">
      <w:bodyDiv w:val="1"/>
      <w:marLeft w:val="0"/>
      <w:marRight w:val="0"/>
      <w:marTop w:val="0"/>
      <w:marBottom w:val="0"/>
      <w:divBdr>
        <w:top w:val="none" w:sz="0" w:space="0" w:color="auto"/>
        <w:left w:val="none" w:sz="0" w:space="0" w:color="auto"/>
        <w:bottom w:val="none" w:sz="0" w:space="0" w:color="auto"/>
        <w:right w:val="none" w:sz="0" w:space="0" w:color="auto"/>
      </w:divBdr>
    </w:div>
    <w:div w:id="800416749">
      <w:bodyDiv w:val="1"/>
      <w:marLeft w:val="0"/>
      <w:marRight w:val="0"/>
      <w:marTop w:val="0"/>
      <w:marBottom w:val="0"/>
      <w:divBdr>
        <w:top w:val="none" w:sz="0" w:space="0" w:color="auto"/>
        <w:left w:val="none" w:sz="0" w:space="0" w:color="auto"/>
        <w:bottom w:val="none" w:sz="0" w:space="0" w:color="auto"/>
        <w:right w:val="none" w:sz="0" w:space="0" w:color="auto"/>
      </w:divBdr>
    </w:div>
    <w:div w:id="818418388">
      <w:bodyDiv w:val="1"/>
      <w:marLeft w:val="0"/>
      <w:marRight w:val="0"/>
      <w:marTop w:val="0"/>
      <w:marBottom w:val="0"/>
      <w:divBdr>
        <w:top w:val="none" w:sz="0" w:space="0" w:color="auto"/>
        <w:left w:val="none" w:sz="0" w:space="0" w:color="auto"/>
        <w:bottom w:val="none" w:sz="0" w:space="0" w:color="auto"/>
        <w:right w:val="none" w:sz="0" w:space="0" w:color="auto"/>
      </w:divBdr>
    </w:div>
    <w:div w:id="835997667">
      <w:bodyDiv w:val="1"/>
      <w:marLeft w:val="0"/>
      <w:marRight w:val="0"/>
      <w:marTop w:val="0"/>
      <w:marBottom w:val="0"/>
      <w:divBdr>
        <w:top w:val="none" w:sz="0" w:space="0" w:color="auto"/>
        <w:left w:val="none" w:sz="0" w:space="0" w:color="auto"/>
        <w:bottom w:val="none" w:sz="0" w:space="0" w:color="auto"/>
        <w:right w:val="none" w:sz="0" w:space="0" w:color="auto"/>
      </w:divBdr>
    </w:div>
    <w:div w:id="836767970">
      <w:bodyDiv w:val="1"/>
      <w:marLeft w:val="0"/>
      <w:marRight w:val="0"/>
      <w:marTop w:val="0"/>
      <w:marBottom w:val="0"/>
      <w:divBdr>
        <w:top w:val="none" w:sz="0" w:space="0" w:color="auto"/>
        <w:left w:val="none" w:sz="0" w:space="0" w:color="auto"/>
        <w:bottom w:val="none" w:sz="0" w:space="0" w:color="auto"/>
        <w:right w:val="none" w:sz="0" w:space="0" w:color="auto"/>
      </w:divBdr>
    </w:div>
    <w:div w:id="876819390">
      <w:bodyDiv w:val="1"/>
      <w:marLeft w:val="0"/>
      <w:marRight w:val="0"/>
      <w:marTop w:val="0"/>
      <w:marBottom w:val="0"/>
      <w:divBdr>
        <w:top w:val="none" w:sz="0" w:space="0" w:color="auto"/>
        <w:left w:val="none" w:sz="0" w:space="0" w:color="auto"/>
        <w:bottom w:val="none" w:sz="0" w:space="0" w:color="auto"/>
        <w:right w:val="none" w:sz="0" w:space="0" w:color="auto"/>
      </w:divBdr>
    </w:div>
    <w:div w:id="919753974">
      <w:bodyDiv w:val="1"/>
      <w:marLeft w:val="0"/>
      <w:marRight w:val="0"/>
      <w:marTop w:val="0"/>
      <w:marBottom w:val="0"/>
      <w:divBdr>
        <w:top w:val="none" w:sz="0" w:space="0" w:color="auto"/>
        <w:left w:val="none" w:sz="0" w:space="0" w:color="auto"/>
        <w:bottom w:val="none" w:sz="0" w:space="0" w:color="auto"/>
        <w:right w:val="none" w:sz="0" w:space="0" w:color="auto"/>
      </w:divBdr>
    </w:div>
    <w:div w:id="923802678">
      <w:bodyDiv w:val="1"/>
      <w:marLeft w:val="0"/>
      <w:marRight w:val="0"/>
      <w:marTop w:val="0"/>
      <w:marBottom w:val="0"/>
      <w:divBdr>
        <w:top w:val="none" w:sz="0" w:space="0" w:color="auto"/>
        <w:left w:val="none" w:sz="0" w:space="0" w:color="auto"/>
        <w:bottom w:val="none" w:sz="0" w:space="0" w:color="auto"/>
        <w:right w:val="none" w:sz="0" w:space="0" w:color="auto"/>
      </w:divBdr>
    </w:div>
    <w:div w:id="988750639">
      <w:bodyDiv w:val="1"/>
      <w:marLeft w:val="0"/>
      <w:marRight w:val="0"/>
      <w:marTop w:val="0"/>
      <w:marBottom w:val="0"/>
      <w:divBdr>
        <w:top w:val="none" w:sz="0" w:space="0" w:color="auto"/>
        <w:left w:val="none" w:sz="0" w:space="0" w:color="auto"/>
        <w:bottom w:val="none" w:sz="0" w:space="0" w:color="auto"/>
        <w:right w:val="none" w:sz="0" w:space="0" w:color="auto"/>
      </w:divBdr>
    </w:div>
    <w:div w:id="1005861735">
      <w:bodyDiv w:val="1"/>
      <w:marLeft w:val="0"/>
      <w:marRight w:val="0"/>
      <w:marTop w:val="0"/>
      <w:marBottom w:val="0"/>
      <w:divBdr>
        <w:top w:val="none" w:sz="0" w:space="0" w:color="auto"/>
        <w:left w:val="none" w:sz="0" w:space="0" w:color="auto"/>
        <w:bottom w:val="none" w:sz="0" w:space="0" w:color="auto"/>
        <w:right w:val="none" w:sz="0" w:space="0" w:color="auto"/>
      </w:divBdr>
    </w:div>
    <w:div w:id="1030302750">
      <w:bodyDiv w:val="1"/>
      <w:marLeft w:val="0"/>
      <w:marRight w:val="0"/>
      <w:marTop w:val="0"/>
      <w:marBottom w:val="0"/>
      <w:divBdr>
        <w:top w:val="none" w:sz="0" w:space="0" w:color="auto"/>
        <w:left w:val="none" w:sz="0" w:space="0" w:color="auto"/>
        <w:bottom w:val="none" w:sz="0" w:space="0" w:color="auto"/>
        <w:right w:val="none" w:sz="0" w:space="0" w:color="auto"/>
      </w:divBdr>
    </w:div>
    <w:div w:id="1039743019">
      <w:bodyDiv w:val="1"/>
      <w:marLeft w:val="0"/>
      <w:marRight w:val="0"/>
      <w:marTop w:val="0"/>
      <w:marBottom w:val="0"/>
      <w:divBdr>
        <w:top w:val="none" w:sz="0" w:space="0" w:color="auto"/>
        <w:left w:val="none" w:sz="0" w:space="0" w:color="auto"/>
        <w:bottom w:val="none" w:sz="0" w:space="0" w:color="auto"/>
        <w:right w:val="none" w:sz="0" w:space="0" w:color="auto"/>
      </w:divBdr>
    </w:div>
    <w:div w:id="1067920696">
      <w:bodyDiv w:val="1"/>
      <w:marLeft w:val="0"/>
      <w:marRight w:val="0"/>
      <w:marTop w:val="0"/>
      <w:marBottom w:val="0"/>
      <w:divBdr>
        <w:top w:val="none" w:sz="0" w:space="0" w:color="auto"/>
        <w:left w:val="none" w:sz="0" w:space="0" w:color="auto"/>
        <w:bottom w:val="none" w:sz="0" w:space="0" w:color="auto"/>
        <w:right w:val="none" w:sz="0" w:space="0" w:color="auto"/>
      </w:divBdr>
    </w:div>
    <w:div w:id="1070469812">
      <w:bodyDiv w:val="1"/>
      <w:marLeft w:val="0"/>
      <w:marRight w:val="0"/>
      <w:marTop w:val="0"/>
      <w:marBottom w:val="0"/>
      <w:divBdr>
        <w:top w:val="none" w:sz="0" w:space="0" w:color="auto"/>
        <w:left w:val="none" w:sz="0" w:space="0" w:color="auto"/>
        <w:bottom w:val="none" w:sz="0" w:space="0" w:color="auto"/>
        <w:right w:val="none" w:sz="0" w:space="0" w:color="auto"/>
      </w:divBdr>
    </w:div>
    <w:div w:id="1078476988">
      <w:bodyDiv w:val="1"/>
      <w:marLeft w:val="0"/>
      <w:marRight w:val="0"/>
      <w:marTop w:val="0"/>
      <w:marBottom w:val="0"/>
      <w:divBdr>
        <w:top w:val="none" w:sz="0" w:space="0" w:color="auto"/>
        <w:left w:val="none" w:sz="0" w:space="0" w:color="auto"/>
        <w:bottom w:val="none" w:sz="0" w:space="0" w:color="auto"/>
        <w:right w:val="none" w:sz="0" w:space="0" w:color="auto"/>
      </w:divBdr>
    </w:div>
    <w:div w:id="1087384821">
      <w:bodyDiv w:val="1"/>
      <w:marLeft w:val="0"/>
      <w:marRight w:val="0"/>
      <w:marTop w:val="0"/>
      <w:marBottom w:val="0"/>
      <w:divBdr>
        <w:top w:val="none" w:sz="0" w:space="0" w:color="auto"/>
        <w:left w:val="none" w:sz="0" w:space="0" w:color="auto"/>
        <w:bottom w:val="none" w:sz="0" w:space="0" w:color="auto"/>
        <w:right w:val="none" w:sz="0" w:space="0" w:color="auto"/>
      </w:divBdr>
    </w:div>
    <w:div w:id="1093671685">
      <w:bodyDiv w:val="1"/>
      <w:marLeft w:val="0"/>
      <w:marRight w:val="0"/>
      <w:marTop w:val="0"/>
      <w:marBottom w:val="0"/>
      <w:divBdr>
        <w:top w:val="none" w:sz="0" w:space="0" w:color="auto"/>
        <w:left w:val="none" w:sz="0" w:space="0" w:color="auto"/>
        <w:bottom w:val="none" w:sz="0" w:space="0" w:color="auto"/>
        <w:right w:val="none" w:sz="0" w:space="0" w:color="auto"/>
      </w:divBdr>
    </w:div>
    <w:div w:id="1101338988">
      <w:bodyDiv w:val="1"/>
      <w:marLeft w:val="0"/>
      <w:marRight w:val="0"/>
      <w:marTop w:val="0"/>
      <w:marBottom w:val="0"/>
      <w:divBdr>
        <w:top w:val="none" w:sz="0" w:space="0" w:color="auto"/>
        <w:left w:val="none" w:sz="0" w:space="0" w:color="auto"/>
        <w:bottom w:val="none" w:sz="0" w:space="0" w:color="auto"/>
        <w:right w:val="none" w:sz="0" w:space="0" w:color="auto"/>
      </w:divBdr>
    </w:div>
    <w:div w:id="1113786925">
      <w:bodyDiv w:val="1"/>
      <w:marLeft w:val="0"/>
      <w:marRight w:val="0"/>
      <w:marTop w:val="0"/>
      <w:marBottom w:val="0"/>
      <w:divBdr>
        <w:top w:val="none" w:sz="0" w:space="0" w:color="auto"/>
        <w:left w:val="none" w:sz="0" w:space="0" w:color="auto"/>
        <w:bottom w:val="none" w:sz="0" w:space="0" w:color="auto"/>
        <w:right w:val="none" w:sz="0" w:space="0" w:color="auto"/>
      </w:divBdr>
    </w:div>
    <w:div w:id="1140423943">
      <w:bodyDiv w:val="1"/>
      <w:marLeft w:val="0"/>
      <w:marRight w:val="0"/>
      <w:marTop w:val="0"/>
      <w:marBottom w:val="0"/>
      <w:divBdr>
        <w:top w:val="none" w:sz="0" w:space="0" w:color="auto"/>
        <w:left w:val="none" w:sz="0" w:space="0" w:color="auto"/>
        <w:bottom w:val="none" w:sz="0" w:space="0" w:color="auto"/>
        <w:right w:val="none" w:sz="0" w:space="0" w:color="auto"/>
      </w:divBdr>
    </w:div>
    <w:div w:id="1143890656">
      <w:bodyDiv w:val="1"/>
      <w:marLeft w:val="0"/>
      <w:marRight w:val="0"/>
      <w:marTop w:val="0"/>
      <w:marBottom w:val="0"/>
      <w:divBdr>
        <w:top w:val="none" w:sz="0" w:space="0" w:color="auto"/>
        <w:left w:val="none" w:sz="0" w:space="0" w:color="auto"/>
        <w:bottom w:val="none" w:sz="0" w:space="0" w:color="auto"/>
        <w:right w:val="none" w:sz="0" w:space="0" w:color="auto"/>
      </w:divBdr>
    </w:div>
    <w:div w:id="1219394464">
      <w:bodyDiv w:val="1"/>
      <w:marLeft w:val="0"/>
      <w:marRight w:val="0"/>
      <w:marTop w:val="0"/>
      <w:marBottom w:val="0"/>
      <w:divBdr>
        <w:top w:val="none" w:sz="0" w:space="0" w:color="auto"/>
        <w:left w:val="none" w:sz="0" w:space="0" w:color="auto"/>
        <w:bottom w:val="none" w:sz="0" w:space="0" w:color="auto"/>
        <w:right w:val="none" w:sz="0" w:space="0" w:color="auto"/>
      </w:divBdr>
    </w:div>
    <w:div w:id="1233811165">
      <w:bodyDiv w:val="1"/>
      <w:marLeft w:val="0"/>
      <w:marRight w:val="0"/>
      <w:marTop w:val="0"/>
      <w:marBottom w:val="0"/>
      <w:divBdr>
        <w:top w:val="none" w:sz="0" w:space="0" w:color="auto"/>
        <w:left w:val="none" w:sz="0" w:space="0" w:color="auto"/>
        <w:bottom w:val="none" w:sz="0" w:space="0" w:color="auto"/>
        <w:right w:val="none" w:sz="0" w:space="0" w:color="auto"/>
      </w:divBdr>
    </w:div>
    <w:div w:id="1241409032">
      <w:bodyDiv w:val="1"/>
      <w:marLeft w:val="0"/>
      <w:marRight w:val="0"/>
      <w:marTop w:val="0"/>
      <w:marBottom w:val="0"/>
      <w:divBdr>
        <w:top w:val="none" w:sz="0" w:space="0" w:color="auto"/>
        <w:left w:val="none" w:sz="0" w:space="0" w:color="auto"/>
        <w:bottom w:val="none" w:sz="0" w:space="0" w:color="auto"/>
        <w:right w:val="none" w:sz="0" w:space="0" w:color="auto"/>
      </w:divBdr>
    </w:div>
    <w:div w:id="1262029722">
      <w:bodyDiv w:val="1"/>
      <w:marLeft w:val="0"/>
      <w:marRight w:val="0"/>
      <w:marTop w:val="0"/>
      <w:marBottom w:val="0"/>
      <w:divBdr>
        <w:top w:val="none" w:sz="0" w:space="0" w:color="auto"/>
        <w:left w:val="none" w:sz="0" w:space="0" w:color="auto"/>
        <w:bottom w:val="none" w:sz="0" w:space="0" w:color="auto"/>
        <w:right w:val="none" w:sz="0" w:space="0" w:color="auto"/>
      </w:divBdr>
    </w:div>
    <w:div w:id="1278755760">
      <w:bodyDiv w:val="1"/>
      <w:marLeft w:val="0"/>
      <w:marRight w:val="0"/>
      <w:marTop w:val="0"/>
      <w:marBottom w:val="0"/>
      <w:divBdr>
        <w:top w:val="none" w:sz="0" w:space="0" w:color="auto"/>
        <w:left w:val="none" w:sz="0" w:space="0" w:color="auto"/>
        <w:bottom w:val="none" w:sz="0" w:space="0" w:color="auto"/>
        <w:right w:val="none" w:sz="0" w:space="0" w:color="auto"/>
      </w:divBdr>
    </w:div>
    <w:div w:id="1279141642">
      <w:bodyDiv w:val="1"/>
      <w:marLeft w:val="0"/>
      <w:marRight w:val="0"/>
      <w:marTop w:val="0"/>
      <w:marBottom w:val="0"/>
      <w:divBdr>
        <w:top w:val="none" w:sz="0" w:space="0" w:color="auto"/>
        <w:left w:val="none" w:sz="0" w:space="0" w:color="auto"/>
        <w:bottom w:val="none" w:sz="0" w:space="0" w:color="auto"/>
        <w:right w:val="none" w:sz="0" w:space="0" w:color="auto"/>
      </w:divBdr>
      <w:divsChild>
        <w:div w:id="1108112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099593">
      <w:bodyDiv w:val="1"/>
      <w:marLeft w:val="0"/>
      <w:marRight w:val="0"/>
      <w:marTop w:val="0"/>
      <w:marBottom w:val="0"/>
      <w:divBdr>
        <w:top w:val="none" w:sz="0" w:space="0" w:color="auto"/>
        <w:left w:val="none" w:sz="0" w:space="0" w:color="auto"/>
        <w:bottom w:val="none" w:sz="0" w:space="0" w:color="auto"/>
        <w:right w:val="none" w:sz="0" w:space="0" w:color="auto"/>
      </w:divBdr>
    </w:div>
    <w:div w:id="1350335742">
      <w:bodyDiv w:val="1"/>
      <w:marLeft w:val="0"/>
      <w:marRight w:val="0"/>
      <w:marTop w:val="0"/>
      <w:marBottom w:val="0"/>
      <w:divBdr>
        <w:top w:val="none" w:sz="0" w:space="0" w:color="auto"/>
        <w:left w:val="none" w:sz="0" w:space="0" w:color="auto"/>
        <w:bottom w:val="none" w:sz="0" w:space="0" w:color="auto"/>
        <w:right w:val="none" w:sz="0" w:space="0" w:color="auto"/>
      </w:divBdr>
    </w:div>
    <w:div w:id="1443263495">
      <w:bodyDiv w:val="1"/>
      <w:marLeft w:val="0"/>
      <w:marRight w:val="0"/>
      <w:marTop w:val="0"/>
      <w:marBottom w:val="0"/>
      <w:divBdr>
        <w:top w:val="none" w:sz="0" w:space="0" w:color="auto"/>
        <w:left w:val="none" w:sz="0" w:space="0" w:color="auto"/>
        <w:bottom w:val="none" w:sz="0" w:space="0" w:color="auto"/>
        <w:right w:val="none" w:sz="0" w:space="0" w:color="auto"/>
      </w:divBdr>
    </w:div>
    <w:div w:id="1459448918">
      <w:bodyDiv w:val="1"/>
      <w:marLeft w:val="0"/>
      <w:marRight w:val="0"/>
      <w:marTop w:val="0"/>
      <w:marBottom w:val="0"/>
      <w:divBdr>
        <w:top w:val="none" w:sz="0" w:space="0" w:color="auto"/>
        <w:left w:val="none" w:sz="0" w:space="0" w:color="auto"/>
        <w:bottom w:val="none" w:sz="0" w:space="0" w:color="auto"/>
        <w:right w:val="none" w:sz="0" w:space="0" w:color="auto"/>
      </w:divBdr>
    </w:div>
    <w:div w:id="1470242022">
      <w:bodyDiv w:val="1"/>
      <w:marLeft w:val="0"/>
      <w:marRight w:val="0"/>
      <w:marTop w:val="0"/>
      <w:marBottom w:val="0"/>
      <w:divBdr>
        <w:top w:val="none" w:sz="0" w:space="0" w:color="auto"/>
        <w:left w:val="none" w:sz="0" w:space="0" w:color="auto"/>
        <w:bottom w:val="none" w:sz="0" w:space="0" w:color="auto"/>
        <w:right w:val="none" w:sz="0" w:space="0" w:color="auto"/>
      </w:divBdr>
    </w:div>
    <w:div w:id="1485732052">
      <w:bodyDiv w:val="1"/>
      <w:marLeft w:val="0"/>
      <w:marRight w:val="0"/>
      <w:marTop w:val="0"/>
      <w:marBottom w:val="0"/>
      <w:divBdr>
        <w:top w:val="none" w:sz="0" w:space="0" w:color="auto"/>
        <w:left w:val="none" w:sz="0" w:space="0" w:color="auto"/>
        <w:bottom w:val="none" w:sz="0" w:space="0" w:color="auto"/>
        <w:right w:val="none" w:sz="0" w:space="0" w:color="auto"/>
      </w:divBdr>
    </w:div>
    <w:div w:id="1503473764">
      <w:bodyDiv w:val="1"/>
      <w:marLeft w:val="0"/>
      <w:marRight w:val="0"/>
      <w:marTop w:val="0"/>
      <w:marBottom w:val="0"/>
      <w:divBdr>
        <w:top w:val="none" w:sz="0" w:space="0" w:color="auto"/>
        <w:left w:val="none" w:sz="0" w:space="0" w:color="auto"/>
        <w:bottom w:val="none" w:sz="0" w:space="0" w:color="auto"/>
        <w:right w:val="none" w:sz="0" w:space="0" w:color="auto"/>
      </w:divBdr>
    </w:div>
    <w:div w:id="1518617819">
      <w:bodyDiv w:val="1"/>
      <w:marLeft w:val="0"/>
      <w:marRight w:val="0"/>
      <w:marTop w:val="0"/>
      <w:marBottom w:val="0"/>
      <w:divBdr>
        <w:top w:val="none" w:sz="0" w:space="0" w:color="auto"/>
        <w:left w:val="none" w:sz="0" w:space="0" w:color="auto"/>
        <w:bottom w:val="none" w:sz="0" w:space="0" w:color="auto"/>
        <w:right w:val="none" w:sz="0" w:space="0" w:color="auto"/>
      </w:divBdr>
    </w:div>
    <w:div w:id="1538351262">
      <w:bodyDiv w:val="1"/>
      <w:marLeft w:val="0"/>
      <w:marRight w:val="0"/>
      <w:marTop w:val="0"/>
      <w:marBottom w:val="0"/>
      <w:divBdr>
        <w:top w:val="none" w:sz="0" w:space="0" w:color="auto"/>
        <w:left w:val="none" w:sz="0" w:space="0" w:color="auto"/>
        <w:bottom w:val="none" w:sz="0" w:space="0" w:color="auto"/>
        <w:right w:val="none" w:sz="0" w:space="0" w:color="auto"/>
      </w:divBdr>
    </w:div>
    <w:div w:id="1548833897">
      <w:bodyDiv w:val="1"/>
      <w:marLeft w:val="0"/>
      <w:marRight w:val="0"/>
      <w:marTop w:val="0"/>
      <w:marBottom w:val="0"/>
      <w:divBdr>
        <w:top w:val="none" w:sz="0" w:space="0" w:color="auto"/>
        <w:left w:val="none" w:sz="0" w:space="0" w:color="auto"/>
        <w:bottom w:val="none" w:sz="0" w:space="0" w:color="auto"/>
        <w:right w:val="none" w:sz="0" w:space="0" w:color="auto"/>
      </w:divBdr>
      <w:divsChild>
        <w:div w:id="1000736884">
          <w:marLeft w:val="0"/>
          <w:marRight w:val="0"/>
          <w:marTop w:val="0"/>
          <w:marBottom w:val="0"/>
          <w:divBdr>
            <w:top w:val="none" w:sz="0" w:space="0" w:color="auto"/>
            <w:left w:val="none" w:sz="0" w:space="0" w:color="auto"/>
            <w:bottom w:val="none" w:sz="0" w:space="0" w:color="auto"/>
            <w:right w:val="none" w:sz="0" w:space="0" w:color="auto"/>
          </w:divBdr>
          <w:divsChild>
            <w:div w:id="476383554">
              <w:marLeft w:val="0"/>
              <w:marRight w:val="0"/>
              <w:marTop w:val="0"/>
              <w:marBottom w:val="0"/>
              <w:divBdr>
                <w:top w:val="none" w:sz="0" w:space="0" w:color="auto"/>
                <w:left w:val="none" w:sz="0" w:space="0" w:color="auto"/>
                <w:bottom w:val="none" w:sz="0" w:space="0" w:color="auto"/>
                <w:right w:val="none" w:sz="0" w:space="0" w:color="auto"/>
              </w:divBdr>
              <w:divsChild>
                <w:div w:id="2100128182">
                  <w:marLeft w:val="0"/>
                  <w:marRight w:val="0"/>
                  <w:marTop w:val="0"/>
                  <w:marBottom w:val="0"/>
                  <w:divBdr>
                    <w:top w:val="none" w:sz="0" w:space="0" w:color="auto"/>
                    <w:left w:val="none" w:sz="0" w:space="0" w:color="auto"/>
                    <w:bottom w:val="none" w:sz="0" w:space="0" w:color="auto"/>
                    <w:right w:val="none" w:sz="0" w:space="0" w:color="auto"/>
                  </w:divBdr>
                  <w:divsChild>
                    <w:div w:id="536746429">
                      <w:marLeft w:val="0"/>
                      <w:marRight w:val="0"/>
                      <w:marTop w:val="0"/>
                      <w:marBottom w:val="0"/>
                      <w:divBdr>
                        <w:top w:val="none" w:sz="0" w:space="0" w:color="auto"/>
                        <w:left w:val="none" w:sz="0" w:space="0" w:color="auto"/>
                        <w:bottom w:val="none" w:sz="0" w:space="0" w:color="auto"/>
                        <w:right w:val="none" w:sz="0" w:space="0" w:color="auto"/>
                      </w:divBdr>
                      <w:divsChild>
                        <w:div w:id="1300502467">
                          <w:marLeft w:val="0"/>
                          <w:marRight w:val="0"/>
                          <w:marTop w:val="0"/>
                          <w:marBottom w:val="0"/>
                          <w:divBdr>
                            <w:top w:val="none" w:sz="0" w:space="0" w:color="auto"/>
                            <w:left w:val="none" w:sz="0" w:space="0" w:color="auto"/>
                            <w:bottom w:val="none" w:sz="0" w:space="0" w:color="auto"/>
                            <w:right w:val="none" w:sz="0" w:space="0" w:color="auto"/>
                          </w:divBdr>
                          <w:divsChild>
                            <w:div w:id="1411343516">
                              <w:marLeft w:val="0"/>
                              <w:marRight w:val="0"/>
                              <w:marTop w:val="0"/>
                              <w:marBottom w:val="0"/>
                              <w:divBdr>
                                <w:top w:val="none" w:sz="0" w:space="0" w:color="auto"/>
                                <w:left w:val="none" w:sz="0" w:space="0" w:color="auto"/>
                                <w:bottom w:val="none" w:sz="0" w:space="0" w:color="auto"/>
                                <w:right w:val="none" w:sz="0" w:space="0" w:color="auto"/>
                              </w:divBdr>
                              <w:divsChild>
                                <w:div w:id="93836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212828">
      <w:bodyDiv w:val="1"/>
      <w:marLeft w:val="0"/>
      <w:marRight w:val="0"/>
      <w:marTop w:val="0"/>
      <w:marBottom w:val="0"/>
      <w:divBdr>
        <w:top w:val="none" w:sz="0" w:space="0" w:color="auto"/>
        <w:left w:val="none" w:sz="0" w:space="0" w:color="auto"/>
        <w:bottom w:val="none" w:sz="0" w:space="0" w:color="auto"/>
        <w:right w:val="none" w:sz="0" w:space="0" w:color="auto"/>
      </w:divBdr>
      <w:divsChild>
        <w:div w:id="53088146">
          <w:marLeft w:val="0"/>
          <w:marRight w:val="0"/>
          <w:marTop w:val="0"/>
          <w:marBottom w:val="0"/>
          <w:divBdr>
            <w:top w:val="none" w:sz="0" w:space="0" w:color="auto"/>
            <w:left w:val="none" w:sz="0" w:space="0" w:color="auto"/>
            <w:bottom w:val="none" w:sz="0" w:space="0" w:color="auto"/>
            <w:right w:val="none" w:sz="0" w:space="0" w:color="auto"/>
          </w:divBdr>
        </w:div>
      </w:divsChild>
    </w:div>
    <w:div w:id="1614900755">
      <w:bodyDiv w:val="1"/>
      <w:marLeft w:val="0"/>
      <w:marRight w:val="0"/>
      <w:marTop w:val="0"/>
      <w:marBottom w:val="0"/>
      <w:divBdr>
        <w:top w:val="none" w:sz="0" w:space="0" w:color="auto"/>
        <w:left w:val="none" w:sz="0" w:space="0" w:color="auto"/>
        <w:bottom w:val="none" w:sz="0" w:space="0" w:color="auto"/>
        <w:right w:val="none" w:sz="0" w:space="0" w:color="auto"/>
      </w:divBdr>
    </w:div>
    <w:div w:id="1618373024">
      <w:bodyDiv w:val="1"/>
      <w:marLeft w:val="0"/>
      <w:marRight w:val="0"/>
      <w:marTop w:val="0"/>
      <w:marBottom w:val="0"/>
      <w:divBdr>
        <w:top w:val="none" w:sz="0" w:space="0" w:color="auto"/>
        <w:left w:val="none" w:sz="0" w:space="0" w:color="auto"/>
        <w:bottom w:val="none" w:sz="0" w:space="0" w:color="auto"/>
        <w:right w:val="none" w:sz="0" w:space="0" w:color="auto"/>
      </w:divBdr>
    </w:div>
    <w:div w:id="1661276706">
      <w:bodyDiv w:val="1"/>
      <w:marLeft w:val="0"/>
      <w:marRight w:val="0"/>
      <w:marTop w:val="0"/>
      <w:marBottom w:val="0"/>
      <w:divBdr>
        <w:top w:val="none" w:sz="0" w:space="0" w:color="auto"/>
        <w:left w:val="none" w:sz="0" w:space="0" w:color="auto"/>
        <w:bottom w:val="none" w:sz="0" w:space="0" w:color="auto"/>
        <w:right w:val="none" w:sz="0" w:space="0" w:color="auto"/>
      </w:divBdr>
    </w:div>
    <w:div w:id="1710766411">
      <w:bodyDiv w:val="1"/>
      <w:marLeft w:val="0"/>
      <w:marRight w:val="0"/>
      <w:marTop w:val="0"/>
      <w:marBottom w:val="0"/>
      <w:divBdr>
        <w:top w:val="none" w:sz="0" w:space="0" w:color="auto"/>
        <w:left w:val="none" w:sz="0" w:space="0" w:color="auto"/>
        <w:bottom w:val="none" w:sz="0" w:space="0" w:color="auto"/>
        <w:right w:val="none" w:sz="0" w:space="0" w:color="auto"/>
      </w:divBdr>
    </w:div>
    <w:div w:id="1725134898">
      <w:bodyDiv w:val="1"/>
      <w:marLeft w:val="0"/>
      <w:marRight w:val="0"/>
      <w:marTop w:val="0"/>
      <w:marBottom w:val="0"/>
      <w:divBdr>
        <w:top w:val="none" w:sz="0" w:space="0" w:color="auto"/>
        <w:left w:val="none" w:sz="0" w:space="0" w:color="auto"/>
        <w:bottom w:val="none" w:sz="0" w:space="0" w:color="auto"/>
        <w:right w:val="none" w:sz="0" w:space="0" w:color="auto"/>
      </w:divBdr>
    </w:div>
    <w:div w:id="1743216908">
      <w:bodyDiv w:val="1"/>
      <w:marLeft w:val="0"/>
      <w:marRight w:val="0"/>
      <w:marTop w:val="0"/>
      <w:marBottom w:val="0"/>
      <w:divBdr>
        <w:top w:val="none" w:sz="0" w:space="0" w:color="auto"/>
        <w:left w:val="none" w:sz="0" w:space="0" w:color="auto"/>
        <w:bottom w:val="none" w:sz="0" w:space="0" w:color="auto"/>
        <w:right w:val="none" w:sz="0" w:space="0" w:color="auto"/>
      </w:divBdr>
    </w:div>
    <w:div w:id="1784614868">
      <w:bodyDiv w:val="1"/>
      <w:marLeft w:val="0"/>
      <w:marRight w:val="0"/>
      <w:marTop w:val="0"/>
      <w:marBottom w:val="0"/>
      <w:divBdr>
        <w:top w:val="none" w:sz="0" w:space="0" w:color="auto"/>
        <w:left w:val="none" w:sz="0" w:space="0" w:color="auto"/>
        <w:bottom w:val="none" w:sz="0" w:space="0" w:color="auto"/>
        <w:right w:val="none" w:sz="0" w:space="0" w:color="auto"/>
      </w:divBdr>
      <w:divsChild>
        <w:div w:id="1305158654">
          <w:marLeft w:val="0"/>
          <w:marRight w:val="0"/>
          <w:marTop w:val="0"/>
          <w:marBottom w:val="0"/>
          <w:divBdr>
            <w:top w:val="none" w:sz="0" w:space="0" w:color="auto"/>
            <w:left w:val="none" w:sz="0" w:space="0" w:color="auto"/>
            <w:bottom w:val="none" w:sz="0" w:space="0" w:color="auto"/>
            <w:right w:val="none" w:sz="0" w:space="0" w:color="auto"/>
          </w:divBdr>
        </w:div>
      </w:divsChild>
    </w:div>
    <w:div w:id="1810707899">
      <w:bodyDiv w:val="1"/>
      <w:marLeft w:val="0"/>
      <w:marRight w:val="0"/>
      <w:marTop w:val="0"/>
      <w:marBottom w:val="0"/>
      <w:divBdr>
        <w:top w:val="none" w:sz="0" w:space="0" w:color="auto"/>
        <w:left w:val="none" w:sz="0" w:space="0" w:color="auto"/>
        <w:bottom w:val="none" w:sz="0" w:space="0" w:color="auto"/>
        <w:right w:val="none" w:sz="0" w:space="0" w:color="auto"/>
      </w:divBdr>
    </w:div>
    <w:div w:id="1828158323">
      <w:bodyDiv w:val="1"/>
      <w:marLeft w:val="0"/>
      <w:marRight w:val="0"/>
      <w:marTop w:val="0"/>
      <w:marBottom w:val="0"/>
      <w:divBdr>
        <w:top w:val="none" w:sz="0" w:space="0" w:color="auto"/>
        <w:left w:val="none" w:sz="0" w:space="0" w:color="auto"/>
        <w:bottom w:val="none" w:sz="0" w:space="0" w:color="auto"/>
        <w:right w:val="none" w:sz="0" w:space="0" w:color="auto"/>
      </w:divBdr>
    </w:div>
    <w:div w:id="1837530194">
      <w:bodyDiv w:val="1"/>
      <w:marLeft w:val="0"/>
      <w:marRight w:val="0"/>
      <w:marTop w:val="0"/>
      <w:marBottom w:val="0"/>
      <w:divBdr>
        <w:top w:val="none" w:sz="0" w:space="0" w:color="auto"/>
        <w:left w:val="none" w:sz="0" w:space="0" w:color="auto"/>
        <w:bottom w:val="none" w:sz="0" w:space="0" w:color="auto"/>
        <w:right w:val="none" w:sz="0" w:space="0" w:color="auto"/>
      </w:divBdr>
    </w:div>
    <w:div w:id="1838423691">
      <w:bodyDiv w:val="1"/>
      <w:marLeft w:val="0"/>
      <w:marRight w:val="0"/>
      <w:marTop w:val="0"/>
      <w:marBottom w:val="0"/>
      <w:divBdr>
        <w:top w:val="none" w:sz="0" w:space="0" w:color="auto"/>
        <w:left w:val="none" w:sz="0" w:space="0" w:color="auto"/>
        <w:bottom w:val="none" w:sz="0" w:space="0" w:color="auto"/>
        <w:right w:val="none" w:sz="0" w:space="0" w:color="auto"/>
      </w:divBdr>
    </w:div>
    <w:div w:id="1845778305">
      <w:bodyDiv w:val="1"/>
      <w:marLeft w:val="0"/>
      <w:marRight w:val="0"/>
      <w:marTop w:val="0"/>
      <w:marBottom w:val="0"/>
      <w:divBdr>
        <w:top w:val="none" w:sz="0" w:space="0" w:color="auto"/>
        <w:left w:val="none" w:sz="0" w:space="0" w:color="auto"/>
        <w:bottom w:val="none" w:sz="0" w:space="0" w:color="auto"/>
        <w:right w:val="none" w:sz="0" w:space="0" w:color="auto"/>
      </w:divBdr>
    </w:div>
    <w:div w:id="1855268824">
      <w:bodyDiv w:val="1"/>
      <w:marLeft w:val="0"/>
      <w:marRight w:val="0"/>
      <w:marTop w:val="0"/>
      <w:marBottom w:val="0"/>
      <w:divBdr>
        <w:top w:val="none" w:sz="0" w:space="0" w:color="auto"/>
        <w:left w:val="none" w:sz="0" w:space="0" w:color="auto"/>
        <w:bottom w:val="none" w:sz="0" w:space="0" w:color="auto"/>
        <w:right w:val="none" w:sz="0" w:space="0" w:color="auto"/>
      </w:divBdr>
    </w:div>
    <w:div w:id="1856114115">
      <w:bodyDiv w:val="1"/>
      <w:marLeft w:val="0"/>
      <w:marRight w:val="0"/>
      <w:marTop w:val="0"/>
      <w:marBottom w:val="0"/>
      <w:divBdr>
        <w:top w:val="none" w:sz="0" w:space="0" w:color="auto"/>
        <w:left w:val="none" w:sz="0" w:space="0" w:color="auto"/>
        <w:bottom w:val="none" w:sz="0" w:space="0" w:color="auto"/>
        <w:right w:val="none" w:sz="0" w:space="0" w:color="auto"/>
      </w:divBdr>
      <w:divsChild>
        <w:div w:id="1551457448">
          <w:marLeft w:val="0"/>
          <w:marRight w:val="0"/>
          <w:marTop w:val="0"/>
          <w:marBottom w:val="0"/>
          <w:divBdr>
            <w:top w:val="none" w:sz="0" w:space="0" w:color="auto"/>
            <w:left w:val="none" w:sz="0" w:space="0" w:color="auto"/>
            <w:bottom w:val="none" w:sz="0" w:space="0" w:color="auto"/>
            <w:right w:val="none" w:sz="0" w:space="0" w:color="auto"/>
          </w:divBdr>
        </w:div>
      </w:divsChild>
    </w:div>
    <w:div w:id="1863128807">
      <w:bodyDiv w:val="1"/>
      <w:marLeft w:val="0"/>
      <w:marRight w:val="0"/>
      <w:marTop w:val="0"/>
      <w:marBottom w:val="0"/>
      <w:divBdr>
        <w:top w:val="none" w:sz="0" w:space="0" w:color="auto"/>
        <w:left w:val="none" w:sz="0" w:space="0" w:color="auto"/>
        <w:bottom w:val="none" w:sz="0" w:space="0" w:color="auto"/>
        <w:right w:val="none" w:sz="0" w:space="0" w:color="auto"/>
      </w:divBdr>
    </w:div>
    <w:div w:id="1877891962">
      <w:bodyDiv w:val="1"/>
      <w:marLeft w:val="0"/>
      <w:marRight w:val="0"/>
      <w:marTop w:val="0"/>
      <w:marBottom w:val="0"/>
      <w:divBdr>
        <w:top w:val="none" w:sz="0" w:space="0" w:color="auto"/>
        <w:left w:val="none" w:sz="0" w:space="0" w:color="auto"/>
        <w:bottom w:val="none" w:sz="0" w:space="0" w:color="auto"/>
        <w:right w:val="none" w:sz="0" w:space="0" w:color="auto"/>
      </w:divBdr>
      <w:divsChild>
        <w:div w:id="14838168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944137">
      <w:bodyDiv w:val="1"/>
      <w:marLeft w:val="0"/>
      <w:marRight w:val="0"/>
      <w:marTop w:val="0"/>
      <w:marBottom w:val="0"/>
      <w:divBdr>
        <w:top w:val="none" w:sz="0" w:space="0" w:color="auto"/>
        <w:left w:val="none" w:sz="0" w:space="0" w:color="auto"/>
        <w:bottom w:val="none" w:sz="0" w:space="0" w:color="auto"/>
        <w:right w:val="none" w:sz="0" w:space="0" w:color="auto"/>
      </w:divBdr>
    </w:div>
    <w:div w:id="1911695654">
      <w:bodyDiv w:val="1"/>
      <w:marLeft w:val="0"/>
      <w:marRight w:val="0"/>
      <w:marTop w:val="0"/>
      <w:marBottom w:val="0"/>
      <w:divBdr>
        <w:top w:val="none" w:sz="0" w:space="0" w:color="auto"/>
        <w:left w:val="none" w:sz="0" w:space="0" w:color="auto"/>
        <w:bottom w:val="none" w:sz="0" w:space="0" w:color="auto"/>
        <w:right w:val="none" w:sz="0" w:space="0" w:color="auto"/>
      </w:divBdr>
    </w:div>
    <w:div w:id="1917089679">
      <w:bodyDiv w:val="1"/>
      <w:marLeft w:val="0"/>
      <w:marRight w:val="0"/>
      <w:marTop w:val="0"/>
      <w:marBottom w:val="0"/>
      <w:divBdr>
        <w:top w:val="none" w:sz="0" w:space="0" w:color="auto"/>
        <w:left w:val="none" w:sz="0" w:space="0" w:color="auto"/>
        <w:bottom w:val="none" w:sz="0" w:space="0" w:color="auto"/>
        <w:right w:val="none" w:sz="0" w:space="0" w:color="auto"/>
      </w:divBdr>
    </w:div>
    <w:div w:id="1941717825">
      <w:bodyDiv w:val="1"/>
      <w:marLeft w:val="0"/>
      <w:marRight w:val="0"/>
      <w:marTop w:val="0"/>
      <w:marBottom w:val="0"/>
      <w:divBdr>
        <w:top w:val="none" w:sz="0" w:space="0" w:color="auto"/>
        <w:left w:val="none" w:sz="0" w:space="0" w:color="auto"/>
        <w:bottom w:val="none" w:sz="0" w:space="0" w:color="auto"/>
        <w:right w:val="none" w:sz="0" w:space="0" w:color="auto"/>
      </w:divBdr>
    </w:div>
    <w:div w:id="1944989549">
      <w:bodyDiv w:val="1"/>
      <w:marLeft w:val="0"/>
      <w:marRight w:val="0"/>
      <w:marTop w:val="0"/>
      <w:marBottom w:val="0"/>
      <w:divBdr>
        <w:top w:val="none" w:sz="0" w:space="0" w:color="auto"/>
        <w:left w:val="none" w:sz="0" w:space="0" w:color="auto"/>
        <w:bottom w:val="none" w:sz="0" w:space="0" w:color="auto"/>
        <w:right w:val="none" w:sz="0" w:space="0" w:color="auto"/>
      </w:divBdr>
    </w:div>
    <w:div w:id="1965235190">
      <w:bodyDiv w:val="1"/>
      <w:marLeft w:val="0"/>
      <w:marRight w:val="0"/>
      <w:marTop w:val="0"/>
      <w:marBottom w:val="0"/>
      <w:divBdr>
        <w:top w:val="none" w:sz="0" w:space="0" w:color="auto"/>
        <w:left w:val="none" w:sz="0" w:space="0" w:color="auto"/>
        <w:bottom w:val="none" w:sz="0" w:space="0" w:color="auto"/>
        <w:right w:val="none" w:sz="0" w:space="0" w:color="auto"/>
      </w:divBdr>
      <w:divsChild>
        <w:div w:id="252209735">
          <w:marLeft w:val="0"/>
          <w:marRight w:val="0"/>
          <w:marTop w:val="0"/>
          <w:marBottom w:val="0"/>
          <w:divBdr>
            <w:top w:val="none" w:sz="0" w:space="0" w:color="auto"/>
            <w:left w:val="none" w:sz="0" w:space="0" w:color="auto"/>
            <w:bottom w:val="none" w:sz="0" w:space="0" w:color="auto"/>
            <w:right w:val="none" w:sz="0" w:space="0" w:color="auto"/>
          </w:divBdr>
        </w:div>
      </w:divsChild>
    </w:div>
    <w:div w:id="1979525824">
      <w:bodyDiv w:val="1"/>
      <w:marLeft w:val="0"/>
      <w:marRight w:val="0"/>
      <w:marTop w:val="0"/>
      <w:marBottom w:val="0"/>
      <w:divBdr>
        <w:top w:val="none" w:sz="0" w:space="0" w:color="auto"/>
        <w:left w:val="none" w:sz="0" w:space="0" w:color="auto"/>
        <w:bottom w:val="none" w:sz="0" w:space="0" w:color="auto"/>
        <w:right w:val="none" w:sz="0" w:space="0" w:color="auto"/>
      </w:divBdr>
    </w:div>
    <w:div w:id="1990674741">
      <w:bodyDiv w:val="1"/>
      <w:marLeft w:val="0"/>
      <w:marRight w:val="0"/>
      <w:marTop w:val="0"/>
      <w:marBottom w:val="0"/>
      <w:divBdr>
        <w:top w:val="none" w:sz="0" w:space="0" w:color="auto"/>
        <w:left w:val="none" w:sz="0" w:space="0" w:color="auto"/>
        <w:bottom w:val="none" w:sz="0" w:space="0" w:color="auto"/>
        <w:right w:val="none" w:sz="0" w:space="0" w:color="auto"/>
      </w:divBdr>
    </w:div>
    <w:div w:id="2015842460">
      <w:bodyDiv w:val="1"/>
      <w:marLeft w:val="0"/>
      <w:marRight w:val="0"/>
      <w:marTop w:val="0"/>
      <w:marBottom w:val="0"/>
      <w:divBdr>
        <w:top w:val="none" w:sz="0" w:space="0" w:color="auto"/>
        <w:left w:val="none" w:sz="0" w:space="0" w:color="auto"/>
        <w:bottom w:val="none" w:sz="0" w:space="0" w:color="auto"/>
        <w:right w:val="none" w:sz="0" w:space="0" w:color="auto"/>
      </w:divBdr>
      <w:divsChild>
        <w:div w:id="394857520">
          <w:marLeft w:val="0"/>
          <w:marRight w:val="0"/>
          <w:marTop w:val="0"/>
          <w:marBottom w:val="0"/>
          <w:divBdr>
            <w:top w:val="none" w:sz="0" w:space="0" w:color="auto"/>
            <w:left w:val="none" w:sz="0" w:space="0" w:color="auto"/>
            <w:bottom w:val="none" w:sz="0" w:space="0" w:color="auto"/>
            <w:right w:val="none" w:sz="0" w:space="0" w:color="auto"/>
          </w:divBdr>
        </w:div>
      </w:divsChild>
    </w:div>
    <w:div w:id="2054503655">
      <w:bodyDiv w:val="1"/>
      <w:marLeft w:val="0"/>
      <w:marRight w:val="0"/>
      <w:marTop w:val="0"/>
      <w:marBottom w:val="0"/>
      <w:divBdr>
        <w:top w:val="none" w:sz="0" w:space="0" w:color="auto"/>
        <w:left w:val="none" w:sz="0" w:space="0" w:color="auto"/>
        <w:bottom w:val="none" w:sz="0" w:space="0" w:color="auto"/>
        <w:right w:val="none" w:sz="0" w:space="0" w:color="auto"/>
      </w:divBdr>
    </w:div>
    <w:div w:id="2104261744">
      <w:bodyDiv w:val="1"/>
      <w:marLeft w:val="0"/>
      <w:marRight w:val="0"/>
      <w:marTop w:val="0"/>
      <w:marBottom w:val="0"/>
      <w:divBdr>
        <w:top w:val="none" w:sz="0" w:space="0" w:color="auto"/>
        <w:left w:val="none" w:sz="0" w:space="0" w:color="auto"/>
        <w:bottom w:val="none" w:sz="0" w:space="0" w:color="auto"/>
        <w:right w:val="none" w:sz="0" w:space="0" w:color="auto"/>
      </w:divBdr>
    </w:div>
    <w:div w:id="2104571931">
      <w:bodyDiv w:val="1"/>
      <w:marLeft w:val="0"/>
      <w:marRight w:val="0"/>
      <w:marTop w:val="0"/>
      <w:marBottom w:val="0"/>
      <w:divBdr>
        <w:top w:val="none" w:sz="0" w:space="0" w:color="auto"/>
        <w:left w:val="none" w:sz="0" w:space="0" w:color="auto"/>
        <w:bottom w:val="none" w:sz="0" w:space="0" w:color="auto"/>
        <w:right w:val="none" w:sz="0" w:space="0" w:color="auto"/>
      </w:divBdr>
    </w:div>
    <w:div w:id="2106657196">
      <w:bodyDiv w:val="1"/>
      <w:marLeft w:val="0"/>
      <w:marRight w:val="0"/>
      <w:marTop w:val="0"/>
      <w:marBottom w:val="0"/>
      <w:divBdr>
        <w:top w:val="none" w:sz="0" w:space="0" w:color="auto"/>
        <w:left w:val="none" w:sz="0" w:space="0" w:color="auto"/>
        <w:bottom w:val="none" w:sz="0" w:space="0" w:color="auto"/>
        <w:right w:val="none" w:sz="0" w:space="0" w:color="auto"/>
      </w:divBdr>
    </w:div>
    <w:div w:id="2134715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endnotes.xml.rels><?xml version="1.0" encoding="UTF-8" standalone="yes"?>
<Relationships xmlns="http://schemas.openxmlformats.org/package/2006/relationships"><Relationship Id="rId8" Type="http://schemas.openxmlformats.org/officeDocument/2006/relationships/hyperlink" Target="https://ec.europa.eu/social/BlobServlet?docId=26938&amp;langId=en" TargetMode="External"/><Relationship Id="rId13" Type="http://schemas.openxmlformats.org/officeDocument/2006/relationships/hyperlink" Target="https://eur-lex.europa.eu/eli/dec/2025/2630/oj/eng" TargetMode="External"/><Relationship Id="rId18" Type="http://schemas.openxmlformats.org/officeDocument/2006/relationships/hyperlink" Target="https://eur-lex.europa.eu/legal-content/EN/TXT/?uri=CELEX%3A02021R1058-20250920" TargetMode="External"/><Relationship Id="rId26" Type="http://schemas.openxmlformats.org/officeDocument/2006/relationships/hyperlink" Target="https://op.europa.eu/en/publication-detail/-/publication/8aa2a5cb-74a7-11ef-a8ba-01aa75ed71a1/language-en" TargetMode="External"/><Relationship Id="rId3" Type="http://schemas.openxmlformats.org/officeDocument/2006/relationships/hyperlink" Target="https://eur-lex.europa.eu/legal-content/EN/TXT/?uri=oj:JOC_2017_428_R_0009" TargetMode="External"/><Relationship Id="rId21" Type="http://schemas.openxmlformats.org/officeDocument/2006/relationships/hyperlink" Target="https://link.europa.eu/jpJ6xv" TargetMode="External"/><Relationship Id="rId34" Type="http://schemas.openxmlformats.org/officeDocument/2006/relationships/hyperlink" Target="https://eur-lex.europa.eu/legal-content/EN/TXT/?uri=celex:52025DC1025" TargetMode="External"/><Relationship Id="rId7" Type="http://schemas.openxmlformats.org/officeDocument/2006/relationships/hyperlink" Target="https://ec.europa.eu/social/BlobServlet?docId=26937&amp;langId=en" TargetMode="External"/><Relationship Id="rId12" Type="http://schemas.openxmlformats.org/officeDocument/2006/relationships/hyperlink" Target="https://eur-lex.europa.eu/eli/reg/2023/2832/oj/eng" TargetMode="External"/><Relationship Id="rId17" Type="http://schemas.openxmlformats.org/officeDocument/2006/relationships/hyperlink" Target="https://eur-lex.europa.eu/eli/reg/2021/1057/2025-09-20/eng" TargetMode="External"/><Relationship Id="rId25" Type="http://schemas.openxmlformats.org/officeDocument/2006/relationships/hyperlink" Target="https://social-economy-gateway.ec.europa.eu/" TargetMode="External"/><Relationship Id="rId33" Type="http://schemas.openxmlformats.org/officeDocument/2006/relationships/hyperlink" Target="https://eur-lex.europa.eu/LexUriServ/LexUriServ.do?uri=OJ:L:2013:115:0018:0038:EN:PDF" TargetMode="External"/><Relationship Id="rId2" Type="http://schemas.openxmlformats.org/officeDocument/2006/relationships/hyperlink" Target="https://eur-lex.europa.eu/legal-content/EN/TXT/PDF/?uri=CELEX:52021DC0778" TargetMode="External"/><Relationship Id="rId16" Type="http://schemas.openxmlformats.org/officeDocument/2006/relationships/hyperlink" Target="https://www.calameo.com/read/00727022715040554de5f?trackersource=library" TargetMode="External"/><Relationship Id="rId20" Type="http://schemas.openxmlformats.org/officeDocument/2006/relationships/hyperlink" Target="https://socialinnovationplus.eu/" TargetMode="External"/><Relationship Id="rId29" Type="http://schemas.openxmlformats.org/officeDocument/2006/relationships/hyperlink" Target="https://eur-lex.europa.eu/legal-content/EN/TXT/HTML/?uri=CELEX:52025DC0872" TargetMode="External"/><Relationship Id="rId1" Type="http://schemas.openxmlformats.org/officeDocument/2006/relationships/hyperlink" Target="https://op.europa.eu/en/publication-detail/-/publication/8aa2a5cb-74a7-11ef-a8ba-01aa75ed71a1/language-en" TargetMode="External"/><Relationship Id="rId6" Type="http://schemas.openxmlformats.org/officeDocument/2006/relationships/hyperlink" Target="https://eur-lex.europa.eu/eli/C/2023/1344/oj/eng" TargetMode="External"/><Relationship Id="rId11" Type="http://schemas.openxmlformats.org/officeDocument/2006/relationships/hyperlink" Target="https://eur-lex.europa.eu/eli/reg/2023/2831/oj" TargetMode="External"/><Relationship Id="rId24" Type="http://schemas.openxmlformats.org/officeDocument/2006/relationships/hyperlink" Target="https://www.european-microfinance.org/publication/survey-on-microfinance-in-europe-executive-summary-2025-edition/" TargetMode="External"/><Relationship Id="rId32" Type="http://schemas.openxmlformats.org/officeDocument/2006/relationships/hyperlink" Target="https://eur-lex.europa.eu/eli/reg/2013/345/oj/eng" TargetMode="External"/><Relationship Id="rId37" Type="http://schemas.openxmlformats.org/officeDocument/2006/relationships/hyperlink" Target="https://eur-lex.europa.eu/legal-content/EN/TXT/?uri=celex:52025DC0790" TargetMode="External"/><Relationship Id="rId5" Type="http://schemas.openxmlformats.org/officeDocument/2006/relationships/hyperlink" Target="https://www.consilium.europa.eu/media/ny3j24sm/much-more-than-a-market-report-by-enrico-letta.pdf" TargetMode="External"/><Relationship Id="rId15" Type="http://schemas.openxmlformats.org/officeDocument/2006/relationships/hyperlink" Target="https://circular-cities-and-regions.ec.europa.eu/" TargetMode="External"/><Relationship Id="rId23" Type="http://schemas.openxmlformats.org/officeDocument/2006/relationships/hyperlink" Target="https://www.impacteurope.net/sites/www.evpa.ngo/files/publications/The-Size-of-Impact-2024.pdf" TargetMode="External"/><Relationship Id="rId28" Type="http://schemas.openxmlformats.org/officeDocument/2006/relationships/hyperlink" Target="https://eur-lex.europa.eu/legal-content/EN/TXT/?uri=celex:52021DC0345" TargetMode="External"/><Relationship Id="rId36" Type="http://schemas.openxmlformats.org/officeDocument/2006/relationships/hyperlink" Target="https://eur-lex.europa.eu/legal-content/EN/TXT/?uri=celex:52025JC0791" TargetMode="External"/><Relationship Id="rId10" Type="http://schemas.openxmlformats.org/officeDocument/2006/relationships/hyperlink" Target="https://eur-lex.europa.eu/legal-content/EN/TXT/?uri=uriserv%3AOJ.L_.2014.187.01.0001.01.ENG" TargetMode="External"/><Relationship Id="rId19" Type="http://schemas.openxmlformats.org/officeDocument/2006/relationships/hyperlink" Target="https://eur-lex.europa.eu/legal-content/EN/TXT/?uri=CELEX%3A02021R0241-20240301" TargetMode="External"/><Relationship Id="rId31" Type="http://schemas.openxmlformats.org/officeDocument/2006/relationships/hyperlink" Target="https://eur-lex.europa.eu/legal-content/EN/TXT/?uri=celex:52025DC0378" TargetMode="External"/><Relationship Id="rId4" Type="http://schemas.openxmlformats.org/officeDocument/2006/relationships/hyperlink" Target="https://data.europa.eu/doi/10.2767/7540978" TargetMode="External"/><Relationship Id="rId9" Type="http://schemas.openxmlformats.org/officeDocument/2006/relationships/hyperlink" Target="https://op.europa.eu/en/publication-detail/-/publication/ef325f6c-05e5-11ef-a251-01aa75ed71a1/language-en" TargetMode="External"/><Relationship Id="rId14" Type="http://schemas.openxmlformats.org/officeDocument/2006/relationships/hyperlink" Target="https://eur-lex.europa.eu/legal-content/EN/TXT/?uri=celex:52025SC0333" TargetMode="External"/><Relationship Id="rId22" Type="http://schemas.openxmlformats.org/officeDocument/2006/relationships/hyperlink" Target="https://social-economy-gateway.ec.europa.eu/document/download/de8055d7-71cd-4fc9-b086-9734495562a8_en" TargetMode="External"/><Relationship Id="rId27" Type="http://schemas.openxmlformats.org/officeDocument/2006/relationships/hyperlink" Target="https://op.europa.eu/en/publication-detail/-/publication/16601199-d187-11f0-8da2-01aa75ed71a1/language-en" TargetMode="External"/><Relationship Id="rId30" Type="http://schemas.openxmlformats.org/officeDocument/2006/relationships/hyperlink" Target="https://eur-lex.europa.eu/legal-content/EN/TXT/?uri=celex:52025JC0026" TargetMode="External"/><Relationship Id="rId35" Type="http://schemas.openxmlformats.org/officeDocument/2006/relationships/hyperlink" Target="https://link.europa.eu/Wn7Nm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34a3906-e2fe-45dd-be63-435c8762400b" xsi:nil="true"/>
  </documentManagement>
</p:properties>
</file>

<file path=customXml/item2.xml><?xml version="1.0" encoding="utf-8"?>
<Author Role="Creator" AuthorRoleName="Writer" AuthorRoleId="a4fbaff4-b07c-48b4-a21e-e7b9eedf3796">
  <Id>76f06999-e56f-44d8-85f3-e84d322fbd5f</Id>
  <Names>
    <Latin>
      <FirstName>Estelle</FirstName>
      <LastName>BACCONNIER</LastName>
    </Latin>
    <Greek>
      <FirstName/>
      <LastName/>
    </Greek>
    <Cyrillic>
      <FirstName/>
      <LastName/>
    </Cyrillic>
    <DocumentScript>
      <FirstName>Estelle</FirstName>
      <LastName>BACCONNIER</LastName>
      <FullName>Estelle BACCONNIER</FullName>
    </DocumentScript>
  </Names>
  <Initials>EB</Initials>
  <Gender>f</Gender>
  <Email>Estelle.BACCONNIER@ec.europa.eu</Email>
  <Service>EMPL.G.3</Service>
  <Function ADCode="" ShowInSignature="true" ShowInHeader="false" HeaderText=""/>
  <WebAddress/>
  <FunctionalMailbox/>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Id>8caf3872-6a4c-4919-ae83-a3e4fa2234fb</Id>
    <LogicalLevel>2</LogicalLevel>
    <Name>EMPL.G</Name>
    <HeadLine1>Funds: Programming and Implementation</HeadLine1>
    <HeadLine2/>
    <PrimaryAddressId>f03b5801-04c9-4931-aa17-c6d6c70bc579</PrimaryAddressId>
    <SecondaryAddressId/>
    <WebAddress/>
    <InheritedWebAddress>WebAddress</InheritedWebAddress>
    <ShowInHeader>true</ShowInHeader>
  </OrgaEntity2>
  <OrgaEntity3>
    <Id>085f101e-03b3-4ebb-a0af-aa854001a451</Id>
    <LogicalLevel>3</LogicalLevel>
    <Name>EMPL.G.3</Name>
    <HeadLine1>Social and Inclusive Entrepreneurship</HeadLine1>
    <HeadLine2/>
    <PrimaryAddressId>f03b5801-04c9-4931-aa17-c6d6c70bc579</PrimaryAddressId>
    <SecondaryAddressId/>
    <WebAddress/>
    <InheritedWebAddress>WebAddress</InheritedWebAddress>
    <ShowInHeader>true</ShowInHeader>
  </OrgaEntity3>
  <Hierarchy>
    <OrgaEntity>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
    <OrgaEntity>
      <Id>8caf3872-6a4c-4919-ae83-a3e4fa2234fb</Id>
      <LogicalLevel>2</LogicalLevel>
      <Name>EMPL.G</Name>
      <HeadLine1>Funds: Programming and Implementation</HeadLine1>
      <HeadLine2/>
      <PrimaryAddressId>f03b5801-04c9-4931-aa17-c6d6c70bc579</PrimaryAddressId>
      <SecondaryAddressId/>
      <WebAddress/>
      <InheritedWebAddress>WebAddress</InheritedWebAddress>
      <ShowInHeader>true</ShowInHeader>
    </OrgaEntity>
    <OrgaEntity>
      <Id>085f101e-03b3-4ebb-a0af-aa854001a451</Id>
      <LogicalLevel>3</LogicalLevel>
      <Name>EMPL.G.3</Name>
      <HeadLine1>Social and Inclusive Entrepreneurship</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+32 229-71927</Phone>
    <Office>SPA3 04/050</Office>
  </MainWorkplace>
  <Workplaces>
    <Workplace IsMain="false">
      <AddressId>1264fb81-f6bb-475e-9f9d-a937d3be6ee2</AddressId>
      <Fax/>
      <Phone/>
      <Office/>
    </Workplace>
    <Workplace IsMain="true">
      <AddressId>f03b5801-04c9-4931-aa17-c6d6c70bc579</AddressId>
      <Fax/>
      <Phone>+32 229-71927</Phone>
      <Office>SPA3 04/050</Office>
    </Workplace>
  </Workplaces>
</Author>
</file>

<file path=customXml/item3.xml><?xml version="1.0" encoding="utf-8"?>
<EurolookProperties>
  <ProductCustomizationId>EC</ProductCustomizationId>
  <Created>
    <Version>10.0.42447.0</Version>
    <Date>2021-11-15T10:36:36</Date>
    <Language>EN</Language>
    <Note/>
  </Created>
  <Edited>
    <Version>10.0.42447.0</Version>
    <Date>2021-11-23T16:19:14</Date>
  </Edited>
  <DocumentModel>
    <Id>6cbda13a-4db2-46c6-876a-ef72275827ef</Id>
    <Name>Report</Name>
  </DocumentModel>
  <DocumentDate>2021-11-15T10:36:36</DocumentDate>
  <DocumentVersion>0.1</DocumentVersion>
  <CompatibilityMode>Eurolook10</CompatibilityMode>
  <DocumentMetadata>
    <EC_SecurityDistributionSensitive MetadataSerializationType="SimpleValue"/>
    <EC_SecurityDateMarking MetadataSerializationType="SimpleValue"/>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DocumentMetadata>
</Eurolook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7" ma:contentTypeDescription="Create a new document." ma:contentTypeScope="" ma:versionID="ab711426ea0dbc345a9c13769a5c8b1e">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71a629978805d562a4dfb0cf71ce86fc"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f0651b2-80ac-4c5e-89ee-9d634572306f}"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LabelSource>Source</LabelSource>
  <LabelTableSeqEC>Table {SEQ Table \* ARABIC }: </LabelTableSeqEC>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5855EA4-DA44-4682-A34F-3E2E149913DD}">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2.xml><?xml version="1.0" encoding="utf-8"?>
<ds:datastoreItem xmlns:ds="http://schemas.openxmlformats.org/officeDocument/2006/customXml" ds:itemID="{8393B8D0-689B-42BF-93D2-B092F2F726FB}">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82FE9BE1-1BE2-42DE-AB9E-AED643659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5F2019-67DE-47CE-AB56-0FCEA9A9B71B}">
  <ds:schemaRefs>
    <ds:schemaRef ds:uri="http://schemas.microsoft.com/sharepoint/v3/contenttype/forms"/>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198AEB27-73E4-46BA-99EF-9E78DF969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6477</Words>
  <Characters>36921</Characters>
  <Application>Microsoft Office Word</Application>
  <DocSecurity>0</DocSecurity>
  <PresentationFormat>Microsoft Word 14.0</PresentationFormat>
  <Lines>307</Lines>
  <Paragraphs>86</Paragraphs>
  <ScaleCrop>true</ScaleCrop>
  <Manager/>
  <Company/>
  <LinksUpToDate>false</LinksUpToDate>
  <CharactersWithSpaces>43312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2026-03-09T08:47:00Z</dcterms:created>
  <dcterms:modified xsi:type="dcterms:W3CDTF">2026-03-23T08:53:00Z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2026-01-12T13:04:08Z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50573e32-f240-4720-8273-37f9ee47e1a1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y fmtid="{D5CDD505-2E9C-101B-9397-08002B2CF9AE}" pid="16" name="ContentTypeId">
    <vt:lpwstr>0x010100724FDE23FB365D4CB8B2901107175F9F</vt:lpwstr>
  </property>
  <property fmtid="{D5CDD505-2E9C-101B-9397-08002B2CF9AE}" pid="17" name="MediaServiceImageTags">
    <vt:lpwstr/>
  </property>
</Properties>
</file>