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60228" w14:textId="75565D93" w:rsidR="00462B34" w:rsidRPr="00AF2E01" w:rsidRDefault="00ED4FDB" w:rsidP="00ED4FDB">
      <w:pPr>
        <w:pStyle w:val="Pagedecouverture"/>
        <w:rPr>
          <w:noProof/>
        </w:rPr>
      </w:pPr>
      <w:bookmarkStart w:id="0" w:name="_Toc86830074"/>
      <w:bookmarkStart w:id="1" w:name="LW_BM_COVERPAGE"/>
      <w:r>
        <w:rPr>
          <w:noProof/>
        </w:rPr>
        <w:pict w14:anchorId="3A0AC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39BE50-C777-4C05-BA29-9F8458CF5AFE" style="width:455.25pt;height:327.75pt">
            <v:imagedata r:id="rId14" o:title=""/>
          </v:shape>
        </w:pict>
      </w:r>
    </w:p>
    <w:bookmarkEnd w:id="1"/>
    <w:p w14:paraId="06FDB12B" w14:textId="77777777" w:rsidR="00462B34" w:rsidRPr="00AF2E01" w:rsidRDefault="00462B34" w:rsidP="00462B34">
      <w:pPr>
        <w:rPr>
          <w:noProof/>
          <w:lang w:val="en-IE"/>
        </w:rPr>
        <w:sectPr w:rsidR="00462B34" w:rsidRPr="00AF2E01" w:rsidSect="00ED4FD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pgMar w:top="1134" w:right="1417" w:bottom="1134" w:left="1417" w:header="709" w:footer="709" w:gutter="0"/>
          <w:pgNumType w:start="0"/>
          <w:cols w:space="720"/>
          <w:docGrid w:linePitch="326"/>
        </w:sectPr>
      </w:pPr>
    </w:p>
    <w:p w14:paraId="22E99D87" w14:textId="61B7C220" w:rsidR="00410844" w:rsidRPr="00AF2E01" w:rsidRDefault="00375B0A" w:rsidP="00375B0A">
      <w:pPr>
        <w:pStyle w:val="Heading1"/>
        <w:rPr>
          <w:noProof/>
        </w:rPr>
      </w:pPr>
      <w:bookmarkStart w:id="2" w:name="_Toc88482176"/>
      <w:bookmarkStart w:id="3" w:name="_GoBack"/>
      <w:bookmarkEnd w:id="3"/>
      <w:r>
        <w:rPr>
          <w:noProof/>
        </w:rPr>
        <w:lastRenderedPageBreak/>
        <w:t>Introduction</w:t>
      </w:r>
      <w:bookmarkEnd w:id="0"/>
      <w:bookmarkEnd w:id="2"/>
    </w:p>
    <w:p w14:paraId="6EC1FE62" w14:textId="3E6C198F" w:rsidR="00D55B22" w:rsidRDefault="00D55B22" w:rsidP="00D55B22">
      <w:pPr>
        <w:rPr>
          <w:noProof/>
        </w:rPr>
      </w:pPr>
      <w:r>
        <w:rPr>
          <w:noProof/>
        </w:rPr>
        <w:t>L’économie sociale s’est clairement imposée comme une partie intégrante de l’économie et de la société européennes, contribuant largement à la prospérité et à la compétitivité et servant de pilier à la résilience de l’Europe.</w:t>
      </w:r>
    </w:p>
    <w:p w14:paraId="6DCAE8C2" w14:textId="73E018EC" w:rsidR="00690AAA" w:rsidRDefault="00D55B22" w:rsidP="00D55B22">
      <w:pPr>
        <w:rPr>
          <w:noProof/>
        </w:rPr>
      </w:pPr>
      <w:r>
        <w:rPr>
          <w:noProof/>
        </w:rPr>
        <w:t>Dans l’ensemble de l’Union européenne,</w:t>
      </w:r>
      <w:r>
        <w:rPr>
          <w:b/>
          <w:noProof/>
        </w:rPr>
        <w:t xml:space="preserve"> plus de 4,3 millions d’associations, de coopératives, de mutuelles, de fondations et d’entreprises sociales</w:t>
      </w:r>
      <w:r>
        <w:rPr>
          <w:noProof/>
        </w:rPr>
        <w:t xml:space="preserve"> mènent des activités qui donnent la priorité aux objectifs sociaux et environnementaux plutôt qu’au profit et appliquent des modèles de gouvernance participative ou démocratique. Ces organisations fournissent au moins </w:t>
      </w:r>
      <w:r>
        <w:rPr>
          <w:b/>
          <w:noProof/>
        </w:rPr>
        <w:t>11,5 millions d’emplois</w:t>
      </w:r>
      <w:r>
        <w:rPr>
          <w:noProof/>
        </w:rPr>
        <w:t xml:space="preserve">, soit environ </w:t>
      </w:r>
      <w:r>
        <w:rPr>
          <w:b/>
          <w:noProof/>
        </w:rPr>
        <w:t>6,3 %</w:t>
      </w:r>
      <w:r>
        <w:rPr>
          <w:noProof/>
        </w:rPr>
        <w:t xml:space="preserve"> </w:t>
      </w:r>
      <w:r>
        <w:rPr>
          <w:b/>
          <w:noProof/>
        </w:rPr>
        <w:t>de l’emploi total</w:t>
      </w:r>
      <w:r>
        <w:rPr>
          <w:noProof/>
        </w:rPr>
        <w:t>, et opèrent dans divers secteurs, allant de la finance aux services de soins, en passant par l’agroalimentaire, le commerce de détail et la culture</w:t>
      </w:r>
      <w:r>
        <w:rPr>
          <w:rStyle w:val="EndnoteReference"/>
          <w:noProof/>
          <w:lang w:val="en-IE"/>
        </w:rPr>
        <w:endnoteReference w:id="2"/>
      </w:r>
      <w:r>
        <w:rPr>
          <w:noProof/>
        </w:rPr>
        <w:t>.</w:t>
      </w:r>
    </w:p>
    <w:p w14:paraId="1C5057D6" w14:textId="5CF2C479" w:rsidR="00690AAA" w:rsidRDefault="00690AAA" w:rsidP="00D55B22">
      <w:pPr>
        <w:rPr>
          <w:noProof/>
        </w:rPr>
      </w:pPr>
      <w:r>
        <w:rPr>
          <w:noProof/>
        </w:rPr>
        <w:t xml:space="preserve">Le 9 décembre 2021, la Commission a adopté le </w:t>
      </w:r>
      <w:r>
        <w:rPr>
          <w:b/>
          <w:noProof/>
        </w:rPr>
        <w:t>plan d’action pour l’économie sociale</w:t>
      </w:r>
      <w:r>
        <w:rPr>
          <w:rStyle w:val="EndnoteReference"/>
          <w:noProof/>
          <w:lang w:val="en-IE"/>
        </w:rPr>
        <w:endnoteReference w:id="3"/>
      </w:r>
      <w:r>
        <w:rPr>
          <w:b/>
          <w:noProof/>
        </w:rPr>
        <w:t xml:space="preserve"> </w:t>
      </w:r>
      <w:r>
        <w:rPr>
          <w:noProof/>
        </w:rPr>
        <w:t>dans le but de libérer le potentiel de l’économie sociale et d’amplifier son impact. Pour la première fois, la Commission a présenté une vision et une feuille de route, décrivant une série de mesures visant à améliorer les conditions-cadres, l’accès aux débouchés commerciaux et la visibilité de l’économie sociale d’ici à 2030.</w:t>
      </w:r>
    </w:p>
    <w:p w14:paraId="51465BDF" w14:textId="048FC69B" w:rsidR="00690AAA" w:rsidRDefault="00690AAA" w:rsidP="00D55B22">
      <w:pPr>
        <w:rPr>
          <w:noProof/>
        </w:rPr>
      </w:pPr>
      <w:r>
        <w:rPr>
          <w:noProof/>
        </w:rPr>
        <w:t xml:space="preserve">Depuis lors, la situation géopolitique a changé et une série de crises simultanées a montré que l’économie sociale agissait comme une </w:t>
      </w:r>
      <w:r>
        <w:rPr>
          <w:b/>
          <w:noProof/>
        </w:rPr>
        <w:t>source de résilience</w:t>
      </w:r>
      <w:r>
        <w:rPr>
          <w:noProof/>
        </w:rPr>
        <w:t xml:space="preserve">, en créant et en conservant des emplois locaux, en mobilisant les communautés dans un esprit de solidarité et en intervenant là où les marchés ne parviennent pas à promouvoir une </w:t>
      </w:r>
      <w:r>
        <w:rPr>
          <w:b/>
          <w:noProof/>
        </w:rPr>
        <w:t>croissance inclusive</w:t>
      </w:r>
      <w:r>
        <w:rPr>
          <w:noProof/>
        </w:rPr>
        <w:t xml:space="preserve">. Elle concourt à transformer les priorités de l’UE en </w:t>
      </w:r>
      <w:r>
        <w:rPr>
          <w:b/>
          <w:noProof/>
        </w:rPr>
        <w:t>solutions efficaces au service de la population et des territoires</w:t>
      </w:r>
      <w:r>
        <w:rPr>
          <w:noProof/>
        </w:rPr>
        <w:t>, en stimulant l’innovation sociale, en mettant en œuvre</w:t>
      </w:r>
      <w:r>
        <w:rPr>
          <w:noProof/>
          <w:color w:val="000000" w:themeColor="text1"/>
        </w:rPr>
        <w:t xml:space="preserve"> le socle européen des droits sociaux</w:t>
      </w:r>
      <w:r>
        <w:rPr>
          <w:rStyle w:val="EndnoteReference"/>
          <w:noProof/>
          <w:color w:val="000000" w:themeColor="text1"/>
        </w:rPr>
        <w:endnoteReference w:id="4"/>
      </w:r>
      <w:r>
        <w:rPr>
          <w:noProof/>
          <w:color w:val="000000" w:themeColor="text1"/>
        </w:rPr>
        <w:t xml:space="preserve"> et l’Union de l’égalité, et en contribuant à une économie plus circulaire et plus résiliente.</w:t>
      </w:r>
    </w:p>
    <w:p w14:paraId="133F5D85" w14:textId="75AA0CC5" w:rsidR="00690AAA" w:rsidRDefault="00690AAA" w:rsidP="00D55B22">
      <w:pPr>
        <w:rPr>
          <w:noProof/>
        </w:rPr>
      </w:pPr>
      <w:r>
        <w:rPr>
          <w:noProof/>
        </w:rPr>
        <w:t xml:space="preserve">Grâce à leur approche ascendante et ancrée dans les communautés, les organisations de l’économie sociale </w:t>
      </w:r>
      <w:r>
        <w:rPr>
          <w:b/>
          <w:noProof/>
        </w:rPr>
        <w:t>renforcent la cohésion territoriale</w:t>
      </w:r>
      <w:r>
        <w:rPr>
          <w:noProof/>
        </w:rPr>
        <w:t xml:space="preserve"> dans les zones urbaines et rurales, les régions ultrapériphériques et les régions frontalières. Elles contribuent directement à </w:t>
      </w:r>
      <w:r>
        <w:rPr>
          <w:b/>
          <w:noProof/>
        </w:rPr>
        <w:t>la réduction de la pauvreté et à l’inclusion sociale</w:t>
      </w:r>
      <w:r>
        <w:rPr>
          <w:noProof/>
        </w:rPr>
        <w:t xml:space="preserve">, notamment en créant des voies d’accès à l’emploi et en garantissant un accès abordable aux services. En permettant aux citoyens d’organiser, de participer et de cocréer des solutions, les organisations de l’économie sociale élargissent et renforcent </w:t>
      </w:r>
      <w:r>
        <w:rPr>
          <w:b/>
          <w:noProof/>
        </w:rPr>
        <w:t>l’engagement civique</w:t>
      </w:r>
      <w:r>
        <w:rPr>
          <w:noProof/>
        </w:rPr>
        <w:t xml:space="preserve"> et </w:t>
      </w:r>
      <w:r>
        <w:rPr>
          <w:b/>
          <w:noProof/>
        </w:rPr>
        <w:t>la vie démocratique</w:t>
      </w:r>
      <w:r>
        <w:rPr>
          <w:noProof/>
        </w:rPr>
        <w:t>.</w:t>
      </w:r>
    </w:p>
    <w:p w14:paraId="00F37330" w14:textId="4007793F" w:rsidR="00690AAA" w:rsidRDefault="00690AAA" w:rsidP="00D55B22">
      <w:pPr>
        <w:rPr>
          <w:noProof/>
        </w:rPr>
      </w:pPr>
      <w:r>
        <w:rPr>
          <w:noProof/>
        </w:rPr>
        <w:t xml:space="preserve">Dans le même temps, l’économie sociale soutient </w:t>
      </w:r>
      <w:r>
        <w:rPr>
          <w:b/>
          <w:noProof/>
        </w:rPr>
        <w:t>la prospérité et la compétitivité</w:t>
      </w:r>
      <w:r>
        <w:rPr>
          <w:noProof/>
        </w:rPr>
        <w:t xml:space="preserve"> de l’Europe. Les organisations de l’économie sociale orientent l’innovation vers le bien de la société, en élaborant de nouveaux moyens de fournir des biens et des services qui répondent aux besoins sociaux et contribuent à la qualité de vie en Europe. Elles favorisent l’esprit d’entreprise, en particulier chez les jeunes et les groupes défavorisés. Elles apportent ces innovations à des secteurs économiques clés, tels que le logement et l’économie circulaire, en promouvant des modèles qui ancrent la valeur au niveau local. </w:t>
      </w:r>
    </w:p>
    <w:p w14:paraId="1696B0F0" w14:textId="7B8D5553" w:rsidR="00690AAA" w:rsidRDefault="00690AAA" w:rsidP="00D55B22">
      <w:pPr>
        <w:rPr>
          <w:noProof/>
        </w:rPr>
      </w:pPr>
      <w:r>
        <w:rPr>
          <w:noProof/>
        </w:rPr>
        <w:t xml:space="preserve">Les organisations de l’économie sociale </w:t>
      </w:r>
      <w:r>
        <w:rPr>
          <w:b/>
          <w:noProof/>
        </w:rPr>
        <w:t>stimulent</w:t>
      </w:r>
      <w:r>
        <w:rPr>
          <w:noProof/>
        </w:rPr>
        <w:t xml:space="preserve"> </w:t>
      </w:r>
      <w:r>
        <w:rPr>
          <w:b/>
          <w:noProof/>
        </w:rPr>
        <w:t>la compétitivité</w:t>
      </w:r>
      <w:r>
        <w:rPr>
          <w:noProof/>
        </w:rPr>
        <w:t xml:space="preserve"> en </w:t>
      </w:r>
      <w:r>
        <w:rPr>
          <w:b/>
          <w:noProof/>
        </w:rPr>
        <w:t>créant des emplois de qualité, en augmentant la participation au marché du travail, en contribuant à l’égalité entre les hommes et les femmes et en favorisant une main-d’œuvre qualifiée</w:t>
      </w:r>
      <w:r>
        <w:rPr>
          <w:noProof/>
        </w:rPr>
        <w:t>. Leur finalité sociale prédominante et la participation des travailleurs à la prise de décision promeuvent la stabilité de l’emploi, la participation des travailleurs ainsi qu’une formation et une reconversion professionnelle continues. Les entreprises sociales d’insertion par le travail, par exemple, combinent l’emploi avec un soutien sur mesure afin de ramener les personnes sur le marché du travail avec les compétences et les connaissances nécessaires pour passer de l’exclusion à un emploi durable.</w:t>
      </w:r>
    </w:p>
    <w:p w14:paraId="2E0E9904" w14:textId="77777777" w:rsidR="00690AAA" w:rsidRDefault="00690AAA" w:rsidP="00D55B22">
      <w:pPr>
        <w:rPr>
          <w:noProof/>
        </w:rPr>
      </w:pPr>
      <w:r>
        <w:rPr>
          <w:noProof/>
        </w:rPr>
        <w:t xml:space="preserve">L’économie sociale renforce également </w:t>
      </w:r>
      <w:r>
        <w:rPr>
          <w:b/>
          <w:noProof/>
        </w:rPr>
        <w:t>la préparation et l’autonomie stratégique</w:t>
      </w:r>
      <w:r>
        <w:rPr>
          <w:noProof/>
        </w:rPr>
        <w:t xml:space="preserve"> de l’Europe, contribuant ainsi à une plus grande souveraineté économique en rendant notre industrie, nos services et nos chaînes de valeur plus solides, plus diversifiés et plus ancrés dans les communautés locales. Il s’agit notamment de solutions de partage des risques telles que les mutuelles fournissant une couverture d’assurance abordable aux ménages, aux communautés et aux entreprises, et les coopératives promouvant des industries plus propres et la transition écologique au moyen d’initiatives énergétiques communautaires et de modèles d’entreprise circulaires.</w:t>
      </w:r>
    </w:p>
    <w:p w14:paraId="01110BC8" w14:textId="60A70F57" w:rsidR="00690AAA" w:rsidRDefault="00690AAA" w:rsidP="00D55B22">
      <w:pPr>
        <w:rPr>
          <w:noProof/>
        </w:rPr>
      </w:pPr>
      <w:r>
        <w:rPr>
          <w:noProof/>
        </w:rPr>
        <w:t>Les Européens ressentent la valeur ajoutée de l’économie sociale dans leur vie quotidienne, comme le montre l’Eurobaromètre spécial sur l’économie sociale dans la vie des Européens</w:t>
      </w:r>
      <w:r>
        <w:rPr>
          <w:rStyle w:val="EndnoteReference"/>
          <w:noProof/>
          <w:lang w:val="en-IE"/>
        </w:rPr>
        <w:endnoteReference w:id="5"/>
      </w:r>
      <w:r>
        <w:rPr>
          <w:noProof/>
        </w:rPr>
        <w:t xml:space="preserve"> publié en octobre 2025.</w:t>
      </w:r>
    </w:p>
    <w:p w14:paraId="1DC828C9" w14:textId="2DEFC159" w:rsidR="00E4258F" w:rsidRDefault="00E4258F" w:rsidP="00E4258F">
      <w:pPr>
        <w:ind w:left="-1560" w:right="-1701" w:firstLine="284"/>
        <w:rPr>
          <w:noProof/>
        </w:rPr>
      </w:pPr>
      <w:r>
        <w:rPr>
          <w:noProof/>
          <w:lang w:val="en-GB" w:eastAsia="en-GB"/>
        </w:rPr>
        <w:drawing>
          <wp:inline distT="0" distB="0" distL="0" distR="0" wp14:anchorId="7DE08618" wp14:editId="3C40035C">
            <wp:extent cx="7268996" cy="2838616"/>
            <wp:effectExtent l="0" t="0" r="0" b="0"/>
            <wp:docPr id="602155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80062" cy="2842937"/>
                    </a:xfrm>
                    <a:prstGeom prst="rect">
                      <a:avLst/>
                    </a:prstGeom>
                    <a:noFill/>
                  </pic:spPr>
                </pic:pic>
              </a:graphicData>
            </a:graphic>
          </wp:inline>
        </w:drawing>
      </w:r>
    </w:p>
    <w:p w14:paraId="05FDA0E8" w14:textId="6AB62F39" w:rsidR="00690AAA" w:rsidRDefault="00690AAA" w:rsidP="00D55B22">
      <w:pPr>
        <w:spacing w:after="160" w:line="256" w:lineRule="auto"/>
        <w:rPr>
          <w:noProof/>
        </w:rPr>
      </w:pPr>
      <w:r>
        <w:rPr>
          <w:noProof/>
        </w:rPr>
        <w:t xml:space="preserve">Le présent rapport répond à l’engagement pris dans le plan d’action pour l’économie sociale d’examiner sa mise en œuvre et son incidence à mi-parcours, de recenser les défis qui subsistent et de réaffirmer la vision de la Commission pour l’économie sociale dans le nouveau contexte géopolitique. </w:t>
      </w:r>
    </w:p>
    <w:p w14:paraId="6E12AAAD" w14:textId="77777777" w:rsidR="00690AAA" w:rsidRDefault="00690AAA" w:rsidP="00105EAA">
      <w:pPr>
        <w:spacing w:after="0" w:line="256" w:lineRule="auto"/>
        <w:rPr>
          <w:noProof/>
        </w:rPr>
      </w:pPr>
      <w:r>
        <w:rPr>
          <w:noProof/>
        </w:rPr>
        <w:t xml:space="preserve">En outre, comme l’indiquait le rapport Letta </w:t>
      </w:r>
      <w:r>
        <w:rPr>
          <w:i/>
          <w:noProof/>
        </w:rPr>
        <w:t>Much more than a market</w:t>
      </w:r>
      <w:r>
        <w:rPr>
          <w:noProof/>
        </w:rPr>
        <w:t xml:space="preserve"> en 2024, des mesures stratégiques supplémentaires doivent être envisagées pour exploiter pleinement le potentiel de l’économie sociale</w:t>
      </w:r>
      <w:r>
        <w:rPr>
          <w:rStyle w:val="EndnoteReference"/>
          <w:noProof/>
          <w:lang w:val="en-IE"/>
        </w:rPr>
        <w:endnoteReference w:id="6"/>
      </w:r>
      <w:r>
        <w:rPr>
          <w:noProof/>
        </w:rPr>
        <w:t>. Des mesures de soutien ciblées et des cadres favorables sont nécessaires pour tenir compte de leurs modèles de gouvernance uniques, de leurs règles d’attribution des bénéfices et de leur nature axée sur l’impact. Conformément à cet appel, le présent rapport se tourne vers l’avenir et examine les domaines dans lesquels les outils existants devraient être renforcés et ceux dans lesquels de nouvelles actions sont nécessaires pour maximiser le potentiel de l’économie sociale. Le document de travail des services de la Commission qui l’accompagne fournit de plus amples informations sur le processus de mise en œuvre à ce jour et sur les différentes consultations des parties prenantes menées par la Commission.</w:t>
      </w:r>
    </w:p>
    <w:p w14:paraId="1700A08A" w14:textId="0E88E0BA" w:rsidR="00690AAA" w:rsidRPr="00AF2E01" w:rsidRDefault="00690AAA" w:rsidP="00B57C54">
      <w:pPr>
        <w:pStyle w:val="Heading1"/>
        <w:rPr>
          <w:noProof/>
        </w:rPr>
      </w:pPr>
      <w:r>
        <w:rPr>
          <w:noProof/>
        </w:rPr>
        <w:t>Progrès accomplis et enseignements tirés au cours de la mise en œuvre</w:t>
      </w:r>
    </w:p>
    <w:p w14:paraId="63839F43" w14:textId="5F9EDAEE" w:rsidR="00690AAA" w:rsidRDefault="00690AAA" w:rsidP="00B57C54">
      <w:pPr>
        <w:pStyle w:val="Text1"/>
        <w:ind w:left="0"/>
        <w:rPr>
          <w:noProof/>
        </w:rPr>
      </w:pPr>
      <w:r>
        <w:rPr>
          <w:noProof/>
        </w:rPr>
        <w:t>Le plan d’action pour l’économie sociale s’articule autour de trois piliers et comprend 63 actions. La plupart de ces actions ont été menées à bien ou sont actuellement mises en œuvre par la Commission, tandis qu’un petit nombre d’entre elles ont été abandonnées ou réorientées à la lumière d’éléments probants et de l’évolution du marché.</w:t>
      </w:r>
    </w:p>
    <w:p w14:paraId="06184DC6" w14:textId="77777777" w:rsidR="00690AAA" w:rsidRPr="002E5A2C" w:rsidRDefault="00690AAA" w:rsidP="002E5A2C">
      <w:pPr>
        <w:rPr>
          <w:noProof/>
        </w:rPr>
      </w:pPr>
      <w:r>
        <w:rPr>
          <w:noProof/>
        </w:rPr>
        <w:t>La présente section suit la structure du plan d’action de 2021, en mettant en évidence les principales réalisations et en tirant des enseignements là où des défis subsistent, ouvrant ainsi la voie à de nouvelles actions.</w:t>
      </w:r>
    </w:p>
    <w:p w14:paraId="6D6C4DEA" w14:textId="77777777" w:rsidR="00690AAA" w:rsidRPr="002E5A2C" w:rsidRDefault="00690AAA" w:rsidP="002E5A2C">
      <w:pPr>
        <w:keepNext/>
        <w:numPr>
          <w:ilvl w:val="1"/>
          <w:numId w:val="17"/>
        </w:numPr>
        <w:outlineLvl w:val="1"/>
        <w:rPr>
          <w:b/>
          <w:noProof/>
        </w:rPr>
      </w:pPr>
      <w:r>
        <w:rPr>
          <w:b/>
          <w:noProof/>
        </w:rPr>
        <w:t>Créer un cadre propice à l’essor de l’économie sociale</w:t>
      </w:r>
    </w:p>
    <w:p w14:paraId="6EF5F18E" w14:textId="35503103" w:rsidR="00690AAA" w:rsidRPr="002E5A2C" w:rsidRDefault="00690AAA" w:rsidP="002E5A2C">
      <w:pPr>
        <w:rPr>
          <w:noProof/>
        </w:rPr>
      </w:pPr>
      <w:r>
        <w:rPr>
          <w:noProof/>
        </w:rPr>
        <w:t xml:space="preserve">L’une des principales étapes à ce jour a été l’adoption de la </w:t>
      </w:r>
      <w:r>
        <w:rPr>
          <w:b/>
          <w:noProof/>
        </w:rPr>
        <w:t>recommandation du Conseil de 2023 relative à la mise en place des conditions-cadres de l’économie sociale</w:t>
      </w:r>
      <w:r>
        <w:rPr>
          <w:noProof/>
          <w:vertAlign w:val="superscript"/>
          <w:lang w:val="en-IE"/>
        </w:rPr>
        <w:endnoteReference w:id="7"/>
      </w:r>
      <w:r>
        <w:rPr>
          <w:noProof/>
        </w:rPr>
        <w:t xml:space="preserve">. Elle fournit un cadre commun permettant aux États membres d’intégrer l’économie sociale dans leurs politiques et de créer des mesures de soutien pour favoriser un environnement favorable aux organisations de l’économie sociale. Ce cadre a légitimé et accéléré les réformes nationales. Entre 2021 et la fin de 2025, </w:t>
      </w:r>
      <w:r>
        <w:rPr>
          <w:b/>
          <w:noProof/>
        </w:rPr>
        <w:t>21 États membres</w:t>
      </w:r>
      <w:r>
        <w:rPr>
          <w:noProof/>
        </w:rPr>
        <w:t xml:space="preserve"> </w:t>
      </w:r>
      <w:r>
        <w:rPr>
          <w:b/>
          <w:noProof/>
        </w:rPr>
        <w:t>avaient adopté ou étaient en train d’élaborer des stratégies nationales ou régionales</w:t>
      </w:r>
      <w:r>
        <w:rPr>
          <w:noProof/>
        </w:rPr>
        <w:t xml:space="preserve"> </w:t>
      </w:r>
      <w:r>
        <w:rPr>
          <w:b/>
          <w:noProof/>
        </w:rPr>
        <w:t>pour l’économie sociale</w:t>
      </w:r>
      <w:r>
        <w:rPr>
          <w:noProof/>
        </w:rPr>
        <w:t>. En outre, 12 États membres ont adopté ou réformé des lois sur l’économie sociale, et deux sont en train de le faire.</w:t>
      </w:r>
      <w:r>
        <w:rPr>
          <w:b/>
          <w:noProof/>
        </w:rPr>
        <w:t xml:space="preserve"> </w:t>
      </w:r>
      <w:r>
        <w:rPr>
          <w:noProof/>
        </w:rPr>
        <w:t xml:space="preserve">Cela représente une évolution significative du paysage stratégique et législatif et reflète la reconnaissance croissante de l’économie sociale au niveau national. </w:t>
      </w:r>
    </w:p>
    <w:p w14:paraId="6C40D5FC" w14:textId="77777777" w:rsidR="00690AAA" w:rsidRPr="002E5A2C" w:rsidRDefault="00690AAA" w:rsidP="002E5A2C">
      <w:pPr>
        <w:rPr>
          <w:noProof/>
        </w:rPr>
      </w:pPr>
      <w:r>
        <w:rPr>
          <w:noProof/>
        </w:rPr>
        <w:t xml:space="preserve">Les efforts de la Commission ont été soutenus par </w:t>
      </w:r>
      <w:r>
        <w:rPr>
          <w:b/>
          <w:noProof/>
        </w:rPr>
        <w:t>une dynamique internationale croissante</w:t>
      </w:r>
      <w:r>
        <w:rPr>
          <w:noProof/>
        </w:rPr>
        <w:t xml:space="preserve">. Les États membres de l’UE et la Commission ont contribué aux résolutions de l’Assemblée générale des Nations unies et aux conclusions de l’Organisation internationale du travail sur l’économie sociale et solidaire, et les travaux de la Commission ont servi de base à la recommandation de l’OCDE sur l’économie sociale et solidaire et l’innovation sociale. </w:t>
      </w:r>
    </w:p>
    <w:p w14:paraId="0E5E1910" w14:textId="77254274" w:rsidR="00690AAA" w:rsidRPr="002E5A2C" w:rsidRDefault="00690AAA" w:rsidP="002E5A2C">
      <w:pPr>
        <w:rPr>
          <w:noProof/>
        </w:rPr>
      </w:pPr>
      <w:r>
        <w:rPr>
          <w:noProof/>
        </w:rPr>
        <w:t xml:space="preserve">Les progrès réalisés à ce jour confirment la valeur d’une vision commune de l’UE combinée à un soutien pratique aux États membres. La Commission a donc organisé </w:t>
      </w:r>
      <w:r>
        <w:rPr>
          <w:b/>
          <w:noProof/>
        </w:rPr>
        <w:t>des ateliers d’apprentissage mutuel</w:t>
      </w:r>
      <w:r>
        <w:rPr>
          <w:noProof/>
        </w:rPr>
        <w:t xml:space="preserve"> sur des sujets tels que les aides d’État, la fiscalité, les stratégies de l’économie sociale, les marchés publics socialement responsables et les données. L’instrument d’appui technique</w:t>
      </w:r>
      <w:r>
        <w:rPr>
          <w:noProof/>
          <w:vertAlign w:val="superscript"/>
        </w:rPr>
        <w:t>9</w:t>
      </w:r>
      <w:r>
        <w:rPr>
          <w:noProof/>
        </w:rPr>
        <w:t xml:space="preserve"> aide cinq États membres à concevoir leurs stratégies en matière d’économie sociale par un travail collaboratif et adapté à chaque pays. En outre, en 2023, la Commission a publié deux documents de travail de ses services décrivant les cadres fiscaux existants pour les organisations de l’économie sociale</w:t>
      </w:r>
      <w:r>
        <w:rPr>
          <w:noProof/>
          <w:vertAlign w:val="superscript"/>
          <w:lang w:val="en-IE"/>
        </w:rPr>
        <w:endnoteReference w:id="8"/>
      </w:r>
      <w:r>
        <w:rPr>
          <w:noProof/>
        </w:rPr>
        <w:t xml:space="preserve"> et le traitement fiscal non discriminatoire des organisations caritatives et de leurs donateurs</w:t>
      </w:r>
      <w:r>
        <w:rPr>
          <w:noProof/>
          <w:vertAlign w:val="superscript"/>
          <w:lang w:val="en-IE"/>
        </w:rPr>
        <w:endnoteReference w:id="9"/>
      </w:r>
      <w:r>
        <w:rPr>
          <w:noProof/>
        </w:rPr>
        <w:t xml:space="preserve">, établissant une base factuelle et un point de référence communs dans l’ensemble de l’UE. </w:t>
      </w:r>
    </w:p>
    <w:p w14:paraId="4AF43FAC" w14:textId="0775FA9C" w:rsidR="00690AAA" w:rsidRPr="002E5A2C" w:rsidRDefault="00690AAA" w:rsidP="002E5A2C">
      <w:pPr>
        <w:rPr>
          <w:noProof/>
        </w:rPr>
      </w:pPr>
      <w:r>
        <w:rPr>
          <w:noProof/>
        </w:rPr>
        <w:t>Afin d’améliorer la sécurité juridique et les connaissances sur les options en matière d’</w:t>
      </w:r>
      <w:r>
        <w:rPr>
          <w:b/>
          <w:noProof/>
        </w:rPr>
        <w:t>aides d’État</w:t>
      </w:r>
      <w:r>
        <w:rPr>
          <w:noProof/>
        </w:rPr>
        <w:t xml:space="preserve">, la Commission a publié une </w:t>
      </w:r>
      <w:r>
        <w:rPr>
          <w:b/>
          <w:noProof/>
        </w:rPr>
        <w:t>étude sur l’application des mesures d’aide d’État visant à soutenir l’accès des entreprises sociales au financement et le recrutement de travailleurs défavorisés</w:t>
      </w:r>
      <w:r>
        <w:rPr>
          <w:noProof/>
          <w:vertAlign w:val="superscript"/>
          <w:lang w:val="en-IE"/>
        </w:rPr>
        <w:endnoteReference w:id="10"/>
      </w:r>
      <w:r>
        <w:rPr>
          <w:noProof/>
        </w:rPr>
        <w:t>. Les conclusions de cette étude serviront de base à la révision en cours du règlement général d’exemption par catégorie</w:t>
      </w:r>
      <w:r>
        <w:rPr>
          <w:noProof/>
          <w:vertAlign w:val="superscript"/>
          <w:lang w:val="en-IE"/>
        </w:rPr>
        <w:endnoteReference w:id="11"/>
      </w:r>
      <w:r>
        <w:rPr>
          <w:noProof/>
        </w:rPr>
        <w:t>. En outre, depuis janvier 2024, les pouvoirs publics peuvent appliquer les plafonds d’aide de minimis relevés de 300 000 EUR</w:t>
      </w:r>
      <w:r>
        <w:rPr>
          <w:noProof/>
          <w:vertAlign w:val="superscript"/>
          <w:lang w:val="en-IE"/>
        </w:rPr>
        <w:endnoteReference w:id="12"/>
      </w:r>
      <w:r>
        <w:rPr>
          <w:noProof/>
        </w:rPr>
        <w:t xml:space="preserve"> et de 750 000 EUR sur toute période de trois ans pour les services d’intérêt économique général</w:t>
      </w:r>
      <w:r>
        <w:rPr>
          <w:noProof/>
          <w:vertAlign w:val="superscript"/>
          <w:lang w:val="en-IE"/>
        </w:rPr>
        <w:endnoteReference w:id="13"/>
      </w:r>
      <w:r>
        <w:rPr>
          <w:noProof/>
        </w:rPr>
        <w:t>. En outre, la révision de 2025 des services d’intérêt économique général</w:t>
      </w:r>
      <w:r>
        <w:rPr>
          <w:noProof/>
          <w:vertAlign w:val="superscript"/>
          <w:lang w:val="en-IE"/>
        </w:rPr>
        <w:endnoteReference w:id="14"/>
      </w:r>
      <w:r>
        <w:rPr>
          <w:noProof/>
        </w:rPr>
        <w:t xml:space="preserve"> vise à permettre aux États membres de soutenir plus facilement la construction et la rénovation de logements abordables, un domaine dans lequel les organisations de l’économie sociale sont actives. </w:t>
      </w:r>
    </w:p>
    <w:p w14:paraId="173B808E" w14:textId="77777777" w:rsidR="00690AAA" w:rsidRPr="002E5A2C" w:rsidRDefault="00690AAA" w:rsidP="002E5A2C">
      <w:pPr>
        <w:rPr>
          <w:noProof/>
        </w:rPr>
      </w:pPr>
      <w:r>
        <w:rPr>
          <w:noProof/>
        </w:rPr>
        <w:t xml:space="preserve">Malgré les progrès accomplis aux niveaux national et international, il existe un important </w:t>
      </w:r>
      <w:r>
        <w:rPr>
          <w:b/>
          <w:noProof/>
        </w:rPr>
        <w:t>potentiel inexploité aux niveaux régional et municipal</w:t>
      </w:r>
      <w:r>
        <w:rPr>
          <w:noProof/>
        </w:rPr>
        <w:t>, où les autorités sont les plus proches des citoyens et des activités des organisations de l’économie sociale. Bien que les initiatives se soient multipliées dans de nombreuses régions et municipalités ces dernières années, l’échange de connaissances et de pratiques entre elles, en particulier par-delà les frontières, reste limité.</w:t>
      </w:r>
    </w:p>
    <w:p w14:paraId="60BF7D9C" w14:textId="6C2F7DF5" w:rsidR="00690AAA" w:rsidRPr="002E5A2C" w:rsidRDefault="00690AAA" w:rsidP="002E5A2C">
      <w:pPr>
        <w:rPr>
          <w:noProof/>
        </w:rPr>
      </w:pPr>
      <w:r>
        <w:rPr>
          <w:noProof/>
        </w:rPr>
        <w:t xml:space="preserve">En outre, les cadres juridiques restrictifs sont source d’insécurité juridique et créent des obstacles à la poursuite du soutien à l’économie sociale. Les pouvoirs publics manquent souvent de capacités techniques dans des domaines tels que les aides d’État et les marchés publics socialement responsables. Par exemple, la récente évaluation des </w:t>
      </w:r>
      <w:r>
        <w:rPr>
          <w:b/>
          <w:noProof/>
        </w:rPr>
        <w:t>directives sur les marchés publics</w:t>
      </w:r>
      <w:r>
        <w:rPr>
          <w:noProof/>
          <w:vertAlign w:val="superscript"/>
          <w:lang w:val="en-IE"/>
        </w:rPr>
        <w:endnoteReference w:id="15"/>
      </w:r>
      <w:r>
        <w:rPr>
          <w:noProof/>
        </w:rPr>
        <w:t xml:space="preserve"> montre </w:t>
      </w:r>
      <w:r>
        <w:rPr>
          <w:b/>
          <w:noProof/>
        </w:rPr>
        <w:t>des degrés de maturité variables d’un État membre à l’autre en ce qui concerne l’intégration des considérations sociales au niveau des pratiques en matière de marchés publics.</w:t>
      </w:r>
      <w:r>
        <w:rPr>
          <w:noProof/>
        </w:rPr>
        <w:t xml:space="preserve"> Les pouvoirs adjudicateurs éprouvent souvent des difficultés à trouver un équilibre entre les objectifs de transparence et d’efficacité du marché et les objectifs stratégiques et attendent des orientations claires sur la manière de parvenir à cet équilibre.</w:t>
      </w:r>
    </w:p>
    <w:p w14:paraId="2D42A217" w14:textId="4F1C6978" w:rsidR="00690AAA" w:rsidRPr="002E5A2C" w:rsidRDefault="00690AAA" w:rsidP="002E5A2C">
      <w:pPr>
        <w:pBdr>
          <w:top w:val="single" w:sz="4" w:space="1" w:color="auto"/>
          <w:left w:val="single" w:sz="4" w:space="4" w:color="auto"/>
          <w:bottom w:val="single" w:sz="4" w:space="1" w:color="auto"/>
          <w:right w:val="single" w:sz="4" w:space="4" w:color="auto"/>
        </w:pBdr>
        <w:shd w:val="clear" w:color="auto" w:fill="E2EFD9" w:themeFill="accent6" w:themeFillTint="33"/>
        <w:spacing w:after="120"/>
        <w:rPr>
          <w:noProof/>
        </w:rPr>
      </w:pPr>
      <w:bookmarkStart w:id="5" w:name="_Hlk222222583"/>
      <w:r>
        <w:rPr>
          <w:b/>
          <w:i/>
          <w:noProof/>
        </w:rPr>
        <w:t>Gros plan: l’économie sociale et la circularité</w:t>
      </w:r>
    </w:p>
    <w:p w14:paraId="70510CB7" w14:textId="44374D1F" w:rsidR="00690AAA" w:rsidRPr="002E5A2C" w:rsidRDefault="00690AAA" w:rsidP="002E5A2C">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i/>
          <w:iCs/>
          <w:noProof/>
        </w:rPr>
      </w:pPr>
      <w:r>
        <w:rPr>
          <w:i/>
          <w:noProof/>
        </w:rPr>
        <w:t>Les organisations de l’économie sociale contribuent de manière importante à la transition de l’Europe vers une économie circulaire. Elles sont actives à tous les stades du cycle de vie des produits, de la conception et de la collecte à la réparation, au réemploi et au recyclage. Elles transforment les déchets en ressources et créent des emplois locaux de qualité au cours du processus, notamment en mettant des formations et des emplois à la disposition des personnes exposées au risque d’exclusion, souvent en étroite coopération avec les pouvoirs publics. L’</w:t>
      </w:r>
      <w:r>
        <w:rPr>
          <w:b/>
          <w:i/>
          <w:noProof/>
        </w:rPr>
        <w:t>initiative en faveur des villes et des régions circulaires</w:t>
      </w:r>
      <w:r>
        <w:rPr>
          <w:rStyle w:val="EndnoteReference"/>
          <w:i/>
          <w:iCs/>
          <w:noProof/>
          <w:lang w:val="en-IE"/>
        </w:rPr>
        <w:endnoteReference w:id="16"/>
      </w:r>
      <w:r>
        <w:rPr>
          <w:i/>
          <w:noProof/>
        </w:rPr>
        <w:t xml:space="preserve"> montre comment les stratégies circulaires menées par les villes et les régions, telles que les pôles de réutilisation et de réparation soutenus par les pouvoirs publics, les programmes de construction et de démolition circulaires et les systèmes locaux de réutilisation des textiles, peuvent créer des possibilités pour les organisations de l’économie sociale de proposer des solutions circulaires inclusives,</w:t>
      </w:r>
      <w:r>
        <w:rPr>
          <w:b/>
          <w:i/>
          <w:noProof/>
        </w:rPr>
        <w:t xml:space="preserve"> notamment en recourant aux marchés publics pour créer une demande pour ces services au moyen de pratiques d’achat circulaires et socialement responsables</w:t>
      </w:r>
      <w:r>
        <w:rPr>
          <w:i/>
          <w:noProof/>
        </w:rPr>
        <w:t xml:space="preserve">. Leurs modèles économiques contribuent à allonger la durée de vie des produits, à réduire les émissions et à maintenir la circulation des matériaux au sein des communautés. Le futur </w:t>
      </w:r>
      <w:r>
        <w:rPr>
          <w:b/>
          <w:i/>
          <w:noProof/>
        </w:rPr>
        <w:t>acte législatif sur l’économie circulaire</w:t>
      </w:r>
      <w:r>
        <w:rPr>
          <w:i/>
          <w:noProof/>
        </w:rPr>
        <w:t xml:space="preserve"> vise à créer un marché unique des matières premières secondaires, à accroître l’offre de matériaux recyclés de qualité et à stimuler la demande de ces matériaux dans l’UE, des domaines dans lesquels les organisations de l’économie sociale sont bien placées pour apporter leur contribution.</w:t>
      </w:r>
    </w:p>
    <w:bookmarkEnd w:id="5"/>
    <w:p w14:paraId="7061C9CE" w14:textId="77777777" w:rsidR="00690AAA" w:rsidRPr="002E5A2C" w:rsidRDefault="00690AAA" w:rsidP="002E5A2C">
      <w:pPr>
        <w:keepNext/>
        <w:numPr>
          <w:ilvl w:val="1"/>
          <w:numId w:val="17"/>
        </w:numPr>
        <w:spacing w:before="240"/>
        <w:outlineLvl w:val="1"/>
        <w:rPr>
          <w:b/>
          <w:noProof/>
        </w:rPr>
      </w:pPr>
      <w:r>
        <w:rPr>
          <w:b/>
          <w:noProof/>
        </w:rPr>
        <w:t>Ouvrir des perspectives de développement pour les organisations de l’économie sociale</w:t>
      </w:r>
    </w:p>
    <w:p w14:paraId="7287D174" w14:textId="77777777" w:rsidR="00690AAA" w:rsidRPr="002E5A2C" w:rsidRDefault="00690AAA" w:rsidP="002E5A2C">
      <w:pPr>
        <w:rPr>
          <w:noProof/>
        </w:rPr>
      </w:pPr>
      <w:r>
        <w:rPr>
          <w:noProof/>
        </w:rPr>
        <w:t>Afin de créer des possibilités de création et de croissance pour les organisations de l’économie sociale, la Commission a introduit des mesures visant à consolider l’écosystème, en promouvant un meilleur accès au financement, en mobilisant des fonds et en appuyant le renforcement des capacités et le soutien aux entreprises.</w:t>
      </w:r>
    </w:p>
    <w:p w14:paraId="5F7B4573" w14:textId="5D3CEF66" w:rsidR="00690AAA" w:rsidRPr="002E5A2C" w:rsidRDefault="00690AAA" w:rsidP="002E5A2C">
      <w:pPr>
        <w:tabs>
          <w:tab w:val="left" w:pos="2552"/>
        </w:tabs>
        <w:spacing w:line="256" w:lineRule="auto"/>
        <w:rPr>
          <w:noProof/>
        </w:rPr>
      </w:pPr>
      <w:r>
        <w:rPr>
          <w:noProof/>
        </w:rPr>
        <w:t xml:space="preserve">L’accès au financement pour les organisations de l’économie sociale s’est élargi. S’appuyant sur les instruments financiers de l’emploi et de l’innovation sociale (EaSI), </w:t>
      </w:r>
      <w:r>
        <w:rPr>
          <w:b/>
          <w:noProof/>
        </w:rPr>
        <w:t>des produits financiers relevant du volet «Investissements sociaux et compétences» d’InvestEU</w:t>
      </w:r>
      <w:r>
        <w:rPr>
          <w:noProof/>
        </w:rPr>
        <w:t xml:space="preserve"> ont été lancés en 2022. Environ 1,2 milliard d’EUR de garanties ont été alloués aux partenaires chargés de la mise en œuvre pour le microfinancement, l’entrepreneuriat social et les investissements à impact social, au profit d’environ 90 000 bénéficiaires d’un soutien au microfinancement et d’environ 3 000 entreprises sociales, avec une mobilisation attendue de 11,7 milliards d’EUR d’investissements</w:t>
      </w:r>
      <w:r>
        <w:rPr>
          <w:noProof/>
          <w:vertAlign w:val="superscript"/>
          <w:lang w:val="en-IE"/>
        </w:rPr>
        <w:endnoteReference w:id="17"/>
      </w:r>
      <w:r>
        <w:rPr>
          <w:noProof/>
        </w:rPr>
        <w:t>. Ces instruments offrent un accès au financement des risques pour les modèles d’entreprise qui, souvent, ne correspondent pas aux profils risque-rendement standard, ainsi que des services de développement des entreprises. À ce jour, ce soutien a déjà contribué à la création ou au maintien d’environ 900 000 emplois dans l’ensemble de l’UE et les rapports de certaines grandes institutions de microfinance montrent des taux de survie extrêmement élevés, tout en touchant les groupes les plus vulnérables</w:t>
      </w:r>
      <w:r>
        <w:rPr>
          <w:rStyle w:val="EndnoteReference"/>
          <w:noProof/>
          <w:lang w:val="en-IE"/>
        </w:rPr>
        <w:endnoteReference w:id="18"/>
      </w:r>
      <w:r>
        <w:rPr>
          <w:noProof/>
        </w:rPr>
        <w:t>.</w:t>
      </w:r>
    </w:p>
    <w:p w14:paraId="172445CA" w14:textId="77777777" w:rsidR="00690AAA" w:rsidRPr="002E5A2C" w:rsidRDefault="00690AAA" w:rsidP="002E5A2C">
      <w:pPr>
        <w:spacing w:line="256" w:lineRule="auto"/>
        <w:rPr>
          <w:noProof/>
        </w:rPr>
      </w:pPr>
      <w:r>
        <w:rPr>
          <w:noProof/>
        </w:rPr>
        <w:t>Afin d’accroître encore l’incidence sociale de ces fonds, la Commission pilote un soutien mixte combinant des instruments financiers InvestEU et des subventions au titre du volet EaSI du Fonds social européen plus</w:t>
      </w:r>
      <w:r>
        <w:rPr>
          <w:noProof/>
          <w:vertAlign w:val="superscript"/>
          <w:lang w:val="en-IE"/>
        </w:rPr>
        <w:endnoteReference w:id="19"/>
      </w:r>
      <w:r>
        <w:rPr>
          <w:noProof/>
        </w:rPr>
        <w:t xml:space="preserve"> (FSE+). Les appels au titre du FSE+ ont également favorisé le développement des marchés de la finance sociale en améliorant l’accès aux données d’impact pour les décisions d’investissement, en réduisant les coûts de transaction liés aux investissements en capital-risque dans les entreprises sociales et en renforçant les réseaux au niveau de l’UE représentant les organismes de microfinance et de financement des entreprises sociales. Parallèlement, plusieurs États membres ont déployé des instruments financiers et des régimes de subventions spécifiques au titre du FSE+ et du Fonds européen de développement régional</w:t>
      </w:r>
      <w:r>
        <w:rPr>
          <w:noProof/>
          <w:vertAlign w:val="superscript"/>
          <w:lang w:val="en-IE"/>
        </w:rPr>
        <w:endnoteReference w:id="20"/>
      </w:r>
      <w:r>
        <w:rPr>
          <w:noProof/>
        </w:rPr>
        <w:t>, et certains investissements et réformes spécifiques ont été mis en œuvre dans le cadre de la facilité pour la reprise et la résilience</w:t>
      </w:r>
      <w:r>
        <w:rPr>
          <w:noProof/>
          <w:vertAlign w:val="superscript"/>
          <w:lang w:val="en-IE"/>
        </w:rPr>
        <w:endnoteReference w:id="21"/>
      </w:r>
      <w:r>
        <w:rPr>
          <w:noProof/>
        </w:rPr>
        <w:t xml:space="preserve">. Dans l’ensemble, dans le cadre de l’actuel budget à long terme de l’UE (2021-2027), </w:t>
      </w:r>
      <w:r>
        <w:rPr>
          <w:b/>
          <w:noProof/>
        </w:rPr>
        <w:t>un montant total de plus de 1,62 milliard d’EUR sous forme de subventions et d’instruments financiers devrait être mobilisé</w:t>
      </w:r>
      <w:r>
        <w:rPr>
          <w:noProof/>
        </w:rPr>
        <w:t xml:space="preserve"> en plus des garanties susmentionnées à hauteur de 1,2 milliard</w:t>
      </w:r>
      <w:r>
        <w:rPr>
          <w:noProof/>
          <w:color w:val="FF0000"/>
        </w:rPr>
        <w:t xml:space="preserve"> </w:t>
      </w:r>
      <w:r>
        <w:rPr>
          <w:noProof/>
        </w:rPr>
        <w:t>d’EUR. Cela répond à l’engagement pris par la Commission d’augmenter le niveau de soutien de l’UE par rapport à la période 2014-2020.</w:t>
      </w:r>
    </w:p>
    <w:p w14:paraId="65961745" w14:textId="77777777" w:rsidR="00690AAA" w:rsidRPr="002E5A2C" w:rsidRDefault="00690AAA" w:rsidP="002E5A2C">
      <w:pPr>
        <w:rPr>
          <w:noProof/>
        </w:rPr>
      </w:pPr>
      <w:r>
        <w:rPr>
          <w:noProof/>
        </w:rPr>
        <w:t xml:space="preserve">La Commission a également aidé les organisations de l’économie sociale à se professionnaliser, à développer leurs solutions et à démontrer leurs résultats. </w:t>
      </w:r>
      <w:r>
        <w:rPr>
          <w:b/>
          <w:noProof/>
        </w:rPr>
        <w:t>Le Centre européen de compétences pour l’innovation sociale</w:t>
      </w:r>
      <w:r>
        <w:rPr>
          <w:b/>
          <w:bCs/>
          <w:noProof/>
          <w:vertAlign w:val="superscript"/>
          <w:lang w:val="en-IE"/>
        </w:rPr>
        <w:endnoteReference w:id="22"/>
      </w:r>
      <w:r>
        <w:rPr>
          <w:b/>
          <w:noProof/>
        </w:rPr>
        <w:t xml:space="preserve"> a mis en place un pôle de connaissances dynamique et cinq communautés de pratique</w:t>
      </w:r>
      <w:r>
        <w:rPr>
          <w:noProof/>
        </w:rPr>
        <w:t>. Des appels au titre du FSE + ont été lancés par la Commission pour soutenir l’expérimentation sociale, le transfert d’innovations sociales testées et leur expansion, y compris par la mise en place de centres nationaux de compétences pour l’innovation sociale. Des outils pratiques ont été mis au point, tels qu’un code de conduite pour la gestion et l’utilisation des données dans l’économie sociale</w:t>
      </w:r>
      <w:r>
        <w:rPr>
          <w:noProof/>
          <w:vertAlign w:val="superscript"/>
          <w:lang w:val="en-IE"/>
        </w:rPr>
        <w:endnoteReference w:id="23"/>
      </w:r>
      <w:r>
        <w:rPr>
          <w:noProof/>
        </w:rPr>
        <w:t xml:space="preserve"> et un </w:t>
      </w:r>
      <w:r>
        <w:rPr>
          <w:b/>
          <w:noProof/>
        </w:rPr>
        <w:t>guide sur les approches proportionnées de la mesure et de la gestion de l’impact social</w:t>
      </w:r>
      <w:r>
        <w:rPr>
          <w:noProof/>
          <w:vertAlign w:val="superscript"/>
          <w:lang w:val="en-IE"/>
        </w:rPr>
        <w:endnoteReference w:id="24"/>
      </w:r>
      <w:r>
        <w:rPr>
          <w:noProof/>
        </w:rPr>
        <w:t xml:space="preserve">. </w:t>
      </w:r>
      <w:r>
        <w:rPr>
          <w:b/>
          <w:noProof/>
        </w:rPr>
        <w:t>L’académie des politiques en faveur de l’entrepreneuriat des jeunes (YEPA)</w:t>
      </w:r>
      <w:r>
        <w:rPr>
          <w:noProof/>
        </w:rPr>
        <w:t xml:space="preserve">, une initiative conjointe de la Commission et de l’OCDE, </w:t>
      </w:r>
      <w:r>
        <w:rPr>
          <w:b/>
          <w:noProof/>
        </w:rPr>
        <w:t>a réuni des décideurs politiques et des réseaux de jeunes entrepreneurs</w:t>
      </w:r>
      <w:r>
        <w:rPr>
          <w:noProof/>
        </w:rPr>
        <w:t xml:space="preserve"> dans le cadre d’une série d’ateliers sur les politiques et le renforcement des capacités, dans le but de concevoir de meilleures politiques pour les jeunes entrepreneurs, y compris les entrepreneurs sociaux.</w:t>
      </w:r>
    </w:p>
    <w:p w14:paraId="4A079772" w14:textId="77777777" w:rsidR="00690AAA" w:rsidRPr="002E5A2C" w:rsidRDefault="00690AAA" w:rsidP="002E5A2C">
      <w:pPr>
        <w:rPr>
          <w:noProof/>
        </w:rPr>
      </w:pPr>
      <w:r>
        <w:rPr>
          <w:noProof/>
        </w:rPr>
        <w:t>Malgré ces progrès, les organisations de l’économie sociale continuent de rencontrer plus de difficultés que les entreprises traditionnelles pour accéder aux ressources financières en raison de leurs modèles d’entreprise spécifiques. Bien que des études de marché indiquent que l’investissement social privé a augmenté ces dernières années</w:t>
      </w:r>
      <w:r>
        <w:rPr>
          <w:noProof/>
          <w:vertAlign w:val="superscript"/>
          <w:lang w:val="en-IE"/>
        </w:rPr>
        <w:endnoteReference w:id="25"/>
      </w:r>
      <w:r>
        <w:rPr>
          <w:noProof/>
          <w:vertAlign w:val="superscript"/>
          <w:lang w:val="en-IE"/>
        </w:rPr>
        <w:endnoteReference w:id="26"/>
      </w:r>
      <w:r>
        <w:rPr>
          <w:noProof/>
        </w:rPr>
        <w:t>, l’absence d’une approche plus structurée et plus largement comprise pour canaliser le capital (patient) vers des objectifs sociaux, combinée à de faibles rendements financiers, a limité la confiance et la comparabilité, ce qui décourage les investisseurs sociaux potentiels. Les approches innovantes en matière de financement sont restées fragmentées et à petite échelle.</w:t>
      </w:r>
    </w:p>
    <w:p w14:paraId="2049C10A" w14:textId="10070620" w:rsidR="00690AAA" w:rsidRPr="002E5A2C" w:rsidRDefault="00690AAA" w:rsidP="00421672">
      <w:pPr>
        <w:spacing w:after="0"/>
        <w:rPr>
          <w:noProof/>
        </w:rPr>
      </w:pPr>
      <w:r>
        <w:rPr>
          <w:noProof/>
        </w:rPr>
        <w:t>En outre, la prise en compte et la reconnaissance de parcours clairs de formation et de renforcement des capacités restent inégales d’un secteur et d’un territoire à l’autre. Les liens avec les systèmes d’éducation et de formation sont fragmentés, et les approches pédagogiques, les cadres de compétences partagées et les données solides sur l’entrepreneuriat social et inclusif restent l’exception. Bien que les services d’incubation et d’accélération se soient développés ces dernières années, le soutien sur mesure à l’entrepreneuriat social reste rare et de nombreux groupes restent sous-représentés et mal desservis. En conséquence, les talents et les modèles d’entreprise sociale innovants ne reçoivent pas toujours le soutien adéquat pour s’épanouir, et le potentiel de renforcement de l’impact social n’est pas pleinement exploité.</w:t>
      </w:r>
    </w:p>
    <w:p w14:paraId="47896DEE" w14:textId="77777777" w:rsidR="00690AAA" w:rsidRPr="002E5A2C" w:rsidRDefault="00690AAA" w:rsidP="002E5A2C">
      <w:pPr>
        <w:keepNext/>
        <w:numPr>
          <w:ilvl w:val="1"/>
          <w:numId w:val="17"/>
        </w:numPr>
        <w:spacing w:before="240"/>
        <w:outlineLvl w:val="1"/>
        <w:rPr>
          <w:b/>
          <w:noProof/>
        </w:rPr>
      </w:pPr>
      <w:r>
        <w:rPr>
          <w:b/>
          <w:noProof/>
        </w:rPr>
        <w:t>Renforcer la reconnaissance de l’économie sociale et de son potentiel</w:t>
      </w:r>
    </w:p>
    <w:p w14:paraId="7E4B1A60" w14:textId="6DE56605" w:rsidR="00690AAA" w:rsidRPr="002E5A2C" w:rsidRDefault="00690AAA" w:rsidP="002E5A2C">
      <w:pPr>
        <w:rPr>
          <w:noProof/>
        </w:rPr>
      </w:pPr>
      <w:r>
        <w:rPr>
          <w:noProof/>
        </w:rPr>
        <w:t xml:space="preserve">La Commission a accru la visibilité et la crédibilité de l’économie sociale en mettant en place des canaux de communication avec le public et en promouvant des campagnes de sensibilisation. </w:t>
      </w:r>
      <w:r>
        <w:rPr>
          <w:b/>
          <w:noProof/>
        </w:rPr>
        <w:t>Le portail de l’économie sociale de l’UE</w:t>
      </w:r>
      <w:r>
        <w:rPr>
          <w:noProof/>
          <w:vertAlign w:val="superscript"/>
          <w:lang w:val="en-IE"/>
        </w:rPr>
        <w:endnoteReference w:id="27"/>
      </w:r>
      <w:r>
        <w:rPr>
          <w:noProof/>
        </w:rPr>
        <w:t xml:space="preserve"> </w:t>
      </w:r>
      <w:r>
        <w:rPr>
          <w:b/>
          <w:noProof/>
        </w:rPr>
        <w:t xml:space="preserve">fournit des informations actualisées sur les politiques, les financements et les initiatives de l’UE en faveur de l’économie sociale. </w:t>
      </w:r>
      <w:r>
        <w:rPr>
          <w:noProof/>
        </w:rPr>
        <w:t>Depuis son lancement en 2023, le site internet a attiré plus de 596 000 visiteurs</w:t>
      </w:r>
      <w:r>
        <w:rPr>
          <w:noProof/>
          <w:vertAlign w:val="superscript"/>
          <w:lang w:val="en-IE"/>
        </w:rPr>
        <w:endnoteReference w:id="28"/>
      </w:r>
      <w:r>
        <w:rPr>
          <w:noProof/>
        </w:rPr>
        <w:t xml:space="preserve"> et propose du matériel utile aux praticiens de l’économie sociale et aux décideurs politiques. </w:t>
      </w:r>
    </w:p>
    <w:p w14:paraId="223FC9B1" w14:textId="63C1F795" w:rsidR="00690AAA" w:rsidRPr="002E5A2C" w:rsidRDefault="00690AAA" w:rsidP="002E5A2C">
      <w:pPr>
        <w:rPr>
          <w:noProof/>
        </w:rPr>
      </w:pPr>
      <w:r>
        <w:rPr>
          <w:noProof/>
        </w:rPr>
        <w:t>La base factuelle de l’UE sur l’économie sociale a été étoffée par une étude comparant les performances socio-économiques de l’économie sociale dans l’ensemble des États membres</w:t>
      </w:r>
      <w:r>
        <w:rPr>
          <w:noProof/>
          <w:vertAlign w:val="superscript"/>
          <w:lang w:val="en-IE"/>
        </w:rPr>
        <w:endnoteReference w:id="29"/>
      </w:r>
      <w:r>
        <w:rPr>
          <w:noProof/>
        </w:rPr>
        <w:t>. Elle montre que l’économie sociale génère une valeur tant économique que sociale, et confirme la valeur ajoutée que peuvent représenter des données plus solides et harmonisées pour évaluer les évolutions au fil du temps. L’Eurobaromètre spécial sur l’économie sociale dans la vie des Européens fournit une première base de référence de l’UE sur la perception, la sensibilisation, l’engagement et les attitudes du public, y compris les points de vue sur le rôle de l’action publique. La publication de la Commission et de l’OCDE intitulée «</w:t>
      </w:r>
      <w:r>
        <w:rPr>
          <w:i/>
          <w:noProof/>
        </w:rPr>
        <w:t>Social Economy in Europe: Contributing to Competitiveness and Prosperity</w:t>
      </w:r>
      <w:r>
        <w:rPr>
          <w:noProof/>
        </w:rPr>
        <w:t>» (L’économie sociale en Europe: contribuer à la compétitivité et à la prospérité)</w:t>
      </w:r>
      <w:r>
        <w:rPr>
          <w:noProof/>
          <w:vertAlign w:val="superscript"/>
          <w:lang w:val="en-IE"/>
        </w:rPr>
        <w:endnoteReference w:id="30"/>
      </w:r>
      <w:r>
        <w:rPr>
          <w:noProof/>
        </w:rPr>
        <w:t xml:space="preserve"> a permis de consolider davantage les connaissances, notamment en ce qui concerne les dispositions institutionnelles, la fiscalité et le soutien aux entreprises en faveur de l’économie sociale dans tous les États membres de l’UE, ainsi que les informations sectorielles sur le logement et les soins. </w:t>
      </w:r>
    </w:p>
    <w:p w14:paraId="042945AD" w14:textId="77777777" w:rsidR="00690AAA" w:rsidRPr="002E5A2C" w:rsidRDefault="00690AAA" w:rsidP="004C5180">
      <w:pPr>
        <w:spacing w:after="0" w:line="256" w:lineRule="auto"/>
        <w:rPr>
          <w:noProof/>
        </w:rPr>
      </w:pPr>
      <w:r>
        <w:rPr>
          <w:noProof/>
        </w:rPr>
        <w:t>Toutefois, certaines lacunes subsistent, notamment en ce qui concerne la comparabilité, en raison d’une prise en compte et de méthodes inégales d’un État membre à l’autre. L’absence de collecte systématique de données à l’aide de définitions harmonisées, de sources administratives et d’outils statistiques élargis, tels que les comptes satellites, rend difficile le suivi des progrès accomplis et limite la visibilité des résultats auprès du public. Si la recherche ciblée et la coopération par l’intermédiaire de groupes d’experts ont contribué à faire progresser le cadre de collecte et d’analyse des données, des échanges plus soutenus sont nécessaires pour mieux orienter l’élaboration des politiques. Enfin, la connaissance et l’utilisation du portail européen de l’économie sociale pourraient augmenter, et les parties prenantes demandent un compte rendu plus systématique de la mise en œuvre du plan d’action.</w:t>
      </w:r>
    </w:p>
    <w:p w14:paraId="141A6201" w14:textId="7D65C46D" w:rsidR="00690AAA" w:rsidRPr="00AF2E01" w:rsidRDefault="00690AAA" w:rsidP="00C85B26">
      <w:pPr>
        <w:pStyle w:val="Heading1"/>
        <w:rPr>
          <w:noProof/>
        </w:rPr>
      </w:pPr>
      <w:r>
        <w:rPr>
          <w:noProof/>
        </w:rPr>
        <w:t>Perspectives: nouvelles actions pour renforcer l’économie sociale</w:t>
      </w:r>
    </w:p>
    <w:p w14:paraId="3CB5107F" w14:textId="09A4A02B" w:rsidR="00690AAA" w:rsidRPr="00C1406C" w:rsidRDefault="00690AAA" w:rsidP="00181A72">
      <w:pPr>
        <w:rPr>
          <w:noProof/>
        </w:rPr>
      </w:pPr>
      <w:r>
        <w:rPr>
          <w:noProof/>
        </w:rPr>
        <w:t xml:space="preserve">Pour l’avenir, la Commission entend s’appuyer sur les progrès accomplis jusqu’à présent et s’attaquer aux obstacles qui subsistent au développement de l’écosystème de l’économie sociale de l’UE. Alors que la recommandation du Conseil de 2023 est en cours de mise en œuvre, le niveau de soutien à l’économie sociale continue de varier considérablement d’un État membre à l’autre et d’un niveau de gouvernance à l’autre. Un soutien ciblé de l’UE reste nécessaire pour que les stratégies en faveur de l’économie sociale débouchent sur des mesures efficaces et fournissent un cadre stable pour la croissance des organisations de l’économie sociale. </w:t>
      </w:r>
    </w:p>
    <w:p w14:paraId="18FCF292" w14:textId="6D2CA46F" w:rsidR="00690AAA" w:rsidRPr="00AF2E01" w:rsidRDefault="00690AAA" w:rsidP="00181A72">
      <w:pPr>
        <w:rPr>
          <w:noProof/>
        </w:rPr>
      </w:pPr>
      <w:r>
        <w:rPr>
          <w:noProof/>
        </w:rPr>
        <w:t>La prochaine phase de mise en œuvre devrait donc accorder la priorité aux actions qui soutiennent les administrations publiques et permettent aux organisations de l’économie sociale d’opérer sans obstacles au sein du marché unique, de renforcer l’accès aux talents, à la formation et au financement, et de fournir des données factuelles systématiques et comparables pour éclairer l’élaboration des politiques et les décisions d’investissement et mettre en évidence l’incidence de l’économie sociale.</w:t>
      </w:r>
    </w:p>
    <w:p w14:paraId="61A0A2FE" w14:textId="77777777" w:rsidR="00690AAA" w:rsidRDefault="00690AAA" w:rsidP="00B63D04">
      <w:pPr>
        <w:rPr>
          <w:noProof/>
        </w:rPr>
      </w:pPr>
      <w:r>
        <w:rPr>
          <w:noProof/>
        </w:rPr>
        <w:t>Notre vision pour les années à venir est claire:</w:t>
      </w:r>
    </w:p>
    <w:p w14:paraId="7E8B86BB" w14:textId="17176A7D" w:rsidR="00690AAA" w:rsidRDefault="00690AAA" w:rsidP="009F6CEF">
      <w:pPr>
        <w:pStyle w:val="ListParagraph"/>
        <w:numPr>
          <w:ilvl w:val="0"/>
          <w:numId w:val="47"/>
        </w:numPr>
        <w:spacing w:after="120"/>
        <w:ind w:left="714" w:hanging="357"/>
        <w:contextualSpacing w:val="0"/>
        <w:rPr>
          <w:noProof/>
        </w:rPr>
      </w:pPr>
      <w:r>
        <w:rPr>
          <w:noProof/>
        </w:rPr>
        <w:t xml:space="preserve">Nous voulons </w:t>
      </w:r>
      <w:r>
        <w:rPr>
          <w:b/>
          <w:noProof/>
        </w:rPr>
        <w:t>une économie sociale compétitive</w:t>
      </w:r>
      <w:r>
        <w:rPr>
          <w:noProof/>
        </w:rPr>
        <w:t>, qui fonctionne sur un pied d’égalité avec les autres acteurs économiques et dans l’ensemble du marché unique, et qui contribue à un environnement économique dynamique qui assure une prospérité et un bien-être durables aux citoyens et à l’économie sociale de marché de l’Europe. Cette démarche devrait s’appuyer sur des cadres politiques et juridiques intégrés.</w:t>
      </w:r>
    </w:p>
    <w:p w14:paraId="75744516" w14:textId="77777777" w:rsidR="00690AAA" w:rsidRDefault="00690AAA" w:rsidP="009F6CEF">
      <w:pPr>
        <w:pStyle w:val="ListParagraph"/>
        <w:numPr>
          <w:ilvl w:val="0"/>
          <w:numId w:val="47"/>
        </w:numPr>
        <w:spacing w:after="120"/>
        <w:ind w:left="714" w:hanging="357"/>
        <w:contextualSpacing w:val="0"/>
        <w:rPr>
          <w:noProof/>
        </w:rPr>
      </w:pPr>
      <w:r>
        <w:rPr>
          <w:noProof/>
        </w:rPr>
        <w:t xml:space="preserve">Nous voulons </w:t>
      </w:r>
      <w:r>
        <w:rPr>
          <w:b/>
          <w:noProof/>
        </w:rPr>
        <w:t>une économie sociale solide</w:t>
      </w:r>
      <w:r>
        <w:rPr>
          <w:noProof/>
        </w:rPr>
        <w:t>, dotée d’un accès au financement adapté à ses besoins et favorisée par des parcours d’apprentissage, d’incubation et d’accélération reconnus qui développent à la fois les talents individuels et les capacités organisationnelles.</w:t>
      </w:r>
    </w:p>
    <w:p w14:paraId="45C1A0E1" w14:textId="41952EF7" w:rsidR="00690AAA" w:rsidRPr="009F6CEF" w:rsidRDefault="00690AAA" w:rsidP="009F6CEF">
      <w:pPr>
        <w:pStyle w:val="ListParagraph"/>
        <w:numPr>
          <w:ilvl w:val="0"/>
          <w:numId w:val="47"/>
        </w:numPr>
        <w:ind w:left="714" w:hanging="357"/>
        <w:contextualSpacing w:val="0"/>
        <w:rPr>
          <w:noProof/>
        </w:rPr>
      </w:pPr>
      <w:r>
        <w:rPr>
          <w:noProof/>
        </w:rPr>
        <w:t xml:space="preserve">Nous voulons </w:t>
      </w:r>
      <w:r>
        <w:rPr>
          <w:b/>
          <w:noProof/>
        </w:rPr>
        <w:t>une économie sociale reconnue</w:t>
      </w:r>
      <w:r>
        <w:rPr>
          <w:noProof/>
        </w:rPr>
        <w:t>, qui s’appuie sur des données probantes et une visibilité solides, permettant aux décideurs politiques, aux marchés et au public de reconnaître sa valeur ajoutée, renforçant ainsi son incidence dans l’ensemble de l’UE.</w:t>
      </w:r>
    </w:p>
    <w:p w14:paraId="0B92977C" w14:textId="5F39C140" w:rsidR="00690AAA" w:rsidRDefault="00690AAA" w:rsidP="00B63D04">
      <w:pPr>
        <w:rPr>
          <w:noProof/>
        </w:rPr>
      </w:pPr>
      <w:r>
        <w:rPr>
          <w:noProof/>
        </w:rPr>
        <w:t>Cette vision est pleinement alignée sur l’approche exposée dans le plan d’action de 2021 et ses trois piliers. Tourné vers l’avenir, le présent rapport s’articule autour de trois priorités et de cinq domaines d’action clés, en s’appuyant sur les résultats des 63 actions de 2021 et en ajoutant de nouvelles mesures recensées dans le cadre de cet examen à mi-parcours. Il servira de référence pour le suivi et les rapports futurs concernant le plan d’action.</w:t>
      </w:r>
    </w:p>
    <w:p w14:paraId="4B03B22C" w14:textId="622C265A" w:rsidR="00690AAA" w:rsidRPr="000E18A9" w:rsidRDefault="00690AAA" w:rsidP="00B63D04">
      <w:pPr>
        <w:rPr>
          <w:b/>
          <w:bCs/>
          <w:noProof/>
        </w:rPr>
      </w:pPr>
      <w:r>
        <w:rPr>
          <w:b/>
          <w:noProof/>
        </w:rPr>
        <w:t xml:space="preserve">Enfin, la réalisation de cette vision nécessite un effort commun. </w:t>
      </w:r>
      <w:r>
        <w:rPr>
          <w:noProof/>
        </w:rPr>
        <w:t>La Commission invite donc les États membres à mettre pleinement en œuvre la recommandation du Conseil relative à la mise en place des conditions-cadres de l’économie sociale et à tenir compte des conclusions et des nouvelles actions exposées dans le présent examen à mi-parcours lorsqu’ils mettent en œuvre leurs stratégies et leurs cadres d’action.</w:t>
      </w:r>
    </w:p>
    <w:p w14:paraId="20E66D7C" w14:textId="785D09AF" w:rsidR="00690AAA" w:rsidRPr="00AF2E01" w:rsidRDefault="00690AAA" w:rsidP="3A18A745">
      <w:pPr>
        <w:pStyle w:val="Heading2"/>
        <w:rPr>
          <w:noProof/>
          <w:sz w:val="28"/>
          <w:szCs w:val="28"/>
        </w:rPr>
      </w:pPr>
      <w:r>
        <w:rPr>
          <w:noProof/>
        </w:rPr>
        <w:t>Cadres intégrés pour une économie sociale compétitive</w:t>
      </w:r>
    </w:p>
    <w:p w14:paraId="0D3AD7BA" w14:textId="744F63AF" w:rsidR="00690AAA" w:rsidRDefault="00690AAA" w:rsidP="009D0E16">
      <w:pPr>
        <w:rPr>
          <w:noProof/>
        </w:rPr>
      </w:pPr>
      <w:r>
        <w:rPr>
          <w:noProof/>
        </w:rPr>
        <w:t>Les efforts actuellement déployés par la Commission pour améliorer l’environnement des entreprises dans son ensemble profitent à l’économie sociale en réduisant les obstacles opérationnels et en créant davantage de possibilités de croissance. Les initiatives visant à stimuler la compétitivité de l’UE, à approfondir le marché unique et à faire progresser l’union de l’épargne et des investissements peuvent contribuer à intégrer les organisations de l’économie sociale dans les chaînes de valeur traditionnelles, à mobiliser des capitaux privés et à renforcer l’accès au financement. La simplification peut également réduire les charges administratives disproportionnées et les coûts de mise en conformité auxquels les petites organisations sont souvent confrontées.</w:t>
      </w:r>
    </w:p>
    <w:p w14:paraId="54AB84AE" w14:textId="24497B55" w:rsidR="00690AAA" w:rsidRDefault="00690AAA" w:rsidP="009D0E16">
      <w:pPr>
        <w:rPr>
          <w:noProof/>
        </w:rPr>
      </w:pPr>
      <w:r>
        <w:rPr>
          <w:noProof/>
        </w:rPr>
        <w:t>L’économie sociale a besoin de cadres politiques et juridiques intégrés pour développer et promouvoir des solutions durables et innovantes. Lorsque les bonnes conditions sont en place, les organisations de l’économie sociale peuvent prospérer dans tous les secteurs économiques et territoires, en créant des emplois, des produits et des services de qualité pour tous dans l’UE, y compris les plus vulnérables. Par conséquent, il est particulièrement important d’améliorer les conditions-cadres et de veiller à ce que les politiques soient mises en œuvre là où elles sont importantes, y compris dans les régions et les municipalités.</w:t>
      </w:r>
    </w:p>
    <w:p w14:paraId="78EF25E7" w14:textId="3295C58A" w:rsidR="00690AAA" w:rsidRPr="00AF2E01" w:rsidRDefault="00690AAA" w:rsidP="006F270F">
      <w:pPr>
        <w:spacing w:line="259" w:lineRule="auto"/>
        <w:rPr>
          <w:noProof/>
        </w:rPr>
      </w:pPr>
      <w:r>
        <w:rPr>
          <w:b/>
          <w:i/>
          <w:noProof/>
        </w:rPr>
        <w:t>Domaine d’action clé nº 1: renforcer la gouvernance à plusieurs niveaux et la mise en œuvre sur le terrain</w:t>
      </w:r>
    </w:p>
    <w:p w14:paraId="4D46A861" w14:textId="77777777" w:rsidR="00690AAA" w:rsidRDefault="00690AAA" w:rsidP="006F270F">
      <w:pPr>
        <w:spacing w:line="259" w:lineRule="auto"/>
        <w:rPr>
          <w:noProof/>
        </w:rPr>
      </w:pPr>
      <w:r>
        <w:rPr>
          <w:noProof/>
        </w:rPr>
        <w:t xml:space="preserve">Les autorités nationales jouent un rôle essentiel dans la mise en place du cadre stratégique et juridique global pour l’économie sociale. Dans le même temps, les autorités régionales et locales servent souvent de pont entre l’élaboration des politiques nationales et leur mise en œuvre à l’échelle locale, et elles sont essentielles pour adapter les priorités nationales aux besoins locaux. Elles peuvent soutenir directement les organisations de l’économie sociale et nouer des partenariats avec elles pour atteindre leurs objectifs stratégiques. </w:t>
      </w:r>
    </w:p>
    <w:p w14:paraId="20A53E6B" w14:textId="13555FBE" w:rsidR="00690AAA" w:rsidRPr="00AF2E01" w:rsidRDefault="00690AAA" w:rsidP="006F270F">
      <w:pPr>
        <w:spacing w:line="259" w:lineRule="auto"/>
        <w:rPr>
          <w:noProof/>
        </w:rPr>
      </w:pPr>
      <w:r>
        <w:rPr>
          <w:noProof/>
        </w:rPr>
        <w:t>Une approche plus coordonnée et éclairée fournirait à ces autorités un cadre politique plus clair et plus efficace pour soutenir l’économie sociale et maximiser son impact, et permettrait aux organisations de l’économie sociale de partager leurs réussites et leurs défis.</w:t>
      </w:r>
    </w:p>
    <w:tbl>
      <w:tblPr>
        <w:tblW w:w="0" w:type="auto"/>
        <w:tblInd w:w="108" w:type="dxa"/>
        <w:shd w:val="clear" w:color="auto" w:fill="F2F2F2" w:themeFill="background1" w:themeFillShade="F2"/>
        <w:tblLook w:val="0000" w:firstRow="0" w:lastRow="0" w:firstColumn="0" w:lastColumn="0" w:noHBand="0" w:noVBand="0"/>
      </w:tblPr>
      <w:tblGrid>
        <w:gridCol w:w="8613"/>
      </w:tblGrid>
      <w:tr w:rsidR="00690AAA" w14:paraId="56661B36" w14:textId="77777777" w:rsidTr="001540FB">
        <w:trPr>
          <w:trHeight w:val="284"/>
        </w:trPr>
        <w:tc>
          <w:tcPr>
            <w:tcW w:w="8613" w:type="dxa"/>
            <w:shd w:val="clear" w:color="auto" w:fill="FFF2CC" w:themeFill="accent4" w:themeFillTint="33"/>
          </w:tcPr>
          <w:p w14:paraId="7EAACD32" w14:textId="7816F415" w:rsidR="00690AAA" w:rsidRPr="00866215" w:rsidRDefault="00690AAA" w:rsidP="008E1740">
            <w:pPr>
              <w:spacing w:after="120" w:line="259" w:lineRule="auto"/>
              <w:ind w:left="164"/>
              <w:rPr>
                <w:b/>
                <w:bCs/>
                <w:noProof/>
              </w:rPr>
            </w:pPr>
            <w:r>
              <w:rPr>
                <w:b/>
                <w:noProof/>
              </w:rPr>
              <w:t xml:space="preserve">La Commission va: </w:t>
            </w:r>
          </w:p>
          <w:p w14:paraId="798EF710" w14:textId="3893D787" w:rsidR="00690AAA" w:rsidRPr="008E1740" w:rsidRDefault="00690AAA" w:rsidP="001F2CF4">
            <w:pPr>
              <w:pStyle w:val="ListParagraph"/>
              <w:numPr>
                <w:ilvl w:val="0"/>
                <w:numId w:val="48"/>
              </w:numPr>
              <w:spacing w:line="259" w:lineRule="auto"/>
              <w:ind w:left="882"/>
              <w:rPr>
                <w:noProof/>
              </w:rPr>
            </w:pPr>
            <w:r>
              <w:rPr>
                <w:b/>
                <w:noProof/>
              </w:rPr>
              <w:t>élaborer une boîte à outils pour soutenir les politiques régionales et locales en matière d’économie sociale</w:t>
            </w:r>
            <w:r>
              <w:rPr>
                <w:noProof/>
              </w:rPr>
              <w:t>;</w:t>
            </w:r>
          </w:p>
          <w:p w14:paraId="217F2147" w14:textId="61A8C7D4" w:rsidR="00690AAA" w:rsidRPr="00896814" w:rsidRDefault="00690AAA" w:rsidP="00896814">
            <w:pPr>
              <w:pStyle w:val="ListParagraph"/>
              <w:numPr>
                <w:ilvl w:val="0"/>
                <w:numId w:val="48"/>
              </w:numPr>
              <w:spacing w:line="259" w:lineRule="auto"/>
              <w:ind w:left="882"/>
              <w:rPr>
                <w:noProof/>
              </w:rPr>
            </w:pPr>
            <w:r>
              <w:rPr>
                <w:b/>
                <w:noProof/>
              </w:rPr>
              <w:t>intensifier sa collaboration avec les pouvoirs publics, les communautés de parties prenantes et les réseaux afin de promouvoir l’échange de bonnes pratiques, des projets communs</w:t>
            </w:r>
            <w:r>
              <w:rPr>
                <w:noProof/>
              </w:rPr>
              <w:t xml:space="preserve"> </w:t>
            </w:r>
            <w:r>
              <w:rPr>
                <w:b/>
                <w:noProof/>
              </w:rPr>
              <w:t>et des mesures efficaces en faveur de l’économie sociale dans l’ensemble des territoires</w:t>
            </w:r>
            <w:r>
              <w:rPr>
                <w:noProof/>
              </w:rPr>
              <w:t>, en soutenant et en complétant les efforts nationaux. Une attention particulière sera accordée aux zones rurales dans le cadre du plan d’action rural de l’UE</w:t>
            </w:r>
            <w:r>
              <w:rPr>
                <w:rStyle w:val="EndnoteReference"/>
                <w:noProof/>
              </w:rPr>
              <w:endnoteReference w:id="31"/>
            </w:r>
            <w:r>
              <w:rPr>
                <w:noProof/>
              </w:rPr>
              <w:t>, du pacte rural et de la stratégie pour le renouvellement des générations dans l’agriculture</w:t>
            </w:r>
            <w:r>
              <w:rPr>
                <w:rStyle w:val="EndnoteReference"/>
                <w:noProof/>
              </w:rPr>
              <w:endnoteReference w:id="32"/>
            </w:r>
            <w:r>
              <w:rPr>
                <w:noProof/>
              </w:rPr>
              <w:t>;</w:t>
            </w:r>
          </w:p>
          <w:p w14:paraId="7FC0640F" w14:textId="3B69D775" w:rsidR="00690AAA" w:rsidRPr="00256ED0" w:rsidRDefault="00690AAA" w:rsidP="001F2CF4">
            <w:pPr>
              <w:pStyle w:val="ListParagraph"/>
              <w:numPr>
                <w:ilvl w:val="0"/>
                <w:numId w:val="48"/>
              </w:numPr>
              <w:spacing w:line="259" w:lineRule="auto"/>
              <w:ind w:left="882"/>
              <w:rPr>
                <w:noProof/>
              </w:rPr>
            </w:pPr>
            <w:r>
              <w:rPr>
                <w:b/>
                <w:noProof/>
              </w:rPr>
              <w:t>publier un rapport d’évaluation</w:t>
            </w:r>
            <w:r>
              <w:rPr>
                <w:noProof/>
              </w:rPr>
              <w:t xml:space="preserve"> </w:t>
            </w:r>
            <w:r>
              <w:rPr>
                <w:b/>
                <w:noProof/>
              </w:rPr>
              <w:t>sur la mise en œuvre de la recommandation du Conseil relative à la mise en place des conditions-cadres de l’économie sociale</w:t>
            </w:r>
            <w:r>
              <w:rPr>
                <w:noProof/>
              </w:rPr>
              <w:t xml:space="preserve"> en 2028;</w:t>
            </w:r>
          </w:p>
          <w:p w14:paraId="03650B10" w14:textId="625C4673" w:rsidR="00690AAA" w:rsidRDefault="00690AAA" w:rsidP="008E1740">
            <w:pPr>
              <w:pStyle w:val="ListParagraph"/>
              <w:numPr>
                <w:ilvl w:val="0"/>
                <w:numId w:val="48"/>
              </w:numPr>
              <w:spacing w:after="0" w:line="259" w:lineRule="auto"/>
              <w:ind w:left="882"/>
              <w:rPr>
                <w:noProof/>
              </w:rPr>
            </w:pPr>
            <w:r>
              <w:rPr>
                <w:noProof/>
              </w:rPr>
              <w:t xml:space="preserve">intégrer l’économie sociale dans la coopération extérieure et les dialogues internationaux en </w:t>
            </w:r>
            <w:r>
              <w:rPr>
                <w:b/>
                <w:noProof/>
              </w:rPr>
              <w:t>fournissant une formation spécifique, un soutien au développement des compétences et à l’entrepreneuriat social aux pouvoirs publics</w:t>
            </w:r>
            <w:r>
              <w:rPr>
                <w:noProof/>
              </w:rPr>
              <w:t xml:space="preserve"> et en </w:t>
            </w:r>
            <w:r>
              <w:rPr>
                <w:b/>
                <w:noProof/>
              </w:rPr>
              <w:t>déployant des projets dans les pays tiers</w:t>
            </w:r>
            <w:r>
              <w:rPr>
                <w:noProof/>
              </w:rPr>
              <w:t>, y compris les pays candidats (potentiels), tels que le futur fonds d’entrepreneuriat social</w:t>
            </w:r>
            <w:r>
              <w:rPr>
                <w:noProof/>
                <w:color w:val="000000"/>
                <w:shd w:val="clear" w:color="auto" w:fill="FFF2CC" w:themeFill="accent4" w:themeFillTint="33"/>
              </w:rPr>
              <w:t xml:space="preserve"> </w:t>
            </w:r>
            <w:r>
              <w:rPr>
                <w:noProof/>
              </w:rPr>
              <w:t>pour le voisinage méridional, conformément aux priorités du pacte pour la Méditerranée</w:t>
            </w:r>
            <w:r>
              <w:rPr>
                <w:rStyle w:val="EndnoteReference"/>
                <w:noProof/>
                <w:lang w:val="en-IE"/>
              </w:rPr>
              <w:endnoteReference w:id="33"/>
            </w:r>
            <w:r>
              <w:rPr>
                <w:noProof/>
              </w:rPr>
              <w:t xml:space="preserve">. </w:t>
            </w:r>
          </w:p>
        </w:tc>
      </w:tr>
    </w:tbl>
    <w:p w14:paraId="0E20FE58" w14:textId="77777777" w:rsidR="00690AAA" w:rsidRPr="00AF2E01"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b/>
          <w:bCs/>
          <w:i/>
          <w:iCs/>
          <w:noProof/>
        </w:rPr>
      </w:pPr>
      <w:r>
        <w:rPr>
          <w:b/>
          <w:i/>
          <w:noProof/>
        </w:rPr>
        <w:t>Gros plan: l’économie sociale, et la culture et le tourisme</w:t>
      </w:r>
    </w:p>
    <w:p w14:paraId="22CA3283" w14:textId="77777777" w:rsidR="00690AAA"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rPr>
      </w:pPr>
      <w:r>
        <w:rPr>
          <w:i/>
          <w:noProof/>
        </w:rPr>
        <w:t>Les organisations de l’économie sociale sont des moteurs de la vitalité culturelle de l’Europe, de l’innovation créative et du tourisme durable. Elles soutiennent les secteurs de la culture et de la création et leur main-d’œuvre. Elles préservent et promeuvent le patrimoine culturel, en fournissant des espaces accessibles pour la participation culturelle et la vie communautaire dans les quartiers et les zones rurales.</w:t>
      </w:r>
    </w:p>
    <w:p w14:paraId="42009C70" w14:textId="77777777" w:rsidR="00690AAA"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rPr>
      </w:pPr>
      <w:r>
        <w:rPr>
          <w:i/>
          <w:noProof/>
        </w:rPr>
        <w:t xml:space="preserve">Dans les secteurs de la création et de la culture, l’économie sociale encourage l’expérimentation, la collaboration et la propriété partagée dans des domaines allant des médias et des arts du spectacle au design et à l’artisanat. Dans le secteur du tourisme, les initiatives menées par les acteurs locaux promeuvent des activités durables qui protègent les paysages, soutiennent les entreprises locales et veillent à ce que les avantages profitent à la communauté. </w:t>
      </w:r>
    </w:p>
    <w:p w14:paraId="0A994618" w14:textId="35DD604F" w:rsidR="00690AAA" w:rsidRPr="006D31F5"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rPr>
      </w:pPr>
      <w:r>
        <w:rPr>
          <w:b/>
          <w:i/>
          <w:noProof/>
        </w:rPr>
        <w:t>En établissant un lien entre la culture, la créativité et le tourisme durable, l’économie sociale renforce l’identité territoriale, donne aux populations locales les moyens d’agir et diversifie les économies locales, crée des emplois et contribue à un développement des régions d’Europe plus résilient et centré sur les personnes.</w:t>
      </w:r>
      <w:r>
        <w:rPr>
          <w:i/>
          <w:noProof/>
        </w:rPr>
        <w:t xml:space="preserve"> La Commission soutiendra les partenariats transnationaux visant à tester et à étendre les modèles de tourisme durable menés par les acteurs locaux sur la base des principes de l’économie sociale. En outre, la future </w:t>
      </w:r>
      <w:r>
        <w:rPr>
          <w:b/>
          <w:i/>
          <w:noProof/>
        </w:rPr>
        <w:t>stratégie de l’UE pour un tourisme durable</w:t>
      </w:r>
      <w:r>
        <w:rPr>
          <w:i/>
          <w:noProof/>
        </w:rPr>
        <w:t xml:space="preserve"> visera à façonner un modèle de tourisme compétitif, durable et inclusif qui soutient les communautés locales. </w:t>
      </w:r>
    </w:p>
    <w:p w14:paraId="349E89FD" w14:textId="49C0F58F" w:rsidR="00690AAA" w:rsidRPr="00B73E8A" w:rsidRDefault="00690AAA" w:rsidP="008E1740">
      <w:pPr>
        <w:spacing w:before="240"/>
        <w:rPr>
          <w:b/>
          <w:bCs/>
          <w:i/>
          <w:iCs/>
          <w:noProof/>
        </w:rPr>
      </w:pPr>
      <w:r>
        <w:rPr>
          <w:b/>
          <w:i/>
          <w:noProof/>
        </w:rPr>
        <w:t>Domaine d’action clé nº 2: faire en sorte que les règles et les cadres fonctionnent pour l’économie sociale</w:t>
      </w:r>
    </w:p>
    <w:p w14:paraId="18F90415" w14:textId="7FC8B291" w:rsidR="00690AAA" w:rsidRPr="00AF2E01" w:rsidRDefault="00690AAA" w:rsidP="0061644F">
      <w:pPr>
        <w:rPr>
          <w:noProof/>
        </w:rPr>
      </w:pPr>
      <w:r>
        <w:rPr>
          <w:b/>
          <w:noProof/>
        </w:rPr>
        <w:t>Les marchés publics</w:t>
      </w:r>
      <w:r>
        <w:rPr>
          <w:noProof/>
        </w:rPr>
        <w:t xml:space="preserve"> peuvent être utilisés par les pouvoirs publics comme un outil stratégique pour fournir des services publics de qualité et poursuivre des objectifs stratégiques spécifiques, tels que la promotion de l’emploi et de l’inclusion sociale, la garantie de conditions de travail décentes, l’amélioration de l’accessibilité et de la conception inclusive pour tous, et la création de chaînes d’approvisionnement responsables. Pour les organisations de l’économie sociale, les marchés publics créent des voies qui améliorent leur accès aux marchés et leur permettent de fournir des services à la communauté. Néanmoins, les données disponibles montrent que les pratiques de prix les plus bas restent la norme dominante et que la prise en compte des considérations sociales dans les marchés publics n’est pas systématique.</w:t>
      </w:r>
    </w:p>
    <w:p w14:paraId="0B3A3F78" w14:textId="1CCC6024" w:rsidR="00690AAA" w:rsidRPr="00AF2E01" w:rsidRDefault="00690AAA" w:rsidP="0061644F">
      <w:pPr>
        <w:rPr>
          <w:noProof/>
        </w:rPr>
      </w:pPr>
      <w:r>
        <w:rPr>
          <w:noProof/>
        </w:rPr>
        <w:t xml:space="preserve">En outre, </w:t>
      </w:r>
      <w:r>
        <w:rPr>
          <w:b/>
          <w:noProof/>
        </w:rPr>
        <w:t>la coopération avec les entreprises traditionnelles</w:t>
      </w:r>
      <w:r>
        <w:rPr>
          <w:noProof/>
        </w:rPr>
        <w:t>, y compris par la fourniture de biens et de services, peut renforcer l’économie sociale et aider les entreprises à atteindre leurs objectifs de durabilité. Toutefois, les organisations de l’économie sociale jouent souvent un rôle mineur dans les chaînes d’approvisionnement en raison d’un manque de compréhension mutuelle, d’obstacles culturels et opérationnels et d’un soutien stratégique insuffisant pour améliorer l’accès au marché et développer de nouvelles chaînes de valeur sectorielles.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14:paraId="6A7A0B12" w14:textId="77777777" w:rsidTr="00307FF9">
        <w:trPr>
          <w:trHeight w:val="284"/>
        </w:trPr>
        <w:tc>
          <w:tcPr>
            <w:tcW w:w="8643" w:type="dxa"/>
            <w:tcBorders>
              <w:top w:val="nil"/>
              <w:left w:val="nil"/>
              <w:bottom w:val="nil"/>
              <w:right w:val="nil"/>
            </w:tcBorders>
            <w:shd w:val="clear" w:color="auto" w:fill="FFF2CC" w:themeFill="accent4" w:themeFillTint="33"/>
          </w:tcPr>
          <w:p w14:paraId="6066F2B8" w14:textId="53758AE6" w:rsidR="00690AAA" w:rsidRPr="00866215" w:rsidRDefault="00690AAA" w:rsidP="008E1740">
            <w:pPr>
              <w:spacing w:after="120"/>
              <w:ind w:left="284"/>
              <w:rPr>
                <w:b/>
                <w:bCs/>
                <w:noProof/>
              </w:rPr>
            </w:pPr>
            <w:r>
              <w:rPr>
                <w:b/>
                <w:noProof/>
              </w:rPr>
              <w:t>La Commission va:</w:t>
            </w:r>
          </w:p>
          <w:p w14:paraId="687A6E0F" w14:textId="7E9F449E" w:rsidR="00690AAA" w:rsidRDefault="00690AAA" w:rsidP="00166761">
            <w:pPr>
              <w:pStyle w:val="ListParagraph"/>
              <w:numPr>
                <w:ilvl w:val="0"/>
                <w:numId w:val="49"/>
              </w:numPr>
              <w:ind w:left="1002"/>
              <w:rPr>
                <w:noProof/>
              </w:rPr>
            </w:pPr>
            <w:r>
              <w:rPr>
                <w:b/>
                <w:noProof/>
              </w:rPr>
              <w:t>étudier les possibilités pour promouvoir l’adoption de pratiques socialement responsables en matière de marchés publics</w:t>
            </w:r>
            <w:r>
              <w:rPr>
                <w:noProof/>
              </w:rPr>
              <w:t xml:space="preserve">, notamment l’utilisation du meilleur rapport qualité/prix et de la négociation collective, dans le contexte de </w:t>
            </w:r>
            <w:r>
              <w:rPr>
                <w:b/>
                <w:noProof/>
              </w:rPr>
              <w:t>la révision en cours des directives de l’UE sur les marchés publics</w:t>
            </w:r>
            <w:r>
              <w:rPr>
                <w:noProof/>
              </w:rPr>
              <w:t xml:space="preserve">, et inclure des </w:t>
            </w:r>
            <w:r>
              <w:rPr>
                <w:b/>
                <w:noProof/>
              </w:rPr>
              <w:t>orientations</w:t>
            </w:r>
            <w:r>
              <w:rPr>
                <w:noProof/>
              </w:rPr>
              <w:t xml:space="preserve"> sur la mise en œuvre de ses pratiques dans sa boîte à outils afin de soutenir les politiques régionales et locales en matière d’économie sociale;</w:t>
            </w:r>
          </w:p>
          <w:p w14:paraId="269CDA93" w14:textId="222C73F2" w:rsidR="00690AAA" w:rsidRDefault="00690AAA" w:rsidP="00E53BBF">
            <w:pPr>
              <w:pStyle w:val="ListParagraph"/>
              <w:numPr>
                <w:ilvl w:val="0"/>
                <w:numId w:val="49"/>
              </w:numPr>
              <w:spacing w:after="0"/>
              <w:ind w:left="998" w:hanging="357"/>
              <w:contextualSpacing w:val="0"/>
              <w:rPr>
                <w:noProof/>
              </w:rPr>
            </w:pPr>
            <w:r>
              <w:rPr>
                <w:noProof/>
              </w:rPr>
              <w:t>promouvoir une intégration plus systématique des organisations de l’économie sociale dans les chaînes de valeur des entreprises traditionnelles,</w:t>
            </w:r>
            <w:r>
              <w:rPr>
                <w:b/>
                <w:noProof/>
              </w:rPr>
              <w:t xml:space="preserve"> </w:t>
            </w:r>
            <w:r>
              <w:rPr>
                <w:noProof/>
              </w:rPr>
              <w:t xml:space="preserve">notamment </w:t>
            </w:r>
            <w:r>
              <w:rPr>
                <w:b/>
                <w:noProof/>
              </w:rPr>
              <w:t>en lançant un appel à propositions visant à développer les partenariats entre entreprises.</w:t>
            </w:r>
          </w:p>
        </w:tc>
      </w:tr>
    </w:tbl>
    <w:p w14:paraId="36F70F0F" w14:textId="5986E8B2" w:rsidR="00690AAA" w:rsidRPr="00972B47" w:rsidRDefault="00690AAA" w:rsidP="003C7521">
      <w:pPr>
        <w:pBdr>
          <w:top w:val="single" w:sz="4" w:space="0" w:color="000000"/>
          <w:left w:val="single" w:sz="4" w:space="4" w:color="000000"/>
          <w:bottom w:val="single" w:sz="4" w:space="4" w:color="000000"/>
          <w:right w:val="single" w:sz="4" w:space="4" w:color="000000"/>
        </w:pBdr>
        <w:shd w:val="clear" w:color="auto" w:fill="E2EFD9" w:themeFill="accent6" w:themeFillTint="33"/>
        <w:spacing w:before="240" w:after="120"/>
        <w:rPr>
          <w:b/>
          <w:bCs/>
          <w:i/>
          <w:iCs/>
          <w:noProof/>
        </w:rPr>
      </w:pPr>
      <w:r>
        <w:rPr>
          <w:b/>
          <w:i/>
          <w:noProof/>
        </w:rPr>
        <w:t>Gros plan: l’économie sociale et l’énergie</w:t>
      </w:r>
    </w:p>
    <w:p w14:paraId="3F097669" w14:textId="68094BC3" w:rsidR="00690AAA" w:rsidRDefault="00690AAA" w:rsidP="003C7521">
      <w:pPr>
        <w:pBdr>
          <w:top w:val="single" w:sz="4" w:space="0" w:color="000000"/>
          <w:left w:val="single" w:sz="4" w:space="4" w:color="000000"/>
          <w:bottom w:val="single" w:sz="4" w:space="4" w:color="000000"/>
          <w:right w:val="single" w:sz="4" w:space="4" w:color="000000"/>
        </w:pBdr>
        <w:shd w:val="clear" w:color="auto" w:fill="E2EFD9" w:themeFill="accent6" w:themeFillTint="33"/>
        <w:rPr>
          <w:i/>
          <w:iCs/>
          <w:noProof/>
        </w:rPr>
      </w:pPr>
      <w:r>
        <w:rPr>
          <w:i/>
          <w:noProof/>
        </w:rPr>
        <w:t xml:space="preserve">L’économie sociale contribue à garantir une transition équitable et inclusive vers une énergie verte. Les communautés énergétiques et d’autres initiatives menées par les citoyens permettent aux acteurs locaux de détenir et de gérer collectivement des actifs dans le domaine des énergies renouvelables, qu’il s’agisse de parcs solaires et éoliens, ou de systèmes de chauffage urbain. Ces organisations maintiennent la valeur au sein de la communauté, permettent aux citoyens de participer activement à la transition et peuvent contribuer à réduire la précarité énergétique, par exemple en améliorant l’accès à l’énergie des groupes vulnérables grâce à des tarifs abordables. Elles peuvent également générer des emplois locaux de qualité dans des domaines tels que l’installation, l’entretien et les services de conseil en énergie. </w:t>
      </w:r>
    </w:p>
    <w:p w14:paraId="69106A51" w14:textId="7B7C11E3" w:rsidR="00690AAA" w:rsidRPr="003C7521" w:rsidRDefault="00690AAA" w:rsidP="00885594">
      <w:pPr>
        <w:pBdr>
          <w:top w:val="single" w:sz="4" w:space="0" w:color="000000"/>
          <w:left w:val="single" w:sz="4" w:space="4" w:color="000000"/>
          <w:bottom w:val="single" w:sz="4" w:space="4" w:color="000000"/>
          <w:right w:val="single" w:sz="4" w:space="4" w:color="000000"/>
        </w:pBdr>
        <w:shd w:val="clear" w:color="auto" w:fill="E2EFD9" w:themeFill="accent6" w:themeFillTint="33"/>
        <w:spacing w:after="0"/>
        <w:rPr>
          <w:b/>
          <w:bCs/>
          <w:i/>
          <w:iCs/>
          <w:noProof/>
        </w:rPr>
      </w:pPr>
      <w:r>
        <w:rPr>
          <w:i/>
          <w:noProof/>
        </w:rPr>
        <w:t xml:space="preserve">Pour lier l’action climatique à des avantages concrets pour la communauté, il est primordial de reconnaître les acteurs de l’économie sociale dans les plans nationaux en matière d’énergie et de climat, de faciliter leur accès aux réseaux et au financement, et d’en tenir compte dans les initiatives de financement de l’UE ainsi que dans les programmes et plans financés par l’UE et gérés par les États membres. La Commission renforcera l’adoption des communautés énergétiques au moyen d’une recommandation de la Commission sur les communautés énergétiques et l’autoconsommation, dans le cadre du </w:t>
      </w:r>
      <w:r>
        <w:rPr>
          <w:b/>
          <w:i/>
          <w:noProof/>
        </w:rPr>
        <w:t>train de mesures sur l’énergie citoyenne</w:t>
      </w:r>
      <w:r>
        <w:rPr>
          <w:i/>
          <w:noProof/>
        </w:rPr>
        <w:t xml:space="preserve">. Le plan encouragera, entre autres, le partage des connaissances et renforcera la base factuelle sur les communautés énergétiques, notamment en </w:t>
      </w:r>
      <w:r>
        <w:rPr>
          <w:b/>
          <w:i/>
          <w:noProof/>
        </w:rPr>
        <w:t>soutenant une communauté de pratique spécifique pour les acheteurs publics</w:t>
      </w:r>
      <w:r>
        <w:rPr>
          <w:i/>
          <w:noProof/>
        </w:rPr>
        <w:t xml:space="preserve"> et en recensant les conditions qui permettent des initiatives énergétiques menées par les citoyens. Les collectivités locales peuvent également jouer un rôle clé en tant que facilitateurs de telles initiatives et seront soutenues pour exploiter ce potentiel.</w:t>
      </w:r>
    </w:p>
    <w:p w14:paraId="7BF19103" w14:textId="7C13E5A1" w:rsidR="00690AAA" w:rsidRPr="00AF2E01" w:rsidRDefault="00690AAA" w:rsidP="008E1740">
      <w:pPr>
        <w:shd w:val="clear" w:color="auto" w:fill="FFFFFF" w:themeFill="background1"/>
        <w:spacing w:before="240"/>
        <w:rPr>
          <w:noProof/>
        </w:rPr>
      </w:pPr>
      <w:r>
        <w:rPr>
          <w:b/>
          <w:noProof/>
        </w:rPr>
        <w:t>Les aides d’État</w:t>
      </w:r>
      <w:r>
        <w:rPr>
          <w:noProof/>
        </w:rPr>
        <w:t xml:space="preserve"> constituent également un outil important pour aider les pouvoirs publics à soutenir l’économie sociale. Par exemple, les organisations de l’économie sociale qui fournissent des services sociaux et de santé peuvent être confrontées à des limitations dans l’accès à l’aide en raison de la dépendance écrasante à l’égard du plafond des aides </w:t>
      </w:r>
      <w:r>
        <w:rPr>
          <w:i/>
          <w:iCs/>
          <w:noProof/>
        </w:rPr>
        <w:t>de minimis</w:t>
      </w:r>
      <w:r>
        <w:rPr>
          <w:noProof/>
        </w:rPr>
        <w:t>, qui permet aux pouvoirs publics de fournir des aides jusqu’à un certain seuil sans les notifier à la Commission. Si cela peut aider les services à petite échelle, les prestataires de services sociaux ont besoin de possibilités de financement plus substantielles qui s’alignent sur les objectifs d’intérêt public, mais qui sont perçus comme juridiquement risqués.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14:paraId="15C7E7A8" w14:textId="77777777" w:rsidTr="007D5F4E">
        <w:trPr>
          <w:trHeight w:val="2250"/>
        </w:trPr>
        <w:tc>
          <w:tcPr>
            <w:tcW w:w="8643" w:type="dxa"/>
            <w:tcBorders>
              <w:top w:val="nil"/>
              <w:left w:val="nil"/>
              <w:bottom w:val="nil"/>
              <w:right w:val="nil"/>
            </w:tcBorders>
            <w:shd w:val="clear" w:color="auto" w:fill="FFF2CC" w:themeFill="accent4" w:themeFillTint="33"/>
          </w:tcPr>
          <w:p w14:paraId="2200177F" w14:textId="77777777" w:rsidR="00690AAA" w:rsidRPr="00866215" w:rsidRDefault="00690AAA">
            <w:pPr>
              <w:spacing w:after="120"/>
              <w:ind w:left="284"/>
              <w:rPr>
                <w:b/>
                <w:bCs/>
                <w:noProof/>
              </w:rPr>
            </w:pPr>
            <w:bookmarkStart w:id="6" w:name="_Hlk222148644"/>
            <w:r>
              <w:rPr>
                <w:b/>
                <w:noProof/>
              </w:rPr>
              <w:t>La Commission va:</w:t>
            </w:r>
          </w:p>
          <w:p w14:paraId="049EF9A0" w14:textId="77777777" w:rsidR="00690AAA" w:rsidRDefault="00690AAA" w:rsidP="00931F0A">
            <w:pPr>
              <w:pStyle w:val="ListParagraph"/>
              <w:numPr>
                <w:ilvl w:val="0"/>
                <w:numId w:val="49"/>
              </w:numPr>
              <w:spacing w:line="259" w:lineRule="auto"/>
              <w:rPr>
                <w:noProof/>
              </w:rPr>
            </w:pPr>
            <w:r>
              <w:rPr>
                <w:b/>
                <w:noProof/>
              </w:rPr>
              <w:t>travailler sur la révision du règlement général d’exemption par catégorie et la clarification des règles pertinentes en matière d’aides d’État</w:t>
            </w:r>
            <w:r>
              <w:rPr>
                <w:noProof/>
              </w:rPr>
              <w:t xml:space="preserve"> afin de simplifier et de faciliter le financement de l’économie sociale par les pouvoirs publics au-delà des aides </w:t>
            </w:r>
            <w:r>
              <w:rPr>
                <w:i/>
                <w:noProof/>
              </w:rPr>
              <w:t>de minimis</w:t>
            </w:r>
            <w:r>
              <w:rPr>
                <w:noProof/>
              </w:rPr>
              <w:t>; </w:t>
            </w:r>
            <w:r>
              <w:rPr>
                <w:rStyle w:val="EndnoteReference"/>
                <w:noProof/>
                <w:lang w:val="en-IE"/>
              </w:rPr>
              <w:endnoteReference w:id="34"/>
            </w:r>
          </w:p>
          <w:p w14:paraId="60682107" w14:textId="3FF4881B" w:rsidR="00690AAA" w:rsidRPr="00931F0A" w:rsidRDefault="00690AAA" w:rsidP="00931F0A">
            <w:pPr>
              <w:pStyle w:val="ListParagraph"/>
              <w:numPr>
                <w:ilvl w:val="0"/>
                <w:numId w:val="49"/>
              </w:numPr>
              <w:spacing w:after="0" w:line="259" w:lineRule="auto"/>
              <w:rPr>
                <w:noProof/>
              </w:rPr>
            </w:pPr>
            <w:r>
              <w:rPr>
                <w:b/>
                <w:noProof/>
              </w:rPr>
              <w:t>élaborer des orientations spécifiques pour aider les États membres à concevoir des mesures d’aide d’État en faveur du soutien social et de l’investissement social</w:t>
            </w:r>
            <w:r>
              <w:rPr>
                <w:noProof/>
              </w:rPr>
              <w:t xml:space="preserve">, comme annoncé dans la communication intitulée </w:t>
            </w:r>
            <w:r>
              <w:rPr>
                <w:i/>
                <w:noProof/>
              </w:rPr>
              <w:t>Mettre en œuvre le pacte pour une industrie propre I</w:t>
            </w:r>
            <w:r>
              <w:rPr>
                <w:rStyle w:val="EndnoteReference"/>
                <w:noProof/>
                <w:lang w:val="en-IE"/>
              </w:rPr>
              <w:endnoteReference w:id="35"/>
            </w:r>
            <w:r>
              <w:rPr>
                <w:noProof/>
              </w:rPr>
              <w:t>.</w:t>
            </w:r>
          </w:p>
        </w:tc>
      </w:tr>
    </w:tbl>
    <w:bookmarkEnd w:id="6"/>
    <w:p w14:paraId="1652FE11" w14:textId="3109A570" w:rsidR="00690AAA" w:rsidRDefault="00690AAA" w:rsidP="00931F0A">
      <w:pPr>
        <w:spacing w:before="240"/>
        <w:rPr>
          <w:noProof/>
        </w:rPr>
      </w:pPr>
      <w:r>
        <w:rPr>
          <w:noProof/>
        </w:rPr>
        <w:t>Enfin, pour stimuler la compétitivité et les performances des organisations de l’économie sociale au sein du marché unique, des efforts supplémentaires sont nécessaires pour faire en sorte que les cadres juridiques et budgétaires soient mieux adaptés aux caractéristiques spécifiques des modèles d’entreprise de l’économie sociale.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14:paraId="10DA8C4E" w14:textId="77777777" w:rsidTr="5C57FCC1">
        <w:trPr>
          <w:trHeight w:val="3262"/>
        </w:trPr>
        <w:tc>
          <w:tcPr>
            <w:tcW w:w="8643" w:type="dxa"/>
            <w:tcBorders>
              <w:top w:val="nil"/>
              <w:left w:val="nil"/>
              <w:bottom w:val="nil"/>
              <w:right w:val="nil"/>
            </w:tcBorders>
            <w:shd w:val="clear" w:color="auto" w:fill="FFF2CC" w:themeFill="accent4" w:themeFillTint="33"/>
          </w:tcPr>
          <w:p w14:paraId="52421DBB" w14:textId="77777777" w:rsidR="00690AAA" w:rsidRPr="00866215" w:rsidRDefault="00690AAA">
            <w:pPr>
              <w:spacing w:after="120"/>
              <w:ind w:left="284"/>
              <w:rPr>
                <w:b/>
                <w:bCs/>
                <w:noProof/>
              </w:rPr>
            </w:pPr>
            <w:r>
              <w:rPr>
                <w:b/>
                <w:noProof/>
              </w:rPr>
              <w:t>La Commission va:</w:t>
            </w:r>
          </w:p>
          <w:p w14:paraId="5AE3133C" w14:textId="6E1BD376" w:rsidR="00690AAA" w:rsidRDefault="00690AAA" w:rsidP="00935A14">
            <w:pPr>
              <w:pStyle w:val="ListParagraph"/>
              <w:numPr>
                <w:ilvl w:val="0"/>
                <w:numId w:val="49"/>
              </w:numPr>
              <w:rPr>
                <w:noProof/>
              </w:rPr>
            </w:pPr>
            <w:r>
              <w:rPr>
                <w:b/>
                <w:noProof/>
              </w:rPr>
              <w:t>continuer à promouvoir des cadres juridiques qui soutiennent l’économie sociale</w:t>
            </w:r>
            <w:r>
              <w:rPr>
                <w:noProof/>
              </w:rPr>
              <w:t>. Il s’agit notamment de promouvoir les programmes de rachat par les travailleurs grâce à une mise en œuvre réussie de la recommandation de la Commission sur les transferts d’entreprises;</w:t>
            </w:r>
          </w:p>
          <w:p w14:paraId="5465C468" w14:textId="78CDC6F7" w:rsidR="00690AAA" w:rsidRDefault="00690AAA" w:rsidP="00935A14">
            <w:pPr>
              <w:pStyle w:val="ListParagraph"/>
              <w:numPr>
                <w:ilvl w:val="0"/>
                <w:numId w:val="49"/>
              </w:numPr>
              <w:rPr>
                <w:noProof/>
              </w:rPr>
            </w:pPr>
            <w:r>
              <w:rPr>
                <w:b/>
                <w:noProof/>
              </w:rPr>
              <w:t>évaluer la nécessité d’améliorer des cadres juridiques ciblés</w:t>
            </w:r>
            <w:r>
              <w:rPr>
                <w:noProof/>
              </w:rPr>
              <w:t xml:space="preserve">, le cas échéant, tels que le statut de société coopérative européenne; </w:t>
            </w:r>
          </w:p>
          <w:p w14:paraId="5F2C9AED" w14:textId="5DDCB135" w:rsidR="00690AAA" w:rsidRDefault="6549D41D" w:rsidP="00935A14">
            <w:pPr>
              <w:pStyle w:val="ListParagraph"/>
              <w:numPr>
                <w:ilvl w:val="0"/>
                <w:numId w:val="49"/>
              </w:numPr>
              <w:rPr>
                <w:noProof/>
              </w:rPr>
            </w:pPr>
            <w:r>
              <w:rPr>
                <w:b/>
                <w:noProof/>
              </w:rPr>
              <w:t xml:space="preserve">examiner, dans le cadre d’une étude si les entreprises à impact font face à des obstacles spécifiques, </w:t>
            </w:r>
            <w:r>
              <w:rPr>
                <w:noProof/>
              </w:rPr>
              <w:t xml:space="preserve">tels que la reconnaissance et l’accès au financement, dans le but d’orienter d’éventuelles futures actions stratégiques visant à faciliter les activités de mesure et de communication de l’impact sociétal et d’autres pratiques commerciales responsables; </w:t>
            </w:r>
          </w:p>
          <w:p w14:paraId="123B87EF" w14:textId="6C293782" w:rsidR="00690AAA" w:rsidRPr="00935A14" w:rsidRDefault="00690AAA" w:rsidP="00935A14">
            <w:pPr>
              <w:pStyle w:val="ListParagraph"/>
              <w:numPr>
                <w:ilvl w:val="0"/>
                <w:numId w:val="49"/>
              </w:numPr>
              <w:spacing w:after="0"/>
              <w:rPr>
                <w:noProof/>
              </w:rPr>
            </w:pPr>
            <w:r>
              <w:rPr>
                <w:b/>
                <w:noProof/>
              </w:rPr>
              <w:t>procéder, en collaboration avec l’OCDE,</w:t>
            </w:r>
            <w:r>
              <w:rPr>
                <w:noProof/>
              </w:rPr>
              <w:t xml:space="preserve"> </w:t>
            </w:r>
            <w:r>
              <w:rPr>
                <w:b/>
                <w:noProof/>
              </w:rPr>
              <w:t>à une analyse approfondie des mesures fiscales nationales en faveur de l’économie sociale</w:t>
            </w:r>
            <w:r>
              <w:rPr>
                <w:noProof/>
              </w:rPr>
              <w:t>, y compris des politiques fiscales qui encouragent les investissements dans les organisations de l’économie sociale.</w:t>
            </w:r>
          </w:p>
        </w:tc>
      </w:tr>
    </w:tbl>
    <w:p w14:paraId="1DCA0DE5" w14:textId="711D1DA4" w:rsidR="00690AAA" w:rsidRPr="00AF2E01" w:rsidRDefault="00690AAA" w:rsidP="00BE330F">
      <w:pPr>
        <w:pStyle w:val="Heading2"/>
        <w:spacing w:before="240"/>
        <w:rPr>
          <w:b w:val="0"/>
          <w:noProof/>
          <w:color w:val="000000" w:themeColor="text1"/>
          <w:sz w:val="28"/>
          <w:szCs w:val="28"/>
        </w:rPr>
      </w:pPr>
      <w:r>
        <w:rPr>
          <w:noProof/>
        </w:rPr>
        <w:t>Investissements, compétences et capacités pour une économie sociale solide</w:t>
      </w:r>
    </w:p>
    <w:p w14:paraId="116A0185" w14:textId="76843D55" w:rsidR="00690AAA" w:rsidRDefault="00690AAA" w:rsidP="00092FD2">
      <w:pPr>
        <w:rPr>
          <w:noProof/>
        </w:rPr>
      </w:pPr>
      <w:r>
        <w:rPr>
          <w:noProof/>
        </w:rPr>
        <w:t>Une économie sociale solide nécessite à la fois un écosystème financier performant et de solides compétences et capacités organisationnelles. Il est essentiel de concevoir des cadres plus clairs pour l’investissement social et de renforcer les compétences, l’incubation et le soutien à l’entrepreneuriat, ainsi que des parcours d’apprentissage spécifiques pour l’entrepreneuriat social, afin d’aider les organisations de l’économie sociale à attirer les talents, à se développer, à innover et à répondre aux besoins sociaux urgents.</w:t>
      </w:r>
    </w:p>
    <w:p w14:paraId="279B6F33" w14:textId="30C17682" w:rsidR="00690AAA" w:rsidRPr="00EB50C9" w:rsidRDefault="00690AAA" w:rsidP="00EB50C9">
      <w:pPr>
        <w:spacing w:after="160" w:line="257" w:lineRule="auto"/>
        <w:rPr>
          <w:b/>
          <w:bCs/>
          <w:i/>
          <w:iCs/>
          <w:noProof/>
        </w:rPr>
      </w:pPr>
      <w:r>
        <w:rPr>
          <w:b/>
          <w:i/>
          <w:noProof/>
        </w:rPr>
        <w:t>Domaine d’action clé nº 3: renforcer l’écosystème de l’investissement social</w:t>
      </w:r>
    </w:p>
    <w:p w14:paraId="697C5256" w14:textId="7BDEB379" w:rsidR="00690AAA" w:rsidRDefault="00690AAA" w:rsidP="005833B5">
      <w:pPr>
        <w:rPr>
          <w:noProof/>
        </w:rPr>
      </w:pPr>
      <w:r>
        <w:rPr>
          <w:noProof/>
        </w:rPr>
        <w:t>En raison de la diversité des modèles d’économie sociale et de la nature dynamique de l’impact social, les investissements sociaux ne peuvent pas être facilement pris en compte par des définitions fixes ou des critères uniformes. Toutefois, l’émergence progressive de points de référence et de pratiques de déclaration communs peut réduire l’incertitude pour les investisseurs et les intermédiaires, améliorer la comparabilité lorsque cela est nécessaire et contribuer à contenir les coûts de transaction.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338C12AB" w14:textId="77777777" w:rsidTr="0032626F">
        <w:trPr>
          <w:trHeight w:val="569"/>
        </w:trPr>
        <w:tc>
          <w:tcPr>
            <w:tcW w:w="8594" w:type="dxa"/>
            <w:tcBorders>
              <w:top w:val="nil"/>
              <w:left w:val="nil"/>
              <w:bottom w:val="nil"/>
              <w:right w:val="nil"/>
            </w:tcBorders>
            <w:shd w:val="clear" w:color="auto" w:fill="FFF2CC" w:themeFill="accent4" w:themeFillTint="33"/>
          </w:tcPr>
          <w:p w14:paraId="216BA576" w14:textId="77777777" w:rsidR="00690AAA" w:rsidRDefault="00690AAA" w:rsidP="006526BD">
            <w:pPr>
              <w:spacing w:after="0" w:line="257" w:lineRule="auto"/>
              <w:rPr>
                <w:b/>
                <w:bCs/>
                <w:noProof/>
              </w:rPr>
            </w:pPr>
            <w:r>
              <w:rPr>
                <w:noProof/>
              </w:rPr>
              <w:t xml:space="preserve">Afin d’améliorer la confiance et la comparabilité et de permettre que les investissements soient orientés vers des objectifs sociaux à grande échelle, </w:t>
            </w:r>
            <w:r>
              <w:rPr>
                <w:b/>
                <w:noProof/>
              </w:rPr>
              <w:t>la Commission va:</w:t>
            </w:r>
          </w:p>
          <w:p w14:paraId="19E3BB18" w14:textId="7DAE6261" w:rsidR="00690AAA" w:rsidRPr="004A3B8A" w:rsidRDefault="00690AAA" w:rsidP="004A3B8A">
            <w:pPr>
              <w:pStyle w:val="ListParagraph"/>
              <w:numPr>
                <w:ilvl w:val="0"/>
                <w:numId w:val="56"/>
              </w:numPr>
              <w:spacing w:after="0" w:line="257" w:lineRule="auto"/>
              <w:rPr>
                <w:b/>
                <w:bCs/>
                <w:noProof/>
              </w:rPr>
            </w:pPr>
            <w:r>
              <w:rPr>
                <w:b/>
                <w:noProof/>
              </w:rPr>
              <w:t>renforcer le cadre de l’investissement social privé</w:t>
            </w:r>
            <w:r>
              <w:rPr>
                <w:noProof/>
              </w:rPr>
              <w:t xml:space="preserve"> en consolidant et en systématisant les normes, les définitions de mesure, les concepts et les méthodes les plus pertinents.</w:t>
            </w:r>
            <w:r>
              <w:rPr>
                <w:b/>
                <w:noProof/>
              </w:rPr>
              <w:t xml:space="preserve"> </w:t>
            </w:r>
            <w:r>
              <w:rPr>
                <w:noProof/>
              </w:rPr>
              <w:t xml:space="preserve">À cette fin, </w:t>
            </w:r>
            <w:r>
              <w:rPr>
                <w:b/>
                <w:noProof/>
              </w:rPr>
              <w:t>elle étudiera, en coopération avec l’OCDE, un cadre volontaire et piloté par le marché d’objectifs pouvant faire l’objet d’investissements, étayé par des modèles de résultats et des indicateurs.</w:t>
            </w:r>
            <w:r>
              <w:rPr>
                <w:noProof/>
              </w:rPr>
              <w:t xml:space="preserve"> Cela aidera les investisseurs à concevoir, à évaluer et à comparer les stratégies d’investissement de manière cohérente et flexible;</w:t>
            </w:r>
          </w:p>
          <w:p w14:paraId="64AF48E3" w14:textId="18B3C47C" w:rsidR="00690AAA" w:rsidRPr="00450400" w:rsidRDefault="00690AAA" w:rsidP="004A3B8A">
            <w:pPr>
              <w:pStyle w:val="ListParagraph"/>
              <w:numPr>
                <w:ilvl w:val="0"/>
                <w:numId w:val="56"/>
              </w:numPr>
              <w:spacing w:after="0" w:line="257" w:lineRule="auto"/>
              <w:rPr>
                <w:noProof/>
              </w:rPr>
            </w:pPr>
            <w:r>
              <w:rPr>
                <w:b/>
                <w:noProof/>
              </w:rPr>
              <w:t>profiter de la prochaine révision du régime des fonds de capital-risque européens</w:t>
            </w:r>
            <w:r>
              <w:rPr>
                <w:noProof/>
                <w:vertAlign w:val="superscript"/>
                <w:lang w:val="en-IE"/>
              </w:rPr>
              <w:endnoteReference w:id="36"/>
            </w:r>
            <w:r>
              <w:rPr>
                <w:noProof/>
              </w:rPr>
              <w:t xml:space="preserve"> </w:t>
            </w:r>
            <w:r>
              <w:rPr>
                <w:b/>
                <w:noProof/>
              </w:rPr>
              <w:t>(EuVECA)</w:t>
            </w:r>
            <w:r>
              <w:rPr>
                <w:noProof/>
              </w:rPr>
              <w:t xml:space="preserve"> pour évaluer l’efficacité du cadre réglementaire applicable aux investisseurs en capital-risque et en capital de croissance. Les progrès réalisés dans ce domaine profiteront également aux investissements à impact social, notamment aux utilisateurs du label des fonds d’entrepreneuriat social européens</w:t>
            </w:r>
            <w:r>
              <w:rPr>
                <w:noProof/>
                <w:vertAlign w:val="superscript"/>
                <w:lang w:val="en-IE"/>
              </w:rPr>
              <w:endnoteReference w:id="37"/>
            </w:r>
            <w:r>
              <w:rPr>
                <w:noProof/>
              </w:rPr>
              <w:t xml:space="preserve"> (EuSEF).</w:t>
            </w:r>
          </w:p>
        </w:tc>
      </w:tr>
    </w:tbl>
    <w:p w14:paraId="2348C0FF" w14:textId="202A907B" w:rsidR="00690AAA" w:rsidRDefault="00690AAA" w:rsidP="00076FD8">
      <w:pPr>
        <w:spacing w:before="240" w:after="160" w:line="257" w:lineRule="auto"/>
        <w:rPr>
          <w:noProof/>
        </w:rPr>
      </w:pPr>
      <w:r>
        <w:rPr>
          <w:noProof/>
        </w:rPr>
        <w:t>L’économie sociale a besoin d’un financement qui reflète ses modèles de gouvernance, ses profils de risque et de rendement et, souvent, ses besoins à petite échelle. Les lacunes dans la base de connaissances sur les acteurs qui financent l’économie sociale, l’adéquation des produits financiers et l’incidence sur les bénéficiaires limitent la conception et le déploiement d’instruments financiers appropriés et leur expansion. Les prêteurs traditionnels restent prudents, les intermédiaires spécialisés manquent de visibilité sur le marché, les coûts de transaction élevés dissuadent les petits investissements et les contraintes sur les règles de redistribution des bénéfices dans les entreprises sociales limitent les investissements en fonds propres. Alors que l’UE prépare le prochain cadre financier pluriannuel, il est essentiel de concevoir des voies de financement et d’assistance technique qui permettent aux organisations de l’économie sociale d’accéder au financement dans tous les territoires et d’utiliser pleinement les fonds et instruments de l’UE.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73E243F3" w14:textId="77777777" w:rsidTr="00E53FEA">
        <w:trPr>
          <w:trHeight w:val="851"/>
        </w:trPr>
        <w:tc>
          <w:tcPr>
            <w:tcW w:w="8594" w:type="dxa"/>
            <w:tcBorders>
              <w:top w:val="nil"/>
              <w:left w:val="nil"/>
              <w:bottom w:val="nil"/>
              <w:right w:val="nil"/>
            </w:tcBorders>
            <w:shd w:val="clear" w:color="auto" w:fill="FFF2CC" w:themeFill="accent4" w:themeFillTint="33"/>
          </w:tcPr>
          <w:p w14:paraId="4E6E6E67" w14:textId="318B93A8" w:rsidR="00690AAA" w:rsidRDefault="00690AAA" w:rsidP="00E53FEA">
            <w:pPr>
              <w:spacing w:after="0" w:line="257" w:lineRule="auto"/>
              <w:rPr>
                <w:noProof/>
              </w:rPr>
            </w:pPr>
            <w:bookmarkStart w:id="7" w:name="_Hlk222150725"/>
            <w:r>
              <w:rPr>
                <w:noProof/>
              </w:rPr>
              <w:t xml:space="preserve">Afin de mieux comprendre le financement de l’économie sociale et d’affiner les instruments financiers, </w:t>
            </w:r>
            <w:r>
              <w:rPr>
                <w:b/>
                <w:noProof/>
              </w:rPr>
              <w:t>la Commission va</w:t>
            </w:r>
            <w:r>
              <w:rPr>
                <w:noProof/>
              </w:rPr>
              <w:t>:</w:t>
            </w:r>
          </w:p>
          <w:p w14:paraId="7D8E55A8" w14:textId="2535D6A2" w:rsidR="00690AAA" w:rsidRDefault="00690AAA" w:rsidP="00E53FEA">
            <w:pPr>
              <w:pStyle w:val="ListParagraph"/>
              <w:numPr>
                <w:ilvl w:val="0"/>
                <w:numId w:val="52"/>
              </w:numPr>
              <w:spacing w:after="0" w:line="257" w:lineRule="auto"/>
              <w:rPr>
                <w:noProof/>
              </w:rPr>
            </w:pPr>
            <w:r>
              <w:rPr>
                <w:b/>
                <w:noProof/>
              </w:rPr>
              <w:t>préparer un rapport</w:t>
            </w:r>
            <w:r>
              <w:rPr>
                <w:noProof/>
              </w:rPr>
              <w:t xml:space="preserve"> dans le cadre de la plateforme de conseil InvestEU </w:t>
            </w:r>
            <w:r>
              <w:rPr>
                <w:b/>
                <w:noProof/>
              </w:rPr>
              <w:t>sur</w:t>
            </w:r>
            <w:r>
              <w:rPr>
                <w:noProof/>
              </w:rPr>
              <w:t xml:space="preserve"> </w:t>
            </w:r>
            <w:r>
              <w:rPr>
                <w:b/>
                <w:noProof/>
              </w:rPr>
              <w:t>les intermédiaires financiers</w:t>
            </w:r>
            <w:r>
              <w:rPr>
                <w:noProof/>
              </w:rPr>
              <w:t xml:space="preserve"> au service des organisations de l’économie sociale, et un autre rapport avec son groupe d’experts sur l’économie sociale et les entreprises sociales (GECES) </w:t>
            </w:r>
            <w:r>
              <w:rPr>
                <w:b/>
                <w:noProof/>
              </w:rPr>
              <w:t>sur</w:t>
            </w:r>
            <w:r>
              <w:rPr>
                <w:noProof/>
              </w:rPr>
              <w:t xml:space="preserve"> </w:t>
            </w:r>
            <w:r>
              <w:rPr>
                <w:b/>
                <w:noProof/>
              </w:rPr>
              <w:t>l’amélioration de l’accès au financement</w:t>
            </w:r>
            <w:r>
              <w:rPr>
                <w:noProof/>
              </w:rPr>
              <w:t xml:space="preserve"> pour les organisations de l’économie sociale; </w:t>
            </w:r>
          </w:p>
          <w:p w14:paraId="587911FB" w14:textId="7632C49C" w:rsidR="00690AAA" w:rsidRPr="000477F8" w:rsidRDefault="00690AAA" w:rsidP="00E53FEA">
            <w:pPr>
              <w:pStyle w:val="ListParagraph"/>
              <w:numPr>
                <w:ilvl w:val="0"/>
                <w:numId w:val="52"/>
              </w:numPr>
              <w:spacing w:after="0" w:line="257" w:lineRule="auto"/>
              <w:rPr>
                <w:noProof/>
              </w:rPr>
            </w:pPr>
            <w:r>
              <w:rPr>
                <w:b/>
                <w:noProof/>
              </w:rPr>
              <w:t>piloter une évaluation de l’impact et des résultats au niveau des bénéficiaires des instruments financiers InvestEU en faveur de la microfinance et de l’entreprise sociale;</w:t>
            </w:r>
          </w:p>
          <w:p w14:paraId="37B39F14" w14:textId="642BFE6D" w:rsidR="00690AAA" w:rsidRDefault="00690AAA" w:rsidP="00E53FEA">
            <w:pPr>
              <w:pStyle w:val="ListParagraph"/>
              <w:numPr>
                <w:ilvl w:val="0"/>
                <w:numId w:val="52"/>
              </w:numPr>
              <w:spacing w:after="0" w:line="257" w:lineRule="auto"/>
              <w:rPr>
                <w:noProof/>
              </w:rPr>
            </w:pPr>
            <w:bookmarkStart w:id="8" w:name="_Hlk223336423"/>
            <w:r>
              <w:rPr>
                <w:b/>
                <w:noProof/>
              </w:rPr>
              <w:t>étudier la faisabilité de la reproduction de solutions innovantes pour mobiliser des capitaux privés</w:t>
            </w:r>
            <w:r>
              <w:rPr>
                <w:noProof/>
              </w:rPr>
              <w:t>,</w:t>
            </w:r>
            <w:r>
              <w:rPr>
                <w:b/>
                <w:noProof/>
              </w:rPr>
              <w:t xml:space="preserve"> </w:t>
            </w:r>
            <w:r>
              <w:rPr>
                <w:noProof/>
              </w:rPr>
              <w:t>par exemple en lançant une étude sur l’utilisation potentielle des actifs dormants pour créer des garanties publiques et en publiant un manuel à l’intention des gestionnaires d’actifs et des décideurs politiques sur la reproduction du modèle français de fonds «90-10»;</w:t>
            </w:r>
          </w:p>
          <w:bookmarkEnd w:id="8"/>
          <w:p w14:paraId="78446BA3" w14:textId="219937B7" w:rsidR="00690AAA" w:rsidRPr="005833B5" w:rsidRDefault="00690AAA" w:rsidP="00E53FEA">
            <w:pPr>
              <w:pStyle w:val="ListParagraph"/>
              <w:numPr>
                <w:ilvl w:val="0"/>
                <w:numId w:val="52"/>
              </w:numPr>
              <w:spacing w:after="0" w:line="257" w:lineRule="auto"/>
              <w:rPr>
                <w:noProof/>
              </w:rPr>
            </w:pPr>
            <w:r>
              <w:rPr>
                <w:b/>
                <w:noProof/>
              </w:rPr>
              <w:t>réviser le Code européen de bonne conduite pour l’octroi de microcrédits</w:t>
            </w:r>
            <w:r>
              <w:rPr>
                <w:noProof/>
              </w:rPr>
              <w:t xml:space="preserve"> afin que la microfinance continue de répondre aux besoins des entrepreneurs sous-représentés et des personnes en situation de vulnérabilité. Le Code actualisé visera à renforcer la dimension sociale de la microfinance, à aligner le cadre sur les nouvelles réalités de l’économie sociale et à rendre la certification plus accessible, plus efficace et plus favorable à divers modèles institutionnels.</w:t>
            </w:r>
          </w:p>
        </w:tc>
      </w:tr>
    </w:tbl>
    <w:bookmarkEnd w:id="7"/>
    <w:p w14:paraId="1E3200CF" w14:textId="77777777" w:rsidR="00690AAA" w:rsidRPr="00AF2E01" w:rsidRDefault="00690AAA" w:rsidP="00AA436B">
      <w:pPr>
        <w:pBdr>
          <w:top w:val="single" w:sz="4" w:space="4" w:color="auto"/>
          <w:left w:val="single" w:sz="4" w:space="0" w:color="auto"/>
          <w:bottom w:val="single" w:sz="4" w:space="4" w:color="auto"/>
          <w:right w:val="single" w:sz="4" w:space="4" w:color="auto"/>
        </w:pBdr>
        <w:shd w:val="clear" w:color="auto" w:fill="E2EFD9" w:themeFill="accent6" w:themeFillTint="33"/>
        <w:spacing w:before="240" w:after="120"/>
        <w:rPr>
          <w:b/>
          <w:bCs/>
          <w:i/>
          <w:iCs/>
          <w:noProof/>
        </w:rPr>
      </w:pPr>
      <w:r>
        <w:rPr>
          <w:b/>
          <w:i/>
          <w:noProof/>
        </w:rPr>
        <w:t>Gros plan: l’économie sociale et le logement</w:t>
      </w:r>
    </w:p>
    <w:p w14:paraId="5D9E550F" w14:textId="76948898" w:rsidR="00690AAA" w:rsidRPr="00421672" w:rsidRDefault="00690AAA" w:rsidP="00AA436B">
      <w:pPr>
        <w:pBdr>
          <w:top w:val="single" w:sz="4" w:space="4" w:color="auto"/>
          <w:left w:val="single" w:sz="4" w:space="0" w:color="auto"/>
          <w:bottom w:val="single" w:sz="4" w:space="4" w:color="auto"/>
          <w:right w:val="single" w:sz="4" w:space="4" w:color="auto"/>
        </w:pBdr>
        <w:shd w:val="clear" w:color="auto" w:fill="E2EFD9" w:themeFill="accent6" w:themeFillTint="33"/>
        <w:spacing w:after="0" w:line="259" w:lineRule="auto"/>
        <w:rPr>
          <w:i/>
          <w:noProof/>
        </w:rPr>
      </w:pPr>
      <w:r>
        <w:rPr>
          <w:i/>
          <w:noProof/>
        </w:rPr>
        <w:t xml:space="preserve">Les organisations de l’économie sociale jouent un rôle majeur dans la fourniture et le financement de l’accès à des solutions de logement abordables, portées par la communauté, socialement inclusives et accessibles. Des modèles tels que les associations de logement à but non lucratif ou à but lucratif limité, les coopératives, les fondations et les trusts fonciers communautaires peuvent construire, promouvoir, posséder ou gérer des unités de logement, tout en réinvestissant les excédents et en permettant aux résidents de participer directement à la manière dont ils sont gérés. Ces organisations peuvent contribuer à réduire les pénuries actuelles de logements et la volatilité des prix, en maintenant les prix à un niveau abordable à long terme. Elles peuvent également développer des quartiers inclusifs en combinant le logement avec des possibilités d’emploi et des services sociaux et communautaires dans les zones rurales et urbaines. Intégrer les organisations de l’économie sociale dans les stratégies de logement, les aider à surmonter les obstacles techniques, réglementaires et législatifs et faciliter leur accès à des financements adaptés pourrait leur permettre de contribuer davantage à la réalisation du droit à un logement décent, abordable, durable et de qualité dans tous les pays, en particulier dans les zones confrontées à une pénurie de logements et pour les groupes vulnérables. </w:t>
      </w:r>
      <w:r>
        <w:rPr>
          <w:b/>
          <w:i/>
          <w:noProof/>
        </w:rPr>
        <w:t>Le plan européen pour des logements abordables</w:t>
      </w:r>
      <w:r>
        <w:rPr>
          <w:rStyle w:val="EndnoteReference"/>
          <w:b/>
          <w:bCs/>
          <w:i/>
          <w:noProof/>
        </w:rPr>
        <w:endnoteReference w:id="38"/>
      </w:r>
      <w:r>
        <w:rPr>
          <w:b/>
          <w:i/>
          <w:noProof/>
        </w:rPr>
        <w:t xml:space="preserve"> définit un cadre d’action global à tous les niveaux ainsi que des possibilités financières à cet égard et souligne que la Commission facilitera les investissements dans les fournisseurs de logements à but non lucratif et à but lucratif limité.</w:t>
      </w:r>
    </w:p>
    <w:p w14:paraId="6D2BC486" w14:textId="1080C2E3" w:rsidR="00690AAA" w:rsidRPr="00AF2E01" w:rsidRDefault="00690AAA" w:rsidP="00A45435">
      <w:pPr>
        <w:spacing w:before="240" w:after="160" w:line="257" w:lineRule="auto"/>
        <w:rPr>
          <w:b/>
          <w:bCs/>
          <w:i/>
          <w:iCs/>
          <w:noProof/>
        </w:rPr>
      </w:pPr>
      <w:r>
        <w:rPr>
          <w:b/>
          <w:i/>
          <w:noProof/>
        </w:rPr>
        <w:t>Domaine d’action clé nº 4: renforcer les compétences, la formation et l’esprit d’entreprise</w:t>
      </w:r>
    </w:p>
    <w:p w14:paraId="4D4D5D31" w14:textId="7636AD4D" w:rsidR="00690AAA" w:rsidRDefault="00690AAA" w:rsidP="005833B5">
      <w:pPr>
        <w:rPr>
          <w:noProof/>
        </w:rPr>
      </w:pPr>
      <w:r>
        <w:rPr>
          <w:noProof/>
        </w:rPr>
        <w:t>L’entrepreneuriat social n’est pas systématiquement enseigné dans le système éducatif formel, et de nombreuses organisations de l’économie sociale, en particulier celles qui en sont aux phases de démarrage et de développement, n’ont toujours pas accès à des programmes de développement des compétences adaptés ni à un soutien organisationnel. Le soutien à l’entrepreneuriat inclusif est incohérent et ne reflète souvent pas de manière adéquate les modèles d’économie sociale, en particulier pour les candidats entrepreneurs issus de groupes sous-représentés qui rencontrent des obstacles cachés lorsqu’ils tentent d’accéder à des services d’incubation, à des réseaux et à des financements.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56C3FAA0" w14:textId="77777777" w:rsidTr="00770CDE">
        <w:trPr>
          <w:trHeight w:val="2890"/>
        </w:trPr>
        <w:tc>
          <w:tcPr>
            <w:tcW w:w="8594" w:type="dxa"/>
            <w:tcBorders>
              <w:top w:val="nil"/>
              <w:left w:val="nil"/>
              <w:bottom w:val="nil"/>
              <w:right w:val="nil"/>
            </w:tcBorders>
            <w:shd w:val="clear" w:color="auto" w:fill="FFF2CC" w:themeFill="accent4" w:themeFillTint="33"/>
          </w:tcPr>
          <w:p w14:paraId="79D8E04F" w14:textId="21576C41" w:rsidR="00690AAA" w:rsidRPr="00866215" w:rsidRDefault="00690AAA" w:rsidP="00300512">
            <w:pPr>
              <w:spacing w:after="160" w:line="259" w:lineRule="auto"/>
              <w:rPr>
                <w:noProof/>
              </w:rPr>
            </w:pPr>
            <w:bookmarkStart w:id="9" w:name="_Hlk222151794"/>
            <w:r>
              <w:rPr>
                <w:noProof/>
              </w:rPr>
              <w:t xml:space="preserve">Conformément à la vision exposée dans l’union des compétences, </w:t>
            </w:r>
            <w:r>
              <w:rPr>
                <w:b/>
                <w:noProof/>
              </w:rPr>
              <w:t>la Commission va</w:t>
            </w:r>
            <w:r>
              <w:rPr>
                <w:noProof/>
              </w:rPr>
              <w:t>:</w:t>
            </w:r>
          </w:p>
          <w:p w14:paraId="10223D0D" w14:textId="1281C910" w:rsidR="00690AAA" w:rsidRDefault="00690AAA" w:rsidP="00300512">
            <w:pPr>
              <w:pStyle w:val="ListParagraph"/>
              <w:numPr>
                <w:ilvl w:val="0"/>
                <w:numId w:val="53"/>
              </w:numPr>
              <w:spacing w:after="160" w:line="259" w:lineRule="auto"/>
              <w:rPr>
                <w:noProof/>
              </w:rPr>
            </w:pPr>
            <w:r>
              <w:rPr>
                <w:b/>
                <w:noProof/>
              </w:rPr>
              <w:t>promouvoir des modèles d’incubation d’entreprises sociales et inclusives au moyen d’un appel à propositions spécifique</w:t>
            </w:r>
            <w:r>
              <w:rPr>
                <w:noProof/>
              </w:rPr>
              <w:t xml:space="preserve"> et </w:t>
            </w:r>
            <w:r>
              <w:rPr>
                <w:b/>
                <w:noProof/>
              </w:rPr>
              <w:t>soutenir des cadres de compétences reconnus pour l’entrepreneuriat social</w:t>
            </w:r>
            <w:r>
              <w:rPr>
                <w:noProof/>
              </w:rPr>
              <w:t>, notamment au moyen d’actions d’apprentissage mutuel;</w:t>
            </w:r>
          </w:p>
          <w:p w14:paraId="34F93070" w14:textId="72EA9A6B" w:rsidR="00690AAA" w:rsidRPr="00300512" w:rsidRDefault="00690AAA" w:rsidP="00300512">
            <w:pPr>
              <w:pStyle w:val="ListParagraph"/>
              <w:numPr>
                <w:ilvl w:val="0"/>
                <w:numId w:val="53"/>
              </w:numPr>
              <w:spacing w:after="0" w:line="257" w:lineRule="auto"/>
              <w:rPr>
                <w:noProof/>
              </w:rPr>
            </w:pPr>
            <w:bookmarkStart w:id="10" w:name="_Hlk223336777"/>
            <w:r>
              <w:rPr>
                <w:noProof/>
              </w:rPr>
              <w:t xml:space="preserve">en collaboration avec l’OCDE, </w:t>
            </w:r>
            <w:r>
              <w:rPr>
                <w:b/>
                <w:noProof/>
              </w:rPr>
              <w:t>améliorer la base de connaissances sur l’entrepreneuriat social et inclusif</w:t>
            </w:r>
            <w:r>
              <w:rPr>
                <w:noProof/>
              </w:rPr>
              <w:t xml:space="preserve"> au moyen d’études sur l’intégration de l’entrepreneuriat social dans les programmes d’études et les parcours d’apprentissage nationaux, sur le rôle de l’entrepreneuriat social dans l’activation des jeunes sans emploi qui ne suivent ni études ni formation et la formalisation du travail, ainsi que d’une nouvelle édition du rapport sur les entrepreneurs «manquants».</w:t>
            </w:r>
            <w:bookmarkEnd w:id="10"/>
          </w:p>
        </w:tc>
      </w:tr>
    </w:tbl>
    <w:bookmarkEnd w:id="9"/>
    <w:p w14:paraId="14AECDAA" w14:textId="77777777" w:rsidR="00690AAA" w:rsidRPr="002E5A2C" w:rsidRDefault="00690AAA" w:rsidP="00AA436B">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b/>
          <w:bCs/>
          <w:i/>
          <w:iCs/>
          <w:noProof/>
        </w:rPr>
      </w:pPr>
      <w:r>
        <w:rPr>
          <w:b/>
          <w:i/>
          <w:noProof/>
        </w:rPr>
        <w:t>Gros plan: l’économie sociale et la transformation numérique</w:t>
      </w:r>
    </w:p>
    <w:p w14:paraId="1114B513" w14:textId="77777777" w:rsidR="00690AAA" w:rsidRPr="002E5A2C" w:rsidRDefault="00690AAA" w:rsidP="00421672">
      <w:pPr>
        <w:pBdr>
          <w:top w:val="single" w:sz="4" w:space="4" w:color="auto"/>
          <w:left w:val="single" w:sz="4" w:space="4" w:color="auto"/>
          <w:bottom w:val="single" w:sz="4" w:space="4" w:color="auto"/>
          <w:right w:val="single" w:sz="4" w:space="4" w:color="auto"/>
        </w:pBdr>
        <w:shd w:val="clear" w:color="auto" w:fill="E2EFD9" w:themeFill="accent6" w:themeFillTint="33"/>
        <w:spacing w:after="0" w:line="256" w:lineRule="auto"/>
        <w:rPr>
          <w:i/>
          <w:noProof/>
        </w:rPr>
      </w:pPr>
      <w:r>
        <w:rPr>
          <w:i/>
          <w:noProof/>
        </w:rPr>
        <w:t xml:space="preserve">Les organisations de l’économie sociale développent et utilisent des solutions numériques fiables et inclusives au service de l’intérêt public, qui réduisent la fracture numérique. Leurs structures de gouvernance en font des acteurs de choix pour une gestion responsable des données, qu’il s’agisse de coopératives de plateformes numériques ou d’entreprises de technologie sociale qui favorisent l’accessibilité, la solidarité et l’éducation. Elles traitent les données comme une ressource partagée, en veillant à ce que les informations soient recueillies, utilisées et gérées d’une manière qui respecte la vie privée, les droits fondamentaux, la transparence et les intérêts de la communauté. En outre, </w:t>
      </w:r>
      <w:r>
        <w:rPr>
          <w:b/>
          <w:i/>
          <w:noProof/>
        </w:rPr>
        <w:t xml:space="preserve">les organisations de l’économie sociale aident les travailleurs et les bénéficiaires à développer leurs capacités et compétences numériques, en promouvant un écosystème numérique dans lequel la technologie améliore à la fois la cohésion sociale et la compétitivité. </w:t>
      </w:r>
      <w:r>
        <w:rPr>
          <w:i/>
          <w:noProof/>
        </w:rPr>
        <w:t>La Commission renforcera la base de connaissances sur la numérisation et l’intelligence artificielle dans l’économie sociale afin de soutenir l’adoption de technologies fiables, accessibles et inclusives, y compris les technologies des registres distribués, et de mieux comprendre leurs implications pour les organisations et leur main-d’œuvre.</w:t>
      </w:r>
    </w:p>
    <w:p w14:paraId="2A1105EA" w14:textId="1F091AA3" w:rsidR="00690AAA" w:rsidRPr="00AF2E01" w:rsidRDefault="00690AAA" w:rsidP="00634403">
      <w:pPr>
        <w:pStyle w:val="Heading2"/>
        <w:tabs>
          <w:tab w:val="clear" w:pos="1202"/>
          <w:tab w:val="num" w:pos="720"/>
        </w:tabs>
        <w:spacing w:before="240"/>
        <w:ind w:left="720"/>
        <w:rPr>
          <w:noProof/>
        </w:rPr>
      </w:pPr>
      <w:r>
        <w:rPr>
          <w:noProof/>
        </w:rPr>
        <w:t>Données probantes, visibilité et connaissances pour une économie sociale reconnue</w:t>
      </w:r>
    </w:p>
    <w:p w14:paraId="4F297863" w14:textId="6B9BA459" w:rsidR="00690AAA" w:rsidRDefault="00690AAA" w:rsidP="009A6642">
      <w:pPr>
        <w:rPr>
          <w:rFonts w:eastAsia="Times New Roman Bold"/>
          <w:noProof/>
        </w:rPr>
      </w:pPr>
      <w:r>
        <w:rPr>
          <w:noProof/>
        </w:rPr>
        <w:t>Pour que l’économie sociale soit pleinement reconnue et valorisée dans l’ensemble de l’UE, elle a besoin d’une base de connaissances plus solide et de statistiques plus accessibles et comparables entre les États membres. En outre, l’élaboration de politiques fondées sur les données à l’appui de l’économie sociale nécessite des informations claires et accessibles, des données ventilées et une communication régulière, ainsi qu’un point d’entrée unique pour les ressources de l’UE.</w:t>
      </w:r>
    </w:p>
    <w:p w14:paraId="2901460F" w14:textId="54C6A9C9" w:rsidR="00690AAA" w:rsidRPr="00AF2E01" w:rsidRDefault="00690AAA" w:rsidP="00C42395">
      <w:pPr>
        <w:spacing w:after="160" w:line="257" w:lineRule="auto"/>
        <w:rPr>
          <w:b/>
          <w:bCs/>
          <w:noProof/>
        </w:rPr>
      </w:pPr>
      <w:r>
        <w:rPr>
          <w:b/>
          <w:i/>
          <w:noProof/>
        </w:rPr>
        <w:t>Domaine d’action clé nº 5: construire la base de connaissances de l’économie sociale</w:t>
      </w:r>
    </w:p>
    <w:p w14:paraId="401227DD" w14:textId="0633EBF8" w:rsidR="00690AAA" w:rsidRDefault="00690AAA" w:rsidP="00790FFA">
      <w:pPr>
        <w:rPr>
          <w:noProof/>
        </w:rPr>
      </w:pPr>
      <w:r>
        <w:rPr>
          <w:noProof/>
        </w:rPr>
        <w:t>À l’heure actuelle, les données sur l’économie sociale sont fragmentées, et la diversité des méthodologies utilisées limite la capacité des décideurs politiques à concevoir des mesures efficaces, à suivre les progrès réalisés et à démontrer leur impact. Le développement des statistiques et l’adoption d’une approche plus systématique de la collecte de données permettront d’harmoniser les concepts, d’améliorer la conception et le ciblage des politiques, et de mettre en évidence, auprès des décideurs, des marchés et du grand public, la contribution de l’économie sociale à une économie compétitive et inclusive.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6E809CED" w14:textId="77777777" w:rsidTr="000D45D2">
        <w:trPr>
          <w:trHeight w:val="2793"/>
        </w:trPr>
        <w:tc>
          <w:tcPr>
            <w:tcW w:w="8594" w:type="dxa"/>
            <w:tcBorders>
              <w:top w:val="nil"/>
              <w:left w:val="nil"/>
              <w:bottom w:val="nil"/>
              <w:right w:val="nil"/>
            </w:tcBorders>
            <w:shd w:val="clear" w:color="auto" w:fill="FFF2CC" w:themeFill="accent4" w:themeFillTint="33"/>
          </w:tcPr>
          <w:p w14:paraId="11FE8001" w14:textId="57A79BD2" w:rsidR="00690AAA" w:rsidRDefault="00690AAA" w:rsidP="00860F31">
            <w:pPr>
              <w:spacing w:after="160" w:line="257" w:lineRule="auto"/>
              <w:rPr>
                <w:b/>
                <w:bCs/>
                <w:noProof/>
              </w:rPr>
            </w:pPr>
            <w:r>
              <w:rPr>
                <w:b/>
                <w:noProof/>
              </w:rPr>
              <w:t>Afin d’élargir et de promouvoir les données et les connaissances statistiques et de constituer une base de connaissances sur l’économie sociale, la</w:t>
            </w:r>
            <w:r>
              <w:rPr>
                <w:noProof/>
              </w:rPr>
              <w:t xml:space="preserve"> </w:t>
            </w:r>
            <w:r>
              <w:rPr>
                <w:b/>
                <w:noProof/>
              </w:rPr>
              <w:t>Commission va:</w:t>
            </w:r>
          </w:p>
          <w:p w14:paraId="603A526B" w14:textId="047D94CF" w:rsidR="00690AAA" w:rsidRPr="00307FF9" w:rsidRDefault="00690AAA" w:rsidP="00307FF9">
            <w:pPr>
              <w:pStyle w:val="ListParagraph"/>
              <w:numPr>
                <w:ilvl w:val="0"/>
                <w:numId w:val="53"/>
              </w:numPr>
              <w:spacing w:after="160" w:line="257" w:lineRule="auto"/>
              <w:rPr>
                <w:noProof/>
                <w:color w:val="D13438"/>
                <w:u w:val="single"/>
              </w:rPr>
            </w:pPr>
            <w:r>
              <w:rPr>
                <w:b/>
                <w:noProof/>
              </w:rPr>
              <w:t>Œ œuvrer en faveur d’une approche plus systématique de la collecte de données</w:t>
            </w:r>
            <w:r>
              <w:rPr>
                <w:noProof/>
              </w:rPr>
              <w:t xml:space="preserve">, notamment en aidant les États membres à élaborer des comptes satellites de l’économie sociale, ainsi qu’en finançant des projets pilotes nationaux visant à collecter des données sur l’économie sociale au moyen des répertoires statistiques nationaux d’entreprises et des enquêtes sur la structure des salaires, en utilisant autant que possible des sources administratives afin d’éviter des charges déclaratives supplémentaires; </w:t>
            </w:r>
          </w:p>
          <w:p w14:paraId="31D188AD" w14:textId="742E60D1" w:rsidR="00690AAA" w:rsidRPr="00BB5955" w:rsidRDefault="00690AAA" w:rsidP="00307FF9">
            <w:pPr>
              <w:pStyle w:val="ListParagraph"/>
              <w:numPr>
                <w:ilvl w:val="0"/>
                <w:numId w:val="53"/>
              </w:numPr>
              <w:spacing w:after="160" w:line="257" w:lineRule="auto"/>
              <w:rPr>
                <w:noProof/>
              </w:rPr>
            </w:pPr>
            <w:r>
              <w:rPr>
                <w:b/>
                <w:noProof/>
              </w:rPr>
              <w:t>étendre le portail de l’économie sociale de l’UE afin d’améliorer le partage de données et d’accroître la transparence</w:t>
            </w:r>
            <w:r>
              <w:rPr>
                <w:noProof/>
              </w:rPr>
              <w:t xml:space="preserve">, en fournissant un accès rationalisé aux publications, aux ensembles de données, aux méthodes et aux portails nationaux; </w:t>
            </w:r>
          </w:p>
          <w:p w14:paraId="3878B241" w14:textId="36245D7E" w:rsidR="00690AAA" w:rsidRPr="008E1740" w:rsidRDefault="00690AAA" w:rsidP="00307FF9">
            <w:pPr>
              <w:pStyle w:val="ListParagraph"/>
              <w:numPr>
                <w:ilvl w:val="0"/>
                <w:numId w:val="53"/>
              </w:numPr>
              <w:spacing w:after="160" w:line="257" w:lineRule="auto"/>
              <w:rPr>
                <w:noProof/>
                <w:color w:val="D13438"/>
                <w:u w:val="single"/>
              </w:rPr>
            </w:pPr>
            <w:r>
              <w:rPr>
                <w:b/>
                <w:noProof/>
              </w:rPr>
              <w:t>mettre à jour la cartographie européenne des entreprises sociales</w:t>
            </w:r>
            <w:r>
              <w:rPr>
                <w:rStyle w:val="EndnoteReference"/>
                <w:noProof/>
                <w:lang w:val="en-IE"/>
              </w:rPr>
              <w:endnoteReference w:id="39"/>
            </w:r>
            <w:r>
              <w:rPr>
                <w:noProof/>
              </w:rPr>
              <w:t>;</w:t>
            </w:r>
          </w:p>
          <w:p w14:paraId="10D5A0A5" w14:textId="1DD60336" w:rsidR="00690AAA" w:rsidRPr="000D45D2" w:rsidRDefault="00690AAA" w:rsidP="00307FF9">
            <w:pPr>
              <w:pStyle w:val="ListParagraph"/>
              <w:numPr>
                <w:ilvl w:val="0"/>
                <w:numId w:val="53"/>
              </w:numPr>
              <w:spacing w:after="160" w:line="257" w:lineRule="auto"/>
              <w:rPr>
                <w:noProof/>
                <w:color w:val="D13438"/>
                <w:u w:val="single"/>
              </w:rPr>
            </w:pPr>
            <w:r>
              <w:rPr>
                <w:noProof/>
              </w:rPr>
              <w:t>publier un rapport du GECES contenant des recommandations pratiques sur la collecte de données sur l’économie sociale.</w:t>
            </w:r>
          </w:p>
        </w:tc>
      </w:tr>
    </w:tbl>
    <w:p w14:paraId="7AD1318A" w14:textId="77777777" w:rsidR="00690AAA" w:rsidRPr="002E5A2C" w:rsidRDefault="00690AAA" w:rsidP="00BE01D6">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i/>
          <w:iCs/>
          <w:noProof/>
          <w:highlight w:val="yellow"/>
        </w:rPr>
      </w:pPr>
      <w:r>
        <w:rPr>
          <w:b/>
          <w:i/>
          <w:noProof/>
        </w:rPr>
        <w:t>Gros plan: l’économie sociale et la démocratie</w:t>
      </w:r>
    </w:p>
    <w:p w14:paraId="470CBC78" w14:textId="0144DF20" w:rsidR="00BE01D6" w:rsidRPr="00BE01D6" w:rsidRDefault="00690AAA" w:rsidP="00BE01D6">
      <w:pPr>
        <w:pBdr>
          <w:top w:val="single" w:sz="4" w:space="4" w:color="auto"/>
          <w:left w:val="single" w:sz="4" w:space="4" w:color="auto"/>
          <w:bottom w:val="single" w:sz="4" w:space="4" w:color="auto"/>
          <w:right w:val="single" w:sz="4" w:space="4" w:color="auto"/>
        </w:pBdr>
        <w:shd w:val="clear" w:color="auto" w:fill="E2EFD9" w:themeFill="accent6" w:themeFillTint="33"/>
        <w:rPr>
          <w:i/>
          <w:iCs/>
          <w:noProof/>
        </w:rPr>
      </w:pPr>
      <w:r>
        <w:rPr>
          <w:i/>
          <w:noProof/>
        </w:rPr>
        <w:t xml:space="preserve">Selon l’Eurobaromètre spécial sur l’économie sociale dans la vie des Européens, 18 % des Européens se sont portés volontaires pour une organisation de l’économie sociale au cours des cinq dernières années et 13 % en sont membres. </w:t>
      </w:r>
      <w:r>
        <w:rPr>
          <w:b/>
          <w:i/>
          <w:noProof/>
        </w:rPr>
        <w:t>Toutefois, la connaissance du concept d’économie sociale est modérée et varie fortement d’un État membre à l’autre.</w:t>
      </w:r>
      <w:r>
        <w:rPr>
          <w:i/>
          <w:noProof/>
        </w:rPr>
        <w:t xml:space="preserve"> Les organisations de l’économie sociale contribuent à une société plus démocratique en mettant l’accent sur l’engagement des citoyens, la résolution de problèmes au niveau local et la gouvernance participative. Elles font souvent office d’«écoles de la démocratie», promouvant la transparence, la responsabilité et la confiance dans les processus décisionnels. L’économie sociale peut donc contribuer à diverses initiatives de l’UE en matière de démocratie et d’engagement civique, telles que le </w:t>
      </w:r>
      <w:r>
        <w:rPr>
          <w:b/>
          <w:i/>
          <w:noProof/>
        </w:rPr>
        <w:t>bouclier européen de la démocratie</w:t>
      </w:r>
      <w:r>
        <w:rPr>
          <w:i/>
          <w:iCs/>
          <w:noProof/>
          <w:vertAlign w:val="superscript"/>
          <w:lang w:val="en-IE"/>
        </w:rPr>
        <w:endnoteReference w:id="40"/>
      </w:r>
      <w:r>
        <w:rPr>
          <w:i/>
          <w:noProof/>
        </w:rPr>
        <w:t xml:space="preserve">, et en bénéficier. Une économie sociale forte peut également contribuer à un espace civique dynamique en renforçant les capacités, la visibilité et la coopération transfrontière des organisations de la société civile. Conformément à la </w:t>
      </w:r>
      <w:r>
        <w:rPr>
          <w:b/>
          <w:i/>
          <w:noProof/>
        </w:rPr>
        <w:t>stratégie de l’Union pour la société civile</w:t>
      </w:r>
      <w:r>
        <w:rPr>
          <w:i/>
          <w:iCs/>
          <w:noProof/>
          <w:vertAlign w:val="superscript"/>
          <w:lang w:val="en-IE"/>
        </w:rPr>
        <w:endnoteReference w:id="41"/>
      </w:r>
      <w:r>
        <w:rPr>
          <w:i/>
          <w:noProof/>
        </w:rPr>
        <w:t>, la Commission prend des mesures pour créer des environnements plus favorables à ces organisations, dont beaucoup font partie de l’économie sociale, y compris des mesures visant à garantir une fiscalité équitable pour les organisations caritatives et à préserver l’accès aux services financiers.</w:t>
      </w:r>
    </w:p>
    <w:p w14:paraId="269947F7" w14:textId="1B3FA6D5" w:rsidR="00B57C54" w:rsidRPr="00AF2E01" w:rsidRDefault="2DC81F40" w:rsidP="0099276C">
      <w:pPr>
        <w:pStyle w:val="Heading1"/>
        <w:rPr>
          <w:noProof/>
        </w:rPr>
      </w:pPr>
      <w:r>
        <w:rPr>
          <w:noProof/>
        </w:rPr>
        <w:t>Conclusion: un programme renouvelé pour une économie sociale plus forte</w:t>
      </w:r>
    </w:p>
    <w:p w14:paraId="16E07B4D" w14:textId="787D8231" w:rsidR="00AB3510" w:rsidRPr="00AF2E01" w:rsidRDefault="00AB3510" w:rsidP="00AB3510">
      <w:pPr>
        <w:pStyle w:val="Text1"/>
        <w:ind w:left="0"/>
        <w:rPr>
          <w:noProof/>
        </w:rPr>
      </w:pPr>
      <w:r>
        <w:rPr>
          <w:noProof/>
        </w:rPr>
        <w:t>Depuis son adoption en 2021, le plan d’action pour l’économie sociale a insufflé un nouvel élan à l’économie sociale dans toute l’Europe. Ce plan a fourni un cadre européen cohérent, mobilisé un large éventail d’instruments et de programmes et renforcé la visibilité de l’économie sociale dans les programmes nationaux et européens. La mise en œuvre du plan d’action et de la recommandation du Conseil de 2023 relative à la mise en place des conditions-cadres de l’économie sociale a déjà permis de réaliser des progrès tangibles. Davantage d’États membres élaborent des stratégies, des cadres juridiques et des flux de financement. De nouvelles structures de soutien voient le jour et les pouvoirs publics, les acteurs financiers et les citoyens prennent de plus en plus conscience de l’économie sociale. Ces avancées démontrent la pertinence du plan d’action et confirment qu’une action ciblée de l’UE peut générer des avantages tangibles pour les organisations de l’économie sociale et les communautés qu’elles servent.</w:t>
      </w:r>
    </w:p>
    <w:p w14:paraId="0AE498F9" w14:textId="053744F7" w:rsidR="00D312E4" w:rsidRPr="00AF2E01" w:rsidRDefault="00D312E4" w:rsidP="00AB3510">
      <w:pPr>
        <w:pStyle w:val="Text1"/>
        <w:ind w:left="0"/>
        <w:rPr>
          <w:noProof/>
        </w:rPr>
      </w:pPr>
      <w:r>
        <w:rPr>
          <w:noProof/>
        </w:rPr>
        <w:t>Toutefois, des lacunes et des défis importants subsistent. L’économie sociale n’est toujours pas reconnue ou soutenue de manière cohérente dans l’ensemble des États membres et des régions. De nombreuses organisations sont toujours confrontées à une insécurité juridique et éprouvent des difficultés à accéder à la formation, aux marchés et aux financements. Le potentiel de l’économie sociale n’a pas encore été suffisamment intégré dans les politiques générales. Cela crée des conditions de concurrence inégales, qui sont exacerbées par son modèle économique distinct. Pour que l’économie sociale puisse prospérer dans l’ensemble des territoires et des secteurs, la prochaine phase de mise en œuvre du plan d’action doit viser en priorité à combler ces lacunes.</w:t>
      </w:r>
    </w:p>
    <w:p w14:paraId="7AA7E134" w14:textId="678E5FE6" w:rsidR="00620B56" w:rsidRPr="00AF2E01" w:rsidRDefault="00620B56" w:rsidP="00AB3510">
      <w:pPr>
        <w:pStyle w:val="Text1"/>
        <w:ind w:left="0"/>
        <w:rPr>
          <w:noProof/>
        </w:rPr>
      </w:pPr>
      <w:r>
        <w:rPr>
          <w:noProof/>
        </w:rPr>
        <w:t>La Commission s’efforcera d’intégrer davantage l’économie sociale dans les politiques et programmes de l’UE. À cette fin,</w:t>
      </w:r>
      <w:r>
        <w:rPr>
          <w:b/>
          <w:noProof/>
        </w:rPr>
        <w:t xml:space="preserve"> </w:t>
      </w:r>
      <w:r>
        <w:rPr>
          <w:noProof/>
        </w:rPr>
        <w:t xml:space="preserve">elle invite le Parlement européen, le Conseil, le Comité économique et social européen, le Comité européen des régions, le groupe Banque européenne d’investissement et d’autres agences et organes de l’UE à collaborer afin de maximiser le potentiel de ce programme. </w:t>
      </w:r>
    </w:p>
    <w:p w14:paraId="6CAFAF12" w14:textId="33DDE451" w:rsidR="005A5167" w:rsidRPr="008F05B4" w:rsidRDefault="00803682" w:rsidP="003572F4">
      <w:pPr>
        <w:pStyle w:val="Text1"/>
        <w:ind w:left="0"/>
        <w:rPr>
          <w:noProof/>
        </w:rPr>
      </w:pPr>
      <w:r>
        <w:rPr>
          <w:noProof/>
        </w:rPr>
        <w:t xml:space="preserve">Le suivi de la mise en œuvre est essentiel. C’est pourquoi </w:t>
      </w:r>
      <w:r>
        <w:rPr>
          <w:b/>
          <w:noProof/>
        </w:rPr>
        <w:t>la Commission maintiendra une approche coordonnée et intégrée dans la mise en œuvre et le suivi du plan d’action</w:t>
      </w:r>
      <w:r>
        <w:rPr>
          <w:noProof/>
        </w:rPr>
        <w:t>. Le portail de l’économie sociale de l’UE fournira régulièrement des informations actualisées sur le processus de mise en œuvre. En outre, conformément à la recommandation du Conseil de 2023, il est recommandé aux États membres de rendre compte à la Commission de leurs progrès en matière de soutien à l’économie sociale en 2027, puis en 2032. Le groupe d’experts sur l’économie sociale et les entreprises sociales restera une plateforme essentielle pour le dialogue, l’apprentissage par les pairs et la cocréation.</w:t>
      </w:r>
    </w:p>
    <w:p w14:paraId="06C9916F" w14:textId="11A88AAC" w:rsidR="00AA3FB9" w:rsidRPr="00AF2E01" w:rsidRDefault="00264AE8" w:rsidP="006F7438">
      <w:pPr>
        <w:pStyle w:val="Text1"/>
        <w:ind w:left="0"/>
        <w:rPr>
          <w:noProof/>
        </w:rPr>
      </w:pPr>
      <w:r>
        <w:rPr>
          <w:noProof/>
        </w:rPr>
        <w:t>En libérant pleinement le pouvoir de l’économie sociale, nous pouvons façonner une Europe qui place les communautés et la planète au cœur de ses préoccupations, ouvrant ainsi la voie à un avenir plus juste, plus durable et plus compétitif.</w:t>
      </w:r>
    </w:p>
    <w:sectPr w:rsidR="00AA3FB9" w:rsidRPr="00AF2E01" w:rsidSect="00462B34">
      <w:headerReference w:type="even" r:id="rId22"/>
      <w:headerReference w:type="default" r:id="rId23"/>
      <w:footerReference w:type="even" r:id="rId24"/>
      <w:footerReference w:type="default" r:id="rId25"/>
      <w:headerReference w:type="first" r:id="rId26"/>
      <w:footerReference w:type="first" r:id="rId27"/>
      <w:footnotePr>
        <w:pos w:val="beneathText"/>
      </w:footnotePr>
      <w:endnotePr>
        <w:numFmt w:val="decimal"/>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0AE5D" w14:textId="77777777" w:rsidR="00EB564C" w:rsidRDefault="00EB564C">
      <w:pPr>
        <w:spacing w:after="0"/>
      </w:pPr>
      <w:r>
        <w:separator/>
      </w:r>
    </w:p>
  </w:endnote>
  <w:endnote w:type="continuationSeparator" w:id="0">
    <w:p w14:paraId="391133A8" w14:textId="77777777" w:rsidR="00EB564C" w:rsidRDefault="00EB564C">
      <w:pPr>
        <w:spacing w:after="0"/>
      </w:pPr>
      <w:r>
        <w:continuationSeparator/>
      </w:r>
    </w:p>
  </w:endnote>
  <w:endnote w:type="continuationNotice" w:id="1">
    <w:p w14:paraId="28C2EFF0" w14:textId="77777777" w:rsidR="00EB564C" w:rsidRDefault="00EB564C">
      <w:pPr>
        <w:spacing w:after="0"/>
      </w:pPr>
    </w:p>
  </w:endnote>
  <w:endnote w:id="2">
    <w:p w14:paraId="2562A0CB" w14:textId="284A4217" w:rsidR="00690AAA" w:rsidRPr="00D55B22" w:rsidRDefault="00690AAA" w:rsidP="008E037B">
      <w:pPr>
        <w:pStyle w:val="EndnoteText"/>
        <w:ind w:left="720" w:hanging="720"/>
      </w:pPr>
      <w:r>
        <w:rPr>
          <w:rStyle w:val="EndnoteReference"/>
        </w:rPr>
        <w:endnoteRef/>
      </w:r>
      <w:r>
        <w:tab/>
      </w:r>
      <w:hyperlink r:id="rId1" w:history="1">
        <w:r>
          <w:rPr>
            <w:rStyle w:val="Hyperlink"/>
          </w:rPr>
          <w:t>«Benchmarking the socio-economic knowledge of the proximity and social economy ecosystem</w:t>
        </w:r>
      </w:hyperlink>
      <w:r>
        <w:t>» (Évaluation comparative des connaissances socio-économiques de l’écosystème de proximité et d’économie sociale), 2024.</w:t>
      </w:r>
    </w:p>
  </w:endnote>
  <w:endnote w:id="3">
    <w:p w14:paraId="53BF5088" w14:textId="151EBBDA" w:rsidR="00690AAA" w:rsidRPr="00B7222C" w:rsidRDefault="00690AAA" w:rsidP="00D55B22">
      <w:pPr>
        <w:pStyle w:val="EndnoteText"/>
      </w:pPr>
      <w:r>
        <w:rPr>
          <w:rStyle w:val="EndnoteReference"/>
        </w:rPr>
        <w:endnoteRef/>
      </w:r>
      <w:r>
        <w:tab/>
      </w:r>
      <w:hyperlink r:id="rId2" w:history="1">
        <w:r>
          <w:rPr>
            <w:rStyle w:val="Hyperlink"/>
          </w:rPr>
          <w:t>COM(2021) 778</w:t>
        </w:r>
      </w:hyperlink>
      <w:r>
        <w:t>.</w:t>
      </w:r>
    </w:p>
  </w:endnote>
  <w:endnote w:id="4">
    <w:p w14:paraId="6D814181" w14:textId="5463D63D" w:rsidR="00690AAA" w:rsidRPr="00B7222C" w:rsidDel="00CF0D87" w:rsidRDefault="00690AAA" w:rsidP="00D55B22">
      <w:pPr>
        <w:pStyle w:val="EndnoteText"/>
      </w:pPr>
      <w:r>
        <w:endnoteRef/>
      </w:r>
      <w:r>
        <w:tab/>
      </w:r>
      <w:hyperlink r:id="rId3" w:history="1">
        <w:r>
          <w:rPr>
            <w:rStyle w:val="Hyperlink"/>
          </w:rPr>
          <w:t>JO C 428 du 13.12.2017, p. 10</w:t>
        </w:r>
      </w:hyperlink>
      <w:r>
        <w:t>.</w:t>
      </w:r>
    </w:p>
  </w:endnote>
  <w:endnote w:id="5">
    <w:p w14:paraId="24255E8E" w14:textId="6F275E91" w:rsidR="00690AAA" w:rsidRDefault="00690AAA" w:rsidP="008E037B">
      <w:pPr>
        <w:pStyle w:val="EndnoteText"/>
        <w:ind w:left="720" w:hanging="720"/>
      </w:pPr>
      <w:r>
        <w:rPr>
          <w:rStyle w:val="EndnoteReference"/>
        </w:rPr>
        <w:endnoteRef/>
      </w:r>
      <w:r>
        <w:tab/>
        <w:t>«</w:t>
      </w:r>
      <w:hyperlink r:id="rId4" w:history="1">
        <w:r>
          <w:rPr>
            <w:rStyle w:val="Hyperlink"/>
          </w:rPr>
          <w:t>Social economy in the life of Europeans (L’économie sociale dans la vie des Européens) – rapport Eurobaromètre</w:t>
        </w:r>
      </w:hyperlink>
      <w:r>
        <w:t>», 2025.</w:t>
      </w:r>
    </w:p>
  </w:endnote>
  <w:endnote w:id="6">
    <w:p w14:paraId="48A93179" w14:textId="7A7CE5AC" w:rsidR="00690AAA" w:rsidRDefault="00690AAA" w:rsidP="008E037B">
      <w:pPr>
        <w:pStyle w:val="EndnoteText"/>
        <w:ind w:left="720" w:hanging="720"/>
      </w:pPr>
      <w:r>
        <w:rPr>
          <w:rStyle w:val="EndnoteReference"/>
        </w:rPr>
        <w:endnoteRef/>
      </w:r>
      <w:r>
        <w:tab/>
        <w:t>«</w:t>
      </w:r>
      <w:hyperlink r:id="rId5" w:history="1">
        <w:r>
          <w:rPr>
            <w:rStyle w:val="Hyperlink"/>
          </w:rPr>
          <w:t>Much more than a market:</w:t>
        </w:r>
      </w:hyperlink>
      <w:hyperlink r:id="rId6" w:history="1">
        <w:r>
          <w:rPr>
            <w:rStyle w:val="Hyperlink"/>
          </w:rPr>
          <w:t>Speed, security, solidarity–Empowering the Single Market to deliver a sustainable future and prosperity for all EU citizens</w:t>
        </w:r>
      </w:hyperlink>
      <w:r>
        <w:t>» (Bien plus qu’un marché: rapidité, sécurité, solidarité – Donner au marché unique les moyens d’apporter à tous les citoyens de l’UE un avenir durable et la prospérité), 2024.</w:t>
      </w:r>
    </w:p>
  </w:endnote>
  <w:endnote w:id="7">
    <w:p w14:paraId="03B3E7E5" w14:textId="17E3F82C" w:rsidR="00690AAA" w:rsidRPr="00CC537A" w:rsidRDefault="00690AAA" w:rsidP="002E5A2C">
      <w:pPr>
        <w:pStyle w:val="EndnoteText"/>
        <w:rPr>
          <w:lang w:val="en-IE"/>
        </w:rPr>
      </w:pPr>
      <w:r>
        <w:rPr>
          <w:rStyle w:val="EndnoteReference"/>
        </w:rPr>
        <w:endnoteRef/>
      </w:r>
      <w:r w:rsidRPr="00CC537A">
        <w:rPr>
          <w:lang w:val="en-IE"/>
        </w:rPr>
        <w:tab/>
      </w:r>
      <w:hyperlink r:id="rId7" w:history="1">
        <w:r w:rsidRPr="00CC537A">
          <w:rPr>
            <w:rStyle w:val="Hyperlink"/>
            <w:lang w:val="en-IE"/>
          </w:rPr>
          <w:t>JO C, C/2023/1344</w:t>
        </w:r>
      </w:hyperlink>
      <w:r w:rsidRPr="00CC537A">
        <w:rPr>
          <w:lang w:val="en-IE"/>
        </w:rPr>
        <w:t>.</w:t>
      </w:r>
    </w:p>
  </w:endnote>
  <w:endnote w:id="8">
    <w:p w14:paraId="27D3E1A8" w14:textId="32614D66" w:rsidR="00690AAA" w:rsidRPr="00CC537A" w:rsidRDefault="00690AAA" w:rsidP="002E5A2C">
      <w:pPr>
        <w:pStyle w:val="EndnoteText"/>
        <w:rPr>
          <w:lang w:val="en-IE"/>
        </w:rPr>
      </w:pPr>
      <w:bookmarkStart w:id="4" w:name="_Hlk222235386"/>
      <w:r>
        <w:rPr>
          <w:rStyle w:val="EndnoteReference"/>
        </w:rPr>
        <w:endnoteRef/>
      </w:r>
      <w:bookmarkEnd w:id="4"/>
      <w:r w:rsidRPr="00CC537A">
        <w:rPr>
          <w:lang w:val="en-IE"/>
        </w:rPr>
        <w:tab/>
      </w:r>
      <w:hyperlink r:id="rId8" w:history="1">
        <w:r w:rsidRPr="00CC537A">
          <w:rPr>
            <w:rStyle w:val="Hyperlink"/>
            <w:lang w:val="en-IE"/>
          </w:rPr>
          <w:t>SWD(2023) 211</w:t>
        </w:r>
      </w:hyperlink>
      <w:r w:rsidRPr="00CC537A">
        <w:rPr>
          <w:lang w:val="en-IE"/>
        </w:rPr>
        <w:t>.</w:t>
      </w:r>
    </w:p>
  </w:endnote>
  <w:endnote w:id="9">
    <w:p w14:paraId="0684BCFB" w14:textId="7797013F" w:rsidR="00690AAA" w:rsidRPr="00CC537A" w:rsidRDefault="00690AAA" w:rsidP="002E5A2C">
      <w:pPr>
        <w:pStyle w:val="EndnoteText"/>
        <w:rPr>
          <w:lang w:val="en-IE"/>
        </w:rPr>
      </w:pPr>
      <w:r>
        <w:rPr>
          <w:rStyle w:val="EndnoteReference"/>
        </w:rPr>
        <w:endnoteRef/>
      </w:r>
      <w:r w:rsidRPr="00CC537A">
        <w:rPr>
          <w:lang w:val="en-IE"/>
        </w:rPr>
        <w:tab/>
      </w:r>
      <w:hyperlink r:id="rId9" w:history="1">
        <w:r w:rsidRPr="00CC537A">
          <w:rPr>
            <w:rStyle w:val="Hyperlink"/>
            <w:lang w:val="en-IE"/>
          </w:rPr>
          <w:t>SWD(2023) 212</w:t>
        </w:r>
      </w:hyperlink>
      <w:r w:rsidRPr="00CC537A">
        <w:rPr>
          <w:lang w:val="en-IE"/>
        </w:rPr>
        <w:t>.</w:t>
      </w:r>
    </w:p>
  </w:endnote>
  <w:endnote w:id="10">
    <w:p w14:paraId="2D529F95" w14:textId="33821E99" w:rsidR="00690AAA" w:rsidRDefault="00690AAA" w:rsidP="008E037B">
      <w:pPr>
        <w:pStyle w:val="EndnoteText"/>
        <w:ind w:left="720" w:hanging="720"/>
      </w:pPr>
      <w:r>
        <w:rPr>
          <w:rStyle w:val="EndnoteReference"/>
        </w:rPr>
        <w:endnoteRef/>
      </w:r>
      <w:r>
        <w:tab/>
        <w:t>«</w:t>
      </w:r>
      <w:hyperlink r:id="rId10" w:history="1">
        <w:r>
          <w:rPr>
            <w:rStyle w:val="Hyperlink"/>
          </w:rPr>
          <w:t>Study on State aid for access to finance for social enterprises and for the recruitment of disadvantaged workers in the form of wage subsidies</w:t>
        </w:r>
      </w:hyperlink>
      <w:r>
        <w:t>» (Étude sur les aides d’État en faveur de l’accès au financement des entreprises sociales et de l’embauche de travailleurs défavorisés sous forme de subventions salariales), 2024.</w:t>
      </w:r>
    </w:p>
  </w:endnote>
  <w:endnote w:id="11">
    <w:p w14:paraId="55C0EC06" w14:textId="2E8F90C6" w:rsidR="00690AAA" w:rsidRPr="00B42AFF" w:rsidRDefault="00690AAA" w:rsidP="002E5A2C">
      <w:pPr>
        <w:pStyle w:val="EndnoteText"/>
      </w:pPr>
      <w:r>
        <w:rPr>
          <w:rStyle w:val="EndnoteReference"/>
        </w:rPr>
        <w:endnoteRef/>
      </w:r>
      <w:r>
        <w:tab/>
      </w:r>
      <w:hyperlink r:id="rId11" w:history="1">
        <w:r>
          <w:rPr>
            <w:rStyle w:val="Hyperlink"/>
          </w:rPr>
          <w:t>Règlement (UE) nº 651/2014 de la Commission</w:t>
        </w:r>
      </w:hyperlink>
      <w:r>
        <w:t>.</w:t>
      </w:r>
    </w:p>
  </w:endnote>
  <w:endnote w:id="12">
    <w:p w14:paraId="16A2B001" w14:textId="23729F3B" w:rsidR="00690AAA" w:rsidRPr="00B42AFF" w:rsidRDefault="00690AAA" w:rsidP="441DD09E">
      <w:pPr>
        <w:pStyle w:val="EndnoteText"/>
      </w:pPr>
      <w:r>
        <w:rPr>
          <w:rStyle w:val="EndnoteReference"/>
        </w:rPr>
        <w:endnoteRef/>
      </w:r>
      <w:r>
        <w:tab/>
      </w:r>
      <w:hyperlink r:id="rId12">
        <w:r>
          <w:rPr>
            <w:rStyle w:val="Hyperlink"/>
          </w:rPr>
          <w:t>Règlement (UE) 2023/2831 de la Commission</w:t>
        </w:r>
      </w:hyperlink>
      <w:r>
        <w:t>.</w:t>
      </w:r>
    </w:p>
  </w:endnote>
  <w:endnote w:id="13">
    <w:p w14:paraId="6EEBD2DA" w14:textId="5682E85A" w:rsidR="00690AAA" w:rsidRPr="00B42AFF" w:rsidRDefault="00690AAA" w:rsidP="441DD09E">
      <w:pPr>
        <w:pStyle w:val="EndnoteText"/>
      </w:pPr>
      <w:r>
        <w:rPr>
          <w:rStyle w:val="EndnoteReference"/>
        </w:rPr>
        <w:endnoteRef/>
      </w:r>
      <w:r>
        <w:tab/>
      </w:r>
      <w:hyperlink r:id="rId13">
        <w:r>
          <w:rPr>
            <w:rStyle w:val="Hyperlink"/>
          </w:rPr>
          <w:t>Règlement (UE) 2023/2832 de la Commission</w:t>
        </w:r>
      </w:hyperlink>
      <w:r>
        <w:t>.</w:t>
      </w:r>
    </w:p>
  </w:endnote>
  <w:endnote w:id="14">
    <w:p w14:paraId="652B744D" w14:textId="295C259F" w:rsidR="00690AAA" w:rsidRPr="00B42AFF" w:rsidRDefault="00690AAA" w:rsidP="002E5A2C">
      <w:pPr>
        <w:pStyle w:val="EndnoteText"/>
      </w:pPr>
      <w:r>
        <w:rPr>
          <w:rStyle w:val="EndnoteReference"/>
        </w:rPr>
        <w:endnoteRef/>
      </w:r>
      <w:r>
        <w:tab/>
      </w:r>
      <w:hyperlink r:id="rId14" w:history="1">
        <w:r>
          <w:rPr>
            <w:rStyle w:val="Hyperlink"/>
          </w:rPr>
          <w:t>Décision (UE) 2025/2630 de la Commission</w:t>
        </w:r>
      </w:hyperlink>
      <w:r>
        <w:rPr>
          <w:color w:val="000000"/>
        </w:rPr>
        <w:t>.</w:t>
      </w:r>
    </w:p>
  </w:endnote>
  <w:endnote w:id="15">
    <w:p w14:paraId="69554AD0" w14:textId="1570BF3E" w:rsidR="00690AAA" w:rsidDel="00B55E2A" w:rsidRDefault="00690AAA" w:rsidP="002E5A2C">
      <w:pPr>
        <w:pStyle w:val="EndnoteText"/>
      </w:pPr>
      <w:r>
        <w:rPr>
          <w:rStyle w:val="EndnoteReference"/>
        </w:rPr>
        <w:endnoteRef/>
      </w:r>
      <w:r>
        <w:tab/>
      </w:r>
      <w:hyperlink r:id="rId15" w:history="1">
        <w:r>
          <w:rPr>
            <w:rStyle w:val="Hyperlink"/>
          </w:rPr>
          <w:t>SWD(2025) 333</w:t>
        </w:r>
      </w:hyperlink>
      <w:r>
        <w:t>.</w:t>
      </w:r>
    </w:p>
  </w:endnote>
  <w:endnote w:id="16">
    <w:p w14:paraId="7EFB6F6D" w14:textId="25BE5B66" w:rsidR="00690AAA" w:rsidRPr="00B7222C" w:rsidRDefault="00690AAA">
      <w:pPr>
        <w:pStyle w:val="EndnoteText"/>
      </w:pPr>
      <w:r>
        <w:rPr>
          <w:rStyle w:val="EndnoteReference"/>
        </w:rPr>
        <w:endnoteRef/>
      </w:r>
      <w:r>
        <w:tab/>
        <w:t xml:space="preserve">Voir </w:t>
      </w:r>
      <w:hyperlink r:id="rId16" w:history="1">
        <w:r>
          <w:rPr>
            <w:rStyle w:val="Hyperlink"/>
          </w:rPr>
          <w:t>https://circular-cities-and-regions.ec.europa.eu/</w:t>
        </w:r>
      </w:hyperlink>
      <w:r>
        <w:t>.</w:t>
      </w:r>
    </w:p>
  </w:endnote>
  <w:endnote w:id="17">
    <w:p w14:paraId="0823EAC7" w14:textId="77777777" w:rsidR="00690AAA" w:rsidRDefault="00690AAA" w:rsidP="008E037B">
      <w:pPr>
        <w:pStyle w:val="EndnoteText"/>
        <w:ind w:left="720" w:hanging="720"/>
      </w:pPr>
      <w:r>
        <w:rPr>
          <w:vertAlign w:val="superscript"/>
        </w:rPr>
        <w:endnoteRef/>
      </w:r>
      <w:r>
        <w:tab/>
        <w:t>Ces montants sont approximatifs, étant donné qu’une ventilation précise des montants alloués et des investissements mobilisés sur la base des opérations InvestEU approuvées n’est pas possible dans tous les cas.</w:t>
      </w:r>
    </w:p>
  </w:endnote>
  <w:endnote w:id="18">
    <w:p w14:paraId="2DB2CADF" w14:textId="45587393" w:rsidR="00690AAA" w:rsidRPr="00690AAA" w:rsidRDefault="00690AAA">
      <w:pPr>
        <w:pStyle w:val="EndnoteText"/>
      </w:pPr>
      <w:r>
        <w:rPr>
          <w:rStyle w:val="EndnoteReference"/>
        </w:rPr>
        <w:endnoteRef/>
      </w:r>
      <w:r>
        <w:tab/>
        <w:t xml:space="preserve">L’ADIE, la principale association française de microcrédit, qui compte près de 100 000 clients actifs dont un tiers est bénéficiaire du RSA et un cinquième est sans diplôme, montre que 93 % des clients sont toujours actifs professionnellement deux à trois ans après avoir reçu un prêt et que 82 % des entreprises créées sont toujours en activité (2025, </w:t>
      </w:r>
      <w:hyperlink r:id="rId17" w:history="1">
        <w:r>
          <w:rPr>
            <w:rStyle w:val="Hyperlink"/>
          </w:rPr>
          <w:t>Étude Impact Adie ZRR</w:t>
        </w:r>
      </w:hyperlink>
      <w:r>
        <w:t>).</w:t>
      </w:r>
    </w:p>
  </w:endnote>
  <w:endnote w:id="19">
    <w:p w14:paraId="64F28645" w14:textId="045AA893" w:rsidR="00690AAA" w:rsidRPr="00A42610" w:rsidRDefault="00690AAA" w:rsidP="002E5A2C">
      <w:pPr>
        <w:pStyle w:val="EndnoteText"/>
      </w:pPr>
      <w:r>
        <w:rPr>
          <w:rStyle w:val="EndnoteReference"/>
        </w:rPr>
        <w:endnoteRef/>
      </w:r>
      <w:r>
        <w:tab/>
      </w:r>
      <w:hyperlink r:id="rId18" w:history="1">
        <w:r>
          <w:rPr>
            <w:rStyle w:val="Hyperlink"/>
          </w:rPr>
          <w:t>Règlement (UE) nº 2021/1057</w:t>
        </w:r>
      </w:hyperlink>
      <w:r>
        <w:t>.</w:t>
      </w:r>
    </w:p>
  </w:endnote>
  <w:endnote w:id="20">
    <w:p w14:paraId="4715E4D3" w14:textId="22410A85" w:rsidR="00690AAA" w:rsidRPr="00A42610" w:rsidRDefault="00690AAA" w:rsidP="002E5A2C">
      <w:pPr>
        <w:pStyle w:val="EndnoteText"/>
      </w:pPr>
      <w:r>
        <w:rPr>
          <w:rStyle w:val="EndnoteReference"/>
        </w:rPr>
        <w:endnoteRef/>
      </w:r>
      <w:r>
        <w:tab/>
      </w:r>
      <w:hyperlink r:id="rId19" w:history="1">
        <w:r>
          <w:rPr>
            <w:rStyle w:val="Hyperlink"/>
          </w:rPr>
          <w:t>Règlement (UE) nº 2021/1058</w:t>
        </w:r>
      </w:hyperlink>
      <w:r>
        <w:t>.</w:t>
      </w:r>
    </w:p>
  </w:endnote>
  <w:endnote w:id="21">
    <w:p w14:paraId="2DF851BD" w14:textId="59633F26" w:rsidR="00690AAA" w:rsidRPr="00A42610" w:rsidRDefault="00690AAA" w:rsidP="002E5A2C">
      <w:pPr>
        <w:pStyle w:val="EndnoteText"/>
      </w:pPr>
      <w:r>
        <w:rPr>
          <w:rStyle w:val="EndnoteReference"/>
        </w:rPr>
        <w:endnoteRef/>
      </w:r>
      <w:r>
        <w:tab/>
      </w:r>
      <w:hyperlink r:id="rId20" w:history="1">
        <w:r>
          <w:rPr>
            <w:rStyle w:val="Hyperlink"/>
          </w:rPr>
          <w:t>Règlement (UE) nº 2021/241</w:t>
        </w:r>
      </w:hyperlink>
      <w:r>
        <w:t>.</w:t>
      </w:r>
    </w:p>
  </w:endnote>
  <w:endnote w:id="22">
    <w:p w14:paraId="2A648665" w14:textId="09837CD0" w:rsidR="00690AAA" w:rsidRPr="00B7222C" w:rsidRDefault="00690AAA" w:rsidP="002E5A2C">
      <w:pPr>
        <w:pStyle w:val="EndnoteText"/>
      </w:pPr>
      <w:r>
        <w:rPr>
          <w:rStyle w:val="EndnoteReference"/>
        </w:rPr>
        <w:endnoteRef/>
      </w:r>
      <w:r>
        <w:tab/>
        <w:t xml:space="preserve">Voir </w:t>
      </w:r>
      <w:hyperlink r:id="rId21" w:history="1">
        <w:r>
          <w:rPr>
            <w:rStyle w:val="Hyperlink"/>
          </w:rPr>
          <w:t>https://socialinnovationplus.eu/</w:t>
        </w:r>
      </w:hyperlink>
      <w:r>
        <w:t>.</w:t>
      </w:r>
    </w:p>
  </w:endnote>
  <w:endnote w:id="23">
    <w:p w14:paraId="6D849626" w14:textId="77777777" w:rsidR="00690AAA" w:rsidRDefault="00690AAA" w:rsidP="002E5A2C">
      <w:pPr>
        <w:pStyle w:val="EndnoteText"/>
      </w:pPr>
      <w:r>
        <w:rPr>
          <w:rStyle w:val="EndnoteReference"/>
        </w:rPr>
        <w:endnoteRef/>
      </w:r>
      <w:r>
        <w:tab/>
        <w:t xml:space="preserve">Disponible à l’adresse </w:t>
      </w:r>
      <w:hyperlink r:id="rId22" w:history="1">
        <w:r>
          <w:rPr>
            <w:rStyle w:val="Hyperlink"/>
          </w:rPr>
          <w:t>https://link.europa.eu/jpJ6xv</w:t>
        </w:r>
      </w:hyperlink>
      <w:r>
        <w:t>.</w:t>
      </w:r>
    </w:p>
  </w:endnote>
  <w:endnote w:id="24">
    <w:p w14:paraId="12811842" w14:textId="54192975" w:rsidR="00690AAA" w:rsidRDefault="00690AAA" w:rsidP="008E037B">
      <w:pPr>
        <w:pStyle w:val="EndnoteText"/>
        <w:ind w:left="720" w:hanging="720"/>
      </w:pPr>
      <w:r>
        <w:rPr>
          <w:rStyle w:val="EndnoteReference"/>
        </w:rPr>
        <w:endnoteRef/>
      </w:r>
      <w:r>
        <w:tab/>
        <w:t>«</w:t>
      </w:r>
      <w:hyperlink r:id="rId23" w:history="1">
        <w:r>
          <w:rPr>
            <w:rStyle w:val="Hyperlink"/>
          </w:rPr>
          <w:t>Policy Guide on Social Impact Measurement for the Social and Solidarity Economy</w:t>
        </w:r>
      </w:hyperlink>
      <w:r>
        <w:t>» (Guide stratégique sur la mesure de l’impact social de l’économie sociale et solidaire), 2023.</w:t>
      </w:r>
    </w:p>
  </w:endnote>
  <w:endnote w:id="25">
    <w:p w14:paraId="7D8C578B" w14:textId="5F96E76E" w:rsidR="00690AAA" w:rsidRDefault="00690AAA" w:rsidP="008E037B">
      <w:pPr>
        <w:pStyle w:val="EndnoteText"/>
        <w:ind w:left="720" w:hanging="720"/>
      </w:pPr>
      <w:r>
        <w:rPr>
          <w:rStyle w:val="EndnoteReference"/>
        </w:rPr>
        <w:endnoteRef/>
      </w:r>
      <w:r>
        <w:tab/>
        <w:t>Impact Europe, «</w:t>
      </w:r>
      <w:hyperlink r:id="rId24" w:history="1">
        <w:r>
          <w:rPr>
            <w:rStyle w:val="Hyperlink"/>
          </w:rPr>
          <w:t>The Size of Impact:</w:t>
        </w:r>
      </w:hyperlink>
      <w:hyperlink r:id="rId25" w:history="1">
        <w:r>
          <w:rPr>
            <w:rStyle w:val="Hyperlink"/>
          </w:rPr>
          <w:t xml:space="preserve"> Main takeaways from the European impact investing market sizing exercise</w:t>
        </w:r>
      </w:hyperlink>
      <w:r>
        <w:t>» (La taille de l’impact: principaux enseignements tirés de l’étude d’évaluation de la taille du marché européen de l’investissement à impact social), 28 novembre 2024.</w:t>
      </w:r>
    </w:p>
  </w:endnote>
  <w:endnote w:id="26">
    <w:p w14:paraId="0C0758D9" w14:textId="260AFD7E" w:rsidR="00690AAA" w:rsidRDefault="00690AAA" w:rsidP="008E037B">
      <w:pPr>
        <w:pStyle w:val="EndnoteText"/>
        <w:ind w:left="720" w:hanging="720"/>
      </w:pPr>
      <w:r>
        <w:rPr>
          <w:rStyle w:val="EndnoteReference"/>
        </w:rPr>
        <w:endnoteRef/>
      </w:r>
      <w:r>
        <w:tab/>
        <w:t>Réseau européen de la microfinance et Centre européen de la microfinance, «</w:t>
      </w:r>
      <w:hyperlink r:id="rId26" w:history="1">
        <w:r>
          <w:rPr>
            <w:rStyle w:val="Hyperlink"/>
          </w:rPr>
          <w:t>Survey on Microfinance in Europe — 2025 edition</w:t>
        </w:r>
      </w:hyperlink>
      <w:r>
        <w:t>» (Étude sur la microfinance en Europe, édition de 2025), 2026.</w:t>
      </w:r>
    </w:p>
  </w:endnote>
  <w:endnote w:id="27">
    <w:p w14:paraId="10E83F4C" w14:textId="7C89F116" w:rsidR="00690AAA" w:rsidRDefault="00690AAA" w:rsidP="002E5A2C">
      <w:pPr>
        <w:pStyle w:val="EndnoteText"/>
      </w:pPr>
      <w:r>
        <w:rPr>
          <w:rStyle w:val="EndnoteReference"/>
        </w:rPr>
        <w:endnoteRef/>
      </w:r>
      <w:r>
        <w:tab/>
        <w:t xml:space="preserve">Disponible à l’adresse suivante: </w:t>
      </w:r>
      <w:hyperlink r:id="rId27" w:tgtFrame="_new" w:history="1">
        <w:r>
          <w:rPr>
            <w:rStyle w:val="Hyperlink"/>
          </w:rPr>
          <w:t>https://social-economy-gateway.ec.europa.eu/</w:t>
        </w:r>
      </w:hyperlink>
      <w:r>
        <w:t>.</w:t>
      </w:r>
    </w:p>
  </w:endnote>
  <w:endnote w:id="28">
    <w:p w14:paraId="38D0FE82" w14:textId="52F2C51D" w:rsidR="00690AAA" w:rsidRDefault="00690AAA" w:rsidP="002E5A2C">
      <w:pPr>
        <w:pStyle w:val="EndnoteText"/>
      </w:pPr>
      <w:r>
        <w:rPr>
          <w:vertAlign w:val="superscript"/>
        </w:rPr>
        <w:endnoteRef/>
      </w:r>
      <w:r>
        <w:tab/>
        <w:t>Données au 31 janvier 2026.</w:t>
      </w:r>
    </w:p>
  </w:endnote>
  <w:endnote w:id="29">
    <w:p w14:paraId="44C08809" w14:textId="06B35180" w:rsidR="00690AAA" w:rsidRDefault="00690AAA" w:rsidP="001143FB">
      <w:pPr>
        <w:pStyle w:val="EndnoteText"/>
        <w:ind w:left="720" w:hanging="720"/>
      </w:pPr>
      <w:r>
        <w:rPr>
          <w:vertAlign w:val="superscript"/>
        </w:rPr>
        <w:endnoteRef/>
      </w:r>
      <w:r>
        <w:t xml:space="preserve"> </w:t>
      </w:r>
      <w:r>
        <w:tab/>
        <w:t>«</w:t>
      </w:r>
      <w:hyperlink r:id="rId28" w:history="1">
        <w:r>
          <w:rPr>
            <w:rStyle w:val="Hyperlink"/>
          </w:rPr>
          <w:t>Benchmarking the socio-economic knowledge of the proximity and social economy ecosystem</w:t>
        </w:r>
      </w:hyperlink>
      <w:r>
        <w:t>» (Évaluation comparative des connaissances socio-économiques de l’écosystème de proximité et d’économie sociale), 2024.</w:t>
      </w:r>
    </w:p>
  </w:endnote>
  <w:endnote w:id="30">
    <w:p w14:paraId="292F8DB3" w14:textId="0B7537AC" w:rsidR="00690AAA" w:rsidRDefault="00690AAA" w:rsidP="008E037B">
      <w:pPr>
        <w:pStyle w:val="EndnoteText"/>
        <w:ind w:left="720" w:hanging="720"/>
      </w:pPr>
      <w:r>
        <w:rPr>
          <w:rStyle w:val="EndnoteReference"/>
        </w:rPr>
        <w:endnoteRef/>
      </w:r>
      <w:r>
        <w:tab/>
        <w:t>«</w:t>
      </w:r>
      <w:hyperlink r:id="rId29" w:history="1">
        <w:r>
          <w:rPr>
            <w:rStyle w:val="Hyperlink"/>
          </w:rPr>
          <w:t>Social economy in Europe – Contributing to competitiveness and prosperity</w:t>
        </w:r>
      </w:hyperlink>
      <w:r>
        <w:t>» (L’économie sociale en Europe — Contribuer à la compétitivité et à la prospérité), 2025.</w:t>
      </w:r>
    </w:p>
  </w:endnote>
  <w:endnote w:id="31">
    <w:p w14:paraId="7563F769" w14:textId="16E9FEDD" w:rsidR="00690AAA" w:rsidRPr="007076A5" w:rsidRDefault="00690AAA">
      <w:pPr>
        <w:pStyle w:val="EndnoteText"/>
      </w:pPr>
      <w:r>
        <w:rPr>
          <w:rStyle w:val="EndnoteReference"/>
        </w:rPr>
        <w:endnoteRef/>
      </w:r>
      <w:r>
        <w:t xml:space="preserve"> </w:t>
      </w:r>
      <w:r>
        <w:tab/>
      </w:r>
      <w:hyperlink r:id="rId30" w:history="1">
        <w:r>
          <w:rPr>
            <w:rStyle w:val="Hyperlink"/>
          </w:rPr>
          <w:t>COM(2021) 345</w:t>
        </w:r>
      </w:hyperlink>
      <w:r>
        <w:t>.</w:t>
      </w:r>
    </w:p>
  </w:endnote>
  <w:endnote w:id="32">
    <w:p w14:paraId="1891878E" w14:textId="756CED69" w:rsidR="00690AAA" w:rsidRPr="002A0B3B" w:rsidRDefault="00690AAA">
      <w:pPr>
        <w:pStyle w:val="EndnoteText"/>
      </w:pPr>
      <w:r>
        <w:rPr>
          <w:rStyle w:val="EndnoteReference"/>
        </w:rPr>
        <w:endnoteRef/>
      </w:r>
      <w:r>
        <w:t xml:space="preserve"> </w:t>
      </w:r>
      <w:r>
        <w:tab/>
      </w:r>
      <w:hyperlink r:id="rId31" w:history="1">
        <w:r>
          <w:rPr>
            <w:rStyle w:val="Hyperlink"/>
          </w:rPr>
          <w:t>COM(2025) 872</w:t>
        </w:r>
      </w:hyperlink>
      <w:r>
        <w:t>.</w:t>
      </w:r>
    </w:p>
  </w:endnote>
  <w:endnote w:id="33">
    <w:p w14:paraId="0907833F" w14:textId="4BEC0F43" w:rsidR="00690AAA" w:rsidRPr="00D06E9B" w:rsidRDefault="00690AAA" w:rsidP="001143FB">
      <w:pPr>
        <w:pStyle w:val="EndnoteText"/>
        <w:ind w:left="720" w:hanging="720"/>
      </w:pPr>
      <w:r>
        <w:rPr>
          <w:rStyle w:val="EndnoteReference"/>
        </w:rPr>
        <w:endnoteRef/>
      </w:r>
      <w:r>
        <w:t xml:space="preserve"> </w:t>
      </w:r>
      <w:r>
        <w:tab/>
      </w:r>
      <w:hyperlink r:id="rId32" w:history="1">
        <w:r>
          <w:rPr>
            <w:rStyle w:val="Hyperlink"/>
          </w:rPr>
          <w:t>JOIN(2025) 26</w:t>
        </w:r>
      </w:hyperlink>
      <w:r>
        <w:t>.</w:t>
      </w:r>
    </w:p>
  </w:endnote>
  <w:endnote w:id="34">
    <w:p w14:paraId="27FE2C16" w14:textId="6D0C199A" w:rsidR="00690AAA" w:rsidRPr="00B13526" w:rsidRDefault="00690AAA" w:rsidP="001143FB">
      <w:pPr>
        <w:pStyle w:val="EndnoteText"/>
        <w:ind w:left="720" w:hanging="720"/>
      </w:pPr>
      <w:r>
        <w:rPr>
          <w:rStyle w:val="EndnoteReference"/>
        </w:rPr>
        <w:endnoteRef/>
      </w:r>
      <w:r>
        <w:tab/>
        <w:t>La Commission a entamé la révision du règlement général d’exemption par catégorie et évaluera s’il y a lieu de le mettre à jour, et selon quelles modalités, y compris en ce qui concerne les règles relatives aux aides aux entreprises sociales, à la formation, à l’emploi et à l’embauche de travailleurs défavorisés.</w:t>
      </w:r>
    </w:p>
  </w:endnote>
  <w:endnote w:id="35">
    <w:p w14:paraId="49810DE1" w14:textId="07924874" w:rsidR="00690AAA" w:rsidRPr="00D30FD1" w:rsidRDefault="00690AAA" w:rsidP="001143FB">
      <w:pPr>
        <w:pStyle w:val="EndnoteText"/>
        <w:ind w:left="720" w:hanging="720"/>
      </w:pPr>
      <w:r>
        <w:rPr>
          <w:rStyle w:val="EndnoteReference"/>
        </w:rPr>
        <w:endnoteRef/>
      </w:r>
      <w:r>
        <w:tab/>
      </w:r>
      <w:hyperlink r:id="rId33" w:history="1">
        <w:r>
          <w:rPr>
            <w:rStyle w:val="Hyperlink"/>
          </w:rPr>
          <w:t>COM(2025) 378</w:t>
        </w:r>
      </w:hyperlink>
      <w:r>
        <w:t>.</w:t>
      </w:r>
    </w:p>
  </w:endnote>
  <w:endnote w:id="36">
    <w:p w14:paraId="5833018A" w14:textId="125FD014" w:rsidR="00690AAA" w:rsidRPr="008E037B" w:rsidRDefault="00690AAA" w:rsidP="001143FB">
      <w:pPr>
        <w:pStyle w:val="EndnoteText"/>
        <w:ind w:left="720" w:hanging="720"/>
      </w:pPr>
      <w:r>
        <w:endnoteRef/>
      </w:r>
      <w:r>
        <w:t xml:space="preserve"> </w:t>
      </w:r>
      <w:r>
        <w:tab/>
      </w:r>
      <w:hyperlink r:id="rId34" w:history="1">
        <w:r>
          <w:rPr>
            <w:rStyle w:val="Hyperlink"/>
          </w:rPr>
          <w:t>Règlement (UE) n° 345/2013</w:t>
        </w:r>
      </w:hyperlink>
      <w:r>
        <w:t>.</w:t>
      </w:r>
    </w:p>
  </w:endnote>
  <w:endnote w:id="37">
    <w:p w14:paraId="37CEE2E0" w14:textId="379D76FA" w:rsidR="00690AAA" w:rsidRPr="008E037B" w:rsidRDefault="00690AAA" w:rsidP="001143FB">
      <w:pPr>
        <w:pStyle w:val="EndnoteText"/>
        <w:ind w:left="720" w:hanging="720"/>
        <w:rPr>
          <w:szCs w:val="24"/>
        </w:rPr>
      </w:pPr>
      <w:r>
        <w:endnoteRef/>
      </w:r>
      <w:r>
        <w:t xml:space="preserve"> </w:t>
      </w:r>
      <w:r>
        <w:tab/>
      </w:r>
      <w:hyperlink r:id="rId35" w:history="1">
        <w:r>
          <w:rPr>
            <w:rStyle w:val="Hyperlink"/>
          </w:rPr>
          <w:t>Règlement (UE) n° 346/2013</w:t>
        </w:r>
      </w:hyperlink>
      <w:r>
        <w:t>.</w:t>
      </w:r>
    </w:p>
  </w:endnote>
  <w:endnote w:id="38">
    <w:p w14:paraId="19FEAF77" w14:textId="6B6D0D80" w:rsidR="00690AAA" w:rsidRPr="00B13526" w:rsidRDefault="00690AAA" w:rsidP="001143FB">
      <w:pPr>
        <w:pStyle w:val="EndnoteText"/>
        <w:ind w:left="720" w:hanging="720"/>
      </w:pPr>
      <w:r>
        <w:rPr>
          <w:rStyle w:val="EndnoteReference"/>
        </w:rPr>
        <w:endnoteRef/>
      </w:r>
      <w:r>
        <w:tab/>
      </w:r>
      <w:hyperlink r:id="rId36" w:history="1">
        <w:r>
          <w:rPr>
            <w:rStyle w:val="Hyperlink"/>
          </w:rPr>
          <w:t>COM(2025) 1025</w:t>
        </w:r>
      </w:hyperlink>
      <w:r>
        <w:t>.</w:t>
      </w:r>
    </w:p>
  </w:endnote>
  <w:endnote w:id="39">
    <w:p w14:paraId="4051C181" w14:textId="0D1B775B" w:rsidR="00690AAA" w:rsidRPr="000D45D2" w:rsidRDefault="00690AAA">
      <w:pPr>
        <w:pStyle w:val="EndnoteText"/>
      </w:pPr>
      <w:r>
        <w:rPr>
          <w:rStyle w:val="EndnoteReference"/>
        </w:rPr>
        <w:endnoteRef/>
      </w:r>
      <w:r>
        <w:tab/>
        <w:t xml:space="preserve">La dernière cartographie peut être consultée à l’adresse suivante: </w:t>
      </w:r>
      <w:hyperlink r:id="rId37" w:history="1">
        <w:r>
          <w:rPr>
            <w:rStyle w:val="Hyperlink"/>
          </w:rPr>
          <w:t>https://link.europa.eu/Wn7Nmq</w:t>
        </w:r>
      </w:hyperlink>
      <w:r>
        <w:t>.</w:t>
      </w:r>
    </w:p>
  </w:endnote>
  <w:endnote w:id="40">
    <w:p w14:paraId="3A12E4F7" w14:textId="006A92B5" w:rsidR="00690AAA" w:rsidRDefault="00690AAA" w:rsidP="008E037B">
      <w:pPr>
        <w:pStyle w:val="EndnoteText"/>
        <w:ind w:left="720" w:hanging="720"/>
      </w:pPr>
      <w:r>
        <w:rPr>
          <w:rStyle w:val="EndnoteReference"/>
        </w:rPr>
        <w:endnoteRef/>
      </w:r>
      <w:r>
        <w:tab/>
      </w:r>
      <w:hyperlink r:id="rId38" w:history="1">
        <w:r>
          <w:rPr>
            <w:rStyle w:val="Hyperlink"/>
          </w:rPr>
          <w:t>JOIN(2025) 791</w:t>
        </w:r>
      </w:hyperlink>
      <w:r>
        <w:t>.</w:t>
      </w:r>
    </w:p>
  </w:endnote>
  <w:endnote w:id="41">
    <w:p w14:paraId="01E6A609" w14:textId="36BDC75C" w:rsidR="00690AAA" w:rsidRDefault="00690AAA" w:rsidP="008E037B">
      <w:pPr>
        <w:pStyle w:val="EndnoteText"/>
        <w:ind w:left="720" w:hanging="720"/>
      </w:pPr>
      <w:r>
        <w:rPr>
          <w:rStyle w:val="EndnoteReference"/>
        </w:rPr>
        <w:endnoteRef/>
      </w:r>
      <w:r>
        <w:tab/>
      </w:r>
      <w:hyperlink r:id="rId39" w:history="1">
        <w:r>
          <w:rPr>
            <w:rStyle w:val="Hyperlink"/>
          </w:rPr>
          <w:t>COM(2025) 790</w:t>
        </w:r>
      </w:hyperlink>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A8E2F" w14:textId="31D8C1C0" w:rsidR="00ED4FDB" w:rsidRPr="00ED4FDB" w:rsidRDefault="00ED4FDB" w:rsidP="00ED4FDB">
    <w:pPr>
      <w:pStyle w:val="FooterCoverPage"/>
      <w:rPr>
        <w:rFonts w:ascii="Arial" w:hAnsi="Arial" w:cs="Arial"/>
        <w:b/>
        <w:sz w:val="48"/>
      </w:rPr>
    </w:pPr>
    <w:r w:rsidRPr="00ED4FDB">
      <w:rPr>
        <w:rFonts w:ascii="Arial" w:hAnsi="Arial" w:cs="Arial"/>
        <w:b/>
        <w:sz w:val="48"/>
      </w:rPr>
      <w:t>FR</w:t>
    </w:r>
    <w:r w:rsidRPr="00ED4FDB">
      <w:rPr>
        <w:rFonts w:ascii="Arial" w:hAnsi="Arial" w:cs="Arial"/>
        <w:b/>
        <w:sz w:val="48"/>
      </w:rPr>
      <w:tab/>
    </w:r>
    <w:r w:rsidRPr="00ED4FDB">
      <w:rPr>
        <w:rFonts w:ascii="Arial" w:hAnsi="Arial" w:cs="Arial"/>
        <w:b/>
        <w:sz w:val="48"/>
      </w:rPr>
      <w:tab/>
    </w:r>
    <w:r w:rsidRPr="00ED4FDB">
      <w:tab/>
    </w:r>
    <w:r w:rsidRPr="00ED4FD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B9A60" w14:textId="2F4DED8F" w:rsidR="00ED4FDB" w:rsidRPr="00ED4FDB" w:rsidRDefault="00ED4FDB" w:rsidP="00ED4FDB">
    <w:pPr>
      <w:pStyle w:val="FooterCoverPage"/>
      <w:rPr>
        <w:rFonts w:ascii="Arial" w:hAnsi="Arial" w:cs="Arial"/>
        <w:b/>
        <w:sz w:val="48"/>
      </w:rPr>
    </w:pPr>
    <w:r w:rsidRPr="00ED4FDB">
      <w:rPr>
        <w:rFonts w:ascii="Arial" w:hAnsi="Arial" w:cs="Arial"/>
        <w:b/>
        <w:sz w:val="48"/>
      </w:rPr>
      <w:t>FR</w:t>
    </w:r>
    <w:r w:rsidRPr="00ED4FDB">
      <w:rPr>
        <w:rFonts w:ascii="Arial" w:hAnsi="Arial" w:cs="Arial"/>
        <w:b/>
        <w:sz w:val="48"/>
      </w:rPr>
      <w:tab/>
    </w:r>
    <w:r w:rsidRPr="00ED4FDB">
      <w:rPr>
        <w:rFonts w:ascii="Arial" w:hAnsi="Arial" w:cs="Arial"/>
        <w:b/>
        <w:sz w:val="48"/>
      </w:rPr>
      <w:tab/>
    </w:r>
    <w:r w:rsidRPr="00ED4FDB">
      <w:tab/>
    </w:r>
    <w:r w:rsidRPr="00ED4FD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5BC5B" w14:textId="77777777" w:rsidR="00ED4FDB" w:rsidRPr="00ED4FDB" w:rsidRDefault="00ED4FDB" w:rsidP="00ED4F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32066" w14:textId="77777777" w:rsidR="000C61F9" w:rsidRDefault="000C61F9">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t>22</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0FF52" w14:textId="59EED75D" w:rsidR="000C61F9" w:rsidRDefault="000C61F9">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ED4FDB">
      <w:rPr>
        <w:noProof/>
      </w:rPr>
      <w:t>2</w:t>
    </w:r>
    <w:r>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902376"/>
      <w:docPartObj>
        <w:docPartGallery w:val="Page Numbers (Bottom of Page)"/>
        <w:docPartUnique/>
      </w:docPartObj>
    </w:sdtPr>
    <w:sdtEndPr>
      <w:rPr>
        <w:noProof/>
      </w:rPr>
    </w:sdtEndPr>
    <w:sdtContent>
      <w:p w14:paraId="65E877A8" w14:textId="3D52A623" w:rsidR="000C61F9" w:rsidRDefault="000C61F9">
        <w:pPr>
          <w:pStyle w:val="Footer"/>
          <w:jc w:val="center"/>
        </w:pPr>
        <w:r>
          <w:fldChar w:fldCharType="begin"/>
        </w:r>
        <w:r>
          <w:instrText xml:space="preserve"> PAGE   \* MERGEFORMAT </w:instrText>
        </w:r>
        <w:r>
          <w:fldChar w:fldCharType="separate"/>
        </w:r>
        <w:r w:rsidR="00ED4FDB">
          <w:rPr>
            <w:noProof/>
          </w:rPr>
          <w:t>1</w:t>
        </w:r>
        <w:r>
          <w:fldChar w:fldCharType="end"/>
        </w:r>
      </w:p>
    </w:sdtContent>
  </w:sdt>
  <w:p w14:paraId="22434791" w14:textId="77777777" w:rsidR="000C61F9" w:rsidRDefault="000C6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0FC38" w14:textId="77777777" w:rsidR="00EB564C" w:rsidRDefault="00EB564C">
      <w:pPr>
        <w:spacing w:after="0"/>
      </w:pPr>
      <w:r>
        <w:separator/>
      </w:r>
    </w:p>
  </w:footnote>
  <w:footnote w:type="continuationSeparator" w:id="0">
    <w:p w14:paraId="4B1E73AE" w14:textId="77777777" w:rsidR="00EB564C" w:rsidRDefault="00EB564C">
      <w:pPr>
        <w:spacing w:after="0"/>
      </w:pPr>
      <w:r>
        <w:continuationSeparator/>
      </w:r>
    </w:p>
  </w:footnote>
  <w:footnote w:type="continuationNotice" w:id="1">
    <w:p w14:paraId="036F3A0B" w14:textId="77777777" w:rsidR="00EB564C" w:rsidRDefault="00EB56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CD723" w14:textId="77777777" w:rsidR="00ED4FDB" w:rsidRPr="00ED4FDB" w:rsidRDefault="00ED4FDB" w:rsidP="00ED4FD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5B839" w14:textId="77777777" w:rsidR="00ED4FDB" w:rsidRPr="00ED4FDB" w:rsidRDefault="00ED4FDB" w:rsidP="00ED4F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BDC6E" w14:textId="77777777" w:rsidR="00ED4FDB" w:rsidRPr="00ED4FDB" w:rsidRDefault="00ED4FDB" w:rsidP="00ED4F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CD995" w14:textId="77777777" w:rsidR="000C61F9" w:rsidRDefault="000C61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6927" w14:textId="77777777" w:rsidR="000C61F9" w:rsidRDefault="000C61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EFE38" w14:textId="77777777" w:rsidR="000C61F9" w:rsidRDefault="000C61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05A96"/>
    <w:multiLevelType w:val="hybridMultilevel"/>
    <w:tmpl w:val="FF504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F0D6CEC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EB0FD7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680910"/>
    <w:multiLevelType w:val="hybridMultilevel"/>
    <w:tmpl w:val="74FA3C38"/>
    <w:lvl w:ilvl="0" w:tplc="F0847B74">
      <w:start w:val="7"/>
      <w:numFmt w:val="bullet"/>
      <w:lvlText w:val="-"/>
      <w:lvlJc w:val="left"/>
      <w:pPr>
        <w:ind w:left="720" w:hanging="360"/>
      </w:pPr>
      <w:rPr>
        <w:rFonts w:ascii="Times New Roman" w:eastAsia="Apto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7728AE9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7D6E733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B1CA79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50A4A9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A1C6C2B"/>
    <w:multiLevelType w:val="hybridMultilevel"/>
    <w:tmpl w:val="E03AA9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7B624F"/>
    <w:multiLevelType w:val="multilevel"/>
    <w:tmpl w:val="48B257C8"/>
    <w:name w:val="ListDash2Numbering"/>
    <w:lvl w:ilvl="0">
      <w:start w:val="1"/>
      <w:numFmt w:val="bullet"/>
      <w:pStyle w:val="ListDash2"/>
      <w:lvlText w:val="–"/>
      <w:lvlJc w:val="left"/>
      <w:pPr>
        <w:tabs>
          <w:tab w:val="num" w:pos="283"/>
        </w:tabs>
        <w:ind w:left="283" w:hanging="283"/>
      </w:pPr>
      <w:rPr>
        <w:rFonts w:ascii="Times New Roman" w:hAnsi="Times New Roman"/>
      </w:rPr>
    </w:lvl>
    <w:lvl w:ilvl="1">
      <w:start w:val="1"/>
      <w:numFmt w:val="bullet"/>
      <w:pStyle w:val="ListDash2Level2"/>
      <w:lvlText w:val="–"/>
      <w:lvlJc w:val="left"/>
      <w:pPr>
        <w:tabs>
          <w:tab w:val="num" w:pos="567"/>
        </w:tabs>
        <w:ind w:left="567" w:hanging="284"/>
      </w:pPr>
      <w:rPr>
        <w:rFonts w:ascii="Times New Roman" w:hAnsi="Times New Roman"/>
      </w:rPr>
    </w:lvl>
    <w:lvl w:ilvl="2">
      <w:start w:val="1"/>
      <w:numFmt w:val="bullet"/>
      <w:pStyle w:val="ListDash2Level3"/>
      <w:lvlText w:val="–"/>
      <w:lvlJc w:val="left"/>
      <w:pPr>
        <w:tabs>
          <w:tab w:val="num" w:pos="850"/>
        </w:tabs>
        <w:ind w:left="850" w:hanging="283"/>
      </w:pPr>
      <w:rPr>
        <w:rFonts w:ascii="Times New Roman" w:hAnsi="Times New Roman"/>
      </w:rPr>
    </w:lvl>
    <w:lvl w:ilvl="3">
      <w:start w:val="1"/>
      <w:numFmt w:val="bullet"/>
      <w:pStyle w:val="ListDash2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1851630"/>
    <w:multiLevelType w:val="hybridMultilevel"/>
    <w:tmpl w:val="B5A04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DFDF8"/>
    <w:multiLevelType w:val="multilevel"/>
    <w:tmpl w:val="767ACAB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CBD0A95"/>
    <w:multiLevelType w:val="hybridMultilevel"/>
    <w:tmpl w:val="3DBE2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D293CE3"/>
    <w:multiLevelType w:val="multilevel"/>
    <w:tmpl w:val="8D208BF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457E83E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59258C6"/>
    <w:multiLevelType w:val="hybridMultilevel"/>
    <w:tmpl w:val="980A3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324F1E"/>
    <w:multiLevelType w:val="multilevel"/>
    <w:tmpl w:val="0D6C47F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6EC2F39"/>
    <w:multiLevelType w:val="hybridMultilevel"/>
    <w:tmpl w:val="90D6C4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7CB1E1C"/>
    <w:multiLevelType w:val="multilevel"/>
    <w:tmpl w:val="24C86F2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FF3F88"/>
    <w:multiLevelType w:val="multilevel"/>
    <w:tmpl w:val="F68A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730C4"/>
    <w:multiLevelType w:val="multilevel"/>
    <w:tmpl w:val="7FD81F3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B920888"/>
    <w:multiLevelType w:val="hybridMultilevel"/>
    <w:tmpl w:val="0D1661A6"/>
    <w:lvl w:ilvl="0" w:tplc="04090001">
      <w:start w:val="1"/>
      <w:numFmt w:val="bullet"/>
      <w:lvlText w:val=""/>
      <w:lvlJc w:val="left"/>
      <w:pPr>
        <w:ind w:left="-102" w:hanging="360"/>
      </w:pPr>
      <w:rPr>
        <w:rFonts w:ascii="Symbol" w:hAnsi="Symbol" w:hint="default"/>
      </w:rPr>
    </w:lvl>
    <w:lvl w:ilvl="1" w:tplc="04090003">
      <w:start w:val="1"/>
      <w:numFmt w:val="bullet"/>
      <w:lvlText w:val="o"/>
      <w:lvlJc w:val="left"/>
      <w:pPr>
        <w:ind w:left="618" w:hanging="360"/>
      </w:pPr>
      <w:rPr>
        <w:rFonts w:ascii="Courier New" w:hAnsi="Courier New" w:cs="Courier New" w:hint="default"/>
      </w:rPr>
    </w:lvl>
    <w:lvl w:ilvl="2" w:tplc="04090005">
      <w:start w:val="1"/>
      <w:numFmt w:val="bullet"/>
      <w:lvlText w:val=""/>
      <w:lvlJc w:val="left"/>
      <w:pPr>
        <w:ind w:left="1338" w:hanging="360"/>
      </w:pPr>
      <w:rPr>
        <w:rFonts w:ascii="Wingdings" w:hAnsi="Wingdings" w:hint="default"/>
      </w:rPr>
    </w:lvl>
    <w:lvl w:ilvl="3" w:tplc="04090001">
      <w:start w:val="1"/>
      <w:numFmt w:val="bullet"/>
      <w:lvlText w:val=""/>
      <w:lvlJc w:val="left"/>
      <w:pPr>
        <w:ind w:left="2058" w:hanging="360"/>
      </w:pPr>
      <w:rPr>
        <w:rFonts w:ascii="Symbol" w:hAnsi="Symbol" w:hint="default"/>
      </w:rPr>
    </w:lvl>
    <w:lvl w:ilvl="4" w:tplc="04090003">
      <w:start w:val="1"/>
      <w:numFmt w:val="bullet"/>
      <w:lvlText w:val="o"/>
      <w:lvlJc w:val="left"/>
      <w:pPr>
        <w:ind w:left="2778" w:hanging="360"/>
      </w:pPr>
      <w:rPr>
        <w:rFonts w:ascii="Courier New" w:hAnsi="Courier New" w:cs="Courier New" w:hint="default"/>
      </w:rPr>
    </w:lvl>
    <w:lvl w:ilvl="5" w:tplc="04090005">
      <w:start w:val="1"/>
      <w:numFmt w:val="bullet"/>
      <w:lvlText w:val=""/>
      <w:lvlJc w:val="left"/>
      <w:pPr>
        <w:ind w:left="3498" w:hanging="360"/>
      </w:pPr>
      <w:rPr>
        <w:rFonts w:ascii="Wingdings" w:hAnsi="Wingdings" w:hint="default"/>
      </w:rPr>
    </w:lvl>
    <w:lvl w:ilvl="6" w:tplc="04090001">
      <w:start w:val="1"/>
      <w:numFmt w:val="bullet"/>
      <w:lvlText w:val=""/>
      <w:lvlJc w:val="left"/>
      <w:pPr>
        <w:ind w:left="4218" w:hanging="360"/>
      </w:pPr>
      <w:rPr>
        <w:rFonts w:ascii="Symbol" w:hAnsi="Symbol" w:hint="default"/>
      </w:rPr>
    </w:lvl>
    <w:lvl w:ilvl="7" w:tplc="04090003">
      <w:start w:val="1"/>
      <w:numFmt w:val="bullet"/>
      <w:lvlText w:val="o"/>
      <w:lvlJc w:val="left"/>
      <w:pPr>
        <w:ind w:left="4938" w:hanging="360"/>
      </w:pPr>
      <w:rPr>
        <w:rFonts w:ascii="Courier New" w:hAnsi="Courier New" w:cs="Courier New" w:hint="default"/>
      </w:rPr>
    </w:lvl>
    <w:lvl w:ilvl="8" w:tplc="04090005">
      <w:start w:val="1"/>
      <w:numFmt w:val="bullet"/>
      <w:lvlText w:val=""/>
      <w:lvlJc w:val="left"/>
      <w:pPr>
        <w:ind w:left="5658" w:hanging="360"/>
      </w:pPr>
      <w:rPr>
        <w:rFonts w:ascii="Wingdings" w:hAnsi="Wingdings" w:hint="default"/>
      </w:rPr>
    </w:lvl>
  </w:abstractNum>
  <w:abstractNum w:abstractNumId="22" w15:restartNumberingAfterBreak="0">
    <w:nsid w:val="3D57761B"/>
    <w:multiLevelType w:val="hybridMultilevel"/>
    <w:tmpl w:val="C51A2DAA"/>
    <w:lvl w:ilvl="0" w:tplc="CA7EDBA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9E662A"/>
    <w:multiLevelType w:val="multilevel"/>
    <w:tmpl w:val="B90EE1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4CB741F"/>
    <w:multiLevelType w:val="hybridMultilevel"/>
    <w:tmpl w:val="12965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6B61B2"/>
    <w:multiLevelType w:val="hybridMultilevel"/>
    <w:tmpl w:val="8F40F8DA"/>
    <w:lvl w:ilvl="0" w:tplc="18090001">
      <w:start w:val="1"/>
      <w:numFmt w:val="bullet"/>
      <w:lvlText w:val=""/>
      <w:lvlJc w:val="left"/>
      <w:pPr>
        <w:ind w:left="92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C3A06F4"/>
    <w:multiLevelType w:val="hybridMultilevel"/>
    <w:tmpl w:val="9A3EB1A8"/>
    <w:lvl w:ilvl="0" w:tplc="6A84A60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E1A982C"/>
    <w:multiLevelType w:val="multilevel"/>
    <w:tmpl w:val="18247A8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A4C2506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3AC3AB4"/>
    <w:multiLevelType w:val="hybridMultilevel"/>
    <w:tmpl w:val="8EE20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46C051A"/>
    <w:multiLevelType w:val="hybridMultilevel"/>
    <w:tmpl w:val="A910503E"/>
    <w:lvl w:ilvl="0" w:tplc="CE5401F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C6A1B9B"/>
    <w:multiLevelType w:val="hybridMultilevel"/>
    <w:tmpl w:val="A3B4D8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6711FD"/>
    <w:multiLevelType w:val="hybridMultilevel"/>
    <w:tmpl w:val="9508F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EBD8AF"/>
    <w:multiLevelType w:val="hybridMultilevel"/>
    <w:tmpl w:val="FFFFFFFF"/>
    <w:lvl w:ilvl="0" w:tplc="6798AB4E">
      <w:start w:val="2"/>
      <w:numFmt w:val="upperRoman"/>
      <w:lvlText w:val="%1."/>
      <w:lvlJc w:val="left"/>
      <w:pPr>
        <w:ind w:left="1080" w:hanging="720"/>
      </w:pPr>
      <w:rPr>
        <w:rFonts w:ascii="Times New Roman" w:hAnsi="Times New Roman" w:hint="default"/>
      </w:rPr>
    </w:lvl>
    <w:lvl w:ilvl="1" w:tplc="67640508">
      <w:start w:val="1"/>
      <w:numFmt w:val="lowerLetter"/>
      <w:lvlText w:val="%2."/>
      <w:lvlJc w:val="left"/>
      <w:pPr>
        <w:ind w:left="1440" w:hanging="360"/>
      </w:pPr>
    </w:lvl>
    <w:lvl w:ilvl="2" w:tplc="609812B6">
      <w:start w:val="1"/>
      <w:numFmt w:val="lowerRoman"/>
      <w:lvlText w:val="%3."/>
      <w:lvlJc w:val="right"/>
      <w:pPr>
        <w:ind w:left="2160" w:hanging="180"/>
      </w:pPr>
    </w:lvl>
    <w:lvl w:ilvl="3" w:tplc="172A28A6">
      <w:start w:val="1"/>
      <w:numFmt w:val="decimal"/>
      <w:lvlText w:val="%4."/>
      <w:lvlJc w:val="left"/>
      <w:pPr>
        <w:ind w:left="2880" w:hanging="360"/>
      </w:pPr>
    </w:lvl>
    <w:lvl w:ilvl="4" w:tplc="F1DAD908">
      <w:start w:val="1"/>
      <w:numFmt w:val="lowerLetter"/>
      <w:lvlText w:val="%5."/>
      <w:lvlJc w:val="left"/>
      <w:pPr>
        <w:ind w:left="3600" w:hanging="360"/>
      </w:pPr>
    </w:lvl>
    <w:lvl w:ilvl="5" w:tplc="AF9A3DB0">
      <w:start w:val="1"/>
      <w:numFmt w:val="lowerRoman"/>
      <w:lvlText w:val="%6."/>
      <w:lvlJc w:val="right"/>
      <w:pPr>
        <w:ind w:left="4320" w:hanging="180"/>
      </w:pPr>
    </w:lvl>
    <w:lvl w:ilvl="6" w:tplc="F60E251A">
      <w:start w:val="1"/>
      <w:numFmt w:val="decimal"/>
      <w:lvlText w:val="%7."/>
      <w:lvlJc w:val="left"/>
      <w:pPr>
        <w:ind w:left="5040" w:hanging="360"/>
      </w:pPr>
    </w:lvl>
    <w:lvl w:ilvl="7" w:tplc="CC50B8C2">
      <w:start w:val="1"/>
      <w:numFmt w:val="lowerLetter"/>
      <w:lvlText w:val="%8."/>
      <w:lvlJc w:val="left"/>
      <w:pPr>
        <w:ind w:left="5760" w:hanging="360"/>
      </w:pPr>
    </w:lvl>
    <w:lvl w:ilvl="8" w:tplc="A0345F72">
      <w:start w:val="1"/>
      <w:numFmt w:val="lowerRoman"/>
      <w:lvlText w:val="%9."/>
      <w:lvlJc w:val="right"/>
      <w:pPr>
        <w:ind w:left="6480" w:hanging="180"/>
      </w:pPr>
    </w:lvl>
  </w:abstractNum>
  <w:abstractNum w:abstractNumId="34" w15:restartNumberingAfterBreak="0">
    <w:nsid w:val="6977472E"/>
    <w:multiLevelType w:val="multilevel"/>
    <w:tmpl w:val="A808AD8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73457286"/>
    <w:multiLevelType w:val="hybridMultilevel"/>
    <w:tmpl w:val="06AE96B2"/>
    <w:lvl w:ilvl="0" w:tplc="0846ABB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72219F"/>
    <w:multiLevelType w:val="hybridMultilevel"/>
    <w:tmpl w:val="39B66774"/>
    <w:lvl w:ilvl="0" w:tplc="CA7EDBA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B5A9F3B"/>
    <w:multiLevelType w:val="multilevel"/>
    <w:tmpl w:val="FFFFFFFF"/>
    <w:lvl w:ilvl="0">
      <w:start w:val="1"/>
      <w:numFmt w:val="decimal"/>
      <w:lvlText w:val="%1."/>
      <w:lvlJc w:val="left"/>
      <w:pPr>
        <w:ind w:left="482"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65145E"/>
    <w:multiLevelType w:val="multilevel"/>
    <w:tmpl w:val="64C8D36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rPr>
        <w:b/>
        <w:bCs/>
        <w:sz w:val="24"/>
        <w:szCs w:val="20"/>
      </w:r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CE41621"/>
    <w:multiLevelType w:val="hybridMultilevel"/>
    <w:tmpl w:val="3A92855A"/>
    <w:lvl w:ilvl="0" w:tplc="49F01134">
      <w:start w:val="1"/>
      <w:numFmt w:val="bullet"/>
      <w:lvlText w:val="-"/>
      <w:lvlJc w:val="left"/>
      <w:pPr>
        <w:ind w:left="720" w:hanging="360"/>
      </w:pPr>
      <w:rPr>
        <w:rFonts w:ascii="Calibri" w:hAnsi="Calibri" w:hint="default"/>
      </w:rPr>
    </w:lvl>
    <w:lvl w:ilvl="1" w:tplc="66E4C29A">
      <w:start w:val="1"/>
      <w:numFmt w:val="bullet"/>
      <w:lvlText w:val="o"/>
      <w:lvlJc w:val="left"/>
      <w:pPr>
        <w:ind w:left="1440" w:hanging="360"/>
      </w:pPr>
      <w:rPr>
        <w:rFonts w:ascii="Courier New" w:hAnsi="Courier New" w:hint="default"/>
      </w:rPr>
    </w:lvl>
    <w:lvl w:ilvl="2" w:tplc="284A00F2">
      <w:start w:val="1"/>
      <w:numFmt w:val="bullet"/>
      <w:lvlText w:val=""/>
      <w:lvlJc w:val="left"/>
      <w:pPr>
        <w:ind w:left="2160" w:hanging="360"/>
      </w:pPr>
      <w:rPr>
        <w:rFonts w:ascii="Wingdings" w:hAnsi="Wingdings" w:hint="default"/>
      </w:rPr>
    </w:lvl>
    <w:lvl w:ilvl="3" w:tplc="83D60C34">
      <w:start w:val="1"/>
      <w:numFmt w:val="bullet"/>
      <w:lvlText w:val=""/>
      <w:lvlJc w:val="left"/>
      <w:pPr>
        <w:ind w:left="2880" w:hanging="360"/>
      </w:pPr>
      <w:rPr>
        <w:rFonts w:ascii="Symbol" w:hAnsi="Symbol" w:hint="default"/>
      </w:rPr>
    </w:lvl>
    <w:lvl w:ilvl="4" w:tplc="849A7890">
      <w:start w:val="1"/>
      <w:numFmt w:val="bullet"/>
      <w:lvlText w:val="o"/>
      <w:lvlJc w:val="left"/>
      <w:pPr>
        <w:ind w:left="3600" w:hanging="360"/>
      </w:pPr>
      <w:rPr>
        <w:rFonts w:ascii="Courier New" w:hAnsi="Courier New" w:hint="default"/>
      </w:rPr>
    </w:lvl>
    <w:lvl w:ilvl="5" w:tplc="9260F5BE">
      <w:start w:val="1"/>
      <w:numFmt w:val="bullet"/>
      <w:lvlText w:val=""/>
      <w:lvlJc w:val="left"/>
      <w:pPr>
        <w:ind w:left="4320" w:hanging="360"/>
      </w:pPr>
      <w:rPr>
        <w:rFonts w:ascii="Wingdings" w:hAnsi="Wingdings" w:hint="default"/>
      </w:rPr>
    </w:lvl>
    <w:lvl w:ilvl="6" w:tplc="35AA10A8">
      <w:start w:val="1"/>
      <w:numFmt w:val="bullet"/>
      <w:lvlText w:val=""/>
      <w:lvlJc w:val="left"/>
      <w:pPr>
        <w:ind w:left="5040" w:hanging="360"/>
      </w:pPr>
      <w:rPr>
        <w:rFonts w:ascii="Symbol" w:hAnsi="Symbol" w:hint="default"/>
      </w:rPr>
    </w:lvl>
    <w:lvl w:ilvl="7" w:tplc="39AABE3A">
      <w:start w:val="1"/>
      <w:numFmt w:val="bullet"/>
      <w:lvlText w:val="o"/>
      <w:lvlJc w:val="left"/>
      <w:pPr>
        <w:ind w:left="5760" w:hanging="360"/>
      </w:pPr>
      <w:rPr>
        <w:rFonts w:ascii="Courier New" w:hAnsi="Courier New" w:hint="default"/>
      </w:rPr>
    </w:lvl>
    <w:lvl w:ilvl="8" w:tplc="2A30E932">
      <w:start w:val="1"/>
      <w:numFmt w:val="bullet"/>
      <w:lvlText w:val=""/>
      <w:lvlJc w:val="left"/>
      <w:pPr>
        <w:ind w:left="6480" w:hanging="360"/>
      </w:pPr>
      <w:rPr>
        <w:rFonts w:ascii="Wingdings" w:hAnsi="Wingdings" w:hint="default"/>
      </w:rPr>
    </w:lvl>
  </w:abstractNum>
  <w:num w:numId="1">
    <w:abstractNumId w:val="40"/>
  </w:num>
  <w:num w:numId="2">
    <w:abstractNumId w:val="1"/>
  </w:num>
  <w:num w:numId="3">
    <w:abstractNumId w:val="16"/>
  </w:num>
  <w:num w:numId="4">
    <w:abstractNumId w:val="9"/>
  </w:num>
  <w:num w:numId="5">
    <w:abstractNumId w:val="18"/>
  </w:num>
  <w:num w:numId="6">
    <w:abstractNumId w:val="28"/>
  </w:num>
  <w:num w:numId="7">
    <w:abstractNumId w:val="34"/>
  </w:num>
  <w:num w:numId="8">
    <w:abstractNumId w:val="2"/>
  </w:num>
  <w:num w:numId="9">
    <w:abstractNumId w:val="7"/>
  </w:num>
  <w:num w:numId="10">
    <w:abstractNumId w:val="23"/>
  </w:num>
  <w:num w:numId="11">
    <w:abstractNumId w:val="4"/>
  </w:num>
  <w:num w:numId="12">
    <w:abstractNumId w:val="5"/>
  </w:num>
  <w:num w:numId="13">
    <w:abstractNumId w:val="6"/>
  </w:num>
  <w:num w:numId="14">
    <w:abstractNumId w:val="11"/>
  </w:num>
  <w:num w:numId="15">
    <w:abstractNumId w:val="20"/>
  </w:num>
  <w:num w:numId="16">
    <w:abstractNumId w:val="27"/>
  </w:num>
  <w:num w:numId="17">
    <w:abstractNumId w:val="38"/>
  </w:num>
  <w:num w:numId="18">
    <w:abstractNumId w:val="13"/>
  </w:num>
  <w:num w:numId="19">
    <w:abstractNumId w:val="14"/>
  </w:num>
  <w:num w:numId="20">
    <w:abstractNumId w:val="39"/>
  </w:num>
  <w:num w:numId="21">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2">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7">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26"/>
  </w:num>
  <w:num w:numId="39">
    <w:abstractNumId w:val="21"/>
  </w:num>
  <w:num w:numId="40">
    <w:abstractNumId w:val="30"/>
  </w:num>
  <w:num w:numId="41">
    <w:abstractNumId w:val="32"/>
  </w:num>
  <w:num w:numId="42">
    <w:abstractNumId w:val="15"/>
  </w:num>
  <w:num w:numId="43">
    <w:abstractNumId w:val="33"/>
  </w:num>
  <w:num w:numId="44">
    <w:abstractNumId w:val="3"/>
  </w:num>
  <w:num w:numId="45">
    <w:abstractNumId w:val="35"/>
  </w:num>
  <w:num w:numId="46">
    <w:abstractNumId w:val="37"/>
  </w:num>
  <w:num w:numId="47">
    <w:abstractNumId w:val="0"/>
  </w:num>
  <w:num w:numId="48">
    <w:abstractNumId w:val="25"/>
  </w:num>
  <w:num w:numId="49">
    <w:abstractNumId w:val="8"/>
  </w:num>
  <w:num w:numId="50">
    <w:abstractNumId w:val="17"/>
  </w:num>
  <w:num w:numId="51">
    <w:abstractNumId w:val="24"/>
  </w:num>
  <w:num w:numId="52">
    <w:abstractNumId w:val="10"/>
  </w:num>
  <w:num w:numId="53">
    <w:abstractNumId w:val="36"/>
  </w:num>
  <w:num w:numId="54">
    <w:abstractNumId w:val="29"/>
  </w:num>
  <w:num w:numId="55">
    <w:abstractNumId w:val="12"/>
  </w:num>
  <w:num w:numId="56">
    <w:abstractNumId w:val="31"/>
  </w:num>
  <w:num w:numId="57">
    <w:abstractNumId w:val="19"/>
  </w:num>
  <w:num w:numId="58">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239BE50-C777-4C05-BA29-9F8458CF5AFE"/>
    <w:docVar w:name="LW_COVERPAGE_TYPE" w:val="1"/>
    <w:docVar w:name="LW_CROSSREFERENCE" w:val="{SWD(2026) 94 final}"/>
    <w:docVar w:name="LW_DocType" w:val="2B5C3B4C1A9046549919923689B63A24"/>
    <w:docVar w:name="LW_EMISSION" w:val="30.3.2026"/>
    <w:docVar w:name="LW_EMISSION_ISODATE" w:val="2026-03-30"/>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xamen à mi-parcours du plan d\u8217?action pour l\u8217?économie sociale: principales réalisations et perpectives d'avenir"/>
    <w:docVar w:name="LW_TYPE.DOC.CP" w:val="RAPPORT DE LA COMMISSION AU PARLEMENT EUROPÉEN, AU CONSEIL, AU COMITÉ ÉCONOMIQUE ET SOCIAL EUROPÉEN ET AU COMITÉ DES RÉGIONS"/>
    <w:docVar w:name="LwApiVersions" w:val="LW4CoDe 1.24.5.0; LW 9.2, Build 20251112"/>
    <w:docVar w:name="Stamp" w:val="\\dossiers.dgt.cec.eu.int\dossiers\EMPL\EMPL-2025-01861\EMPL-2025-01861-00-00-EN-EDT-00.202601051136007881785.DOCX"/>
  </w:docVars>
  <w:rsids>
    <w:rsidRoot w:val="00375B0A"/>
    <w:rsid w:val="0000014A"/>
    <w:rsid w:val="0000019E"/>
    <w:rsid w:val="00000564"/>
    <w:rsid w:val="00000588"/>
    <w:rsid w:val="00000652"/>
    <w:rsid w:val="00000C2C"/>
    <w:rsid w:val="0000111E"/>
    <w:rsid w:val="00001504"/>
    <w:rsid w:val="0000164A"/>
    <w:rsid w:val="000019D7"/>
    <w:rsid w:val="00001B0C"/>
    <w:rsid w:val="00001FA7"/>
    <w:rsid w:val="00002727"/>
    <w:rsid w:val="00002A82"/>
    <w:rsid w:val="00002F4D"/>
    <w:rsid w:val="000032C8"/>
    <w:rsid w:val="000033D2"/>
    <w:rsid w:val="00003501"/>
    <w:rsid w:val="00003612"/>
    <w:rsid w:val="00003753"/>
    <w:rsid w:val="000039CB"/>
    <w:rsid w:val="00003A7D"/>
    <w:rsid w:val="00003B0C"/>
    <w:rsid w:val="00003BB8"/>
    <w:rsid w:val="00003C2A"/>
    <w:rsid w:val="00003DAA"/>
    <w:rsid w:val="00004061"/>
    <w:rsid w:val="0000406C"/>
    <w:rsid w:val="00004156"/>
    <w:rsid w:val="0000422C"/>
    <w:rsid w:val="00004857"/>
    <w:rsid w:val="00004C4C"/>
    <w:rsid w:val="00004D46"/>
    <w:rsid w:val="000050D5"/>
    <w:rsid w:val="000051EA"/>
    <w:rsid w:val="0000557B"/>
    <w:rsid w:val="0000576D"/>
    <w:rsid w:val="00006685"/>
    <w:rsid w:val="000066CE"/>
    <w:rsid w:val="00006ACA"/>
    <w:rsid w:val="00006D5E"/>
    <w:rsid w:val="00006F85"/>
    <w:rsid w:val="000071FE"/>
    <w:rsid w:val="0000733A"/>
    <w:rsid w:val="00007462"/>
    <w:rsid w:val="000076EC"/>
    <w:rsid w:val="000078C8"/>
    <w:rsid w:val="000078D4"/>
    <w:rsid w:val="00007D5C"/>
    <w:rsid w:val="00007DA3"/>
    <w:rsid w:val="00007E08"/>
    <w:rsid w:val="00007E9C"/>
    <w:rsid w:val="00007F32"/>
    <w:rsid w:val="000100F2"/>
    <w:rsid w:val="000100FA"/>
    <w:rsid w:val="00010285"/>
    <w:rsid w:val="000102BB"/>
    <w:rsid w:val="0001062A"/>
    <w:rsid w:val="00010783"/>
    <w:rsid w:val="000109E8"/>
    <w:rsid w:val="00010A93"/>
    <w:rsid w:val="00010BBF"/>
    <w:rsid w:val="00010E38"/>
    <w:rsid w:val="000114A0"/>
    <w:rsid w:val="00011728"/>
    <w:rsid w:val="00011773"/>
    <w:rsid w:val="00011BAE"/>
    <w:rsid w:val="000120F1"/>
    <w:rsid w:val="0001221E"/>
    <w:rsid w:val="00012477"/>
    <w:rsid w:val="0001257E"/>
    <w:rsid w:val="00012816"/>
    <w:rsid w:val="00012E5F"/>
    <w:rsid w:val="00013088"/>
    <w:rsid w:val="000131C5"/>
    <w:rsid w:val="0001385B"/>
    <w:rsid w:val="000140EB"/>
    <w:rsid w:val="000141E7"/>
    <w:rsid w:val="000145AA"/>
    <w:rsid w:val="00014AE5"/>
    <w:rsid w:val="00014BA1"/>
    <w:rsid w:val="00014C28"/>
    <w:rsid w:val="00014D4C"/>
    <w:rsid w:val="00015140"/>
    <w:rsid w:val="0001519F"/>
    <w:rsid w:val="000154E5"/>
    <w:rsid w:val="00015886"/>
    <w:rsid w:val="00015A02"/>
    <w:rsid w:val="00015BB9"/>
    <w:rsid w:val="00015E6B"/>
    <w:rsid w:val="00015E9E"/>
    <w:rsid w:val="00015F60"/>
    <w:rsid w:val="00016047"/>
    <w:rsid w:val="0001613D"/>
    <w:rsid w:val="00016292"/>
    <w:rsid w:val="00016577"/>
    <w:rsid w:val="000165F6"/>
    <w:rsid w:val="00016762"/>
    <w:rsid w:val="00016AC7"/>
    <w:rsid w:val="00016B95"/>
    <w:rsid w:val="00017291"/>
    <w:rsid w:val="0001758F"/>
    <w:rsid w:val="000176C1"/>
    <w:rsid w:val="000176E6"/>
    <w:rsid w:val="000178A1"/>
    <w:rsid w:val="000178C8"/>
    <w:rsid w:val="00017B8D"/>
    <w:rsid w:val="00017B93"/>
    <w:rsid w:val="00017BB9"/>
    <w:rsid w:val="00017D63"/>
    <w:rsid w:val="00017E5E"/>
    <w:rsid w:val="0002011F"/>
    <w:rsid w:val="0002040C"/>
    <w:rsid w:val="0002053E"/>
    <w:rsid w:val="00020561"/>
    <w:rsid w:val="000205E8"/>
    <w:rsid w:val="00020675"/>
    <w:rsid w:val="00020C80"/>
    <w:rsid w:val="00020D6B"/>
    <w:rsid w:val="00020FB9"/>
    <w:rsid w:val="00021262"/>
    <w:rsid w:val="000215CA"/>
    <w:rsid w:val="0002160C"/>
    <w:rsid w:val="00021D69"/>
    <w:rsid w:val="0002218B"/>
    <w:rsid w:val="0002227D"/>
    <w:rsid w:val="00022534"/>
    <w:rsid w:val="00022547"/>
    <w:rsid w:val="000226D6"/>
    <w:rsid w:val="00022748"/>
    <w:rsid w:val="00022BD9"/>
    <w:rsid w:val="00022D22"/>
    <w:rsid w:val="00022E02"/>
    <w:rsid w:val="00023185"/>
    <w:rsid w:val="000234F8"/>
    <w:rsid w:val="00023936"/>
    <w:rsid w:val="00023A30"/>
    <w:rsid w:val="00023BB7"/>
    <w:rsid w:val="0002438F"/>
    <w:rsid w:val="00024514"/>
    <w:rsid w:val="000245F2"/>
    <w:rsid w:val="00024620"/>
    <w:rsid w:val="00024770"/>
    <w:rsid w:val="000249FF"/>
    <w:rsid w:val="00024A63"/>
    <w:rsid w:val="00024DC0"/>
    <w:rsid w:val="00025020"/>
    <w:rsid w:val="000250F8"/>
    <w:rsid w:val="0002535A"/>
    <w:rsid w:val="0002544B"/>
    <w:rsid w:val="00025504"/>
    <w:rsid w:val="00025C66"/>
    <w:rsid w:val="00025F2F"/>
    <w:rsid w:val="00026322"/>
    <w:rsid w:val="0002643F"/>
    <w:rsid w:val="00026612"/>
    <w:rsid w:val="0002690A"/>
    <w:rsid w:val="00026F4D"/>
    <w:rsid w:val="0002707F"/>
    <w:rsid w:val="000272DA"/>
    <w:rsid w:val="000272E5"/>
    <w:rsid w:val="00027479"/>
    <w:rsid w:val="000274F2"/>
    <w:rsid w:val="00027555"/>
    <w:rsid w:val="0002778E"/>
    <w:rsid w:val="00027855"/>
    <w:rsid w:val="00027A75"/>
    <w:rsid w:val="00027DD7"/>
    <w:rsid w:val="00027F0C"/>
    <w:rsid w:val="00030129"/>
    <w:rsid w:val="000304B8"/>
    <w:rsid w:val="00030560"/>
    <w:rsid w:val="00030935"/>
    <w:rsid w:val="000315E3"/>
    <w:rsid w:val="0003185C"/>
    <w:rsid w:val="00031B99"/>
    <w:rsid w:val="00031E4F"/>
    <w:rsid w:val="00031FA4"/>
    <w:rsid w:val="00032006"/>
    <w:rsid w:val="000321D9"/>
    <w:rsid w:val="000323A9"/>
    <w:rsid w:val="000325F4"/>
    <w:rsid w:val="00032711"/>
    <w:rsid w:val="0003293B"/>
    <w:rsid w:val="00032E61"/>
    <w:rsid w:val="00033500"/>
    <w:rsid w:val="000338DB"/>
    <w:rsid w:val="00033A08"/>
    <w:rsid w:val="00033BDE"/>
    <w:rsid w:val="00033D87"/>
    <w:rsid w:val="00033D9F"/>
    <w:rsid w:val="00034015"/>
    <w:rsid w:val="0003412E"/>
    <w:rsid w:val="0003414A"/>
    <w:rsid w:val="00034DAF"/>
    <w:rsid w:val="00034F35"/>
    <w:rsid w:val="0003546A"/>
    <w:rsid w:val="00035A26"/>
    <w:rsid w:val="00035BF0"/>
    <w:rsid w:val="00035D8F"/>
    <w:rsid w:val="00035DFD"/>
    <w:rsid w:val="00036334"/>
    <w:rsid w:val="00036482"/>
    <w:rsid w:val="00036598"/>
    <w:rsid w:val="00036864"/>
    <w:rsid w:val="00036A3A"/>
    <w:rsid w:val="00036B52"/>
    <w:rsid w:val="00036B65"/>
    <w:rsid w:val="00036B8F"/>
    <w:rsid w:val="00036E88"/>
    <w:rsid w:val="00036F46"/>
    <w:rsid w:val="000370B4"/>
    <w:rsid w:val="0003713F"/>
    <w:rsid w:val="0003726B"/>
    <w:rsid w:val="00037270"/>
    <w:rsid w:val="000373C3"/>
    <w:rsid w:val="000374CF"/>
    <w:rsid w:val="00037C04"/>
    <w:rsid w:val="00037C27"/>
    <w:rsid w:val="00037DF3"/>
    <w:rsid w:val="00037E09"/>
    <w:rsid w:val="00037E18"/>
    <w:rsid w:val="0004004B"/>
    <w:rsid w:val="000403A7"/>
    <w:rsid w:val="000403C1"/>
    <w:rsid w:val="00040462"/>
    <w:rsid w:val="000409DD"/>
    <w:rsid w:val="000409F0"/>
    <w:rsid w:val="00040EEB"/>
    <w:rsid w:val="00040F0A"/>
    <w:rsid w:val="00041095"/>
    <w:rsid w:val="000410B6"/>
    <w:rsid w:val="0004110E"/>
    <w:rsid w:val="000412E4"/>
    <w:rsid w:val="0004148A"/>
    <w:rsid w:val="00041491"/>
    <w:rsid w:val="00041622"/>
    <w:rsid w:val="000417AF"/>
    <w:rsid w:val="000417B4"/>
    <w:rsid w:val="00041960"/>
    <w:rsid w:val="00041D36"/>
    <w:rsid w:val="00042085"/>
    <w:rsid w:val="000425EF"/>
    <w:rsid w:val="00042D0C"/>
    <w:rsid w:val="00042D46"/>
    <w:rsid w:val="000430E1"/>
    <w:rsid w:val="00043204"/>
    <w:rsid w:val="000434B5"/>
    <w:rsid w:val="0004376B"/>
    <w:rsid w:val="00043836"/>
    <w:rsid w:val="00043CA9"/>
    <w:rsid w:val="000442CC"/>
    <w:rsid w:val="000442CD"/>
    <w:rsid w:val="00044652"/>
    <w:rsid w:val="00044723"/>
    <w:rsid w:val="00044924"/>
    <w:rsid w:val="0004492B"/>
    <w:rsid w:val="00044AAC"/>
    <w:rsid w:val="000451C2"/>
    <w:rsid w:val="000456E7"/>
    <w:rsid w:val="000457A8"/>
    <w:rsid w:val="000457E9"/>
    <w:rsid w:val="0004589D"/>
    <w:rsid w:val="00045958"/>
    <w:rsid w:val="00045AC1"/>
    <w:rsid w:val="00045D0C"/>
    <w:rsid w:val="00046025"/>
    <w:rsid w:val="0004630A"/>
    <w:rsid w:val="000465AA"/>
    <w:rsid w:val="000465C6"/>
    <w:rsid w:val="000469E8"/>
    <w:rsid w:val="00046A20"/>
    <w:rsid w:val="00046A8C"/>
    <w:rsid w:val="00046B15"/>
    <w:rsid w:val="00046C60"/>
    <w:rsid w:val="00046D67"/>
    <w:rsid w:val="00046E1F"/>
    <w:rsid w:val="00046F47"/>
    <w:rsid w:val="0004715C"/>
    <w:rsid w:val="00047289"/>
    <w:rsid w:val="0004754D"/>
    <w:rsid w:val="000476E8"/>
    <w:rsid w:val="000477F8"/>
    <w:rsid w:val="00047930"/>
    <w:rsid w:val="0004798D"/>
    <w:rsid w:val="00047BD7"/>
    <w:rsid w:val="00047EC2"/>
    <w:rsid w:val="0005009E"/>
    <w:rsid w:val="0005032F"/>
    <w:rsid w:val="000506C0"/>
    <w:rsid w:val="000509AA"/>
    <w:rsid w:val="000509C9"/>
    <w:rsid w:val="00050AD1"/>
    <w:rsid w:val="00050BDB"/>
    <w:rsid w:val="0005115F"/>
    <w:rsid w:val="00051218"/>
    <w:rsid w:val="00051456"/>
    <w:rsid w:val="00051506"/>
    <w:rsid w:val="00051543"/>
    <w:rsid w:val="0005154E"/>
    <w:rsid w:val="000519A3"/>
    <w:rsid w:val="00051D09"/>
    <w:rsid w:val="00051DD3"/>
    <w:rsid w:val="00051DEC"/>
    <w:rsid w:val="00051E9F"/>
    <w:rsid w:val="00051FA5"/>
    <w:rsid w:val="000521DA"/>
    <w:rsid w:val="000522BB"/>
    <w:rsid w:val="00052318"/>
    <w:rsid w:val="00052568"/>
    <w:rsid w:val="000525EA"/>
    <w:rsid w:val="00052985"/>
    <w:rsid w:val="00052AE1"/>
    <w:rsid w:val="000531FD"/>
    <w:rsid w:val="00053462"/>
    <w:rsid w:val="0005361B"/>
    <w:rsid w:val="00053FF1"/>
    <w:rsid w:val="000540EC"/>
    <w:rsid w:val="00054474"/>
    <w:rsid w:val="0005475C"/>
    <w:rsid w:val="000547AF"/>
    <w:rsid w:val="00054912"/>
    <w:rsid w:val="00054E1F"/>
    <w:rsid w:val="000550BC"/>
    <w:rsid w:val="0005513E"/>
    <w:rsid w:val="00055188"/>
    <w:rsid w:val="000551AC"/>
    <w:rsid w:val="000554C4"/>
    <w:rsid w:val="000558B1"/>
    <w:rsid w:val="000558CB"/>
    <w:rsid w:val="00055A49"/>
    <w:rsid w:val="00055B48"/>
    <w:rsid w:val="00055E18"/>
    <w:rsid w:val="00055E5C"/>
    <w:rsid w:val="00056276"/>
    <w:rsid w:val="000562DD"/>
    <w:rsid w:val="00056547"/>
    <w:rsid w:val="0005669E"/>
    <w:rsid w:val="00056A4E"/>
    <w:rsid w:val="00056B5A"/>
    <w:rsid w:val="0005719D"/>
    <w:rsid w:val="0005733E"/>
    <w:rsid w:val="000575CC"/>
    <w:rsid w:val="0005768E"/>
    <w:rsid w:val="000576DF"/>
    <w:rsid w:val="0005774E"/>
    <w:rsid w:val="0006003F"/>
    <w:rsid w:val="00060065"/>
    <w:rsid w:val="0006012A"/>
    <w:rsid w:val="0006024C"/>
    <w:rsid w:val="000607E0"/>
    <w:rsid w:val="00060AF0"/>
    <w:rsid w:val="00060CCC"/>
    <w:rsid w:val="00060D2F"/>
    <w:rsid w:val="00060D4A"/>
    <w:rsid w:val="00061535"/>
    <w:rsid w:val="00061883"/>
    <w:rsid w:val="0006189A"/>
    <w:rsid w:val="0006192C"/>
    <w:rsid w:val="00061BB4"/>
    <w:rsid w:val="00061E35"/>
    <w:rsid w:val="00061F76"/>
    <w:rsid w:val="00061FA9"/>
    <w:rsid w:val="000621B0"/>
    <w:rsid w:val="000621B3"/>
    <w:rsid w:val="00062499"/>
    <w:rsid w:val="0006280A"/>
    <w:rsid w:val="00062940"/>
    <w:rsid w:val="000629A6"/>
    <w:rsid w:val="00062AC6"/>
    <w:rsid w:val="00062ADC"/>
    <w:rsid w:val="00062C12"/>
    <w:rsid w:val="00062FF6"/>
    <w:rsid w:val="000630DA"/>
    <w:rsid w:val="00063673"/>
    <w:rsid w:val="00063801"/>
    <w:rsid w:val="00063C28"/>
    <w:rsid w:val="00063C44"/>
    <w:rsid w:val="00064027"/>
    <w:rsid w:val="000642FA"/>
    <w:rsid w:val="00064363"/>
    <w:rsid w:val="00064404"/>
    <w:rsid w:val="000644B7"/>
    <w:rsid w:val="0006463C"/>
    <w:rsid w:val="000646D9"/>
    <w:rsid w:val="000647A3"/>
    <w:rsid w:val="0006498F"/>
    <w:rsid w:val="00064A0C"/>
    <w:rsid w:val="000650E4"/>
    <w:rsid w:val="000652C7"/>
    <w:rsid w:val="0006544E"/>
    <w:rsid w:val="00065641"/>
    <w:rsid w:val="0006590F"/>
    <w:rsid w:val="00065AD8"/>
    <w:rsid w:val="00065C56"/>
    <w:rsid w:val="00065F14"/>
    <w:rsid w:val="00065F26"/>
    <w:rsid w:val="000662B3"/>
    <w:rsid w:val="000665CA"/>
    <w:rsid w:val="00066FD2"/>
    <w:rsid w:val="00067123"/>
    <w:rsid w:val="00067317"/>
    <w:rsid w:val="00067B8E"/>
    <w:rsid w:val="00067D6D"/>
    <w:rsid w:val="00067DD3"/>
    <w:rsid w:val="000703DD"/>
    <w:rsid w:val="0007093C"/>
    <w:rsid w:val="000709B2"/>
    <w:rsid w:val="00070A4C"/>
    <w:rsid w:val="00070A65"/>
    <w:rsid w:val="00070FAB"/>
    <w:rsid w:val="00070FD9"/>
    <w:rsid w:val="00070FDA"/>
    <w:rsid w:val="000710A8"/>
    <w:rsid w:val="00071394"/>
    <w:rsid w:val="000717A3"/>
    <w:rsid w:val="0007181D"/>
    <w:rsid w:val="00071DCD"/>
    <w:rsid w:val="00071EF6"/>
    <w:rsid w:val="00071F1F"/>
    <w:rsid w:val="00071F6D"/>
    <w:rsid w:val="000721BA"/>
    <w:rsid w:val="000721FC"/>
    <w:rsid w:val="0007229B"/>
    <w:rsid w:val="00072AA6"/>
    <w:rsid w:val="000731D1"/>
    <w:rsid w:val="000735F1"/>
    <w:rsid w:val="00073783"/>
    <w:rsid w:val="000739B5"/>
    <w:rsid w:val="00073A36"/>
    <w:rsid w:val="00073A51"/>
    <w:rsid w:val="00073ADC"/>
    <w:rsid w:val="00073ECC"/>
    <w:rsid w:val="00073F85"/>
    <w:rsid w:val="00074024"/>
    <w:rsid w:val="0007407D"/>
    <w:rsid w:val="000744D2"/>
    <w:rsid w:val="00074644"/>
    <w:rsid w:val="00074654"/>
    <w:rsid w:val="00074B13"/>
    <w:rsid w:val="00074E0A"/>
    <w:rsid w:val="0007525F"/>
    <w:rsid w:val="00075848"/>
    <w:rsid w:val="00075C0C"/>
    <w:rsid w:val="00075D19"/>
    <w:rsid w:val="000766A2"/>
    <w:rsid w:val="00076741"/>
    <w:rsid w:val="000769B6"/>
    <w:rsid w:val="000769F5"/>
    <w:rsid w:val="00076C61"/>
    <w:rsid w:val="00076F35"/>
    <w:rsid w:val="00076FD8"/>
    <w:rsid w:val="00077265"/>
    <w:rsid w:val="0007767F"/>
    <w:rsid w:val="00077789"/>
    <w:rsid w:val="00077893"/>
    <w:rsid w:val="00077B90"/>
    <w:rsid w:val="00077F47"/>
    <w:rsid w:val="00077FEB"/>
    <w:rsid w:val="000802EB"/>
    <w:rsid w:val="00080624"/>
    <w:rsid w:val="000806A2"/>
    <w:rsid w:val="0008077D"/>
    <w:rsid w:val="00080EBD"/>
    <w:rsid w:val="000812C5"/>
    <w:rsid w:val="000812EA"/>
    <w:rsid w:val="000814F6"/>
    <w:rsid w:val="00081583"/>
    <w:rsid w:val="00081997"/>
    <w:rsid w:val="00081B7F"/>
    <w:rsid w:val="00081BDC"/>
    <w:rsid w:val="00081F96"/>
    <w:rsid w:val="00081FBE"/>
    <w:rsid w:val="0008205F"/>
    <w:rsid w:val="00082449"/>
    <w:rsid w:val="00082533"/>
    <w:rsid w:val="00082592"/>
    <w:rsid w:val="000826E9"/>
    <w:rsid w:val="0008299E"/>
    <w:rsid w:val="00082E42"/>
    <w:rsid w:val="00082EC7"/>
    <w:rsid w:val="00082F0B"/>
    <w:rsid w:val="00082FF4"/>
    <w:rsid w:val="00083074"/>
    <w:rsid w:val="00083077"/>
    <w:rsid w:val="00083546"/>
    <w:rsid w:val="00083872"/>
    <w:rsid w:val="00083FCF"/>
    <w:rsid w:val="00084090"/>
    <w:rsid w:val="000840C1"/>
    <w:rsid w:val="000846ED"/>
    <w:rsid w:val="000848C1"/>
    <w:rsid w:val="00084903"/>
    <w:rsid w:val="00084979"/>
    <w:rsid w:val="00084A26"/>
    <w:rsid w:val="00084C60"/>
    <w:rsid w:val="0008506A"/>
    <w:rsid w:val="0008507B"/>
    <w:rsid w:val="000856C5"/>
    <w:rsid w:val="0008579A"/>
    <w:rsid w:val="00085B28"/>
    <w:rsid w:val="00085BC5"/>
    <w:rsid w:val="00085D69"/>
    <w:rsid w:val="00085DA8"/>
    <w:rsid w:val="000861A1"/>
    <w:rsid w:val="00086899"/>
    <w:rsid w:val="0008692D"/>
    <w:rsid w:val="00086AC2"/>
    <w:rsid w:val="00086CCC"/>
    <w:rsid w:val="00087045"/>
    <w:rsid w:val="00087B7A"/>
    <w:rsid w:val="00087D46"/>
    <w:rsid w:val="00087E58"/>
    <w:rsid w:val="00090145"/>
    <w:rsid w:val="000903F6"/>
    <w:rsid w:val="00090412"/>
    <w:rsid w:val="0009081E"/>
    <w:rsid w:val="000908A3"/>
    <w:rsid w:val="00090A8A"/>
    <w:rsid w:val="00090BC0"/>
    <w:rsid w:val="00090C9E"/>
    <w:rsid w:val="00090F20"/>
    <w:rsid w:val="000919BF"/>
    <w:rsid w:val="00091B86"/>
    <w:rsid w:val="00091D1E"/>
    <w:rsid w:val="00091EA1"/>
    <w:rsid w:val="00092099"/>
    <w:rsid w:val="0009239F"/>
    <w:rsid w:val="000924B1"/>
    <w:rsid w:val="0009252A"/>
    <w:rsid w:val="0009275A"/>
    <w:rsid w:val="00092760"/>
    <w:rsid w:val="00092E62"/>
    <w:rsid w:val="00092FD2"/>
    <w:rsid w:val="000931BE"/>
    <w:rsid w:val="00093244"/>
    <w:rsid w:val="000934C5"/>
    <w:rsid w:val="0009356A"/>
    <w:rsid w:val="00093992"/>
    <w:rsid w:val="000939A1"/>
    <w:rsid w:val="00093A97"/>
    <w:rsid w:val="00093E19"/>
    <w:rsid w:val="00093EE1"/>
    <w:rsid w:val="0009413B"/>
    <w:rsid w:val="000949AC"/>
    <w:rsid w:val="00094C3D"/>
    <w:rsid w:val="00094DBC"/>
    <w:rsid w:val="00094E54"/>
    <w:rsid w:val="00094E5E"/>
    <w:rsid w:val="00094FE2"/>
    <w:rsid w:val="0009521A"/>
    <w:rsid w:val="00095270"/>
    <w:rsid w:val="000952DA"/>
    <w:rsid w:val="00095625"/>
    <w:rsid w:val="000956EB"/>
    <w:rsid w:val="00095BF7"/>
    <w:rsid w:val="00095C5A"/>
    <w:rsid w:val="00095D25"/>
    <w:rsid w:val="00096475"/>
    <w:rsid w:val="00096C18"/>
    <w:rsid w:val="00096E4E"/>
    <w:rsid w:val="00096E60"/>
    <w:rsid w:val="00096F68"/>
    <w:rsid w:val="00097125"/>
    <w:rsid w:val="000972DD"/>
    <w:rsid w:val="00097477"/>
    <w:rsid w:val="0009754D"/>
    <w:rsid w:val="000976A0"/>
    <w:rsid w:val="000976DC"/>
    <w:rsid w:val="0009778F"/>
    <w:rsid w:val="00097A40"/>
    <w:rsid w:val="00097C44"/>
    <w:rsid w:val="00097D14"/>
    <w:rsid w:val="00097D28"/>
    <w:rsid w:val="00097D90"/>
    <w:rsid w:val="000A0032"/>
    <w:rsid w:val="000A016C"/>
    <w:rsid w:val="000A024A"/>
    <w:rsid w:val="000A03E9"/>
    <w:rsid w:val="000A046F"/>
    <w:rsid w:val="000A04A3"/>
    <w:rsid w:val="000A05DE"/>
    <w:rsid w:val="000A06B6"/>
    <w:rsid w:val="000A06E3"/>
    <w:rsid w:val="000A074D"/>
    <w:rsid w:val="000A0A61"/>
    <w:rsid w:val="000A0AB5"/>
    <w:rsid w:val="000A0BB6"/>
    <w:rsid w:val="000A101D"/>
    <w:rsid w:val="000A10CB"/>
    <w:rsid w:val="000A15D0"/>
    <w:rsid w:val="000A1631"/>
    <w:rsid w:val="000A1A18"/>
    <w:rsid w:val="000A1A55"/>
    <w:rsid w:val="000A1B83"/>
    <w:rsid w:val="000A1DDF"/>
    <w:rsid w:val="000A1E7B"/>
    <w:rsid w:val="000A22DC"/>
    <w:rsid w:val="000A25E9"/>
    <w:rsid w:val="000A285A"/>
    <w:rsid w:val="000A2880"/>
    <w:rsid w:val="000A29FB"/>
    <w:rsid w:val="000A2B96"/>
    <w:rsid w:val="000A2BD1"/>
    <w:rsid w:val="000A2D61"/>
    <w:rsid w:val="000A305F"/>
    <w:rsid w:val="000A3089"/>
    <w:rsid w:val="000A3270"/>
    <w:rsid w:val="000A32D0"/>
    <w:rsid w:val="000A3338"/>
    <w:rsid w:val="000A349A"/>
    <w:rsid w:val="000A3789"/>
    <w:rsid w:val="000A397C"/>
    <w:rsid w:val="000A3A27"/>
    <w:rsid w:val="000A3B39"/>
    <w:rsid w:val="000A3E4A"/>
    <w:rsid w:val="000A4028"/>
    <w:rsid w:val="000A409E"/>
    <w:rsid w:val="000A4144"/>
    <w:rsid w:val="000A4329"/>
    <w:rsid w:val="000A4690"/>
    <w:rsid w:val="000A46F2"/>
    <w:rsid w:val="000A48C9"/>
    <w:rsid w:val="000A49C8"/>
    <w:rsid w:val="000A4B88"/>
    <w:rsid w:val="000A4DB8"/>
    <w:rsid w:val="000A52F9"/>
    <w:rsid w:val="000A56F0"/>
    <w:rsid w:val="000A579C"/>
    <w:rsid w:val="000A5B48"/>
    <w:rsid w:val="000A653A"/>
    <w:rsid w:val="000A6628"/>
    <w:rsid w:val="000A6658"/>
    <w:rsid w:val="000A7492"/>
    <w:rsid w:val="000A7AB7"/>
    <w:rsid w:val="000A7ACD"/>
    <w:rsid w:val="000A7C37"/>
    <w:rsid w:val="000A7E16"/>
    <w:rsid w:val="000A7ED9"/>
    <w:rsid w:val="000B02D5"/>
    <w:rsid w:val="000B0385"/>
    <w:rsid w:val="000B041C"/>
    <w:rsid w:val="000B0498"/>
    <w:rsid w:val="000B04E9"/>
    <w:rsid w:val="000B0642"/>
    <w:rsid w:val="000B0E11"/>
    <w:rsid w:val="000B1068"/>
    <w:rsid w:val="000B14D7"/>
    <w:rsid w:val="000B154F"/>
    <w:rsid w:val="000B1559"/>
    <w:rsid w:val="000B1690"/>
    <w:rsid w:val="000B1731"/>
    <w:rsid w:val="000B175D"/>
    <w:rsid w:val="000B1859"/>
    <w:rsid w:val="000B1A51"/>
    <w:rsid w:val="000B1A5A"/>
    <w:rsid w:val="000B1AB2"/>
    <w:rsid w:val="000B1D3C"/>
    <w:rsid w:val="000B2344"/>
    <w:rsid w:val="000B2662"/>
    <w:rsid w:val="000B26D7"/>
    <w:rsid w:val="000B26E5"/>
    <w:rsid w:val="000B29B9"/>
    <w:rsid w:val="000B2F2D"/>
    <w:rsid w:val="000B2FBC"/>
    <w:rsid w:val="000B2FF7"/>
    <w:rsid w:val="000B3041"/>
    <w:rsid w:val="000B3286"/>
    <w:rsid w:val="000B34EA"/>
    <w:rsid w:val="000B3519"/>
    <w:rsid w:val="000B3622"/>
    <w:rsid w:val="000B3878"/>
    <w:rsid w:val="000B3A53"/>
    <w:rsid w:val="000B3A9D"/>
    <w:rsid w:val="000B3AAC"/>
    <w:rsid w:val="000B3C71"/>
    <w:rsid w:val="000B3C73"/>
    <w:rsid w:val="000B3D84"/>
    <w:rsid w:val="000B3E0E"/>
    <w:rsid w:val="000B4004"/>
    <w:rsid w:val="000B41E8"/>
    <w:rsid w:val="000B4248"/>
    <w:rsid w:val="000B42B3"/>
    <w:rsid w:val="000B42F6"/>
    <w:rsid w:val="000B43EC"/>
    <w:rsid w:val="000B5093"/>
    <w:rsid w:val="000B53E7"/>
    <w:rsid w:val="000B57EF"/>
    <w:rsid w:val="000B5C5E"/>
    <w:rsid w:val="000B5C96"/>
    <w:rsid w:val="000B5E92"/>
    <w:rsid w:val="000B6081"/>
    <w:rsid w:val="000B61B0"/>
    <w:rsid w:val="000B62BE"/>
    <w:rsid w:val="000B647E"/>
    <w:rsid w:val="000B64E9"/>
    <w:rsid w:val="000B6AD5"/>
    <w:rsid w:val="000B6E80"/>
    <w:rsid w:val="000B71FF"/>
    <w:rsid w:val="000B732A"/>
    <w:rsid w:val="000B7710"/>
    <w:rsid w:val="000B7BCE"/>
    <w:rsid w:val="000B7D70"/>
    <w:rsid w:val="000B7E26"/>
    <w:rsid w:val="000C0032"/>
    <w:rsid w:val="000C005A"/>
    <w:rsid w:val="000C0753"/>
    <w:rsid w:val="000C080E"/>
    <w:rsid w:val="000C0860"/>
    <w:rsid w:val="000C08C5"/>
    <w:rsid w:val="000C0964"/>
    <w:rsid w:val="000C0DDC"/>
    <w:rsid w:val="000C0FAF"/>
    <w:rsid w:val="000C101E"/>
    <w:rsid w:val="000C1512"/>
    <w:rsid w:val="000C1514"/>
    <w:rsid w:val="000C153F"/>
    <w:rsid w:val="000C1972"/>
    <w:rsid w:val="000C1F75"/>
    <w:rsid w:val="000C22D7"/>
    <w:rsid w:val="000C2B49"/>
    <w:rsid w:val="000C2C4D"/>
    <w:rsid w:val="000C2CB5"/>
    <w:rsid w:val="000C2EB6"/>
    <w:rsid w:val="000C2EDB"/>
    <w:rsid w:val="000C3242"/>
    <w:rsid w:val="000C331B"/>
    <w:rsid w:val="000C3E54"/>
    <w:rsid w:val="000C3F62"/>
    <w:rsid w:val="000C3FDB"/>
    <w:rsid w:val="000C3FDE"/>
    <w:rsid w:val="000C408E"/>
    <w:rsid w:val="000C421B"/>
    <w:rsid w:val="000C4544"/>
    <w:rsid w:val="000C45DF"/>
    <w:rsid w:val="000C47F1"/>
    <w:rsid w:val="000C4E40"/>
    <w:rsid w:val="000C4FFD"/>
    <w:rsid w:val="000C51C3"/>
    <w:rsid w:val="000C534D"/>
    <w:rsid w:val="000C5564"/>
    <w:rsid w:val="000C5DE5"/>
    <w:rsid w:val="000C61F9"/>
    <w:rsid w:val="000C633A"/>
    <w:rsid w:val="000C6381"/>
    <w:rsid w:val="000C6459"/>
    <w:rsid w:val="000C64CB"/>
    <w:rsid w:val="000C6745"/>
    <w:rsid w:val="000C6747"/>
    <w:rsid w:val="000C6D20"/>
    <w:rsid w:val="000C7135"/>
    <w:rsid w:val="000C7782"/>
    <w:rsid w:val="000C7B12"/>
    <w:rsid w:val="000C7D54"/>
    <w:rsid w:val="000C7F04"/>
    <w:rsid w:val="000C7F0A"/>
    <w:rsid w:val="000D0330"/>
    <w:rsid w:val="000D05BC"/>
    <w:rsid w:val="000D0CC4"/>
    <w:rsid w:val="000D0D77"/>
    <w:rsid w:val="000D1227"/>
    <w:rsid w:val="000D125E"/>
    <w:rsid w:val="000D192C"/>
    <w:rsid w:val="000D19B9"/>
    <w:rsid w:val="000D1BDC"/>
    <w:rsid w:val="000D1CAE"/>
    <w:rsid w:val="000D1FBA"/>
    <w:rsid w:val="000D20C0"/>
    <w:rsid w:val="000D21FE"/>
    <w:rsid w:val="000D2294"/>
    <w:rsid w:val="000D2415"/>
    <w:rsid w:val="000D2549"/>
    <w:rsid w:val="000D28B1"/>
    <w:rsid w:val="000D2BFE"/>
    <w:rsid w:val="000D2DD3"/>
    <w:rsid w:val="000D315F"/>
    <w:rsid w:val="000D3210"/>
    <w:rsid w:val="000D325C"/>
    <w:rsid w:val="000D32E4"/>
    <w:rsid w:val="000D37E9"/>
    <w:rsid w:val="000D39AB"/>
    <w:rsid w:val="000D3A2E"/>
    <w:rsid w:val="000D3C85"/>
    <w:rsid w:val="000D3C93"/>
    <w:rsid w:val="000D3DC8"/>
    <w:rsid w:val="000D3FB3"/>
    <w:rsid w:val="000D416E"/>
    <w:rsid w:val="000D4293"/>
    <w:rsid w:val="000D4376"/>
    <w:rsid w:val="000D456C"/>
    <w:rsid w:val="000D45D2"/>
    <w:rsid w:val="000D47A6"/>
    <w:rsid w:val="000D4BDF"/>
    <w:rsid w:val="000D4C7C"/>
    <w:rsid w:val="000D5107"/>
    <w:rsid w:val="000D544A"/>
    <w:rsid w:val="000D633B"/>
    <w:rsid w:val="000D6344"/>
    <w:rsid w:val="000D6451"/>
    <w:rsid w:val="000D678B"/>
    <w:rsid w:val="000D6AFC"/>
    <w:rsid w:val="000D6C46"/>
    <w:rsid w:val="000D6F3C"/>
    <w:rsid w:val="000D74C0"/>
    <w:rsid w:val="000D757C"/>
    <w:rsid w:val="000D75FE"/>
    <w:rsid w:val="000D761D"/>
    <w:rsid w:val="000D783C"/>
    <w:rsid w:val="000D7956"/>
    <w:rsid w:val="000D795A"/>
    <w:rsid w:val="000D7BCD"/>
    <w:rsid w:val="000D7C39"/>
    <w:rsid w:val="000D7E6C"/>
    <w:rsid w:val="000E0226"/>
    <w:rsid w:val="000E0392"/>
    <w:rsid w:val="000E05B5"/>
    <w:rsid w:val="000E060A"/>
    <w:rsid w:val="000E070C"/>
    <w:rsid w:val="000E07AD"/>
    <w:rsid w:val="000E0910"/>
    <w:rsid w:val="000E09A6"/>
    <w:rsid w:val="000E0DFA"/>
    <w:rsid w:val="000E10D7"/>
    <w:rsid w:val="000E12C5"/>
    <w:rsid w:val="000E13A9"/>
    <w:rsid w:val="000E157A"/>
    <w:rsid w:val="000E15FB"/>
    <w:rsid w:val="000E18A9"/>
    <w:rsid w:val="000E1A68"/>
    <w:rsid w:val="000E1C60"/>
    <w:rsid w:val="000E1F1D"/>
    <w:rsid w:val="000E235A"/>
    <w:rsid w:val="000E2A94"/>
    <w:rsid w:val="000E2E3E"/>
    <w:rsid w:val="000E2FDC"/>
    <w:rsid w:val="000E3315"/>
    <w:rsid w:val="000E33D9"/>
    <w:rsid w:val="000E3502"/>
    <w:rsid w:val="000E369C"/>
    <w:rsid w:val="000E3738"/>
    <w:rsid w:val="000E379C"/>
    <w:rsid w:val="000E3827"/>
    <w:rsid w:val="000E38D0"/>
    <w:rsid w:val="000E38F8"/>
    <w:rsid w:val="000E3905"/>
    <w:rsid w:val="000E3AA7"/>
    <w:rsid w:val="000E3B97"/>
    <w:rsid w:val="000E3B99"/>
    <w:rsid w:val="000E3C11"/>
    <w:rsid w:val="000E3D23"/>
    <w:rsid w:val="000E3E41"/>
    <w:rsid w:val="000E4226"/>
    <w:rsid w:val="000E428A"/>
    <w:rsid w:val="000E4869"/>
    <w:rsid w:val="000E4AA2"/>
    <w:rsid w:val="000E4CC5"/>
    <w:rsid w:val="000E5086"/>
    <w:rsid w:val="000E5135"/>
    <w:rsid w:val="000E52EB"/>
    <w:rsid w:val="000E5437"/>
    <w:rsid w:val="000E578F"/>
    <w:rsid w:val="000E58CD"/>
    <w:rsid w:val="000E5974"/>
    <w:rsid w:val="000E5D57"/>
    <w:rsid w:val="000E5D5E"/>
    <w:rsid w:val="000E6125"/>
    <w:rsid w:val="000E6149"/>
    <w:rsid w:val="000E63D6"/>
    <w:rsid w:val="000E6D1B"/>
    <w:rsid w:val="000E6EE3"/>
    <w:rsid w:val="000E6FE3"/>
    <w:rsid w:val="000E7235"/>
    <w:rsid w:val="000E735B"/>
    <w:rsid w:val="000E743C"/>
    <w:rsid w:val="000E7503"/>
    <w:rsid w:val="000E772A"/>
    <w:rsid w:val="000E776E"/>
    <w:rsid w:val="000E7A6B"/>
    <w:rsid w:val="000F0091"/>
    <w:rsid w:val="000F0197"/>
    <w:rsid w:val="000F0480"/>
    <w:rsid w:val="000F05ED"/>
    <w:rsid w:val="000F0619"/>
    <w:rsid w:val="000F066F"/>
    <w:rsid w:val="000F0A3E"/>
    <w:rsid w:val="000F0C39"/>
    <w:rsid w:val="000F108B"/>
    <w:rsid w:val="000F1459"/>
    <w:rsid w:val="000F161B"/>
    <w:rsid w:val="000F1754"/>
    <w:rsid w:val="000F1822"/>
    <w:rsid w:val="000F1873"/>
    <w:rsid w:val="000F1B5E"/>
    <w:rsid w:val="000F1CC0"/>
    <w:rsid w:val="000F1DEB"/>
    <w:rsid w:val="000F1E26"/>
    <w:rsid w:val="000F22AB"/>
    <w:rsid w:val="000F25EF"/>
    <w:rsid w:val="000F2828"/>
    <w:rsid w:val="000F2E41"/>
    <w:rsid w:val="000F32A7"/>
    <w:rsid w:val="000F32D7"/>
    <w:rsid w:val="000F390A"/>
    <w:rsid w:val="000F3B80"/>
    <w:rsid w:val="000F3FF2"/>
    <w:rsid w:val="000F44E2"/>
    <w:rsid w:val="000F45EB"/>
    <w:rsid w:val="000F4679"/>
    <w:rsid w:val="000F46C3"/>
    <w:rsid w:val="000F4767"/>
    <w:rsid w:val="000F47E4"/>
    <w:rsid w:val="000F481B"/>
    <w:rsid w:val="000F48A0"/>
    <w:rsid w:val="000F4E5C"/>
    <w:rsid w:val="000F4FC6"/>
    <w:rsid w:val="000F4FCD"/>
    <w:rsid w:val="000F5067"/>
    <w:rsid w:val="000F51BE"/>
    <w:rsid w:val="000F562F"/>
    <w:rsid w:val="000F5D29"/>
    <w:rsid w:val="000F5ED3"/>
    <w:rsid w:val="000F6280"/>
    <w:rsid w:val="000F6815"/>
    <w:rsid w:val="000F69B9"/>
    <w:rsid w:val="000F6AB0"/>
    <w:rsid w:val="000F6B3A"/>
    <w:rsid w:val="000F6BCB"/>
    <w:rsid w:val="000F7299"/>
    <w:rsid w:val="000F76D6"/>
    <w:rsid w:val="000F7CF3"/>
    <w:rsid w:val="000F7D2D"/>
    <w:rsid w:val="0010004D"/>
    <w:rsid w:val="0010016D"/>
    <w:rsid w:val="00100289"/>
    <w:rsid w:val="00100398"/>
    <w:rsid w:val="0010039F"/>
    <w:rsid w:val="001005DD"/>
    <w:rsid w:val="001006FC"/>
    <w:rsid w:val="001007AA"/>
    <w:rsid w:val="00100F0C"/>
    <w:rsid w:val="0010165E"/>
    <w:rsid w:val="00101705"/>
    <w:rsid w:val="00101D36"/>
    <w:rsid w:val="00102505"/>
    <w:rsid w:val="001028FC"/>
    <w:rsid w:val="00102ACC"/>
    <w:rsid w:val="00102BA4"/>
    <w:rsid w:val="00102D42"/>
    <w:rsid w:val="00102D54"/>
    <w:rsid w:val="001033FE"/>
    <w:rsid w:val="001034B1"/>
    <w:rsid w:val="00103911"/>
    <w:rsid w:val="0010394F"/>
    <w:rsid w:val="00103E42"/>
    <w:rsid w:val="001042D9"/>
    <w:rsid w:val="00104649"/>
    <w:rsid w:val="001047B9"/>
    <w:rsid w:val="001048EE"/>
    <w:rsid w:val="0010490E"/>
    <w:rsid w:val="0010491B"/>
    <w:rsid w:val="00104B52"/>
    <w:rsid w:val="00104EBC"/>
    <w:rsid w:val="00105085"/>
    <w:rsid w:val="00105283"/>
    <w:rsid w:val="0010528A"/>
    <w:rsid w:val="0010529B"/>
    <w:rsid w:val="0010550F"/>
    <w:rsid w:val="00105602"/>
    <w:rsid w:val="00105799"/>
    <w:rsid w:val="00105A8D"/>
    <w:rsid w:val="00105AC5"/>
    <w:rsid w:val="00105C8D"/>
    <w:rsid w:val="00105EAA"/>
    <w:rsid w:val="00106146"/>
    <w:rsid w:val="00106220"/>
    <w:rsid w:val="001062CA"/>
    <w:rsid w:val="00106308"/>
    <w:rsid w:val="0010637B"/>
    <w:rsid w:val="001063C5"/>
    <w:rsid w:val="001065D2"/>
    <w:rsid w:val="00106621"/>
    <w:rsid w:val="001067CB"/>
    <w:rsid w:val="00106B0A"/>
    <w:rsid w:val="00106BFD"/>
    <w:rsid w:val="00106EB9"/>
    <w:rsid w:val="00106F10"/>
    <w:rsid w:val="00106FCA"/>
    <w:rsid w:val="00107480"/>
    <w:rsid w:val="00107540"/>
    <w:rsid w:val="00107998"/>
    <w:rsid w:val="00107B16"/>
    <w:rsid w:val="00107B60"/>
    <w:rsid w:val="00107C93"/>
    <w:rsid w:val="00107D56"/>
    <w:rsid w:val="00107D58"/>
    <w:rsid w:val="00110156"/>
    <w:rsid w:val="00110615"/>
    <w:rsid w:val="00110D37"/>
    <w:rsid w:val="00111079"/>
    <w:rsid w:val="001110C8"/>
    <w:rsid w:val="00111406"/>
    <w:rsid w:val="00111423"/>
    <w:rsid w:val="00111757"/>
    <w:rsid w:val="00111AF3"/>
    <w:rsid w:val="00111BAB"/>
    <w:rsid w:val="00111D16"/>
    <w:rsid w:val="001121D6"/>
    <w:rsid w:val="00112213"/>
    <w:rsid w:val="0011238E"/>
    <w:rsid w:val="00112436"/>
    <w:rsid w:val="00112A2E"/>
    <w:rsid w:val="00112A7B"/>
    <w:rsid w:val="00112B2D"/>
    <w:rsid w:val="00112B2E"/>
    <w:rsid w:val="001130F9"/>
    <w:rsid w:val="0011310E"/>
    <w:rsid w:val="00113180"/>
    <w:rsid w:val="001131A3"/>
    <w:rsid w:val="00113372"/>
    <w:rsid w:val="0011379C"/>
    <w:rsid w:val="00113AED"/>
    <w:rsid w:val="00113CFC"/>
    <w:rsid w:val="00113D69"/>
    <w:rsid w:val="00113E05"/>
    <w:rsid w:val="00114051"/>
    <w:rsid w:val="00114163"/>
    <w:rsid w:val="001143FB"/>
    <w:rsid w:val="0011448C"/>
    <w:rsid w:val="00114F20"/>
    <w:rsid w:val="00115190"/>
    <w:rsid w:val="001153B4"/>
    <w:rsid w:val="0011547D"/>
    <w:rsid w:val="001154E2"/>
    <w:rsid w:val="001154EB"/>
    <w:rsid w:val="001155B5"/>
    <w:rsid w:val="001159F8"/>
    <w:rsid w:val="00115BB8"/>
    <w:rsid w:val="00115CAF"/>
    <w:rsid w:val="00116053"/>
    <w:rsid w:val="00116066"/>
    <w:rsid w:val="001164D8"/>
    <w:rsid w:val="00116721"/>
    <w:rsid w:val="001170A2"/>
    <w:rsid w:val="001170B5"/>
    <w:rsid w:val="001170DB"/>
    <w:rsid w:val="00117132"/>
    <w:rsid w:val="001172FD"/>
    <w:rsid w:val="00117303"/>
    <w:rsid w:val="0011736A"/>
    <w:rsid w:val="0011770B"/>
    <w:rsid w:val="001178E9"/>
    <w:rsid w:val="001179C2"/>
    <w:rsid w:val="00117A7C"/>
    <w:rsid w:val="00117EB7"/>
    <w:rsid w:val="001204E5"/>
    <w:rsid w:val="0012087B"/>
    <w:rsid w:val="00120DB3"/>
    <w:rsid w:val="0012147F"/>
    <w:rsid w:val="00121486"/>
    <w:rsid w:val="001216FF"/>
    <w:rsid w:val="0012171A"/>
    <w:rsid w:val="0012190F"/>
    <w:rsid w:val="00121A11"/>
    <w:rsid w:val="00121B46"/>
    <w:rsid w:val="001222A3"/>
    <w:rsid w:val="0012231D"/>
    <w:rsid w:val="00122438"/>
    <w:rsid w:val="0012274B"/>
    <w:rsid w:val="00122785"/>
    <w:rsid w:val="001227FB"/>
    <w:rsid w:val="00122B92"/>
    <w:rsid w:val="00122B98"/>
    <w:rsid w:val="00122C9B"/>
    <w:rsid w:val="00122E45"/>
    <w:rsid w:val="00122FF3"/>
    <w:rsid w:val="0012305F"/>
    <w:rsid w:val="001234EB"/>
    <w:rsid w:val="0012358B"/>
    <w:rsid w:val="001236CC"/>
    <w:rsid w:val="001238EF"/>
    <w:rsid w:val="0012393E"/>
    <w:rsid w:val="0012397C"/>
    <w:rsid w:val="00123F10"/>
    <w:rsid w:val="00124010"/>
    <w:rsid w:val="00124097"/>
    <w:rsid w:val="00124220"/>
    <w:rsid w:val="00124251"/>
    <w:rsid w:val="001243A9"/>
    <w:rsid w:val="00125117"/>
    <w:rsid w:val="001253B8"/>
    <w:rsid w:val="001255BB"/>
    <w:rsid w:val="00125739"/>
    <w:rsid w:val="001259A3"/>
    <w:rsid w:val="0012614E"/>
    <w:rsid w:val="00126289"/>
    <w:rsid w:val="001264C7"/>
    <w:rsid w:val="0012698B"/>
    <w:rsid w:val="00126C92"/>
    <w:rsid w:val="00126CDB"/>
    <w:rsid w:val="00126D4C"/>
    <w:rsid w:val="00126EC9"/>
    <w:rsid w:val="00126F4B"/>
    <w:rsid w:val="001270CB"/>
    <w:rsid w:val="00127234"/>
    <w:rsid w:val="00127914"/>
    <w:rsid w:val="00127AE6"/>
    <w:rsid w:val="00127B79"/>
    <w:rsid w:val="00127D32"/>
    <w:rsid w:val="00127E8A"/>
    <w:rsid w:val="001303A0"/>
    <w:rsid w:val="001306F5"/>
    <w:rsid w:val="0013072B"/>
    <w:rsid w:val="001307E8"/>
    <w:rsid w:val="00130892"/>
    <w:rsid w:val="00130BB6"/>
    <w:rsid w:val="00131B14"/>
    <w:rsid w:val="00131DE0"/>
    <w:rsid w:val="00132137"/>
    <w:rsid w:val="00132283"/>
    <w:rsid w:val="0013248E"/>
    <w:rsid w:val="0013251E"/>
    <w:rsid w:val="001325C7"/>
    <w:rsid w:val="00132690"/>
    <w:rsid w:val="001329C6"/>
    <w:rsid w:val="00132AA6"/>
    <w:rsid w:val="00132EC4"/>
    <w:rsid w:val="00133287"/>
    <w:rsid w:val="001333A1"/>
    <w:rsid w:val="00133B7A"/>
    <w:rsid w:val="0013400C"/>
    <w:rsid w:val="0013435A"/>
    <w:rsid w:val="001346D9"/>
    <w:rsid w:val="001349C0"/>
    <w:rsid w:val="00134F64"/>
    <w:rsid w:val="00135266"/>
    <w:rsid w:val="0013588A"/>
    <w:rsid w:val="00135ADC"/>
    <w:rsid w:val="00135CBD"/>
    <w:rsid w:val="0013629E"/>
    <w:rsid w:val="00136381"/>
    <w:rsid w:val="001364F3"/>
    <w:rsid w:val="00136995"/>
    <w:rsid w:val="001371B5"/>
    <w:rsid w:val="0013766C"/>
    <w:rsid w:val="001376D2"/>
    <w:rsid w:val="001379F9"/>
    <w:rsid w:val="00137C41"/>
    <w:rsid w:val="00137E53"/>
    <w:rsid w:val="00137ECD"/>
    <w:rsid w:val="00137ED7"/>
    <w:rsid w:val="00140575"/>
    <w:rsid w:val="00140703"/>
    <w:rsid w:val="00140D7C"/>
    <w:rsid w:val="00140E92"/>
    <w:rsid w:val="00140EF1"/>
    <w:rsid w:val="0014115C"/>
    <w:rsid w:val="0014132C"/>
    <w:rsid w:val="00141436"/>
    <w:rsid w:val="00141CB3"/>
    <w:rsid w:val="00141CFD"/>
    <w:rsid w:val="00141F35"/>
    <w:rsid w:val="00142201"/>
    <w:rsid w:val="001423B7"/>
    <w:rsid w:val="001425F5"/>
    <w:rsid w:val="00142834"/>
    <w:rsid w:val="001428EB"/>
    <w:rsid w:val="001429B4"/>
    <w:rsid w:val="00142AC3"/>
    <w:rsid w:val="00142BA9"/>
    <w:rsid w:val="00142EBA"/>
    <w:rsid w:val="0014334F"/>
    <w:rsid w:val="001433AC"/>
    <w:rsid w:val="001436A2"/>
    <w:rsid w:val="001437CC"/>
    <w:rsid w:val="0014381C"/>
    <w:rsid w:val="00143EFF"/>
    <w:rsid w:val="00143FDA"/>
    <w:rsid w:val="0014411C"/>
    <w:rsid w:val="001444C0"/>
    <w:rsid w:val="00144819"/>
    <w:rsid w:val="0014486D"/>
    <w:rsid w:val="00144F55"/>
    <w:rsid w:val="00145219"/>
    <w:rsid w:val="0014532E"/>
    <w:rsid w:val="00145385"/>
    <w:rsid w:val="001456E0"/>
    <w:rsid w:val="00145839"/>
    <w:rsid w:val="0014598B"/>
    <w:rsid w:val="00145ADA"/>
    <w:rsid w:val="00145E81"/>
    <w:rsid w:val="00146744"/>
    <w:rsid w:val="001468CE"/>
    <w:rsid w:val="00146C7C"/>
    <w:rsid w:val="00146DE9"/>
    <w:rsid w:val="00146E1B"/>
    <w:rsid w:val="00147006"/>
    <w:rsid w:val="001471A2"/>
    <w:rsid w:val="0014722A"/>
    <w:rsid w:val="00147439"/>
    <w:rsid w:val="00147806"/>
    <w:rsid w:val="001479B8"/>
    <w:rsid w:val="00147AE7"/>
    <w:rsid w:val="00147C56"/>
    <w:rsid w:val="00147C5E"/>
    <w:rsid w:val="00147CB0"/>
    <w:rsid w:val="00147E07"/>
    <w:rsid w:val="001503AC"/>
    <w:rsid w:val="001503C2"/>
    <w:rsid w:val="0015077D"/>
    <w:rsid w:val="00150873"/>
    <w:rsid w:val="00150A31"/>
    <w:rsid w:val="00150BF1"/>
    <w:rsid w:val="00150D76"/>
    <w:rsid w:val="0015156B"/>
    <w:rsid w:val="00152171"/>
    <w:rsid w:val="00152477"/>
    <w:rsid w:val="00152490"/>
    <w:rsid w:val="00152B25"/>
    <w:rsid w:val="001533A0"/>
    <w:rsid w:val="00153A2C"/>
    <w:rsid w:val="00153BE0"/>
    <w:rsid w:val="00153DFE"/>
    <w:rsid w:val="001540FB"/>
    <w:rsid w:val="00154647"/>
    <w:rsid w:val="00154649"/>
    <w:rsid w:val="001547AF"/>
    <w:rsid w:val="00154A08"/>
    <w:rsid w:val="00154D99"/>
    <w:rsid w:val="00154EDB"/>
    <w:rsid w:val="001550AC"/>
    <w:rsid w:val="00155434"/>
    <w:rsid w:val="0015578F"/>
    <w:rsid w:val="001559CE"/>
    <w:rsid w:val="00155A73"/>
    <w:rsid w:val="00155B35"/>
    <w:rsid w:val="00155C2F"/>
    <w:rsid w:val="00155FC0"/>
    <w:rsid w:val="00155FE3"/>
    <w:rsid w:val="00156537"/>
    <w:rsid w:val="0015672D"/>
    <w:rsid w:val="0015678F"/>
    <w:rsid w:val="0015686C"/>
    <w:rsid w:val="00156B54"/>
    <w:rsid w:val="00156F41"/>
    <w:rsid w:val="00157111"/>
    <w:rsid w:val="0015719F"/>
    <w:rsid w:val="001572DA"/>
    <w:rsid w:val="0015749D"/>
    <w:rsid w:val="00157644"/>
    <w:rsid w:val="00157E63"/>
    <w:rsid w:val="00157F3D"/>
    <w:rsid w:val="001604D6"/>
    <w:rsid w:val="0016065C"/>
    <w:rsid w:val="00160775"/>
    <w:rsid w:val="00160DEA"/>
    <w:rsid w:val="00161883"/>
    <w:rsid w:val="001618A1"/>
    <w:rsid w:val="00161A11"/>
    <w:rsid w:val="00161C62"/>
    <w:rsid w:val="00162048"/>
    <w:rsid w:val="001621A7"/>
    <w:rsid w:val="001621CD"/>
    <w:rsid w:val="00162278"/>
    <w:rsid w:val="001622C6"/>
    <w:rsid w:val="00162469"/>
    <w:rsid w:val="001625B4"/>
    <w:rsid w:val="001626B0"/>
    <w:rsid w:val="00162840"/>
    <w:rsid w:val="00162870"/>
    <w:rsid w:val="00162A81"/>
    <w:rsid w:val="00162F06"/>
    <w:rsid w:val="00163531"/>
    <w:rsid w:val="0016362E"/>
    <w:rsid w:val="00163768"/>
    <w:rsid w:val="00163BE2"/>
    <w:rsid w:val="00163C93"/>
    <w:rsid w:val="00163EBB"/>
    <w:rsid w:val="00163F1F"/>
    <w:rsid w:val="001640AA"/>
    <w:rsid w:val="00164198"/>
    <w:rsid w:val="00164677"/>
    <w:rsid w:val="001646E5"/>
    <w:rsid w:val="0016483A"/>
    <w:rsid w:val="00164B76"/>
    <w:rsid w:val="00164F2F"/>
    <w:rsid w:val="00165B4F"/>
    <w:rsid w:val="00165DCC"/>
    <w:rsid w:val="00166089"/>
    <w:rsid w:val="00166304"/>
    <w:rsid w:val="00166405"/>
    <w:rsid w:val="00166439"/>
    <w:rsid w:val="0016655E"/>
    <w:rsid w:val="001665E2"/>
    <w:rsid w:val="00166761"/>
    <w:rsid w:val="0016692D"/>
    <w:rsid w:val="001669E6"/>
    <w:rsid w:val="00166AB5"/>
    <w:rsid w:val="00166ABA"/>
    <w:rsid w:val="00166CEA"/>
    <w:rsid w:val="00166E57"/>
    <w:rsid w:val="00166F27"/>
    <w:rsid w:val="00166FD9"/>
    <w:rsid w:val="00166FF2"/>
    <w:rsid w:val="0016738F"/>
    <w:rsid w:val="00167408"/>
    <w:rsid w:val="0016750B"/>
    <w:rsid w:val="00167666"/>
    <w:rsid w:val="001676BB"/>
    <w:rsid w:val="00167889"/>
    <w:rsid w:val="00170370"/>
    <w:rsid w:val="001706D8"/>
    <w:rsid w:val="00170963"/>
    <w:rsid w:val="00170A95"/>
    <w:rsid w:val="00170EA9"/>
    <w:rsid w:val="001713C7"/>
    <w:rsid w:val="001713E4"/>
    <w:rsid w:val="0017152D"/>
    <w:rsid w:val="001716A0"/>
    <w:rsid w:val="001717F1"/>
    <w:rsid w:val="001718AC"/>
    <w:rsid w:val="00171A5E"/>
    <w:rsid w:val="00171BBC"/>
    <w:rsid w:val="00171D20"/>
    <w:rsid w:val="00171FB1"/>
    <w:rsid w:val="00172156"/>
    <w:rsid w:val="00172527"/>
    <w:rsid w:val="0017262E"/>
    <w:rsid w:val="0017289A"/>
    <w:rsid w:val="00172A1D"/>
    <w:rsid w:val="00172D21"/>
    <w:rsid w:val="001732E6"/>
    <w:rsid w:val="00173327"/>
    <w:rsid w:val="0017336E"/>
    <w:rsid w:val="001733AE"/>
    <w:rsid w:val="0017350B"/>
    <w:rsid w:val="0017355F"/>
    <w:rsid w:val="00173584"/>
    <w:rsid w:val="00173C6B"/>
    <w:rsid w:val="00174084"/>
    <w:rsid w:val="00174112"/>
    <w:rsid w:val="00174348"/>
    <w:rsid w:val="00174367"/>
    <w:rsid w:val="001744B2"/>
    <w:rsid w:val="00174799"/>
    <w:rsid w:val="001747E0"/>
    <w:rsid w:val="00174BCC"/>
    <w:rsid w:val="00174C26"/>
    <w:rsid w:val="00174E93"/>
    <w:rsid w:val="0017528D"/>
    <w:rsid w:val="00175374"/>
    <w:rsid w:val="0017565C"/>
    <w:rsid w:val="001756EA"/>
    <w:rsid w:val="00175752"/>
    <w:rsid w:val="00175771"/>
    <w:rsid w:val="00175AA9"/>
    <w:rsid w:val="00175BDD"/>
    <w:rsid w:val="00175CAB"/>
    <w:rsid w:val="00175E83"/>
    <w:rsid w:val="00175F98"/>
    <w:rsid w:val="00176192"/>
    <w:rsid w:val="00176432"/>
    <w:rsid w:val="00176969"/>
    <w:rsid w:val="001769E2"/>
    <w:rsid w:val="00176D19"/>
    <w:rsid w:val="00176D34"/>
    <w:rsid w:val="00176D64"/>
    <w:rsid w:val="0017702A"/>
    <w:rsid w:val="001771B2"/>
    <w:rsid w:val="0017726A"/>
    <w:rsid w:val="00177411"/>
    <w:rsid w:val="00177778"/>
    <w:rsid w:val="00177E23"/>
    <w:rsid w:val="00180468"/>
    <w:rsid w:val="001805C9"/>
    <w:rsid w:val="00180894"/>
    <w:rsid w:val="00180896"/>
    <w:rsid w:val="00180C35"/>
    <w:rsid w:val="00180DA5"/>
    <w:rsid w:val="0018173C"/>
    <w:rsid w:val="00181A18"/>
    <w:rsid w:val="00181A72"/>
    <w:rsid w:val="00181AAB"/>
    <w:rsid w:val="00181AB2"/>
    <w:rsid w:val="00181AD1"/>
    <w:rsid w:val="00181B62"/>
    <w:rsid w:val="00181D49"/>
    <w:rsid w:val="00181F78"/>
    <w:rsid w:val="001820F7"/>
    <w:rsid w:val="00182391"/>
    <w:rsid w:val="001823DD"/>
    <w:rsid w:val="00182649"/>
    <w:rsid w:val="00182697"/>
    <w:rsid w:val="00182890"/>
    <w:rsid w:val="001828F3"/>
    <w:rsid w:val="00182A06"/>
    <w:rsid w:val="00182ACC"/>
    <w:rsid w:val="00182BF2"/>
    <w:rsid w:val="00182E02"/>
    <w:rsid w:val="00182E09"/>
    <w:rsid w:val="001832EE"/>
    <w:rsid w:val="001833D1"/>
    <w:rsid w:val="001835F8"/>
    <w:rsid w:val="00183742"/>
    <w:rsid w:val="00183966"/>
    <w:rsid w:val="0018448F"/>
    <w:rsid w:val="001846CD"/>
    <w:rsid w:val="00184C5C"/>
    <w:rsid w:val="00184D6E"/>
    <w:rsid w:val="00184D95"/>
    <w:rsid w:val="001851F5"/>
    <w:rsid w:val="00185238"/>
    <w:rsid w:val="00185AB2"/>
    <w:rsid w:val="00185B47"/>
    <w:rsid w:val="00185EAC"/>
    <w:rsid w:val="001860BD"/>
    <w:rsid w:val="00186285"/>
    <w:rsid w:val="0018645B"/>
    <w:rsid w:val="0018662D"/>
    <w:rsid w:val="001866B3"/>
    <w:rsid w:val="00186973"/>
    <w:rsid w:val="001869D6"/>
    <w:rsid w:val="00186BA8"/>
    <w:rsid w:val="00187142"/>
    <w:rsid w:val="0018714E"/>
    <w:rsid w:val="0018728A"/>
    <w:rsid w:val="001872CE"/>
    <w:rsid w:val="001874EB"/>
    <w:rsid w:val="0018753A"/>
    <w:rsid w:val="00187672"/>
    <w:rsid w:val="001878B1"/>
    <w:rsid w:val="00187C9D"/>
    <w:rsid w:val="00190026"/>
    <w:rsid w:val="001900A7"/>
    <w:rsid w:val="00190519"/>
    <w:rsid w:val="00190669"/>
    <w:rsid w:val="001906A4"/>
    <w:rsid w:val="001906E3"/>
    <w:rsid w:val="001909DB"/>
    <w:rsid w:val="00190F31"/>
    <w:rsid w:val="00191031"/>
    <w:rsid w:val="00191308"/>
    <w:rsid w:val="00191A92"/>
    <w:rsid w:val="00191C6C"/>
    <w:rsid w:val="00191C80"/>
    <w:rsid w:val="00191D30"/>
    <w:rsid w:val="00191E43"/>
    <w:rsid w:val="0019218A"/>
    <w:rsid w:val="001928F9"/>
    <w:rsid w:val="00192946"/>
    <w:rsid w:val="00192A96"/>
    <w:rsid w:val="00192DE0"/>
    <w:rsid w:val="00192DFA"/>
    <w:rsid w:val="001931C8"/>
    <w:rsid w:val="0019348C"/>
    <w:rsid w:val="001934DB"/>
    <w:rsid w:val="0019362B"/>
    <w:rsid w:val="0019366D"/>
    <w:rsid w:val="00193A97"/>
    <w:rsid w:val="00193ACF"/>
    <w:rsid w:val="00193F02"/>
    <w:rsid w:val="001942EA"/>
    <w:rsid w:val="0019441F"/>
    <w:rsid w:val="001944F5"/>
    <w:rsid w:val="00194689"/>
    <w:rsid w:val="00194E1A"/>
    <w:rsid w:val="00194F15"/>
    <w:rsid w:val="00194F64"/>
    <w:rsid w:val="00194F66"/>
    <w:rsid w:val="0019516B"/>
    <w:rsid w:val="0019537A"/>
    <w:rsid w:val="0019559A"/>
    <w:rsid w:val="001956D2"/>
    <w:rsid w:val="001958E2"/>
    <w:rsid w:val="001959BB"/>
    <w:rsid w:val="00195A6D"/>
    <w:rsid w:val="0019604A"/>
    <w:rsid w:val="001965E1"/>
    <w:rsid w:val="00196630"/>
    <w:rsid w:val="00196653"/>
    <w:rsid w:val="001968B6"/>
    <w:rsid w:val="00196BC0"/>
    <w:rsid w:val="00196BFE"/>
    <w:rsid w:val="00196DD8"/>
    <w:rsid w:val="001971DE"/>
    <w:rsid w:val="001971EA"/>
    <w:rsid w:val="00197331"/>
    <w:rsid w:val="00197502"/>
    <w:rsid w:val="0019772F"/>
    <w:rsid w:val="00197840"/>
    <w:rsid w:val="001978CC"/>
    <w:rsid w:val="001978E7"/>
    <w:rsid w:val="00197963"/>
    <w:rsid w:val="00197993"/>
    <w:rsid w:val="00197CF7"/>
    <w:rsid w:val="00197FCF"/>
    <w:rsid w:val="001A00AA"/>
    <w:rsid w:val="001A02FB"/>
    <w:rsid w:val="001A04BB"/>
    <w:rsid w:val="001A055B"/>
    <w:rsid w:val="001A064D"/>
    <w:rsid w:val="001A0C41"/>
    <w:rsid w:val="001A0CB6"/>
    <w:rsid w:val="001A0D4B"/>
    <w:rsid w:val="001A1101"/>
    <w:rsid w:val="001A16A1"/>
    <w:rsid w:val="001A1848"/>
    <w:rsid w:val="001A18CF"/>
    <w:rsid w:val="001A1A67"/>
    <w:rsid w:val="001A1BBD"/>
    <w:rsid w:val="001A1C54"/>
    <w:rsid w:val="001A20E6"/>
    <w:rsid w:val="001A2141"/>
    <w:rsid w:val="001A229B"/>
    <w:rsid w:val="001A2446"/>
    <w:rsid w:val="001A24A5"/>
    <w:rsid w:val="001A259D"/>
    <w:rsid w:val="001A25F4"/>
    <w:rsid w:val="001A2B78"/>
    <w:rsid w:val="001A2E65"/>
    <w:rsid w:val="001A3102"/>
    <w:rsid w:val="001A339C"/>
    <w:rsid w:val="001A36F7"/>
    <w:rsid w:val="001A374B"/>
    <w:rsid w:val="001A378D"/>
    <w:rsid w:val="001A381A"/>
    <w:rsid w:val="001A39DF"/>
    <w:rsid w:val="001A3B7D"/>
    <w:rsid w:val="001A3C2C"/>
    <w:rsid w:val="001A3E0E"/>
    <w:rsid w:val="001A3FB6"/>
    <w:rsid w:val="001A4034"/>
    <w:rsid w:val="001A4105"/>
    <w:rsid w:val="001A41FB"/>
    <w:rsid w:val="001A424C"/>
    <w:rsid w:val="001A436D"/>
    <w:rsid w:val="001A45B7"/>
    <w:rsid w:val="001A4B80"/>
    <w:rsid w:val="001A4CD9"/>
    <w:rsid w:val="001A5382"/>
    <w:rsid w:val="001A558F"/>
    <w:rsid w:val="001A5E2A"/>
    <w:rsid w:val="001A6117"/>
    <w:rsid w:val="001A661D"/>
    <w:rsid w:val="001A69F0"/>
    <w:rsid w:val="001A6CF7"/>
    <w:rsid w:val="001A6F39"/>
    <w:rsid w:val="001A6F62"/>
    <w:rsid w:val="001A71D1"/>
    <w:rsid w:val="001A7A7E"/>
    <w:rsid w:val="001A7A92"/>
    <w:rsid w:val="001A7C1C"/>
    <w:rsid w:val="001A7C7B"/>
    <w:rsid w:val="001A7EAC"/>
    <w:rsid w:val="001B0034"/>
    <w:rsid w:val="001B05D2"/>
    <w:rsid w:val="001B060F"/>
    <w:rsid w:val="001B0684"/>
    <w:rsid w:val="001B0695"/>
    <w:rsid w:val="001B0A36"/>
    <w:rsid w:val="001B0D1B"/>
    <w:rsid w:val="001B0E3E"/>
    <w:rsid w:val="001B0ECF"/>
    <w:rsid w:val="001B118B"/>
    <w:rsid w:val="001B11FA"/>
    <w:rsid w:val="001B14D3"/>
    <w:rsid w:val="001B151C"/>
    <w:rsid w:val="001B15AC"/>
    <w:rsid w:val="001B178B"/>
    <w:rsid w:val="001B1B44"/>
    <w:rsid w:val="001B1E47"/>
    <w:rsid w:val="001B1E7C"/>
    <w:rsid w:val="001B1F85"/>
    <w:rsid w:val="001B20C0"/>
    <w:rsid w:val="001B20CB"/>
    <w:rsid w:val="001B20D1"/>
    <w:rsid w:val="001B217A"/>
    <w:rsid w:val="001B2852"/>
    <w:rsid w:val="001B2C4E"/>
    <w:rsid w:val="001B2CC3"/>
    <w:rsid w:val="001B2DEE"/>
    <w:rsid w:val="001B2EC2"/>
    <w:rsid w:val="001B31D5"/>
    <w:rsid w:val="001B352F"/>
    <w:rsid w:val="001B36E0"/>
    <w:rsid w:val="001B3C71"/>
    <w:rsid w:val="001B3EF6"/>
    <w:rsid w:val="001B4037"/>
    <w:rsid w:val="001B436A"/>
    <w:rsid w:val="001B443E"/>
    <w:rsid w:val="001B44FB"/>
    <w:rsid w:val="001B4939"/>
    <w:rsid w:val="001B575D"/>
    <w:rsid w:val="001B5C7C"/>
    <w:rsid w:val="001B5D70"/>
    <w:rsid w:val="001B624A"/>
    <w:rsid w:val="001B6271"/>
    <w:rsid w:val="001B62E3"/>
    <w:rsid w:val="001B6388"/>
    <w:rsid w:val="001B65E9"/>
    <w:rsid w:val="001B69D6"/>
    <w:rsid w:val="001B6B51"/>
    <w:rsid w:val="001B6CCB"/>
    <w:rsid w:val="001B6E67"/>
    <w:rsid w:val="001B6ECC"/>
    <w:rsid w:val="001B6FA8"/>
    <w:rsid w:val="001B6FAB"/>
    <w:rsid w:val="001B7288"/>
    <w:rsid w:val="001B77C7"/>
    <w:rsid w:val="001B7842"/>
    <w:rsid w:val="001B787D"/>
    <w:rsid w:val="001B78F9"/>
    <w:rsid w:val="001B7A2E"/>
    <w:rsid w:val="001C0029"/>
    <w:rsid w:val="001C0B23"/>
    <w:rsid w:val="001C0DA8"/>
    <w:rsid w:val="001C128B"/>
    <w:rsid w:val="001C1482"/>
    <w:rsid w:val="001C14E3"/>
    <w:rsid w:val="001C1A34"/>
    <w:rsid w:val="001C1B1D"/>
    <w:rsid w:val="001C1B5A"/>
    <w:rsid w:val="001C1C0F"/>
    <w:rsid w:val="001C1C48"/>
    <w:rsid w:val="001C1F16"/>
    <w:rsid w:val="001C1F6B"/>
    <w:rsid w:val="001C22AA"/>
    <w:rsid w:val="001C2741"/>
    <w:rsid w:val="001C2A0A"/>
    <w:rsid w:val="001C2A8A"/>
    <w:rsid w:val="001C2C36"/>
    <w:rsid w:val="001C2F34"/>
    <w:rsid w:val="001C3206"/>
    <w:rsid w:val="001C3355"/>
    <w:rsid w:val="001C374F"/>
    <w:rsid w:val="001C37F6"/>
    <w:rsid w:val="001C3BE8"/>
    <w:rsid w:val="001C3C90"/>
    <w:rsid w:val="001C3DB4"/>
    <w:rsid w:val="001C4396"/>
    <w:rsid w:val="001C45A2"/>
    <w:rsid w:val="001C47BE"/>
    <w:rsid w:val="001C492D"/>
    <w:rsid w:val="001C498E"/>
    <w:rsid w:val="001C4A73"/>
    <w:rsid w:val="001C4C32"/>
    <w:rsid w:val="001C54A7"/>
    <w:rsid w:val="001C594C"/>
    <w:rsid w:val="001C5D23"/>
    <w:rsid w:val="001C5D31"/>
    <w:rsid w:val="001C601A"/>
    <w:rsid w:val="001C6177"/>
    <w:rsid w:val="001C6275"/>
    <w:rsid w:val="001C62DB"/>
    <w:rsid w:val="001C63AE"/>
    <w:rsid w:val="001C64A6"/>
    <w:rsid w:val="001C67A7"/>
    <w:rsid w:val="001C68C7"/>
    <w:rsid w:val="001C6BD0"/>
    <w:rsid w:val="001C6D50"/>
    <w:rsid w:val="001C6F46"/>
    <w:rsid w:val="001C6F52"/>
    <w:rsid w:val="001C7139"/>
    <w:rsid w:val="001C72CE"/>
    <w:rsid w:val="001C7350"/>
    <w:rsid w:val="001C73B0"/>
    <w:rsid w:val="001C7864"/>
    <w:rsid w:val="001D0147"/>
    <w:rsid w:val="001D0A8B"/>
    <w:rsid w:val="001D0B74"/>
    <w:rsid w:val="001D0BFE"/>
    <w:rsid w:val="001D0CC6"/>
    <w:rsid w:val="001D0D8C"/>
    <w:rsid w:val="001D0F66"/>
    <w:rsid w:val="001D1018"/>
    <w:rsid w:val="001D1040"/>
    <w:rsid w:val="001D11E5"/>
    <w:rsid w:val="001D1284"/>
    <w:rsid w:val="001D128E"/>
    <w:rsid w:val="001D193C"/>
    <w:rsid w:val="001D19B6"/>
    <w:rsid w:val="001D20C6"/>
    <w:rsid w:val="001D216E"/>
    <w:rsid w:val="001D228B"/>
    <w:rsid w:val="001D2296"/>
    <w:rsid w:val="001D24CD"/>
    <w:rsid w:val="001D260C"/>
    <w:rsid w:val="001D28E2"/>
    <w:rsid w:val="001D28FE"/>
    <w:rsid w:val="001D2A06"/>
    <w:rsid w:val="001D2A83"/>
    <w:rsid w:val="001D2E34"/>
    <w:rsid w:val="001D3091"/>
    <w:rsid w:val="001D33D6"/>
    <w:rsid w:val="001D3474"/>
    <w:rsid w:val="001D3C02"/>
    <w:rsid w:val="001D45A8"/>
    <w:rsid w:val="001D46CC"/>
    <w:rsid w:val="001D4B94"/>
    <w:rsid w:val="001D4DBD"/>
    <w:rsid w:val="001D51E0"/>
    <w:rsid w:val="001D54A0"/>
    <w:rsid w:val="001D54CA"/>
    <w:rsid w:val="001D560F"/>
    <w:rsid w:val="001D583D"/>
    <w:rsid w:val="001D5BA4"/>
    <w:rsid w:val="001D5FA0"/>
    <w:rsid w:val="001D60CC"/>
    <w:rsid w:val="001D63B6"/>
    <w:rsid w:val="001D6EFE"/>
    <w:rsid w:val="001D6FA2"/>
    <w:rsid w:val="001D716B"/>
    <w:rsid w:val="001D73C7"/>
    <w:rsid w:val="001D7440"/>
    <w:rsid w:val="001D7A6D"/>
    <w:rsid w:val="001D7B09"/>
    <w:rsid w:val="001D7B92"/>
    <w:rsid w:val="001E007F"/>
    <w:rsid w:val="001E035F"/>
    <w:rsid w:val="001E0574"/>
    <w:rsid w:val="001E057F"/>
    <w:rsid w:val="001E071F"/>
    <w:rsid w:val="001E0E7F"/>
    <w:rsid w:val="001E1414"/>
    <w:rsid w:val="001E1700"/>
    <w:rsid w:val="001E17FA"/>
    <w:rsid w:val="001E1BED"/>
    <w:rsid w:val="001E1C82"/>
    <w:rsid w:val="001E1E80"/>
    <w:rsid w:val="001E1E9F"/>
    <w:rsid w:val="001E1EF4"/>
    <w:rsid w:val="001E1FED"/>
    <w:rsid w:val="001E22DF"/>
    <w:rsid w:val="001E25E1"/>
    <w:rsid w:val="001E285B"/>
    <w:rsid w:val="001E2BAF"/>
    <w:rsid w:val="001E2C4A"/>
    <w:rsid w:val="001E2E1D"/>
    <w:rsid w:val="001E2F92"/>
    <w:rsid w:val="001E328F"/>
    <w:rsid w:val="001E3705"/>
    <w:rsid w:val="001E399F"/>
    <w:rsid w:val="001E3AB8"/>
    <w:rsid w:val="001E3AEF"/>
    <w:rsid w:val="001E3C07"/>
    <w:rsid w:val="001E3E09"/>
    <w:rsid w:val="001E3F41"/>
    <w:rsid w:val="001E3FBD"/>
    <w:rsid w:val="001E41C3"/>
    <w:rsid w:val="001E4638"/>
    <w:rsid w:val="001E468D"/>
    <w:rsid w:val="001E4737"/>
    <w:rsid w:val="001E4910"/>
    <w:rsid w:val="001E4E18"/>
    <w:rsid w:val="001E5068"/>
    <w:rsid w:val="001E5076"/>
    <w:rsid w:val="001E52ED"/>
    <w:rsid w:val="001E54ED"/>
    <w:rsid w:val="001E5963"/>
    <w:rsid w:val="001E5AB9"/>
    <w:rsid w:val="001E5B54"/>
    <w:rsid w:val="001E5F78"/>
    <w:rsid w:val="001E6157"/>
    <w:rsid w:val="001E65F4"/>
    <w:rsid w:val="001E694D"/>
    <w:rsid w:val="001E6B93"/>
    <w:rsid w:val="001E6BA9"/>
    <w:rsid w:val="001E6BC5"/>
    <w:rsid w:val="001E6DB2"/>
    <w:rsid w:val="001E72C7"/>
    <w:rsid w:val="001E7730"/>
    <w:rsid w:val="001E7794"/>
    <w:rsid w:val="001E7824"/>
    <w:rsid w:val="001E7833"/>
    <w:rsid w:val="001E78DA"/>
    <w:rsid w:val="001E7A63"/>
    <w:rsid w:val="001E7B0F"/>
    <w:rsid w:val="001E7EC2"/>
    <w:rsid w:val="001E7ED2"/>
    <w:rsid w:val="001F0281"/>
    <w:rsid w:val="001F04BB"/>
    <w:rsid w:val="001F063A"/>
    <w:rsid w:val="001F080C"/>
    <w:rsid w:val="001F0A29"/>
    <w:rsid w:val="001F0BD3"/>
    <w:rsid w:val="001F0C54"/>
    <w:rsid w:val="001F0CA6"/>
    <w:rsid w:val="001F1575"/>
    <w:rsid w:val="001F15F6"/>
    <w:rsid w:val="001F1729"/>
    <w:rsid w:val="001F19B7"/>
    <w:rsid w:val="001F1A18"/>
    <w:rsid w:val="001F1C84"/>
    <w:rsid w:val="001F1FE3"/>
    <w:rsid w:val="001F2104"/>
    <w:rsid w:val="001F2110"/>
    <w:rsid w:val="001F2585"/>
    <w:rsid w:val="001F25A4"/>
    <w:rsid w:val="001F281D"/>
    <w:rsid w:val="001F2CF4"/>
    <w:rsid w:val="001F30CB"/>
    <w:rsid w:val="001F3210"/>
    <w:rsid w:val="001F3613"/>
    <w:rsid w:val="001F3B6C"/>
    <w:rsid w:val="001F4211"/>
    <w:rsid w:val="001F485D"/>
    <w:rsid w:val="001F4E61"/>
    <w:rsid w:val="001F4ED7"/>
    <w:rsid w:val="001F4EDD"/>
    <w:rsid w:val="001F4F25"/>
    <w:rsid w:val="001F50E7"/>
    <w:rsid w:val="001F5408"/>
    <w:rsid w:val="001F5733"/>
    <w:rsid w:val="001F57CC"/>
    <w:rsid w:val="001F5F3C"/>
    <w:rsid w:val="001F62EB"/>
    <w:rsid w:val="001F62EF"/>
    <w:rsid w:val="001F651D"/>
    <w:rsid w:val="001F653A"/>
    <w:rsid w:val="001F69E2"/>
    <w:rsid w:val="001F7094"/>
    <w:rsid w:val="001F71EC"/>
    <w:rsid w:val="001F7321"/>
    <w:rsid w:val="001F7392"/>
    <w:rsid w:val="001F74DD"/>
    <w:rsid w:val="001F756B"/>
    <w:rsid w:val="001F75C3"/>
    <w:rsid w:val="001F7BAE"/>
    <w:rsid w:val="0020023F"/>
    <w:rsid w:val="00200386"/>
    <w:rsid w:val="00200711"/>
    <w:rsid w:val="00200ACE"/>
    <w:rsid w:val="00200BCB"/>
    <w:rsid w:val="00200CC2"/>
    <w:rsid w:val="00200E57"/>
    <w:rsid w:val="0020144E"/>
    <w:rsid w:val="00201674"/>
    <w:rsid w:val="002018E4"/>
    <w:rsid w:val="002019D5"/>
    <w:rsid w:val="00201ACE"/>
    <w:rsid w:val="00201BCD"/>
    <w:rsid w:val="00201C0B"/>
    <w:rsid w:val="00201DC5"/>
    <w:rsid w:val="00201E29"/>
    <w:rsid w:val="00201ECA"/>
    <w:rsid w:val="002021B5"/>
    <w:rsid w:val="002022BE"/>
    <w:rsid w:val="00202386"/>
    <w:rsid w:val="0020267E"/>
    <w:rsid w:val="00202ABD"/>
    <w:rsid w:val="00203474"/>
    <w:rsid w:val="002034CB"/>
    <w:rsid w:val="00203793"/>
    <w:rsid w:val="00203C37"/>
    <w:rsid w:val="00203CAB"/>
    <w:rsid w:val="00203DE2"/>
    <w:rsid w:val="00203E53"/>
    <w:rsid w:val="00204232"/>
    <w:rsid w:val="00204262"/>
    <w:rsid w:val="002044B1"/>
    <w:rsid w:val="002046D8"/>
    <w:rsid w:val="002047B9"/>
    <w:rsid w:val="002047E0"/>
    <w:rsid w:val="002048FB"/>
    <w:rsid w:val="00204C78"/>
    <w:rsid w:val="00204C90"/>
    <w:rsid w:val="00204D61"/>
    <w:rsid w:val="00205005"/>
    <w:rsid w:val="00205331"/>
    <w:rsid w:val="00205866"/>
    <w:rsid w:val="002059C4"/>
    <w:rsid w:val="00205ACD"/>
    <w:rsid w:val="00205EB7"/>
    <w:rsid w:val="002066A8"/>
    <w:rsid w:val="002069B0"/>
    <w:rsid w:val="00206BC9"/>
    <w:rsid w:val="00206C4A"/>
    <w:rsid w:val="00206C88"/>
    <w:rsid w:val="00206D8A"/>
    <w:rsid w:val="00206DA8"/>
    <w:rsid w:val="00206F9C"/>
    <w:rsid w:val="00206FEA"/>
    <w:rsid w:val="00207480"/>
    <w:rsid w:val="00207607"/>
    <w:rsid w:val="00207791"/>
    <w:rsid w:val="00207963"/>
    <w:rsid w:val="002079A9"/>
    <w:rsid w:val="00207C9B"/>
    <w:rsid w:val="00207CB7"/>
    <w:rsid w:val="00210109"/>
    <w:rsid w:val="0021014B"/>
    <w:rsid w:val="0021047D"/>
    <w:rsid w:val="002105B3"/>
    <w:rsid w:val="0021063E"/>
    <w:rsid w:val="00210827"/>
    <w:rsid w:val="00210C29"/>
    <w:rsid w:val="00210E94"/>
    <w:rsid w:val="00210F38"/>
    <w:rsid w:val="00211255"/>
    <w:rsid w:val="002113E3"/>
    <w:rsid w:val="00211521"/>
    <w:rsid w:val="00211672"/>
    <w:rsid w:val="00211A1F"/>
    <w:rsid w:val="00211A2B"/>
    <w:rsid w:val="00211E4B"/>
    <w:rsid w:val="00211EC3"/>
    <w:rsid w:val="00212401"/>
    <w:rsid w:val="00212569"/>
    <w:rsid w:val="002127A5"/>
    <w:rsid w:val="0021293D"/>
    <w:rsid w:val="00212A67"/>
    <w:rsid w:val="00212F3D"/>
    <w:rsid w:val="00212FB6"/>
    <w:rsid w:val="0021317A"/>
    <w:rsid w:val="002132FC"/>
    <w:rsid w:val="00213407"/>
    <w:rsid w:val="002135E0"/>
    <w:rsid w:val="00213874"/>
    <w:rsid w:val="002143E7"/>
    <w:rsid w:val="00214B61"/>
    <w:rsid w:val="00214C6F"/>
    <w:rsid w:val="00214CEE"/>
    <w:rsid w:val="00214E84"/>
    <w:rsid w:val="00214E9C"/>
    <w:rsid w:val="0021514E"/>
    <w:rsid w:val="00215235"/>
    <w:rsid w:val="0021529A"/>
    <w:rsid w:val="002152F5"/>
    <w:rsid w:val="002153EE"/>
    <w:rsid w:val="0021553E"/>
    <w:rsid w:val="0021556E"/>
    <w:rsid w:val="00215A39"/>
    <w:rsid w:val="00215AD5"/>
    <w:rsid w:val="00215B5E"/>
    <w:rsid w:val="00215C1D"/>
    <w:rsid w:val="00215C28"/>
    <w:rsid w:val="00216069"/>
    <w:rsid w:val="002160D3"/>
    <w:rsid w:val="00216245"/>
    <w:rsid w:val="00216362"/>
    <w:rsid w:val="0021665C"/>
    <w:rsid w:val="002166B7"/>
    <w:rsid w:val="00216890"/>
    <w:rsid w:val="00216B39"/>
    <w:rsid w:val="00216BC7"/>
    <w:rsid w:val="002176ED"/>
    <w:rsid w:val="002177FD"/>
    <w:rsid w:val="00217966"/>
    <w:rsid w:val="002179C4"/>
    <w:rsid w:val="00217F4E"/>
    <w:rsid w:val="002203A1"/>
    <w:rsid w:val="002203FB"/>
    <w:rsid w:val="00220BDF"/>
    <w:rsid w:val="00220D73"/>
    <w:rsid w:val="002211C3"/>
    <w:rsid w:val="00221A69"/>
    <w:rsid w:val="00221C4E"/>
    <w:rsid w:val="002223B2"/>
    <w:rsid w:val="002224A0"/>
    <w:rsid w:val="002224E3"/>
    <w:rsid w:val="002224F8"/>
    <w:rsid w:val="00222657"/>
    <w:rsid w:val="002226C0"/>
    <w:rsid w:val="00223085"/>
    <w:rsid w:val="002231F8"/>
    <w:rsid w:val="00223237"/>
    <w:rsid w:val="0022324F"/>
    <w:rsid w:val="0022329F"/>
    <w:rsid w:val="002232D3"/>
    <w:rsid w:val="0022332E"/>
    <w:rsid w:val="00223663"/>
    <w:rsid w:val="00223680"/>
    <w:rsid w:val="0022373D"/>
    <w:rsid w:val="00223781"/>
    <w:rsid w:val="0022390F"/>
    <w:rsid w:val="00223DF9"/>
    <w:rsid w:val="00223E33"/>
    <w:rsid w:val="00223F4A"/>
    <w:rsid w:val="00223FF2"/>
    <w:rsid w:val="0022439C"/>
    <w:rsid w:val="002248BE"/>
    <w:rsid w:val="00224B3D"/>
    <w:rsid w:val="00224F8A"/>
    <w:rsid w:val="00225067"/>
    <w:rsid w:val="00225158"/>
    <w:rsid w:val="00225268"/>
    <w:rsid w:val="002255D7"/>
    <w:rsid w:val="0022565D"/>
    <w:rsid w:val="00225AB6"/>
    <w:rsid w:val="00225DEA"/>
    <w:rsid w:val="00226090"/>
    <w:rsid w:val="002260CA"/>
    <w:rsid w:val="002265FB"/>
    <w:rsid w:val="00226719"/>
    <w:rsid w:val="0022683F"/>
    <w:rsid w:val="00226CCB"/>
    <w:rsid w:val="00226D83"/>
    <w:rsid w:val="00227138"/>
    <w:rsid w:val="0022795C"/>
    <w:rsid w:val="00227CA6"/>
    <w:rsid w:val="00227F36"/>
    <w:rsid w:val="002306B3"/>
    <w:rsid w:val="00230844"/>
    <w:rsid w:val="00230C37"/>
    <w:rsid w:val="002310BD"/>
    <w:rsid w:val="00231522"/>
    <w:rsid w:val="00231563"/>
    <w:rsid w:val="002317DA"/>
    <w:rsid w:val="00231976"/>
    <w:rsid w:val="00231C39"/>
    <w:rsid w:val="00231FF9"/>
    <w:rsid w:val="00232133"/>
    <w:rsid w:val="00232206"/>
    <w:rsid w:val="00232239"/>
    <w:rsid w:val="00232285"/>
    <w:rsid w:val="002322DB"/>
    <w:rsid w:val="002325B6"/>
    <w:rsid w:val="0023265E"/>
    <w:rsid w:val="00232775"/>
    <w:rsid w:val="00232817"/>
    <w:rsid w:val="002329FC"/>
    <w:rsid w:val="00232A34"/>
    <w:rsid w:val="00232FA7"/>
    <w:rsid w:val="00232FE7"/>
    <w:rsid w:val="00234388"/>
    <w:rsid w:val="002344BF"/>
    <w:rsid w:val="002345C5"/>
    <w:rsid w:val="0023461D"/>
    <w:rsid w:val="00234760"/>
    <w:rsid w:val="002348ED"/>
    <w:rsid w:val="00234DBF"/>
    <w:rsid w:val="00234EA7"/>
    <w:rsid w:val="00234EAE"/>
    <w:rsid w:val="00235055"/>
    <w:rsid w:val="0023536C"/>
    <w:rsid w:val="0023553C"/>
    <w:rsid w:val="00235618"/>
    <w:rsid w:val="00235CEC"/>
    <w:rsid w:val="00235FFC"/>
    <w:rsid w:val="002360F8"/>
    <w:rsid w:val="00236122"/>
    <w:rsid w:val="00236142"/>
    <w:rsid w:val="00236CE6"/>
    <w:rsid w:val="00236E62"/>
    <w:rsid w:val="0023715D"/>
    <w:rsid w:val="002371F8"/>
    <w:rsid w:val="00237208"/>
    <w:rsid w:val="00237276"/>
    <w:rsid w:val="002372B8"/>
    <w:rsid w:val="002375E0"/>
    <w:rsid w:val="00237824"/>
    <w:rsid w:val="0023794A"/>
    <w:rsid w:val="0023794C"/>
    <w:rsid w:val="00237A2E"/>
    <w:rsid w:val="00237C4C"/>
    <w:rsid w:val="00237DC5"/>
    <w:rsid w:val="00237EAB"/>
    <w:rsid w:val="00240043"/>
    <w:rsid w:val="002402AB"/>
    <w:rsid w:val="00240379"/>
    <w:rsid w:val="002408DF"/>
    <w:rsid w:val="00240A8C"/>
    <w:rsid w:val="00240C1D"/>
    <w:rsid w:val="00240CDE"/>
    <w:rsid w:val="00241070"/>
    <w:rsid w:val="0024125B"/>
    <w:rsid w:val="00241287"/>
    <w:rsid w:val="00241515"/>
    <w:rsid w:val="00241837"/>
    <w:rsid w:val="00241C3A"/>
    <w:rsid w:val="00242055"/>
    <w:rsid w:val="00242178"/>
    <w:rsid w:val="00242284"/>
    <w:rsid w:val="00242292"/>
    <w:rsid w:val="00242369"/>
    <w:rsid w:val="002423A8"/>
    <w:rsid w:val="002425A5"/>
    <w:rsid w:val="00242909"/>
    <w:rsid w:val="00242A85"/>
    <w:rsid w:val="00242D72"/>
    <w:rsid w:val="00242E78"/>
    <w:rsid w:val="002431B7"/>
    <w:rsid w:val="00243439"/>
    <w:rsid w:val="00243807"/>
    <w:rsid w:val="00243A77"/>
    <w:rsid w:val="00243B73"/>
    <w:rsid w:val="00243B90"/>
    <w:rsid w:val="00243C7B"/>
    <w:rsid w:val="00243E5F"/>
    <w:rsid w:val="00243F08"/>
    <w:rsid w:val="00244209"/>
    <w:rsid w:val="0024459F"/>
    <w:rsid w:val="0024460A"/>
    <w:rsid w:val="002449E8"/>
    <w:rsid w:val="00244AC2"/>
    <w:rsid w:val="00244E44"/>
    <w:rsid w:val="00244EA9"/>
    <w:rsid w:val="002450C9"/>
    <w:rsid w:val="0024515A"/>
    <w:rsid w:val="0024541B"/>
    <w:rsid w:val="002454C0"/>
    <w:rsid w:val="00245736"/>
    <w:rsid w:val="00245E21"/>
    <w:rsid w:val="00245F0A"/>
    <w:rsid w:val="00245FC1"/>
    <w:rsid w:val="00246347"/>
    <w:rsid w:val="00246434"/>
    <w:rsid w:val="00246518"/>
    <w:rsid w:val="0024686D"/>
    <w:rsid w:val="0024689F"/>
    <w:rsid w:val="002468AA"/>
    <w:rsid w:val="00246BF5"/>
    <w:rsid w:val="00246C1D"/>
    <w:rsid w:val="002471E1"/>
    <w:rsid w:val="002472E0"/>
    <w:rsid w:val="00247367"/>
    <w:rsid w:val="0024749F"/>
    <w:rsid w:val="002475AC"/>
    <w:rsid w:val="00247689"/>
    <w:rsid w:val="002476C8"/>
    <w:rsid w:val="00247B6A"/>
    <w:rsid w:val="0025032F"/>
    <w:rsid w:val="0025049B"/>
    <w:rsid w:val="002506BA"/>
    <w:rsid w:val="0025091C"/>
    <w:rsid w:val="00250A9D"/>
    <w:rsid w:val="00250B51"/>
    <w:rsid w:val="00250B7C"/>
    <w:rsid w:val="00250DC8"/>
    <w:rsid w:val="00250DF7"/>
    <w:rsid w:val="002510A2"/>
    <w:rsid w:val="00251104"/>
    <w:rsid w:val="0025155C"/>
    <w:rsid w:val="00251754"/>
    <w:rsid w:val="002517E9"/>
    <w:rsid w:val="00251988"/>
    <w:rsid w:val="002519B2"/>
    <w:rsid w:val="00251CD1"/>
    <w:rsid w:val="00251DCC"/>
    <w:rsid w:val="00251F03"/>
    <w:rsid w:val="00252331"/>
    <w:rsid w:val="002524DE"/>
    <w:rsid w:val="0025260F"/>
    <w:rsid w:val="0025266A"/>
    <w:rsid w:val="0025274C"/>
    <w:rsid w:val="0025297C"/>
    <w:rsid w:val="00252BE3"/>
    <w:rsid w:val="00252E0A"/>
    <w:rsid w:val="00253165"/>
    <w:rsid w:val="002532D9"/>
    <w:rsid w:val="00253423"/>
    <w:rsid w:val="002539B0"/>
    <w:rsid w:val="00253AF1"/>
    <w:rsid w:val="00253BB4"/>
    <w:rsid w:val="00253CAE"/>
    <w:rsid w:val="00253F08"/>
    <w:rsid w:val="0025444D"/>
    <w:rsid w:val="00254A66"/>
    <w:rsid w:val="00254C04"/>
    <w:rsid w:val="00254FB6"/>
    <w:rsid w:val="00255080"/>
    <w:rsid w:val="0025520A"/>
    <w:rsid w:val="00255384"/>
    <w:rsid w:val="00255BD7"/>
    <w:rsid w:val="00255CCA"/>
    <w:rsid w:val="00255CD8"/>
    <w:rsid w:val="00255D29"/>
    <w:rsid w:val="002562F0"/>
    <w:rsid w:val="002563D7"/>
    <w:rsid w:val="00256609"/>
    <w:rsid w:val="00256D39"/>
    <w:rsid w:val="00256ED0"/>
    <w:rsid w:val="00257020"/>
    <w:rsid w:val="0025733C"/>
    <w:rsid w:val="00257358"/>
    <w:rsid w:val="00257673"/>
    <w:rsid w:val="00257793"/>
    <w:rsid w:val="00257B8E"/>
    <w:rsid w:val="00260307"/>
    <w:rsid w:val="00260342"/>
    <w:rsid w:val="00260347"/>
    <w:rsid w:val="0026080B"/>
    <w:rsid w:val="002609C1"/>
    <w:rsid w:val="00260B39"/>
    <w:rsid w:val="00260BC3"/>
    <w:rsid w:val="00260CC3"/>
    <w:rsid w:val="00260D17"/>
    <w:rsid w:val="00260DD9"/>
    <w:rsid w:val="0026107A"/>
    <w:rsid w:val="00261274"/>
    <w:rsid w:val="002614BF"/>
    <w:rsid w:val="002614CF"/>
    <w:rsid w:val="0026179B"/>
    <w:rsid w:val="002619AC"/>
    <w:rsid w:val="002619F1"/>
    <w:rsid w:val="002619FE"/>
    <w:rsid w:val="00261A69"/>
    <w:rsid w:val="00261B22"/>
    <w:rsid w:val="00261C23"/>
    <w:rsid w:val="00261C30"/>
    <w:rsid w:val="00261DF6"/>
    <w:rsid w:val="00261EC3"/>
    <w:rsid w:val="00262670"/>
    <w:rsid w:val="002626CE"/>
    <w:rsid w:val="00262CB3"/>
    <w:rsid w:val="00262D71"/>
    <w:rsid w:val="00262E1E"/>
    <w:rsid w:val="00262FD7"/>
    <w:rsid w:val="0026370B"/>
    <w:rsid w:val="002637B3"/>
    <w:rsid w:val="00263BC9"/>
    <w:rsid w:val="00263D66"/>
    <w:rsid w:val="00263F90"/>
    <w:rsid w:val="00264802"/>
    <w:rsid w:val="00264ACA"/>
    <w:rsid w:val="00264AE8"/>
    <w:rsid w:val="00264BD2"/>
    <w:rsid w:val="00264DCA"/>
    <w:rsid w:val="0026506B"/>
    <w:rsid w:val="002650B2"/>
    <w:rsid w:val="002652C0"/>
    <w:rsid w:val="0026537F"/>
    <w:rsid w:val="002655A5"/>
    <w:rsid w:val="0026598F"/>
    <w:rsid w:val="00265A30"/>
    <w:rsid w:val="00265AB8"/>
    <w:rsid w:val="00265D2E"/>
    <w:rsid w:val="002662E4"/>
    <w:rsid w:val="0026634C"/>
    <w:rsid w:val="0026640E"/>
    <w:rsid w:val="0026673F"/>
    <w:rsid w:val="00266780"/>
    <w:rsid w:val="00266C0B"/>
    <w:rsid w:val="00266C11"/>
    <w:rsid w:val="00266EF7"/>
    <w:rsid w:val="00267133"/>
    <w:rsid w:val="002674AE"/>
    <w:rsid w:val="0026758E"/>
    <w:rsid w:val="00267779"/>
    <w:rsid w:val="002679CC"/>
    <w:rsid w:val="002679DD"/>
    <w:rsid w:val="00267D6D"/>
    <w:rsid w:val="002700A0"/>
    <w:rsid w:val="00270135"/>
    <w:rsid w:val="002702CA"/>
    <w:rsid w:val="0027062A"/>
    <w:rsid w:val="002706E4"/>
    <w:rsid w:val="002707B6"/>
    <w:rsid w:val="00270878"/>
    <w:rsid w:val="002708E1"/>
    <w:rsid w:val="00270BE5"/>
    <w:rsid w:val="00270E07"/>
    <w:rsid w:val="0027100E"/>
    <w:rsid w:val="002713D3"/>
    <w:rsid w:val="00271504"/>
    <w:rsid w:val="0027167E"/>
    <w:rsid w:val="00271933"/>
    <w:rsid w:val="00271AB2"/>
    <w:rsid w:val="00271DFB"/>
    <w:rsid w:val="00271F1B"/>
    <w:rsid w:val="00271F87"/>
    <w:rsid w:val="00272089"/>
    <w:rsid w:val="00272410"/>
    <w:rsid w:val="00272618"/>
    <w:rsid w:val="00272BB1"/>
    <w:rsid w:val="00272BB8"/>
    <w:rsid w:val="0027311B"/>
    <w:rsid w:val="0027349B"/>
    <w:rsid w:val="0027356F"/>
    <w:rsid w:val="00273609"/>
    <w:rsid w:val="002736D8"/>
    <w:rsid w:val="00273A71"/>
    <w:rsid w:val="00273D87"/>
    <w:rsid w:val="00273DF1"/>
    <w:rsid w:val="00273E8D"/>
    <w:rsid w:val="002741A7"/>
    <w:rsid w:val="002744D2"/>
    <w:rsid w:val="00274666"/>
    <w:rsid w:val="00274722"/>
    <w:rsid w:val="002748EB"/>
    <w:rsid w:val="0027495F"/>
    <w:rsid w:val="00274A57"/>
    <w:rsid w:val="00275245"/>
    <w:rsid w:val="0027568A"/>
    <w:rsid w:val="00275970"/>
    <w:rsid w:val="00275989"/>
    <w:rsid w:val="00275B27"/>
    <w:rsid w:val="00275EFD"/>
    <w:rsid w:val="00276268"/>
    <w:rsid w:val="0027650E"/>
    <w:rsid w:val="002765BA"/>
    <w:rsid w:val="002767CD"/>
    <w:rsid w:val="00276976"/>
    <w:rsid w:val="00276B39"/>
    <w:rsid w:val="00276D13"/>
    <w:rsid w:val="00276E6B"/>
    <w:rsid w:val="002770FA"/>
    <w:rsid w:val="00277524"/>
    <w:rsid w:val="0027777D"/>
    <w:rsid w:val="002777D4"/>
    <w:rsid w:val="002800C9"/>
    <w:rsid w:val="00280982"/>
    <w:rsid w:val="00280CA6"/>
    <w:rsid w:val="00280E1B"/>
    <w:rsid w:val="00280E50"/>
    <w:rsid w:val="00281317"/>
    <w:rsid w:val="00281400"/>
    <w:rsid w:val="0028151B"/>
    <w:rsid w:val="0028175B"/>
    <w:rsid w:val="002817FD"/>
    <w:rsid w:val="00281A96"/>
    <w:rsid w:val="00281E9B"/>
    <w:rsid w:val="002826B1"/>
    <w:rsid w:val="002828DB"/>
    <w:rsid w:val="002828FF"/>
    <w:rsid w:val="00282AFE"/>
    <w:rsid w:val="00282C2E"/>
    <w:rsid w:val="00282C57"/>
    <w:rsid w:val="00282E02"/>
    <w:rsid w:val="00282F3B"/>
    <w:rsid w:val="002830B7"/>
    <w:rsid w:val="0028312E"/>
    <w:rsid w:val="002835A9"/>
    <w:rsid w:val="002835BD"/>
    <w:rsid w:val="00283862"/>
    <w:rsid w:val="002838D6"/>
    <w:rsid w:val="00283E42"/>
    <w:rsid w:val="00283F42"/>
    <w:rsid w:val="002840E5"/>
    <w:rsid w:val="00284375"/>
    <w:rsid w:val="002844CC"/>
    <w:rsid w:val="00284DD8"/>
    <w:rsid w:val="00284E40"/>
    <w:rsid w:val="00285290"/>
    <w:rsid w:val="0028538C"/>
    <w:rsid w:val="0028552F"/>
    <w:rsid w:val="002855B1"/>
    <w:rsid w:val="00285B10"/>
    <w:rsid w:val="00285D4B"/>
    <w:rsid w:val="00285E62"/>
    <w:rsid w:val="00286242"/>
    <w:rsid w:val="00286449"/>
    <w:rsid w:val="0028651B"/>
    <w:rsid w:val="00286760"/>
    <w:rsid w:val="002871F1"/>
    <w:rsid w:val="0028742C"/>
    <w:rsid w:val="00287762"/>
    <w:rsid w:val="002877DF"/>
    <w:rsid w:val="002879AB"/>
    <w:rsid w:val="002879EC"/>
    <w:rsid w:val="00287B6C"/>
    <w:rsid w:val="00287C9F"/>
    <w:rsid w:val="00290117"/>
    <w:rsid w:val="00290254"/>
    <w:rsid w:val="00290299"/>
    <w:rsid w:val="0029055B"/>
    <w:rsid w:val="0029075B"/>
    <w:rsid w:val="00290B07"/>
    <w:rsid w:val="00290B7F"/>
    <w:rsid w:val="00290C4A"/>
    <w:rsid w:val="00290C9C"/>
    <w:rsid w:val="00290CC0"/>
    <w:rsid w:val="00290CDC"/>
    <w:rsid w:val="00290FB4"/>
    <w:rsid w:val="00291026"/>
    <w:rsid w:val="0029104F"/>
    <w:rsid w:val="0029115E"/>
    <w:rsid w:val="0029119B"/>
    <w:rsid w:val="00291392"/>
    <w:rsid w:val="0029142A"/>
    <w:rsid w:val="00291713"/>
    <w:rsid w:val="0029173E"/>
    <w:rsid w:val="00291749"/>
    <w:rsid w:val="00291862"/>
    <w:rsid w:val="00291D80"/>
    <w:rsid w:val="00291DE5"/>
    <w:rsid w:val="0029278A"/>
    <w:rsid w:val="002928FB"/>
    <w:rsid w:val="00292C94"/>
    <w:rsid w:val="00292DAE"/>
    <w:rsid w:val="002930B1"/>
    <w:rsid w:val="002931F3"/>
    <w:rsid w:val="0029336F"/>
    <w:rsid w:val="00293491"/>
    <w:rsid w:val="002934C0"/>
    <w:rsid w:val="002934C1"/>
    <w:rsid w:val="00293551"/>
    <w:rsid w:val="002935B9"/>
    <w:rsid w:val="002935DC"/>
    <w:rsid w:val="0029391A"/>
    <w:rsid w:val="00293A27"/>
    <w:rsid w:val="00293E29"/>
    <w:rsid w:val="00293E2C"/>
    <w:rsid w:val="002942F1"/>
    <w:rsid w:val="00294304"/>
    <w:rsid w:val="00294701"/>
    <w:rsid w:val="002949E2"/>
    <w:rsid w:val="00294B25"/>
    <w:rsid w:val="00294C7A"/>
    <w:rsid w:val="00294FE8"/>
    <w:rsid w:val="00295127"/>
    <w:rsid w:val="0029529E"/>
    <w:rsid w:val="00295527"/>
    <w:rsid w:val="0029553C"/>
    <w:rsid w:val="0029563C"/>
    <w:rsid w:val="002956FD"/>
    <w:rsid w:val="00295ADC"/>
    <w:rsid w:val="00295C9A"/>
    <w:rsid w:val="00295F80"/>
    <w:rsid w:val="00295FF3"/>
    <w:rsid w:val="002961D9"/>
    <w:rsid w:val="00296415"/>
    <w:rsid w:val="0029646B"/>
    <w:rsid w:val="0029669A"/>
    <w:rsid w:val="00296A60"/>
    <w:rsid w:val="00296ACA"/>
    <w:rsid w:val="00296B22"/>
    <w:rsid w:val="00296B25"/>
    <w:rsid w:val="00296BC5"/>
    <w:rsid w:val="00296E91"/>
    <w:rsid w:val="00297300"/>
    <w:rsid w:val="002973D8"/>
    <w:rsid w:val="00297573"/>
    <w:rsid w:val="00297767"/>
    <w:rsid w:val="00297BE6"/>
    <w:rsid w:val="00297D38"/>
    <w:rsid w:val="002A002A"/>
    <w:rsid w:val="002A039A"/>
    <w:rsid w:val="002A0544"/>
    <w:rsid w:val="002A0888"/>
    <w:rsid w:val="002A09A4"/>
    <w:rsid w:val="002A0B3B"/>
    <w:rsid w:val="002A0CC7"/>
    <w:rsid w:val="002A0D3D"/>
    <w:rsid w:val="002A0E8D"/>
    <w:rsid w:val="002A0E9C"/>
    <w:rsid w:val="002A10A3"/>
    <w:rsid w:val="002A134D"/>
    <w:rsid w:val="002A160D"/>
    <w:rsid w:val="002A182B"/>
    <w:rsid w:val="002A19B2"/>
    <w:rsid w:val="002A1B0D"/>
    <w:rsid w:val="002A1BA9"/>
    <w:rsid w:val="002A1D17"/>
    <w:rsid w:val="002A1DB6"/>
    <w:rsid w:val="002A210E"/>
    <w:rsid w:val="002A218F"/>
    <w:rsid w:val="002A2404"/>
    <w:rsid w:val="002A2540"/>
    <w:rsid w:val="002A254A"/>
    <w:rsid w:val="002A26C6"/>
    <w:rsid w:val="002A2739"/>
    <w:rsid w:val="002A2E0A"/>
    <w:rsid w:val="002A2ED9"/>
    <w:rsid w:val="002A2F01"/>
    <w:rsid w:val="002A2F36"/>
    <w:rsid w:val="002A3137"/>
    <w:rsid w:val="002A342D"/>
    <w:rsid w:val="002A349E"/>
    <w:rsid w:val="002A38CF"/>
    <w:rsid w:val="002A3988"/>
    <w:rsid w:val="002A3A7C"/>
    <w:rsid w:val="002A3E33"/>
    <w:rsid w:val="002A3E41"/>
    <w:rsid w:val="002A3EEE"/>
    <w:rsid w:val="002A3EF4"/>
    <w:rsid w:val="002A40D5"/>
    <w:rsid w:val="002A40FF"/>
    <w:rsid w:val="002A416B"/>
    <w:rsid w:val="002A41D9"/>
    <w:rsid w:val="002A42CE"/>
    <w:rsid w:val="002A4490"/>
    <w:rsid w:val="002A456A"/>
    <w:rsid w:val="002A4975"/>
    <w:rsid w:val="002A4BA1"/>
    <w:rsid w:val="002A4E91"/>
    <w:rsid w:val="002A4F99"/>
    <w:rsid w:val="002A53A2"/>
    <w:rsid w:val="002A53BE"/>
    <w:rsid w:val="002A542A"/>
    <w:rsid w:val="002A551C"/>
    <w:rsid w:val="002A5673"/>
    <w:rsid w:val="002A5B38"/>
    <w:rsid w:val="002A5C14"/>
    <w:rsid w:val="002A5E06"/>
    <w:rsid w:val="002A5F19"/>
    <w:rsid w:val="002A613E"/>
    <w:rsid w:val="002A6181"/>
    <w:rsid w:val="002A6222"/>
    <w:rsid w:val="002A65B4"/>
    <w:rsid w:val="002A6874"/>
    <w:rsid w:val="002A6CC3"/>
    <w:rsid w:val="002A6EFA"/>
    <w:rsid w:val="002A703E"/>
    <w:rsid w:val="002A70F3"/>
    <w:rsid w:val="002A75A3"/>
    <w:rsid w:val="002A7670"/>
    <w:rsid w:val="002A7772"/>
    <w:rsid w:val="002A7ED1"/>
    <w:rsid w:val="002B0298"/>
    <w:rsid w:val="002B0630"/>
    <w:rsid w:val="002B066B"/>
    <w:rsid w:val="002B0B0B"/>
    <w:rsid w:val="002B128A"/>
    <w:rsid w:val="002B1407"/>
    <w:rsid w:val="002B1516"/>
    <w:rsid w:val="002B1634"/>
    <w:rsid w:val="002B17B0"/>
    <w:rsid w:val="002B1828"/>
    <w:rsid w:val="002B1A87"/>
    <w:rsid w:val="002B1CA6"/>
    <w:rsid w:val="002B1D9F"/>
    <w:rsid w:val="002B1DD6"/>
    <w:rsid w:val="002B1F0C"/>
    <w:rsid w:val="002B210A"/>
    <w:rsid w:val="002B269C"/>
    <w:rsid w:val="002B2819"/>
    <w:rsid w:val="002B2B2A"/>
    <w:rsid w:val="002B2BF2"/>
    <w:rsid w:val="002B3014"/>
    <w:rsid w:val="002B3095"/>
    <w:rsid w:val="002B3145"/>
    <w:rsid w:val="002B37E1"/>
    <w:rsid w:val="002B3BAA"/>
    <w:rsid w:val="002B4040"/>
    <w:rsid w:val="002B4779"/>
    <w:rsid w:val="002B4A09"/>
    <w:rsid w:val="002B4A4F"/>
    <w:rsid w:val="002B4B87"/>
    <w:rsid w:val="002B4CC3"/>
    <w:rsid w:val="002B4D77"/>
    <w:rsid w:val="002B4E28"/>
    <w:rsid w:val="002B4EBB"/>
    <w:rsid w:val="002B5408"/>
    <w:rsid w:val="002B5459"/>
    <w:rsid w:val="002B562A"/>
    <w:rsid w:val="002B56FB"/>
    <w:rsid w:val="002B5D77"/>
    <w:rsid w:val="002B5D7B"/>
    <w:rsid w:val="002B61DB"/>
    <w:rsid w:val="002B62BD"/>
    <w:rsid w:val="002B6715"/>
    <w:rsid w:val="002B6724"/>
    <w:rsid w:val="002B69AD"/>
    <w:rsid w:val="002B6F68"/>
    <w:rsid w:val="002B731B"/>
    <w:rsid w:val="002B74D9"/>
    <w:rsid w:val="002B7B6A"/>
    <w:rsid w:val="002B7C73"/>
    <w:rsid w:val="002B7CF8"/>
    <w:rsid w:val="002B7F36"/>
    <w:rsid w:val="002C0189"/>
    <w:rsid w:val="002C029C"/>
    <w:rsid w:val="002C02A3"/>
    <w:rsid w:val="002C0596"/>
    <w:rsid w:val="002C0ACB"/>
    <w:rsid w:val="002C0B00"/>
    <w:rsid w:val="002C0E1E"/>
    <w:rsid w:val="002C0EB9"/>
    <w:rsid w:val="002C0F2F"/>
    <w:rsid w:val="002C1036"/>
    <w:rsid w:val="002C10B2"/>
    <w:rsid w:val="002C11FB"/>
    <w:rsid w:val="002C1231"/>
    <w:rsid w:val="002C1809"/>
    <w:rsid w:val="002C1880"/>
    <w:rsid w:val="002C198F"/>
    <w:rsid w:val="002C1C53"/>
    <w:rsid w:val="002C1D41"/>
    <w:rsid w:val="002C1D8E"/>
    <w:rsid w:val="002C2011"/>
    <w:rsid w:val="002C23CD"/>
    <w:rsid w:val="002C24E1"/>
    <w:rsid w:val="002C283A"/>
    <w:rsid w:val="002C2952"/>
    <w:rsid w:val="002C2CE9"/>
    <w:rsid w:val="002C2D2C"/>
    <w:rsid w:val="002C2E54"/>
    <w:rsid w:val="002C2F77"/>
    <w:rsid w:val="002C3236"/>
    <w:rsid w:val="002C3357"/>
    <w:rsid w:val="002C3553"/>
    <w:rsid w:val="002C380E"/>
    <w:rsid w:val="002C38BB"/>
    <w:rsid w:val="002C393A"/>
    <w:rsid w:val="002C3A7D"/>
    <w:rsid w:val="002C3B65"/>
    <w:rsid w:val="002C3D71"/>
    <w:rsid w:val="002C408E"/>
    <w:rsid w:val="002C42D5"/>
    <w:rsid w:val="002C46F8"/>
    <w:rsid w:val="002C47DF"/>
    <w:rsid w:val="002C4A2A"/>
    <w:rsid w:val="002C4B3D"/>
    <w:rsid w:val="002C4B76"/>
    <w:rsid w:val="002C4D3B"/>
    <w:rsid w:val="002C4E0C"/>
    <w:rsid w:val="002C50BE"/>
    <w:rsid w:val="002C5129"/>
    <w:rsid w:val="002C52E2"/>
    <w:rsid w:val="002C5599"/>
    <w:rsid w:val="002C5AB5"/>
    <w:rsid w:val="002C5C7A"/>
    <w:rsid w:val="002C5C82"/>
    <w:rsid w:val="002C60C6"/>
    <w:rsid w:val="002C60D2"/>
    <w:rsid w:val="002C60EA"/>
    <w:rsid w:val="002C6187"/>
    <w:rsid w:val="002C655B"/>
    <w:rsid w:val="002C6649"/>
    <w:rsid w:val="002C6A98"/>
    <w:rsid w:val="002C6CBB"/>
    <w:rsid w:val="002C6CF5"/>
    <w:rsid w:val="002C6DA1"/>
    <w:rsid w:val="002C70AA"/>
    <w:rsid w:val="002C71E7"/>
    <w:rsid w:val="002C753F"/>
    <w:rsid w:val="002C757F"/>
    <w:rsid w:val="002C7AA7"/>
    <w:rsid w:val="002C9F27"/>
    <w:rsid w:val="002D03BD"/>
    <w:rsid w:val="002D0482"/>
    <w:rsid w:val="002D060B"/>
    <w:rsid w:val="002D07E1"/>
    <w:rsid w:val="002D0AEB"/>
    <w:rsid w:val="002D128A"/>
    <w:rsid w:val="002D14A0"/>
    <w:rsid w:val="002D18B4"/>
    <w:rsid w:val="002D1D67"/>
    <w:rsid w:val="002D2290"/>
    <w:rsid w:val="002D23AE"/>
    <w:rsid w:val="002D2465"/>
    <w:rsid w:val="002D2A01"/>
    <w:rsid w:val="002D2B61"/>
    <w:rsid w:val="002D2EB1"/>
    <w:rsid w:val="002D2FE3"/>
    <w:rsid w:val="002D34DC"/>
    <w:rsid w:val="002D35EC"/>
    <w:rsid w:val="002D369F"/>
    <w:rsid w:val="002D37E1"/>
    <w:rsid w:val="002D3AB0"/>
    <w:rsid w:val="002D3B5E"/>
    <w:rsid w:val="002D3CD0"/>
    <w:rsid w:val="002D3FAA"/>
    <w:rsid w:val="002D4212"/>
    <w:rsid w:val="002D4583"/>
    <w:rsid w:val="002D46A6"/>
    <w:rsid w:val="002D5097"/>
    <w:rsid w:val="002D5141"/>
    <w:rsid w:val="002D51D7"/>
    <w:rsid w:val="002D55A0"/>
    <w:rsid w:val="002D57A0"/>
    <w:rsid w:val="002D5A3C"/>
    <w:rsid w:val="002D5A7A"/>
    <w:rsid w:val="002D5AD2"/>
    <w:rsid w:val="002D5B64"/>
    <w:rsid w:val="002D5CDE"/>
    <w:rsid w:val="002D5ED0"/>
    <w:rsid w:val="002D5F3D"/>
    <w:rsid w:val="002D6785"/>
    <w:rsid w:val="002D68E3"/>
    <w:rsid w:val="002D6902"/>
    <w:rsid w:val="002D6A15"/>
    <w:rsid w:val="002D6AF1"/>
    <w:rsid w:val="002D6C23"/>
    <w:rsid w:val="002D6E8B"/>
    <w:rsid w:val="002D6EC6"/>
    <w:rsid w:val="002D71D1"/>
    <w:rsid w:val="002D7209"/>
    <w:rsid w:val="002D73DD"/>
    <w:rsid w:val="002D77F9"/>
    <w:rsid w:val="002D7884"/>
    <w:rsid w:val="002D7967"/>
    <w:rsid w:val="002D7C69"/>
    <w:rsid w:val="002D7E36"/>
    <w:rsid w:val="002E00F8"/>
    <w:rsid w:val="002E04E5"/>
    <w:rsid w:val="002E0649"/>
    <w:rsid w:val="002E08F3"/>
    <w:rsid w:val="002E0BD7"/>
    <w:rsid w:val="002E1043"/>
    <w:rsid w:val="002E10D6"/>
    <w:rsid w:val="002E11E6"/>
    <w:rsid w:val="002E1558"/>
    <w:rsid w:val="002E179D"/>
    <w:rsid w:val="002E1ACB"/>
    <w:rsid w:val="002E1B94"/>
    <w:rsid w:val="002E1C00"/>
    <w:rsid w:val="002E1D97"/>
    <w:rsid w:val="002E20BA"/>
    <w:rsid w:val="002E23DF"/>
    <w:rsid w:val="002E241C"/>
    <w:rsid w:val="002E2838"/>
    <w:rsid w:val="002E2DCA"/>
    <w:rsid w:val="002E2E5B"/>
    <w:rsid w:val="002E2EE3"/>
    <w:rsid w:val="002E32D4"/>
    <w:rsid w:val="002E34D0"/>
    <w:rsid w:val="002E352C"/>
    <w:rsid w:val="002E3545"/>
    <w:rsid w:val="002E37D8"/>
    <w:rsid w:val="002E3887"/>
    <w:rsid w:val="002E38D7"/>
    <w:rsid w:val="002E3990"/>
    <w:rsid w:val="002E3D73"/>
    <w:rsid w:val="002E3DED"/>
    <w:rsid w:val="002E4158"/>
    <w:rsid w:val="002E43BF"/>
    <w:rsid w:val="002E4438"/>
    <w:rsid w:val="002E44AA"/>
    <w:rsid w:val="002E44ED"/>
    <w:rsid w:val="002E4507"/>
    <w:rsid w:val="002E4586"/>
    <w:rsid w:val="002E4D68"/>
    <w:rsid w:val="002E4D6B"/>
    <w:rsid w:val="002E4D7A"/>
    <w:rsid w:val="002E52A8"/>
    <w:rsid w:val="002E533D"/>
    <w:rsid w:val="002E5477"/>
    <w:rsid w:val="002E54A2"/>
    <w:rsid w:val="002E55A4"/>
    <w:rsid w:val="002E55CA"/>
    <w:rsid w:val="002E5645"/>
    <w:rsid w:val="002E5815"/>
    <w:rsid w:val="002E582B"/>
    <w:rsid w:val="002E5885"/>
    <w:rsid w:val="002E5945"/>
    <w:rsid w:val="002E5A2C"/>
    <w:rsid w:val="002E5C51"/>
    <w:rsid w:val="002E637E"/>
    <w:rsid w:val="002E63C5"/>
    <w:rsid w:val="002E6512"/>
    <w:rsid w:val="002E65B1"/>
    <w:rsid w:val="002E65CB"/>
    <w:rsid w:val="002E6C4C"/>
    <w:rsid w:val="002E6CC8"/>
    <w:rsid w:val="002E790C"/>
    <w:rsid w:val="002E7997"/>
    <w:rsid w:val="002E7A0A"/>
    <w:rsid w:val="002E7D99"/>
    <w:rsid w:val="002E7F1B"/>
    <w:rsid w:val="002E7FF8"/>
    <w:rsid w:val="002F01A9"/>
    <w:rsid w:val="002F01F8"/>
    <w:rsid w:val="002F0235"/>
    <w:rsid w:val="002F0434"/>
    <w:rsid w:val="002F049F"/>
    <w:rsid w:val="002F04B6"/>
    <w:rsid w:val="002F04EE"/>
    <w:rsid w:val="002F0F50"/>
    <w:rsid w:val="002F113E"/>
    <w:rsid w:val="002F1462"/>
    <w:rsid w:val="002F1A8D"/>
    <w:rsid w:val="002F1BDB"/>
    <w:rsid w:val="002F1CAE"/>
    <w:rsid w:val="002F21D7"/>
    <w:rsid w:val="002F23FA"/>
    <w:rsid w:val="002F2CE8"/>
    <w:rsid w:val="002F3498"/>
    <w:rsid w:val="002F3557"/>
    <w:rsid w:val="002F38D5"/>
    <w:rsid w:val="002F3A21"/>
    <w:rsid w:val="002F3E08"/>
    <w:rsid w:val="002F428C"/>
    <w:rsid w:val="002F457C"/>
    <w:rsid w:val="002F46B4"/>
    <w:rsid w:val="002F4D5A"/>
    <w:rsid w:val="002F4DB0"/>
    <w:rsid w:val="002F5200"/>
    <w:rsid w:val="002F5370"/>
    <w:rsid w:val="002F5412"/>
    <w:rsid w:val="002F554F"/>
    <w:rsid w:val="002F5BA4"/>
    <w:rsid w:val="002F5E57"/>
    <w:rsid w:val="002F5F7E"/>
    <w:rsid w:val="002F602C"/>
    <w:rsid w:val="002F62BF"/>
    <w:rsid w:val="002F637C"/>
    <w:rsid w:val="002F6424"/>
    <w:rsid w:val="002F6478"/>
    <w:rsid w:val="002F6485"/>
    <w:rsid w:val="002F66F1"/>
    <w:rsid w:val="002F67F0"/>
    <w:rsid w:val="002F6942"/>
    <w:rsid w:val="002F6C97"/>
    <w:rsid w:val="002F7069"/>
    <w:rsid w:val="002F70C9"/>
    <w:rsid w:val="002F745D"/>
    <w:rsid w:val="002F74DC"/>
    <w:rsid w:val="002F77B3"/>
    <w:rsid w:val="002F7B58"/>
    <w:rsid w:val="002F7F3E"/>
    <w:rsid w:val="003002CD"/>
    <w:rsid w:val="00300512"/>
    <w:rsid w:val="00300624"/>
    <w:rsid w:val="00300970"/>
    <w:rsid w:val="00300A72"/>
    <w:rsid w:val="00300D16"/>
    <w:rsid w:val="00300D4A"/>
    <w:rsid w:val="00301009"/>
    <w:rsid w:val="00301241"/>
    <w:rsid w:val="00301BF2"/>
    <w:rsid w:val="00302238"/>
    <w:rsid w:val="0030247D"/>
    <w:rsid w:val="00302C89"/>
    <w:rsid w:val="00303096"/>
    <w:rsid w:val="00303320"/>
    <w:rsid w:val="00303549"/>
    <w:rsid w:val="0030365F"/>
    <w:rsid w:val="0030389F"/>
    <w:rsid w:val="00303B26"/>
    <w:rsid w:val="00303D39"/>
    <w:rsid w:val="00303D92"/>
    <w:rsid w:val="00303ED4"/>
    <w:rsid w:val="00303FBC"/>
    <w:rsid w:val="00304105"/>
    <w:rsid w:val="00304159"/>
    <w:rsid w:val="00304863"/>
    <w:rsid w:val="00304967"/>
    <w:rsid w:val="00304F5D"/>
    <w:rsid w:val="0030502C"/>
    <w:rsid w:val="00305102"/>
    <w:rsid w:val="0030513D"/>
    <w:rsid w:val="00305899"/>
    <w:rsid w:val="00305903"/>
    <w:rsid w:val="00305C7C"/>
    <w:rsid w:val="00306071"/>
    <w:rsid w:val="003064EC"/>
    <w:rsid w:val="0030659C"/>
    <w:rsid w:val="00306668"/>
    <w:rsid w:val="003066CB"/>
    <w:rsid w:val="00306A92"/>
    <w:rsid w:val="00306AB6"/>
    <w:rsid w:val="00306B26"/>
    <w:rsid w:val="0030724D"/>
    <w:rsid w:val="00307844"/>
    <w:rsid w:val="003078C6"/>
    <w:rsid w:val="00307B29"/>
    <w:rsid w:val="00307EE6"/>
    <w:rsid w:val="00307FF9"/>
    <w:rsid w:val="003104AE"/>
    <w:rsid w:val="0031050E"/>
    <w:rsid w:val="003109F8"/>
    <w:rsid w:val="00310FE9"/>
    <w:rsid w:val="0031119F"/>
    <w:rsid w:val="00311377"/>
    <w:rsid w:val="003114DA"/>
    <w:rsid w:val="00311831"/>
    <w:rsid w:val="00311C67"/>
    <w:rsid w:val="00311D6F"/>
    <w:rsid w:val="00311DCC"/>
    <w:rsid w:val="00312933"/>
    <w:rsid w:val="0031298F"/>
    <w:rsid w:val="00312B40"/>
    <w:rsid w:val="00312CA6"/>
    <w:rsid w:val="003131E6"/>
    <w:rsid w:val="003137FA"/>
    <w:rsid w:val="003139DA"/>
    <w:rsid w:val="00313A45"/>
    <w:rsid w:val="0031441A"/>
    <w:rsid w:val="00314513"/>
    <w:rsid w:val="003149E9"/>
    <w:rsid w:val="00314E82"/>
    <w:rsid w:val="0031502F"/>
    <w:rsid w:val="00315033"/>
    <w:rsid w:val="003150C2"/>
    <w:rsid w:val="00315102"/>
    <w:rsid w:val="00315587"/>
    <w:rsid w:val="0031578A"/>
    <w:rsid w:val="003157A2"/>
    <w:rsid w:val="003158DF"/>
    <w:rsid w:val="00315F66"/>
    <w:rsid w:val="003163DC"/>
    <w:rsid w:val="00316B82"/>
    <w:rsid w:val="00316BB8"/>
    <w:rsid w:val="00316D32"/>
    <w:rsid w:val="00317178"/>
    <w:rsid w:val="00317543"/>
    <w:rsid w:val="00317555"/>
    <w:rsid w:val="00317878"/>
    <w:rsid w:val="00317B72"/>
    <w:rsid w:val="00317CFA"/>
    <w:rsid w:val="003200E0"/>
    <w:rsid w:val="0032024D"/>
    <w:rsid w:val="003206FF"/>
    <w:rsid w:val="00320927"/>
    <w:rsid w:val="00320AB1"/>
    <w:rsid w:val="00320CB5"/>
    <w:rsid w:val="00320E52"/>
    <w:rsid w:val="00320EAE"/>
    <w:rsid w:val="00320F8A"/>
    <w:rsid w:val="0032134B"/>
    <w:rsid w:val="003213F4"/>
    <w:rsid w:val="003214EE"/>
    <w:rsid w:val="00321725"/>
    <w:rsid w:val="00321760"/>
    <w:rsid w:val="00321BC6"/>
    <w:rsid w:val="00321CD3"/>
    <w:rsid w:val="00322045"/>
    <w:rsid w:val="0032207C"/>
    <w:rsid w:val="003220B8"/>
    <w:rsid w:val="00322201"/>
    <w:rsid w:val="00322389"/>
    <w:rsid w:val="003223AB"/>
    <w:rsid w:val="003225FC"/>
    <w:rsid w:val="00322954"/>
    <w:rsid w:val="00322990"/>
    <w:rsid w:val="00322C21"/>
    <w:rsid w:val="00322EA9"/>
    <w:rsid w:val="00323246"/>
    <w:rsid w:val="00323404"/>
    <w:rsid w:val="00323420"/>
    <w:rsid w:val="0032346C"/>
    <w:rsid w:val="00323935"/>
    <w:rsid w:val="003239BD"/>
    <w:rsid w:val="00324207"/>
    <w:rsid w:val="00324496"/>
    <w:rsid w:val="00324608"/>
    <w:rsid w:val="00324C37"/>
    <w:rsid w:val="00324E4E"/>
    <w:rsid w:val="00324EFF"/>
    <w:rsid w:val="00325222"/>
    <w:rsid w:val="00325331"/>
    <w:rsid w:val="00325859"/>
    <w:rsid w:val="00325AA0"/>
    <w:rsid w:val="00325B32"/>
    <w:rsid w:val="00325BB4"/>
    <w:rsid w:val="00325E23"/>
    <w:rsid w:val="003260EC"/>
    <w:rsid w:val="0032626F"/>
    <w:rsid w:val="003265DA"/>
    <w:rsid w:val="00326A30"/>
    <w:rsid w:val="00326A78"/>
    <w:rsid w:val="00326AA8"/>
    <w:rsid w:val="00326B37"/>
    <w:rsid w:val="00326E73"/>
    <w:rsid w:val="0032701A"/>
    <w:rsid w:val="00327040"/>
    <w:rsid w:val="003277EA"/>
    <w:rsid w:val="003278E9"/>
    <w:rsid w:val="00327D87"/>
    <w:rsid w:val="00327E90"/>
    <w:rsid w:val="00330405"/>
    <w:rsid w:val="003306BD"/>
    <w:rsid w:val="003307DB"/>
    <w:rsid w:val="003308CF"/>
    <w:rsid w:val="00330F7A"/>
    <w:rsid w:val="003311F8"/>
    <w:rsid w:val="00331339"/>
    <w:rsid w:val="00331462"/>
    <w:rsid w:val="003314E9"/>
    <w:rsid w:val="003315B1"/>
    <w:rsid w:val="0033161F"/>
    <w:rsid w:val="00331742"/>
    <w:rsid w:val="00331AB0"/>
    <w:rsid w:val="00331D70"/>
    <w:rsid w:val="00331FFF"/>
    <w:rsid w:val="0033225F"/>
    <w:rsid w:val="003323E6"/>
    <w:rsid w:val="00332463"/>
    <w:rsid w:val="003328DD"/>
    <w:rsid w:val="00332A2F"/>
    <w:rsid w:val="00332BA1"/>
    <w:rsid w:val="00332BB8"/>
    <w:rsid w:val="00332DD7"/>
    <w:rsid w:val="00332DE7"/>
    <w:rsid w:val="00332E4C"/>
    <w:rsid w:val="00332E6C"/>
    <w:rsid w:val="00332EDC"/>
    <w:rsid w:val="00333AB5"/>
    <w:rsid w:val="00333EF1"/>
    <w:rsid w:val="0033405D"/>
    <w:rsid w:val="0033413F"/>
    <w:rsid w:val="003344AA"/>
    <w:rsid w:val="0033479C"/>
    <w:rsid w:val="00334844"/>
    <w:rsid w:val="00334866"/>
    <w:rsid w:val="00334A10"/>
    <w:rsid w:val="00334DBE"/>
    <w:rsid w:val="003356EB"/>
    <w:rsid w:val="00335792"/>
    <w:rsid w:val="003359BD"/>
    <w:rsid w:val="003359C0"/>
    <w:rsid w:val="00335B95"/>
    <w:rsid w:val="00335EC5"/>
    <w:rsid w:val="003360E3"/>
    <w:rsid w:val="003361D7"/>
    <w:rsid w:val="00336393"/>
    <w:rsid w:val="003363A9"/>
    <w:rsid w:val="00336441"/>
    <w:rsid w:val="00336AE0"/>
    <w:rsid w:val="00336FB4"/>
    <w:rsid w:val="0033729C"/>
    <w:rsid w:val="003375CB"/>
    <w:rsid w:val="00337805"/>
    <w:rsid w:val="00337B65"/>
    <w:rsid w:val="0034010B"/>
    <w:rsid w:val="0034037D"/>
    <w:rsid w:val="00340C18"/>
    <w:rsid w:val="00340D29"/>
    <w:rsid w:val="003410CD"/>
    <w:rsid w:val="0034161E"/>
    <w:rsid w:val="00341726"/>
    <w:rsid w:val="00341AAE"/>
    <w:rsid w:val="00341BF6"/>
    <w:rsid w:val="00341D45"/>
    <w:rsid w:val="00342253"/>
    <w:rsid w:val="00342438"/>
    <w:rsid w:val="00342696"/>
    <w:rsid w:val="003426F5"/>
    <w:rsid w:val="00342BDE"/>
    <w:rsid w:val="00342DB5"/>
    <w:rsid w:val="00342DBD"/>
    <w:rsid w:val="003433EB"/>
    <w:rsid w:val="0034377F"/>
    <w:rsid w:val="00343E63"/>
    <w:rsid w:val="00343F38"/>
    <w:rsid w:val="0034480E"/>
    <w:rsid w:val="00344817"/>
    <w:rsid w:val="00344877"/>
    <w:rsid w:val="00344BCA"/>
    <w:rsid w:val="00344C18"/>
    <w:rsid w:val="00344C7E"/>
    <w:rsid w:val="00344E16"/>
    <w:rsid w:val="00345108"/>
    <w:rsid w:val="0034564E"/>
    <w:rsid w:val="00345B9C"/>
    <w:rsid w:val="00345CBB"/>
    <w:rsid w:val="00345D0E"/>
    <w:rsid w:val="00345DC5"/>
    <w:rsid w:val="00345F07"/>
    <w:rsid w:val="00345FCA"/>
    <w:rsid w:val="0034600D"/>
    <w:rsid w:val="0034610F"/>
    <w:rsid w:val="003463AF"/>
    <w:rsid w:val="00346609"/>
    <w:rsid w:val="003466E2"/>
    <w:rsid w:val="00346740"/>
    <w:rsid w:val="003469C6"/>
    <w:rsid w:val="00346F22"/>
    <w:rsid w:val="0034762B"/>
    <w:rsid w:val="00347747"/>
    <w:rsid w:val="00347977"/>
    <w:rsid w:val="00347B5D"/>
    <w:rsid w:val="00347CBC"/>
    <w:rsid w:val="00347DB5"/>
    <w:rsid w:val="00347E39"/>
    <w:rsid w:val="00347E5F"/>
    <w:rsid w:val="003504D0"/>
    <w:rsid w:val="003507EB"/>
    <w:rsid w:val="00350A61"/>
    <w:rsid w:val="00350AC4"/>
    <w:rsid w:val="00350C64"/>
    <w:rsid w:val="00350E5D"/>
    <w:rsid w:val="003510BF"/>
    <w:rsid w:val="0035119A"/>
    <w:rsid w:val="00351278"/>
    <w:rsid w:val="003512C9"/>
    <w:rsid w:val="003513EA"/>
    <w:rsid w:val="00351931"/>
    <w:rsid w:val="00351937"/>
    <w:rsid w:val="00351B30"/>
    <w:rsid w:val="00351CC9"/>
    <w:rsid w:val="00351DE2"/>
    <w:rsid w:val="00351E5B"/>
    <w:rsid w:val="00351EDD"/>
    <w:rsid w:val="00352803"/>
    <w:rsid w:val="00352933"/>
    <w:rsid w:val="00352A04"/>
    <w:rsid w:val="00352CA3"/>
    <w:rsid w:val="00353295"/>
    <w:rsid w:val="00353950"/>
    <w:rsid w:val="00353A13"/>
    <w:rsid w:val="00353BE9"/>
    <w:rsid w:val="00353C58"/>
    <w:rsid w:val="00353E0B"/>
    <w:rsid w:val="00354227"/>
    <w:rsid w:val="003543B5"/>
    <w:rsid w:val="00354643"/>
    <w:rsid w:val="003546FB"/>
    <w:rsid w:val="00354A28"/>
    <w:rsid w:val="00354B33"/>
    <w:rsid w:val="0035554A"/>
    <w:rsid w:val="0035587B"/>
    <w:rsid w:val="00355A0C"/>
    <w:rsid w:val="00355C9D"/>
    <w:rsid w:val="003560DC"/>
    <w:rsid w:val="00356719"/>
    <w:rsid w:val="0035674F"/>
    <w:rsid w:val="00356956"/>
    <w:rsid w:val="00356B72"/>
    <w:rsid w:val="00356CBB"/>
    <w:rsid w:val="003570F2"/>
    <w:rsid w:val="00357138"/>
    <w:rsid w:val="003571C2"/>
    <w:rsid w:val="003572F4"/>
    <w:rsid w:val="00357835"/>
    <w:rsid w:val="00357B08"/>
    <w:rsid w:val="00357D82"/>
    <w:rsid w:val="00357EAF"/>
    <w:rsid w:val="00357EFB"/>
    <w:rsid w:val="00360674"/>
    <w:rsid w:val="00360889"/>
    <w:rsid w:val="003608DA"/>
    <w:rsid w:val="0036098C"/>
    <w:rsid w:val="00360BF6"/>
    <w:rsid w:val="00360D50"/>
    <w:rsid w:val="00360F88"/>
    <w:rsid w:val="003614EC"/>
    <w:rsid w:val="00361929"/>
    <w:rsid w:val="00361D7B"/>
    <w:rsid w:val="00361E5A"/>
    <w:rsid w:val="00362B7A"/>
    <w:rsid w:val="00362CBF"/>
    <w:rsid w:val="00362D06"/>
    <w:rsid w:val="00363188"/>
    <w:rsid w:val="003631A3"/>
    <w:rsid w:val="003631F3"/>
    <w:rsid w:val="00363284"/>
    <w:rsid w:val="00363548"/>
    <w:rsid w:val="00363715"/>
    <w:rsid w:val="00363838"/>
    <w:rsid w:val="0036393C"/>
    <w:rsid w:val="00363A83"/>
    <w:rsid w:val="00363B83"/>
    <w:rsid w:val="00363C35"/>
    <w:rsid w:val="0036446F"/>
    <w:rsid w:val="00364610"/>
    <w:rsid w:val="00364626"/>
    <w:rsid w:val="003646FE"/>
    <w:rsid w:val="00364998"/>
    <w:rsid w:val="003649DA"/>
    <w:rsid w:val="00364C07"/>
    <w:rsid w:val="00364EC2"/>
    <w:rsid w:val="003652C0"/>
    <w:rsid w:val="00365564"/>
    <w:rsid w:val="00365B0B"/>
    <w:rsid w:val="00365F12"/>
    <w:rsid w:val="00366322"/>
    <w:rsid w:val="0036678E"/>
    <w:rsid w:val="00366D53"/>
    <w:rsid w:val="00366DCE"/>
    <w:rsid w:val="00366E5A"/>
    <w:rsid w:val="00366F50"/>
    <w:rsid w:val="00367197"/>
    <w:rsid w:val="0036723F"/>
    <w:rsid w:val="00367481"/>
    <w:rsid w:val="0036756B"/>
    <w:rsid w:val="0036777D"/>
    <w:rsid w:val="00367ACD"/>
    <w:rsid w:val="00367BFC"/>
    <w:rsid w:val="00367F1B"/>
    <w:rsid w:val="00367F20"/>
    <w:rsid w:val="00367FEB"/>
    <w:rsid w:val="00370288"/>
    <w:rsid w:val="00370414"/>
    <w:rsid w:val="003705B8"/>
    <w:rsid w:val="003706EB"/>
    <w:rsid w:val="003707A7"/>
    <w:rsid w:val="00370B68"/>
    <w:rsid w:val="00370D37"/>
    <w:rsid w:val="00370F6B"/>
    <w:rsid w:val="003711BD"/>
    <w:rsid w:val="003714DF"/>
    <w:rsid w:val="003716FC"/>
    <w:rsid w:val="00371862"/>
    <w:rsid w:val="00371939"/>
    <w:rsid w:val="00371991"/>
    <w:rsid w:val="00371B50"/>
    <w:rsid w:val="00371DC9"/>
    <w:rsid w:val="00371E85"/>
    <w:rsid w:val="0037219D"/>
    <w:rsid w:val="0037235B"/>
    <w:rsid w:val="003726E3"/>
    <w:rsid w:val="00372723"/>
    <w:rsid w:val="00372BF6"/>
    <w:rsid w:val="003731C4"/>
    <w:rsid w:val="0037323E"/>
    <w:rsid w:val="00373305"/>
    <w:rsid w:val="00373406"/>
    <w:rsid w:val="003735D0"/>
    <w:rsid w:val="003736C0"/>
    <w:rsid w:val="0037387C"/>
    <w:rsid w:val="003738D1"/>
    <w:rsid w:val="0037390A"/>
    <w:rsid w:val="00373975"/>
    <w:rsid w:val="00373C7C"/>
    <w:rsid w:val="00373D33"/>
    <w:rsid w:val="0037450E"/>
    <w:rsid w:val="003746E0"/>
    <w:rsid w:val="00374B19"/>
    <w:rsid w:val="00374B39"/>
    <w:rsid w:val="0037513E"/>
    <w:rsid w:val="0037538F"/>
    <w:rsid w:val="003753B0"/>
    <w:rsid w:val="003753BF"/>
    <w:rsid w:val="0037574A"/>
    <w:rsid w:val="0037576C"/>
    <w:rsid w:val="00375AFF"/>
    <w:rsid w:val="00375B0A"/>
    <w:rsid w:val="00375BF4"/>
    <w:rsid w:val="00375C83"/>
    <w:rsid w:val="00375F9C"/>
    <w:rsid w:val="0037614B"/>
    <w:rsid w:val="0037629E"/>
    <w:rsid w:val="00376908"/>
    <w:rsid w:val="003769CE"/>
    <w:rsid w:val="00376C54"/>
    <w:rsid w:val="00376E19"/>
    <w:rsid w:val="00376F9D"/>
    <w:rsid w:val="00377141"/>
    <w:rsid w:val="003772B0"/>
    <w:rsid w:val="003778FD"/>
    <w:rsid w:val="00377B5B"/>
    <w:rsid w:val="00377DE5"/>
    <w:rsid w:val="003803A0"/>
    <w:rsid w:val="003805EA"/>
    <w:rsid w:val="00380631"/>
    <w:rsid w:val="00380827"/>
    <w:rsid w:val="00380CF7"/>
    <w:rsid w:val="00380FD0"/>
    <w:rsid w:val="00381325"/>
    <w:rsid w:val="00381358"/>
    <w:rsid w:val="0038173D"/>
    <w:rsid w:val="003817DE"/>
    <w:rsid w:val="00381B50"/>
    <w:rsid w:val="00382001"/>
    <w:rsid w:val="00382266"/>
    <w:rsid w:val="003822A6"/>
    <w:rsid w:val="00382519"/>
    <w:rsid w:val="003826FE"/>
    <w:rsid w:val="003829AE"/>
    <w:rsid w:val="00382D4D"/>
    <w:rsid w:val="00382F6B"/>
    <w:rsid w:val="00383216"/>
    <w:rsid w:val="00383621"/>
    <w:rsid w:val="00383B70"/>
    <w:rsid w:val="00383E70"/>
    <w:rsid w:val="00383F7F"/>
    <w:rsid w:val="00383FB8"/>
    <w:rsid w:val="00383FF6"/>
    <w:rsid w:val="003841C6"/>
    <w:rsid w:val="00384341"/>
    <w:rsid w:val="00384450"/>
    <w:rsid w:val="0038446C"/>
    <w:rsid w:val="0038458F"/>
    <w:rsid w:val="0038464F"/>
    <w:rsid w:val="003849CF"/>
    <w:rsid w:val="00384CBC"/>
    <w:rsid w:val="00384DD6"/>
    <w:rsid w:val="00384F90"/>
    <w:rsid w:val="00385236"/>
    <w:rsid w:val="0038562D"/>
    <w:rsid w:val="00385817"/>
    <w:rsid w:val="00385A7B"/>
    <w:rsid w:val="00385C8C"/>
    <w:rsid w:val="00385E94"/>
    <w:rsid w:val="00385F15"/>
    <w:rsid w:val="00385FFC"/>
    <w:rsid w:val="00386365"/>
    <w:rsid w:val="00386E7F"/>
    <w:rsid w:val="00386ED8"/>
    <w:rsid w:val="00386F31"/>
    <w:rsid w:val="00386FB0"/>
    <w:rsid w:val="00386FD6"/>
    <w:rsid w:val="003870DF"/>
    <w:rsid w:val="003872F8"/>
    <w:rsid w:val="00387A59"/>
    <w:rsid w:val="00387ED6"/>
    <w:rsid w:val="003902A1"/>
    <w:rsid w:val="003905B2"/>
    <w:rsid w:val="00390B3F"/>
    <w:rsid w:val="00390C23"/>
    <w:rsid w:val="00390EB9"/>
    <w:rsid w:val="00391003"/>
    <w:rsid w:val="0039112E"/>
    <w:rsid w:val="0039187A"/>
    <w:rsid w:val="00391886"/>
    <w:rsid w:val="003919A5"/>
    <w:rsid w:val="00391D4E"/>
    <w:rsid w:val="003920E1"/>
    <w:rsid w:val="00392695"/>
    <w:rsid w:val="003926DC"/>
    <w:rsid w:val="00392916"/>
    <w:rsid w:val="00392C75"/>
    <w:rsid w:val="00393057"/>
    <w:rsid w:val="003930B0"/>
    <w:rsid w:val="0039318A"/>
    <w:rsid w:val="0039333F"/>
    <w:rsid w:val="0039343E"/>
    <w:rsid w:val="00393591"/>
    <w:rsid w:val="00393C69"/>
    <w:rsid w:val="00393DB6"/>
    <w:rsid w:val="00393E49"/>
    <w:rsid w:val="003941B4"/>
    <w:rsid w:val="00394362"/>
    <w:rsid w:val="003944F7"/>
    <w:rsid w:val="0039469F"/>
    <w:rsid w:val="0039483E"/>
    <w:rsid w:val="0039484D"/>
    <w:rsid w:val="00394936"/>
    <w:rsid w:val="00394BC8"/>
    <w:rsid w:val="00394DBD"/>
    <w:rsid w:val="00394DFA"/>
    <w:rsid w:val="00394ECD"/>
    <w:rsid w:val="0039547B"/>
    <w:rsid w:val="00395630"/>
    <w:rsid w:val="00395F7C"/>
    <w:rsid w:val="0039607A"/>
    <w:rsid w:val="00396380"/>
    <w:rsid w:val="003964D3"/>
    <w:rsid w:val="0039658D"/>
    <w:rsid w:val="0039676C"/>
    <w:rsid w:val="00396D61"/>
    <w:rsid w:val="003970BD"/>
    <w:rsid w:val="00397126"/>
    <w:rsid w:val="00397449"/>
    <w:rsid w:val="003975A9"/>
    <w:rsid w:val="003A02AD"/>
    <w:rsid w:val="003A03C1"/>
    <w:rsid w:val="003A0468"/>
    <w:rsid w:val="003A06FE"/>
    <w:rsid w:val="003A0BE5"/>
    <w:rsid w:val="003A0C9C"/>
    <w:rsid w:val="003A0D82"/>
    <w:rsid w:val="003A0F74"/>
    <w:rsid w:val="003A1105"/>
    <w:rsid w:val="003A1141"/>
    <w:rsid w:val="003A11CB"/>
    <w:rsid w:val="003A1336"/>
    <w:rsid w:val="003A1349"/>
    <w:rsid w:val="003A138D"/>
    <w:rsid w:val="003A1573"/>
    <w:rsid w:val="003A19EB"/>
    <w:rsid w:val="003A1D25"/>
    <w:rsid w:val="003A21AB"/>
    <w:rsid w:val="003A254A"/>
    <w:rsid w:val="003A29E2"/>
    <w:rsid w:val="003A2D75"/>
    <w:rsid w:val="003A2F50"/>
    <w:rsid w:val="003A3138"/>
    <w:rsid w:val="003A3140"/>
    <w:rsid w:val="003A31BA"/>
    <w:rsid w:val="003A32C6"/>
    <w:rsid w:val="003A3304"/>
    <w:rsid w:val="003A38DD"/>
    <w:rsid w:val="003A393E"/>
    <w:rsid w:val="003A3A2C"/>
    <w:rsid w:val="003A3BAB"/>
    <w:rsid w:val="003A3BB2"/>
    <w:rsid w:val="003A3BD7"/>
    <w:rsid w:val="003A3C40"/>
    <w:rsid w:val="003A3D05"/>
    <w:rsid w:val="003A4098"/>
    <w:rsid w:val="003A422F"/>
    <w:rsid w:val="003A450A"/>
    <w:rsid w:val="003A46E2"/>
    <w:rsid w:val="003A47F7"/>
    <w:rsid w:val="003A4B72"/>
    <w:rsid w:val="003A4C83"/>
    <w:rsid w:val="003A4D3F"/>
    <w:rsid w:val="003A5048"/>
    <w:rsid w:val="003A5123"/>
    <w:rsid w:val="003A544D"/>
    <w:rsid w:val="003A55D0"/>
    <w:rsid w:val="003A57C9"/>
    <w:rsid w:val="003A5FA3"/>
    <w:rsid w:val="003A6452"/>
    <w:rsid w:val="003A66F6"/>
    <w:rsid w:val="003A6E88"/>
    <w:rsid w:val="003A6ED6"/>
    <w:rsid w:val="003A70E4"/>
    <w:rsid w:val="003A75F9"/>
    <w:rsid w:val="003A7858"/>
    <w:rsid w:val="003A78C8"/>
    <w:rsid w:val="003A7A14"/>
    <w:rsid w:val="003A7B94"/>
    <w:rsid w:val="003A7C54"/>
    <w:rsid w:val="003A7E46"/>
    <w:rsid w:val="003B013F"/>
    <w:rsid w:val="003B047D"/>
    <w:rsid w:val="003B0515"/>
    <w:rsid w:val="003B0729"/>
    <w:rsid w:val="003B0EAE"/>
    <w:rsid w:val="003B1024"/>
    <w:rsid w:val="003B1191"/>
    <w:rsid w:val="003B11B9"/>
    <w:rsid w:val="003B1589"/>
    <w:rsid w:val="003B1766"/>
    <w:rsid w:val="003B1A3E"/>
    <w:rsid w:val="003B1A9C"/>
    <w:rsid w:val="003B1AA2"/>
    <w:rsid w:val="003B20F9"/>
    <w:rsid w:val="003B2703"/>
    <w:rsid w:val="003B2B3D"/>
    <w:rsid w:val="003B2B49"/>
    <w:rsid w:val="003B2BA5"/>
    <w:rsid w:val="003B2C31"/>
    <w:rsid w:val="003B2C4B"/>
    <w:rsid w:val="003B2F0B"/>
    <w:rsid w:val="003B3105"/>
    <w:rsid w:val="003B31B3"/>
    <w:rsid w:val="003B383B"/>
    <w:rsid w:val="003B3C7D"/>
    <w:rsid w:val="003B3F0A"/>
    <w:rsid w:val="003B3F5A"/>
    <w:rsid w:val="003B43DD"/>
    <w:rsid w:val="003B444A"/>
    <w:rsid w:val="003B4921"/>
    <w:rsid w:val="003B4A71"/>
    <w:rsid w:val="003B4D00"/>
    <w:rsid w:val="003B619C"/>
    <w:rsid w:val="003B6468"/>
    <w:rsid w:val="003B69A5"/>
    <w:rsid w:val="003B6B71"/>
    <w:rsid w:val="003B6BD6"/>
    <w:rsid w:val="003B6C98"/>
    <w:rsid w:val="003B6DCA"/>
    <w:rsid w:val="003B7019"/>
    <w:rsid w:val="003B706B"/>
    <w:rsid w:val="003B725E"/>
    <w:rsid w:val="003B7A19"/>
    <w:rsid w:val="003B7C2D"/>
    <w:rsid w:val="003B7CF2"/>
    <w:rsid w:val="003B7D76"/>
    <w:rsid w:val="003C0196"/>
    <w:rsid w:val="003C06D1"/>
    <w:rsid w:val="003C081B"/>
    <w:rsid w:val="003C098E"/>
    <w:rsid w:val="003C0A47"/>
    <w:rsid w:val="003C0AAA"/>
    <w:rsid w:val="003C0C4E"/>
    <w:rsid w:val="003C0E72"/>
    <w:rsid w:val="003C10D6"/>
    <w:rsid w:val="003C1143"/>
    <w:rsid w:val="003C147A"/>
    <w:rsid w:val="003C159D"/>
    <w:rsid w:val="003C15A6"/>
    <w:rsid w:val="003C167B"/>
    <w:rsid w:val="003C1737"/>
    <w:rsid w:val="003C1A01"/>
    <w:rsid w:val="003C1F0D"/>
    <w:rsid w:val="003C20E6"/>
    <w:rsid w:val="003C221F"/>
    <w:rsid w:val="003C2312"/>
    <w:rsid w:val="003C2369"/>
    <w:rsid w:val="003C2E93"/>
    <w:rsid w:val="003C2EC8"/>
    <w:rsid w:val="003C32D6"/>
    <w:rsid w:val="003C334E"/>
    <w:rsid w:val="003C370F"/>
    <w:rsid w:val="003C3724"/>
    <w:rsid w:val="003C37B6"/>
    <w:rsid w:val="003C3B80"/>
    <w:rsid w:val="003C3F91"/>
    <w:rsid w:val="003C483F"/>
    <w:rsid w:val="003C49B6"/>
    <w:rsid w:val="003C4A94"/>
    <w:rsid w:val="003C4E98"/>
    <w:rsid w:val="003C51BD"/>
    <w:rsid w:val="003C54BC"/>
    <w:rsid w:val="003C5737"/>
    <w:rsid w:val="003C5832"/>
    <w:rsid w:val="003C587C"/>
    <w:rsid w:val="003C5C0C"/>
    <w:rsid w:val="003C5C2B"/>
    <w:rsid w:val="003C5D28"/>
    <w:rsid w:val="003C5E72"/>
    <w:rsid w:val="003C5EAF"/>
    <w:rsid w:val="003C5F4F"/>
    <w:rsid w:val="003C5FA8"/>
    <w:rsid w:val="003C6288"/>
    <w:rsid w:val="003C6555"/>
    <w:rsid w:val="003C6592"/>
    <w:rsid w:val="003C65AD"/>
    <w:rsid w:val="003C6B88"/>
    <w:rsid w:val="003C6BD9"/>
    <w:rsid w:val="003C6EFD"/>
    <w:rsid w:val="003C7230"/>
    <w:rsid w:val="003C7331"/>
    <w:rsid w:val="003C7464"/>
    <w:rsid w:val="003C747A"/>
    <w:rsid w:val="003C7521"/>
    <w:rsid w:val="003C77F1"/>
    <w:rsid w:val="003C7A57"/>
    <w:rsid w:val="003C7E98"/>
    <w:rsid w:val="003C7FBA"/>
    <w:rsid w:val="003D0244"/>
    <w:rsid w:val="003D0369"/>
    <w:rsid w:val="003D03B3"/>
    <w:rsid w:val="003D0890"/>
    <w:rsid w:val="003D0A1D"/>
    <w:rsid w:val="003D0C2F"/>
    <w:rsid w:val="003D0D35"/>
    <w:rsid w:val="003D1583"/>
    <w:rsid w:val="003D1A9C"/>
    <w:rsid w:val="003D1CF7"/>
    <w:rsid w:val="003D1E84"/>
    <w:rsid w:val="003D2243"/>
    <w:rsid w:val="003D2332"/>
    <w:rsid w:val="003D26D9"/>
    <w:rsid w:val="003D282B"/>
    <w:rsid w:val="003D2A69"/>
    <w:rsid w:val="003D2D78"/>
    <w:rsid w:val="003D2D8F"/>
    <w:rsid w:val="003D2E06"/>
    <w:rsid w:val="003D2F92"/>
    <w:rsid w:val="003D2FB6"/>
    <w:rsid w:val="003D2FCE"/>
    <w:rsid w:val="003D30CD"/>
    <w:rsid w:val="003D31A3"/>
    <w:rsid w:val="003D3321"/>
    <w:rsid w:val="003D3380"/>
    <w:rsid w:val="003D3420"/>
    <w:rsid w:val="003D36D3"/>
    <w:rsid w:val="003D3700"/>
    <w:rsid w:val="003D39CD"/>
    <w:rsid w:val="003D3D49"/>
    <w:rsid w:val="003D3DC4"/>
    <w:rsid w:val="003D4313"/>
    <w:rsid w:val="003D45B9"/>
    <w:rsid w:val="003D46EE"/>
    <w:rsid w:val="003D4804"/>
    <w:rsid w:val="003D497D"/>
    <w:rsid w:val="003D4A22"/>
    <w:rsid w:val="003D4BED"/>
    <w:rsid w:val="003D4C6F"/>
    <w:rsid w:val="003D5306"/>
    <w:rsid w:val="003D5476"/>
    <w:rsid w:val="003D5A06"/>
    <w:rsid w:val="003D5C2D"/>
    <w:rsid w:val="003D5C93"/>
    <w:rsid w:val="003D5CCD"/>
    <w:rsid w:val="003D5E25"/>
    <w:rsid w:val="003D5EDE"/>
    <w:rsid w:val="003D63DE"/>
    <w:rsid w:val="003D694C"/>
    <w:rsid w:val="003D6B55"/>
    <w:rsid w:val="003D6CF0"/>
    <w:rsid w:val="003D6D35"/>
    <w:rsid w:val="003D7048"/>
    <w:rsid w:val="003D75CE"/>
    <w:rsid w:val="003D7661"/>
    <w:rsid w:val="003D7AF2"/>
    <w:rsid w:val="003D7C73"/>
    <w:rsid w:val="003D7F20"/>
    <w:rsid w:val="003D7FDC"/>
    <w:rsid w:val="003E0043"/>
    <w:rsid w:val="003E036E"/>
    <w:rsid w:val="003E0540"/>
    <w:rsid w:val="003E06A4"/>
    <w:rsid w:val="003E08D6"/>
    <w:rsid w:val="003E0AB1"/>
    <w:rsid w:val="003E0AB9"/>
    <w:rsid w:val="003E13CE"/>
    <w:rsid w:val="003E165F"/>
    <w:rsid w:val="003E1C65"/>
    <w:rsid w:val="003E20F3"/>
    <w:rsid w:val="003E2158"/>
    <w:rsid w:val="003E22CD"/>
    <w:rsid w:val="003E2C21"/>
    <w:rsid w:val="003E2D57"/>
    <w:rsid w:val="003E3098"/>
    <w:rsid w:val="003E30C0"/>
    <w:rsid w:val="003E3383"/>
    <w:rsid w:val="003E3434"/>
    <w:rsid w:val="003E345B"/>
    <w:rsid w:val="003E383A"/>
    <w:rsid w:val="003E3B36"/>
    <w:rsid w:val="003E3B7C"/>
    <w:rsid w:val="003E3C45"/>
    <w:rsid w:val="003E3C4D"/>
    <w:rsid w:val="003E3CA1"/>
    <w:rsid w:val="003E4173"/>
    <w:rsid w:val="003E4653"/>
    <w:rsid w:val="003E46B2"/>
    <w:rsid w:val="003E4916"/>
    <w:rsid w:val="003E4A78"/>
    <w:rsid w:val="003E4C25"/>
    <w:rsid w:val="003E4DE1"/>
    <w:rsid w:val="003E4EC5"/>
    <w:rsid w:val="003E4F5D"/>
    <w:rsid w:val="003E4FEF"/>
    <w:rsid w:val="003E51AB"/>
    <w:rsid w:val="003E5279"/>
    <w:rsid w:val="003E52EA"/>
    <w:rsid w:val="003E534A"/>
    <w:rsid w:val="003E5936"/>
    <w:rsid w:val="003E5D9C"/>
    <w:rsid w:val="003E5E62"/>
    <w:rsid w:val="003E62E6"/>
    <w:rsid w:val="003E6354"/>
    <w:rsid w:val="003E6591"/>
    <w:rsid w:val="003E661A"/>
    <w:rsid w:val="003E6685"/>
    <w:rsid w:val="003E680F"/>
    <w:rsid w:val="003E6A2D"/>
    <w:rsid w:val="003E6C93"/>
    <w:rsid w:val="003E7171"/>
    <w:rsid w:val="003E74E7"/>
    <w:rsid w:val="003E7522"/>
    <w:rsid w:val="003E7BA0"/>
    <w:rsid w:val="003E7BCA"/>
    <w:rsid w:val="003E7E51"/>
    <w:rsid w:val="003E7EDE"/>
    <w:rsid w:val="003F0073"/>
    <w:rsid w:val="003F03F7"/>
    <w:rsid w:val="003F073C"/>
    <w:rsid w:val="003F0E7E"/>
    <w:rsid w:val="003F135B"/>
    <w:rsid w:val="003F18C9"/>
    <w:rsid w:val="003F1900"/>
    <w:rsid w:val="003F1A48"/>
    <w:rsid w:val="003F1BBA"/>
    <w:rsid w:val="003F1D01"/>
    <w:rsid w:val="003F1DAF"/>
    <w:rsid w:val="003F1DDA"/>
    <w:rsid w:val="003F22A3"/>
    <w:rsid w:val="003F22FE"/>
    <w:rsid w:val="003F230F"/>
    <w:rsid w:val="003F262B"/>
    <w:rsid w:val="003F26E6"/>
    <w:rsid w:val="003F29BE"/>
    <w:rsid w:val="003F29E0"/>
    <w:rsid w:val="003F2B35"/>
    <w:rsid w:val="003F2BD9"/>
    <w:rsid w:val="003F2DBD"/>
    <w:rsid w:val="003F3081"/>
    <w:rsid w:val="003F3186"/>
    <w:rsid w:val="003F3296"/>
    <w:rsid w:val="003F35AE"/>
    <w:rsid w:val="003F3AFC"/>
    <w:rsid w:val="003F3B58"/>
    <w:rsid w:val="003F3B72"/>
    <w:rsid w:val="003F40B6"/>
    <w:rsid w:val="003F40DB"/>
    <w:rsid w:val="003F412E"/>
    <w:rsid w:val="003F423C"/>
    <w:rsid w:val="003F42CC"/>
    <w:rsid w:val="003F4370"/>
    <w:rsid w:val="003F4418"/>
    <w:rsid w:val="003F4481"/>
    <w:rsid w:val="003F4608"/>
    <w:rsid w:val="003F4B1B"/>
    <w:rsid w:val="003F4B93"/>
    <w:rsid w:val="003F4BE7"/>
    <w:rsid w:val="003F4EFC"/>
    <w:rsid w:val="003F4FA8"/>
    <w:rsid w:val="003F50ED"/>
    <w:rsid w:val="003F55CF"/>
    <w:rsid w:val="003F588B"/>
    <w:rsid w:val="003F5978"/>
    <w:rsid w:val="003F5996"/>
    <w:rsid w:val="003F5A61"/>
    <w:rsid w:val="003F5BC4"/>
    <w:rsid w:val="003F5E59"/>
    <w:rsid w:val="003F5FA4"/>
    <w:rsid w:val="003F60DA"/>
    <w:rsid w:val="003F6311"/>
    <w:rsid w:val="003F6655"/>
    <w:rsid w:val="003F688F"/>
    <w:rsid w:val="003F74A1"/>
    <w:rsid w:val="003F78C7"/>
    <w:rsid w:val="003F7CC9"/>
    <w:rsid w:val="003F7ED0"/>
    <w:rsid w:val="003F7FED"/>
    <w:rsid w:val="004000E1"/>
    <w:rsid w:val="004002AD"/>
    <w:rsid w:val="00400487"/>
    <w:rsid w:val="0040049D"/>
    <w:rsid w:val="004004DB"/>
    <w:rsid w:val="00400552"/>
    <w:rsid w:val="004008C9"/>
    <w:rsid w:val="00400E21"/>
    <w:rsid w:val="00400ED9"/>
    <w:rsid w:val="0040105C"/>
    <w:rsid w:val="00401137"/>
    <w:rsid w:val="004012BE"/>
    <w:rsid w:val="00401380"/>
    <w:rsid w:val="004018D5"/>
    <w:rsid w:val="00401A44"/>
    <w:rsid w:val="00401CFC"/>
    <w:rsid w:val="00401D98"/>
    <w:rsid w:val="00401F79"/>
    <w:rsid w:val="0040350F"/>
    <w:rsid w:val="00403936"/>
    <w:rsid w:val="00403AD0"/>
    <w:rsid w:val="0040425F"/>
    <w:rsid w:val="0040435D"/>
    <w:rsid w:val="00404F5A"/>
    <w:rsid w:val="00405779"/>
    <w:rsid w:val="00405903"/>
    <w:rsid w:val="00405D17"/>
    <w:rsid w:val="004060CF"/>
    <w:rsid w:val="004064B6"/>
    <w:rsid w:val="004064EB"/>
    <w:rsid w:val="00406558"/>
    <w:rsid w:val="00406685"/>
    <w:rsid w:val="004067D6"/>
    <w:rsid w:val="004068F8"/>
    <w:rsid w:val="00406993"/>
    <w:rsid w:val="004070E0"/>
    <w:rsid w:val="004072CA"/>
    <w:rsid w:val="00407326"/>
    <w:rsid w:val="00407642"/>
    <w:rsid w:val="00410145"/>
    <w:rsid w:val="00410469"/>
    <w:rsid w:val="00410844"/>
    <w:rsid w:val="00410938"/>
    <w:rsid w:val="00410ACE"/>
    <w:rsid w:val="00410CBB"/>
    <w:rsid w:val="004111F0"/>
    <w:rsid w:val="004113EB"/>
    <w:rsid w:val="0041146E"/>
    <w:rsid w:val="004119A0"/>
    <w:rsid w:val="00411B2C"/>
    <w:rsid w:val="00411B81"/>
    <w:rsid w:val="00411E52"/>
    <w:rsid w:val="004120BE"/>
    <w:rsid w:val="00412369"/>
    <w:rsid w:val="0041287D"/>
    <w:rsid w:val="00412A67"/>
    <w:rsid w:val="00412DAF"/>
    <w:rsid w:val="00412E0B"/>
    <w:rsid w:val="00413419"/>
    <w:rsid w:val="004135F8"/>
    <w:rsid w:val="00413705"/>
    <w:rsid w:val="00413851"/>
    <w:rsid w:val="00413AA6"/>
    <w:rsid w:val="00413C23"/>
    <w:rsid w:val="00413F8E"/>
    <w:rsid w:val="0041426F"/>
    <w:rsid w:val="0041433E"/>
    <w:rsid w:val="00414373"/>
    <w:rsid w:val="00414507"/>
    <w:rsid w:val="00414564"/>
    <w:rsid w:val="004146F6"/>
    <w:rsid w:val="004148E2"/>
    <w:rsid w:val="004151D2"/>
    <w:rsid w:val="004155E6"/>
    <w:rsid w:val="00415839"/>
    <w:rsid w:val="00415A0D"/>
    <w:rsid w:val="00415D46"/>
    <w:rsid w:val="00415D8D"/>
    <w:rsid w:val="00415E85"/>
    <w:rsid w:val="00415FBC"/>
    <w:rsid w:val="0041628F"/>
    <w:rsid w:val="00416329"/>
    <w:rsid w:val="00416334"/>
    <w:rsid w:val="00416771"/>
    <w:rsid w:val="00416AD3"/>
    <w:rsid w:val="0041754E"/>
    <w:rsid w:val="0041757A"/>
    <w:rsid w:val="00417844"/>
    <w:rsid w:val="00417E05"/>
    <w:rsid w:val="00420714"/>
    <w:rsid w:val="004207F4"/>
    <w:rsid w:val="0042080D"/>
    <w:rsid w:val="0042095A"/>
    <w:rsid w:val="004209A0"/>
    <w:rsid w:val="00420D69"/>
    <w:rsid w:val="00420F60"/>
    <w:rsid w:val="0042109A"/>
    <w:rsid w:val="004210BC"/>
    <w:rsid w:val="004210DA"/>
    <w:rsid w:val="00421283"/>
    <w:rsid w:val="004212F4"/>
    <w:rsid w:val="00421672"/>
    <w:rsid w:val="004218BB"/>
    <w:rsid w:val="00421A87"/>
    <w:rsid w:val="00421AD8"/>
    <w:rsid w:val="00421DF1"/>
    <w:rsid w:val="00421FAA"/>
    <w:rsid w:val="00422001"/>
    <w:rsid w:val="004220FA"/>
    <w:rsid w:val="0042234D"/>
    <w:rsid w:val="0042252D"/>
    <w:rsid w:val="00422758"/>
    <w:rsid w:val="00422870"/>
    <w:rsid w:val="0042287F"/>
    <w:rsid w:val="00422A6D"/>
    <w:rsid w:val="00422CD9"/>
    <w:rsid w:val="0042325E"/>
    <w:rsid w:val="00423263"/>
    <w:rsid w:val="00423406"/>
    <w:rsid w:val="00423455"/>
    <w:rsid w:val="004234B9"/>
    <w:rsid w:val="004234F9"/>
    <w:rsid w:val="0042365D"/>
    <w:rsid w:val="004237A9"/>
    <w:rsid w:val="004237E9"/>
    <w:rsid w:val="0042385A"/>
    <w:rsid w:val="004239BC"/>
    <w:rsid w:val="00423EBB"/>
    <w:rsid w:val="004245A4"/>
    <w:rsid w:val="00424AC7"/>
    <w:rsid w:val="00424FCB"/>
    <w:rsid w:val="004252B6"/>
    <w:rsid w:val="0042532B"/>
    <w:rsid w:val="00425F0E"/>
    <w:rsid w:val="00426178"/>
    <w:rsid w:val="0042619F"/>
    <w:rsid w:val="00426362"/>
    <w:rsid w:val="004263B3"/>
    <w:rsid w:val="00426548"/>
    <w:rsid w:val="00426EA9"/>
    <w:rsid w:val="00426FD1"/>
    <w:rsid w:val="004273B3"/>
    <w:rsid w:val="0042740D"/>
    <w:rsid w:val="004275C4"/>
    <w:rsid w:val="00427E06"/>
    <w:rsid w:val="0043028E"/>
    <w:rsid w:val="00430492"/>
    <w:rsid w:val="004304DB"/>
    <w:rsid w:val="00430535"/>
    <w:rsid w:val="004306BF"/>
    <w:rsid w:val="004308D7"/>
    <w:rsid w:val="00430DA7"/>
    <w:rsid w:val="004310A5"/>
    <w:rsid w:val="0043141B"/>
    <w:rsid w:val="00431ACA"/>
    <w:rsid w:val="00431D16"/>
    <w:rsid w:val="0043214E"/>
    <w:rsid w:val="004321E6"/>
    <w:rsid w:val="00432234"/>
    <w:rsid w:val="00432327"/>
    <w:rsid w:val="00432553"/>
    <w:rsid w:val="004325E2"/>
    <w:rsid w:val="0043266C"/>
    <w:rsid w:val="0043267F"/>
    <w:rsid w:val="004326D7"/>
    <w:rsid w:val="0043288B"/>
    <w:rsid w:val="0043295E"/>
    <w:rsid w:val="00432A42"/>
    <w:rsid w:val="00432E5C"/>
    <w:rsid w:val="00432F32"/>
    <w:rsid w:val="00432F85"/>
    <w:rsid w:val="004330AF"/>
    <w:rsid w:val="00433147"/>
    <w:rsid w:val="004334C1"/>
    <w:rsid w:val="0043374E"/>
    <w:rsid w:val="00433836"/>
    <w:rsid w:val="00433BB9"/>
    <w:rsid w:val="00433F4A"/>
    <w:rsid w:val="00433FAA"/>
    <w:rsid w:val="00434217"/>
    <w:rsid w:val="004344B3"/>
    <w:rsid w:val="004345D2"/>
    <w:rsid w:val="00434953"/>
    <w:rsid w:val="00434A1B"/>
    <w:rsid w:val="00434B96"/>
    <w:rsid w:val="00434DD7"/>
    <w:rsid w:val="004354A6"/>
    <w:rsid w:val="004355A8"/>
    <w:rsid w:val="00435807"/>
    <w:rsid w:val="00435BAF"/>
    <w:rsid w:val="00435CEC"/>
    <w:rsid w:val="004361B6"/>
    <w:rsid w:val="0043621E"/>
    <w:rsid w:val="0043646B"/>
    <w:rsid w:val="00436595"/>
    <w:rsid w:val="004368C6"/>
    <w:rsid w:val="00436A60"/>
    <w:rsid w:val="00436AD8"/>
    <w:rsid w:val="00436C7A"/>
    <w:rsid w:val="00436E50"/>
    <w:rsid w:val="004376A7"/>
    <w:rsid w:val="00437867"/>
    <w:rsid w:val="00437A7D"/>
    <w:rsid w:val="00437B7C"/>
    <w:rsid w:val="00440657"/>
    <w:rsid w:val="004407ED"/>
    <w:rsid w:val="00440C4A"/>
    <w:rsid w:val="00440E15"/>
    <w:rsid w:val="00440EFD"/>
    <w:rsid w:val="00441019"/>
    <w:rsid w:val="004413AF"/>
    <w:rsid w:val="00441664"/>
    <w:rsid w:val="00441A2D"/>
    <w:rsid w:val="00441B83"/>
    <w:rsid w:val="004423AF"/>
    <w:rsid w:val="0044242C"/>
    <w:rsid w:val="004424CE"/>
    <w:rsid w:val="004425F6"/>
    <w:rsid w:val="00442ADF"/>
    <w:rsid w:val="00443340"/>
    <w:rsid w:val="00443571"/>
    <w:rsid w:val="00443761"/>
    <w:rsid w:val="00443E72"/>
    <w:rsid w:val="00443FA2"/>
    <w:rsid w:val="0044414C"/>
    <w:rsid w:val="004442A4"/>
    <w:rsid w:val="004442F2"/>
    <w:rsid w:val="00444ADF"/>
    <w:rsid w:val="00444C26"/>
    <w:rsid w:val="0044500D"/>
    <w:rsid w:val="00445083"/>
    <w:rsid w:val="004453B3"/>
    <w:rsid w:val="004457A4"/>
    <w:rsid w:val="00445A9F"/>
    <w:rsid w:val="00445D74"/>
    <w:rsid w:val="00445E2F"/>
    <w:rsid w:val="004461B7"/>
    <w:rsid w:val="004466D5"/>
    <w:rsid w:val="004467CE"/>
    <w:rsid w:val="00446BED"/>
    <w:rsid w:val="00446D12"/>
    <w:rsid w:val="00447014"/>
    <w:rsid w:val="00447095"/>
    <w:rsid w:val="00447108"/>
    <w:rsid w:val="0044723A"/>
    <w:rsid w:val="00447553"/>
    <w:rsid w:val="004475BC"/>
    <w:rsid w:val="00447794"/>
    <w:rsid w:val="00447828"/>
    <w:rsid w:val="00447C47"/>
    <w:rsid w:val="00450237"/>
    <w:rsid w:val="00450400"/>
    <w:rsid w:val="0045050E"/>
    <w:rsid w:val="00450609"/>
    <w:rsid w:val="004509A9"/>
    <w:rsid w:val="00450DF2"/>
    <w:rsid w:val="004511B5"/>
    <w:rsid w:val="00451329"/>
    <w:rsid w:val="004513CD"/>
    <w:rsid w:val="0045151F"/>
    <w:rsid w:val="00451550"/>
    <w:rsid w:val="004516E6"/>
    <w:rsid w:val="00451F01"/>
    <w:rsid w:val="00451FFD"/>
    <w:rsid w:val="00452113"/>
    <w:rsid w:val="0045227B"/>
    <w:rsid w:val="00452D1C"/>
    <w:rsid w:val="00452F29"/>
    <w:rsid w:val="00452FFD"/>
    <w:rsid w:val="004530CF"/>
    <w:rsid w:val="00453264"/>
    <w:rsid w:val="0045328D"/>
    <w:rsid w:val="00453716"/>
    <w:rsid w:val="004539A1"/>
    <w:rsid w:val="00454074"/>
    <w:rsid w:val="004540AD"/>
    <w:rsid w:val="00454466"/>
    <w:rsid w:val="004544E2"/>
    <w:rsid w:val="00454919"/>
    <w:rsid w:val="00454C13"/>
    <w:rsid w:val="00454C80"/>
    <w:rsid w:val="00454D5A"/>
    <w:rsid w:val="00454F13"/>
    <w:rsid w:val="00455249"/>
    <w:rsid w:val="004553CD"/>
    <w:rsid w:val="00455D89"/>
    <w:rsid w:val="00455DF6"/>
    <w:rsid w:val="00455E7B"/>
    <w:rsid w:val="00456148"/>
    <w:rsid w:val="00456240"/>
    <w:rsid w:val="004562E3"/>
    <w:rsid w:val="00456770"/>
    <w:rsid w:val="004567C9"/>
    <w:rsid w:val="004567CF"/>
    <w:rsid w:val="004568FA"/>
    <w:rsid w:val="00456AA0"/>
    <w:rsid w:val="00456ABC"/>
    <w:rsid w:val="00456D05"/>
    <w:rsid w:val="00456FF1"/>
    <w:rsid w:val="00457074"/>
    <w:rsid w:val="0045735E"/>
    <w:rsid w:val="004574F6"/>
    <w:rsid w:val="0045767E"/>
    <w:rsid w:val="00457835"/>
    <w:rsid w:val="00457BF4"/>
    <w:rsid w:val="00457F79"/>
    <w:rsid w:val="00457FE2"/>
    <w:rsid w:val="00460057"/>
    <w:rsid w:val="004606A1"/>
    <w:rsid w:val="004606C5"/>
    <w:rsid w:val="00460822"/>
    <w:rsid w:val="004609F9"/>
    <w:rsid w:val="00460A8F"/>
    <w:rsid w:val="00460DDF"/>
    <w:rsid w:val="00460EA8"/>
    <w:rsid w:val="00460F69"/>
    <w:rsid w:val="004614A3"/>
    <w:rsid w:val="004617F2"/>
    <w:rsid w:val="00461AF1"/>
    <w:rsid w:val="00461C24"/>
    <w:rsid w:val="00461D98"/>
    <w:rsid w:val="004620E9"/>
    <w:rsid w:val="0046254A"/>
    <w:rsid w:val="004625EE"/>
    <w:rsid w:val="004629E2"/>
    <w:rsid w:val="00462B34"/>
    <w:rsid w:val="00462B3A"/>
    <w:rsid w:val="004632A7"/>
    <w:rsid w:val="004632C0"/>
    <w:rsid w:val="00463634"/>
    <w:rsid w:val="00463B71"/>
    <w:rsid w:val="00464265"/>
    <w:rsid w:val="00464477"/>
    <w:rsid w:val="004646AF"/>
    <w:rsid w:val="00464951"/>
    <w:rsid w:val="00464C73"/>
    <w:rsid w:val="00464E87"/>
    <w:rsid w:val="004651CE"/>
    <w:rsid w:val="00465269"/>
    <w:rsid w:val="00465273"/>
    <w:rsid w:val="0046552F"/>
    <w:rsid w:val="00465560"/>
    <w:rsid w:val="004656B8"/>
    <w:rsid w:val="00465B7D"/>
    <w:rsid w:val="00465D26"/>
    <w:rsid w:val="00465F9C"/>
    <w:rsid w:val="0046612E"/>
    <w:rsid w:val="004662F8"/>
    <w:rsid w:val="00466577"/>
    <w:rsid w:val="00466710"/>
    <w:rsid w:val="00466975"/>
    <w:rsid w:val="00466ABB"/>
    <w:rsid w:val="00466F8A"/>
    <w:rsid w:val="00467003"/>
    <w:rsid w:val="00467326"/>
    <w:rsid w:val="00467833"/>
    <w:rsid w:val="00467A51"/>
    <w:rsid w:val="00470526"/>
    <w:rsid w:val="004706D7"/>
    <w:rsid w:val="004708A9"/>
    <w:rsid w:val="004708C6"/>
    <w:rsid w:val="004709D4"/>
    <w:rsid w:val="00470D6D"/>
    <w:rsid w:val="00470E06"/>
    <w:rsid w:val="00470E97"/>
    <w:rsid w:val="0047117F"/>
    <w:rsid w:val="004713B2"/>
    <w:rsid w:val="00471956"/>
    <w:rsid w:val="00471AC5"/>
    <w:rsid w:val="00471E53"/>
    <w:rsid w:val="0047219F"/>
    <w:rsid w:val="00472632"/>
    <w:rsid w:val="0047269E"/>
    <w:rsid w:val="0047271E"/>
    <w:rsid w:val="00472AAE"/>
    <w:rsid w:val="00472B0B"/>
    <w:rsid w:val="00472D67"/>
    <w:rsid w:val="00472E66"/>
    <w:rsid w:val="004730A8"/>
    <w:rsid w:val="0047310B"/>
    <w:rsid w:val="0047326B"/>
    <w:rsid w:val="004732BB"/>
    <w:rsid w:val="004733DC"/>
    <w:rsid w:val="00473492"/>
    <w:rsid w:val="0047355E"/>
    <w:rsid w:val="00473BAE"/>
    <w:rsid w:val="00473E8B"/>
    <w:rsid w:val="00473EC9"/>
    <w:rsid w:val="004740C6"/>
    <w:rsid w:val="004746C2"/>
    <w:rsid w:val="00474796"/>
    <w:rsid w:val="00474E3C"/>
    <w:rsid w:val="00474E4E"/>
    <w:rsid w:val="0047556E"/>
    <w:rsid w:val="004756D1"/>
    <w:rsid w:val="00475E2F"/>
    <w:rsid w:val="004760DB"/>
    <w:rsid w:val="004760F3"/>
    <w:rsid w:val="0047624A"/>
    <w:rsid w:val="00476848"/>
    <w:rsid w:val="0047688B"/>
    <w:rsid w:val="0047697F"/>
    <w:rsid w:val="00476D3F"/>
    <w:rsid w:val="00476E04"/>
    <w:rsid w:val="00476FD1"/>
    <w:rsid w:val="004771CB"/>
    <w:rsid w:val="00477254"/>
    <w:rsid w:val="004772D3"/>
    <w:rsid w:val="004777C8"/>
    <w:rsid w:val="00477945"/>
    <w:rsid w:val="00477A14"/>
    <w:rsid w:val="004800FC"/>
    <w:rsid w:val="004804FD"/>
    <w:rsid w:val="0048061D"/>
    <w:rsid w:val="004806CB"/>
    <w:rsid w:val="00480706"/>
    <w:rsid w:val="0048097F"/>
    <w:rsid w:val="00480A15"/>
    <w:rsid w:val="00480A8A"/>
    <w:rsid w:val="00480AC8"/>
    <w:rsid w:val="00480CAE"/>
    <w:rsid w:val="00480E7E"/>
    <w:rsid w:val="004811DC"/>
    <w:rsid w:val="004815FE"/>
    <w:rsid w:val="004817D9"/>
    <w:rsid w:val="0048187C"/>
    <w:rsid w:val="004818D9"/>
    <w:rsid w:val="0048193E"/>
    <w:rsid w:val="00481D64"/>
    <w:rsid w:val="00481DDC"/>
    <w:rsid w:val="00481E81"/>
    <w:rsid w:val="0048271D"/>
    <w:rsid w:val="00482A18"/>
    <w:rsid w:val="00482DF6"/>
    <w:rsid w:val="00483447"/>
    <w:rsid w:val="00483661"/>
    <w:rsid w:val="004837B7"/>
    <w:rsid w:val="00483A03"/>
    <w:rsid w:val="00483BA5"/>
    <w:rsid w:val="00483C61"/>
    <w:rsid w:val="00483E46"/>
    <w:rsid w:val="00483E8C"/>
    <w:rsid w:val="00483F7A"/>
    <w:rsid w:val="00484238"/>
    <w:rsid w:val="00484545"/>
    <w:rsid w:val="004845ED"/>
    <w:rsid w:val="00484B73"/>
    <w:rsid w:val="00484BAD"/>
    <w:rsid w:val="00484DDD"/>
    <w:rsid w:val="00485198"/>
    <w:rsid w:val="00485680"/>
    <w:rsid w:val="00486034"/>
    <w:rsid w:val="00486048"/>
    <w:rsid w:val="00486099"/>
    <w:rsid w:val="004860E6"/>
    <w:rsid w:val="00486729"/>
    <w:rsid w:val="00486928"/>
    <w:rsid w:val="0048696A"/>
    <w:rsid w:val="00486B72"/>
    <w:rsid w:val="00486CCD"/>
    <w:rsid w:val="00486CF3"/>
    <w:rsid w:val="00486EAE"/>
    <w:rsid w:val="0048708F"/>
    <w:rsid w:val="0048725D"/>
    <w:rsid w:val="0048792D"/>
    <w:rsid w:val="00487A98"/>
    <w:rsid w:val="00490229"/>
    <w:rsid w:val="004904B4"/>
    <w:rsid w:val="0049065D"/>
    <w:rsid w:val="004906EC"/>
    <w:rsid w:val="00490895"/>
    <w:rsid w:val="00490C6C"/>
    <w:rsid w:val="00490FAE"/>
    <w:rsid w:val="004910C1"/>
    <w:rsid w:val="004913E4"/>
    <w:rsid w:val="004914CC"/>
    <w:rsid w:val="004915B8"/>
    <w:rsid w:val="00491875"/>
    <w:rsid w:val="004918B5"/>
    <w:rsid w:val="00491AFF"/>
    <w:rsid w:val="00491B2B"/>
    <w:rsid w:val="004920D2"/>
    <w:rsid w:val="00492221"/>
    <w:rsid w:val="00492358"/>
    <w:rsid w:val="00492475"/>
    <w:rsid w:val="00492907"/>
    <w:rsid w:val="00492977"/>
    <w:rsid w:val="00492CA4"/>
    <w:rsid w:val="00493191"/>
    <w:rsid w:val="004931C2"/>
    <w:rsid w:val="0049330A"/>
    <w:rsid w:val="0049345F"/>
    <w:rsid w:val="00493763"/>
    <w:rsid w:val="0049388D"/>
    <w:rsid w:val="004939EE"/>
    <w:rsid w:val="00493CB9"/>
    <w:rsid w:val="0049418F"/>
    <w:rsid w:val="0049443D"/>
    <w:rsid w:val="004944FF"/>
    <w:rsid w:val="00494582"/>
    <w:rsid w:val="0049467D"/>
    <w:rsid w:val="004948A4"/>
    <w:rsid w:val="004949B7"/>
    <w:rsid w:val="0049575C"/>
    <w:rsid w:val="004957FA"/>
    <w:rsid w:val="00495C40"/>
    <w:rsid w:val="00495D19"/>
    <w:rsid w:val="00495D2A"/>
    <w:rsid w:val="00495E1C"/>
    <w:rsid w:val="00495ED8"/>
    <w:rsid w:val="00495FED"/>
    <w:rsid w:val="00496066"/>
    <w:rsid w:val="00496115"/>
    <w:rsid w:val="00496194"/>
    <w:rsid w:val="0049624B"/>
    <w:rsid w:val="00496374"/>
    <w:rsid w:val="004964FA"/>
    <w:rsid w:val="00496701"/>
    <w:rsid w:val="0049698A"/>
    <w:rsid w:val="004969E5"/>
    <w:rsid w:val="00496B88"/>
    <w:rsid w:val="00496C08"/>
    <w:rsid w:val="00496ED1"/>
    <w:rsid w:val="00496FA4"/>
    <w:rsid w:val="00497028"/>
    <w:rsid w:val="004976D9"/>
    <w:rsid w:val="004976F8"/>
    <w:rsid w:val="0049788B"/>
    <w:rsid w:val="004979A5"/>
    <w:rsid w:val="00497B55"/>
    <w:rsid w:val="00497F59"/>
    <w:rsid w:val="0049D48E"/>
    <w:rsid w:val="004A04D5"/>
    <w:rsid w:val="004A072B"/>
    <w:rsid w:val="004A0B32"/>
    <w:rsid w:val="004A0BAD"/>
    <w:rsid w:val="004A0C1C"/>
    <w:rsid w:val="004A0DAF"/>
    <w:rsid w:val="004A0F94"/>
    <w:rsid w:val="004A1153"/>
    <w:rsid w:val="004A15E0"/>
    <w:rsid w:val="004A16EE"/>
    <w:rsid w:val="004A182A"/>
    <w:rsid w:val="004A1BD1"/>
    <w:rsid w:val="004A1BE4"/>
    <w:rsid w:val="004A1FCF"/>
    <w:rsid w:val="004A2019"/>
    <w:rsid w:val="004A2050"/>
    <w:rsid w:val="004A20E1"/>
    <w:rsid w:val="004A2123"/>
    <w:rsid w:val="004A22EB"/>
    <w:rsid w:val="004A25D2"/>
    <w:rsid w:val="004A29FC"/>
    <w:rsid w:val="004A2CD3"/>
    <w:rsid w:val="004A3035"/>
    <w:rsid w:val="004A3146"/>
    <w:rsid w:val="004A345C"/>
    <w:rsid w:val="004A3643"/>
    <w:rsid w:val="004A36A4"/>
    <w:rsid w:val="004A39B9"/>
    <w:rsid w:val="004A3B8A"/>
    <w:rsid w:val="004A421A"/>
    <w:rsid w:val="004A43D3"/>
    <w:rsid w:val="004A4A85"/>
    <w:rsid w:val="004A4B12"/>
    <w:rsid w:val="004A50A4"/>
    <w:rsid w:val="004A5353"/>
    <w:rsid w:val="004A546B"/>
    <w:rsid w:val="004A5486"/>
    <w:rsid w:val="004A5545"/>
    <w:rsid w:val="004A55ED"/>
    <w:rsid w:val="004A59D9"/>
    <w:rsid w:val="004A6096"/>
    <w:rsid w:val="004A6338"/>
    <w:rsid w:val="004A6435"/>
    <w:rsid w:val="004A6636"/>
    <w:rsid w:val="004A6758"/>
    <w:rsid w:val="004A69FA"/>
    <w:rsid w:val="004A6B04"/>
    <w:rsid w:val="004A6F31"/>
    <w:rsid w:val="004A6FB2"/>
    <w:rsid w:val="004A6FF1"/>
    <w:rsid w:val="004A7274"/>
    <w:rsid w:val="004A7379"/>
    <w:rsid w:val="004A73F6"/>
    <w:rsid w:val="004A77E2"/>
    <w:rsid w:val="004A793D"/>
    <w:rsid w:val="004A7A17"/>
    <w:rsid w:val="004A7AA0"/>
    <w:rsid w:val="004A7B1C"/>
    <w:rsid w:val="004A7B7B"/>
    <w:rsid w:val="004A7E68"/>
    <w:rsid w:val="004A7F79"/>
    <w:rsid w:val="004B00D1"/>
    <w:rsid w:val="004B0337"/>
    <w:rsid w:val="004B0415"/>
    <w:rsid w:val="004B0545"/>
    <w:rsid w:val="004B0696"/>
    <w:rsid w:val="004B0901"/>
    <w:rsid w:val="004B098D"/>
    <w:rsid w:val="004B0C90"/>
    <w:rsid w:val="004B0F67"/>
    <w:rsid w:val="004B143C"/>
    <w:rsid w:val="004B1484"/>
    <w:rsid w:val="004B163C"/>
    <w:rsid w:val="004B183A"/>
    <w:rsid w:val="004B19E5"/>
    <w:rsid w:val="004B1CD6"/>
    <w:rsid w:val="004B1DAB"/>
    <w:rsid w:val="004B20B5"/>
    <w:rsid w:val="004B2359"/>
    <w:rsid w:val="004B299F"/>
    <w:rsid w:val="004B29BE"/>
    <w:rsid w:val="004B2B8F"/>
    <w:rsid w:val="004B2BB2"/>
    <w:rsid w:val="004B2D11"/>
    <w:rsid w:val="004B2EA1"/>
    <w:rsid w:val="004B2F8B"/>
    <w:rsid w:val="004B3096"/>
    <w:rsid w:val="004B3167"/>
    <w:rsid w:val="004B3306"/>
    <w:rsid w:val="004B382C"/>
    <w:rsid w:val="004B3AA8"/>
    <w:rsid w:val="004B3D39"/>
    <w:rsid w:val="004B3E67"/>
    <w:rsid w:val="004B3ED7"/>
    <w:rsid w:val="004B41E8"/>
    <w:rsid w:val="004B4236"/>
    <w:rsid w:val="004B457F"/>
    <w:rsid w:val="004B4AD4"/>
    <w:rsid w:val="004B4B67"/>
    <w:rsid w:val="004B4C18"/>
    <w:rsid w:val="004B4E67"/>
    <w:rsid w:val="004B4FB6"/>
    <w:rsid w:val="004B50C5"/>
    <w:rsid w:val="004B54DF"/>
    <w:rsid w:val="004B57E4"/>
    <w:rsid w:val="004B59D9"/>
    <w:rsid w:val="004B5B88"/>
    <w:rsid w:val="004B5FEE"/>
    <w:rsid w:val="004B61ED"/>
    <w:rsid w:val="004B6218"/>
    <w:rsid w:val="004B63DF"/>
    <w:rsid w:val="004B687B"/>
    <w:rsid w:val="004B6908"/>
    <w:rsid w:val="004B695D"/>
    <w:rsid w:val="004B69B3"/>
    <w:rsid w:val="004B702C"/>
    <w:rsid w:val="004B73CD"/>
    <w:rsid w:val="004B7461"/>
    <w:rsid w:val="004B76F3"/>
    <w:rsid w:val="004B7FF2"/>
    <w:rsid w:val="004C028F"/>
    <w:rsid w:val="004C0555"/>
    <w:rsid w:val="004C0655"/>
    <w:rsid w:val="004C0683"/>
    <w:rsid w:val="004C0686"/>
    <w:rsid w:val="004C0DBC"/>
    <w:rsid w:val="004C0F09"/>
    <w:rsid w:val="004C1110"/>
    <w:rsid w:val="004C12F3"/>
    <w:rsid w:val="004C175B"/>
    <w:rsid w:val="004C1852"/>
    <w:rsid w:val="004C1936"/>
    <w:rsid w:val="004C1D1F"/>
    <w:rsid w:val="004C2118"/>
    <w:rsid w:val="004C2133"/>
    <w:rsid w:val="004C22E1"/>
    <w:rsid w:val="004C2584"/>
    <w:rsid w:val="004C283E"/>
    <w:rsid w:val="004C2BF3"/>
    <w:rsid w:val="004C2C65"/>
    <w:rsid w:val="004C2D48"/>
    <w:rsid w:val="004C2E1C"/>
    <w:rsid w:val="004C2EC4"/>
    <w:rsid w:val="004C2FF3"/>
    <w:rsid w:val="004C32EF"/>
    <w:rsid w:val="004C35C7"/>
    <w:rsid w:val="004C383E"/>
    <w:rsid w:val="004C38C2"/>
    <w:rsid w:val="004C3B50"/>
    <w:rsid w:val="004C3D7A"/>
    <w:rsid w:val="004C4024"/>
    <w:rsid w:val="004C4203"/>
    <w:rsid w:val="004C4225"/>
    <w:rsid w:val="004C42A1"/>
    <w:rsid w:val="004C44AF"/>
    <w:rsid w:val="004C4CDC"/>
    <w:rsid w:val="004C4E4D"/>
    <w:rsid w:val="004C4EC6"/>
    <w:rsid w:val="004C5042"/>
    <w:rsid w:val="004C5125"/>
    <w:rsid w:val="004C5180"/>
    <w:rsid w:val="004C5359"/>
    <w:rsid w:val="004C5635"/>
    <w:rsid w:val="004C5695"/>
    <w:rsid w:val="004C594F"/>
    <w:rsid w:val="004C597D"/>
    <w:rsid w:val="004C5D70"/>
    <w:rsid w:val="004C5D94"/>
    <w:rsid w:val="004C5DB0"/>
    <w:rsid w:val="004C6459"/>
    <w:rsid w:val="004C6622"/>
    <w:rsid w:val="004C66B6"/>
    <w:rsid w:val="004C6707"/>
    <w:rsid w:val="004C67A5"/>
    <w:rsid w:val="004C6B72"/>
    <w:rsid w:val="004C6CA8"/>
    <w:rsid w:val="004C6D1E"/>
    <w:rsid w:val="004C6D49"/>
    <w:rsid w:val="004C6EA6"/>
    <w:rsid w:val="004C6EB1"/>
    <w:rsid w:val="004C6FE1"/>
    <w:rsid w:val="004C7158"/>
    <w:rsid w:val="004C71F5"/>
    <w:rsid w:val="004C7298"/>
    <w:rsid w:val="004C7726"/>
    <w:rsid w:val="004C7764"/>
    <w:rsid w:val="004D039C"/>
    <w:rsid w:val="004D04B2"/>
    <w:rsid w:val="004D0501"/>
    <w:rsid w:val="004D090A"/>
    <w:rsid w:val="004D0B90"/>
    <w:rsid w:val="004D0C96"/>
    <w:rsid w:val="004D0CDB"/>
    <w:rsid w:val="004D1074"/>
    <w:rsid w:val="004D1195"/>
    <w:rsid w:val="004D1458"/>
    <w:rsid w:val="004D1490"/>
    <w:rsid w:val="004D14BE"/>
    <w:rsid w:val="004D1678"/>
    <w:rsid w:val="004D1762"/>
    <w:rsid w:val="004D1846"/>
    <w:rsid w:val="004D19C1"/>
    <w:rsid w:val="004D1B86"/>
    <w:rsid w:val="004D1D44"/>
    <w:rsid w:val="004D1E42"/>
    <w:rsid w:val="004D20AC"/>
    <w:rsid w:val="004D21A4"/>
    <w:rsid w:val="004D2265"/>
    <w:rsid w:val="004D27AB"/>
    <w:rsid w:val="004D27D4"/>
    <w:rsid w:val="004D2801"/>
    <w:rsid w:val="004D2BD2"/>
    <w:rsid w:val="004D2BF3"/>
    <w:rsid w:val="004D2C5B"/>
    <w:rsid w:val="004D2D2A"/>
    <w:rsid w:val="004D2F5C"/>
    <w:rsid w:val="004D3002"/>
    <w:rsid w:val="004D339E"/>
    <w:rsid w:val="004D3713"/>
    <w:rsid w:val="004D381D"/>
    <w:rsid w:val="004D3E4F"/>
    <w:rsid w:val="004D3EA7"/>
    <w:rsid w:val="004D3EE5"/>
    <w:rsid w:val="004D40C1"/>
    <w:rsid w:val="004D464A"/>
    <w:rsid w:val="004D4A70"/>
    <w:rsid w:val="004D4AEE"/>
    <w:rsid w:val="004D4CED"/>
    <w:rsid w:val="004D4D49"/>
    <w:rsid w:val="004D5036"/>
    <w:rsid w:val="004D52DE"/>
    <w:rsid w:val="004D55F0"/>
    <w:rsid w:val="004D5879"/>
    <w:rsid w:val="004D5DE3"/>
    <w:rsid w:val="004D5F32"/>
    <w:rsid w:val="004D62AE"/>
    <w:rsid w:val="004D66A6"/>
    <w:rsid w:val="004D6958"/>
    <w:rsid w:val="004D6CE8"/>
    <w:rsid w:val="004D6D71"/>
    <w:rsid w:val="004D71B2"/>
    <w:rsid w:val="004D738F"/>
    <w:rsid w:val="004D73EA"/>
    <w:rsid w:val="004D7405"/>
    <w:rsid w:val="004D7490"/>
    <w:rsid w:val="004D75CF"/>
    <w:rsid w:val="004D77A7"/>
    <w:rsid w:val="004D77E9"/>
    <w:rsid w:val="004D7833"/>
    <w:rsid w:val="004D793D"/>
    <w:rsid w:val="004D79A1"/>
    <w:rsid w:val="004D7B67"/>
    <w:rsid w:val="004D7CD0"/>
    <w:rsid w:val="004DF178"/>
    <w:rsid w:val="004E020E"/>
    <w:rsid w:val="004E024E"/>
    <w:rsid w:val="004E0519"/>
    <w:rsid w:val="004E0683"/>
    <w:rsid w:val="004E0727"/>
    <w:rsid w:val="004E0A04"/>
    <w:rsid w:val="004E0A50"/>
    <w:rsid w:val="004E1341"/>
    <w:rsid w:val="004E14F5"/>
    <w:rsid w:val="004E170F"/>
    <w:rsid w:val="004E1A76"/>
    <w:rsid w:val="004E1FA4"/>
    <w:rsid w:val="004E20B3"/>
    <w:rsid w:val="004E213F"/>
    <w:rsid w:val="004E2164"/>
    <w:rsid w:val="004E29A2"/>
    <w:rsid w:val="004E3112"/>
    <w:rsid w:val="004E3134"/>
    <w:rsid w:val="004E377E"/>
    <w:rsid w:val="004E3B6D"/>
    <w:rsid w:val="004E3DC8"/>
    <w:rsid w:val="004E3F57"/>
    <w:rsid w:val="004E402B"/>
    <w:rsid w:val="004E465B"/>
    <w:rsid w:val="004E48A5"/>
    <w:rsid w:val="004E4C84"/>
    <w:rsid w:val="004E5139"/>
    <w:rsid w:val="004E523E"/>
    <w:rsid w:val="004E529F"/>
    <w:rsid w:val="004E5398"/>
    <w:rsid w:val="004E544E"/>
    <w:rsid w:val="004E5477"/>
    <w:rsid w:val="004E5A87"/>
    <w:rsid w:val="004E5CBF"/>
    <w:rsid w:val="004E5D62"/>
    <w:rsid w:val="004E5DE3"/>
    <w:rsid w:val="004E6106"/>
    <w:rsid w:val="004E653F"/>
    <w:rsid w:val="004E656A"/>
    <w:rsid w:val="004E666C"/>
    <w:rsid w:val="004E6883"/>
    <w:rsid w:val="004E697F"/>
    <w:rsid w:val="004E6ACF"/>
    <w:rsid w:val="004E6B39"/>
    <w:rsid w:val="004E6F2B"/>
    <w:rsid w:val="004E7811"/>
    <w:rsid w:val="004E78B4"/>
    <w:rsid w:val="004E79C9"/>
    <w:rsid w:val="004E79DE"/>
    <w:rsid w:val="004E7A0D"/>
    <w:rsid w:val="004E7A3A"/>
    <w:rsid w:val="004E7D48"/>
    <w:rsid w:val="004E7E3A"/>
    <w:rsid w:val="004F00A3"/>
    <w:rsid w:val="004F00B9"/>
    <w:rsid w:val="004F0929"/>
    <w:rsid w:val="004F0C4A"/>
    <w:rsid w:val="004F0D0A"/>
    <w:rsid w:val="004F10B6"/>
    <w:rsid w:val="004F18B5"/>
    <w:rsid w:val="004F1A18"/>
    <w:rsid w:val="004F1B57"/>
    <w:rsid w:val="004F1B6F"/>
    <w:rsid w:val="004F1C65"/>
    <w:rsid w:val="004F1CE4"/>
    <w:rsid w:val="004F1D6E"/>
    <w:rsid w:val="004F2313"/>
    <w:rsid w:val="004F2502"/>
    <w:rsid w:val="004F29D5"/>
    <w:rsid w:val="004F2ADD"/>
    <w:rsid w:val="004F2B03"/>
    <w:rsid w:val="004F3146"/>
    <w:rsid w:val="004F33B9"/>
    <w:rsid w:val="004F363C"/>
    <w:rsid w:val="004F36C2"/>
    <w:rsid w:val="004F39DB"/>
    <w:rsid w:val="004F3A6A"/>
    <w:rsid w:val="004F3B85"/>
    <w:rsid w:val="004F3E79"/>
    <w:rsid w:val="004F462F"/>
    <w:rsid w:val="004F463F"/>
    <w:rsid w:val="004F4844"/>
    <w:rsid w:val="004F4A63"/>
    <w:rsid w:val="004F4AB8"/>
    <w:rsid w:val="004F4B58"/>
    <w:rsid w:val="004F5251"/>
    <w:rsid w:val="004F55FE"/>
    <w:rsid w:val="004F57DF"/>
    <w:rsid w:val="004F58B1"/>
    <w:rsid w:val="004F592F"/>
    <w:rsid w:val="004F5D55"/>
    <w:rsid w:val="004F66D9"/>
    <w:rsid w:val="004F66EC"/>
    <w:rsid w:val="004F6832"/>
    <w:rsid w:val="004F69C1"/>
    <w:rsid w:val="004F6A46"/>
    <w:rsid w:val="004F6C4D"/>
    <w:rsid w:val="004F6DD7"/>
    <w:rsid w:val="004F6DF6"/>
    <w:rsid w:val="004F6F01"/>
    <w:rsid w:val="004F6FA9"/>
    <w:rsid w:val="004F7036"/>
    <w:rsid w:val="004F71B3"/>
    <w:rsid w:val="004F7225"/>
    <w:rsid w:val="004F734A"/>
    <w:rsid w:val="004F739C"/>
    <w:rsid w:val="004F742C"/>
    <w:rsid w:val="004F7609"/>
    <w:rsid w:val="004F7694"/>
    <w:rsid w:val="004F77D1"/>
    <w:rsid w:val="004F7C1B"/>
    <w:rsid w:val="0050016D"/>
    <w:rsid w:val="00500B84"/>
    <w:rsid w:val="00500C72"/>
    <w:rsid w:val="00500FED"/>
    <w:rsid w:val="00501156"/>
    <w:rsid w:val="005015EB"/>
    <w:rsid w:val="00501698"/>
    <w:rsid w:val="005025BC"/>
    <w:rsid w:val="005026F9"/>
    <w:rsid w:val="005027C5"/>
    <w:rsid w:val="00502F63"/>
    <w:rsid w:val="00502FA4"/>
    <w:rsid w:val="005030E6"/>
    <w:rsid w:val="005030F0"/>
    <w:rsid w:val="0050332C"/>
    <w:rsid w:val="005033F7"/>
    <w:rsid w:val="0050383E"/>
    <w:rsid w:val="00503978"/>
    <w:rsid w:val="0050398B"/>
    <w:rsid w:val="00503C12"/>
    <w:rsid w:val="00503F10"/>
    <w:rsid w:val="00504047"/>
    <w:rsid w:val="005042E0"/>
    <w:rsid w:val="005043C4"/>
    <w:rsid w:val="00504498"/>
    <w:rsid w:val="0050459C"/>
    <w:rsid w:val="00504653"/>
    <w:rsid w:val="00504725"/>
    <w:rsid w:val="005049D6"/>
    <w:rsid w:val="00504A7D"/>
    <w:rsid w:val="00504AC6"/>
    <w:rsid w:val="00504AD7"/>
    <w:rsid w:val="00504C6C"/>
    <w:rsid w:val="00505206"/>
    <w:rsid w:val="0050552E"/>
    <w:rsid w:val="005056E5"/>
    <w:rsid w:val="005059B2"/>
    <w:rsid w:val="00505DB0"/>
    <w:rsid w:val="00505DC9"/>
    <w:rsid w:val="005061D3"/>
    <w:rsid w:val="00506302"/>
    <w:rsid w:val="005068D3"/>
    <w:rsid w:val="0050694D"/>
    <w:rsid w:val="00506D4E"/>
    <w:rsid w:val="00506EE8"/>
    <w:rsid w:val="00507077"/>
    <w:rsid w:val="005072F3"/>
    <w:rsid w:val="00507337"/>
    <w:rsid w:val="00507723"/>
    <w:rsid w:val="005078E1"/>
    <w:rsid w:val="00507A51"/>
    <w:rsid w:val="00507C2B"/>
    <w:rsid w:val="00507DE2"/>
    <w:rsid w:val="00510195"/>
    <w:rsid w:val="0051022B"/>
    <w:rsid w:val="0051043F"/>
    <w:rsid w:val="00510476"/>
    <w:rsid w:val="00510586"/>
    <w:rsid w:val="00510DB1"/>
    <w:rsid w:val="00510F3B"/>
    <w:rsid w:val="005110B6"/>
    <w:rsid w:val="00511190"/>
    <w:rsid w:val="0051126F"/>
    <w:rsid w:val="005112A1"/>
    <w:rsid w:val="0051131F"/>
    <w:rsid w:val="005115D8"/>
    <w:rsid w:val="00511717"/>
    <w:rsid w:val="00511962"/>
    <w:rsid w:val="00511D32"/>
    <w:rsid w:val="00512673"/>
    <w:rsid w:val="0051299B"/>
    <w:rsid w:val="00512A2D"/>
    <w:rsid w:val="00512BE0"/>
    <w:rsid w:val="00512CFE"/>
    <w:rsid w:val="00512D1D"/>
    <w:rsid w:val="00513211"/>
    <w:rsid w:val="005133B2"/>
    <w:rsid w:val="0051374F"/>
    <w:rsid w:val="0051385A"/>
    <w:rsid w:val="005138C3"/>
    <w:rsid w:val="00513D18"/>
    <w:rsid w:val="00513E97"/>
    <w:rsid w:val="005141BD"/>
    <w:rsid w:val="005141ED"/>
    <w:rsid w:val="005142B5"/>
    <w:rsid w:val="0051433C"/>
    <w:rsid w:val="005144D0"/>
    <w:rsid w:val="00514522"/>
    <w:rsid w:val="005147E7"/>
    <w:rsid w:val="00514A70"/>
    <w:rsid w:val="00514B0A"/>
    <w:rsid w:val="00514BF3"/>
    <w:rsid w:val="00514EBA"/>
    <w:rsid w:val="00515220"/>
    <w:rsid w:val="00515420"/>
    <w:rsid w:val="0051560B"/>
    <w:rsid w:val="0051590E"/>
    <w:rsid w:val="005159B9"/>
    <w:rsid w:val="00515AC4"/>
    <w:rsid w:val="005160CE"/>
    <w:rsid w:val="00516479"/>
    <w:rsid w:val="00516550"/>
    <w:rsid w:val="005166B4"/>
    <w:rsid w:val="00516717"/>
    <w:rsid w:val="0051673C"/>
    <w:rsid w:val="00516805"/>
    <w:rsid w:val="00516830"/>
    <w:rsid w:val="005169AF"/>
    <w:rsid w:val="00516A48"/>
    <w:rsid w:val="00516B0D"/>
    <w:rsid w:val="00516BB2"/>
    <w:rsid w:val="00516D71"/>
    <w:rsid w:val="00516E0C"/>
    <w:rsid w:val="00517476"/>
    <w:rsid w:val="005177B2"/>
    <w:rsid w:val="00517DB6"/>
    <w:rsid w:val="00517EC9"/>
    <w:rsid w:val="005200A0"/>
    <w:rsid w:val="005200E1"/>
    <w:rsid w:val="00520368"/>
    <w:rsid w:val="005208D1"/>
    <w:rsid w:val="00520A85"/>
    <w:rsid w:val="00520B85"/>
    <w:rsid w:val="00520EBC"/>
    <w:rsid w:val="00520FCA"/>
    <w:rsid w:val="005210A5"/>
    <w:rsid w:val="0052112D"/>
    <w:rsid w:val="005212DF"/>
    <w:rsid w:val="0052138A"/>
    <w:rsid w:val="005214A8"/>
    <w:rsid w:val="00521700"/>
    <w:rsid w:val="00521791"/>
    <w:rsid w:val="005219A3"/>
    <w:rsid w:val="005219BA"/>
    <w:rsid w:val="00521B18"/>
    <w:rsid w:val="00521C69"/>
    <w:rsid w:val="00522370"/>
    <w:rsid w:val="00522656"/>
    <w:rsid w:val="0052286E"/>
    <w:rsid w:val="0052298F"/>
    <w:rsid w:val="00522BAC"/>
    <w:rsid w:val="00522D78"/>
    <w:rsid w:val="0052332B"/>
    <w:rsid w:val="005233C7"/>
    <w:rsid w:val="00523582"/>
    <w:rsid w:val="0052384B"/>
    <w:rsid w:val="00523A23"/>
    <w:rsid w:val="0052454E"/>
    <w:rsid w:val="0052460D"/>
    <w:rsid w:val="00524758"/>
    <w:rsid w:val="0052476D"/>
    <w:rsid w:val="005247A2"/>
    <w:rsid w:val="00524877"/>
    <w:rsid w:val="00524EA2"/>
    <w:rsid w:val="0052511D"/>
    <w:rsid w:val="005252B7"/>
    <w:rsid w:val="0052532C"/>
    <w:rsid w:val="00525BFA"/>
    <w:rsid w:val="00525E30"/>
    <w:rsid w:val="00525FDC"/>
    <w:rsid w:val="00526143"/>
    <w:rsid w:val="0052622D"/>
    <w:rsid w:val="00526266"/>
    <w:rsid w:val="00526736"/>
    <w:rsid w:val="005267DD"/>
    <w:rsid w:val="00526BA7"/>
    <w:rsid w:val="00526C69"/>
    <w:rsid w:val="00526C89"/>
    <w:rsid w:val="00526D7F"/>
    <w:rsid w:val="00526F19"/>
    <w:rsid w:val="00527209"/>
    <w:rsid w:val="005274E0"/>
    <w:rsid w:val="005275AC"/>
    <w:rsid w:val="0052770F"/>
    <w:rsid w:val="00527738"/>
    <w:rsid w:val="00527AF3"/>
    <w:rsid w:val="00527C8A"/>
    <w:rsid w:val="00527CE9"/>
    <w:rsid w:val="00527D5A"/>
    <w:rsid w:val="005301E1"/>
    <w:rsid w:val="00531119"/>
    <w:rsid w:val="00531224"/>
    <w:rsid w:val="005312B4"/>
    <w:rsid w:val="005312EC"/>
    <w:rsid w:val="0053162D"/>
    <w:rsid w:val="0053171B"/>
    <w:rsid w:val="00531858"/>
    <w:rsid w:val="00531FB1"/>
    <w:rsid w:val="005323A2"/>
    <w:rsid w:val="00532A62"/>
    <w:rsid w:val="00532BBE"/>
    <w:rsid w:val="00532C5F"/>
    <w:rsid w:val="00532C8A"/>
    <w:rsid w:val="00532DED"/>
    <w:rsid w:val="00532FAC"/>
    <w:rsid w:val="0053314C"/>
    <w:rsid w:val="00533156"/>
    <w:rsid w:val="0053322D"/>
    <w:rsid w:val="005332D5"/>
    <w:rsid w:val="0053340E"/>
    <w:rsid w:val="0053359F"/>
    <w:rsid w:val="00533666"/>
    <w:rsid w:val="0053367F"/>
    <w:rsid w:val="00533693"/>
    <w:rsid w:val="005339C9"/>
    <w:rsid w:val="00533D9F"/>
    <w:rsid w:val="00533E11"/>
    <w:rsid w:val="0053410D"/>
    <w:rsid w:val="005342DA"/>
    <w:rsid w:val="00534381"/>
    <w:rsid w:val="005344D0"/>
    <w:rsid w:val="0053456B"/>
    <w:rsid w:val="00534576"/>
    <w:rsid w:val="0053473B"/>
    <w:rsid w:val="005347C1"/>
    <w:rsid w:val="00534867"/>
    <w:rsid w:val="00534904"/>
    <w:rsid w:val="00534ECB"/>
    <w:rsid w:val="00534FFC"/>
    <w:rsid w:val="00535037"/>
    <w:rsid w:val="00535057"/>
    <w:rsid w:val="0053505B"/>
    <w:rsid w:val="00535297"/>
    <w:rsid w:val="005352FE"/>
    <w:rsid w:val="005353E1"/>
    <w:rsid w:val="00535446"/>
    <w:rsid w:val="0053544E"/>
    <w:rsid w:val="00535486"/>
    <w:rsid w:val="00535508"/>
    <w:rsid w:val="00535753"/>
    <w:rsid w:val="00535931"/>
    <w:rsid w:val="00535E87"/>
    <w:rsid w:val="00535FA1"/>
    <w:rsid w:val="005361EA"/>
    <w:rsid w:val="00536545"/>
    <w:rsid w:val="005365F3"/>
    <w:rsid w:val="005368F4"/>
    <w:rsid w:val="00536C15"/>
    <w:rsid w:val="00536F15"/>
    <w:rsid w:val="005373FA"/>
    <w:rsid w:val="0053752F"/>
    <w:rsid w:val="005375E9"/>
    <w:rsid w:val="00537758"/>
    <w:rsid w:val="005379C7"/>
    <w:rsid w:val="00537BAC"/>
    <w:rsid w:val="00537C14"/>
    <w:rsid w:val="00537CAC"/>
    <w:rsid w:val="00537EF3"/>
    <w:rsid w:val="00537F08"/>
    <w:rsid w:val="005401E5"/>
    <w:rsid w:val="00540287"/>
    <w:rsid w:val="00540702"/>
    <w:rsid w:val="00540788"/>
    <w:rsid w:val="00540F8F"/>
    <w:rsid w:val="005412D3"/>
    <w:rsid w:val="00541321"/>
    <w:rsid w:val="00541628"/>
    <w:rsid w:val="005416BD"/>
    <w:rsid w:val="005416C4"/>
    <w:rsid w:val="00541BF3"/>
    <w:rsid w:val="00541CAF"/>
    <w:rsid w:val="00541EE1"/>
    <w:rsid w:val="00541F27"/>
    <w:rsid w:val="00542055"/>
    <w:rsid w:val="005420D6"/>
    <w:rsid w:val="0054251F"/>
    <w:rsid w:val="00542605"/>
    <w:rsid w:val="005428CC"/>
    <w:rsid w:val="005428D9"/>
    <w:rsid w:val="00542B97"/>
    <w:rsid w:val="00542E61"/>
    <w:rsid w:val="0054301D"/>
    <w:rsid w:val="00543068"/>
    <w:rsid w:val="005432D6"/>
    <w:rsid w:val="005433D0"/>
    <w:rsid w:val="005436A3"/>
    <w:rsid w:val="00543706"/>
    <w:rsid w:val="0054375D"/>
    <w:rsid w:val="005438BD"/>
    <w:rsid w:val="00543990"/>
    <w:rsid w:val="00543AAC"/>
    <w:rsid w:val="00543D72"/>
    <w:rsid w:val="00543D89"/>
    <w:rsid w:val="0054409B"/>
    <w:rsid w:val="005440C1"/>
    <w:rsid w:val="0054438F"/>
    <w:rsid w:val="005445AF"/>
    <w:rsid w:val="0054479D"/>
    <w:rsid w:val="00544A22"/>
    <w:rsid w:val="00544E84"/>
    <w:rsid w:val="00544F56"/>
    <w:rsid w:val="00544FD4"/>
    <w:rsid w:val="00544FDD"/>
    <w:rsid w:val="00545158"/>
    <w:rsid w:val="00545171"/>
    <w:rsid w:val="00545A05"/>
    <w:rsid w:val="00545D2E"/>
    <w:rsid w:val="00545EC0"/>
    <w:rsid w:val="00545EF7"/>
    <w:rsid w:val="00545F7C"/>
    <w:rsid w:val="00546705"/>
    <w:rsid w:val="00546845"/>
    <w:rsid w:val="00546D9C"/>
    <w:rsid w:val="00546E32"/>
    <w:rsid w:val="00546EC5"/>
    <w:rsid w:val="00546FB3"/>
    <w:rsid w:val="00547181"/>
    <w:rsid w:val="0054723C"/>
    <w:rsid w:val="00547276"/>
    <w:rsid w:val="005473C0"/>
    <w:rsid w:val="0054742C"/>
    <w:rsid w:val="0054765A"/>
    <w:rsid w:val="005478A3"/>
    <w:rsid w:val="005478A8"/>
    <w:rsid w:val="0054791E"/>
    <w:rsid w:val="00547BC0"/>
    <w:rsid w:val="00547C62"/>
    <w:rsid w:val="00547F88"/>
    <w:rsid w:val="0055055F"/>
    <w:rsid w:val="00550620"/>
    <w:rsid w:val="00550967"/>
    <w:rsid w:val="00550A8E"/>
    <w:rsid w:val="00550DFA"/>
    <w:rsid w:val="005511FB"/>
    <w:rsid w:val="00551397"/>
    <w:rsid w:val="00551AA5"/>
    <w:rsid w:val="00551B9F"/>
    <w:rsid w:val="00552459"/>
    <w:rsid w:val="005525DE"/>
    <w:rsid w:val="0055297F"/>
    <w:rsid w:val="005529D6"/>
    <w:rsid w:val="00552BEF"/>
    <w:rsid w:val="00552C6E"/>
    <w:rsid w:val="00552C83"/>
    <w:rsid w:val="00552FD8"/>
    <w:rsid w:val="00553053"/>
    <w:rsid w:val="00553275"/>
    <w:rsid w:val="00553370"/>
    <w:rsid w:val="00553622"/>
    <w:rsid w:val="00553836"/>
    <w:rsid w:val="005539B5"/>
    <w:rsid w:val="00553B3C"/>
    <w:rsid w:val="00553EF0"/>
    <w:rsid w:val="00553F52"/>
    <w:rsid w:val="00554381"/>
    <w:rsid w:val="005543E2"/>
    <w:rsid w:val="005547A7"/>
    <w:rsid w:val="00554877"/>
    <w:rsid w:val="00554A7C"/>
    <w:rsid w:val="00554ACD"/>
    <w:rsid w:val="00554DEE"/>
    <w:rsid w:val="00554F5E"/>
    <w:rsid w:val="0055550F"/>
    <w:rsid w:val="005555FB"/>
    <w:rsid w:val="00555715"/>
    <w:rsid w:val="005559F9"/>
    <w:rsid w:val="00555B73"/>
    <w:rsid w:val="00555D6F"/>
    <w:rsid w:val="00555F64"/>
    <w:rsid w:val="005563B4"/>
    <w:rsid w:val="005563CF"/>
    <w:rsid w:val="0055648C"/>
    <w:rsid w:val="005568AE"/>
    <w:rsid w:val="005568B7"/>
    <w:rsid w:val="005569CF"/>
    <w:rsid w:val="00556A3D"/>
    <w:rsid w:val="00556ACF"/>
    <w:rsid w:val="00556EAA"/>
    <w:rsid w:val="00557186"/>
    <w:rsid w:val="005572A4"/>
    <w:rsid w:val="00557472"/>
    <w:rsid w:val="0055754F"/>
    <w:rsid w:val="005578A1"/>
    <w:rsid w:val="0055790C"/>
    <w:rsid w:val="00557A18"/>
    <w:rsid w:val="00557B4A"/>
    <w:rsid w:val="00557B90"/>
    <w:rsid w:val="00557D55"/>
    <w:rsid w:val="00557FBB"/>
    <w:rsid w:val="0055DE7C"/>
    <w:rsid w:val="0056029F"/>
    <w:rsid w:val="0056030C"/>
    <w:rsid w:val="005604A5"/>
    <w:rsid w:val="005606E3"/>
    <w:rsid w:val="00560823"/>
    <w:rsid w:val="00560A88"/>
    <w:rsid w:val="00560B07"/>
    <w:rsid w:val="005610F6"/>
    <w:rsid w:val="0056126D"/>
    <w:rsid w:val="0056156B"/>
    <w:rsid w:val="00561C70"/>
    <w:rsid w:val="00561E06"/>
    <w:rsid w:val="00561E3E"/>
    <w:rsid w:val="00561F89"/>
    <w:rsid w:val="00562112"/>
    <w:rsid w:val="00562372"/>
    <w:rsid w:val="00562437"/>
    <w:rsid w:val="0056261E"/>
    <w:rsid w:val="00562746"/>
    <w:rsid w:val="00562D27"/>
    <w:rsid w:val="00562F71"/>
    <w:rsid w:val="00563038"/>
    <w:rsid w:val="00563190"/>
    <w:rsid w:val="00563235"/>
    <w:rsid w:val="0056330A"/>
    <w:rsid w:val="0056331A"/>
    <w:rsid w:val="005633F8"/>
    <w:rsid w:val="0056387C"/>
    <w:rsid w:val="00563B6D"/>
    <w:rsid w:val="00563EDE"/>
    <w:rsid w:val="005645AC"/>
    <w:rsid w:val="0056487A"/>
    <w:rsid w:val="00564970"/>
    <w:rsid w:val="00564BE2"/>
    <w:rsid w:val="00564FF3"/>
    <w:rsid w:val="005653FD"/>
    <w:rsid w:val="00565405"/>
    <w:rsid w:val="0056540D"/>
    <w:rsid w:val="005655D2"/>
    <w:rsid w:val="0056569F"/>
    <w:rsid w:val="00565816"/>
    <w:rsid w:val="005664B2"/>
    <w:rsid w:val="00566990"/>
    <w:rsid w:val="00566E61"/>
    <w:rsid w:val="00567478"/>
    <w:rsid w:val="00567A16"/>
    <w:rsid w:val="00567D90"/>
    <w:rsid w:val="00570369"/>
    <w:rsid w:val="00570540"/>
    <w:rsid w:val="005706E0"/>
    <w:rsid w:val="005708FE"/>
    <w:rsid w:val="00570D8B"/>
    <w:rsid w:val="00570E76"/>
    <w:rsid w:val="00570EE7"/>
    <w:rsid w:val="005712F5"/>
    <w:rsid w:val="005715AF"/>
    <w:rsid w:val="0057174A"/>
    <w:rsid w:val="005718C2"/>
    <w:rsid w:val="005719DB"/>
    <w:rsid w:val="00572008"/>
    <w:rsid w:val="00572025"/>
    <w:rsid w:val="005722CA"/>
    <w:rsid w:val="00572461"/>
    <w:rsid w:val="005724D0"/>
    <w:rsid w:val="005724D3"/>
    <w:rsid w:val="00572573"/>
    <w:rsid w:val="00572814"/>
    <w:rsid w:val="00572954"/>
    <w:rsid w:val="005729CA"/>
    <w:rsid w:val="00572B1F"/>
    <w:rsid w:val="00572C0D"/>
    <w:rsid w:val="00572CE1"/>
    <w:rsid w:val="00572EEF"/>
    <w:rsid w:val="00572F1E"/>
    <w:rsid w:val="0057316C"/>
    <w:rsid w:val="0057319B"/>
    <w:rsid w:val="005734AF"/>
    <w:rsid w:val="005734C8"/>
    <w:rsid w:val="0057367B"/>
    <w:rsid w:val="005738BD"/>
    <w:rsid w:val="0057391A"/>
    <w:rsid w:val="00573AE5"/>
    <w:rsid w:val="00573F5A"/>
    <w:rsid w:val="0057414C"/>
    <w:rsid w:val="0057453D"/>
    <w:rsid w:val="00574DED"/>
    <w:rsid w:val="00574EC1"/>
    <w:rsid w:val="005750A4"/>
    <w:rsid w:val="00575476"/>
    <w:rsid w:val="005759BB"/>
    <w:rsid w:val="00575AD5"/>
    <w:rsid w:val="00575B27"/>
    <w:rsid w:val="00575B2A"/>
    <w:rsid w:val="00575EEA"/>
    <w:rsid w:val="00575EF9"/>
    <w:rsid w:val="005762CE"/>
    <w:rsid w:val="0057632E"/>
    <w:rsid w:val="00576768"/>
    <w:rsid w:val="005769AF"/>
    <w:rsid w:val="005769B5"/>
    <w:rsid w:val="00576A4D"/>
    <w:rsid w:val="00577029"/>
    <w:rsid w:val="005771B0"/>
    <w:rsid w:val="005773B9"/>
    <w:rsid w:val="00577674"/>
    <w:rsid w:val="005778CB"/>
    <w:rsid w:val="00577987"/>
    <w:rsid w:val="005779C0"/>
    <w:rsid w:val="00577AFA"/>
    <w:rsid w:val="00577E12"/>
    <w:rsid w:val="00577FA8"/>
    <w:rsid w:val="0057C099"/>
    <w:rsid w:val="005802A6"/>
    <w:rsid w:val="005806D9"/>
    <w:rsid w:val="0058096F"/>
    <w:rsid w:val="005809F9"/>
    <w:rsid w:val="00580AF9"/>
    <w:rsid w:val="00581779"/>
    <w:rsid w:val="005817BC"/>
    <w:rsid w:val="00581AB5"/>
    <w:rsid w:val="00581B21"/>
    <w:rsid w:val="00581D05"/>
    <w:rsid w:val="0058211B"/>
    <w:rsid w:val="005822BB"/>
    <w:rsid w:val="0058233E"/>
    <w:rsid w:val="00582350"/>
    <w:rsid w:val="00582472"/>
    <w:rsid w:val="0058251B"/>
    <w:rsid w:val="0058255B"/>
    <w:rsid w:val="005825C3"/>
    <w:rsid w:val="005831BC"/>
    <w:rsid w:val="005833B5"/>
    <w:rsid w:val="0058344D"/>
    <w:rsid w:val="005836D9"/>
    <w:rsid w:val="00583779"/>
    <w:rsid w:val="00583885"/>
    <w:rsid w:val="00583893"/>
    <w:rsid w:val="00583C27"/>
    <w:rsid w:val="00583F53"/>
    <w:rsid w:val="005840B1"/>
    <w:rsid w:val="00584218"/>
    <w:rsid w:val="00584A13"/>
    <w:rsid w:val="00584A93"/>
    <w:rsid w:val="00584B1A"/>
    <w:rsid w:val="00584B89"/>
    <w:rsid w:val="00584BEE"/>
    <w:rsid w:val="005850AD"/>
    <w:rsid w:val="005857C6"/>
    <w:rsid w:val="00585DD3"/>
    <w:rsid w:val="00585F4B"/>
    <w:rsid w:val="005863EF"/>
    <w:rsid w:val="0058661C"/>
    <w:rsid w:val="005867D0"/>
    <w:rsid w:val="005867E6"/>
    <w:rsid w:val="00586A20"/>
    <w:rsid w:val="00586A36"/>
    <w:rsid w:val="00586AEB"/>
    <w:rsid w:val="00586BC4"/>
    <w:rsid w:val="00586BE4"/>
    <w:rsid w:val="00586F88"/>
    <w:rsid w:val="00586FC5"/>
    <w:rsid w:val="0058709E"/>
    <w:rsid w:val="005873CF"/>
    <w:rsid w:val="005874AD"/>
    <w:rsid w:val="005875C8"/>
    <w:rsid w:val="00587616"/>
    <w:rsid w:val="0058767A"/>
    <w:rsid w:val="0058778C"/>
    <w:rsid w:val="00587920"/>
    <w:rsid w:val="00587A80"/>
    <w:rsid w:val="00587A88"/>
    <w:rsid w:val="00587ABC"/>
    <w:rsid w:val="00587F70"/>
    <w:rsid w:val="00590147"/>
    <w:rsid w:val="00590430"/>
    <w:rsid w:val="005904D9"/>
    <w:rsid w:val="00590771"/>
    <w:rsid w:val="00590880"/>
    <w:rsid w:val="005908E9"/>
    <w:rsid w:val="00590EF1"/>
    <w:rsid w:val="005910F3"/>
    <w:rsid w:val="00591306"/>
    <w:rsid w:val="005916C7"/>
    <w:rsid w:val="005917F0"/>
    <w:rsid w:val="00591D26"/>
    <w:rsid w:val="0059218E"/>
    <w:rsid w:val="0059264C"/>
    <w:rsid w:val="005926C4"/>
    <w:rsid w:val="0059273D"/>
    <w:rsid w:val="0059285A"/>
    <w:rsid w:val="0059294F"/>
    <w:rsid w:val="00592B62"/>
    <w:rsid w:val="005934DC"/>
    <w:rsid w:val="005936E3"/>
    <w:rsid w:val="00593721"/>
    <w:rsid w:val="0059379E"/>
    <w:rsid w:val="005938D5"/>
    <w:rsid w:val="005938EA"/>
    <w:rsid w:val="005939D3"/>
    <w:rsid w:val="00593AFF"/>
    <w:rsid w:val="00593D0F"/>
    <w:rsid w:val="00593FA3"/>
    <w:rsid w:val="00594053"/>
    <w:rsid w:val="005940AD"/>
    <w:rsid w:val="0059414A"/>
    <w:rsid w:val="00594209"/>
    <w:rsid w:val="00594352"/>
    <w:rsid w:val="00594381"/>
    <w:rsid w:val="0059488C"/>
    <w:rsid w:val="005949ED"/>
    <w:rsid w:val="00594CE6"/>
    <w:rsid w:val="00594E0B"/>
    <w:rsid w:val="00595006"/>
    <w:rsid w:val="005953FD"/>
    <w:rsid w:val="0059595B"/>
    <w:rsid w:val="00595A95"/>
    <w:rsid w:val="00595CD4"/>
    <w:rsid w:val="00595D73"/>
    <w:rsid w:val="00596495"/>
    <w:rsid w:val="005967BE"/>
    <w:rsid w:val="00596A2D"/>
    <w:rsid w:val="00596A43"/>
    <w:rsid w:val="00596B9D"/>
    <w:rsid w:val="00596EF9"/>
    <w:rsid w:val="00596F54"/>
    <w:rsid w:val="005970EF"/>
    <w:rsid w:val="00597180"/>
    <w:rsid w:val="00597427"/>
    <w:rsid w:val="00597465"/>
    <w:rsid w:val="005976BB"/>
    <w:rsid w:val="00597923"/>
    <w:rsid w:val="00597938"/>
    <w:rsid w:val="00597945"/>
    <w:rsid w:val="00597AD7"/>
    <w:rsid w:val="00597C9E"/>
    <w:rsid w:val="00597D2C"/>
    <w:rsid w:val="00597F5A"/>
    <w:rsid w:val="005A0108"/>
    <w:rsid w:val="005A01DA"/>
    <w:rsid w:val="005A0394"/>
    <w:rsid w:val="005A0425"/>
    <w:rsid w:val="005A04CB"/>
    <w:rsid w:val="005A05F7"/>
    <w:rsid w:val="005A0BF3"/>
    <w:rsid w:val="005A0DD5"/>
    <w:rsid w:val="005A134D"/>
    <w:rsid w:val="005A1501"/>
    <w:rsid w:val="005A156A"/>
    <w:rsid w:val="005A1689"/>
    <w:rsid w:val="005A171A"/>
    <w:rsid w:val="005A22DB"/>
    <w:rsid w:val="005A2345"/>
    <w:rsid w:val="005A2358"/>
    <w:rsid w:val="005A23B8"/>
    <w:rsid w:val="005A24FB"/>
    <w:rsid w:val="005A259F"/>
    <w:rsid w:val="005A2859"/>
    <w:rsid w:val="005A2C03"/>
    <w:rsid w:val="005A2D88"/>
    <w:rsid w:val="005A2E5E"/>
    <w:rsid w:val="005A2FA2"/>
    <w:rsid w:val="005A3296"/>
    <w:rsid w:val="005A3302"/>
    <w:rsid w:val="005A35C5"/>
    <w:rsid w:val="005A375F"/>
    <w:rsid w:val="005A37B3"/>
    <w:rsid w:val="005A39E1"/>
    <w:rsid w:val="005A3ACD"/>
    <w:rsid w:val="005A3B8E"/>
    <w:rsid w:val="005A3D40"/>
    <w:rsid w:val="005A4003"/>
    <w:rsid w:val="005A4330"/>
    <w:rsid w:val="005A4469"/>
    <w:rsid w:val="005A47A2"/>
    <w:rsid w:val="005A48E3"/>
    <w:rsid w:val="005A4E2E"/>
    <w:rsid w:val="005A5167"/>
    <w:rsid w:val="005A5334"/>
    <w:rsid w:val="005A53A8"/>
    <w:rsid w:val="005A582E"/>
    <w:rsid w:val="005A59F2"/>
    <w:rsid w:val="005A6025"/>
    <w:rsid w:val="005A6419"/>
    <w:rsid w:val="005A6456"/>
    <w:rsid w:val="005A64DA"/>
    <w:rsid w:val="005A6AE9"/>
    <w:rsid w:val="005A6E8A"/>
    <w:rsid w:val="005A6F19"/>
    <w:rsid w:val="005A6F50"/>
    <w:rsid w:val="005A71D9"/>
    <w:rsid w:val="005A72DC"/>
    <w:rsid w:val="005A744E"/>
    <w:rsid w:val="005A7469"/>
    <w:rsid w:val="005A749C"/>
    <w:rsid w:val="005A77AF"/>
    <w:rsid w:val="005A77CF"/>
    <w:rsid w:val="005A7822"/>
    <w:rsid w:val="005A792A"/>
    <w:rsid w:val="005A7ED1"/>
    <w:rsid w:val="005B0042"/>
    <w:rsid w:val="005B0087"/>
    <w:rsid w:val="005B0103"/>
    <w:rsid w:val="005B022F"/>
    <w:rsid w:val="005B05A5"/>
    <w:rsid w:val="005B07F2"/>
    <w:rsid w:val="005B0A12"/>
    <w:rsid w:val="005B0B5B"/>
    <w:rsid w:val="005B0C5B"/>
    <w:rsid w:val="005B0DD9"/>
    <w:rsid w:val="005B0F94"/>
    <w:rsid w:val="005B0FE6"/>
    <w:rsid w:val="005B1128"/>
    <w:rsid w:val="005B1352"/>
    <w:rsid w:val="005B1567"/>
    <w:rsid w:val="005B15DA"/>
    <w:rsid w:val="005B1613"/>
    <w:rsid w:val="005B1615"/>
    <w:rsid w:val="005B1787"/>
    <w:rsid w:val="005B1A7D"/>
    <w:rsid w:val="005B23F2"/>
    <w:rsid w:val="005B2927"/>
    <w:rsid w:val="005B2A18"/>
    <w:rsid w:val="005B2AA3"/>
    <w:rsid w:val="005B3267"/>
    <w:rsid w:val="005B3395"/>
    <w:rsid w:val="005B34ED"/>
    <w:rsid w:val="005B3715"/>
    <w:rsid w:val="005B3D79"/>
    <w:rsid w:val="005B3DB6"/>
    <w:rsid w:val="005B3DCA"/>
    <w:rsid w:val="005B3DFE"/>
    <w:rsid w:val="005B3F44"/>
    <w:rsid w:val="005B40B2"/>
    <w:rsid w:val="005B4439"/>
    <w:rsid w:val="005B471D"/>
    <w:rsid w:val="005B4E96"/>
    <w:rsid w:val="005B4EFA"/>
    <w:rsid w:val="005B4F9A"/>
    <w:rsid w:val="005B5437"/>
    <w:rsid w:val="005B5462"/>
    <w:rsid w:val="005B5992"/>
    <w:rsid w:val="005B5C36"/>
    <w:rsid w:val="005B65E0"/>
    <w:rsid w:val="005B665D"/>
    <w:rsid w:val="005B66A6"/>
    <w:rsid w:val="005B6AA9"/>
    <w:rsid w:val="005B6BC5"/>
    <w:rsid w:val="005B6DF8"/>
    <w:rsid w:val="005B713B"/>
    <w:rsid w:val="005B7325"/>
    <w:rsid w:val="005B73E4"/>
    <w:rsid w:val="005B767E"/>
    <w:rsid w:val="005B7B02"/>
    <w:rsid w:val="005B7B44"/>
    <w:rsid w:val="005B7B70"/>
    <w:rsid w:val="005C0052"/>
    <w:rsid w:val="005C00D0"/>
    <w:rsid w:val="005C0413"/>
    <w:rsid w:val="005C04E0"/>
    <w:rsid w:val="005C052B"/>
    <w:rsid w:val="005C06C9"/>
    <w:rsid w:val="005C086F"/>
    <w:rsid w:val="005C093C"/>
    <w:rsid w:val="005C0A00"/>
    <w:rsid w:val="005C0B17"/>
    <w:rsid w:val="005C0B58"/>
    <w:rsid w:val="005C0BA3"/>
    <w:rsid w:val="005C0C94"/>
    <w:rsid w:val="005C0F25"/>
    <w:rsid w:val="005C14B5"/>
    <w:rsid w:val="005C1509"/>
    <w:rsid w:val="005C1668"/>
    <w:rsid w:val="005C1D9A"/>
    <w:rsid w:val="005C1DFA"/>
    <w:rsid w:val="005C1DFE"/>
    <w:rsid w:val="005C22B6"/>
    <w:rsid w:val="005C22BA"/>
    <w:rsid w:val="005C2369"/>
    <w:rsid w:val="005C240D"/>
    <w:rsid w:val="005C245D"/>
    <w:rsid w:val="005C2597"/>
    <w:rsid w:val="005C2849"/>
    <w:rsid w:val="005C2A72"/>
    <w:rsid w:val="005C2D05"/>
    <w:rsid w:val="005C2D45"/>
    <w:rsid w:val="005C2DD8"/>
    <w:rsid w:val="005C2F8D"/>
    <w:rsid w:val="005C2FCA"/>
    <w:rsid w:val="005C2FCD"/>
    <w:rsid w:val="005C3424"/>
    <w:rsid w:val="005C3468"/>
    <w:rsid w:val="005C3781"/>
    <w:rsid w:val="005C3B8B"/>
    <w:rsid w:val="005C3BC4"/>
    <w:rsid w:val="005C3CDA"/>
    <w:rsid w:val="005C3DD2"/>
    <w:rsid w:val="005C45D0"/>
    <w:rsid w:val="005C46B0"/>
    <w:rsid w:val="005C4719"/>
    <w:rsid w:val="005C48D7"/>
    <w:rsid w:val="005C4CB4"/>
    <w:rsid w:val="005C4F17"/>
    <w:rsid w:val="005C50F3"/>
    <w:rsid w:val="005C526A"/>
    <w:rsid w:val="005C55FC"/>
    <w:rsid w:val="005C56F4"/>
    <w:rsid w:val="005C5B7D"/>
    <w:rsid w:val="005C5BF1"/>
    <w:rsid w:val="005C6038"/>
    <w:rsid w:val="005C63C5"/>
    <w:rsid w:val="005C6807"/>
    <w:rsid w:val="005C6844"/>
    <w:rsid w:val="005C6CE1"/>
    <w:rsid w:val="005C6F5F"/>
    <w:rsid w:val="005C738F"/>
    <w:rsid w:val="005C7548"/>
    <w:rsid w:val="005C7891"/>
    <w:rsid w:val="005C7AC2"/>
    <w:rsid w:val="005C7AFB"/>
    <w:rsid w:val="005C7DFC"/>
    <w:rsid w:val="005C7F8D"/>
    <w:rsid w:val="005C7FAD"/>
    <w:rsid w:val="005D00C2"/>
    <w:rsid w:val="005D034A"/>
    <w:rsid w:val="005D0A62"/>
    <w:rsid w:val="005D0BB5"/>
    <w:rsid w:val="005D0E7A"/>
    <w:rsid w:val="005D1046"/>
    <w:rsid w:val="005D13F3"/>
    <w:rsid w:val="005D1404"/>
    <w:rsid w:val="005D157E"/>
    <w:rsid w:val="005D1679"/>
    <w:rsid w:val="005D1E9B"/>
    <w:rsid w:val="005D2844"/>
    <w:rsid w:val="005D28C8"/>
    <w:rsid w:val="005D2D11"/>
    <w:rsid w:val="005D3048"/>
    <w:rsid w:val="005D308E"/>
    <w:rsid w:val="005D3440"/>
    <w:rsid w:val="005D3764"/>
    <w:rsid w:val="005D3A88"/>
    <w:rsid w:val="005D3B22"/>
    <w:rsid w:val="005D43B6"/>
    <w:rsid w:val="005D4494"/>
    <w:rsid w:val="005D454F"/>
    <w:rsid w:val="005D48E2"/>
    <w:rsid w:val="005D4A02"/>
    <w:rsid w:val="005D4BA2"/>
    <w:rsid w:val="005D4BEC"/>
    <w:rsid w:val="005D4C7C"/>
    <w:rsid w:val="005D4C80"/>
    <w:rsid w:val="005D4D98"/>
    <w:rsid w:val="005D5276"/>
    <w:rsid w:val="005D52E2"/>
    <w:rsid w:val="005D5686"/>
    <w:rsid w:val="005D580D"/>
    <w:rsid w:val="005D5C11"/>
    <w:rsid w:val="005D6660"/>
    <w:rsid w:val="005D6A69"/>
    <w:rsid w:val="005D6BF5"/>
    <w:rsid w:val="005D6C34"/>
    <w:rsid w:val="005D722A"/>
    <w:rsid w:val="005D757A"/>
    <w:rsid w:val="005D7647"/>
    <w:rsid w:val="005D7A01"/>
    <w:rsid w:val="005D7EE6"/>
    <w:rsid w:val="005D7F17"/>
    <w:rsid w:val="005E00C3"/>
    <w:rsid w:val="005E05E9"/>
    <w:rsid w:val="005E0645"/>
    <w:rsid w:val="005E078A"/>
    <w:rsid w:val="005E0BF6"/>
    <w:rsid w:val="005E0CFC"/>
    <w:rsid w:val="005E13C8"/>
    <w:rsid w:val="005E1A96"/>
    <w:rsid w:val="005E1AE1"/>
    <w:rsid w:val="005E1C26"/>
    <w:rsid w:val="005E1CFC"/>
    <w:rsid w:val="005E1EF5"/>
    <w:rsid w:val="005E1F1F"/>
    <w:rsid w:val="005E2558"/>
    <w:rsid w:val="005E2911"/>
    <w:rsid w:val="005E2D51"/>
    <w:rsid w:val="005E312C"/>
    <w:rsid w:val="005E31A1"/>
    <w:rsid w:val="005E31A6"/>
    <w:rsid w:val="005E3259"/>
    <w:rsid w:val="005E34C1"/>
    <w:rsid w:val="005E34D6"/>
    <w:rsid w:val="005E3914"/>
    <w:rsid w:val="005E467F"/>
    <w:rsid w:val="005E4685"/>
    <w:rsid w:val="005E4AEF"/>
    <w:rsid w:val="005E4C3E"/>
    <w:rsid w:val="005E4CF1"/>
    <w:rsid w:val="005E4D60"/>
    <w:rsid w:val="005E4F27"/>
    <w:rsid w:val="005E5075"/>
    <w:rsid w:val="005E50A3"/>
    <w:rsid w:val="005E51D5"/>
    <w:rsid w:val="005E51E8"/>
    <w:rsid w:val="005E52F6"/>
    <w:rsid w:val="005E53D3"/>
    <w:rsid w:val="005E53E6"/>
    <w:rsid w:val="005E55B2"/>
    <w:rsid w:val="005E5910"/>
    <w:rsid w:val="005E5C1C"/>
    <w:rsid w:val="005E5DE2"/>
    <w:rsid w:val="005E5F51"/>
    <w:rsid w:val="005E617E"/>
    <w:rsid w:val="005E64C2"/>
    <w:rsid w:val="005E65F2"/>
    <w:rsid w:val="005E6727"/>
    <w:rsid w:val="005E6F73"/>
    <w:rsid w:val="005E7294"/>
    <w:rsid w:val="005E74C7"/>
    <w:rsid w:val="005E74CD"/>
    <w:rsid w:val="005E74EF"/>
    <w:rsid w:val="005E75FE"/>
    <w:rsid w:val="005E77EE"/>
    <w:rsid w:val="005E7912"/>
    <w:rsid w:val="005E7932"/>
    <w:rsid w:val="005E7961"/>
    <w:rsid w:val="005E7ABD"/>
    <w:rsid w:val="005E7C5B"/>
    <w:rsid w:val="005E7E40"/>
    <w:rsid w:val="005F006A"/>
    <w:rsid w:val="005F0291"/>
    <w:rsid w:val="005F04F7"/>
    <w:rsid w:val="005F0869"/>
    <w:rsid w:val="005F0873"/>
    <w:rsid w:val="005F090F"/>
    <w:rsid w:val="005F0C54"/>
    <w:rsid w:val="005F0C94"/>
    <w:rsid w:val="005F0DEF"/>
    <w:rsid w:val="005F0F25"/>
    <w:rsid w:val="005F10CA"/>
    <w:rsid w:val="005F1178"/>
    <w:rsid w:val="005F124D"/>
    <w:rsid w:val="005F1255"/>
    <w:rsid w:val="005F12BD"/>
    <w:rsid w:val="005F12C2"/>
    <w:rsid w:val="005F1609"/>
    <w:rsid w:val="005F1676"/>
    <w:rsid w:val="005F1679"/>
    <w:rsid w:val="005F16F3"/>
    <w:rsid w:val="005F18DC"/>
    <w:rsid w:val="005F19FD"/>
    <w:rsid w:val="005F1CE8"/>
    <w:rsid w:val="005F1E26"/>
    <w:rsid w:val="005F1F1B"/>
    <w:rsid w:val="005F23FD"/>
    <w:rsid w:val="005F26A6"/>
    <w:rsid w:val="005F281D"/>
    <w:rsid w:val="005F2824"/>
    <w:rsid w:val="005F2976"/>
    <w:rsid w:val="005F2D14"/>
    <w:rsid w:val="005F2EB6"/>
    <w:rsid w:val="005F3140"/>
    <w:rsid w:val="005F346C"/>
    <w:rsid w:val="005F35B8"/>
    <w:rsid w:val="005F38A6"/>
    <w:rsid w:val="005F38EA"/>
    <w:rsid w:val="005F3994"/>
    <w:rsid w:val="005F3A49"/>
    <w:rsid w:val="005F3D12"/>
    <w:rsid w:val="005F40EA"/>
    <w:rsid w:val="005F4383"/>
    <w:rsid w:val="005F47F7"/>
    <w:rsid w:val="005F502A"/>
    <w:rsid w:val="005F5372"/>
    <w:rsid w:val="005F56D8"/>
    <w:rsid w:val="005F5820"/>
    <w:rsid w:val="005F5D44"/>
    <w:rsid w:val="005F5F26"/>
    <w:rsid w:val="005F60DA"/>
    <w:rsid w:val="005F6861"/>
    <w:rsid w:val="005F6D7C"/>
    <w:rsid w:val="005F6FF9"/>
    <w:rsid w:val="005F72FD"/>
    <w:rsid w:val="005F732D"/>
    <w:rsid w:val="005F7487"/>
    <w:rsid w:val="005F78C3"/>
    <w:rsid w:val="005F7D76"/>
    <w:rsid w:val="005F7F10"/>
    <w:rsid w:val="006000D0"/>
    <w:rsid w:val="0060053C"/>
    <w:rsid w:val="006009E5"/>
    <w:rsid w:val="00600AD5"/>
    <w:rsid w:val="00600BBA"/>
    <w:rsid w:val="00600D1E"/>
    <w:rsid w:val="00600D70"/>
    <w:rsid w:val="00600F85"/>
    <w:rsid w:val="006017AB"/>
    <w:rsid w:val="00601A49"/>
    <w:rsid w:val="00602033"/>
    <w:rsid w:val="00602108"/>
    <w:rsid w:val="00602704"/>
    <w:rsid w:val="0060297F"/>
    <w:rsid w:val="006029DB"/>
    <w:rsid w:val="00602B96"/>
    <w:rsid w:val="0060319C"/>
    <w:rsid w:val="006035FB"/>
    <w:rsid w:val="006036C5"/>
    <w:rsid w:val="006037E4"/>
    <w:rsid w:val="006038EC"/>
    <w:rsid w:val="00603A23"/>
    <w:rsid w:val="00603AEC"/>
    <w:rsid w:val="00603AF6"/>
    <w:rsid w:val="00603EB1"/>
    <w:rsid w:val="0060410D"/>
    <w:rsid w:val="0060431D"/>
    <w:rsid w:val="00604383"/>
    <w:rsid w:val="00604498"/>
    <w:rsid w:val="00604526"/>
    <w:rsid w:val="0060457C"/>
    <w:rsid w:val="006045E6"/>
    <w:rsid w:val="006047AE"/>
    <w:rsid w:val="00604930"/>
    <w:rsid w:val="00604A1B"/>
    <w:rsid w:val="00604C81"/>
    <w:rsid w:val="0060512B"/>
    <w:rsid w:val="00605A75"/>
    <w:rsid w:val="00606123"/>
    <w:rsid w:val="00606125"/>
    <w:rsid w:val="006061B6"/>
    <w:rsid w:val="0060620D"/>
    <w:rsid w:val="00606550"/>
    <w:rsid w:val="006066AC"/>
    <w:rsid w:val="00606978"/>
    <w:rsid w:val="00606AEF"/>
    <w:rsid w:val="00606B1F"/>
    <w:rsid w:val="00606C42"/>
    <w:rsid w:val="00607194"/>
    <w:rsid w:val="00607231"/>
    <w:rsid w:val="0060740A"/>
    <w:rsid w:val="006078C8"/>
    <w:rsid w:val="00607AC9"/>
    <w:rsid w:val="00607CE6"/>
    <w:rsid w:val="00607EC9"/>
    <w:rsid w:val="0061019C"/>
    <w:rsid w:val="00610692"/>
    <w:rsid w:val="006108AB"/>
    <w:rsid w:val="006108EA"/>
    <w:rsid w:val="006109FB"/>
    <w:rsid w:val="00610AB8"/>
    <w:rsid w:val="00610AEF"/>
    <w:rsid w:val="00610B67"/>
    <w:rsid w:val="00610C17"/>
    <w:rsid w:val="00610CEC"/>
    <w:rsid w:val="00610E56"/>
    <w:rsid w:val="00610E6C"/>
    <w:rsid w:val="00611135"/>
    <w:rsid w:val="00611241"/>
    <w:rsid w:val="006112DC"/>
    <w:rsid w:val="006113DE"/>
    <w:rsid w:val="00611730"/>
    <w:rsid w:val="006118AC"/>
    <w:rsid w:val="00611925"/>
    <w:rsid w:val="00611BA0"/>
    <w:rsid w:val="00611CF5"/>
    <w:rsid w:val="00611D10"/>
    <w:rsid w:val="00611E47"/>
    <w:rsid w:val="00611E73"/>
    <w:rsid w:val="00612F73"/>
    <w:rsid w:val="006133C4"/>
    <w:rsid w:val="00613810"/>
    <w:rsid w:val="0061396F"/>
    <w:rsid w:val="006140FF"/>
    <w:rsid w:val="006143E5"/>
    <w:rsid w:val="00614642"/>
    <w:rsid w:val="006149FA"/>
    <w:rsid w:val="00614AF7"/>
    <w:rsid w:val="00614E04"/>
    <w:rsid w:val="006152B7"/>
    <w:rsid w:val="00615474"/>
    <w:rsid w:val="00615529"/>
    <w:rsid w:val="00615744"/>
    <w:rsid w:val="00615924"/>
    <w:rsid w:val="00615B19"/>
    <w:rsid w:val="00615DF3"/>
    <w:rsid w:val="00615E4F"/>
    <w:rsid w:val="00615F25"/>
    <w:rsid w:val="00616026"/>
    <w:rsid w:val="0061644F"/>
    <w:rsid w:val="0061657E"/>
    <w:rsid w:val="00616ADA"/>
    <w:rsid w:val="00616C06"/>
    <w:rsid w:val="00617222"/>
    <w:rsid w:val="006173F4"/>
    <w:rsid w:val="00617830"/>
    <w:rsid w:val="00617DA6"/>
    <w:rsid w:val="006200DB"/>
    <w:rsid w:val="006203A0"/>
    <w:rsid w:val="006203A3"/>
    <w:rsid w:val="00620872"/>
    <w:rsid w:val="00620B56"/>
    <w:rsid w:val="00620D67"/>
    <w:rsid w:val="00620DBE"/>
    <w:rsid w:val="00621001"/>
    <w:rsid w:val="0062124F"/>
    <w:rsid w:val="006217B1"/>
    <w:rsid w:val="00621811"/>
    <w:rsid w:val="006219BE"/>
    <w:rsid w:val="00621BF2"/>
    <w:rsid w:val="00621C31"/>
    <w:rsid w:val="00622195"/>
    <w:rsid w:val="006227C4"/>
    <w:rsid w:val="0062286B"/>
    <w:rsid w:val="006229D2"/>
    <w:rsid w:val="00622A3B"/>
    <w:rsid w:val="00622AA1"/>
    <w:rsid w:val="00622B4A"/>
    <w:rsid w:val="00622DD2"/>
    <w:rsid w:val="00622F6F"/>
    <w:rsid w:val="006232A9"/>
    <w:rsid w:val="006234B2"/>
    <w:rsid w:val="00623582"/>
    <w:rsid w:val="00623FB8"/>
    <w:rsid w:val="006240E7"/>
    <w:rsid w:val="00624131"/>
    <w:rsid w:val="006241AC"/>
    <w:rsid w:val="00624207"/>
    <w:rsid w:val="006248C4"/>
    <w:rsid w:val="00624CBC"/>
    <w:rsid w:val="00624CE4"/>
    <w:rsid w:val="00624DC8"/>
    <w:rsid w:val="00624FA4"/>
    <w:rsid w:val="00624FC5"/>
    <w:rsid w:val="00625398"/>
    <w:rsid w:val="00625414"/>
    <w:rsid w:val="0062576F"/>
    <w:rsid w:val="00625C76"/>
    <w:rsid w:val="00625FE1"/>
    <w:rsid w:val="00626003"/>
    <w:rsid w:val="0062612E"/>
    <w:rsid w:val="006263C5"/>
    <w:rsid w:val="006265D6"/>
    <w:rsid w:val="006266B8"/>
    <w:rsid w:val="006269CC"/>
    <w:rsid w:val="00626B6F"/>
    <w:rsid w:val="00626D37"/>
    <w:rsid w:val="006271C6"/>
    <w:rsid w:val="0062731B"/>
    <w:rsid w:val="00627AFF"/>
    <w:rsid w:val="0063027F"/>
    <w:rsid w:val="00630337"/>
    <w:rsid w:val="00630566"/>
    <w:rsid w:val="0063074D"/>
    <w:rsid w:val="0063089C"/>
    <w:rsid w:val="00630BB5"/>
    <w:rsid w:val="00630CFA"/>
    <w:rsid w:val="00630D15"/>
    <w:rsid w:val="00630D5D"/>
    <w:rsid w:val="00630E8C"/>
    <w:rsid w:val="00630FE8"/>
    <w:rsid w:val="00631016"/>
    <w:rsid w:val="0063137E"/>
    <w:rsid w:val="00631816"/>
    <w:rsid w:val="00631838"/>
    <w:rsid w:val="00631A7C"/>
    <w:rsid w:val="006320F2"/>
    <w:rsid w:val="006323C4"/>
    <w:rsid w:val="006323F1"/>
    <w:rsid w:val="0063246E"/>
    <w:rsid w:val="00632A8B"/>
    <w:rsid w:val="00632C89"/>
    <w:rsid w:val="00632D28"/>
    <w:rsid w:val="00632F58"/>
    <w:rsid w:val="00632F7B"/>
    <w:rsid w:val="0063316D"/>
    <w:rsid w:val="006334EB"/>
    <w:rsid w:val="00633571"/>
    <w:rsid w:val="0063392F"/>
    <w:rsid w:val="00633D1A"/>
    <w:rsid w:val="00633EAD"/>
    <w:rsid w:val="00634403"/>
    <w:rsid w:val="00634789"/>
    <w:rsid w:val="006347AC"/>
    <w:rsid w:val="00634855"/>
    <w:rsid w:val="00634B58"/>
    <w:rsid w:val="00634D3D"/>
    <w:rsid w:val="00634E06"/>
    <w:rsid w:val="006351FE"/>
    <w:rsid w:val="0063535E"/>
    <w:rsid w:val="00635389"/>
    <w:rsid w:val="006356EE"/>
    <w:rsid w:val="00635C88"/>
    <w:rsid w:val="00635E57"/>
    <w:rsid w:val="00635F2E"/>
    <w:rsid w:val="0063611E"/>
    <w:rsid w:val="006361D2"/>
    <w:rsid w:val="006362E1"/>
    <w:rsid w:val="006363B1"/>
    <w:rsid w:val="006366F6"/>
    <w:rsid w:val="0063695D"/>
    <w:rsid w:val="00636BEF"/>
    <w:rsid w:val="00636BF1"/>
    <w:rsid w:val="00636C79"/>
    <w:rsid w:val="00636D32"/>
    <w:rsid w:val="00636D4C"/>
    <w:rsid w:val="00637064"/>
    <w:rsid w:val="006370B5"/>
    <w:rsid w:val="006372B3"/>
    <w:rsid w:val="0063732C"/>
    <w:rsid w:val="00637331"/>
    <w:rsid w:val="00637497"/>
    <w:rsid w:val="0063777C"/>
    <w:rsid w:val="00640277"/>
    <w:rsid w:val="006402FA"/>
    <w:rsid w:val="00640A32"/>
    <w:rsid w:val="00640DFF"/>
    <w:rsid w:val="00640EDA"/>
    <w:rsid w:val="00640F0A"/>
    <w:rsid w:val="0064112A"/>
    <w:rsid w:val="0064120A"/>
    <w:rsid w:val="006412D2"/>
    <w:rsid w:val="0064131A"/>
    <w:rsid w:val="006417A6"/>
    <w:rsid w:val="00642196"/>
    <w:rsid w:val="0064220F"/>
    <w:rsid w:val="0064236E"/>
    <w:rsid w:val="00642686"/>
    <w:rsid w:val="0064297E"/>
    <w:rsid w:val="00642A87"/>
    <w:rsid w:val="00642A9A"/>
    <w:rsid w:val="00642D7F"/>
    <w:rsid w:val="00643029"/>
    <w:rsid w:val="006431E4"/>
    <w:rsid w:val="00643392"/>
    <w:rsid w:val="006433B3"/>
    <w:rsid w:val="006433BD"/>
    <w:rsid w:val="006433E4"/>
    <w:rsid w:val="006435C8"/>
    <w:rsid w:val="00643785"/>
    <w:rsid w:val="0064396C"/>
    <w:rsid w:val="00643A46"/>
    <w:rsid w:val="00643A6A"/>
    <w:rsid w:val="00643D85"/>
    <w:rsid w:val="00643F57"/>
    <w:rsid w:val="006440B8"/>
    <w:rsid w:val="0064421B"/>
    <w:rsid w:val="0064422A"/>
    <w:rsid w:val="006442D4"/>
    <w:rsid w:val="00644461"/>
    <w:rsid w:val="0064449E"/>
    <w:rsid w:val="0064485D"/>
    <w:rsid w:val="00644A22"/>
    <w:rsid w:val="00644A42"/>
    <w:rsid w:val="00644A58"/>
    <w:rsid w:val="00644A87"/>
    <w:rsid w:val="00644AEA"/>
    <w:rsid w:val="00644DD3"/>
    <w:rsid w:val="00644DEA"/>
    <w:rsid w:val="00644E8A"/>
    <w:rsid w:val="00644F10"/>
    <w:rsid w:val="006453B6"/>
    <w:rsid w:val="0064546A"/>
    <w:rsid w:val="006454EC"/>
    <w:rsid w:val="00645724"/>
    <w:rsid w:val="00645C32"/>
    <w:rsid w:val="00645D9C"/>
    <w:rsid w:val="00645F49"/>
    <w:rsid w:val="00646048"/>
    <w:rsid w:val="006462D7"/>
    <w:rsid w:val="00646699"/>
    <w:rsid w:val="00646A8C"/>
    <w:rsid w:val="00646F88"/>
    <w:rsid w:val="006470AC"/>
    <w:rsid w:val="0064715E"/>
    <w:rsid w:val="00647201"/>
    <w:rsid w:val="006473EF"/>
    <w:rsid w:val="0064758C"/>
    <w:rsid w:val="0064781B"/>
    <w:rsid w:val="0064782D"/>
    <w:rsid w:val="006479E3"/>
    <w:rsid w:val="00647CAF"/>
    <w:rsid w:val="00647CE4"/>
    <w:rsid w:val="00647DDF"/>
    <w:rsid w:val="00647E5E"/>
    <w:rsid w:val="00647F28"/>
    <w:rsid w:val="00647FD7"/>
    <w:rsid w:val="006505B2"/>
    <w:rsid w:val="006508DE"/>
    <w:rsid w:val="00650C34"/>
    <w:rsid w:val="00650C69"/>
    <w:rsid w:val="00650D91"/>
    <w:rsid w:val="00651306"/>
    <w:rsid w:val="00651546"/>
    <w:rsid w:val="006525A3"/>
    <w:rsid w:val="006526BD"/>
    <w:rsid w:val="00652BF7"/>
    <w:rsid w:val="00652DAA"/>
    <w:rsid w:val="00652DD1"/>
    <w:rsid w:val="0065333F"/>
    <w:rsid w:val="00653602"/>
    <w:rsid w:val="00653733"/>
    <w:rsid w:val="00653861"/>
    <w:rsid w:val="00653C49"/>
    <w:rsid w:val="006540D8"/>
    <w:rsid w:val="00654445"/>
    <w:rsid w:val="0065448F"/>
    <w:rsid w:val="0065453E"/>
    <w:rsid w:val="0065490F"/>
    <w:rsid w:val="0065494D"/>
    <w:rsid w:val="00654A7C"/>
    <w:rsid w:val="00654CCE"/>
    <w:rsid w:val="006551A6"/>
    <w:rsid w:val="006554AE"/>
    <w:rsid w:val="006554E2"/>
    <w:rsid w:val="0065562B"/>
    <w:rsid w:val="00655734"/>
    <w:rsid w:val="00655761"/>
    <w:rsid w:val="00655ED0"/>
    <w:rsid w:val="00656145"/>
    <w:rsid w:val="00656971"/>
    <w:rsid w:val="00656A1F"/>
    <w:rsid w:val="00656ABB"/>
    <w:rsid w:val="00657154"/>
    <w:rsid w:val="006572EB"/>
    <w:rsid w:val="00657320"/>
    <w:rsid w:val="00657336"/>
    <w:rsid w:val="006575CE"/>
    <w:rsid w:val="00657655"/>
    <w:rsid w:val="006577F2"/>
    <w:rsid w:val="0065789B"/>
    <w:rsid w:val="006578DA"/>
    <w:rsid w:val="006579E2"/>
    <w:rsid w:val="00657A6D"/>
    <w:rsid w:val="00657A6F"/>
    <w:rsid w:val="00657D11"/>
    <w:rsid w:val="00657EAD"/>
    <w:rsid w:val="00657EF3"/>
    <w:rsid w:val="0066019E"/>
    <w:rsid w:val="00660226"/>
    <w:rsid w:val="00660438"/>
    <w:rsid w:val="00660607"/>
    <w:rsid w:val="0066067E"/>
    <w:rsid w:val="006606F2"/>
    <w:rsid w:val="0066087B"/>
    <w:rsid w:val="006609B7"/>
    <w:rsid w:val="00660CC4"/>
    <w:rsid w:val="00660FFA"/>
    <w:rsid w:val="0066123B"/>
    <w:rsid w:val="00661448"/>
    <w:rsid w:val="00661B38"/>
    <w:rsid w:val="00661C50"/>
    <w:rsid w:val="00661FAC"/>
    <w:rsid w:val="00662228"/>
    <w:rsid w:val="0066263D"/>
    <w:rsid w:val="00662656"/>
    <w:rsid w:val="006627BC"/>
    <w:rsid w:val="00662970"/>
    <w:rsid w:val="00662A42"/>
    <w:rsid w:val="00662A5E"/>
    <w:rsid w:val="00663084"/>
    <w:rsid w:val="006630CF"/>
    <w:rsid w:val="006633F7"/>
    <w:rsid w:val="006639CF"/>
    <w:rsid w:val="00663A53"/>
    <w:rsid w:val="00663DAC"/>
    <w:rsid w:val="00663E82"/>
    <w:rsid w:val="00663EFC"/>
    <w:rsid w:val="00664302"/>
    <w:rsid w:val="0066433F"/>
    <w:rsid w:val="00664659"/>
    <w:rsid w:val="00664711"/>
    <w:rsid w:val="006647F0"/>
    <w:rsid w:val="00664AC4"/>
    <w:rsid w:val="00664BFA"/>
    <w:rsid w:val="00664E0C"/>
    <w:rsid w:val="00664EA4"/>
    <w:rsid w:val="00665008"/>
    <w:rsid w:val="00665289"/>
    <w:rsid w:val="00665404"/>
    <w:rsid w:val="0066589E"/>
    <w:rsid w:val="00665979"/>
    <w:rsid w:val="00666086"/>
    <w:rsid w:val="00666119"/>
    <w:rsid w:val="00666144"/>
    <w:rsid w:val="00666242"/>
    <w:rsid w:val="00666417"/>
    <w:rsid w:val="00666842"/>
    <w:rsid w:val="00666875"/>
    <w:rsid w:val="006670E2"/>
    <w:rsid w:val="006671CB"/>
    <w:rsid w:val="0066731D"/>
    <w:rsid w:val="00667723"/>
    <w:rsid w:val="00667E92"/>
    <w:rsid w:val="00667F68"/>
    <w:rsid w:val="00667FEA"/>
    <w:rsid w:val="0066B184"/>
    <w:rsid w:val="006701A4"/>
    <w:rsid w:val="006701CF"/>
    <w:rsid w:val="006703E1"/>
    <w:rsid w:val="006704A2"/>
    <w:rsid w:val="006705BD"/>
    <w:rsid w:val="0067069F"/>
    <w:rsid w:val="00670F41"/>
    <w:rsid w:val="00671054"/>
    <w:rsid w:val="0067112D"/>
    <w:rsid w:val="00671134"/>
    <w:rsid w:val="006714DD"/>
    <w:rsid w:val="00671508"/>
    <w:rsid w:val="006715B3"/>
    <w:rsid w:val="006716C9"/>
    <w:rsid w:val="00671708"/>
    <w:rsid w:val="00671755"/>
    <w:rsid w:val="00671A69"/>
    <w:rsid w:val="00671A9B"/>
    <w:rsid w:val="00671AD8"/>
    <w:rsid w:val="00671BE0"/>
    <w:rsid w:val="006720C2"/>
    <w:rsid w:val="006720F9"/>
    <w:rsid w:val="00672268"/>
    <w:rsid w:val="00672422"/>
    <w:rsid w:val="00672432"/>
    <w:rsid w:val="006728BC"/>
    <w:rsid w:val="00672904"/>
    <w:rsid w:val="00672B4D"/>
    <w:rsid w:val="00672CB4"/>
    <w:rsid w:val="006733EF"/>
    <w:rsid w:val="0067348E"/>
    <w:rsid w:val="00673586"/>
    <w:rsid w:val="00673629"/>
    <w:rsid w:val="00673817"/>
    <w:rsid w:val="00673851"/>
    <w:rsid w:val="00673C2E"/>
    <w:rsid w:val="00673C4E"/>
    <w:rsid w:val="00673F48"/>
    <w:rsid w:val="0067436E"/>
    <w:rsid w:val="006746BB"/>
    <w:rsid w:val="0067471D"/>
    <w:rsid w:val="006747D4"/>
    <w:rsid w:val="00674AD3"/>
    <w:rsid w:val="00674C4E"/>
    <w:rsid w:val="00674D6C"/>
    <w:rsid w:val="00675187"/>
    <w:rsid w:val="006753B5"/>
    <w:rsid w:val="00675541"/>
    <w:rsid w:val="00675688"/>
    <w:rsid w:val="006756B6"/>
    <w:rsid w:val="006756C5"/>
    <w:rsid w:val="00675717"/>
    <w:rsid w:val="006757E4"/>
    <w:rsid w:val="00675BA8"/>
    <w:rsid w:val="00675BDB"/>
    <w:rsid w:val="0067603D"/>
    <w:rsid w:val="0067661E"/>
    <w:rsid w:val="00676F42"/>
    <w:rsid w:val="00677098"/>
    <w:rsid w:val="00677B4F"/>
    <w:rsid w:val="00677DB9"/>
    <w:rsid w:val="006802B4"/>
    <w:rsid w:val="0068046A"/>
    <w:rsid w:val="006807DA"/>
    <w:rsid w:val="00680C01"/>
    <w:rsid w:val="00680C12"/>
    <w:rsid w:val="00680C33"/>
    <w:rsid w:val="00680E1B"/>
    <w:rsid w:val="00680FE2"/>
    <w:rsid w:val="00681AF9"/>
    <w:rsid w:val="00681F2D"/>
    <w:rsid w:val="00681FAC"/>
    <w:rsid w:val="006821D4"/>
    <w:rsid w:val="00682288"/>
    <w:rsid w:val="006822FC"/>
    <w:rsid w:val="006824E2"/>
    <w:rsid w:val="00682622"/>
    <w:rsid w:val="00682717"/>
    <w:rsid w:val="00682733"/>
    <w:rsid w:val="006829A8"/>
    <w:rsid w:val="00682E46"/>
    <w:rsid w:val="00682E92"/>
    <w:rsid w:val="00682F36"/>
    <w:rsid w:val="0068303B"/>
    <w:rsid w:val="00683406"/>
    <w:rsid w:val="0068340F"/>
    <w:rsid w:val="006837A5"/>
    <w:rsid w:val="00683CBD"/>
    <w:rsid w:val="00684177"/>
    <w:rsid w:val="006841BA"/>
    <w:rsid w:val="0068466A"/>
    <w:rsid w:val="006846B4"/>
    <w:rsid w:val="00684F27"/>
    <w:rsid w:val="0068510A"/>
    <w:rsid w:val="00685179"/>
    <w:rsid w:val="00685271"/>
    <w:rsid w:val="00685342"/>
    <w:rsid w:val="006854DE"/>
    <w:rsid w:val="0068562B"/>
    <w:rsid w:val="00685C16"/>
    <w:rsid w:val="00685FC8"/>
    <w:rsid w:val="006860E4"/>
    <w:rsid w:val="006866E3"/>
    <w:rsid w:val="00686761"/>
    <w:rsid w:val="00686D65"/>
    <w:rsid w:val="00687109"/>
    <w:rsid w:val="006873D1"/>
    <w:rsid w:val="006874B5"/>
    <w:rsid w:val="006874CB"/>
    <w:rsid w:val="0068789E"/>
    <w:rsid w:val="00687924"/>
    <w:rsid w:val="00687961"/>
    <w:rsid w:val="00687C41"/>
    <w:rsid w:val="00687C63"/>
    <w:rsid w:val="0068AAFD"/>
    <w:rsid w:val="0069036C"/>
    <w:rsid w:val="00690637"/>
    <w:rsid w:val="0069081A"/>
    <w:rsid w:val="00690880"/>
    <w:rsid w:val="006909E2"/>
    <w:rsid w:val="00690AAA"/>
    <w:rsid w:val="00690CC2"/>
    <w:rsid w:val="00690F4A"/>
    <w:rsid w:val="0069120E"/>
    <w:rsid w:val="006915FA"/>
    <w:rsid w:val="00691BA6"/>
    <w:rsid w:val="00691C07"/>
    <w:rsid w:val="00691C5D"/>
    <w:rsid w:val="00691E19"/>
    <w:rsid w:val="00691E71"/>
    <w:rsid w:val="00691EA3"/>
    <w:rsid w:val="00691FAB"/>
    <w:rsid w:val="0069210B"/>
    <w:rsid w:val="006922C6"/>
    <w:rsid w:val="00692363"/>
    <w:rsid w:val="006923E5"/>
    <w:rsid w:val="0069280E"/>
    <w:rsid w:val="006928EC"/>
    <w:rsid w:val="00692972"/>
    <w:rsid w:val="006933CE"/>
    <w:rsid w:val="006934F9"/>
    <w:rsid w:val="0069353B"/>
    <w:rsid w:val="006937EF"/>
    <w:rsid w:val="00693CE3"/>
    <w:rsid w:val="00693E99"/>
    <w:rsid w:val="00693FAB"/>
    <w:rsid w:val="00694365"/>
    <w:rsid w:val="00694437"/>
    <w:rsid w:val="00694986"/>
    <w:rsid w:val="00694A92"/>
    <w:rsid w:val="00694A9B"/>
    <w:rsid w:val="00694C40"/>
    <w:rsid w:val="00694EBC"/>
    <w:rsid w:val="00694FA2"/>
    <w:rsid w:val="006950D7"/>
    <w:rsid w:val="006951CA"/>
    <w:rsid w:val="006953E1"/>
    <w:rsid w:val="00695AC0"/>
    <w:rsid w:val="00695BB5"/>
    <w:rsid w:val="00695C20"/>
    <w:rsid w:val="00695CF2"/>
    <w:rsid w:val="0069624B"/>
    <w:rsid w:val="00696E2A"/>
    <w:rsid w:val="00697182"/>
    <w:rsid w:val="006972DC"/>
    <w:rsid w:val="00697387"/>
    <w:rsid w:val="006976E5"/>
    <w:rsid w:val="0069788F"/>
    <w:rsid w:val="00697B6A"/>
    <w:rsid w:val="00697CE0"/>
    <w:rsid w:val="006A01CF"/>
    <w:rsid w:val="006A0200"/>
    <w:rsid w:val="006A069B"/>
    <w:rsid w:val="006A094C"/>
    <w:rsid w:val="006A0F48"/>
    <w:rsid w:val="006A122D"/>
    <w:rsid w:val="006A1505"/>
    <w:rsid w:val="006A165F"/>
    <w:rsid w:val="006A1722"/>
    <w:rsid w:val="006A1872"/>
    <w:rsid w:val="006A19B4"/>
    <w:rsid w:val="006A1D7C"/>
    <w:rsid w:val="006A1ED8"/>
    <w:rsid w:val="006A2043"/>
    <w:rsid w:val="006A207B"/>
    <w:rsid w:val="006A2137"/>
    <w:rsid w:val="006A2142"/>
    <w:rsid w:val="006A21E9"/>
    <w:rsid w:val="006A2395"/>
    <w:rsid w:val="006A251E"/>
    <w:rsid w:val="006A2551"/>
    <w:rsid w:val="006A256F"/>
    <w:rsid w:val="006A2621"/>
    <w:rsid w:val="006A288D"/>
    <w:rsid w:val="006A2E43"/>
    <w:rsid w:val="006A31C6"/>
    <w:rsid w:val="006A3231"/>
    <w:rsid w:val="006A3266"/>
    <w:rsid w:val="006A338A"/>
    <w:rsid w:val="006A3538"/>
    <w:rsid w:val="006A384A"/>
    <w:rsid w:val="006A38F9"/>
    <w:rsid w:val="006A39A9"/>
    <w:rsid w:val="006A3A2E"/>
    <w:rsid w:val="006A3DA4"/>
    <w:rsid w:val="006A3EB9"/>
    <w:rsid w:val="006A3FC9"/>
    <w:rsid w:val="006A4200"/>
    <w:rsid w:val="006A42DA"/>
    <w:rsid w:val="006A43B1"/>
    <w:rsid w:val="006A44FD"/>
    <w:rsid w:val="006A482A"/>
    <w:rsid w:val="006A4967"/>
    <w:rsid w:val="006A4A23"/>
    <w:rsid w:val="006A5095"/>
    <w:rsid w:val="006A521E"/>
    <w:rsid w:val="006A5325"/>
    <w:rsid w:val="006A54C6"/>
    <w:rsid w:val="006A54F7"/>
    <w:rsid w:val="006A55CD"/>
    <w:rsid w:val="006A5B06"/>
    <w:rsid w:val="006A5B74"/>
    <w:rsid w:val="006A5E5E"/>
    <w:rsid w:val="006A5E84"/>
    <w:rsid w:val="006A5EFD"/>
    <w:rsid w:val="006A61CC"/>
    <w:rsid w:val="006A6421"/>
    <w:rsid w:val="006A6483"/>
    <w:rsid w:val="006A64D7"/>
    <w:rsid w:val="006A66AD"/>
    <w:rsid w:val="006A66B0"/>
    <w:rsid w:val="006A6706"/>
    <w:rsid w:val="006A6ADE"/>
    <w:rsid w:val="006A703C"/>
    <w:rsid w:val="006A7102"/>
    <w:rsid w:val="006A717A"/>
    <w:rsid w:val="006A7220"/>
    <w:rsid w:val="006A75E8"/>
    <w:rsid w:val="006A7BD1"/>
    <w:rsid w:val="006A7EA7"/>
    <w:rsid w:val="006A7F18"/>
    <w:rsid w:val="006A7F6F"/>
    <w:rsid w:val="006B0358"/>
    <w:rsid w:val="006B03CD"/>
    <w:rsid w:val="006B0607"/>
    <w:rsid w:val="006B07E4"/>
    <w:rsid w:val="006B0833"/>
    <w:rsid w:val="006B09D2"/>
    <w:rsid w:val="006B0C82"/>
    <w:rsid w:val="006B0F00"/>
    <w:rsid w:val="006B0FE2"/>
    <w:rsid w:val="006B1A14"/>
    <w:rsid w:val="006B1D88"/>
    <w:rsid w:val="006B1E17"/>
    <w:rsid w:val="006B1EB5"/>
    <w:rsid w:val="006B1ECC"/>
    <w:rsid w:val="006B22C6"/>
    <w:rsid w:val="006B2915"/>
    <w:rsid w:val="006B303B"/>
    <w:rsid w:val="006B317A"/>
    <w:rsid w:val="006B33EF"/>
    <w:rsid w:val="006B3A25"/>
    <w:rsid w:val="006B3C4D"/>
    <w:rsid w:val="006B3FD4"/>
    <w:rsid w:val="006B41FE"/>
    <w:rsid w:val="006B4288"/>
    <w:rsid w:val="006B4488"/>
    <w:rsid w:val="006B46D3"/>
    <w:rsid w:val="006B4E09"/>
    <w:rsid w:val="006B5425"/>
    <w:rsid w:val="006B5484"/>
    <w:rsid w:val="006B54CF"/>
    <w:rsid w:val="006B55B9"/>
    <w:rsid w:val="006B5B3B"/>
    <w:rsid w:val="006B5E81"/>
    <w:rsid w:val="006B6496"/>
    <w:rsid w:val="006B64D1"/>
    <w:rsid w:val="006B6944"/>
    <w:rsid w:val="006B69D1"/>
    <w:rsid w:val="006B6A3C"/>
    <w:rsid w:val="006B6F1E"/>
    <w:rsid w:val="006B6F25"/>
    <w:rsid w:val="006B720D"/>
    <w:rsid w:val="006B7379"/>
    <w:rsid w:val="006B7446"/>
    <w:rsid w:val="006B763B"/>
    <w:rsid w:val="006B77CB"/>
    <w:rsid w:val="006B77F2"/>
    <w:rsid w:val="006B7AD1"/>
    <w:rsid w:val="006B7BD1"/>
    <w:rsid w:val="006B7D2E"/>
    <w:rsid w:val="006C021C"/>
    <w:rsid w:val="006C042F"/>
    <w:rsid w:val="006C0A87"/>
    <w:rsid w:val="006C0B15"/>
    <w:rsid w:val="006C0C66"/>
    <w:rsid w:val="006C0C78"/>
    <w:rsid w:val="006C0D05"/>
    <w:rsid w:val="006C126D"/>
    <w:rsid w:val="006C127A"/>
    <w:rsid w:val="006C1291"/>
    <w:rsid w:val="006C13CF"/>
    <w:rsid w:val="006C1573"/>
    <w:rsid w:val="006C1942"/>
    <w:rsid w:val="006C1991"/>
    <w:rsid w:val="006C1A86"/>
    <w:rsid w:val="006C1B01"/>
    <w:rsid w:val="006C1DBD"/>
    <w:rsid w:val="006C1E05"/>
    <w:rsid w:val="006C2420"/>
    <w:rsid w:val="006C25B3"/>
    <w:rsid w:val="006C2945"/>
    <w:rsid w:val="006C29FC"/>
    <w:rsid w:val="006C2AF9"/>
    <w:rsid w:val="006C2B1E"/>
    <w:rsid w:val="006C2B2F"/>
    <w:rsid w:val="006C2B5E"/>
    <w:rsid w:val="006C2CA3"/>
    <w:rsid w:val="006C2DC7"/>
    <w:rsid w:val="006C3471"/>
    <w:rsid w:val="006C3D46"/>
    <w:rsid w:val="006C3DDA"/>
    <w:rsid w:val="006C3FEA"/>
    <w:rsid w:val="006C4594"/>
    <w:rsid w:val="006C4712"/>
    <w:rsid w:val="006C4BBD"/>
    <w:rsid w:val="006C593C"/>
    <w:rsid w:val="006C5B39"/>
    <w:rsid w:val="006C5ECA"/>
    <w:rsid w:val="006C5ED3"/>
    <w:rsid w:val="006C5FFA"/>
    <w:rsid w:val="006C604D"/>
    <w:rsid w:val="006C61BA"/>
    <w:rsid w:val="006C6237"/>
    <w:rsid w:val="006C635C"/>
    <w:rsid w:val="006C6691"/>
    <w:rsid w:val="006C6748"/>
    <w:rsid w:val="006C6823"/>
    <w:rsid w:val="006C69A9"/>
    <w:rsid w:val="006C6C37"/>
    <w:rsid w:val="006C6CBA"/>
    <w:rsid w:val="006C6E0B"/>
    <w:rsid w:val="006C6FC3"/>
    <w:rsid w:val="006C70CD"/>
    <w:rsid w:val="006C715C"/>
    <w:rsid w:val="006C732E"/>
    <w:rsid w:val="006C7761"/>
    <w:rsid w:val="006C7772"/>
    <w:rsid w:val="006C77BA"/>
    <w:rsid w:val="006C7FCE"/>
    <w:rsid w:val="006D02A2"/>
    <w:rsid w:val="006D0308"/>
    <w:rsid w:val="006D0343"/>
    <w:rsid w:val="006D03B1"/>
    <w:rsid w:val="006D03EA"/>
    <w:rsid w:val="006D063C"/>
    <w:rsid w:val="006D0791"/>
    <w:rsid w:val="006D08E9"/>
    <w:rsid w:val="006D0A14"/>
    <w:rsid w:val="006D0D71"/>
    <w:rsid w:val="006D0E28"/>
    <w:rsid w:val="006D1422"/>
    <w:rsid w:val="006D1429"/>
    <w:rsid w:val="006D14EC"/>
    <w:rsid w:val="006D16FE"/>
    <w:rsid w:val="006D1B17"/>
    <w:rsid w:val="006D1D9F"/>
    <w:rsid w:val="006D1E76"/>
    <w:rsid w:val="006D2317"/>
    <w:rsid w:val="006D24E5"/>
    <w:rsid w:val="006D2848"/>
    <w:rsid w:val="006D29E3"/>
    <w:rsid w:val="006D2B59"/>
    <w:rsid w:val="006D3043"/>
    <w:rsid w:val="006D31F5"/>
    <w:rsid w:val="006D31F8"/>
    <w:rsid w:val="006D328A"/>
    <w:rsid w:val="006D33DB"/>
    <w:rsid w:val="006D3656"/>
    <w:rsid w:val="006D376D"/>
    <w:rsid w:val="006D37AA"/>
    <w:rsid w:val="006D37CE"/>
    <w:rsid w:val="006D3855"/>
    <w:rsid w:val="006D387B"/>
    <w:rsid w:val="006D3AA0"/>
    <w:rsid w:val="006D3BF0"/>
    <w:rsid w:val="006D3E1C"/>
    <w:rsid w:val="006D3F61"/>
    <w:rsid w:val="006D4032"/>
    <w:rsid w:val="006D414F"/>
    <w:rsid w:val="006D4635"/>
    <w:rsid w:val="006D465A"/>
    <w:rsid w:val="006D4A48"/>
    <w:rsid w:val="006D4AD6"/>
    <w:rsid w:val="006D4B0B"/>
    <w:rsid w:val="006D4BB3"/>
    <w:rsid w:val="006D4C11"/>
    <w:rsid w:val="006D4C73"/>
    <w:rsid w:val="006D50FD"/>
    <w:rsid w:val="006D5226"/>
    <w:rsid w:val="006D5653"/>
    <w:rsid w:val="006D57DF"/>
    <w:rsid w:val="006D5869"/>
    <w:rsid w:val="006D5CCE"/>
    <w:rsid w:val="006D5DEA"/>
    <w:rsid w:val="006D60AE"/>
    <w:rsid w:val="006D61F3"/>
    <w:rsid w:val="006D626F"/>
    <w:rsid w:val="006D6622"/>
    <w:rsid w:val="006D680E"/>
    <w:rsid w:val="006D6BA1"/>
    <w:rsid w:val="006D6C7A"/>
    <w:rsid w:val="006D6D44"/>
    <w:rsid w:val="006D6E83"/>
    <w:rsid w:val="006D6F35"/>
    <w:rsid w:val="006D701C"/>
    <w:rsid w:val="006D71B1"/>
    <w:rsid w:val="006D7D71"/>
    <w:rsid w:val="006E049E"/>
    <w:rsid w:val="006E0805"/>
    <w:rsid w:val="006E0875"/>
    <w:rsid w:val="006E0AFE"/>
    <w:rsid w:val="006E0CC9"/>
    <w:rsid w:val="006E1104"/>
    <w:rsid w:val="006E128B"/>
    <w:rsid w:val="006E14F6"/>
    <w:rsid w:val="006E1533"/>
    <w:rsid w:val="006E17D7"/>
    <w:rsid w:val="006E1874"/>
    <w:rsid w:val="006E19CD"/>
    <w:rsid w:val="006E1F4D"/>
    <w:rsid w:val="006E2279"/>
    <w:rsid w:val="006E24C5"/>
    <w:rsid w:val="006E25B9"/>
    <w:rsid w:val="006E2787"/>
    <w:rsid w:val="006E2A87"/>
    <w:rsid w:val="006E2EF7"/>
    <w:rsid w:val="006E308D"/>
    <w:rsid w:val="006E34CD"/>
    <w:rsid w:val="006E3A08"/>
    <w:rsid w:val="006E3E82"/>
    <w:rsid w:val="006E46F0"/>
    <w:rsid w:val="006E47BC"/>
    <w:rsid w:val="006E4967"/>
    <w:rsid w:val="006E4B23"/>
    <w:rsid w:val="006E4D1E"/>
    <w:rsid w:val="006E4D3D"/>
    <w:rsid w:val="006E576E"/>
    <w:rsid w:val="006E586B"/>
    <w:rsid w:val="006E619B"/>
    <w:rsid w:val="006E6904"/>
    <w:rsid w:val="006E6DB7"/>
    <w:rsid w:val="006E6DC9"/>
    <w:rsid w:val="006E70DB"/>
    <w:rsid w:val="006E74D4"/>
    <w:rsid w:val="006E756C"/>
    <w:rsid w:val="006E7A11"/>
    <w:rsid w:val="006F009E"/>
    <w:rsid w:val="006F04DA"/>
    <w:rsid w:val="006F04F6"/>
    <w:rsid w:val="006F069A"/>
    <w:rsid w:val="006F0D96"/>
    <w:rsid w:val="006F0F7D"/>
    <w:rsid w:val="006F12DD"/>
    <w:rsid w:val="006F1B05"/>
    <w:rsid w:val="006F1E8E"/>
    <w:rsid w:val="006F2168"/>
    <w:rsid w:val="006F25FC"/>
    <w:rsid w:val="006F270F"/>
    <w:rsid w:val="006F2B94"/>
    <w:rsid w:val="006F2EC7"/>
    <w:rsid w:val="006F31DF"/>
    <w:rsid w:val="006F3569"/>
    <w:rsid w:val="006F3621"/>
    <w:rsid w:val="006F3813"/>
    <w:rsid w:val="006F3842"/>
    <w:rsid w:val="006F3964"/>
    <w:rsid w:val="006F3B49"/>
    <w:rsid w:val="006F40AE"/>
    <w:rsid w:val="006F42C9"/>
    <w:rsid w:val="006F4966"/>
    <w:rsid w:val="006F4A4E"/>
    <w:rsid w:val="006F4ADA"/>
    <w:rsid w:val="006F4DCF"/>
    <w:rsid w:val="006F51F2"/>
    <w:rsid w:val="006F55AF"/>
    <w:rsid w:val="006F57A3"/>
    <w:rsid w:val="006F5874"/>
    <w:rsid w:val="006F5A01"/>
    <w:rsid w:val="006F5A70"/>
    <w:rsid w:val="006F5CA9"/>
    <w:rsid w:val="006F5D5B"/>
    <w:rsid w:val="006F619C"/>
    <w:rsid w:val="006F61E8"/>
    <w:rsid w:val="006F63C3"/>
    <w:rsid w:val="006F6517"/>
    <w:rsid w:val="006F6695"/>
    <w:rsid w:val="006F6984"/>
    <w:rsid w:val="006F69AB"/>
    <w:rsid w:val="006F6F0C"/>
    <w:rsid w:val="006F6F94"/>
    <w:rsid w:val="006F7387"/>
    <w:rsid w:val="006F73A2"/>
    <w:rsid w:val="006F7438"/>
    <w:rsid w:val="006F789C"/>
    <w:rsid w:val="006F799D"/>
    <w:rsid w:val="006F7B31"/>
    <w:rsid w:val="006F7B4C"/>
    <w:rsid w:val="006F7B5E"/>
    <w:rsid w:val="006F7D71"/>
    <w:rsid w:val="006F7EB0"/>
    <w:rsid w:val="0070001A"/>
    <w:rsid w:val="007004BB"/>
    <w:rsid w:val="0070054E"/>
    <w:rsid w:val="00700924"/>
    <w:rsid w:val="00700A41"/>
    <w:rsid w:val="00700D8F"/>
    <w:rsid w:val="00700ECC"/>
    <w:rsid w:val="00700FFE"/>
    <w:rsid w:val="00701032"/>
    <w:rsid w:val="0070127F"/>
    <w:rsid w:val="00701320"/>
    <w:rsid w:val="007014A4"/>
    <w:rsid w:val="0070172A"/>
    <w:rsid w:val="00701BCB"/>
    <w:rsid w:val="00701D24"/>
    <w:rsid w:val="00701E62"/>
    <w:rsid w:val="00702000"/>
    <w:rsid w:val="007025DA"/>
    <w:rsid w:val="007027D4"/>
    <w:rsid w:val="007029DB"/>
    <w:rsid w:val="00702A40"/>
    <w:rsid w:val="00702BF2"/>
    <w:rsid w:val="00702E5D"/>
    <w:rsid w:val="00702E9D"/>
    <w:rsid w:val="00702F7B"/>
    <w:rsid w:val="00702FA6"/>
    <w:rsid w:val="0070320A"/>
    <w:rsid w:val="0070334D"/>
    <w:rsid w:val="00703521"/>
    <w:rsid w:val="00703693"/>
    <w:rsid w:val="00703713"/>
    <w:rsid w:val="0070397E"/>
    <w:rsid w:val="007039EC"/>
    <w:rsid w:val="00703EAE"/>
    <w:rsid w:val="00703EF1"/>
    <w:rsid w:val="00704233"/>
    <w:rsid w:val="007046B9"/>
    <w:rsid w:val="00704A0C"/>
    <w:rsid w:val="00704C65"/>
    <w:rsid w:val="00704CD1"/>
    <w:rsid w:val="00704ECF"/>
    <w:rsid w:val="00704FAE"/>
    <w:rsid w:val="007051FC"/>
    <w:rsid w:val="00705391"/>
    <w:rsid w:val="0070553C"/>
    <w:rsid w:val="007056EB"/>
    <w:rsid w:val="00705A58"/>
    <w:rsid w:val="00705AA0"/>
    <w:rsid w:val="00705CF0"/>
    <w:rsid w:val="007060DD"/>
    <w:rsid w:val="0070611E"/>
    <w:rsid w:val="00706242"/>
    <w:rsid w:val="00706605"/>
    <w:rsid w:val="007067F5"/>
    <w:rsid w:val="00706E52"/>
    <w:rsid w:val="00706FDB"/>
    <w:rsid w:val="00707049"/>
    <w:rsid w:val="00707514"/>
    <w:rsid w:val="007076A5"/>
    <w:rsid w:val="007077E4"/>
    <w:rsid w:val="00707825"/>
    <w:rsid w:val="007079BB"/>
    <w:rsid w:val="00707A9C"/>
    <w:rsid w:val="00707BA9"/>
    <w:rsid w:val="00707EC4"/>
    <w:rsid w:val="00710016"/>
    <w:rsid w:val="00710153"/>
    <w:rsid w:val="007102A9"/>
    <w:rsid w:val="00710A53"/>
    <w:rsid w:val="00710B2C"/>
    <w:rsid w:val="00710C2F"/>
    <w:rsid w:val="00710DB4"/>
    <w:rsid w:val="007111D3"/>
    <w:rsid w:val="00711214"/>
    <w:rsid w:val="00711712"/>
    <w:rsid w:val="00711723"/>
    <w:rsid w:val="007117E4"/>
    <w:rsid w:val="007119C0"/>
    <w:rsid w:val="00711A1D"/>
    <w:rsid w:val="00711F24"/>
    <w:rsid w:val="00712029"/>
    <w:rsid w:val="007122CA"/>
    <w:rsid w:val="007125B4"/>
    <w:rsid w:val="00712730"/>
    <w:rsid w:val="00712B0E"/>
    <w:rsid w:val="00712D21"/>
    <w:rsid w:val="00712F3B"/>
    <w:rsid w:val="00713124"/>
    <w:rsid w:val="007131D5"/>
    <w:rsid w:val="007131D7"/>
    <w:rsid w:val="00713496"/>
    <w:rsid w:val="007134B8"/>
    <w:rsid w:val="0071359F"/>
    <w:rsid w:val="00713901"/>
    <w:rsid w:val="0071392C"/>
    <w:rsid w:val="00713A77"/>
    <w:rsid w:val="00713DA2"/>
    <w:rsid w:val="00713E7A"/>
    <w:rsid w:val="00713F6E"/>
    <w:rsid w:val="007140C3"/>
    <w:rsid w:val="00714387"/>
    <w:rsid w:val="00714392"/>
    <w:rsid w:val="00714423"/>
    <w:rsid w:val="007148D2"/>
    <w:rsid w:val="007149E7"/>
    <w:rsid w:val="00714A6D"/>
    <w:rsid w:val="00714CC1"/>
    <w:rsid w:val="00714E63"/>
    <w:rsid w:val="00714F88"/>
    <w:rsid w:val="007152EB"/>
    <w:rsid w:val="007154A4"/>
    <w:rsid w:val="00715631"/>
    <w:rsid w:val="007156D8"/>
    <w:rsid w:val="00715ED0"/>
    <w:rsid w:val="00715FC7"/>
    <w:rsid w:val="00716498"/>
    <w:rsid w:val="007165F9"/>
    <w:rsid w:val="00716B45"/>
    <w:rsid w:val="00716B4F"/>
    <w:rsid w:val="00716C05"/>
    <w:rsid w:val="00716E7F"/>
    <w:rsid w:val="00716F52"/>
    <w:rsid w:val="0071704A"/>
    <w:rsid w:val="007170CB"/>
    <w:rsid w:val="00717145"/>
    <w:rsid w:val="007171CF"/>
    <w:rsid w:val="00717E1B"/>
    <w:rsid w:val="007200FC"/>
    <w:rsid w:val="00720133"/>
    <w:rsid w:val="00720167"/>
    <w:rsid w:val="007201BA"/>
    <w:rsid w:val="00720F0F"/>
    <w:rsid w:val="007211ED"/>
    <w:rsid w:val="007212B8"/>
    <w:rsid w:val="007213A7"/>
    <w:rsid w:val="0072172A"/>
    <w:rsid w:val="0072185A"/>
    <w:rsid w:val="007219F5"/>
    <w:rsid w:val="00721A06"/>
    <w:rsid w:val="0072208E"/>
    <w:rsid w:val="00722392"/>
    <w:rsid w:val="0072259F"/>
    <w:rsid w:val="0072262D"/>
    <w:rsid w:val="00722667"/>
    <w:rsid w:val="0072267F"/>
    <w:rsid w:val="0072269D"/>
    <w:rsid w:val="00722970"/>
    <w:rsid w:val="00723204"/>
    <w:rsid w:val="0072337B"/>
    <w:rsid w:val="007234D3"/>
    <w:rsid w:val="00723769"/>
    <w:rsid w:val="00723780"/>
    <w:rsid w:val="007238ED"/>
    <w:rsid w:val="00723DC1"/>
    <w:rsid w:val="00724208"/>
    <w:rsid w:val="00724247"/>
    <w:rsid w:val="007242EF"/>
    <w:rsid w:val="007243CF"/>
    <w:rsid w:val="00724415"/>
    <w:rsid w:val="00724594"/>
    <w:rsid w:val="007245C4"/>
    <w:rsid w:val="00724A2A"/>
    <w:rsid w:val="00724BA4"/>
    <w:rsid w:val="00724CDB"/>
    <w:rsid w:val="00724F73"/>
    <w:rsid w:val="00724FAB"/>
    <w:rsid w:val="00724FB5"/>
    <w:rsid w:val="007253E7"/>
    <w:rsid w:val="0072557F"/>
    <w:rsid w:val="00725640"/>
    <w:rsid w:val="007258B8"/>
    <w:rsid w:val="00725EC3"/>
    <w:rsid w:val="007263C9"/>
    <w:rsid w:val="007268BE"/>
    <w:rsid w:val="00726952"/>
    <w:rsid w:val="00726A2E"/>
    <w:rsid w:val="00726D19"/>
    <w:rsid w:val="00726DA1"/>
    <w:rsid w:val="00727062"/>
    <w:rsid w:val="00727287"/>
    <w:rsid w:val="0072753A"/>
    <w:rsid w:val="00727AB3"/>
    <w:rsid w:val="00727C2F"/>
    <w:rsid w:val="00730039"/>
    <w:rsid w:val="007301AA"/>
    <w:rsid w:val="007303F3"/>
    <w:rsid w:val="0073050D"/>
    <w:rsid w:val="00730808"/>
    <w:rsid w:val="007309C5"/>
    <w:rsid w:val="00730CD5"/>
    <w:rsid w:val="007310EE"/>
    <w:rsid w:val="007311B1"/>
    <w:rsid w:val="00731309"/>
    <w:rsid w:val="00731680"/>
    <w:rsid w:val="0073189B"/>
    <w:rsid w:val="007318B0"/>
    <w:rsid w:val="007319EC"/>
    <w:rsid w:val="0073206B"/>
    <w:rsid w:val="00732210"/>
    <w:rsid w:val="0073254D"/>
    <w:rsid w:val="007326AC"/>
    <w:rsid w:val="007328DA"/>
    <w:rsid w:val="00732B3F"/>
    <w:rsid w:val="00732C38"/>
    <w:rsid w:val="00732D28"/>
    <w:rsid w:val="00732E07"/>
    <w:rsid w:val="00732E54"/>
    <w:rsid w:val="00732F7B"/>
    <w:rsid w:val="00733107"/>
    <w:rsid w:val="007333B0"/>
    <w:rsid w:val="00733566"/>
    <w:rsid w:val="007338EB"/>
    <w:rsid w:val="00733B25"/>
    <w:rsid w:val="00733B84"/>
    <w:rsid w:val="0073422B"/>
    <w:rsid w:val="00734454"/>
    <w:rsid w:val="00734468"/>
    <w:rsid w:val="007344B2"/>
    <w:rsid w:val="00734524"/>
    <w:rsid w:val="0073473B"/>
    <w:rsid w:val="00734AE8"/>
    <w:rsid w:val="00734BA3"/>
    <w:rsid w:val="00734D40"/>
    <w:rsid w:val="00734D85"/>
    <w:rsid w:val="0073502A"/>
    <w:rsid w:val="0073517C"/>
    <w:rsid w:val="0073554B"/>
    <w:rsid w:val="00735595"/>
    <w:rsid w:val="007355B1"/>
    <w:rsid w:val="007355D6"/>
    <w:rsid w:val="00735AD0"/>
    <w:rsid w:val="00735B80"/>
    <w:rsid w:val="00736277"/>
    <w:rsid w:val="007363A4"/>
    <w:rsid w:val="00736745"/>
    <w:rsid w:val="00736914"/>
    <w:rsid w:val="00736AFD"/>
    <w:rsid w:val="00736D3D"/>
    <w:rsid w:val="007374BA"/>
    <w:rsid w:val="007377B8"/>
    <w:rsid w:val="007379D1"/>
    <w:rsid w:val="00737B1C"/>
    <w:rsid w:val="00737E06"/>
    <w:rsid w:val="00739B6C"/>
    <w:rsid w:val="007404D6"/>
    <w:rsid w:val="00740540"/>
    <w:rsid w:val="00740632"/>
    <w:rsid w:val="007408E6"/>
    <w:rsid w:val="00740A85"/>
    <w:rsid w:val="00740AFE"/>
    <w:rsid w:val="00741111"/>
    <w:rsid w:val="007412EE"/>
    <w:rsid w:val="007416AC"/>
    <w:rsid w:val="00741772"/>
    <w:rsid w:val="00741A07"/>
    <w:rsid w:val="00741A3F"/>
    <w:rsid w:val="00741B7D"/>
    <w:rsid w:val="007420AC"/>
    <w:rsid w:val="007420C7"/>
    <w:rsid w:val="0074211D"/>
    <w:rsid w:val="007424E4"/>
    <w:rsid w:val="0074270F"/>
    <w:rsid w:val="0074298E"/>
    <w:rsid w:val="00742A2C"/>
    <w:rsid w:val="00742A4A"/>
    <w:rsid w:val="00742D56"/>
    <w:rsid w:val="00743058"/>
    <w:rsid w:val="00743259"/>
    <w:rsid w:val="007433FF"/>
    <w:rsid w:val="00743855"/>
    <w:rsid w:val="00743E04"/>
    <w:rsid w:val="007444C3"/>
    <w:rsid w:val="00744AFB"/>
    <w:rsid w:val="00744CEC"/>
    <w:rsid w:val="00744DCB"/>
    <w:rsid w:val="00744FA6"/>
    <w:rsid w:val="007454B0"/>
    <w:rsid w:val="007454B9"/>
    <w:rsid w:val="00745611"/>
    <w:rsid w:val="00745690"/>
    <w:rsid w:val="00745794"/>
    <w:rsid w:val="00745E65"/>
    <w:rsid w:val="00745F32"/>
    <w:rsid w:val="00746012"/>
    <w:rsid w:val="0074609A"/>
    <w:rsid w:val="007462F4"/>
    <w:rsid w:val="007466DB"/>
    <w:rsid w:val="00746758"/>
    <w:rsid w:val="00746AC7"/>
    <w:rsid w:val="00746CD1"/>
    <w:rsid w:val="00746D0C"/>
    <w:rsid w:val="00746EF9"/>
    <w:rsid w:val="00746FE5"/>
    <w:rsid w:val="0074709A"/>
    <w:rsid w:val="00747CEB"/>
    <w:rsid w:val="00747E10"/>
    <w:rsid w:val="00747ED1"/>
    <w:rsid w:val="00750062"/>
    <w:rsid w:val="00750096"/>
    <w:rsid w:val="0075075C"/>
    <w:rsid w:val="007509E9"/>
    <w:rsid w:val="0075109B"/>
    <w:rsid w:val="00751265"/>
    <w:rsid w:val="00751384"/>
    <w:rsid w:val="007513D2"/>
    <w:rsid w:val="007514B4"/>
    <w:rsid w:val="0075172E"/>
    <w:rsid w:val="00751EC3"/>
    <w:rsid w:val="00752639"/>
    <w:rsid w:val="0075281A"/>
    <w:rsid w:val="00752CD5"/>
    <w:rsid w:val="007532FF"/>
    <w:rsid w:val="00753343"/>
    <w:rsid w:val="00753591"/>
    <w:rsid w:val="00753B79"/>
    <w:rsid w:val="00753F95"/>
    <w:rsid w:val="00754FD6"/>
    <w:rsid w:val="00755220"/>
    <w:rsid w:val="0075548A"/>
    <w:rsid w:val="007556A6"/>
    <w:rsid w:val="007556AE"/>
    <w:rsid w:val="007560E0"/>
    <w:rsid w:val="00756251"/>
    <w:rsid w:val="00756275"/>
    <w:rsid w:val="0075641B"/>
    <w:rsid w:val="00756904"/>
    <w:rsid w:val="00756B6C"/>
    <w:rsid w:val="00756F56"/>
    <w:rsid w:val="00757028"/>
    <w:rsid w:val="0075702D"/>
    <w:rsid w:val="007572D4"/>
    <w:rsid w:val="0075794E"/>
    <w:rsid w:val="00757D5E"/>
    <w:rsid w:val="00760155"/>
    <w:rsid w:val="0076034D"/>
    <w:rsid w:val="007603CF"/>
    <w:rsid w:val="00760C7A"/>
    <w:rsid w:val="00761190"/>
    <w:rsid w:val="007611EF"/>
    <w:rsid w:val="0076125C"/>
    <w:rsid w:val="00761A35"/>
    <w:rsid w:val="00761D53"/>
    <w:rsid w:val="00761F58"/>
    <w:rsid w:val="00761FBA"/>
    <w:rsid w:val="007620ED"/>
    <w:rsid w:val="007623E1"/>
    <w:rsid w:val="007628E4"/>
    <w:rsid w:val="00762981"/>
    <w:rsid w:val="00762D62"/>
    <w:rsid w:val="007636A7"/>
    <w:rsid w:val="00763C0C"/>
    <w:rsid w:val="00763C78"/>
    <w:rsid w:val="00763CB0"/>
    <w:rsid w:val="00763E50"/>
    <w:rsid w:val="00764696"/>
    <w:rsid w:val="00764A04"/>
    <w:rsid w:val="00764CC3"/>
    <w:rsid w:val="00764FFC"/>
    <w:rsid w:val="0076514C"/>
    <w:rsid w:val="00765322"/>
    <w:rsid w:val="007656F0"/>
    <w:rsid w:val="007659D4"/>
    <w:rsid w:val="00765A1B"/>
    <w:rsid w:val="00765CB9"/>
    <w:rsid w:val="00765D0F"/>
    <w:rsid w:val="00765F96"/>
    <w:rsid w:val="0076687C"/>
    <w:rsid w:val="00766AD9"/>
    <w:rsid w:val="00766CEE"/>
    <w:rsid w:val="00766DB6"/>
    <w:rsid w:val="00767182"/>
    <w:rsid w:val="007671F5"/>
    <w:rsid w:val="00767336"/>
    <w:rsid w:val="007675F4"/>
    <w:rsid w:val="00767B71"/>
    <w:rsid w:val="00770520"/>
    <w:rsid w:val="00770AB8"/>
    <w:rsid w:val="00770CDE"/>
    <w:rsid w:val="00770E2D"/>
    <w:rsid w:val="00771254"/>
    <w:rsid w:val="00771296"/>
    <w:rsid w:val="00771391"/>
    <w:rsid w:val="0077145F"/>
    <w:rsid w:val="007714B3"/>
    <w:rsid w:val="007714CA"/>
    <w:rsid w:val="00771851"/>
    <w:rsid w:val="007718A8"/>
    <w:rsid w:val="00771928"/>
    <w:rsid w:val="00771CCF"/>
    <w:rsid w:val="00771E18"/>
    <w:rsid w:val="007720DA"/>
    <w:rsid w:val="00772158"/>
    <w:rsid w:val="007724AE"/>
    <w:rsid w:val="00772667"/>
    <w:rsid w:val="007729D4"/>
    <w:rsid w:val="00772BDC"/>
    <w:rsid w:val="00772D40"/>
    <w:rsid w:val="00772F5B"/>
    <w:rsid w:val="00772FA6"/>
    <w:rsid w:val="00773072"/>
    <w:rsid w:val="0077338A"/>
    <w:rsid w:val="00773822"/>
    <w:rsid w:val="00773941"/>
    <w:rsid w:val="00773A78"/>
    <w:rsid w:val="00773FB7"/>
    <w:rsid w:val="00774045"/>
    <w:rsid w:val="007741AB"/>
    <w:rsid w:val="0077420B"/>
    <w:rsid w:val="00774672"/>
    <w:rsid w:val="00774821"/>
    <w:rsid w:val="007748CD"/>
    <w:rsid w:val="00774B55"/>
    <w:rsid w:val="00774EB7"/>
    <w:rsid w:val="007758E1"/>
    <w:rsid w:val="007759EC"/>
    <w:rsid w:val="00775B75"/>
    <w:rsid w:val="00775BA9"/>
    <w:rsid w:val="00775D04"/>
    <w:rsid w:val="00775E87"/>
    <w:rsid w:val="00776149"/>
    <w:rsid w:val="00776191"/>
    <w:rsid w:val="007761FB"/>
    <w:rsid w:val="007767B8"/>
    <w:rsid w:val="00776921"/>
    <w:rsid w:val="0077698D"/>
    <w:rsid w:val="007769A2"/>
    <w:rsid w:val="00776B9E"/>
    <w:rsid w:val="00776DF1"/>
    <w:rsid w:val="00776E8D"/>
    <w:rsid w:val="00777319"/>
    <w:rsid w:val="007773B0"/>
    <w:rsid w:val="007773E6"/>
    <w:rsid w:val="00777F87"/>
    <w:rsid w:val="007801F6"/>
    <w:rsid w:val="007802F0"/>
    <w:rsid w:val="007808F1"/>
    <w:rsid w:val="0078093A"/>
    <w:rsid w:val="00780D7B"/>
    <w:rsid w:val="00781058"/>
    <w:rsid w:val="007813C3"/>
    <w:rsid w:val="007815E4"/>
    <w:rsid w:val="007818F7"/>
    <w:rsid w:val="00781A1A"/>
    <w:rsid w:val="00781C1A"/>
    <w:rsid w:val="007824B3"/>
    <w:rsid w:val="00782581"/>
    <w:rsid w:val="007828A0"/>
    <w:rsid w:val="0078294C"/>
    <w:rsid w:val="007829D7"/>
    <w:rsid w:val="00782A68"/>
    <w:rsid w:val="00783095"/>
    <w:rsid w:val="00783136"/>
    <w:rsid w:val="00783379"/>
    <w:rsid w:val="007834D1"/>
    <w:rsid w:val="00783E0D"/>
    <w:rsid w:val="00783E4C"/>
    <w:rsid w:val="00783E8E"/>
    <w:rsid w:val="007840B1"/>
    <w:rsid w:val="00784122"/>
    <w:rsid w:val="0078444D"/>
    <w:rsid w:val="007844E1"/>
    <w:rsid w:val="007846BF"/>
    <w:rsid w:val="007846FE"/>
    <w:rsid w:val="00784926"/>
    <w:rsid w:val="00784A0E"/>
    <w:rsid w:val="00784CB3"/>
    <w:rsid w:val="00784CF5"/>
    <w:rsid w:val="00784DB1"/>
    <w:rsid w:val="007850B4"/>
    <w:rsid w:val="0078510F"/>
    <w:rsid w:val="00785911"/>
    <w:rsid w:val="00785D1A"/>
    <w:rsid w:val="00786075"/>
    <w:rsid w:val="00786A33"/>
    <w:rsid w:val="00786C9A"/>
    <w:rsid w:val="00786D52"/>
    <w:rsid w:val="00786DD1"/>
    <w:rsid w:val="00786F01"/>
    <w:rsid w:val="0078703A"/>
    <w:rsid w:val="0078723E"/>
    <w:rsid w:val="007877C9"/>
    <w:rsid w:val="00787914"/>
    <w:rsid w:val="007879ED"/>
    <w:rsid w:val="00787CF5"/>
    <w:rsid w:val="00787E4D"/>
    <w:rsid w:val="00787F92"/>
    <w:rsid w:val="00787FA7"/>
    <w:rsid w:val="00790008"/>
    <w:rsid w:val="007901FD"/>
    <w:rsid w:val="00790417"/>
    <w:rsid w:val="007906A8"/>
    <w:rsid w:val="00790771"/>
    <w:rsid w:val="007907B2"/>
    <w:rsid w:val="00790954"/>
    <w:rsid w:val="00790BB8"/>
    <w:rsid w:val="00790CC4"/>
    <w:rsid w:val="00790DBB"/>
    <w:rsid w:val="00790E00"/>
    <w:rsid w:val="00790FFA"/>
    <w:rsid w:val="00791099"/>
    <w:rsid w:val="0079114C"/>
    <w:rsid w:val="00791355"/>
    <w:rsid w:val="00791389"/>
    <w:rsid w:val="007914BA"/>
    <w:rsid w:val="0079169C"/>
    <w:rsid w:val="007918C2"/>
    <w:rsid w:val="00791CCE"/>
    <w:rsid w:val="00791FAB"/>
    <w:rsid w:val="0079216B"/>
    <w:rsid w:val="007923D7"/>
    <w:rsid w:val="007924BA"/>
    <w:rsid w:val="00792529"/>
    <w:rsid w:val="00792530"/>
    <w:rsid w:val="00792648"/>
    <w:rsid w:val="00792912"/>
    <w:rsid w:val="00792D7D"/>
    <w:rsid w:val="00792E54"/>
    <w:rsid w:val="0079315D"/>
    <w:rsid w:val="0079317D"/>
    <w:rsid w:val="007933EE"/>
    <w:rsid w:val="00793470"/>
    <w:rsid w:val="00793AEF"/>
    <w:rsid w:val="0079407B"/>
    <w:rsid w:val="0079472A"/>
    <w:rsid w:val="007947E4"/>
    <w:rsid w:val="0079498B"/>
    <w:rsid w:val="00794DC1"/>
    <w:rsid w:val="00794FA6"/>
    <w:rsid w:val="00795275"/>
    <w:rsid w:val="007952CA"/>
    <w:rsid w:val="0079563F"/>
    <w:rsid w:val="00795805"/>
    <w:rsid w:val="00795A50"/>
    <w:rsid w:val="00796095"/>
    <w:rsid w:val="007964C9"/>
    <w:rsid w:val="0079656B"/>
    <w:rsid w:val="007966F1"/>
    <w:rsid w:val="00796907"/>
    <w:rsid w:val="0079696C"/>
    <w:rsid w:val="00796C36"/>
    <w:rsid w:val="00796C6C"/>
    <w:rsid w:val="00796E89"/>
    <w:rsid w:val="00796FC8"/>
    <w:rsid w:val="00797433"/>
    <w:rsid w:val="007974D5"/>
    <w:rsid w:val="00797700"/>
    <w:rsid w:val="00797D75"/>
    <w:rsid w:val="00797DEE"/>
    <w:rsid w:val="007A003F"/>
    <w:rsid w:val="007A0669"/>
    <w:rsid w:val="007A06BC"/>
    <w:rsid w:val="007A0859"/>
    <w:rsid w:val="007A08AF"/>
    <w:rsid w:val="007A0B55"/>
    <w:rsid w:val="007A0BC5"/>
    <w:rsid w:val="007A0E94"/>
    <w:rsid w:val="007A1656"/>
    <w:rsid w:val="007A178E"/>
    <w:rsid w:val="007A1AEB"/>
    <w:rsid w:val="007A1B76"/>
    <w:rsid w:val="007A2508"/>
    <w:rsid w:val="007A250C"/>
    <w:rsid w:val="007A2E9F"/>
    <w:rsid w:val="007A3125"/>
    <w:rsid w:val="007A3174"/>
    <w:rsid w:val="007A3203"/>
    <w:rsid w:val="007A37B7"/>
    <w:rsid w:val="007A3B3B"/>
    <w:rsid w:val="007A3D85"/>
    <w:rsid w:val="007A3F4C"/>
    <w:rsid w:val="007A402D"/>
    <w:rsid w:val="007A42A8"/>
    <w:rsid w:val="007A4329"/>
    <w:rsid w:val="007A4900"/>
    <w:rsid w:val="007A4D30"/>
    <w:rsid w:val="007A4DE3"/>
    <w:rsid w:val="007A4DE9"/>
    <w:rsid w:val="007A4E07"/>
    <w:rsid w:val="007A4FBE"/>
    <w:rsid w:val="007A5174"/>
    <w:rsid w:val="007A5234"/>
    <w:rsid w:val="007A5261"/>
    <w:rsid w:val="007A5323"/>
    <w:rsid w:val="007A542F"/>
    <w:rsid w:val="007A5F4D"/>
    <w:rsid w:val="007A6285"/>
    <w:rsid w:val="007A65D0"/>
    <w:rsid w:val="007A65F4"/>
    <w:rsid w:val="007A66CC"/>
    <w:rsid w:val="007A68A0"/>
    <w:rsid w:val="007A693F"/>
    <w:rsid w:val="007A6A37"/>
    <w:rsid w:val="007A6A7E"/>
    <w:rsid w:val="007A6B6F"/>
    <w:rsid w:val="007A6C7D"/>
    <w:rsid w:val="007A6D87"/>
    <w:rsid w:val="007A6DF1"/>
    <w:rsid w:val="007A7203"/>
    <w:rsid w:val="007A7228"/>
    <w:rsid w:val="007A7261"/>
    <w:rsid w:val="007A73B3"/>
    <w:rsid w:val="007A7828"/>
    <w:rsid w:val="007A7870"/>
    <w:rsid w:val="007A7B66"/>
    <w:rsid w:val="007A7D45"/>
    <w:rsid w:val="007A7F97"/>
    <w:rsid w:val="007B0246"/>
    <w:rsid w:val="007B049B"/>
    <w:rsid w:val="007B0762"/>
    <w:rsid w:val="007B0986"/>
    <w:rsid w:val="007B0A67"/>
    <w:rsid w:val="007B0EE1"/>
    <w:rsid w:val="007B117A"/>
    <w:rsid w:val="007B118C"/>
    <w:rsid w:val="007B1B9A"/>
    <w:rsid w:val="007B1DE2"/>
    <w:rsid w:val="007B20CF"/>
    <w:rsid w:val="007B22C4"/>
    <w:rsid w:val="007B234C"/>
    <w:rsid w:val="007B23F5"/>
    <w:rsid w:val="007B2586"/>
    <w:rsid w:val="007B25D0"/>
    <w:rsid w:val="007B26B1"/>
    <w:rsid w:val="007B28DD"/>
    <w:rsid w:val="007B28FF"/>
    <w:rsid w:val="007B2A10"/>
    <w:rsid w:val="007B2A43"/>
    <w:rsid w:val="007B2E20"/>
    <w:rsid w:val="007B2F19"/>
    <w:rsid w:val="007B34B7"/>
    <w:rsid w:val="007B36E9"/>
    <w:rsid w:val="007B38DE"/>
    <w:rsid w:val="007B39CE"/>
    <w:rsid w:val="007B3A81"/>
    <w:rsid w:val="007B46ED"/>
    <w:rsid w:val="007B47A2"/>
    <w:rsid w:val="007B4B3F"/>
    <w:rsid w:val="007B4BB0"/>
    <w:rsid w:val="007B4DBF"/>
    <w:rsid w:val="007B508C"/>
    <w:rsid w:val="007B50D9"/>
    <w:rsid w:val="007B50EC"/>
    <w:rsid w:val="007B533C"/>
    <w:rsid w:val="007B5435"/>
    <w:rsid w:val="007B55D8"/>
    <w:rsid w:val="007B5982"/>
    <w:rsid w:val="007B5ACD"/>
    <w:rsid w:val="007B5AF1"/>
    <w:rsid w:val="007B5BC1"/>
    <w:rsid w:val="007B5DB5"/>
    <w:rsid w:val="007B5E0C"/>
    <w:rsid w:val="007B5E67"/>
    <w:rsid w:val="007B6B6F"/>
    <w:rsid w:val="007B6E26"/>
    <w:rsid w:val="007B7164"/>
    <w:rsid w:val="007B7366"/>
    <w:rsid w:val="007B7391"/>
    <w:rsid w:val="007B73DF"/>
    <w:rsid w:val="007B7677"/>
    <w:rsid w:val="007B77C4"/>
    <w:rsid w:val="007B78E6"/>
    <w:rsid w:val="007B79E0"/>
    <w:rsid w:val="007B7E40"/>
    <w:rsid w:val="007B7E57"/>
    <w:rsid w:val="007C0135"/>
    <w:rsid w:val="007C01EE"/>
    <w:rsid w:val="007C0526"/>
    <w:rsid w:val="007C05DC"/>
    <w:rsid w:val="007C128C"/>
    <w:rsid w:val="007C149E"/>
    <w:rsid w:val="007C14B9"/>
    <w:rsid w:val="007C1672"/>
    <w:rsid w:val="007C19E4"/>
    <w:rsid w:val="007C1A82"/>
    <w:rsid w:val="007C1B65"/>
    <w:rsid w:val="007C1D01"/>
    <w:rsid w:val="007C20E4"/>
    <w:rsid w:val="007C2257"/>
    <w:rsid w:val="007C240E"/>
    <w:rsid w:val="007C24D8"/>
    <w:rsid w:val="007C2656"/>
    <w:rsid w:val="007C26F5"/>
    <w:rsid w:val="007C2721"/>
    <w:rsid w:val="007C3055"/>
    <w:rsid w:val="007C3235"/>
    <w:rsid w:val="007C35C8"/>
    <w:rsid w:val="007C3692"/>
    <w:rsid w:val="007C38AE"/>
    <w:rsid w:val="007C3BC2"/>
    <w:rsid w:val="007C4028"/>
    <w:rsid w:val="007C40D0"/>
    <w:rsid w:val="007C4761"/>
    <w:rsid w:val="007C48F5"/>
    <w:rsid w:val="007C4EB7"/>
    <w:rsid w:val="007C4F8A"/>
    <w:rsid w:val="007C534E"/>
    <w:rsid w:val="007C56D3"/>
    <w:rsid w:val="007C585E"/>
    <w:rsid w:val="007C5A1E"/>
    <w:rsid w:val="007C5ABE"/>
    <w:rsid w:val="007C5B59"/>
    <w:rsid w:val="007C5CB9"/>
    <w:rsid w:val="007C5E16"/>
    <w:rsid w:val="007C6342"/>
    <w:rsid w:val="007C65B5"/>
    <w:rsid w:val="007C661A"/>
    <w:rsid w:val="007C6883"/>
    <w:rsid w:val="007C6A29"/>
    <w:rsid w:val="007C6BB2"/>
    <w:rsid w:val="007C6BF4"/>
    <w:rsid w:val="007C6CA6"/>
    <w:rsid w:val="007C6DBC"/>
    <w:rsid w:val="007C7042"/>
    <w:rsid w:val="007C73CF"/>
    <w:rsid w:val="007C7879"/>
    <w:rsid w:val="007C78E7"/>
    <w:rsid w:val="007C7AC5"/>
    <w:rsid w:val="007C7B93"/>
    <w:rsid w:val="007C7D12"/>
    <w:rsid w:val="007C7F56"/>
    <w:rsid w:val="007D02CA"/>
    <w:rsid w:val="007D0387"/>
    <w:rsid w:val="007D03B0"/>
    <w:rsid w:val="007D04B1"/>
    <w:rsid w:val="007D07AD"/>
    <w:rsid w:val="007D0975"/>
    <w:rsid w:val="007D0978"/>
    <w:rsid w:val="007D0B20"/>
    <w:rsid w:val="007D0C40"/>
    <w:rsid w:val="007D0DF6"/>
    <w:rsid w:val="007D10DA"/>
    <w:rsid w:val="007D125B"/>
    <w:rsid w:val="007D125E"/>
    <w:rsid w:val="007D13ED"/>
    <w:rsid w:val="007D142E"/>
    <w:rsid w:val="007D158A"/>
    <w:rsid w:val="007D15F0"/>
    <w:rsid w:val="007D180B"/>
    <w:rsid w:val="007D1BE1"/>
    <w:rsid w:val="007D1E85"/>
    <w:rsid w:val="007D2591"/>
    <w:rsid w:val="007D28EC"/>
    <w:rsid w:val="007D2BC9"/>
    <w:rsid w:val="007D2FC8"/>
    <w:rsid w:val="007D3165"/>
    <w:rsid w:val="007D31DC"/>
    <w:rsid w:val="007D3306"/>
    <w:rsid w:val="007D332B"/>
    <w:rsid w:val="007D3602"/>
    <w:rsid w:val="007D3706"/>
    <w:rsid w:val="007D37F8"/>
    <w:rsid w:val="007D383B"/>
    <w:rsid w:val="007D3CA4"/>
    <w:rsid w:val="007D3D6E"/>
    <w:rsid w:val="007D3DFF"/>
    <w:rsid w:val="007D4092"/>
    <w:rsid w:val="007D44AA"/>
    <w:rsid w:val="007D4544"/>
    <w:rsid w:val="007D4609"/>
    <w:rsid w:val="007D4641"/>
    <w:rsid w:val="007D472C"/>
    <w:rsid w:val="007D4AB5"/>
    <w:rsid w:val="007D4B76"/>
    <w:rsid w:val="007D5091"/>
    <w:rsid w:val="007D5354"/>
    <w:rsid w:val="007D5412"/>
    <w:rsid w:val="007D54AE"/>
    <w:rsid w:val="007D57DD"/>
    <w:rsid w:val="007D5E0F"/>
    <w:rsid w:val="007D5E39"/>
    <w:rsid w:val="007D5F4E"/>
    <w:rsid w:val="007D622D"/>
    <w:rsid w:val="007D6297"/>
    <w:rsid w:val="007D63E5"/>
    <w:rsid w:val="007D6542"/>
    <w:rsid w:val="007D6647"/>
    <w:rsid w:val="007D67BE"/>
    <w:rsid w:val="007D6822"/>
    <w:rsid w:val="007D6828"/>
    <w:rsid w:val="007D6C47"/>
    <w:rsid w:val="007D6CB1"/>
    <w:rsid w:val="007D7797"/>
    <w:rsid w:val="007D78B4"/>
    <w:rsid w:val="007D78FE"/>
    <w:rsid w:val="007D7962"/>
    <w:rsid w:val="007D7E0D"/>
    <w:rsid w:val="007D7E47"/>
    <w:rsid w:val="007D7EDD"/>
    <w:rsid w:val="007D7F07"/>
    <w:rsid w:val="007E006F"/>
    <w:rsid w:val="007E06EE"/>
    <w:rsid w:val="007E07B3"/>
    <w:rsid w:val="007E097A"/>
    <w:rsid w:val="007E0CFD"/>
    <w:rsid w:val="007E0E7C"/>
    <w:rsid w:val="007E0F4C"/>
    <w:rsid w:val="007E1161"/>
    <w:rsid w:val="007E1175"/>
    <w:rsid w:val="007E1225"/>
    <w:rsid w:val="007E1244"/>
    <w:rsid w:val="007E146C"/>
    <w:rsid w:val="007E16A4"/>
    <w:rsid w:val="007E1705"/>
    <w:rsid w:val="007E18CA"/>
    <w:rsid w:val="007E1A4D"/>
    <w:rsid w:val="007E1A7B"/>
    <w:rsid w:val="007E1D50"/>
    <w:rsid w:val="007E1E27"/>
    <w:rsid w:val="007E1F7C"/>
    <w:rsid w:val="007E206B"/>
    <w:rsid w:val="007E20C4"/>
    <w:rsid w:val="007E251B"/>
    <w:rsid w:val="007E26FB"/>
    <w:rsid w:val="007E2839"/>
    <w:rsid w:val="007E2C42"/>
    <w:rsid w:val="007E365F"/>
    <w:rsid w:val="007E3989"/>
    <w:rsid w:val="007E3B6B"/>
    <w:rsid w:val="007E3BA6"/>
    <w:rsid w:val="007E3BE1"/>
    <w:rsid w:val="007E3C78"/>
    <w:rsid w:val="007E3D1C"/>
    <w:rsid w:val="007E3DE8"/>
    <w:rsid w:val="007E3E8F"/>
    <w:rsid w:val="007E3F94"/>
    <w:rsid w:val="007E3FCD"/>
    <w:rsid w:val="007E4167"/>
    <w:rsid w:val="007E46B8"/>
    <w:rsid w:val="007E4727"/>
    <w:rsid w:val="007E48CB"/>
    <w:rsid w:val="007E4A66"/>
    <w:rsid w:val="007E50AA"/>
    <w:rsid w:val="007E53EF"/>
    <w:rsid w:val="007E5A3E"/>
    <w:rsid w:val="007E5CCE"/>
    <w:rsid w:val="007E5CF6"/>
    <w:rsid w:val="007E6389"/>
    <w:rsid w:val="007E63C7"/>
    <w:rsid w:val="007E653C"/>
    <w:rsid w:val="007E6CDF"/>
    <w:rsid w:val="007E6D31"/>
    <w:rsid w:val="007E6E50"/>
    <w:rsid w:val="007E6F17"/>
    <w:rsid w:val="007E6FE7"/>
    <w:rsid w:val="007E7245"/>
    <w:rsid w:val="007E7273"/>
    <w:rsid w:val="007E73AD"/>
    <w:rsid w:val="007E78C2"/>
    <w:rsid w:val="007F01C8"/>
    <w:rsid w:val="007F0225"/>
    <w:rsid w:val="007F022C"/>
    <w:rsid w:val="007F03A0"/>
    <w:rsid w:val="007F0585"/>
    <w:rsid w:val="007F05E3"/>
    <w:rsid w:val="007F086E"/>
    <w:rsid w:val="007F0910"/>
    <w:rsid w:val="007F0B01"/>
    <w:rsid w:val="007F0B85"/>
    <w:rsid w:val="007F0FEB"/>
    <w:rsid w:val="007F1146"/>
    <w:rsid w:val="007F137D"/>
    <w:rsid w:val="007F1466"/>
    <w:rsid w:val="007F15EE"/>
    <w:rsid w:val="007F1AD0"/>
    <w:rsid w:val="007F1C34"/>
    <w:rsid w:val="007F1D14"/>
    <w:rsid w:val="007F1E82"/>
    <w:rsid w:val="007F1F98"/>
    <w:rsid w:val="007F2093"/>
    <w:rsid w:val="007F2330"/>
    <w:rsid w:val="007F24BE"/>
    <w:rsid w:val="007F25A5"/>
    <w:rsid w:val="007F278C"/>
    <w:rsid w:val="007F2B07"/>
    <w:rsid w:val="007F2E1E"/>
    <w:rsid w:val="007F2E73"/>
    <w:rsid w:val="007F327E"/>
    <w:rsid w:val="007F3776"/>
    <w:rsid w:val="007F3837"/>
    <w:rsid w:val="007F3DA3"/>
    <w:rsid w:val="007F3E3A"/>
    <w:rsid w:val="007F415A"/>
    <w:rsid w:val="007F415E"/>
    <w:rsid w:val="007F4657"/>
    <w:rsid w:val="007F4D0A"/>
    <w:rsid w:val="007F4E98"/>
    <w:rsid w:val="007F4F88"/>
    <w:rsid w:val="007F5357"/>
    <w:rsid w:val="007F56D2"/>
    <w:rsid w:val="007F57F8"/>
    <w:rsid w:val="007F5A2C"/>
    <w:rsid w:val="007F5BBB"/>
    <w:rsid w:val="007F5C46"/>
    <w:rsid w:val="007F5D89"/>
    <w:rsid w:val="007F603D"/>
    <w:rsid w:val="007F60B7"/>
    <w:rsid w:val="007F60C8"/>
    <w:rsid w:val="007F64D5"/>
    <w:rsid w:val="007F64EC"/>
    <w:rsid w:val="007F6C10"/>
    <w:rsid w:val="007F6CFB"/>
    <w:rsid w:val="007F6DEF"/>
    <w:rsid w:val="007F6E50"/>
    <w:rsid w:val="007F7547"/>
    <w:rsid w:val="007F772C"/>
    <w:rsid w:val="007F796F"/>
    <w:rsid w:val="007F7C1E"/>
    <w:rsid w:val="007F7EC6"/>
    <w:rsid w:val="007F7F65"/>
    <w:rsid w:val="00800368"/>
    <w:rsid w:val="00800CF1"/>
    <w:rsid w:val="00800D5F"/>
    <w:rsid w:val="00800DD7"/>
    <w:rsid w:val="008011E3"/>
    <w:rsid w:val="008012A4"/>
    <w:rsid w:val="00801531"/>
    <w:rsid w:val="0080167E"/>
    <w:rsid w:val="00801696"/>
    <w:rsid w:val="0080196F"/>
    <w:rsid w:val="00801C7A"/>
    <w:rsid w:val="00801E26"/>
    <w:rsid w:val="00801EF7"/>
    <w:rsid w:val="00802941"/>
    <w:rsid w:val="00802B5C"/>
    <w:rsid w:val="00802D20"/>
    <w:rsid w:val="00802D2B"/>
    <w:rsid w:val="00802FA2"/>
    <w:rsid w:val="008030F6"/>
    <w:rsid w:val="00803553"/>
    <w:rsid w:val="00803682"/>
    <w:rsid w:val="008039E2"/>
    <w:rsid w:val="00803A85"/>
    <w:rsid w:val="00803D6B"/>
    <w:rsid w:val="00803D6D"/>
    <w:rsid w:val="00803E10"/>
    <w:rsid w:val="0080403D"/>
    <w:rsid w:val="008040D9"/>
    <w:rsid w:val="008042EA"/>
    <w:rsid w:val="00804323"/>
    <w:rsid w:val="008044B4"/>
    <w:rsid w:val="00804538"/>
    <w:rsid w:val="00804546"/>
    <w:rsid w:val="0080468A"/>
    <w:rsid w:val="008046C2"/>
    <w:rsid w:val="00804A72"/>
    <w:rsid w:val="00804C1F"/>
    <w:rsid w:val="00805001"/>
    <w:rsid w:val="00805466"/>
    <w:rsid w:val="008054BE"/>
    <w:rsid w:val="00805568"/>
    <w:rsid w:val="00805C39"/>
    <w:rsid w:val="00805CB3"/>
    <w:rsid w:val="00805E23"/>
    <w:rsid w:val="00805E74"/>
    <w:rsid w:val="00805F36"/>
    <w:rsid w:val="00805FD8"/>
    <w:rsid w:val="008061D9"/>
    <w:rsid w:val="0080642C"/>
    <w:rsid w:val="008065FF"/>
    <w:rsid w:val="00806967"/>
    <w:rsid w:val="00806C72"/>
    <w:rsid w:val="00806DB5"/>
    <w:rsid w:val="00806E0A"/>
    <w:rsid w:val="008071DA"/>
    <w:rsid w:val="008074AA"/>
    <w:rsid w:val="00807747"/>
    <w:rsid w:val="0081056A"/>
    <w:rsid w:val="008109EB"/>
    <w:rsid w:val="00810CA5"/>
    <w:rsid w:val="00810EFE"/>
    <w:rsid w:val="008110FD"/>
    <w:rsid w:val="00811381"/>
    <w:rsid w:val="00811544"/>
    <w:rsid w:val="00811A01"/>
    <w:rsid w:val="00811B34"/>
    <w:rsid w:val="00812521"/>
    <w:rsid w:val="0081276B"/>
    <w:rsid w:val="008128B0"/>
    <w:rsid w:val="00812A31"/>
    <w:rsid w:val="00812C29"/>
    <w:rsid w:val="00812CFE"/>
    <w:rsid w:val="008135BE"/>
    <w:rsid w:val="008135D7"/>
    <w:rsid w:val="0081364D"/>
    <w:rsid w:val="00813903"/>
    <w:rsid w:val="00813AF3"/>
    <w:rsid w:val="00813C91"/>
    <w:rsid w:val="00813DF8"/>
    <w:rsid w:val="00814320"/>
    <w:rsid w:val="00814452"/>
    <w:rsid w:val="00814523"/>
    <w:rsid w:val="0081503F"/>
    <w:rsid w:val="0081570D"/>
    <w:rsid w:val="0081582D"/>
    <w:rsid w:val="00815877"/>
    <w:rsid w:val="008158EA"/>
    <w:rsid w:val="00815F77"/>
    <w:rsid w:val="00816054"/>
    <w:rsid w:val="00816060"/>
    <w:rsid w:val="00816415"/>
    <w:rsid w:val="008165BE"/>
    <w:rsid w:val="00816A47"/>
    <w:rsid w:val="00816AC3"/>
    <w:rsid w:val="008171F4"/>
    <w:rsid w:val="00817277"/>
    <w:rsid w:val="008173FB"/>
    <w:rsid w:val="0081748F"/>
    <w:rsid w:val="00817542"/>
    <w:rsid w:val="008176E0"/>
    <w:rsid w:val="00817923"/>
    <w:rsid w:val="00817B68"/>
    <w:rsid w:val="00817D03"/>
    <w:rsid w:val="00817DDE"/>
    <w:rsid w:val="00817E97"/>
    <w:rsid w:val="00820270"/>
    <w:rsid w:val="008202FC"/>
    <w:rsid w:val="008204A9"/>
    <w:rsid w:val="0082075B"/>
    <w:rsid w:val="008207B1"/>
    <w:rsid w:val="00820E1C"/>
    <w:rsid w:val="00821DAA"/>
    <w:rsid w:val="00821FE2"/>
    <w:rsid w:val="008222A0"/>
    <w:rsid w:val="008222A5"/>
    <w:rsid w:val="00822449"/>
    <w:rsid w:val="008226C9"/>
    <w:rsid w:val="00822A98"/>
    <w:rsid w:val="00822D9E"/>
    <w:rsid w:val="00823525"/>
    <w:rsid w:val="008235BA"/>
    <w:rsid w:val="00823B5E"/>
    <w:rsid w:val="00823B6F"/>
    <w:rsid w:val="00823BEC"/>
    <w:rsid w:val="00823F0D"/>
    <w:rsid w:val="00823F5C"/>
    <w:rsid w:val="00823FF5"/>
    <w:rsid w:val="0082412D"/>
    <w:rsid w:val="0082430E"/>
    <w:rsid w:val="00824570"/>
    <w:rsid w:val="0082465D"/>
    <w:rsid w:val="00824D01"/>
    <w:rsid w:val="00824FDB"/>
    <w:rsid w:val="008250A9"/>
    <w:rsid w:val="00825369"/>
    <w:rsid w:val="008253E8"/>
    <w:rsid w:val="00825432"/>
    <w:rsid w:val="00825476"/>
    <w:rsid w:val="008257EC"/>
    <w:rsid w:val="008257FA"/>
    <w:rsid w:val="00825872"/>
    <w:rsid w:val="00825F77"/>
    <w:rsid w:val="008261BC"/>
    <w:rsid w:val="008262DF"/>
    <w:rsid w:val="008262E9"/>
    <w:rsid w:val="0082636B"/>
    <w:rsid w:val="008263DB"/>
    <w:rsid w:val="00826434"/>
    <w:rsid w:val="00826769"/>
    <w:rsid w:val="00826B6A"/>
    <w:rsid w:val="00826E7D"/>
    <w:rsid w:val="00826FC2"/>
    <w:rsid w:val="0082730F"/>
    <w:rsid w:val="0082767F"/>
    <w:rsid w:val="00827C17"/>
    <w:rsid w:val="00827E84"/>
    <w:rsid w:val="00827F3C"/>
    <w:rsid w:val="00830419"/>
    <w:rsid w:val="00830AED"/>
    <w:rsid w:val="00830D56"/>
    <w:rsid w:val="00830FE8"/>
    <w:rsid w:val="00831088"/>
    <w:rsid w:val="0083154D"/>
    <w:rsid w:val="008316C8"/>
    <w:rsid w:val="008317A4"/>
    <w:rsid w:val="008318A3"/>
    <w:rsid w:val="0083229F"/>
    <w:rsid w:val="00832439"/>
    <w:rsid w:val="00832480"/>
    <w:rsid w:val="00832A99"/>
    <w:rsid w:val="00832B03"/>
    <w:rsid w:val="00833472"/>
    <w:rsid w:val="00833603"/>
    <w:rsid w:val="008338B7"/>
    <w:rsid w:val="00833A19"/>
    <w:rsid w:val="00833B0D"/>
    <w:rsid w:val="0083426D"/>
    <w:rsid w:val="0083439C"/>
    <w:rsid w:val="00834468"/>
    <w:rsid w:val="008346CC"/>
    <w:rsid w:val="00834746"/>
    <w:rsid w:val="00834814"/>
    <w:rsid w:val="00834B24"/>
    <w:rsid w:val="00834D30"/>
    <w:rsid w:val="00834E86"/>
    <w:rsid w:val="00834FDB"/>
    <w:rsid w:val="00835009"/>
    <w:rsid w:val="0083556A"/>
    <w:rsid w:val="00835AAB"/>
    <w:rsid w:val="00835B42"/>
    <w:rsid w:val="008360FC"/>
    <w:rsid w:val="008361FF"/>
    <w:rsid w:val="00836242"/>
    <w:rsid w:val="008364CF"/>
    <w:rsid w:val="00836763"/>
    <w:rsid w:val="008367A2"/>
    <w:rsid w:val="008367D9"/>
    <w:rsid w:val="0083685A"/>
    <w:rsid w:val="00836C09"/>
    <w:rsid w:val="008370B1"/>
    <w:rsid w:val="008374A5"/>
    <w:rsid w:val="00837583"/>
    <w:rsid w:val="008377B5"/>
    <w:rsid w:val="00837895"/>
    <w:rsid w:val="00837945"/>
    <w:rsid w:val="00837B0B"/>
    <w:rsid w:val="00837B65"/>
    <w:rsid w:val="00837C06"/>
    <w:rsid w:val="00837E03"/>
    <w:rsid w:val="00837F3F"/>
    <w:rsid w:val="00840101"/>
    <w:rsid w:val="00840181"/>
    <w:rsid w:val="00840226"/>
    <w:rsid w:val="008403F8"/>
    <w:rsid w:val="00840DD1"/>
    <w:rsid w:val="00840E40"/>
    <w:rsid w:val="008415C8"/>
    <w:rsid w:val="00841D39"/>
    <w:rsid w:val="00841E81"/>
    <w:rsid w:val="00841F14"/>
    <w:rsid w:val="0084220D"/>
    <w:rsid w:val="008422AA"/>
    <w:rsid w:val="0084231D"/>
    <w:rsid w:val="00842591"/>
    <w:rsid w:val="00842682"/>
    <w:rsid w:val="008426F7"/>
    <w:rsid w:val="00842A55"/>
    <w:rsid w:val="00842A5B"/>
    <w:rsid w:val="00842A98"/>
    <w:rsid w:val="00842C54"/>
    <w:rsid w:val="00843061"/>
    <w:rsid w:val="00843809"/>
    <w:rsid w:val="00843935"/>
    <w:rsid w:val="008439AD"/>
    <w:rsid w:val="00843AD9"/>
    <w:rsid w:val="00843B47"/>
    <w:rsid w:val="00844323"/>
    <w:rsid w:val="00844623"/>
    <w:rsid w:val="008446D8"/>
    <w:rsid w:val="00844726"/>
    <w:rsid w:val="0084486B"/>
    <w:rsid w:val="00844943"/>
    <w:rsid w:val="00844CD4"/>
    <w:rsid w:val="00844FB4"/>
    <w:rsid w:val="00845585"/>
    <w:rsid w:val="008457A7"/>
    <w:rsid w:val="00845825"/>
    <w:rsid w:val="00845868"/>
    <w:rsid w:val="00845911"/>
    <w:rsid w:val="00845944"/>
    <w:rsid w:val="00845A0B"/>
    <w:rsid w:val="00845B82"/>
    <w:rsid w:val="00845C1E"/>
    <w:rsid w:val="00845C30"/>
    <w:rsid w:val="00845E1C"/>
    <w:rsid w:val="00846159"/>
    <w:rsid w:val="00846414"/>
    <w:rsid w:val="00846737"/>
    <w:rsid w:val="00846818"/>
    <w:rsid w:val="00846864"/>
    <w:rsid w:val="00846ADD"/>
    <w:rsid w:val="00846C3D"/>
    <w:rsid w:val="00847634"/>
    <w:rsid w:val="008478A3"/>
    <w:rsid w:val="0084796D"/>
    <w:rsid w:val="00847A08"/>
    <w:rsid w:val="00847E6C"/>
    <w:rsid w:val="00847F20"/>
    <w:rsid w:val="008502FC"/>
    <w:rsid w:val="00850613"/>
    <w:rsid w:val="00850819"/>
    <w:rsid w:val="0085147F"/>
    <w:rsid w:val="00851506"/>
    <w:rsid w:val="00851A83"/>
    <w:rsid w:val="00851F6B"/>
    <w:rsid w:val="008522AD"/>
    <w:rsid w:val="00852435"/>
    <w:rsid w:val="00852C64"/>
    <w:rsid w:val="00852E55"/>
    <w:rsid w:val="00852ECD"/>
    <w:rsid w:val="00853507"/>
    <w:rsid w:val="0085373A"/>
    <w:rsid w:val="008538A3"/>
    <w:rsid w:val="0085396B"/>
    <w:rsid w:val="00853ADD"/>
    <w:rsid w:val="00853D9F"/>
    <w:rsid w:val="00854140"/>
    <w:rsid w:val="008541A9"/>
    <w:rsid w:val="00854383"/>
    <w:rsid w:val="00854387"/>
    <w:rsid w:val="00854429"/>
    <w:rsid w:val="00854796"/>
    <w:rsid w:val="0085499A"/>
    <w:rsid w:val="00854C1B"/>
    <w:rsid w:val="00854DF8"/>
    <w:rsid w:val="00855119"/>
    <w:rsid w:val="00855616"/>
    <w:rsid w:val="008557CC"/>
    <w:rsid w:val="00855949"/>
    <w:rsid w:val="008559DA"/>
    <w:rsid w:val="00855DD9"/>
    <w:rsid w:val="00856000"/>
    <w:rsid w:val="00856358"/>
    <w:rsid w:val="00856537"/>
    <w:rsid w:val="008565AA"/>
    <w:rsid w:val="00856785"/>
    <w:rsid w:val="008567ED"/>
    <w:rsid w:val="00856B00"/>
    <w:rsid w:val="00856B6B"/>
    <w:rsid w:val="00856C10"/>
    <w:rsid w:val="00857134"/>
    <w:rsid w:val="008571D4"/>
    <w:rsid w:val="00857A57"/>
    <w:rsid w:val="00857B28"/>
    <w:rsid w:val="00857B36"/>
    <w:rsid w:val="00857C04"/>
    <w:rsid w:val="00860888"/>
    <w:rsid w:val="00860977"/>
    <w:rsid w:val="0086097A"/>
    <w:rsid w:val="00860A9D"/>
    <w:rsid w:val="00860E7C"/>
    <w:rsid w:val="00860EBF"/>
    <w:rsid w:val="00860F31"/>
    <w:rsid w:val="00860FAF"/>
    <w:rsid w:val="00861029"/>
    <w:rsid w:val="008610F1"/>
    <w:rsid w:val="00861279"/>
    <w:rsid w:val="00861345"/>
    <w:rsid w:val="008618A4"/>
    <w:rsid w:val="00861A0B"/>
    <w:rsid w:val="00861D52"/>
    <w:rsid w:val="0086212F"/>
    <w:rsid w:val="00862146"/>
    <w:rsid w:val="0086242C"/>
    <w:rsid w:val="00862498"/>
    <w:rsid w:val="00862798"/>
    <w:rsid w:val="008627A7"/>
    <w:rsid w:val="00862A00"/>
    <w:rsid w:val="00862B95"/>
    <w:rsid w:val="00862C13"/>
    <w:rsid w:val="0086313D"/>
    <w:rsid w:val="0086324B"/>
    <w:rsid w:val="008636DD"/>
    <w:rsid w:val="0086377E"/>
    <w:rsid w:val="008638FB"/>
    <w:rsid w:val="008638FC"/>
    <w:rsid w:val="00863C80"/>
    <w:rsid w:val="00863CC8"/>
    <w:rsid w:val="008642C3"/>
    <w:rsid w:val="008643A7"/>
    <w:rsid w:val="008646BA"/>
    <w:rsid w:val="00864801"/>
    <w:rsid w:val="00864CE2"/>
    <w:rsid w:val="00865169"/>
    <w:rsid w:val="00865448"/>
    <w:rsid w:val="008655A7"/>
    <w:rsid w:val="008655FA"/>
    <w:rsid w:val="008660F0"/>
    <w:rsid w:val="00866215"/>
    <w:rsid w:val="008662CA"/>
    <w:rsid w:val="008665B0"/>
    <w:rsid w:val="008667C5"/>
    <w:rsid w:val="008667C9"/>
    <w:rsid w:val="00866CDE"/>
    <w:rsid w:val="00866FF0"/>
    <w:rsid w:val="00867004"/>
    <w:rsid w:val="008675BA"/>
    <w:rsid w:val="0086781B"/>
    <w:rsid w:val="00867A2A"/>
    <w:rsid w:val="00867D2E"/>
    <w:rsid w:val="00867D5A"/>
    <w:rsid w:val="00867D9A"/>
    <w:rsid w:val="008703C8"/>
    <w:rsid w:val="00870448"/>
    <w:rsid w:val="00870892"/>
    <w:rsid w:val="0087099A"/>
    <w:rsid w:val="00870AB5"/>
    <w:rsid w:val="00870BC8"/>
    <w:rsid w:val="00870D7E"/>
    <w:rsid w:val="0087136A"/>
    <w:rsid w:val="008718D3"/>
    <w:rsid w:val="0087196A"/>
    <w:rsid w:val="00871975"/>
    <w:rsid w:val="00871F72"/>
    <w:rsid w:val="008720F8"/>
    <w:rsid w:val="0087232C"/>
    <w:rsid w:val="00872584"/>
    <w:rsid w:val="0087278E"/>
    <w:rsid w:val="00872855"/>
    <w:rsid w:val="00872A29"/>
    <w:rsid w:val="00872B72"/>
    <w:rsid w:val="00872EB8"/>
    <w:rsid w:val="00872EC5"/>
    <w:rsid w:val="00872F30"/>
    <w:rsid w:val="0087302F"/>
    <w:rsid w:val="00873120"/>
    <w:rsid w:val="0087319B"/>
    <w:rsid w:val="008732F7"/>
    <w:rsid w:val="00873AE2"/>
    <w:rsid w:val="00873B12"/>
    <w:rsid w:val="00873B3C"/>
    <w:rsid w:val="00873D56"/>
    <w:rsid w:val="00874134"/>
    <w:rsid w:val="00874141"/>
    <w:rsid w:val="0087419A"/>
    <w:rsid w:val="008743C3"/>
    <w:rsid w:val="00874402"/>
    <w:rsid w:val="0087456E"/>
    <w:rsid w:val="0087466F"/>
    <w:rsid w:val="00874773"/>
    <w:rsid w:val="00874A63"/>
    <w:rsid w:val="00875024"/>
    <w:rsid w:val="0087509B"/>
    <w:rsid w:val="00875150"/>
    <w:rsid w:val="0087552B"/>
    <w:rsid w:val="008755AA"/>
    <w:rsid w:val="00875790"/>
    <w:rsid w:val="00875884"/>
    <w:rsid w:val="00875AFB"/>
    <w:rsid w:val="00875CED"/>
    <w:rsid w:val="00875E61"/>
    <w:rsid w:val="00875FA0"/>
    <w:rsid w:val="0087625B"/>
    <w:rsid w:val="008762C3"/>
    <w:rsid w:val="00876493"/>
    <w:rsid w:val="00876597"/>
    <w:rsid w:val="00876599"/>
    <w:rsid w:val="008766B2"/>
    <w:rsid w:val="00876EC3"/>
    <w:rsid w:val="00876ED8"/>
    <w:rsid w:val="00877191"/>
    <w:rsid w:val="008772D4"/>
    <w:rsid w:val="008773CD"/>
    <w:rsid w:val="008775D8"/>
    <w:rsid w:val="0087792E"/>
    <w:rsid w:val="00877BC0"/>
    <w:rsid w:val="00877D92"/>
    <w:rsid w:val="00877FA2"/>
    <w:rsid w:val="008801CF"/>
    <w:rsid w:val="00880F40"/>
    <w:rsid w:val="0088101B"/>
    <w:rsid w:val="00881139"/>
    <w:rsid w:val="008811B9"/>
    <w:rsid w:val="00881238"/>
    <w:rsid w:val="00881269"/>
    <w:rsid w:val="008816D0"/>
    <w:rsid w:val="0088190A"/>
    <w:rsid w:val="00881B0F"/>
    <w:rsid w:val="00881DAA"/>
    <w:rsid w:val="00881F48"/>
    <w:rsid w:val="008829FD"/>
    <w:rsid w:val="00882FAF"/>
    <w:rsid w:val="008830C5"/>
    <w:rsid w:val="0088315E"/>
    <w:rsid w:val="00883B29"/>
    <w:rsid w:val="00883BC2"/>
    <w:rsid w:val="00883CDB"/>
    <w:rsid w:val="00883D0F"/>
    <w:rsid w:val="00884173"/>
    <w:rsid w:val="0088424E"/>
    <w:rsid w:val="0088425A"/>
    <w:rsid w:val="008843E9"/>
    <w:rsid w:val="008844F5"/>
    <w:rsid w:val="00884AB4"/>
    <w:rsid w:val="00884E4E"/>
    <w:rsid w:val="00884FBB"/>
    <w:rsid w:val="008850E7"/>
    <w:rsid w:val="008851DC"/>
    <w:rsid w:val="00885233"/>
    <w:rsid w:val="00885594"/>
    <w:rsid w:val="008857BF"/>
    <w:rsid w:val="00885B0C"/>
    <w:rsid w:val="00885C57"/>
    <w:rsid w:val="00885ED1"/>
    <w:rsid w:val="00885EDA"/>
    <w:rsid w:val="00886046"/>
    <w:rsid w:val="0088615C"/>
    <w:rsid w:val="00886181"/>
    <w:rsid w:val="00886714"/>
    <w:rsid w:val="00886A6A"/>
    <w:rsid w:val="00886B08"/>
    <w:rsid w:val="00886E1F"/>
    <w:rsid w:val="00887025"/>
    <w:rsid w:val="008872FE"/>
    <w:rsid w:val="008873A6"/>
    <w:rsid w:val="0088750E"/>
    <w:rsid w:val="00887725"/>
    <w:rsid w:val="00887A73"/>
    <w:rsid w:val="00887B94"/>
    <w:rsid w:val="00887BD6"/>
    <w:rsid w:val="00887E9C"/>
    <w:rsid w:val="00887F91"/>
    <w:rsid w:val="00887FDE"/>
    <w:rsid w:val="008901E2"/>
    <w:rsid w:val="008903E3"/>
    <w:rsid w:val="008908C2"/>
    <w:rsid w:val="00890CA5"/>
    <w:rsid w:val="00890FEE"/>
    <w:rsid w:val="0089104C"/>
    <w:rsid w:val="008915A0"/>
    <w:rsid w:val="008916EF"/>
    <w:rsid w:val="00891C1E"/>
    <w:rsid w:val="00891CCB"/>
    <w:rsid w:val="00891E3D"/>
    <w:rsid w:val="00891F24"/>
    <w:rsid w:val="00891F78"/>
    <w:rsid w:val="008921C3"/>
    <w:rsid w:val="00892548"/>
    <w:rsid w:val="008928A2"/>
    <w:rsid w:val="00892CBF"/>
    <w:rsid w:val="0089300D"/>
    <w:rsid w:val="00893135"/>
    <w:rsid w:val="008932EF"/>
    <w:rsid w:val="00893367"/>
    <w:rsid w:val="0089338A"/>
    <w:rsid w:val="00893B3A"/>
    <w:rsid w:val="00894152"/>
    <w:rsid w:val="008942A3"/>
    <w:rsid w:val="00894317"/>
    <w:rsid w:val="0089432C"/>
    <w:rsid w:val="008944E9"/>
    <w:rsid w:val="0089450F"/>
    <w:rsid w:val="008948DE"/>
    <w:rsid w:val="00894BD1"/>
    <w:rsid w:val="00894BD5"/>
    <w:rsid w:val="00894EC6"/>
    <w:rsid w:val="0089501B"/>
    <w:rsid w:val="008952B8"/>
    <w:rsid w:val="00895652"/>
    <w:rsid w:val="0089573A"/>
    <w:rsid w:val="00895760"/>
    <w:rsid w:val="008959BB"/>
    <w:rsid w:val="00895AFE"/>
    <w:rsid w:val="00896814"/>
    <w:rsid w:val="00896839"/>
    <w:rsid w:val="0089685D"/>
    <w:rsid w:val="00896877"/>
    <w:rsid w:val="00897256"/>
    <w:rsid w:val="008972D5"/>
    <w:rsid w:val="008972F5"/>
    <w:rsid w:val="00897655"/>
    <w:rsid w:val="00897804"/>
    <w:rsid w:val="0089791B"/>
    <w:rsid w:val="00897961"/>
    <w:rsid w:val="00897C99"/>
    <w:rsid w:val="00897D61"/>
    <w:rsid w:val="008A007E"/>
    <w:rsid w:val="008A02E6"/>
    <w:rsid w:val="008A0418"/>
    <w:rsid w:val="008A043C"/>
    <w:rsid w:val="008A046D"/>
    <w:rsid w:val="008A0582"/>
    <w:rsid w:val="008A0592"/>
    <w:rsid w:val="008A05BD"/>
    <w:rsid w:val="008A07FB"/>
    <w:rsid w:val="008A0EB0"/>
    <w:rsid w:val="008A135C"/>
    <w:rsid w:val="008A140E"/>
    <w:rsid w:val="008A14F2"/>
    <w:rsid w:val="008A1625"/>
    <w:rsid w:val="008A18D0"/>
    <w:rsid w:val="008A18E7"/>
    <w:rsid w:val="008A1CC8"/>
    <w:rsid w:val="008A1EF5"/>
    <w:rsid w:val="008A1FD6"/>
    <w:rsid w:val="008A2036"/>
    <w:rsid w:val="008A2081"/>
    <w:rsid w:val="008A217A"/>
    <w:rsid w:val="008A24BA"/>
    <w:rsid w:val="008A24DD"/>
    <w:rsid w:val="008A284E"/>
    <w:rsid w:val="008A2A41"/>
    <w:rsid w:val="008A2AE9"/>
    <w:rsid w:val="008A2D34"/>
    <w:rsid w:val="008A2F06"/>
    <w:rsid w:val="008A30FB"/>
    <w:rsid w:val="008A33A2"/>
    <w:rsid w:val="008A356D"/>
    <w:rsid w:val="008A356F"/>
    <w:rsid w:val="008A3609"/>
    <w:rsid w:val="008A367A"/>
    <w:rsid w:val="008A3BD3"/>
    <w:rsid w:val="008A3EEA"/>
    <w:rsid w:val="008A40B4"/>
    <w:rsid w:val="008A41CA"/>
    <w:rsid w:val="008A437D"/>
    <w:rsid w:val="008A4435"/>
    <w:rsid w:val="008A448B"/>
    <w:rsid w:val="008A476F"/>
    <w:rsid w:val="008A4A13"/>
    <w:rsid w:val="008A4B4A"/>
    <w:rsid w:val="008A4D09"/>
    <w:rsid w:val="008A4D57"/>
    <w:rsid w:val="008A4F7A"/>
    <w:rsid w:val="008A50F7"/>
    <w:rsid w:val="008A5152"/>
    <w:rsid w:val="008A528E"/>
    <w:rsid w:val="008A533D"/>
    <w:rsid w:val="008A54DF"/>
    <w:rsid w:val="008A5591"/>
    <w:rsid w:val="008A55AE"/>
    <w:rsid w:val="008A5628"/>
    <w:rsid w:val="008A570E"/>
    <w:rsid w:val="008A5933"/>
    <w:rsid w:val="008A598B"/>
    <w:rsid w:val="008A5A69"/>
    <w:rsid w:val="008A5B4A"/>
    <w:rsid w:val="008A5D38"/>
    <w:rsid w:val="008A5DFC"/>
    <w:rsid w:val="008A629C"/>
    <w:rsid w:val="008A6460"/>
    <w:rsid w:val="008A6656"/>
    <w:rsid w:val="008A6812"/>
    <w:rsid w:val="008A6AE2"/>
    <w:rsid w:val="008A6BCE"/>
    <w:rsid w:val="008A6C36"/>
    <w:rsid w:val="008A6F36"/>
    <w:rsid w:val="008A6FFB"/>
    <w:rsid w:val="008A715F"/>
    <w:rsid w:val="008A74BB"/>
    <w:rsid w:val="008A7745"/>
    <w:rsid w:val="008A7887"/>
    <w:rsid w:val="008A7A76"/>
    <w:rsid w:val="008A7B55"/>
    <w:rsid w:val="008A7C4B"/>
    <w:rsid w:val="008A7EAF"/>
    <w:rsid w:val="008B01BA"/>
    <w:rsid w:val="008B0386"/>
    <w:rsid w:val="008B0658"/>
    <w:rsid w:val="008B06E3"/>
    <w:rsid w:val="008B0714"/>
    <w:rsid w:val="008B0AAF"/>
    <w:rsid w:val="008B0B87"/>
    <w:rsid w:val="008B0C65"/>
    <w:rsid w:val="008B0D3D"/>
    <w:rsid w:val="008B10B0"/>
    <w:rsid w:val="008B11E9"/>
    <w:rsid w:val="008B13CF"/>
    <w:rsid w:val="008B1626"/>
    <w:rsid w:val="008B16DF"/>
    <w:rsid w:val="008B19F7"/>
    <w:rsid w:val="008B1B98"/>
    <w:rsid w:val="008B2413"/>
    <w:rsid w:val="008B2776"/>
    <w:rsid w:val="008B2BEF"/>
    <w:rsid w:val="008B2C87"/>
    <w:rsid w:val="008B2F67"/>
    <w:rsid w:val="008B2FA3"/>
    <w:rsid w:val="008B30BB"/>
    <w:rsid w:val="008B3D4F"/>
    <w:rsid w:val="008B3DB9"/>
    <w:rsid w:val="008B3E8F"/>
    <w:rsid w:val="008B3F07"/>
    <w:rsid w:val="008B3F45"/>
    <w:rsid w:val="008B414B"/>
    <w:rsid w:val="008B4B04"/>
    <w:rsid w:val="008B4B05"/>
    <w:rsid w:val="008B4D5D"/>
    <w:rsid w:val="008B5406"/>
    <w:rsid w:val="008B5529"/>
    <w:rsid w:val="008B5845"/>
    <w:rsid w:val="008B5BC8"/>
    <w:rsid w:val="008B5C89"/>
    <w:rsid w:val="008B6341"/>
    <w:rsid w:val="008B6517"/>
    <w:rsid w:val="008B663A"/>
    <w:rsid w:val="008B6905"/>
    <w:rsid w:val="008B6B6C"/>
    <w:rsid w:val="008B6C9D"/>
    <w:rsid w:val="008B6E6C"/>
    <w:rsid w:val="008B75E1"/>
    <w:rsid w:val="008B762F"/>
    <w:rsid w:val="008B7B47"/>
    <w:rsid w:val="008B7B52"/>
    <w:rsid w:val="008B7EED"/>
    <w:rsid w:val="008C028B"/>
    <w:rsid w:val="008C05D1"/>
    <w:rsid w:val="008C0C30"/>
    <w:rsid w:val="008C0C5D"/>
    <w:rsid w:val="008C0DE3"/>
    <w:rsid w:val="008C0E84"/>
    <w:rsid w:val="008C10B3"/>
    <w:rsid w:val="008C1532"/>
    <w:rsid w:val="008C174E"/>
    <w:rsid w:val="008C1BE3"/>
    <w:rsid w:val="008C1CE4"/>
    <w:rsid w:val="008C1F8C"/>
    <w:rsid w:val="008C2013"/>
    <w:rsid w:val="008C20FA"/>
    <w:rsid w:val="008C2115"/>
    <w:rsid w:val="008C2829"/>
    <w:rsid w:val="008C2C76"/>
    <w:rsid w:val="008C2DB5"/>
    <w:rsid w:val="008C2FB1"/>
    <w:rsid w:val="008C3588"/>
    <w:rsid w:val="008C3699"/>
    <w:rsid w:val="008C380F"/>
    <w:rsid w:val="008C3B5D"/>
    <w:rsid w:val="008C3E98"/>
    <w:rsid w:val="008C40E3"/>
    <w:rsid w:val="008C4568"/>
    <w:rsid w:val="008C46C8"/>
    <w:rsid w:val="008C4AE4"/>
    <w:rsid w:val="008C50D9"/>
    <w:rsid w:val="008C50EC"/>
    <w:rsid w:val="008C5235"/>
    <w:rsid w:val="008C5645"/>
    <w:rsid w:val="008C583D"/>
    <w:rsid w:val="008C59DB"/>
    <w:rsid w:val="008C61D9"/>
    <w:rsid w:val="008C61E6"/>
    <w:rsid w:val="008C63FE"/>
    <w:rsid w:val="008C6584"/>
    <w:rsid w:val="008C659C"/>
    <w:rsid w:val="008C6696"/>
    <w:rsid w:val="008C6C1C"/>
    <w:rsid w:val="008C6DB0"/>
    <w:rsid w:val="008C6F03"/>
    <w:rsid w:val="008C6FBD"/>
    <w:rsid w:val="008C6FEA"/>
    <w:rsid w:val="008C7331"/>
    <w:rsid w:val="008C73EE"/>
    <w:rsid w:val="008C75E1"/>
    <w:rsid w:val="008C7C13"/>
    <w:rsid w:val="008C7C2B"/>
    <w:rsid w:val="008D0097"/>
    <w:rsid w:val="008D03D5"/>
    <w:rsid w:val="008D05EF"/>
    <w:rsid w:val="008D0715"/>
    <w:rsid w:val="008D08B6"/>
    <w:rsid w:val="008D0948"/>
    <w:rsid w:val="008D096C"/>
    <w:rsid w:val="008D0A2A"/>
    <w:rsid w:val="008D0D1E"/>
    <w:rsid w:val="008D0DF5"/>
    <w:rsid w:val="008D0EBE"/>
    <w:rsid w:val="008D0EED"/>
    <w:rsid w:val="008D0F88"/>
    <w:rsid w:val="008D1209"/>
    <w:rsid w:val="008D12CD"/>
    <w:rsid w:val="008D15E7"/>
    <w:rsid w:val="008D180E"/>
    <w:rsid w:val="008D1F61"/>
    <w:rsid w:val="008D2048"/>
    <w:rsid w:val="008D2206"/>
    <w:rsid w:val="008D229D"/>
    <w:rsid w:val="008D294E"/>
    <w:rsid w:val="008D2A5F"/>
    <w:rsid w:val="008D2AB8"/>
    <w:rsid w:val="008D2ACD"/>
    <w:rsid w:val="008D2BD3"/>
    <w:rsid w:val="008D2EF8"/>
    <w:rsid w:val="008D3405"/>
    <w:rsid w:val="008D3638"/>
    <w:rsid w:val="008D3A0F"/>
    <w:rsid w:val="008D3C01"/>
    <w:rsid w:val="008D3E86"/>
    <w:rsid w:val="008D3FA0"/>
    <w:rsid w:val="008D3FF4"/>
    <w:rsid w:val="008D4223"/>
    <w:rsid w:val="008D46FF"/>
    <w:rsid w:val="008D47E5"/>
    <w:rsid w:val="008D4AD4"/>
    <w:rsid w:val="008D4C86"/>
    <w:rsid w:val="008D4D2D"/>
    <w:rsid w:val="008D4F80"/>
    <w:rsid w:val="008D5006"/>
    <w:rsid w:val="008D51BF"/>
    <w:rsid w:val="008D5286"/>
    <w:rsid w:val="008D52E5"/>
    <w:rsid w:val="008D5B9E"/>
    <w:rsid w:val="008D60C9"/>
    <w:rsid w:val="008D6181"/>
    <w:rsid w:val="008D6503"/>
    <w:rsid w:val="008D659F"/>
    <w:rsid w:val="008D6719"/>
    <w:rsid w:val="008D6958"/>
    <w:rsid w:val="008D6D86"/>
    <w:rsid w:val="008D6F88"/>
    <w:rsid w:val="008D7220"/>
    <w:rsid w:val="008D7235"/>
    <w:rsid w:val="008D72E5"/>
    <w:rsid w:val="008D734D"/>
    <w:rsid w:val="008D73C3"/>
    <w:rsid w:val="008D73CC"/>
    <w:rsid w:val="008D74B4"/>
    <w:rsid w:val="008D7542"/>
    <w:rsid w:val="008D7624"/>
    <w:rsid w:val="008D7715"/>
    <w:rsid w:val="008D7729"/>
    <w:rsid w:val="008E023D"/>
    <w:rsid w:val="008E037B"/>
    <w:rsid w:val="008E03C1"/>
    <w:rsid w:val="008E0538"/>
    <w:rsid w:val="008E084A"/>
    <w:rsid w:val="008E09E9"/>
    <w:rsid w:val="008E0CED"/>
    <w:rsid w:val="008E0D7C"/>
    <w:rsid w:val="008E115E"/>
    <w:rsid w:val="008E1210"/>
    <w:rsid w:val="008E1519"/>
    <w:rsid w:val="008E1740"/>
    <w:rsid w:val="008E1CF7"/>
    <w:rsid w:val="008E2057"/>
    <w:rsid w:val="008E2312"/>
    <w:rsid w:val="008E234A"/>
    <w:rsid w:val="008E243D"/>
    <w:rsid w:val="008E24F8"/>
    <w:rsid w:val="008E2582"/>
    <w:rsid w:val="008E26F2"/>
    <w:rsid w:val="008E2783"/>
    <w:rsid w:val="008E3068"/>
    <w:rsid w:val="008E3BEF"/>
    <w:rsid w:val="008E3C7E"/>
    <w:rsid w:val="008E4070"/>
    <w:rsid w:val="008E414E"/>
    <w:rsid w:val="008E4369"/>
    <w:rsid w:val="008E4AD8"/>
    <w:rsid w:val="008E4C60"/>
    <w:rsid w:val="008E522C"/>
    <w:rsid w:val="008E5397"/>
    <w:rsid w:val="008E5606"/>
    <w:rsid w:val="008E585F"/>
    <w:rsid w:val="008E587C"/>
    <w:rsid w:val="008E5888"/>
    <w:rsid w:val="008E5AC4"/>
    <w:rsid w:val="008E5B49"/>
    <w:rsid w:val="008E5D13"/>
    <w:rsid w:val="008E62A2"/>
    <w:rsid w:val="008E62D6"/>
    <w:rsid w:val="008E62FB"/>
    <w:rsid w:val="008E64F6"/>
    <w:rsid w:val="008E6558"/>
    <w:rsid w:val="008E6A5A"/>
    <w:rsid w:val="008E6B21"/>
    <w:rsid w:val="008E6B58"/>
    <w:rsid w:val="008E6C88"/>
    <w:rsid w:val="008E6FCF"/>
    <w:rsid w:val="008E73F1"/>
    <w:rsid w:val="008E7740"/>
    <w:rsid w:val="008E7BE9"/>
    <w:rsid w:val="008E7D3F"/>
    <w:rsid w:val="008F0171"/>
    <w:rsid w:val="008F0342"/>
    <w:rsid w:val="008F05B4"/>
    <w:rsid w:val="008F0799"/>
    <w:rsid w:val="008F0990"/>
    <w:rsid w:val="008F0AE8"/>
    <w:rsid w:val="008F0CAF"/>
    <w:rsid w:val="008F0EB8"/>
    <w:rsid w:val="008F1028"/>
    <w:rsid w:val="008F14E0"/>
    <w:rsid w:val="008F198E"/>
    <w:rsid w:val="008F1BC8"/>
    <w:rsid w:val="008F1E65"/>
    <w:rsid w:val="008F1E72"/>
    <w:rsid w:val="008F205A"/>
    <w:rsid w:val="008F21BA"/>
    <w:rsid w:val="008F232B"/>
    <w:rsid w:val="008F2736"/>
    <w:rsid w:val="008F2C06"/>
    <w:rsid w:val="008F2EBF"/>
    <w:rsid w:val="008F2FEC"/>
    <w:rsid w:val="008F30C4"/>
    <w:rsid w:val="008F36B4"/>
    <w:rsid w:val="008F3727"/>
    <w:rsid w:val="008F3911"/>
    <w:rsid w:val="008F3A5A"/>
    <w:rsid w:val="008F3A65"/>
    <w:rsid w:val="008F3AC7"/>
    <w:rsid w:val="008F3B03"/>
    <w:rsid w:val="008F3BC0"/>
    <w:rsid w:val="008F4096"/>
    <w:rsid w:val="008F4291"/>
    <w:rsid w:val="008F47F7"/>
    <w:rsid w:val="008F4978"/>
    <w:rsid w:val="008F49AF"/>
    <w:rsid w:val="008F4CDC"/>
    <w:rsid w:val="008F4D96"/>
    <w:rsid w:val="008F4E9A"/>
    <w:rsid w:val="008F4F68"/>
    <w:rsid w:val="008F50FA"/>
    <w:rsid w:val="008F5284"/>
    <w:rsid w:val="008F53A3"/>
    <w:rsid w:val="008F53F8"/>
    <w:rsid w:val="008F55AB"/>
    <w:rsid w:val="008F577D"/>
    <w:rsid w:val="008F5D21"/>
    <w:rsid w:val="008F5D53"/>
    <w:rsid w:val="008F61EA"/>
    <w:rsid w:val="008F62A1"/>
    <w:rsid w:val="008F6538"/>
    <w:rsid w:val="008F661B"/>
    <w:rsid w:val="008F679C"/>
    <w:rsid w:val="008F6A77"/>
    <w:rsid w:val="008F6B24"/>
    <w:rsid w:val="008F6B3B"/>
    <w:rsid w:val="008F6DB4"/>
    <w:rsid w:val="008F71D2"/>
    <w:rsid w:val="008F76CD"/>
    <w:rsid w:val="008F7701"/>
    <w:rsid w:val="008F7753"/>
    <w:rsid w:val="008F79C9"/>
    <w:rsid w:val="008F7A31"/>
    <w:rsid w:val="008F7B4E"/>
    <w:rsid w:val="008F7C02"/>
    <w:rsid w:val="008F7C39"/>
    <w:rsid w:val="008F7CA1"/>
    <w:rsid w:val="00900212"/>
    <w:rsid w:val="00900388"/>
    <w:rsid w:val="009006BA"/>
    <w:rsid w:val="0090089D"/>
    <w:rsid w:val="00900F01"/>
    <w:rsid w:val="00900F37"/>
    <w:rsid w:val="00901245"/>
    <w:rsid w:val="00901279"/>
    <w:rsid w:val="009012E6"/>
    <w:rsid w:val="009012F3"/>
    <w:rsid w:val="00901459"/>
    <w:rsid w:val="009015DA"/>
    <w:rsid w:val="00901618"/>
    <w:rsid w:val="00901932"/>
    <w:rsid w:val="00901E54"/>
    <w:rsid w:val="009024A7"/>
    <w:rsid w:val="00902821"/>
    <w:rsid w:val="00902917"/>
    <w:rsid w:val="009029C5"/>
    <w:rsid w:val="00902A01"/>
    <w:rsid w:val="00902E5A"/>
    <w:rsid w:val="00903272"/>
    <w:rsid w:val="009033EB"/>
    <w:rsid w:val="0090347D"/>
    <w:rsid w:val="0090395D"/>
    <w:rsid w:val="00903C7B"/>
    <w:rsid w:val="00903F45"/>
    <w:rsid w:val="00903F72"/>
    <w:rsid w:val="00904001"/>
    <w:rsid w:val="00904589"/>
    <w:rsid w:val="00904660"/>
    <w:rsid w:val="009046B9"/>
    <w:rsid w:val="009048CF"/>
    <w:rsid w:val="00904BD6"/>
    <w:rsid w:val="00904C92"/>
    <w:rsid w:val="00904D08"/>
    <w:rsid w:val="00904FAE"/>
    <w:rsid w:val="00905325"/>
    <w:rsid w:val="009053D8"/>
    <w:rsid w:val="00905495"/>
    <w:rsid w:val="009054B2"/>
    <w:rsid w:val="00905556"/>
    <w:rsid w:val="009057A7"/>
    <w:rsid w:val="0090590D"/>
    <w:rsid w:val="00905947"/>
    <w:rsid w:val="00906052"/>
    <w:rsid w:val="0090610F"/>
    <w:rsid w:val="009061F5"/>
    <w:rsid w:val="00906237"/>
    <w:rsid w:val="00906543"/>
    <w:rsid w:val="00906914"/>
    <w:rsid w:val="00906A88"/>
    <w:rsid w:val="00906B87"/>
    <w:rsid w:val="00906C80"/>
    <w:rsid w:val="00906D1C"/>
    <w:rsid w:val="00906E22"/>
    <w:rsid w:val="00906EA4"/>
    <w:rsid w:val="00906F07"/>
    <w:rsid w:val="00907380"/>
    <w:rsid w:val="009075BE"/>
    <w:rsid w:val="00907670"/>
    <w:rsid w:val="0090788F"/>
    <w:rsid w:val="00907D41"/>
    <w:rsid w:val="00910218"/>
    <w:rsid w:val="009105DF"/>
    <w:rsid w:val="00910678"/>
    <w:rsid w:val="00910A4B"/>
    <w:rsid w:val="00910A84"/>
    <w:rsid w:val="00910A91"/>
    <w:rsid w:val="00911B16"/>
    <w:rsid w:val="00911D6C"/>
    <w:rsid w:val="00912221"/>
    <w:rsid w:val="009123EC"/>
    <w:rsid w:val="00912430"/>
    <w:rsid w:val="009126A4"/>
    <w:rsid w:val="009126C1"/>
    <w:rsid w:val="00912711"/>
    <w:rsid w:val="00912736"/>
    <w:rsid w:val="00912764"/>
    <w:rsid w:val="009127CF"/>
    <w:rsid w:val="00912A40"/>
    <w:rsid w:val="00912EBE"/>
    <w:rsid w:val="00913099"/>
    <w:rsid w:val="0091321C"/>
    <w:rsid w:val="00913543"/>
    <w:rsid w:val="009135B3"/>
    <w:rsid w:val="00913759"/>
    <w:rsid w:val="0091386C"/>
    <w:rsid w:val="00913CC3"/>
    <w:rsid w:val="009142CD"/>
    <w:rsid w:val="00914479"/>
    <w:rsid w:val="009144F9"/>
    <w:rsid w:val="00914513"/>
    <w:rsid w:val="009147E7"/>
    <w:rsid w:val="0091482D"/>
    <w:rsid w:val="00914860"/>
    <w:rsid w:val="00914C80"/>
    <w:rsid w:val="00914D69"/>
    <w:rsid w:val="00914EF9"/>
    <w:rsid w:val="009150A4"/>
    <w:rsid w:val="009156F0"/>
    <w:rsid w:val="009157AB"/>
    <w:rsid w:val="0091581E"/>
    <w:rsid w:val="00915C17"/>
    <w:rsid w:val="00915E73"/>
    <w:rsid w:val="00916367"/>
    <w:rsid w:val="009166F9"/>
    <w:rsid w:val="00916770"/>
    <w:rsid w:val="00916A1D"/>
    <w:rsid w:val="00916B28"/>
    <w:rsid w:val="00916C52"/>
    <w:rsid w:val="00916DF0"/>
    <w:rsid w:val="009172C2"/>
    <w:rsid w:val="009175B0"/>
    <w:rsid w:val="00917626"/>
    <w:rsid w:val="00917725"/>
    <w:rsid w:val="00917829"/>
    <w:rsid w:val="00917840"/>
    <w:rsid w:val="00917ADD"/>
    <w:rsid w:val="00917AE8"/>
    <w:rsid w:val="00917B2A"/>
    <w:rsid w:val="00917DCB"/>
    <w:rsid w:val="00920156"/>
    <w:rsid w:val="00920272"/>
    <w:rsid w:val="0092082D"/>
    <w:rsid w:val="009208C9"/>
    <w:rsid w:val="009209DC"/>
    <w:rsid w:val="009209F5"/>
    <w:rsid w:val="00920A83"/>
    <w:rsid w:val="00920B13"/>
    <w:rsid w:val="00920CA6"/>
    <w:rsid w:val="00920DC2"/>
    <w:rsid w:val="009210F2"/>
    <w:rsid w:val="00921553"/>
    <w:rsid w:val="00921773"/>
    <w:rsid w:val="009219E6"/>
    <w:rsid w:val="00921FBB"/>
    <w:rsid w:val="00922263"/>
    <w:rsid w:val="009227FE"/>
    <w:rsid w:val="00923628"/>
    <w:rsid w:val="0092364F"/>
    <w:rsid w:val="009238D1"/>
    <w:rsid w:val="009238FB"/>
    <w:rsid w:val="009239CD"/>
    <w:rsid w:val="00923AD7"/>
    <w:rsid w:val="00923D1E"/>
    <w:rsid w:val="00923FE1"/>
    <w:rsid w:val="009242DD"/>
    <w:rsid w:val="0092438D"/>
    <w:rsid w:val="009245D7"/>
    <w:rsid w:val="00924675"/>
    <w:rsid w:val="00924795"/>
    <w:rsid w:val="00924B5C"/>
    <w:rsid w:val="00924BB5"/>
    <w:rsid w:val="00924D57"/>
    <w:rsid w:val="00924E1B"/>
    <w:rsid w:val="00924FAE"/>
    <w:rsid w:val="00925139"/>
    <w:rsid w:val="00925235"/>
    <w:rsid w:val="009253EA"/>
    <w:rsid w:val="009255CB"/>
    <w:rsid w:val="00925636"/>
    <w:rsid w:val="009259EC"/>
    <w:rsid w:val="00925B7C"/>
    <w:rsid w:val="0092607E"/>
    <w:rsid w:val="00926217"/>
    <w:rsid w:val="00926727"/>
    <w:rsid w:val="009269B0"/>
    <w:rsid w:val="00926B0D"/>
    <w:rsid w:val="00926B75"/>
    <w:rsid w:val="00926E27"/>
    <w:rsid w:val="009273C6"/>
    <w:rsid w:val="0092741C"/>
    <w:rsid w:val="00927603"/>
    <w:rsid w:val="009278E5"/>
    <w:rsid w:val="00927CFA"/>
    <w:rsid w:val="00927DE7"/>
    <w:rsid w:val="0093003D"/>
    <w:rsid w:val="009300C1"/>
    <w:rsid w:val="00930112"/>
    <w:rsid w:val="009302E4"/>
    <w:rsid w:val="009303C1"/>
    <w:rsid w:val="009304EE"/>
    <w:rsid w:val="009308E7"/>
    <w:rsid w:val="00930A53"/>
    <w:rsid w:val="00930A6A"/>
    <w:rsid w:val="00930C0F"/>
    <w:rsid w:val="00930D10"/>
    <w:rsid w:val="0093151B"/>
    <w:rsid w:val="009317E9"/>
    <w:rsid w:val="009317F4"/>
    <w:rsid w:val="009319E4"/>
    <w:rsid w:val="00931B6F"/>
    <w:rsid w:val="00931E8B"/>
    <w:rsid w:val="00931F0A"/>
    <w:rsid w:val="00931FC4"/>
    <w:rsid w:val="009320FA"/>
    <w:rsid w:val="0093213F"/>
    <w:rsid w:val="009321B1"/>
    <w:rsid w:val="009322AA"/>
    <w:rsid w:val="009322C8"/>
    <w:rsid w:val="00932475"/>
    <w:rsid w:val="009326B5"/>
    <w:rsid w:val="00932704"/>
    <w:rsid w:val="00932876"/>
    <w:rsid w:val="00932C01"/>
    <w:rsid w:val="00932E34"/>
    <w:rsid w:val="00932F1A"/>
    <w:rsid w:val="00933028"/>
    <w:rsid w:val="00933289"/>
    <w:rsid w:val="0093349E"/>
    <w:rsid w:val="0093350F"/>
    <w:rsid w:val="00933623"/>
    <w:rsid w:val="009338D0"/>
    <w:rsid w:val="0093399D"/>
    <w:rsid w:val="00933AD1"/>
    <w:rsid w:val="00933B47"/>
    <w:rsid w:val="00933D42"/>
    <w:rsid w:val="00933EC5"/>
    <w:rsid w:val="00933FFE"/>
    <w:rsid w:val="009340AF"/>
    <w:rsid w:val="00934207"/>
    <w:rsid w:val="0093461B"/>
    <w:rsid w:val="009346C0"/>
    <w:rsid w:val="00934B24"/>
    <w:rsid w:val="00934EA5"/>
    <w:rsid w:val="00935A14"/>
    <w:rsid w:val="00935B2C"/>
    <w:rsid w:val="00935F39"/>
    <w:rsid w:val="00936057"/>
    <w:rsid w:val="0093608D"/>
    <w:rsid w:val="00936098"/>
    <w:rsid w:val="00936326"/>
    <w:rsid w:val="009363E6"/>
    <w:rsid w:val="00936B0E"/>
    <w:rsid w:val="00936CE2"/>
    <w:rsid w:val="00936F48"/>
    <w:rsid w:val="00937430"/>
    <w:rsid w:val="009374C0"/>
    <w:rsid w:val="009375B9"/>
    <w:rsid w:val="00937610"/>
    <w:rsid w:val="009377FB"/>
    <w:rsid w:val="00937A2A"/>
    <w:rsid w:val="00937E2E"/>
    <w:rsid w:val="00937F5F"/>
    <w:rsid w:val="0094032D"/>
    <w:rsid w:val="00940676"/>
    <w:rsid w:val="0094070A"/>
    <w:rsid w:val="0094095B"/>
    <w:rsid w:val="00940D9C"/>
    <w:rsid w:val="00940F8C"/>
    <w:rsid w:val="00941218"/>
    <w:rsid w:val="00941E7B"/>
    <w:rsid w:val="00941F6F"/>
    <w:rsid w:val="009423AB"/>
    <w:rsid w:val="009424CA"/>
    <w:rsid w:val="00942749"/>
    <w:rsid w:val="00942826"/>
    <w:rsid w:val="009428A4"/>
    <w:rsid w:val="00942AFC"/>
    <w:rsid w:val="00942BCF"/>
    <w:rsid w:val="00943029"/>
    <w:rsid w:val="00943120"/>
    <w:rsid w:val="009433CA"/>
    <w:rsid w:val="009434D3"/>
    <w:rsid w:val="00943613"/>
    <w:rsid w:val="0094370F"/>
    <w:rsid w:val="00943854"/>
    <w:rsid w:val="00943BFB"/>
    <w:rsid w:val="00943DF6"/>
    <w:rsid w:val="00943FF8"/>
    <w:rsid w:val="00944038"/>
    <w:rsid w:val="009440C4"/>
    <w:rsid w:val="0094446A"/>
    <w:rsid w:val="0094473F"/>
    <w:rsid w:val="00944811"/>
    <w:rsid w:val="00944E5A"/>
    <w:rsid w:val="00944FF9"/>
    <w:rsid w:val="00945011"/>
    <w:rsid w:val="009450CC"/>
    <w:rsid w:val="00945130"/>
    <w:rsid w:val="009454D2"/>
    <w:rsid w:val="00945501"/>
    <w:rsid w:val="009456CD"/>
    <w:rsid w:val="009458C1"/>
    <w:rsid w:val="0094598E"/>
    <w:rsid w:val="00945B12"/>
    <w:rsid w:val="009461C4"/>
    <w:rsid w:val="00946213"/>
    <w:rsid w:val="00946214"/>
    <w:rsid w:val="0094656C"/>
    <w:rsid w:val="0094662E"/>
    <w:rsid w:val="00946856"/>
    <w:rsid w:val="0094689A"/>
    <w:rsid w:val="009469FE"/>
    <w:rsid w:val="0094702D"/>
    <w:rsid w:val="00947360"/>
    <w:rsid w:val="009473BD"/>
    <w:rsid w:val="009473C3"/>
    <w:rsid w:val="009474D0"/>
    <w:rsid w:val="00947632"/>
    <w:rsid w:val="0094776D"/>
    <w:rsid w:val="009477C3"/>
    <w:rsid w:val="009478F5"/>
    <w:rsid w:val="00947A69"/>
    <w:rsid w:val="00947BED"/>
    <w:rsid w:val="00947C39"/>
    <w:rsid w:val="00947E05"/>
    <w:rsid w:val="0095014A"/>
    <w:rsid w:val="00950310"/>
    <w:rsid w:val="009505AB"/>
    <w:rsid w:val="009507D6"/>
    <w:rsid w:val="00950A8E"/>
    <w:rsid w:val="00950D5E"/>
    <w:rsid w:val="00950EC5"/>
    <w:rsid w:val="009510E3"/>
    <w:rsid w:val="00951141"/>
    <w:rsid w:val="009511C8"/>
    <w:rsid w:val="009515B5"/>
    <w:rsid w:val="00951C14"/>
    <w:rsid w:val="009521A5"/>
    <w:rsid w:val="009526D5"/>
    <w:rsid w:val="00952821"/>
    <w:rsid w:val="009536FD"/>
    <w:rsid w:val="00953789"/>
    <w:rsid w:val="00953824"/>
    <w:rsid w:val="00953A05"/>
    <w:rsid w:val="00953A9C"/>
    <w:rsid w:val="00953EF5"/>
    <w:rsid w:val="00954021"/>
    <w:rsid w:val="009541A7"/>
    <w:rsid w:val="009543F6"/>
    <w:rsid w:val="0095442D"/>
    <w:rsid w:val="0095492C"/>
    <w:rsid w:val="00954AD7"/>
    <w:rsid w:val="00954C52"/>
    <w:rsid w:val="00954DDC"/>
    <w:rsid w:val="00954F2E"/>
    <w:rsid w:val="00954FF2"/>
    <w:rsid w:val="0095559B"/>
    <w:rsid w:val="009555B5"/>
    <w:rsid w:val="00955DA0"/>
    <w:rsid w:val="00955E96"/>
    <w:rsid w:val="00956BA2"/>
    <w:rsid w:val="00956D7A"/>
    <w:rsid w:val="0095706A"/>
    <w:rsid w:val="0095738A"/>
    <w:rsid w:val="00957895"/>
    <w:rsid w:val="00957BDD"/>
    <w:rsid w:val="00957D52"/>
    <w:rsid w:val="00957F3C"/>
    <w:rsid w:val="00960029"/>
    <w:rsid w:val="00960372"/>
    <w:rsid w:val="0096043C"/>
    <w:rsid w:val="00960761"/>
    <w:rsid w:val="009607F3"/>
    <w:rsid w:val="00960AA4"/>
    <w:rsid w:val="00960B92"/>
    <w:rsid w:val="00960DE1"/>
    <w:rsid w:val="009613BF"/>
    <w:rsid w:val="0096141D"/>
    <w:rsid w:val="00961585"/>
    <w:rsid w:val="00961901"/>
    <w:rsid w:val="00961A4D"/>
    <w:rsid w:val="00961B10"/>
    <w:rsid w:val="00961DA2"/>
    <w:rsid w:val="00961DF0"/>
    <w:rsid w:val="00961EE4"/>
    <w:rsid w:val="00962240"/>
    <w:rsid w:val="00962B70"/>
    <w:rsid w:val="00962E1C"/>
    <w:rsid w:val="00962ED9"/>
    <w:rsid w:val="00963195"/>
    <w:rsid w:val="009632DD"/>
    <w:rsid w:val="00963527"/>
    <w:rsid w:val="00963A7D"/>
    <w:rsid w:val="00963C96"/>
    <w:rsid w:val="00963E69"/>
    <w:rsid w:val="00963FFB"/>
    <w:rsid w:val="00964232"/>
    <w:rsid w:val="009642A4"/>
    <w:rsid w:val="00964370"/>
    <w:rsid w:val="0096445C"/>
    <w:rsid w:val="0096446D"/>
    <w:rsid w:val="00964523"/>
    <w:rsid w:val="00964586"/>
    <w:rsid w:val="00964681"/>
    <w:rsid w:val="009646B6"/>
    <w:rsid w:val="009646BA"/>
    <w:rsid w:val="009646ED"/>
    <w:rsid w:val="00964A0F"/>
    <w:rsid w:val="00964A48"/>
    <w:rsid w:val="00964B2F"/>
    <w:rsid w:val="0096509D"/>
    <w:rsid w:val="0096546F"/>
    <w:rsid w:val="00965A63"/>
    <w:rsid w:val="00965A8A"/>
    <w:rsid w:val="00965C87"/>
    <w:rsid w:val="00965D69"/>
    <w:rsid w:val="00965F12"/>
    <w:rsid w:val="00965F1E"/>
    <w:rsid w:val="00966018"/>
    <w:rsid w:val="009663FB"/>
    <w:rsid w:val="009664BE"/>
    <w:rsid w:val="00966641"/>
    <w:rsid w:val="00966722"/>
    <w:rsid w:val="009667CE"/>
    <w:rsid w:val="009670EE"/>
    <w:rsid w:val="009670FF"/>
    <w:rsid w:val="009672DB"/>
    <w:rsid w:val="00967538"/>
    <w:rsid w:val="009675EA"/>
    <w:rsid w:val="009676D9"/>
    <w:rsid w:val="00967A5B"/>
    <w:rsid w:val="00967CB2"/>
    <w:rsid w:val="00967F75"/>
    <w:rsid w:val="00967FB9"/>
    <w:rsid w:val="00967FC3"/>
    <w:rsid w:val="00970020"/>
    <w:rsid w:val="0097002E"/>
    <w:rsid w:val="0097005C"/>
    <w:rsid w:val="00970193"/>
    <w:rsid w:val="009702F9"/>
    <w:rsid w:val="009703AE"/>
    <w:rsid w:val="009704BF"/>
    <w:rsid w:val="00970713"/>
    <w:rsid w:val="009707BA"/>
    <w:rsid w:val="009708BF"/>
    <w:rsid w:val="009708E2"/>
    <w:rsid w:val="00970901"/>
    <w:rsid w:val="00970939"/>
    <w:rsid w:val="00970B4A"/>
    <w:rsid w:val="00970C7D"/>
    <w:rsid w:val="00970CA6"/>
    <w:rsid w:val="00970F7E"/>
    <w:rsid w:val="0097131C"/>
    <w:rsid w:val="009715DC"/>
    <w:rsid w:val="00971980"/>
    <w:rsid w:val="00971D08"/>
    <w:rsid w:val="00971EB8"/>
    <w:rsid w:val="00971F4A"/>
    <w:rsid w:val="00972181"/>
    <w:rsid w:val="0097237B"/>
    <w:rsid w:val="00972428"/>
    <w:rsid w:val="00972453"/>
    <w:rsid w:val="009724A1"/>
    <w:rsid w:val="0097255B"/>
    <w:rsid w:val="00972662"/>
    <w:rsid w:val="0097282F"/>
    <w:rsid w:val="00972B47"/>
    <w:rsid w:val="00972F4E"/>
    <w:rsid w:val="00973008"/>
    <w:rsid w:val="0097337D"/>
    <w:rsid w:val="009734C7"/>
    <w:rsid w:val="009734D2"/>
    <w:rsid w:val="00973586"/>
    <w:rsid w:val="009736A9"/>
    <w:rsid w:val="009736EC"/>
    <w:rsid w:val="00973926"/>
    <w:rsid w:val="00973A10"/>
    <w:rsid w:val="009741B2"/>
    <w:rsid w:val="009742E8"/>
    <w:rsid w:val="00974424"/>
    <w:rsid w:val="009744BC"/>
    <w:rsid w:val="00974AFA"/>
    <w:rsid w:val="00974F1C"/>
    <w:rsid w:val="0097553C"/>
    <w:rsid w:val="00975A84"/>
    <w:rsid w:val="00975B8A"/>
    <w:rsid w:val="00975C97"/>
    <w:rsid w:val="00975FDA"/>
    <w:rsid w:val="009760CD"/>
    <w:rsid w:val="0097613A"/>
    <w:rsid w:val="009761A3"/>
    <w:rsid w:val="009761D5"/>
    <w:rsid w:val="00976439"/>
    <w:rsid w:val="0097669F"/>
    <w:rsid w:val="0097683C"/>
    <w:rsid w:val="0097688D"/>
    <w:rsid w:val="00976C51"/>
    <w:rsid w:val="00976CD4"/>
    <w:rsid w:val="00976F5E"/>
    <w:rsid w:val="00977015"/>
    <w:rsid w:val="009770E3"/>
    <w:rsid w:val="00977128"/>
    <w:rsid w:val="00977252"/>
    <w:rsid w:val="0097741D"/>
    <w:rsid w:val="009778A4"/>
    <w:rsid w:val="00977AB1"/>
    <w:rsid w:val="00977B48"/>
    <w:rsid w:val="00977C96"/>
    <w:rsid w:val="00977F5F"/>
    <w:rsid w:val="0098006A"/>
    <w:rsid w:val="009801AB"/>
    <w:rsid w:val="00980513"/>
    <w:rsid w:val="00980580"/>
    <w:rsid w:val="009805A3"/>
    <w:rsid w:val="00980614"/>
    <w:rsid w:val="00980852"/>
    <w:rsid w:val="00980BED"/>
    <w:rsid w:val="00980CF7"/>
    <w:rsid w:val="00980F6B"/>
    <w:rsid w:val="00981142"/>
    <w:rsid w:val="00981210"/>
    <w:rsid w:val="00981380"/>
    <w:rsid w:val="00981690"/>
    <w:rsid w:val="00981762"/>
    <w:rsid w:val="009819D6"/>
    <w:rsid w:val="00981E39"/>
    <w:rsid w:val="00981FE3"/>
    <w:rsid w:val="009828F3"/>
    <w:rsid w:val="00982A00"/>
    <w:rsid w:val="00982BB8"/>
    <w:rsid w:val="00982EB1"/>
    <w:rsid w:val="00982F2B"/>
    <w:rsid w:val="0098336D"/>
    <w:rsid w:val="00983546"/>
    <w:rsid w:val="0098355C"/>
    <w:rsid w:val="00983986"/>
    <w:rsid w:val="00983A89"/>
    <w:rsid w:val="00983CF1"/>
    <w:rsid w:val="00983DDE"/>
    <w:rsid w:val="009840E8"/>
    <w:rsid w:val="00984308"/>
    <w:rsid w:val="00984632"/>
    <w:rsid w:val="00984A30"/>
    <w:rsid w:val="00985114"/>
    <w:rsid w:val="0098527A"/>
    <w:rsid w:val="009855BB"/>
    <w:rsid w:val="0098576A"/>
    <w:rsid w:val="009859E9"/>
    <w:rsid w:val="00985A7B"/>
    <w:rsid w:val="00985C94"/>
    <w:rsid w:val="00986173"/>
    <w:rsid w:val="009863BB"/>
    <w:rsid w:val="009863E7"/>
    <w:rsid w:val="009864B2"/>
    <w:rsid w:val="0098680D"/>
    <w:rsid w:val="00986C9B"/>
    <w:rsid w:val="00986E9C"/>
    <w:rsid w:val="009873D2"/>
    <w:rsid w:val="0098760D"/>
    <w:rsid w:val="009876A0"/>
    <w:rsid w:val="009877CC"/>
    <w:rsid w:val="00987CE0"/>
    <w:rsid w:val="00987E7A"/>
    <w:rsid w:val="00987F12"/>
    <w:rsid w:val="00990025"/>
    <w:rsid w:val="009900D2"/>
    <w:rsid w:val="0099019A"/>
    <w:rsid w:val="00990205"/>
    <w:rsid w:val="00990660"/>
    <w:rsid w:val="0099086E"/>
    <w:rsid w:val="009909AE"/>
    <w:rsid w:val="00990B86"/>
    <w:rsid w:val="00990BF6"/>
    <w:rsid w:val="00990DFC"/>
    <w:rsid w:val="00990FF0"/>
    <w:rsid w:val="009911B2"/>
    <w:rsid w:val="0099129C"/>
    <w:rsid w:val="009912F3"/>
    <w:rsid w:val="009914F3"/>
    <w:rsid w:val="009917CB"/>
    <w:rsid w:val="0099190F"/>
    <w:rsid w:val="00991DD8"/>
    <w:rsid w:val="00991E57"/>
    <w:rsid w:val="00991EC1"/>
    <w:rsid w:val="00991EDB"/>
    <w:rsid w:val="00992397"/>
    <w:rsid w:val="0099276C"/>
    <w:rsid w:val="00992A70"/>
    <w:rsid w:val="0099315D"/>
    <w:rsid w:val="009937A7"/>
    <w:rsid w:val="00993A4D"/>
    <w:rsid w:val="0099418D"/>
    <w:rsid w:val="00994415"/>
    <w:rsid w:val="00994557"/>
    <w:rsid w:val="00994650"/>
    <w:rsid w:val="0099481B"/>
    <w:rsid w:val="00994851"/>
    <w:rsid w:val="00994BAF"/>
    <w:rsid w:val="00994CC1"/>
    <w:rsid w:val="00994DAD"/>
    <w:rsid w:val="00994DE4"/>
    <w:rsid w:val="0099506D"/>
    <w:rsid w:val="009951FE"/>
    <w:rsid w:val="0099524A"/>
    <w:rsid w:val="009952F0"/>
    <w:rsid w:val="00995589"/>
    <w:rsid w:val="0099585F"/>
    <w:rsid w:val="00995B2E"/>
    <w:rsid w:val="00995DAD"/>
    <w:rsid w:val="00995E2A"/>
    <w:rsid w:val="00995F11"/>
    <w:rsid w:val="00995FAE"/>
    <w:rsid w:val="00995FE7"/>
    <w:rsid w:val="0099608C"/>
    <w:rsid w:val="009961A5"/>
    <w:rsid w:val="00996377"/>
    <w:rsid w:val="009965DA"/>
    <w:rsid w:val="0099668A"/>
    <w:rsid w:val="00996F77"/>
    <w:rsid w:val="00996F9E"/>
    <w:rsid w:val="009971EC"/>
    <w:rsid w:val="009974A2"/>
    <w:rsid w:val="00997B02"/>
    <w:rsid w:val="00997C9D"/>
    <w:rsid w:val="00997FB9"/>
    <w:rsid w:val="009A004A"/>
    <w:rsid w:val="009A03BA"/>
    <w:rsid w:val="009A0456"/>
    <w:rsid w:val="009A0660"/>
    <w:rsid w:val="009A0756"/>
    <w:rsid w:val="009A076E"/>
    <w:rsid w:val="009A0B0E"/>
    <w:rsid w:val="009A0B8A"/>
    <w:rsid w:val="009A0DAB"/>
    <w:rsid w:val="009A0DC4"/>
    <w:rsid w:val="009A0FEE"/>
    <w:rsid w:val="009A119D"/>
    <w:rsid w:val="009A1324"/>
    <w:rsid w:val="009A1784"/>
    <w:rsid w:val="009A1BA3"/>
    <w:rsid w:val="009A20EB"/>
    <w:rsid w:val="009A214A"/>
    <w:rsid w:val="009A240C"/>
    <w:rsid w:val="009A2594"/>
    <w:rsid w:val="009A2A19"/>
    <w:rsid w:val="009A2C41"/>
    <w:rsid w:val="009A2D3B"/>
    <w:rsid w:val="009A308A"/>
    <w:rsid w:val="009A30C0"/>
    <w:rsid w:val="009A3287"/>
    <w:rsid w:val="009A368F"/>
    <w:rsid w:val="009A38F9"/>
    <w:rsid w:val="009A3AF4"/>
    <w:rsid w:val="009A3E4E"/>
    <w:rsid w:val="009A3FBC"/>
    <w:rsid w:val="009A446E"/>
    <w:rsid w:val="009A4563"/>
    <w:rsid w:val="009A46FC"/>
    <w:rsid w:val="009A4956"/>
    <w:rsid w:val="009A4961"/>
    <w:rsid w:val="009A4AE1"/>
    <w:rsid w:val="009A4B8F"/>
    <w:rsid w:val="009A4D83"/>
    <w:rsid w:val="009A4E88"/>
    <w:rsid w:val="009A515F"/>
    <w:rsid w:val="009A53ED"/>
    <w:rsid w:val="009A5875"/>
    <w:rsid w:val="009A58D4"/>
    <w:rsid w:val="009A597C"/>
    <w:rsid w:val="009A5B75"/>
    <w:rsid w:val="009A6187"/>
    <w:rsid w:val="009A6642"/>
    <w:rsid w:val="009A6820"/>
    <w:rsid w:val="009A68C6"/>
    <w:rsid w:val="009A6FAD"/>
    <w:rsid w:val="009A709F"/>
    <w:rsid w:val="009A754B"/>
    <w:rsid w:val="009A75CA"/>
    <w:rsid w:val="009A7ABC"/>
    <w:rsid w:val="009A7BF0"/>
    <w:rsid w:val="009A7DAB"/>
    <w:rsid w:val="009B0061"/>
    <w:rsid w:val="009B0D7A"/>
    <w:rsid w:val="009B11A3"/>
    <w:rsid w:val="009B1468"/>
    <w:rsid w:val="009B173B"/>
    <w:rsid w:val="009B17F5"/>
    <w:rsid w:val="009B1BC9"/>
    <w:rsid w:val="009B1C13"/>
    <w:rsid w:val="009B1D9B"/>
    <w:rsid w:val="009B1E6A"/>
    <w:rsid w:val="009B24D2"/>
    <w:rsid w:val="009B27A7"/>
    <w:rsid w:val="009B2987"/>
    <w:rsid w:val="009B2A9D"/>
    <w:rsid w:val="009B2F20"/>
    <w:rsid w:val="009B303A"/>
    <w:rsid w:val="009B30FB"/>
    <w:rsid w:val="009B315D"/>
    <w:rsid w:val="009B3194"/>
    <w:rsid w:val="009B321F"/>
    <w:rsid w:val="009B32FD"/>
    <w:rsid w:val="009B338B"/>
    <w:rsid w:val="009B34C4"/>
    <w:rsid w:val="009B3577"/>
    <w:rsid w:val="009B3701"/>
    <w:rsid w:val="009B3772"/>
    <w:rsid w:val="009B39D8"/>
    <w:rsid w:val="009B3D0A"/>
    <w:rsid w:val="009B40A8"/>
    <w:rsid w:val="009B446E"/>
    <w:rsid w:val="009B4598"/>
    <w:rsid w:val="009B46ED"/>
    <w:rsid w:val="009B4A10"/>
    <w:rsid w:val="009B4E17"/>
    <w:rsid w:val="009B506F"/>
    <w:rsid w:val="009B50F4"/>
    <w:rsid w:val="009B51F3"/>
    <w:rsid w:val="009B5226"/>
    <w:rsid w:val="009B5625"/>
    <w:rsid w:val="009B573E"/>
    <w:rsid w:val="009B575B"/>
    <w:rsid w:val="009B5772"/>
    <w:rsid w:val="009B57F8"/>
    <w:rsid w:val="009B5835"/>
    <w:rsid w:val="009B5889"/>
    <w:rsid w:val="009B5933"/>
    <w:rsid w:val="009B5B26"/>
    <w:rsid w:val="009B5F38"/>
    <w:rsid w:val="009B609A"/>
    <w:rsid w:val="009B6188"/>
    <w:rsid w:val="009B6B95"/>
    <w:rsid w:val="009B6CB3"/>
    <w:rsid w:val="009B7239"/>
    <w:rsid w:val="009B7326"/>
    <w:rsid w:val="009B75AC"/>
    <w:rsid w:val="009B76AA"/>
    <w:rsid w:val="009B7AA2"/>
    <w:rsid w:val="009B7CFD"/>
    <w:rsid w:val="009B7EB5"/>
    <w:rsid w:val="009B7F31"/>
    <w:rsid w:val="009B7FA7"/>
    <w:rsid w:val="009C00FD"/>
    <w:rsid w:val="009C0156"/>
    <w:rsid w:val="009C01A7"/>
    <w:rsid w:val="009C0359"/>
    <w:rsid w:val="009C0390"/>
    <w:rsid w:val="009C07DE"/>
    <w:rsid w:val="009C0DAA"/>
    <w:rsid w:val="009C0E97"/>
    <w:rsid w:val="009C0FD1"/>
    <w:rsid w:val="009C175C"/>
    <w:rsid w:val="009C17DF"/>
    <w:rsid w:val="009C18C0"/>
    <w:rsid w:val="009C1995"/>
    <w:rsid w:val="009C1C00"/>
    <w:rsid w:val="009C1D32"/>
    <w:rsid w:val="009C258B"/>
    <w:rsid w:val="009C2615"/>
    <w:rsid w:val="009C28E6"/>
    <w:rsid w:val="009C299F"/>
    <w:rsid w:val="009C2A6D"/>
    <w:rsid w:val="009C2E1D"/>
    <w:rsid w:val="009C30D9"/>
    <w:rsid w:val="009C327D"/>
    <w:rsid w:val="009C32AC"/>
    <w:rsid w:val="009C36CD"/>
    <w:rsid w:val="009C396C"/>
    <w:rsid w:val="009C3D0F"/>
    <w:rsid w:val="009C3D46"/>
    <w:rsid w:val="009C46A2"/>
    <w:rsid w:val="009C4B97"/>
    <w:rsid w:val="009C4CD1"/>
    <w:rsid w:val="009C4E5D"/>
    <w:rsid w:val="009C5370"/>
    <w:rsid w:val="009C546C"/>
    <w:rsid w:val="009C564A"/>
    <w:rsid w:val="009C5662"/>
    <w:rsid w:val="009C576C"/>
    <w:rsid w:val="009C576E"/>
    <w:rsid w:val="009C5B3D"/>
    <w:rsid w:val="009C5DE7"/>
    <w:rsid w:val="009C5F1B"/>
    <w:rsid w:val="009C5F45"/>
    <w:rsid w:val="009C6174"/>
    <w:rsid w:val="009C642A"/>
    <w:rsid w:val="009C66BB"/>
    <w:rsid w:val="009C6772"/>
    <w:rsid w:val="009C75A8"/>
    <w:rsid w:val="009C7884"/>
    <w:rsid w:val="009C78E1"/>
    <w:rsid w:val="009C78F2"/>
    <w:rsid w:val="009C796C"/>
    <w:rsid w:val="009C79D5"/>
    <w:rsid w:val="009C7EA3"/>
    <w:rsid w:val="009D00D1"/>
    <w:rsid w:val="009D019A"/>
    <w:rsid w:val="009D0849"/>
    <w:rsid w:val="009D08CB"/>
    <w:rsid w:val="009D09AD"/>
    <w:rsid w:val="009D0E16"/>
    <w:rsid w:val="009D10F7"/>
    <w:rsid w:val="009D117E"/>
    <w:rsid w:val="009D1235"/>
    <w:rsid w:val="009D1277"/>
    <w:rsid w:val="009D16D4"/>
    <w:rsid w:val="009D18D1"/>
    <w:rsid w:val="009D1B17"/>
    <w:rsid w:val="009D20E5"/>
    <w:rsid w:val="009D220E"/>
    <w:rsid w:val="009D2418"/>
    <w:rsid w:val="009D25FF"/>
    <w:rsid w:val="009D290F"/>
    <w:rsid w:val="009D2969"/>
    <w:rsid w:val="009D2BAA"/>
    <w:rsid w:val="009D2BB7"/>
    <w:rsid w:val="009D2BE6"/>
    <w:rsid w:val="009D3346"/>
    <w:rsid w:val="009D33CC"/>
    <w:rsid w:val="009D3688"/>
    <w:rsid w:val="009D374E"/>
    <w:rsid w:val="009D397B"/>
    <w:rsid w:val="009D3B07"/>
    <w:rsid w:val="009D3D1E"/>
    <w:rsid w:val="009D3E28"/>
    <w:rsid w:val="009D45B9"/>
    <w:rsid w:val="009D4755"/>
    <w:rsid w:val="009D4953"/>
    <w:rsid w:val="009D496F"/>
    <w:rsid w:val="009D4B4E"/>
    <w:rsid w:val="009D4EE3"/>
    <w:rsid w:val="009D58B0"/>
    <w:rsid w:val="009D59C0"/>
    <w:rsid w:val="009D5AB8"/>
    <w:rsid w:val="009D5CB0"/>
    <w:rsid w:val="009D5D94"/>
    <w:rsid w:val="009D5EB3"/>
    <w:rsid w:val="009D66D0"/>
    <w:rsid w:val="009D6DC1"/>
    <w:rsid w:val="009D6F40"/>
    <w:rsid w:val="009D7156"/>
    <w:rsid w:val="009D7165"/>
    <w:rsid w:val="009D7495"/>
    <w:rsid w:val="009D77ED"/>
    <w:rsid w:val="009D7C84"/>
    <w:rsid w:val="009D7DB2"/>
    <w:rsid w:val="009D7EBA"/>
    <w:rsid w:val="009E00A3"/>
    <w:rsid w:val="009E02C9"/>
    <w:rsid w:val="009E047E"/>
    <w:rsid w:val="009E1078"/>
    <w:rsid w:val="009E1197"/>
    <w:rsid w:val="009E1232"/>
    <w:rsid w:val="009E1385"/>
    <w:rsid w:val="009E14F3"/>
    <w:rsid w:val="009E1BEB"/>
    <w:rsid w:val="009E1C4F"/>
    <w:rsid w:val="009E1F10"/>
    <w:rsid w:val="009E2019"/>
    <w:rsid w:val="009E20FF"/>
    <w:rsid w:val="009E22A6"/>
    <w:rsid w:val="009E23F1"/>
    <w:rsid w:val="009E24B3"/>
    <w:rsid w:val="009E27D4"/>
    <w:rsid w:val="009E2E30"/>
    <w:rsid w:val="009E2EAA"/>
    <w:rsid w:val="009E2F15"/>
    <w:rsid w:val="009E317E"/>
    <w:rsid w:val="009E3723"/>
    <w:rsid w:val="009E3B82"/>
    <w:rsid w:val="009E3D7A"/>
    <w:rsid w:val="009E42DF"/>
    <w:rsid w:val="009E4482"/>
    <w:rsid w:val="009E4660"/>
    <w:rsid w:val="009E4A91"/>
    <w:rsid w:val="009E4B81"/>
    <w:rsid w:val="009E4CCD"/>
    <w:rsid w:val="009E53DD"/>
    <w:rsid w:val="009E5909"/>
    <w:rsid w:val="009E5B31"/>
    <w:rsid w:val="009E5CE5"/>
    <w:rsid w:val="009E5ECF"/>
    <w:rsid w:val="009E5F6D"/>
    <w:rsid w:val="009E5FF5"/>
    <w:rsid w:val="009E602B"/>
    <w:rsid w:val="009E632D"/>
    <w:rsid w:val="009E6379"/>
    <w:rsid w:val="009E64D1"/>
    <w:rsid w:val="009E6588"/>
    <w:rsid w:val="009E6F1D"/>
    <w:rsid w:val="009E6FDF"/>
    <w:rsid w:val="009E709F"/>
    <w:rsid w:val="009E729A"/>
    <w:rsid w:val="009E7723"/>
    <w:rsid w:val="009E79CB"/>
    <w:rsid w:val="009E7C23"/>
    <w:rsid w:val="009E7C37"/>
    <w:rsid w:val="009E7C88"/>
    <w:rsid w:val="009E7CEE"/>
    <w:rsid w:val="009E7E7B"/>
    <w:rsid w:val="009E7FCB"/>
    <w:rsid w:val="009F01EE"/>
    <w:rsid w:val="009F0226"/>
    <w:rsid w:val="009F05DB"/>
    <w:rsid w:val="009F063F"/>
    <w:rsid w:val="009F082C"/>
    <w:rsid w:val="009F0936"/>
    <w:rsid w:val="009F09DB"/>
    <w:rsid w:val="009F0D20"/>
    <w:rsid w:val="009F141A"/>
    <w:rsid w:val="009F141D"/>
    <w:rsid w:val="009F1672"/>
    <w:rsid w:val="009F1983"/>
    <w:rsid w:val="009F1BD0"/>
    <w:rsid w:val="009F2078"/>
    <w:rsid w:val="009F273F"/>
    <w:rsid w:val="009F2B4F"/>
    <w:rsid w:val="009F2D65"/>
    <w:rsid w:val="009F2F64"/>
    <w:rsid w:val="009F3060"/>
    <w:rsid w:val="009F3412"/>
    <w:rsid w:val="009F3803"/>
    <w:rsid w:val="009F3D5A"/>
    <w:rsid w:val="009F3F9E"/>
    <w:rsid w:val="009F41AB"/>
    <w:rsid w:val="009F41B5"/>
    <w:rsid w:val="009F4473"/>
    <w:rsid w:val="009F48BA"/>
    <w:rsid w:val="009F4BA0"/>
    <w:rsid w:val="009F4C34"/>
    <w:rsid w:val="009F4D02"/>
    <w:rsid w:val="009F5390"/>
    <w:rsid w:val="009F5552"/>
    <w:rsid w:val="009F57A9"/>
    <w:rsid w:val="009F58BE"/>
    <w:rsid w:val="009F611F"/>
    <w:rsid w:val="009F61A9"/>
    <w:rsid w:val="009F64FB"/>
    <w:rsid w:val="009F66F6"/>
    <w:rsid w:val="009F6AB8"/>
    <w:rsid w:val="009F6CEF"/>
    <w:rsid w:val="009F6D4B"/>
    <w:rsid w:val="009F6F5A"/>
    <w:rsid w:val="009F6F60"/>
    <w:rsid w:val="009F6FFF"/>
    <w:rsid w:val="009F708A"/>
    <w:rsid w:val="009F7126"/>
    <w:rsid w:val="009F764A"/>
    <w:rsid w:val="009F7DA2"/>
    <w:rsid w:val="009F7E1A"/>
    <w:rsid w:val="009F7F9A"/>
    <w:rsid w:val="00A0008F"/>
    <w:rsid w:val="00A00322"/>
    <w:rsid w:val="00A00507"/>
    <w:rsid w:val="00A0083E"/>
    <w:rsid w:val="00A00932"/>
    <w:rsid w:val="00A00B10"/>
    <w:rsid w:val="00A00B8F"/>
    <w:rsid w:val="00A00BCD"/>
    <w:rsid w:val="00A00C68"/>
    <w:rsid w:val="00A00CC9"/>
    <w:rsid w:val="00A00FE7"/>
    <w:rsid w:val="00A0128C"/>
    <w:rsid w:val="00A0138E"/>
    <w:rsid w:val="00A0141A"/>
    <w:rsid w:val="00A0150D"/>
    <w:rsid w:val="00A017EB"/>
    <w:rsid w:val="00A018BC"/>
    <w:rsid w:val="00A01B69"/>
    <w:rsid w:val="00A01BD3"/>
    <w:rsid w:val="00A01D0D"/>
    <w:rsid w:val="00A01D45"/>
    <w:rsid w:val="00A01D5B"/>
    <w:rsid w:val="00A021FB"/>
    <w:rsid w:val="00A022D1"/>
    <w:rsid w:val="00A022F2"/>
    <w:rsid w:val="00A0241D"/>
    <w:rsid w:val="00A02483"/>
    <w:rsid w:val="00A02552"/>
    <w:rsid w:val="00A029A0"/>
    <w:rsid w:val="00A02D29"/>
    <w:rsid w:val="00A02E05"/>
    <w:rsid w:val="00A02EF9"/>
    <w:rsid w:val="00A031A1"/>
    <w:rsid w:val="00A033C3"/>
    <w:rsid w:val="00A03441"/>
    <w:rsid w:val="00A034DD"/>
    <w:rsid w:val="00A03766"/>
    <w:rsid w:val="00A03BD7"/>
    <w:rsid w:val="00A03E53"/>
    <w:rsid w:val="00A03F0D"/>
    <w:rsid w:val="00A03FF1"/>
    <w:rsid w:val="00A048C6"/>
    <w:rsid w:val="00A04AB3"/>
    <w:rsid w:val="00A04F4F"/>
    <w:rsid w:val="00A04FAF"/>
    <w:rsid w:val="00A0522D"/>
    <w:rsid w:val="00A05436"/>
    <w:rsid w:val="00A0552B"/>
    <w:rsid w:val="00A055CC"/>
    <w:rsid w:val="00A05623"/>
    <w:rsid w:val="00A05729"/>
    <w:rsid w:val="00A05733"/>
    <w:rsid w:val="00A057B6"/>
    <w:rsid w:val="00A05975"/>
    <w:rsid w:val="00A059ED"/>
    <w:rsid w:val="00A05A66"/>
    <w:rsid w:val="00A05CD8"/>
    <w:rsid w:val="00A05FF9"/>
    <w:rsid w:val="00A0615D"/>
    <w:rsid w:val="00A061A5"/>
    <w:rsid w:val="00A0661B"/>
    <w:rsid w:val="00A06930"/>
    <w:rsid w:val="00A06C5C"/>
    <w:rsid w:val="00A06D73"/>
    <w:rsid w:val="00A06EC1"/>
    <w:rsid w:val="00A06F74"/>
    <w:rsid w:val="00A06F83"/>
    <w:rsid w:val="00A0716B"/>
    <w:rsid w:val="00A07351"/>
    <w:rsid w:val="00A0736E"/>
    <w:rsid w:val="00A073E2"/>
    <w:rsid w:val="00A07483"/>
    <w:rsid w:val="00A074CC"/>
    <w:rsid w:val="00A07521"/>
    <w:rsid w:val="00A075E3"/>
    <w:rsid w:val="00A07924"/>
    <w:rsid w:val="00A079B2"/>
    <w:rsid w:val="00A07A91"/>
    <w:rsid w:val="00A07B68"/>
    <w:rsid w:val="00A07C00"/>
    <w:rsid w:val="00A07E98"/>
    <w:rsid w:val="00A10230"/>
    <w:rsid w:val="00A10243"/>
    <w:rsid w:val="00A10635"/>
    <w:rsid w:val="00A10847"/>
    <w:rsid w:val="00A10F22"/>
    <w:rsid w:val="00A110A7"/>
    <w:rsid w:val="00A1128B"/>
    <w:rsid w:val="00A11291"/>
    <w:rsid w:val="00A11A93"/>
    <w:rsid w:val="00A11D70"/>
    <w:rsid w:val="00A120D1"/>
    <w:rsid w:val="00A121D9"/>
    <w:rsid w:val="00A12541"/>
    <w:rsid w:val="00A12BB5"/>
    <w:rsid w:val="00A12F95"/>
    <w:rsid w:val="00A130D0"/>
    <w:rsid w:val="00A134F6"/>
    <w:rsid w:val="00A1355E"/>
    <w:rsid w:val="00A135B3"/>
    <w:rsid w:val="00A137D7"/>
    <w:rsid w:val="00A137FF"/>
    <w:rsid w:val="00A139FC"/>
    <w:rsid w:val="00A13D42"/>
    <w:rsid w:val="00A13E3E"/>
    <w:rsid w:val="00A13E88"/>
    <w:rsid w:val="00A14230"/>
    <w:rsid w:val="00A142A0"/>
    <w:rsid w:val="00A142DE"/>
    <w:rsid w:val="00A1459A"/>
    <w:rsid w:val="00A14923"/>
    <w:rsid w:val="00A14B81"/>
    <w:rsid w:val="00A14E0B"/>
    <w:rsid w:val="00A14E42"/>
    <w:rsid w:val="00A150A0"/>
    <w:rsid w:val="00A15592"/>
    <w:rsid w:val="00A15B5F"/>
    <w:rsid w:val="00A15F47"/>
    <w:rsid w:val="00A160DB"/>
    <w:rsid w:val="00A169C5"/>
    <w:rsid w:val="00A16A9B"/>
    <w:rsid w:val="00A174E9"/>
    <w:rsid w:val="00A17672"/>
    <w:rsid w:val="00A1791B"/>
    <w:rsid w:val="00A17C82"/>
    <w:rsid w:val="00A17D39"/>
    <w:rsid w:val="00A17EF6"/>
    <w:rsid w:val="00A20355"/>
    <w:rsid w:val="00A208FC"/>
    <w:rsid w:val="00A20A61"/>
    <w:rsid w:val="00A20ACB"/>
    <w:rsid w:val="00A20C86"/>
    <w:rsid w:val="00A20D21"/>
    <w:rsid w:val="00A20ECE"/>
    <w:rsid w:val="00A21AE2"/>
    <w:rsid w:val="00A21E73"/>
    <w:rsid w:val="00A22064"/>
    <w:rsid w:val="00A222C8"/>
    <w:rsid w:val="00A2265A"/>
    <w:rsid w:val="00A22783"/>
    <w:rsid w:val="00A228B3"/>
    <w:rsid w:val="00A22B19"/>
    <w:rsid w:val="00A23014"/>
    <w:rsid w:val="00A232E5"/>
    <w:rsid w:val="00A23302"/>
    <w:rsid w:val="00A233CC"/>
    <w:rsid w:val="00A239F6"/>
    <w:rsid w:val="00A23A12"/>
    <w:rsid w:val="00A23BBE"/>
    <w:rsid w:val="00A23C75"/>
    <w:rsid w:val="00A2413E"/>
    <w:rsid w:val="00A24291"/>
    <w:rsid w:val="00A243F5"/>
    <w:rsid w:val="00A245AA"/>
    <w:rsid w:val="00A24944"/>
    <w:rsid w:val="00A24A61"/>
    <w:rsid w:val="00A24B89"/>
    <w:rsid w:val="00A24E15"/>
    <w:rsid w:val="00A250BB"/>
    <w:rsid w:val="00A250CC"/>
    <w:rsid w:val="00A252D2"/>
    <w:rsid w:val="00A25323"/>
    <w:rsid w:val="00A25482"/>
    <w:rsid w:val="00A25928"/>
    <w:rsid w:val="00A2618B"/>
    <w:rsid w:val="00A263BA"/>
    <w:rsid w:val="00A26421"/>
    <w:rsid w:val="00A27153"/>
    <w:rsid w:val="00A275B5"/>
    <w:rsid w:val="00A2769E"/>
    <w:rsid w:val="00A2779F"/>
    <w:rsid w:val="00A278BB"/>
    <w:rsid w:val="00A27FF4"/>
    <w:rsid w:val="00A3018B"/>
    <w:rsid w:val="00A3049B"/>
    <w:rsid w:val="00A3085B"/>
    <w:rsid w:val="00A3091F"/>
    <w:rsid w:val="00A30E2A"/>
    <w:rsid w:val="00A30FB1"/>
    <w:rsid w:val="00A31142"/>
    <w:rsid w:val="00A31371"/>
    <w:rsid w:val="00A318BE"/>
    <w:rsid w:val="00A31A39"/>
    <w:rsid w:val="00A31AC6"/>
    <w:rsid w:val="00A31CB3"/>
    <w:rsid w:val="00A31DA1"/>
    <w:rsid w:val="00A31F99"/>
    <w:rsid w:val="00A32278"/>
    <w:rsid w:val="00A3230D"/>
    <w:rsid w:val="00A329A9"/>
    <w:rsid w:val="00A329D1"/>
    <w:rsid w:val="00A32BC3"/>
    <w:rsid w:val="00A32CD9"/>
    <w:rsid w:val="00A32F7B"/>
    <w:rsid w:val="00A33069"/>
    <w:rsid w:val="00A330F2"/>
    <w:rsid w:val="00A3332E"/>
    <w:rsid w:val="00A33403"/>
    <w:rsid w:val="00A33895"/>
    <w:rsid w:val="00A339B9"/>
    <w:rsid w:val="00A339C5"/>
    <w:rsid w:val="00A33B75"/>
    <w:rsid w:val="00A33C92"/>
    <w:rsid w:val="00A34297"/>
    <w:rsid w:val="00A345A6"/>
    <w:rsid w:val="00A346ED"/>
    <w:rsid w:val="00A347D6"/>
    <w:rsid w:val="00A34AB9"/>
    <w:rsid w:val="00A34BB3"/>
    <w:rsid w:val="00A34D1D"/>
    <w:rsid w:val="00A3509B"/>
    <w:rsid w:val="00A35120"/>
    <w:rsid w:val="00A351B6"/>
    <w:rsid w:val="00A356F7"/>
    <w:rsid w:val="00A35908"/>
    <w:rsid w:val="00A35BC1"/>
    <w:rsid w:val="00A35CDC"/>
    <w:rsid w:val="00A35DDD"/>
    <w:rsid w:val="00A36043"/>
    <w:rsid w:val="00A3632B"/>
    <w:rsid w:val="00A363C8"/>
    <w:rsid w:val="00A3643B"/>
    <w:rsid w:val="00A36441"/>
    <w:rsid w:val="00A365A4"/>
    <w:rsid w:val="00A36810"/>
    <w:rsid w:val="00A36ADF"/>
    <w:rsid w:val="00A37026"/>
    <w:rsid w:val="00A3742C"/>
    <w:rsid w:val="00A378EC"/>
    <w:rsid w:val="00A37DFD"/>
    <w:rsid w:val="00A37F2F"/>
    <w:rsid w:val="00A37F3E"/>
    <w:rsid w:val="00A400FB"/>
    <w:rsid w:val="00A4017E"/>
    <w:rsid w:val="00A4025B"/>
    <w:rsid w:val="00A403A2"/>
    <w:rsid w:val="00A403EC"/>
    <w:rsid w:val="00A4056E"/>
    <w:rsid w:val="00A4062D"/>
    <w:rsid w:val="00A40837"/>
    <w:rsid w:val="00A4099D"/>
    <w:rsid w:val="00A40AE2"/>
    <w:rsid w:val="00A40BC3"/>
    <w:rsid w:val="00A40C73"/>
    <w:rsid w:val="00A40DF3"/>
    <w:rsid w:val="00A411F7"/>
    <w:rsid w:val="00A419A0"/>
    <w:rsid w:val="00A41A15"/>
    <w:rsid w:val="00A41A2D"/>
    <w:rsid w:val="00A41A63"/>
    <w:rsid w:val="00A41C85"/>
    <w:rsid w:val="00A42016"/>
    <w:rsid w:val="00A4207E"/>
    <w:rsid w:val="00A420BF"/>
    <w:rsid w:val="00A42406"/>
    <w:rsid w:val="00A424BE"/>
    <w:rsid w:val="00A42546"/>
    <w:rsid w:val="00A425E2"/>
    <w:rsid w:val="00A42610"/>
    <w:rsid w:val="00A42903"/>
    <w:rsid w:val="00A42984"/>
    <w:rsid w:val="00A429D2"/>
    <w:rsid w:val="00A42A95"/>
    <w:rsid w:val="00A42D54"/>
    <w:rsid w:val="00A431BC"/>
    <w:rsid w:val="00A4352B"/>
    <w:rsid w:val="00A43A81"/>
    <w:rsid w:val="00A43C31"/>
    <w:rsid w:val="00A43F97"/>
    <w:rsid w:val="00A440DE"/>
    <w:rsid w:val="00A44396"/>
    <w:rsid w:val="00A443A8"/>
    <w:rsid w:val="00A445D5"/>
    <w:rsid w:val="00A44621"/>
    <w:rsid w:val="00A44818"/>
    <w:rsid w:val="00A44913"/>
    <w:rsid w:val="00A44EEF"/>
    <w:rsid w:val="00A4536D"/>
    <w:rsid w:val="00A45435"/>
    <w:rsid w:val="00A45488"/>
    <w:rsid w:val="00A45497"/>
    <w:rsid w:val="00A456AD"/>
    <w:rsid w:val="00A45780"/>
    <w:rsid w:val="00A457A1"/>
    <w:rsid w:val="00A4582D"/>
    <w:rsid w:val="00A458FF"/>
    <w:rsid w:val="00A45C99"/>
    <w:rsid w:val="00A45D04"/>
    <w:rsid w:val="00A4605A"/>
    <w:rsid w:val="00A4607E"/>
    <w:rsid w:val="00A4609E"/>
    <w:rsid w:val="00A460D2"/>
    <w:rsid w:val="00A464CF"/>
    <w:rsid w:val="00A465F0"/>
    <w:rsid w:val="00A4660A"/>
    <w:rsid w:val="00A467B2"/>
    <w:rsid w:val="00A4694C"/>
    <w:rsid w:val="00A46A9B"/>
    <w:rsid w:val="00A46C30"/>
    <w:rsid w:val="00A46C7B"/>
    <w:rsid w:val="00A46E5E"/>
    <w:rsid w:val="00A46EA3"/>
    <w:rsid w:val="00A47169"/>
    <w:rsid w:val="00A47247"/>
    <w:rsid w:val="00A47267"/>
    <w:rsid w:val="00A478A5"/>
    <w:rsid w:val="00A47ECD"/>
    <w:rsid w:val="00A47F09"/>
    <w:rsid w:val="00A502D8"/>
    <w:rsid w:val="00A505A3"/>
    <w:rsid w:val="00A505B5"/>
    <w:rsid w:val="00A50709"/>
    <w:rsid w:val="00A50810"/>
    <w:rsid w:val="00A508AA"/>
    <w:rsid w:val="00A50B86"/>
    <w:rsid w:val="00A50CC0"/>
    <w:rsid w:val="00A5130E"/>
    <w:rsid w:val="00A51888"/>
    <w:rsid w:val="00A5191F"/>
    <w:rsid w:val="00A51B47"/>
    <w:rsid w:val="00A51D30"/>
    <w:rsid w:val="00A523A1"/>
    <w:rsid w:val="00A52419"/>
    <w:rsid w:val="00A526E3"/>
    <w:rsid w:val="00A52BC8"/>
    <w:rsid w:val="00A52F7A"/>
    <w:rsid w:val="00A53634"/>
    <w:rsid w:val="00A53664"/>
    <w:rsid w:val="00A5366F"/>
    <w:rsid w:val="00A53B4A"/>
    <w:rsid w:val="00A53C38"/>
    <w:rsid w:val="00A53DD6"/>
    <w:rsid w:val="00A5404F"/>
    <w:rsid w:val="00A5411C"/>
    <w:rsid w:val="00A541D9"/>
    <w:rsid w:val="00A5426E"/>
    <w:rsid w:val="00A5433E"/>
    <w:rsid w:val="00A546AE"/>
    <w:rsid w:val="00A546DA"/>
    <w:rsid w:val="00A547CC"/>
    <w:rsid w:val="00A54800"/>
    <w:rsid w:val="00A54AD1"/>
    <w:rsid w:val="00A553D2"/>
    <w:rsid w:val="00A55857"/>
    <w:rsid w:val="00A558DB"/>
    <w:rsid w:val="00A55A20"/>
    <w:rsid w:val="00A55CF4"/>
    <w:rsid w:val="00A56032"/>
    <w:rsid w:val="00A56071"/>
    <w:rsid w:val="00A563ED"/>
    <w:rsid w:val="00A56778"/>
    <w:rsid w:val="00A56800"/>
    <w:rsid w:val="00A568B3"/>
    <w:rsid w:val="00A56980"/>
    <w:rsid w:val="00A56A13"/>
    <w:rsid w:val="00A56D42"/>
    <w:rsid w:val="00A56F70"/>
    <w:rsid w:val="00A5713F"/>
    <w:rsid w:val="00A57408"/>
    <w:rsid w:val="00A577D9"/>
    <w:rsid w:val="00A577F6"/>
    <w:rsid w:val="00A57B56"/>
    <w:rsid w:val="00A6008E"/>
    <w:rsid w:val="00A60350"/>
    <w:rsid w:val="00A6074B"/>
    <w:rsid w:val="00A607B9"/>
    <w:rsid w:val="00A607DA"/>
    <w:rsid w:val="00A60803"/>
    <w:rsid w:val="00A60987"/>
    <w:rsid w:val="00A60AD3"/>
    <w:rsid w:val="00A60E16"/>
    <w:rsid w:val="00A60E44"/>
    <w:rsid w:val="00A61430"/>
    <w:rsid w:val="00A61637"/>
    <w:rsid w:val="00A61706"/>
    <w:rsid w:val="00A617A2"/>
    <w:rsid w:val="00A61C9B"/>
    <w:rsid w:val="00A61DD9"/>
    <w:rsid w:val="00A61DF2"/>
    <w:rsid w:val="00A61DFC"/>
    <w:rsid w:val="00A61F12"/>
    <w:rsid w:val="00A61FBE"/>
    <w:rsid w:val="00A621AD"/>
    <w:rsid w:val="00A6231F"/>
    <w:rsid w:val="00A626C1"/>
    <w:rsid w:val="00A6297C"/>
    <w:rsid w:val="00A62B9F"/>
    <w:rsid w:val="00A62C4D"/>
    <w:rsid w:val="00A62F54"/>
    <w:rsid w:val="00A63145"/>
    <w:rsid w:val="00A631E2"/>
    <w:rsid w:val="00A63315"/>
    <w:rsid w:val="00A6371A"/>
    <w:rsid w:val="00A63CC9"/>
    <w:rsid w:val="00A63DEE"/>
    <w:rsid w:val="00A63E88"/>
    <w:rsid w:val="00A64268"/>
    <w:rsid w:val="00A642A3"/>
    <w:rsid w:val="00A6466B"/>
    <w:rsid w:val="00A648C9"/>
    <w:rsid w:val="00A64BFF"/>
    <w:rsid w:val="00A64E4A"/>
    <w:rsid w:val="00A6522C"/>
    <w:rsid w:val="00A653E2"/>
    <w:rsid w:val="00A654B8"/>
    <w:rsid w:val="00A6562D"/>
    <w:rsid w:val="00A65671"/>
    <w:rsid w:val="00A65B24"/>
    <w:rsid w:val="00A65DDC"/>
    <w:rsid w:val="00A65E7A"/>
    <w:rsid w:val="00A66503"/>
    <w:rsid w:val="00A66E4A"/>
    <w:rsid w:val="00A66FB5"/>
    <w:rsid w:val="00A67394"/>
    <w:rsid w:val="00A67643"/>
    <w:rsid w:val="00A67A3A"/>
    <w:rsid w:val="00A67C0E"/>
    <w:rsid w:val="00A67D5E"/>
    <w:rsid w:val="00A67DF2"/>
    <w:rsid w:val="00A700ED"/>
    <w:rsid w:val="00A7035C"/>
    <w:rsid w:val="00A706C9"/>
    <w:rsid w:val="00A7091D"/>
    <w:rsid w:val="00A70B16"/>
    <w:rsid w:val="00A7143A"/>
    <w:rsid w:val="00A7149A"/>
    <w:rsid w:val="00A714C1"/>
    <w:rsid w:val="00A7180A"/>
    <w:rsid w:val="00A71DE5"/>
    <w:rsid w:val="00A7202A"/>
    <w:rsid w:val="00A723DE"/>
    <w:rsid w:val="00A728A0"/>
    <w:rsid w:val="00A72F0E"/>
    <w:rsid w:val="00A73C15"/>
    <w:rsid w:val="00A73E8C"/>
    <w:rsid w:val="00A74043"/>
    <w:rsid w:val="00A742DE"/>
    <w:rsid w:val="00A74621"/>
    <w:rsid w:val="00A7466D"/>
    <w:rsid w:val="00A748CD"/>
    <w:rsid w:val="00A74C24"/>
    <w:rsid w:val="00A74DB4"/>
    <w:rsid w:val="00A75227"/>
    <w:rsid w:val="00A75358"/>
    <w:rsid w:val="00A758B6"/>
    <w:rsid w:val="00A7599D"/>
    <w:rsid w:val="00A76109"/>
    <w:rsid w:val="00A767FE"/>
    <w:rsid w:val="00A76A1B"/>
    <w:rsid w:val="00A76AED"/>
    <w:rsid w:val="00A76FE3"/>
    <w:rsid w:val="00A77363"/>
    <w:rsid w:val="00A77621"/>
    <w:rsid w:val="00A77AD2"/>
    <w:rsid w:val="00A80154"/>
    <w:rsid w:val="00A80290"/>
    <w:rsid w:val="00A806D7"/>
    <w:rsid w:val="00A80825"/>
    <w:rsid w:val="00A80843"/>
    <w:rsid w:val="00A80AD7"/>
    <w:rsid w:val="00A80BAC"/>
    <w:rsid w:val="00A80C09"/>
    <w:rsid w:val="00A80C4C"/>
    <w:rsid w:val="00A80DB0"/>
    <w:rsid w:val="00A80FEA"/>
    <w:rsid w:val="00A813B6"/>
    <w:rsid w:val="00A81568"/>
    <w:rsid w:val="00A819B4"/>
    <w:rsid w:val="00A81C9D"/>
    <w:rsid w:val="00A81E8B"/>
    <w:rsid w:val="00A81FE9"/>
    <w:rsid w:val="00A822EB"/>
    <w:rsid w:val="00A822EF"/>
    <w:rsid w:val="00A82477"/>
    <w:rsid w:val="00A824D5"/>
    <w:rsid w:val="00A82B5A"/>
    <w:rsid w:val="00A82D11"/>
    <w:rsid w:val="00A82D41"/>
    <w:rsid w:val="00A83046"/>
    <w:rsid w:val="00A8315A"/>
    <w:rsid w:val="00A83275"/>
    <w:rsid w:val="00A8392E"/>
    <w:rsid w:val="00A83F0E"/>
    <w:rsid w:val="00A8431A"/>
    <w:rsid w:val="00A846A3"/>
    <w:rsid w:val="00A84747"/>
    <w:rsid w:val="00A849C6"/>
    <w:rsid w:val="00A84EEA"/>
    <w:rsid w:val="00A84F1D"/>
    <w:rsid w:val="00A84FE1"/>
    <w:rsid w:val="00A853E8"/>
    <w:rsid w:val="00A8541D"/>
    <w:rsid w:val="00A856E6"/>
    <w:rsid w:val="00A85739"/>
    <w:rsid w:val="00A85910"/>
    <w:rsid w:val="00A859DF"/>
    <w:rsid w:val="00A85DE8"/>
    <w:rsid w:val="00A86083"/>
    <w:rsid w:val="00A8661C"/>
    <w:rsid w:val="00A86643"/>
    <w:rsid w:val="00A8676C"/>
    <w:rsid w:val="00A86AA3"/>
    <w:rsid w:val="00A86C69"/>
    <w:rsid w:val="00A86CBA"/>
    <w:rsid w:val="00A871E9"/>
    <w:rsid w:val="00A878D0"/>
    <w:rsid w:val="00A87C62"/>
    <w:rsid w:val="00A87F37"/>
    <w:rsid w:val="00A87FE6"/>
    <w:rsid w:val="00A900FC"/>
    <w:rsid w:val="00A909D5"/>
    <w:rsid w:val="00A909D6"/>
    <w:rsid w:val="00A90AF9"/>
    <w:rsid w:val="00A90E21"/>
    <w:rsid w:val="00A91057"/>
    <w:rsid w:val="00A910EC"/>
    <w:rsid w:val="00A912C7"/>
    <w:rsid w:val="00A913C3"/>
    <w:rsid w:val="00A918DA"/>
    <w:rsid w:val="00A91A71"/>
    <w:rsid w:val="00A91BA6"/>
    <w:rsid w:val="00A91DDB"/>
    <w:rsid w:val="00A92020"/>
    <w:rsid w:val="00A924AC"/>
    <w:rsid w:val="00A9269E"/>
    <w:rsid w:val="00A92835"/>
    <w:rsid w:val="00A928AC"/>
    <w:rsid w:val="00A92B25"/>
    <w:rsid w:val="00A92EF3"/>
    <w:rsid w:val="00A92F9C"/>
    <w:rsid w:val="00A93575"/>
    <w:rsid w:val="00A93692"/>
    <w:rsid w:val="00A937DB"/>
    <w:rsid w:val="00A93C04"/>
    <w:rsid w:val="00A93DA4"/>
    <w:rsid w:val="00A93DD4"/>
    <w:rsid w:val="00A93E80"/>
    <w:rsid w:val="00A93F50"/>
    <w:rsid w:val="00A947B9"/>
    <w:rsid w:val="00A94B96"/>
    <w:rsid w:val="00A94D5A"/>
    <w:rsid w:val="00A95190"/>
    <w:rsid w:val="00A95318"/>
    <w:rsid w:val="00A95863"/>
    <w:rsid w:val="00A95A18"/>
    <w:rsid w:val="00A95A19"/>
    <w:rsid w:val="00A96108"/>
    <w:rsid w:val="00A96155"/>
    <w:rsid w:val="00A96449"/>
    <w:rsid w:val="00A9658B"/>
    <w:rsid w:val="00A96A80"/>
    <w:rsid w:val="00A96C7F"/>
    <w:rsid w:val="00A9733C"/>
    <w:rsid w:val="00A97419"/>
    <w:rsid w:val="00A9775E"/>
    <w:rsid w:val="00A97AFF"/>
    <w:rsid w:val="00A97BDD"/>
    <w:rsid w:val="00A9BFF9"/>
    <w:rsid w:val="00AA023A"/>
    <w:rsid w:val="00AA028D"/>
    <w:rsid w:val="00AA0293"/>
    <w:rsid w:val="00AA02F0"/>
    <w:rsid w:val="00AA0413"/>
    <w:rsid w:val="00AA06F0"/>
    <w:rsid w:val="00AA0766"/>
    <w:rsid w:val="00AA0920"/>
    <w:rsid w:val="00AA0C2C"/>
    <w:rsid w:val="00AA0C89"/>
    <w:rsid w:val="00AA0D4B"/>
    <w:rsid w:val="00AA10FB"/>
    <w:rsid w:val="00AA1142"/>
    <w:rsid w:val="00AA1280"/>
    <w:rsid w:val="00AA14FE"/>
    <w:rsid w:val="00AA1645"/>
    <w:rsid w:val="00AA1F45"/>
    <w:rsid w:val="00AA200B"/>
    <w:rsid w:val="00AA210D"/>
    <w:rsid w:val="00AA211A"/>
    <w:rsid w:val="00AA2173"/>
    <w:rsid w:val="00AA222B"/>
    <w:rsid w:val="00AA225A"/>
    <w:rsid w:val="00AA25C4"/>
    <w:rsid w:val="00AA270B"/>
    <w:rsid w:val="00AA288E"/>
    <w:rsid w:val="00AA2925"/>
    <w:rsid w:val="00AA2D5E"/>
    <w:rsid w:val="00AA2FDA"/>
    <w:rsid w:val="00AA3208"/>
    <w:rsid w:val="00AA332F"/>
    <w:rsid w:val="00AA3386"/>
    <w:rsid w:val="00AA3AAD"/>
    <w:rsid w:val="00AA3AED"/>
    <w:rsid w:val="00AA3B63"/>
    <w:rsid w:val="00AA3BD3"/>
    <w:rsid w:val="00AA3FB9"/>
    <w:rsid w:val="00AA40F2"/>
    <w:rsid w:val="00AA412E"/>
    <w:rsid w:val="00AA428A"/>
    <w:rsid w:val="00AA436B"/>
    <w:rsid w:val="00AA441E"/>
    <w:rsid w:val="00AA45F8"/>
    <w:rsid w:val="00AA477E"/>
    <w:rsid w:val="00AA4D9E"/>
    <w:rsid w:val="00AA4E5C"/>
    <w:rsid w:val="00AA4E9B"/>
    <w:rsid w:val="00AA4F21"/>
    <w:rsid w:val="00AA512E"/>
    <w:rsid w:val="00AA55D2"/>
    <w:rsid w:val="00AA586D"/>
    <w:rsid w:val="00AA592B"/>
    <w:rsid w:val="00AA5939"/>
    <w:rsid w:val="00AA5B1F"/>
    <w:rsid w:val="00AA5D04"/>
    <w:rsid w:val="00AA5D5D"/>
    <w:rsid w:val="00AA5EEF"/>
    <w:rsid w:val="00AA612A"/>
    <w:rsid w:val="00AA6186"/>
    <w:rsid w:val="00AA647C"/>
    <w:rsid w:val="00AA6514"/>
    <w:rsid w:val="00AA6574"/>
    <w:rsid w:val="00AA6BB0"/>
    <w:rsid w:val="00AA6C0F"/>
    <w:rsid w:val="00AA6DB5"/>
    <w:rsid w:val="00AA6F23"/>
    <w:rsid w:val="00AA6FA0"/>
    <w:rsid w:val="00AA758A"/>
    <w:rsid w:val="00AA7659"/>
    <w:rsid w:val="00AA787C"/>
    <w:rsid w:val="00AA792B"/>
    <w:rsid w:val="00AA7EE7"/>
    <w:rsid w:val="00AA7FD3"/>
    <w:rsid w:val="00AB0050"/>
    <w:rsid w:val="00AB0139"/>
    <w:rsid w:val="00AB048C"/>
    <w:rsid w:val="00AB06D3"/>
    <w:rsid w:val="00AB07C9"/>
    <w:rsid w:val="00AB0B33"/>
    <w:rsid w:val="00AB0CD3"/>
    <w:rsid w:val="00AB0FD6"/>
    <w:rsid w:val="00AB1027"/>
    <w:rsid w:val="00AB15A6"/>
    <w:rsid w:val="00AB15A7"/>
    <w:rsid w:val="00AB1AD3"/>
    <w:rsid w:val="00AB1B33"/>
    <w:rsid w:val="00AB1F38"/>
    <w:rsid w:val="00AB255D"/>
    <w:rsid w:val="00AB32BB"/>
    <w:rsid w:val="00AB33A8"/>
    <w:rsid w:val="00AB3510"/>
    <w:rsid w:val="00AB36C1"/>
    <w:rsid w:val="00AB3B3A"/>
    <w:rsid w:val="00AB3C7D"/>
    <w:rsid w:val="00AB3D8D"/>
    <w:rsid w:val="00AB3F34"/>
    <w:rsid w:val="00AB44AE"/>
    <w:rsid w:val="00AB46F2"/>
    <w:rsid w:val="00AB4C25"/>
    <w:rsid w:val="00AB4C45"/>
    <w:rsid w:val="00AB4C76"/>
    <w:rsid w:val="00AB4DF9"/>
    <w:rsid w:val="00AB51FA"/>
    <w:rsid w:val="00AB5610"/>
    <w:rsid w:val="00AB5646"/>
    <w:rsid w:val="00AB58AA"/>
    <w:rsid w:val="00AB5960"/>
    <w:rsid w:val="00AB5BFA"/>
    <w:rsid w:val="00AB5C46"/>
    <w:rsid w:val="00AB5DAD"/>
    <w:rsid w:val="00AB612A"/>
    <w:rsid w:val="00AB64CB"/>
    <w:rsid w:val="00AB64F9"/>
    <w:rsid w:val="00AB663B"/>
    <w:rsid w:val="00AB66E8"/>
    <w:rsid w:val="00AB687E"/>
    <w:rsid w:val="00AB711F"/>
    <w:rsid w:val="00AB72CA"/>
    <w:rsid w:val="00AB72F6"/>
    <w:rsid w:val="00AB7352"/>
    <w:rsid w:val="00AB78AA"/>
    <w:rsid w:val="00AB78D7"/>
    <w:rsid w:val="00AB7A50"/>
    <w:rsid w:val="00AB7B9B"/>
    <w:rsid w:val="00AB7EC7"/>
    <w:rsid w:val="00AC01CB"/>
    <w:rsid w:val="00AC01F6"/>
    <w:rsid w:val="00AC0534"/>
    <w:rsid w:val="00AC07C0"/>
    <w:rsid w:val="00AC0801"/>
    <w:rsid w:val="00AC0838"/>
    <w:rsid w:val="00AC0892"/>
    <w:rsid w:val="00AC08F1"/>
    <w:rsid w:val="00AC0A2C"/>
    <w:rsid w:val="00AC0ACB"/>
    <w:rsid w:val="00AC0C96"/>
    <w:rsid w:val="00AC0DBC"/>
    <w:rsid w:val="00AC11D2"/>
    <w:rsid w:val="00AC13C2"/>
    <w:rsid w:val="00AC1672"/>
    <w:rsid w:val="00AC18FA"/>
    <w:rsid w:val="00AC1990"/>
    <w:rsid w:val="00AC1C73"/>
    <w:rsid w:val="00AC1ECF"/>
    <w:rsid w:val="00AC222E"/>
    <w:rsid w:val="00AC2445"/>
    <w:rsid w:val="00AC258E"/>
    <w:rsid w:val="00AC26E3"/>
    <w:rsid w:val="00AC27C5"/>
    <w:rsid w:val="00AC2928"/>
    <w:rsid w:val="00AC2B13"/>
    <w:rsid w:val="00AC2BF4"/>
    <w:rsid w:val="00AC2D80"/>
    <w:rsid w:val="00AC2E68"/>
    <w:rsid w:val="00AC3094"/>
    <w:rsid w:val="00AC33E9"/>
    <w:rsid w:val="00AC3628"/>
    <w:rsid w:val="00AC37AE"/>
    <w:rsid w:val="00AC37B2"/>
    <w:rsid w:val="00AC37F8"/>
    <w:rsid w:val="00AC3A37"/>
    <w:rsid w:val="00AC3A9B"/>
    <w:rsid w:val="00AC3D8C"/>
    <w:rsid w:val="00AC41B0"/>
    <w:rsid w:val="00AC429B"/>
    <w:rsid w:val="00AC471F"/>
    <w:rsid w:val="00AC4B62"/>
    <w:rsid w:val="00AC507C"/>
    <w:rsid w:val="00AC516F"/>
    <w:rsid w:val="00AC51E4"/>
    <w:rsid w:val="00AC53F3"/>
    <w:rsid w:val="00AC55C6"/>
    <w:rsid w:val="00AC5688"/>
    <w:rsid w:val="00AC57E7"/>
    <w:rsid w:val="00AC5B30"/>
    <w:rsid w:val="00AC61BC"/>
    <w:rsid w:val="00AC6202"/>
    <w:rsid w:val="00AC623F"/>
    <w:rsid w:val="00AC633B"/>
    <w:rsid w:val="00AC63BB"/>
    <w:rsid w:val="00AC67DE"/>
    <w:rsid w:val="00AC6AE9"/>
    <w:rsid w:val="00AC6C9C"/>
    <w:rsid w:val="00AC72CA"/>
    <w:rsid w:val="00AC7337"/>
    <w:rsid w:val="00AC7482"/>
    <w:rsid w:val="00AC75C5"/>
    <w:rsid w:val="00AC763D"/>
    <w:rsid w:val="00AC76B3"/>
    <w:rsid w:val="00AC7729"/>
    <w:rsid w:val="00AC784A"/>
    <w:rsid w:val="00AC78EA"/>
    <w:rsid w:val="00AC79AF"/>
    <w:rsid w:val="00AC7A93"/>
    <w:rsid w:val="00AC7B3D"/>
    <w:rsid w:val="00AC7CF7"/>
    <w:rsid w:val="00AC7E2C"/>
    <w:rsid w:val="00AD035C"/>
    <w:rsid w:val="00AD040D"/>
    <w:rsid w:val="00AD06DE"/>
    <w:rsid w:val="00AD085A"/>
    <w:rsid w:val="00AD09C4"/>
    <w:rsid w:val="00AD0C12"/>
    <w:rsid w:val="00AD0D20"/>
    <w:rsid w:val="00AD0F56"/>
    <w:rsid w:val="00AD118C"/>
    <w:rsid w:val="00AD11F0"/>
    <w:rsid w:val="00AD1354"/>
    <w:rsid w:val="00AD18F4"/>
    <w:rsid w:val="00AD1B6F"/>
    <w:rsid w:val="00AD1D3D"/>
    <w:rsid w:val="00AD1F59"/>
    <w:rsid w:val="00AD1FF3"/>
    <w:rsid w:val="00AD22A5"/>
    <w:rsid w:val="00AD23E4"/>
    <w:rsid w:val="00AD2531"/>
    <w:rsid w:val="00AD2F43"/>
    <w:rsid w:val="00AD3137"/>
    <w:rsid w:val="00AD3276"/>
    <w:rsid w:val="00AD35B3"/>
    <w:rsid w:val="00AD35F2"/>
    <w:rsid w:val="00AD3768"/>
    <w:rsid w:val="00AD3E61"/>
    <w:rsid w:val="00AD4409"/>
    <w:rsid w:val="00AD49C8"/>
    <w:rsid w:val="00AD4B8E"/>
    <w:rsid w:val="00AD4DF5"/>
    <w:rsid w:val="00AD4E64"/>
    <w:rsid w:val="00AD4FE9"/>
    <w:rsid w:val="00AD5229"/>
    <w:rsid w:val="00AD52D7"/>
    <w:rsid w:val="00AD572B"/>
    <w:rsid w:val="00AD572E"/>
    <w:rsid w:val="00AD57C3"/>
    <w:rsid w:val="00AD5956"/>
    <w:rsid w:val="00AD59A0"/>
    <w:rsid w:val="00AD5B94"/>
    <w:rsid w:val="00AD5C01"/>
    <w:rsid w:val="00AD5FFF"/>
    <w:rsid w:val="00AD6491"/>
    <w:rsid w:val="00AD65A7"/>
    <w:rsid w:val="00AD6683"/>
    <w:rsid w:val="00AD68DC"/>
    <w:rsid w:val="00AD6B16"/>
    <w:rsid w:val="00AD6C66"/>
    <w:rsid w:val="00AD6D19"/>
    <w:rsid w:val="00AD6EA9"/>
    <w:rsid w:val="00AD73B9"/>
    <w:rsid w:val="00AD740B"/>
    <w:rsid w:val="00AD78BF"/>
    <w:rsid w:val="00AD7A36"/>
    <w:rsid w:val="00AD7AB7"/>
    <w:rsid w:val="00AD7FD6"/>
    <w:rsid w:val="00AD7FFC"/>
    <w:rsid w:val="00AE0012"/>
    <w:rsid w:val="00AE00FE"/>
    <w:rsid w:val="00AE0347"/>
    <w:rsid w:val="00AE05FC"/>
    <w:rsid w:val="00AE0626"/>
    <w:rsid w:val="00AE092A"/>
    <w:rsid w:val="00AE13E3"/>
    <w:rsid w:val="00AE158B"/>
    <w:rsid w:val="00AE1625"/>
    <w:rsid w:val="00AE16CB"/>
    <w:rsid w:val="00AE174B"/>
    <w:rsid w:val="00AE1AAA"/>
    <w:rsid w:val="00AE1B3B"/>
    <w:rsid w:val="00AE1D1A"/>
    <w:rsid w:val="00AE1E40"/>
    <w:rsid w:val="00AE2072"/>
    <w:rsid w:val="00AE250B"/>
    <w:rsid w:val="00AE2647"/>
    <w:rsid w:val="00AE272A"/>
    <w:rsid w:val="00AE2A9C"/>
    <w:rsid w:val="00AE3214"/>
    <w:rsid w:val="00AE32D1"/>
    <w:rsid w:val="00AE355E"/>
    <w:rsid w:val="00AE36FA"/>
    <w:rsid w:val="00AE3725"/>
    <w:rsid w:val="00AE39F1"/>
    <w:rsid w:val="00AE3B39"/>
    <w:rsid w:val="00AE3DE7"/>
    <w:rsid w:val="00AE40D9"/>
    <w:rsid w:val="00AE43F8"/>
    <w:rsid w:val="00AE4499"/>
    <w:rsid w:val="00AE4675"/>
    <w:rsid w:val="00AE4B6E"/>
    <w:rsid w:val="00AE4BE5"/>
    <w:rsid w:val="00AE4CDD"/>
    <w:rsid w:val="00AE4EE1"/>
    <w:rsid w:val="00AE4FE1"/>
    <w:rsid w:val="00AE51F4"/>
    <w:rsid w:val="00AE5238"/>
    <w:rsid w:val="00AE5348"/>
    <w:rsid w:val="00AE54F0"/>
    <w:rsid w:val="00AE57F4"/>
    <w:rsid w:val="00AE5A7C"/>
    <w:rsid w:val="00AE60C9"/>
    <w:rsid w:val="00AE6109"/>
    <w:rsid w:val="00AE634D"/>
    <w:rsid w:val="00AE66AB"/>
    <w:rsid w:val="00AE66B3"/>
    <w:rsid w:val="00AE67B8"/>
    <w:rsid w:val="00AE6882"/>
    <w:rsid w:val="00AE68ED"/>
    <w:rsid w:val="00AE6DA7"/>
    <w:rsid w:val="00AE7007"/>
    <w:rsid w:val="00AE7172"/>
    <w:rsid w:val="00AE7191"/>
    <w:rsid w:val="00AE7343"/>
    <w:rsid w:val="00AE74B5"/>
    <w:rsid w:val="00AE74D6"/>
    <w:rsid w:val="00AE7795"/>
    <w:rsid w:val="00AE788D"/>
    <w:rsid w:val="00AE79F7"/>
    <w:rsid w:val="00AE7A88"/>
    <w:rsid w:val="00AE7BDF"/>
    <w:rsid w:val="00AE7D71"/>
    <w:rsid w:val="00AF0112"/>
    <w:rsid w:val="00AF0670"/>
    <w:rsid w:val="00AF07B5"/>
    <w:rsid w:val="00AF08E9"/>
    <w:rsid w:val="00AF0977"/>
    <w:rsid w:val="00AF0CE9"/>
    <w:rsid w:val="00AF0F66"/>
    <w:rsid w:val="00AF1227"/>
    <w:rsid w:val="00AF1301"/>
    <w:rsid w:val="00AF1393"/>
    <w:rsid w:val="00AF1452"/>
    <w:rsid w:val="00AF1501"/>
    <w:rsid w:val="00AF1552"/>
    <w:rsid w:val="00AF15C4"/>
    <w:rsid w:val="00AF181E"/>
    <w:rsid w:val="00AF1952"/>
    <w:rsid w:val="00AF1BA0"/>
    <w:rsid w:val="00AF1C9F"/>
    <w:rsid w:val="00AF1E39"/>
    <w:rsid w:val="00AF20EA"/>
    <w:rsid w:val="00AF236B"/>
    <w:rsid w:val="00AF27BD"/>
    <w:rsid w:val="00AF2B44"/>
    <w:rsid w:val="00AF2B83"/>
    <w:rsid w:val="00AF2BB4"/>
    <w:rsid w:val="00AF2E01"/>
    <w:rsid w:val="00AF31E2"/>
    <w:rsid w:val="00AF3222"/>
    <w:rsid w:val="00AF32DE"/>
    <w:rsid w:val="00AF335D"/>
    <w:rsid w:val="00AF3381"/>
    <w:rsid w:val="00AF33F6"/>
    <w:rsid w:val="00AF35C2"/>
    <w:rsid w:val="00AF36DC"/>
    <w:rsid w:val="00AF37B0"/>
    <w:rsid w:val="00AF37CD"/>
    <w:rsid w:val="00AF39ED"/>
    <w:rsid w:val="00AF3C89"/>
    <w:rsid w:val="00AF3D10"/>
    <w:rsid w:val="00AF3FD2"/>
    <w:rsid w:val="00AF42BD"/>
    <w:rsid w:val="00AF4320"/>
    <w:rsid w:val="00AF43F4"/>
    <w:rsid w:val="00AF4450"/>
    <w:rsid w:val="00AF465C"/>
    <w:rsid w:val="00AF47C2"/>
    <w:rsid w:val="00AF4820"/>
    <w:rsid w:val="00AF5060"/>
    <w:rsid w:val="00AF517C"/>
    <w:rsid w:val="00AF51DE"/>
    <w:rsid w:val="00AF52BE"/>
    <w:rsid w:val="00AF53BB"/>
    <w:rsid w:val="00AF55D4"/>
    <w:rsid w:val="00AF55EA"/>
    <w:rsid w:val="00AF56D6"/>
    <w:rsid w:val="00AF5927"/>
    <w:rsid w:val="00AF5AB2"/>
    <w:rsid w:val="00AF5CD6"/>
    <w:rsid w:val="00AF5CFE"/>
    <w:rsid w:val="00AF5DC2"/>
    <w:rsid w:val="00AF5F04"/>
    <w:rsid w:val="00AF6023"/>
    <w:rsid w:val="00AF630B"/>
    <w:rsid w:val="00AF6417"/>
    <w:rsid w:val="00AF696C"/>
    <w:rsid w:val="00AF6BB9"/>
    <w:rsid w:val="00AF6C4E"/>
    <w:rsid w:val="00AF6DEC"/>
    <w:rsid w:val="00AF6E9F"/>
    <w:rsid w:val="00AF783A"/>
    <w:rsid w:val="00AF7D3C"/>
    <w:rsid w:val="00B0011D"/>
    <w:rsid w:val="00B00202"/>
    <w:rsid w:val="00B00558"/>
    <w:rsid w:val="00B00900"/>
    <w:rsid w:val="00B0099A"/>
    <w:rsid w:val="00B00A7C"/>
    <w:rsid w:val="00B00FF6"/>
    <w:rsid w:val="00B010F8"/>
    <w:rsid w:val="00B011CD"/>
    <w:rsid w:val="00B013EC"/>
    <w:rsid w:val="00B0143B"/>
    <w:rsid w:val="00B01454"/>
    <w:rsid w:val="00B01501"/>
    <w:rsid w:val="00B019DA"/>
    <w:rsid w:val="00B01AAF"/>
    <w:rsid w:val="00B01B48"/>
    <w:rsid w:val="00B01F6F"/>
    <w:rsid w:val="00B0219F"/>
    <w:rsid w:val="00B023CA"/>
    <w:rsid w:val="00B02497"/>
    <w:rsid w:val="00B024B3"/>
    <w:rsid w:val="00B02A13"/>
    <w:rsid w:val="00B02B40"/>
    <w:rsid w:val="00B02CC7"/>
    <w:rsid w:val="00B02DB7"/>
    <w:rsid w:val="00B0304C"/>
    <w:rsid w:val="00B033C6"/>
    <w:rsid w:val="00B035DB"/>
    <w:rsid w:val="00B03722"/>
    <w:rsid w:val="00B04001"/>
    <w:rsid w:val="00B04357"/>
    <w:rsid w:val="00B046DC"/>
    <w:rsid w:val="00B046EE"/>
    <w:rsid w:val="00B04862"/>
    <w:rsid w:val="00B04F32"/>
    <w:rsid w:val="00B04FEF"/>
    <w:rsid w:val="00B0528F"/>
    <w:rsid w:val="00B056A7"/>
    <w:rsid w:val="00B056F4"/>
    <w:rsid w:val="00B05711"/>
    <w:rsid w:val="00B0592A"/>
    <w:rsid w:val="00B05A99"/>
    <w:rsid w:val="00B05AE6"/>
    <w:rsid w:val="00B06072"/>
    <w:rsid w:val="00B0627A"/>
    <w:rsid w:val="00B0675C"/>
    <w:rsid w:val="00B0698E"/>
    <w:rsid w:val="00B06A45"/>
    <w:rsid w:val="00B06E6E"/>
    <w:rsid w:val="00B06FC4"/>
    <w:rsid w:val="00B071F5"/>
    <w:rsid w:val="00B073D5"/>
    <w:rsid w:val="00B074CE"/>
    <w:rsid w:val="00B07A4F"/>
    <w:rsid w:val="00B07BD6"/>
    <w:rsid w:val="00B10215"/>
    <w:rsid w:val="00B1031C"/>
    <w:rsid w:val="00B10333"/>
    <w:rsid w:val="00B10579"/>
    <w:rsid w:val="00B105E5"/>
    <w:rsid w:val="00B10636"/>
    <w:rsid w:val="00B10B3E"/>
    <w:rsid w:val="00B10DB8"/>
    <w:rsid w:val="00B10F6B"/>
    <w:rsid w:val="00B10F91"/>
    <w:rsid w:val="00B11653"/>
    <w:rsid w:val="00B1169B"/>
    <w:rsid w:val="00B118F1"/>
    <w:rsid w:val="00B11BE4"/>
    <w:rsid w:val="00B11D3B"/>
    <w:rsid w:val="00B1235A"/>
    <w:rsid w:val="00B124C5"/>
    <w:rsid w:val="00B127D1"/>
    <w:rsid w:val="00B12853"/>
    <w:rsid w:val="00B12BE5"/>
    <w:rsid w:val="00B12C5B"/>
    <w:rsid w:val="00B12CC9"/>
    <w:rsid w:val="00B12E7A"/>
    <w:rsid w:val="00B13005"/>
    <w:rsid w:val="00B13526"/>
    <w:rsid w:val="00B1389C"/>
    <w:rsid w:val="00B13911"/>
    <w:rsid w:val="00B13956"/>
    <w:rsid w:val="00B1398A"/>
    <w:rsid w:val="00B139B2"/>
    <w:rsid w:val="00B13BC6"/>
    <w:rsid w:val="00B13E82"/>
    <w:rsid w:val="00B13EDA"/>
    <w:rsid w:val="00B141E1"/>
    <w:rsid w:val="00B14282"/>
    <w:rsid w:val="00B14573"/>
    <w:rsid w:val="00B14583"/>
    <w:rsid w:val="00B14A3E"/>
    <w:rsid w:val="00B14B40"/>
    <w:rsid w:val="00B14C3A"/>
    <w:rsid w:val="00B14FAD"/>
    <w:rsid w:val="00B151E9"/>
    <w:rsid w:val="00B1556E"/>
    <w:rsid w:val="00B15773"/>
    <w:rsid w:val="00B15855"/>
    <w:rsid w:val="00B15BC1"/>
    <w:rsid w:val="00B15D11"/>
    <w:rsid w:val="00B15EEC"/>
    <w:rsid w:val="00B15F32"/>
    <w:rsid w:val="00B15FC8"/>
    <w:rsid w:val="00B161D6"/>
    <w:rsid w:val="00B16230"/>
    <w:rsid w:val="00B16485"/>
    <w:rsid w:val="00B16596"/>
    <w:rsid w:val="00B16C3F"/>
    <w:rsid w:val="00B16D03"/>
    <w:rsid w:val="00B16E0E"/>
    <w:rsid w:val="00B172C3"/>
    <w:rsid w:val="00B17937"/>
    <w:rsid w:val="00B179B6"/>
    <w:rsid w:val="00B17C24"/>
    <w:rsid w:val="00B17E8D"/>
    <w:rsid w:val="00B201A0"/>
    <w:rsid w:val="00B203FA"/>
    <w:rsid w:val="00B2056D"/>
    <w:rsid w:val="00B20816"/>
    <w:rsid w:val="00B20CE1"/>
    <w:rsid w:val="00B20D96"/>
    <w:rsid w:val="00B20E67"/>
    <w:rsid w:val="00B21001"/>
    <w:rsid w:val="00B2114F"/>
    <w:rsid w:val="00B21209"/>
    <w:rsid w:val="00B21422"/>
    <w:rsid w:val="00B215E8"/>
    <w:rsid w:val="00B216AA"/>
    <w:rsid w:val="00B21E1F"/>
    <w:rsid w:val="00B21F9C"/>
    <w:rsid w:val="00B2203D"/>
    <w:rsid w:val="00B220DA"/>
    <w:rsid w:val="00B22117"/>
    <w:rsid w:val="00B223C0"/>
    <w:rsid w:val="00B225B2"/>
    <w:rsid w:val="00B22699"/>
    <w:rsid w:val="00B22847"/>
    <w:rsid w:val="00B22E7E"/>
    <w:rsid w:val="00B22FD5"/>
    <w:rsid w:val="00B22FEA"/>
    <w:rsid w:val="00B232A3"/>
    <w:rsid w:val="00B23328"/>
    <w:rsid w:val="00B234F5"/>
    <w:rsid w:val="00B23935"/>
    <w:rsid w:val="00B23BC4"/>
    <w:rsid w:val="00B23E90"/>
    <w:rsid w:val="00B23FC2"/>
    <w:rsid w:val="00B24242"/>
    <w:rsid w:val="00B2461E"/>
    <w:rsid w:val="00B24690"/>
    <w:rsid w:val="00B246C7"/>
    <w:rsid w:val="00B24E3E"/>
    <w:rsid w:val="00B251CF"/>
    <w:rsid w:val="00B25263"/>
    <w:rsid w:val="00B25728"/>
    <w:rsid w:val="00B259CC"/>
    <w:rsid w:val="00B25A34"/>
    <w:rsid w:val="00B25AAF"/>
    <w:rsid w:val="00B2626F"/>
    <w:rsid w:val="00B263B4"/>
    <w:rsid w:val="00B2692C"/>
    <w:rsid w:val="00B26B75"/>
    <w:rsid w:val="00B26C19"/>
    <w:rsid w:val="00B27542"/>
    <w:rsid w:val="00B275B4"/>
    <w:rsid w:val="00B2764F"/>
    <w:rsid w:val="00B27B40"/>
    <w:rsid w:val="00B27C11"/>
    <w:rsid w:val="00B3000B"/>
    <w:rsid w:val="00B3035F"/>
    <w:rsid w:val="00B303BD"/>
    <w:rsid w:val="00B30C49"/>
    <w:rsid w:val="00B316D7"/>
    <w:rsid w:val="00B31D26"/>
    <w:rsid w:val="00B3219C"/>
    <w:rsid w:val="00B32225"/>
    <w:rsid w:val="00B323A2"/>
    <w:rsid w:val="00B325D3"/>
    <w:rsid w:val="00B3261F"/>
    <w:rsid w:val="00B328BA"/>
    <w:rsid w:val="00B32938"/>
    <w:rsid w:val="00B32985"/>
    <w:rsid w:val="00B32B62"/>
    <w:rsid w:val="00B32BD1"/>
    <w:rsid w:val="00B32CE6"/>
    <w:rsid w:val="00B32F0E"/>
    <w:rsid w:val="00B32F3C"/>
    <w:rsid w:val="00B3302B"/>
    <w:rsid w:val="00B33285"/>
    <w:rsid w:val="00B333AE"/>
    <w:rsid w:val="00B3349F"/>
    <w:rsid w:val="00B33666"/>
    <w:rsid w:val="00B33D38"/>
    <w:rsid w:val="00B33FF7"/>
    <w:rsid w:val="00B3416B"/>
    <w:rsid w:val="00B341CE"/>
    <w:rsid w:val="00B342E6"/>
    <w:rsid w:val="00B342FF"/>
    <w:rsid w:val="00B343BD"/>
    <w:rsid w:val="00B34549"/>
    <w:rsid w:val="00B34ABE"/>
    <w:rsid w:val="00B34C3E"/>
    <w:rsid w:val="00B34C48"/>
    <w:rsid w:val="00B34DBE"/>
    <w:rsid w:val="00B34EBB"/>
    <w:rsid w:val="00B34FE7"/>
    <w:rsid w:val="00B35476"/>
    <w:rsid w:val="00B35B0F"/>
    <w:rsid w:val="00B35BCA"/>
    <w:rsid w:val="00B35D11"/>
    <w:rsid w:val="00B3609B"/>
    <w:rsid w:val="00B362E9"/>
    <w:rsid w:val="00B3640E"/>
    <w:rsid w:val="00B36BF4"/>
    <w:rsid w:val="00B36CCF"/>
    <w:rsid w:val="00B36D2F"/>
    <w:rsid w:val="00B36EC0"/>
    <w:rsid w:val="00B37095"/>
    <w:rsid w:val="00B3749F"/>
    <w:rsid w:val="00B3764E"/>
    <w:rsid w:val="00B37977"/>
    <w:rsid w:val="00B37BBE"/>
    <w:rsid w:val="00B37CE3"/>
    <w:rsid w:val="00B37CF7"/>
    <w:rsid w:val="00B37DDE"/>
    <w:rsid w:val="00B37F36"/>
    <w:rsid w:val="00B4001D"/>
    <w:rsid w:val="00B400C0"/>
    <w:rsid w:val="00B4034C"/>
    <w:rsid w:val="00B40811"/>
    <w:rsid w:val="00B40A13"/>
    <w:rsid w:val="00B40A5A"/>
    <w:rsid w:val="00B414BF"/>
    <w:rsid w:val="00B4154C"/>
    <w:rsid w:val="00B4172A"/>
    <w:rsid w:val="00B41834"/>
    <w:rsid w:val="00B41877"/>
    <w:rsid w:val="00B419B1"/>
    <w:rsid w:val="00B420AF"/>
    <w:rsid w:val="00B421DE"/>
    <w:rsid w:val="00B42409"/>
    <w:rsid w:val="00B4282D"/>
    <w:rsid w:val="00B4291A"/>
    <w:rsid w:val="00B42AFF"/>
    <w:rsid w:val="00B42B4D"/>
    <w:rsid w:val="00B42B73"/>
    <w:rsid w:val="00B42C0D"/>
    <w:rsid w:val="00B42C4F"/>
    <w:rsid w:val="00B42EE3"/>
    <w:rsid w:val="00B42EFD"/>
    <w:rsid w:val="00B43174"/>
    <w:rsid w:val="00B43309"/>
    <w:rsid w:val="00B43652"/>
    <w:rsid w:val="00B43C9C"/>
    <w:rsid w:val="00B43DA0"/>
    <w:rsid w:val="00B43F35"/>
    <w:rsid w:val="00B4423B"/>
    <w:rsid w:val="00B445D0"/>
    <w:rsid w:val="00B445F3"/>
    <w:rsid w:val="00B44615"/>
    <w:rsid w:val="00B44E60"/>
    <w:rsid w:val="00B44ED6"/>
    <w:rsid w:val="00B44FA3"/>
    <w:rsid w:val="00B4549E"/>
    <w:rsid w:val="00B457B7"/>
    <w:rsid w:val="00B45934"/>
    <w:rsid w:val="00B461BA"/>
    <w:rsid w:val="00B46647"/>
    <w:rsid w:val="00B4685E"/>
    <w:rsid w:val="00B46928"/>
    <w:rsid w:val="00B46A28"/>
    <w:rsid w:val="00B46A81"/>
    <w:rsid w:val="00B46F29"/>
    <w:rsid w:val="00B4764A"/>
    <w:rsid w:val="00B477C5"/>
    <w:rsid w:val="00B4781F"/>
    <w:rsid w:val="00B47952"/>
    <w:rsid w:val="00B47A06"/>
    <w:rsid w:val="00B47A3D"/>
    <w:rsid w:val="00B47C17"/>
    <w:rsid w:val="00B47C3A"/>
    <w:rsid w:val="00B47D16"/>
    <w:rsid w:val="00B47D7D"/>
    <w:rsid w:val="00B50264"/>
    <w:rsid w:val="00B50385"/>
    <w:rsid w:val="00B50432"/>
    <w:rsid w:val="00B506A2"/>
    <w:rsid w:val="00B508B4"/>
    <w:rsid w:val="00B50AA3"/>
    <w:rsid w:val="00B50BFD"/>
    <w:rsid w:val="00B50CDD"/>
    <w:rsid w:val="00B50D18"/>
    <w:rsid w:val="00B5115A"/>
    <w:rsid w:val="00B51339"/>
    <w:rsid w:val="00B51372"/>
    <w:rsid w:val="00B51639"/>
    <w:rsid w:val="00B521D3"/>
    <w:rsid w:val="00B52253"/>
    <w:rsid w:val="00B52615"/>
    <w:rsid w:val="00B52945"/>
    <w:rsid w:val="00B52FB7"/>
    <w:rsid w:val="00B531DC"/>
    <w:rsid w:val="00B53204"/>
    <w:rsid w:val="00B53545"/>
    <w:rsid w:val="00B539BD"/>
    <w:rsid w:val="00B53BA7"/>
    <w:rsid w:val="00B53C7F"/>
    <w:rsid w:val="00B53CE2"/>
    <w:rsid w:val="00B544E4"/>
    <w:rsid w:val="00B54660"/>
    <w:rsid w:val="00B54889"/>
    <w:rsid w:val="00B548E4"/>
    <w:rsid w:val="00B54B94"/>
    <w:rsid w:val="00B54C76"/>
    <w:rsid w:val="00B54C8C"/>
    <w:rsid w:val="00B54F44"/>
    <w:rsid w:val="00B5500B"/>
    <w:rsid w:val="00B5545C"/>
    <w:rsid w:val="00B55E2A"/>
    <w:rsid w:val="00B56116"/>
    <w:rsid w:val="00B56664"/>
    <w:rsid w:val="00B5666C"/>
    <w:rsid w:val="00B5677C"/>
    <w:rsid w:val="00B56974"/>
    <w:rsid w:val="00B56B1A"/>
    <w:rsid w:val="00B56C48"/>
    <w:rsid w:val="00B56D5B"/>
    <w:rsid w:val="00B56E0B"/>
    <w:rsid w:val="00B56E48"/>
    <w:rsid w:val="00B56F67"/>
    <w:rsid w:val="00B56FB4"/>
    <w:rsid w:val="00B57066"/>
    <w:rsid w:val="00B5737E"/>
    <w:rsid w:val="00B574FF"/>
    <w:rsid w:val="00B57607"/>
    <w:rsid w:val="00B57612"/>
    <w:rsid w:val="00B57708"/>
    <w:rsid w:val="00B57888"/>
    <w:rsid w:val="00B5794A"/>
    <w:rsid w:val="00B57AFF"/>
    <w:rsid w:val="00B57C54"/>
    <w:rsid w:val="00B57DA4"/>
    <w:rsid w:val="00B57FFB"/>
    <w:rsid w:val="00B604AD"/>
    <w:rsid w:val="00B60798"/>
    <w:rsid w:val="00B60DD5"/>
    <w:rsid w:val="00B60E73"/>
    <w:rsid w:val="00B6109B"/>
    <w:rsid w:val="00B614E5"/>
    <w:rsid w:val="00B61656"/>
    <w:rsid w:val="00B618CA"/>
    <w:rsid w:val="00B618E7"/>
    <w:rsid w:val="00B61F21"/>
    <w:rsid w:val="00B620FA"/>
    <w:rsid w:val="00B6228B"/>
    <w:rsid w:val="00B62351"/>
    <w:rsid w:val="00B62438"/>
    <w:rsid w:val="00B624B1"/>
    <w:rsid w:val="00B627A2"/>
    <w:rsid w:val="00B6310F"/>
    <w:rsid w:val="00B63265"/>
    <w:rsid w:val="00B63636"/>
    <w:rsid w:val="00B637CD"/>
    <w:rsid w:val="00B6398F"/>
    <w:rsid w:val="00B63D04"/>
    <w:rsid w:val="00B642FC"/>
    <w:rsid w:val="00B64372"/>
    <w:rsid w:val="00B644AC"/>
    <w:rsid w:val="00B646A3"/>
    <w:rsid w:val="00B64901"/>
    <w:rsid w:val="00B64A77"/>
    <w:rsid w:val="00B64CE6"/>
    <w:rsid w:val="00B650F6"/>
    <w:rsid w:val="00B652F4"/>
    <w:rsid w:val="00B65453"/>
    <w:rsid w:val="00B654E2"/>
    <w:rsid w:val="00B65929"/>
    <w:rsid w:val="00B659EB"/>
    <w:rsid w:val="00B65C18"/>
    <w:rsid w:val="00B65C6B"/>
    <w:rsid w:val="00B66789"/>
    <w:rsid w:val="00B667D8"/>
    <w:rsid w:val="00B66853"/>
    <w:rsid w:val="00B668A8"/>
    <w:rsid w:val="00B669EF"/>
    <w:rsid w:val="00B66B34"/>
    <w:rsid w:val="00B66B76"/>
    <w:rsid w:val="00B66DC4"/>
    <w:rsid w:val="00B66E2F"/>
    <w:rsid w:val="00B676AD"/>
    <w:rsid w:val="00B676DB"/>
    <w:rsid w:val="00B6782D"/>
    <w:rsid w:val="00B67928"/>
    <w:rsid w:val="00B679BF"/>
    <w:rsid w:val="00B67B1A"/>
    <w:rsid w:val="00B67D68"/>
    <w:rsid w:val="00B700BA"/>
    <w:rsid w:val="00B700D5"/>
    <w:rsid w:val="00B7049F"/>
    <w:rsid w:val="00B70673"/>
    <w:rsid w:val="00B706E4"/>
    <w:rsid w:val="00B7082B"/>
    <w:rsid w:val="00B709F6"/>
    <w:rsid w:val="00B70BAA"/>
    <w:rsid w:val="00B70C25"/>
    <w:rsid w:val="00B70F09"/>
    <w:rsid w:val="00B71209"/>
    <w:rsid w:val="00B716BB"/>
    <w:rsid w:val="00B71911"/>
    <w:rsid w:val="00B71EBB"/>
    <w:rsid w:val="00B71FC1"/>
    <w:rsid w:val="00B71FC2"/>
    <w:rsid w:val="00B720AB"/>
    <w:rsid w:val="00B7222C"/>
    <w:rsid w:val="00B724DF"/>
    <w:rsid w:val="00B72B28"/>
    <w:rsid w:val="00B72BE2"/>
    <w:rsid w:val="00B72D6A"/>
    <w:rsid w:val="00B7306D"/>
    <w:rsid w:val="00B732A7"/>
    <w:rsid w:val="00B7331B"/>
    <w:rsid w:val="00B733FA"/>
    <w:rsid w:val="00B7344A"/>
    <w:rsid w:val="00B73E8A"/>
    <w:rsid w:val="00B74164"/>
    <w:rsid w:val="00B74649"/>
    <w:rsid w:val="00B74A0B"/>
    <w:rsid w:val="00B74D84"/>
    <w:rsid w:val="00B74E31"/>
    <w:rsid w:val="00B751BB"/>
    <w:rsid w:val="00B7524E"/>
    <w:rsid w:val="00B7567C"/>
    <w:rsid w:val="00B75803"/>
    <w:rsid w:val="00B75973"/>
    <w:rsid w:val="00B75AD7"/>
    <w:rsid w:val="00B75FD7"/>
    <w:rsid w:val="00B7603E"/>
    <w:rsid w:val="00B76406"/>
    <w:rsid w:val="00B7695C"/>
    <w:rsid w:val="00B76A90"/>
    <w:rsid w:val="00B77050"/>
    <w:rsid w:val="00B771CA"/>
    <w:rsid w:val="00B77220"/>
    <w:rsid w:val="00B77420"/>
    <w:rsid w:val="00B7742C"/>
    <w:rsid w:val="00B77580"/>
    <w:rsid w:val="00B7768A"/>
    <w:rsid w:val="00B777BC"/>
    <w:rsid w:val="00B777C5"/>
    <w:rsid w:val="00B77C30"/>
    <w:rsid w:val="00B80349"/>
    <w:rsid w:val="00B80618"/>
    <w:rsid w:val="00B80AFF"/>
    <w:rsid w:val="00B80B13"/>
    <w:rsid w:val="00B80B55"/>
    <w:rsid w:val="00B81135"/>
    <w:rsid w:val="00B81207"/>
    <w:rsid w:val="00B81353"/>
    <w:rsid w:val="00B816CF"/>
    <w:rsid w:val="00B81780"/>
    <w:rsid w:val="00B8185F"/>
    <w:rsid w:val="00B819B8"/>
    <w:rsid w:val="00B823F1"/>
    <w:rsid w:val="00B82603"/>
    <w:rsid w:val="00B828CA"/>
    <w:rsid w:val="00B82948"/>
    <w:rsid w:val="00B82C70"/>
    <w:rsid w:val="00B82FBE"/>
    <w:rsid w:val="00B830BD"/>
    <w:rsid w:val="00B83174"/>
    <w:rsid w:val="00B833AF"/>
    <w:rsid w:val="00B833D4"/>
    <w:rsid w:val="00B83440"/>
    <w:rsid w:val="00B83447"/>
    <w:rsid w:val="00B837AB"/>
    <w:rsid w:val="00B83B99"/>
    <w:rsid w:val="00B83CAC"/>
    <w:rsid w:val="00B840B7"/>
    <w:rsid w:val="00B841A0"/>
    <w:rsid w:val="00B841AF"/>
    <w:rsid w:val="00B84283"/>
    <w:rsid w:val="00B84470"/>
    <w:rsid w:val="00B84482"/>
    <w:rsid w:val="00B845DE"/>
    <w:rsid w:val="00B8483B"/>
    <w:rsid w:val="00B849A8"/>
    <w:rsid w:val="00B84C0C"/>
    <w:rsid w:val="00B84C6F"/>
    <w:rsid w:val="00B84C9D"/>
    <w:rsid w:val="00B84EC1"/>
    <w:rsid w:val="00B854F8"/>
    <w:rsid w:val="00B85588"/>
    <w:rsid w:val="00B856DF"/>
    <w:rsid w:val="00B8594B"/>
    <w:rsid w:val="00B85988"/>
    <w:rsid w:val="00B85A3A"/>
    <w:rsid w:val="00B85D47"/>
    <w:rsid w:val="00B85FED"/>
    <w:rsid w:val="00B864E7"/>
    <w:rsid w:val="00B86519"/>
    <w:rsid w:val="00B86671"/>
    <w:rsid w:val="00B86712"/>
    <w:rsid w:val="00B86986"/>
    <w:rsid w:val="00B869A1"/>
    <w:rsid w:val="00B86AA4"/>
    <w:rsid w:val="00B86B6D"/>
    <w:rsid w:val="00B86D2F"/>
    <w:rsid w:val="00B86EF3"/>
    <w:rsid w:val="00B87166"/>
    <w:rsid w:val="00B871D3"/>
    <w:rsid w:val="00B874EF"/>
    <w:rsid w:val="00B8798F"/>
    <w:rsid w:val="00B87B5C"/>
    <w:rsid w:val="00B87DAE"/>
    <w:rsid w:val="00B87EE0"/>
    <w:rsid w:val="00B9023B"/>
    <w:rsid w:val="00B90543"/>
    <w:rsid w:val="00B906D3"/>
    <w:rsid w:val="00B90752"/>
    <w:rsid w:val="00B909A5"/>
    <w:rsid w:val="00B90C88"/>
    <w:rsid w:val="00B91025"/>
    <w:rsid w:val="00B9112B"/>
    <w:rsid w:val="00B911A0"/>
    <w:rsid w:val="00B91233"/>
    <w:rsid w:val="00B91366"/>
    <w:rsid w:val="00B914AD"/>
    <w:rsid w:val="00B917CD"/>
    <w:rsid w:val="00B91C2D"/>
    <w:rsid w:val="00B91FA4"/>
    <w:rsid w:val="00B9217F"/>
    <w:rsid w:val="00B92396"/>
    <w:rsid w:val="00B925EB"/>
    <w:rsid w:val="00B92624"/>
    <w:rsid w:val="00B92855"/>
    <w:rsid w:val="00B92AD4"/>
    <w:rsid w:val="00B92AED"/>
    <w:rsid w:val="00B92D86"/>
    <w:rsid w:val="00B93045"/>
    <w:rsid w:val="00B932BA"/>
    <w:rsid w:val="00B933CF"/>
    <w:rsid w:val="00B93502"/>
    <w:rsid w:val="00B935ED"/>
    <w:rsid w:val="00B936B9"/>
    <w:rsid w:val="00B93718"/>
    <w:rsid w:val="00B937E8"/>
    <w:rsid w:val="00B9389C"/>
    <w:rsid w:val="00B938CA"/>
    <w:rsid w:val="00B93986"/>
    <w:rsid w:val="00B93AF7"/>
    <w:rsid w:val="00B93DCC"/>
    <w:rsid w:val="00B93E32"/>
    <w:rsid w:val="00B93E39"/>
    <w:rsid w:val="00B93E9C"/>
    <w:rsid w:val="00B941B9"/>
    <w:rsid w:val="00B94614"/>
    <w:rsid w:val="00B9488C"/>
    <w:rsid w:val="00B94A7B"/>
    <w:rsid w:val="00B94A94"/>
    <w:rsid w:val="00B94C59"/>
    <w:rsid w:val="00B95617"/>
    <w:rsid w:val="00B95755"/>
    <w:rsid w:val="00B9577B"/>
    <w:rsid w:val="00B957D3"/>
    <w:rsid w:val="00B9598E"/>
    <w:rsid w:val="00B95A25"/>
    <w:rsid w:val="00B95ADE"/>
    <w:rsid w:val="00B95CFE"/>
    <w:rsid w:val="00B95F7D"/>
    <w:rsid w:val="00B95FBB"/>
    <w:rsid w:val="00B95FCB"/>
    <w:rsid w:val="00B96647"/>
    <w:rsid w:val="00B966B6"/>
    <w:rsid w:val="00B96862"/>
    <w:rsid w:val="00B96CC2"/>
    <w:rsid w:val="00B96D41"/>
    <w:rsid w:val="00B9710E"/>
    <w:rsid w:val="00B972FB"/>
    <w:rsid w:val="00B973B4"/>
    <w:rsid w:val="00B97BF1"/>
    <w:rsid w:val="00BA0542"/>
    <w:rsid w:val="00BA06B4"/>
    <w:rsid w:val="00BA082E"/>
    <w:rsid w:val="00BA0BC9"/>
    <w:rsid w:val="00BA0CB2"/>
    <w:rsid w:val="00BA0D93"/>
    <w:rsid w:val="00BA0E32"/>
    <w:rsid w:val="00BA0E98"/>
    <w:rsid w:val="00BA0F31"/>
    <w:rsid w:val="00BA10AB"/>
    <w:rsid w:val="00BA11BA"/>
    <w:rsid w:val="00BA16D2"/>
    <w:rsid w:val="00BA1A60"/>
    <w:rsid w:val="00BA1B83"/>
    <w:rsid w:val="00BA1BEC"/>
    <w:rsid w:val="00BA1C9D"/>
    <w:rsid w:val="00BA1CBF"/>
    <w:rsid w:val="00BA1EAF"/>
    <w:rsid w:val="00BA2745"/>
    <w:rsid w:val="00BA2795"/>
    <w:rsid w:val="00BA29B9"/>
    <w:rsid w:val="00BA2A07"/>
    <w:rsid w:val="00BA2A1D"/>
    <w:rsid w:val="00BA2E75"/>
    <w:rsid w:val="00BA2F6B"/>
    <w:rsid w:val="00BA3089"/>
    <w:rsid w:val="00BA31B4"/>
    <w:rsid w:val="00BA33CB"/>
    <w:rsid w:val="00BA3443"/>
    <w:rsid w:val="00BA36B1"/>
    <w:rsid w:val="00BA36D4"/>
    <w:rsid w:val="00BA3DEF"/>
    <w:rsid w:val="00BA3E12"/>
    <w:rsid w:val="00BA3E21"/>
    <w:rsid w:val="00BA4293"/>
    <w:rsid w:val="00BA42B6"/>
    <w:rsid w:val="00BA4440"/>
    <w:rsid w:val="00BA482C"/>
    <w:rsid w:val="00BA48C4"/>
    <w:rsid w:val="00BA4EE7"/>
    <w:rsid w:val="00BA51E0"/>
    <w:rsid w:val="00BA52B7"/>
    <w:rsid w:val="00BA535D"/>
    <w:rsid w:val="00BA5430"/>
    <w:rsid w:val="00BA5589"/>
    <w:rsid w:val="00BA591B"/>
    <w:rsid w:val="00BA594D"/>
    <w:rsid w:val="00BA601B"/>
    <w:rsid w:val="00BA60E6"/>
    <w:rsid w:val="00BA634D"/>
    <w:rsid w:val="00BA637F"/>
    <w:rsid w:val="00BA65D3"/>
    <w:rsid w:val="00BA6ABF"/>
    <w:rsid w:val="00BA6B2F"/>
    <w:rsid w:val="00BA6B8C"/>
    <w:rsid w:val="00BA6EDD"/>
    <w:rsid w:val="00BA6F38"/>
    <w:rsid w:val="00BA70FD"/>
    <w:rsid w:val="00BA7132"/>
    <w:rsid w:val="00BA7203"/>
    <w:rsid w:val="00BA7665"/>
    <w:rsid w:val="00BA76AC"/>
    <w:rsid w:val="00BA7747"/>
    <w:rsid w:val="00BA796E"/>
    <w:rsid w:val="00BA79FF"/>
    <w:rsid w:val="00BA7A11"/>
    <w:rsid w:val="00BA7BE7"/>
    <w:rsid w:val="00BA7F76"/>
    <w:rsid w:val="00BB0040"/>
    <w:rsid w:val="00BB010C"/>
    <w:rsid w:val="00BB0340"/>
    <w:rsid w:val="00BB03E5"/>
    <w:rsid w:val="00BB083C"/>
    <w:rsid w:val="00BB0B0E"/>
    <w:rsid w:val="00BB0F4B"/>
    <w:rsid w:val="00BB0FAD"/>
    <w:rsid w:val="00BB1159"/>
    <w:rsid w:val="00BB1572"/>
    <w:rsid w:val="00BB180C"/>
    <w:rsid w:val="00BB186F"/>
    <w:rsid w:val="00BB1B0A"/>
    <w:rsid w:val="00BB1C40"/>
    <w:rsid w:val="00BB1CB5"/>
    <w:rsid w:val="00BB1CDE"/>
    <w:rsid w:val="00BB1D80"/>
    <w:rsid w:val="00BB1DBF"/>
    <w:rsid w:val="00BB1EB1"/>
    <w:rsid w:val="00BB204B"/>
    <w:rsid w:val="00BB204F"/>
    <w:rsid w:val="00BB205D"/>
    <w:rsid w:val="00BB22A3"/>
    <w:rsid w:val="00BB22A8"/>
    <w:rsid w:val="00BB29CF"/>
    <w:rsid w:val="00BB2B41"/>
    <w:rsid w:val="00BB2BD3"/>
    <w:rsid w:val="00BB31AD"/>
    <w:rsid w:val="00BB3243"/>
    <w:rsid w:val="00BB37C8"/>
    <w:rsid w:val="00BB38FB"/>
    <w:rsid w:val="00BB3AD0"/>
    <w:rsid w:val="00BB3EF9"/>
    <w:rsid w:val="00BB41F6"/>
    <w:rsid w:val="00BB4215"/>
    <w:rsid w:val="00BB440B"/>
    <w:rsid w:val="00BB44E0"/>
    <w:rsid w:val="00BB44F4"/>
    <w:rsid w:val="00BB453B"/>
    <w:rsid w:val="00BB4600"/>
    <w:rsid w:val="00BB4851"/>
    <w:rsid w:val="00BB4A22"/>
    <w:rsid w:val="00BB4A60"/>
    <w:rsid w:val="00BB4A61"/>
    <w:rsid w:val="00BB4CC2"/>
    <w:rsid w:val="00BB4D3D"/>
    <w:rsid w:val="00BB4D58"/>
    <w:rsid w:val="00BB505B"/>
    <w:rsid w:val="00BB5157"/>
    <w:rsid w:val="00BB5426"/>
    <w:rsid w:val="00BB546A"/>
    <w:rsid w:val="00BB5955"/>
    <w:rsid w:val="00BB5D51"/>
    <w:rsid w:val="00BB5FAC"/>
    <w:rsid w:val="00BB600D"/>
    <w:rsid w:val="00BB68D5"/>
    <w:rsid w:val="00BB696F"/>
    <w:rsid w:val="00BB69F2"/>
    <w:rsid w:val="00BB6A92"/>
    <w:rsid w:val="00BB6B9D"/>
    <w:rsid w:val="00BB6E2F"/>
    <w:rsid w:val="00BB6E30"/>
    <w:rsid w:val="00BB7040"/>
    <w:rsid w:val="00BB764A"/>
    <w:rsid w:val="00BB780D"/>
    <w:rsid w:val="00BB78A8"/>
    <w:rsid w:val="00BB7E82"/>
    <w:rsid w:val="00BB7F0F"/>
    <w:rsid w:val="00BC007A"/>
    <w:rsid w:val="00BC054D"/>
    <w:rsid w:val="00BC0623"/>
    <w:rsid w:val="00BC0AED"/>
    <w:rsid w:val="00BC0C1C"/>
    <w:rsid w:val="00BC117E"/>
    <w:rsid w:val="00BC12B9"/>
    <w:rsid w:val="00BC1404"/>
    <w:rsid w:val="00BC16BB"/>
    <w:rsid w:val="00BC1747"/>
    <w:rsid w:val="00BC1CC5"/>
    <w:rsid w:val="00BC1D42"/>
    <w:rsid w:val="00BC1DD0"/>
    <w:rsid w:val="00BC2048"/>
    <w:rsid w:val="00BC225A"/>
    <w:rsid w:val="00BC23E3"/>
    <w:rsid w:val="00BC2565"/>
    <w:rsid w:val="00BC25B8"/>
    <w:rsid w:val="00BC27E1"/>
    <w:rsid w:val="00BC27E9"/>
    <w:rsid w:val="00BC2A41"/>
    <w:rsid w:val="00BC2A43"/>
    <w:rsid w:val="00BC2A8A"/>
    <w:rsid w:val="00BC2B95"/>
    <w:rsid w:val="00BC2C0A"/>
    <w:rsid w:val="00BC2CAA"/>
    <w:rsid w:val="00BC2E63"/>
    <w:rsid w:val="00BC2F15"/>
    <w:rsid w:val="00BC2F7C"/>
    <w:rsid w:val="00BC2FA5"/>
    <w:rsid w:val="00BC3016"/>
    <w:rsid w:val="00BC315B"/>
    <w:rsid w:val="00BC35DB"/>
    <w:rsid w:val="00BC3607"/>
    <w:rsid w:val="00BC3A2A"/>
    <w:rsid w:val="00BC4316"/>
    <w:rsid w:val="00BC43BC"/>
    <w:rsid w:val="00BC43D8"/>
    <w:rsid w:val="00BC4470"/>
    <w:rsid w:val="00BC479B"/>
    <w:rsid w:val="00BC48C7"/>
    <w:rsid w:val="00BC4A45"/>
    <w:rsid w:val="00BC4B4E"/>
    <w:rsid w:val="00BC514A"/>
    <w:rsid w:val="00BC5241"/>
    <w:rsid w:val="00BC5308"/>
    <w:rsid w:val="00BC5ABF"/>
    <w:rsid w:val="00BC5E44"/>
    <w:rsid w:val="00BC60F5"/>
    <w:rsid w:val="00BC66B6"/>
    <w:rsid w:val="00BC691C"/>
    <w:rsid w:val="00BC6AA0"/>
    <w:rsid w:val="00BC6B44"/>
    <w:rsid w:val="00BC6EA1"/>
    <w:rsid w:val="00BC6F01"/>
    <w:rsid w:val="00BC730B"/>
    <w:rsid w:val="00BC74D0"/>
    <w:rsid w:val="00BC75B6"/>
    <w:rsid w:val="00BC75EF"/>
    <w:rsid w:val="00BC7E62"/>
    <w:rsid w:val="00BC7E6F"/>
    <w:rsid w:val="00BD004C"/>
    <w:rsid w:val="00BD006A"/>
    <w:rsid w:val="00BD02ED"/>
    <w:rsid w:val="00BD0C0B"/>
    <w:rsid w:val="00BD0CC9"/>
    <w:rsid w:val="00BD0DEF"/>
    <w:rsid w:val="00BD0F13"/>
    <w:rsid w:val="00BD0F8D"/>
    <w:rsid w:val="00BD10E1"/>
    <w:rsid w:val="00BD15D6"/>
    <w:rsid w:val="00BD17C7"/>
    <w:rsid w:val="00BD1903"/>
    <w:rsid w:val="00BD1A11"/>
    <w:rsid w:val="00BD1A41"/>
    <w:rsid w:val="00BD1B88"/>
    <w:rsid w:val="00BD1C2E"/>
    <w:rsid w:val="00BD1DAE"/>
    <w:rsid w:val="00BD1EE3"/>
    <w:rsid w:val="00BD1F2A"/>
    <w:rsid w:val="00BD26BA"/>
    <w:rsid w:val="00BD2719"/>
    <w:rsid w:val="00BD2C9C"/>
    <w:rsid w:val="00BD2E3D"/>
    <w:rsid w:val="00BD2EBF"/>
    <w:rsid w:val="00BD31C0"/>
    <w:rsid w:val="00BD3399"/>
    <w:rsid w:val="00BD37F6"/>
    <w:rsid w:val="00BD3901"/>
    <w:rsid w:val="00BD3C11"/>
    <w:rsid w:val="00BD3CB9"/>
    <w:rsid w:val="00BD3D45"/>
    <w:rsid w:val="00BD3F46"/>
    <w:rsid w:val="00BD4176"/>
    <w:rsid w:val="00BD41D8"/>
    <w:rsid w:val="00BD41EC"/>
    <w:rsid w:val="00BD4301"/>
    <w:rsid w:val="00BD46FD"/>
    <w:rsid w:val="00BD4752"/>
    <w:rsid w:val="00BD49CE"/>
    <w:rsid w:val="00BD4AAD"/>
    <w:rsid w:val="00BD4ABA"/>
    <w:rsid w:val="00BD4C6F"/>
    <w:rsid w:val="00BD4D31"/>
    <w:rsid w:val="00BD4F7B"/>
    <w:rsid w:val="00BD5017"/>
    <w:rsid w:val="00BD50D8"/>
    <w:rsid w:val="00BD5191"/>
    <w:rsid w:val="00BD530D"/>
    <w:rsid w:val="00BD544D"/>
    <w:rsid w:val="00BD54A4"/>
    <w:rsid w:val="00BD550C"/>
    <w:rsid w:val="00BD5C20"/>
    <w:rsid w:val="00BD5C5A"/>
    <w:rsid w:val="00BD5F7B"/>
    <w:rsid w:val="00BD649F"/>
    <w:rsid w:val="00BD650C"/>
    <w:rsid w:val="00BD6546"/>
    <w:rsid w:val="00BD65D3"/>
    <w:rsid w:val="00BD66DC"/>
    <w:rsid w:val="00BD67CE"/>
    <w:rsid w:val="00BD6914"/>
    <w:rsid w:val="00BD6934"/>
    <w:rsid w:val="00BD69B1"/>
    <w:rsid w:val="00BD6B18"/>
    <w:rsid w:val="00BD7016"/>
    <w:rsid w:val="00BD73DC"/>
    <w:rsid w:val="00BD748D"/>
    <w:rsid w:val="00BD74B5"/>
    <w:rsid w:val="00BD758A"/>
    <w:rsid w:val="00BD76CC"/>
    <w:rsid w:val="00BD7798"/>
    <w:rsid w:val="00BD7845"/>
    <w:rsid w:val="00BD7F71"/>
    <w:rsid w:val="00BE0119"/>
    <w:rsid w:val="00BE01D6"/>
    <w:rsid w:val="00BE05E0"/>
    <w:rsid w:val="00BE07C6"/>
    <w:rsid w:val="00BE09BE"/>
    <w:rsid w:val="00BE0CFD"/>
    <w:rsid w:val="00BE0D71"/>
    <w:rsid w:val="00BE104B"/>
    <w:rsid w:val="00BE145B"/>
    <w:rsid w:val="00BE1849"/>
    <w:rsid w:val="00BE1862"/>
    <w:rsid w:val="00BE1929"/>
    <w:rsid w:val="00BE1D83"/>
    <w:rsid w:val="00BE1E8F"/>
    <w:rsid w:val="00BE2379"/>
    <w:rsid w:val="00BE244C"/>
    <w:rsid w:val="00BE25C5"/>
    <w:rsid w:val="00BE263F"/>
    <w:rsid w:val="00BE26A5"/>
    <w:rsid w:val="00BE2774"/>
    <w:rsid w:val="00BE278B"/>
    <w:rsid w:val="00BE2B41"/>
    <w:rsid w:val="00BE30D0"/>
    <w:rsid w:val="00BE31CF"/>
    <w:rsid w:val="00BE3238"/>
    <w:rsid w:val="00BE32E0"/>
    <w:rsid w:val="00BE330F"/>
    <w:rsid w:val="00BE33D3"/>
    <w:rsid w:val="00BE342D"/>
    <w:rsid w:val="00BE34B0"/>
    <w:rsid w:val="00BE38F8"/>
    <w:rsid w:val="00BE38FC"/>
    <w:rsid w:val="00BE3CE5"/>
    <w:rsid w:val="00BE3DF9"/>
    <w:rsid w:val="00BE3F87"/>
    <w:rsid w:val="00BE4199"/>
    <w:rsid w:val="00BE419A"/>
    <w:rsid w:val="00BE4355"/>
    <w:rsid w:val="00BE476A"/>
    <w:rsid w:val="00BE47AC"/>
    <w:rsid w:val="00BE4853"/>
    <w:rsid w:val="00BE4878"/>
    <w:rsid w:val="00BE4AE8"/>
    <w:rsid w:val="00BE564C"/>
    <w:rsid w:val="00BE59CD"/>
    <w:rsid w:val="00BE5A7F"/>
    <w:rsid w:val="00BE5ACF"/>
    <w:rsid w:val="00BE6260"/>
    <w:rsid w:val="00BE6458"/>
    <w:rsid w:val="00BE6534"/>
    <w:rsid w:val="00BE65F2"/>
    <w:rsid w:val="00BE6725"/>
    <w:rsid w:val="00BE67B9"/>
    <w:rsid w:val="00BE68A6"/>
    <w:rsid w:val="00BE68A9"/>
    <w:rsid w:val="00BE6962"/>
    <w:rsid w:val="00BE6F96"/>
    <w:rsid w:val="00BE7220"/>
    <w:rsid w:val="00BE7299"/>
    <w:rsid w:val="00BE73E3"/>
    <w:rsid w:val="00BE74E5"/>
    <w:rsid w:val="00BE758D"/>
    <w:rsid w:val="00BE770F"/>
    <w:rsid w:val="00BE773B"/>
    <w:rsid w:val="00BE79DC"/>
    <w:rsid w:val="00BE7A5E"/>
    <w:rsid w:val="00BF0308"/>
    <w:rsid w:val="00BF03B9"/>
    <w:rsid w:val="00BF041B"/>
    <w:rsid w:val="00BF051A"/>
    <w:rsid w:val="00BF0567"/>
    <w:rsid w:val="00BF07C9"/>
    <w:rsid w:val="00BF0978"/>
    <w:rsid w:val="00BF0D77"/>
    <w:rsid w:val="00BF107D"/>
    <w:rsid w:val="00BF158D"/>
    <w:rsid w:val="00BF18C6"/>
    <w:rsid w:val="00BF18D1"/>
    <w:rsid w:val="00BF198C"/>
    <w:rsid w:val="00BF19EC"/>
    <w:rsid w:val="00BF1E47"/>
    <w:rsid w:val="00BF1EF1"/>
    <w:rsid w:val="00BF1FEA"/>
    <w:rsid w:val="00BF2344"/>
    <w:rsid w:val="00BF24C6"/>
    <w:rsid w:val="00BF25B2"/>
    <w:rsid w:val="00BF277D"/>
    <w:rsid w:val="00BF2842"/>
    <w:rsid w:val="00BF2A08"/>
    <w:rsid w:val="00BF2BF7"/>
    <w:rsid w:val="00BF2CCF"/>
    <w:rsid w:val="00BF2F52"/>
    <w:rsid w:val="00BF321A"/>
    <w:rsid w:val="00BF3333"/>
    <w:rsid w:val="00BF3722"/>
    <w:rsid w:val="00BF3AB9"/>
    <w:rsid w:val="00BF3BFC"/>
    <w:rsid w:val="00BF3D62"/>
    <w:rsid w:val="00BF3D8F"/>
    <w:rsid w:val="00BF3ED4"/>
    <w:rsid w:val="00BF41FD"/>
    <w:rsid w:val="00BF4299"/>
    <w:rsid w:val="00BF453D"/>
    <w:rsid w:val="00BF4D92"/>
    <w:rsid w:val="00BF53C1"/>
    <w:rsid w:val="00BF5449"/>
    <w:rsid w:val="00BF544D"/>
    <w:rsid w:val="00BF55D0"/>
    <w:rsid w:val="00BF5773"/>
    <w:rsid w:val="00BF5892"/>
    <w:rsid w:val="00BF5983"/>
    <w:rsid w:val="00BF5A52"/>
    <w:rsid w:val="00BF5BC9"/>
    <w:rsid w:val="00BF5E5F"/>
    <w:rsid w:val="00BF606B"/>
    <w:rsid w:val="00BF6437"/>
    <w:rsid w:val="00BF6633"/>
    <w:rsid w:val="00BF6D1E"/>
    <w:rsid w:val="00BF6D4A"/>
    <w:rsid w:val="00BF7538"/>
    <w:rsid w:val="00BF75C5"/>
    <w:rsid w:val="00BF781B"/>
    <w:rsid w:val="00BF7A6D"/>
    <w:rsid w:val="00BF7C6C"/>
    <w:rsid w:val="00BF7CC6"/>
    <w:rsid w:val="00BF7CE0"/>
    <w:rsid w:val="00BF7D56"/>
    <w:rsid w:val="00BF7ED5"/>
    <w:rsid w:val="00BF7F82"/>
    <w:rsid w:val="00BF7F94"/>
    <w:rsid w:val="00C00102"/>
    <w:rsid w:val="00C00359"/>
    <w:rsid w:val="00C00499"/>
    <w:rsid w:val="00C005B7"/>
    <w:rsid w:val="00C00904"/>
    <w:rsid w:val="00C00CC2"/>
    <w:rsid w:val="00C00E81"/>
    <w:rsid w:val="00C01045"/>
    <w:rsid w:val="00C01277"/>
    <w:rsid w:val="00C014AB"/>
    <w:rsid w:val="00C0164B"/>
    <w:rsid w:val="00C01780"/>
    <w:rsid w:val="00C01852"/>
    <w:rsid w:val="00C018B7"/>
    <w:rsid w:val="00C01E83"/>
    <w:rsid w:val="00C01FEF"/>
    <w:rsid w:val="00C021F0"/>
    <w:rsid w:val="00C02289"/>
    <w:rsid w:val="00C022F4"/>
    <w:rsid w:val="00C0272F"/>
    <w:rsid w:val="00C02778"/>
    <w:rsid w:val="00C02CFC"/>
    <w:rsid w:val="00C03289"/>
    <w:rsid w:val="00C033F7"/>
    <w:rsid w:val="00C0349C"/>
    <w:rsid w:val="00C03AE2"/>
    <w:rsid w:val="00C03CB7"/>
    <w:rsid w:val="00C03FA1"/>
    <w:rsid w:val="00C04046"/>
    <w:rsid w:val="00C045C2"/>
    <w:rsid w:val="00C04613"/>
    <w:rsid w:val="00C046B6"/>
    <w:rsid w:val="00C04738"/>
    <w:rsid w:val="00C04ABB"/>
    <w:rsid w:val="00C04C45"/>
    <w:rsid w:val="00C0515D"/>
    <w:rsid w:val="00C053A1"/>
    <w:rsid w:val="00C0555A"/>
    <w:rsid w:val="00C05ABD"/>
    <w:rsid w:val="00C05DC6"/>
    <w:rsid w:val="00C05E3E"/>
    <w:rsid w:val="00C05F1C"/>
    <w:rsid w:val="00C06222"/>
    <w:rsid w:val="00C06413"/>
    <w:rsid w:val="00C06436"/>
    <w:rsid w:val="00C06638"/>
    <w:rsid w:val="00C0680D"/>
    <w:rsid w:val="00C0695C"/>
    <w:rsid w:val="00C06B1F"/>
    <w:rsid w:val="00C06DE2"/>
    <w:rsid w:val="00C070AB"/>
    <w:rsid w:val="00C0767F"/>
    <w:rsid w:val="00C07981"/>
    <w:rsid w:val="00C07A43"/>
    <w:rsid w:val="00C07D1C"/>
    <w:rsid w:val="00C07F3C"/>
    <w:rsid w:val="00C10303"/>
    <w:rsid w:val="00C10506"/>
    <w:rsid w:val="00C10563"/>
    <w:rsid w:val="00C10943"/>
    <w:rsid w:val="00C11337"/>
    <w:rsid w:val="00C11383"/>
    <w:rsid w:val="00C1158D"/>
    <w:rsid w:val="00C119E0"/>
    <w:rsid w:val="00C11D3D"/>
    <w:rsid w:val="00C11DA8"/>
    <w:rsid w:val="00C11F31"/>
    <w:rsid w:val="00C1230D"/>
    <w:rsid w:val="00C12374"/>
    <w:rsid w:val="00C12631"/>
    <w:rsid w:val="00C12897"/>
    <w:rsid w:val="00C1293B"/>
    <w:rsid w:val="00C129A8"/>
    <w:rsid w:val="00C12A16"/>
    <w:rsid w:val="00C12B7C"/>
    <w:rsid w:val="00C13444"/>
    <w:rsid w:val="00C134C4"/>
    <w:rsid w:val="00C137E4"/>
    <w:rsid w:val="00C13E12"/>
    <w:rsid w:val="00C1406C"/>
    <w:rsid w:val="00C1454D"/>
    <w:rsid w:val="00C14629"/>
    <w:rsid w:val="00C14707"/>
    <w:rsid w:val="00C149D4"/>
    <w:rsid w:val="00C14DC3"/>
    <w:rsid w:val="00C1522C"/>
    <w:rsid w:val="00C15563"/>
    <w:rsid w:val="00C155EA"/>
    <w:rsid w:val="00C15716"/>
    <w:rsid w:val="00C1585C"/>
    <w:rsid w:val="00C15C86"/>
    <w:rsid w:val="00C16103"/>
    <w:rsid w:val="00C1625C"/>
    <w:rsid w:val="00C16364"/>
    <w:rsid w:val="00C16729"/>
    <w:rsid w:val="00C173A7"/>
    <w:rsid w:val="00C175AE"/>
    <w:rsid w:val="00C17619"/>
    <w:rsid w:val="00C1763C"/>
    <w:rsid w:val="00C177B0"/>
    <w:rsid w:val="00C17849"/>
    <w:rsid w:val="00C1786A"/>
    <w:rsid w:val="00C178C6"/>
    <w:rsid w:val="00C17BC1"/>
    <w:rsid w:val="00C20089"/>
    <w:rsid w:val="00C20154"/>
    <w:rsid w:val="00C201C0"/>
    <w:rsid w:val="00C2081A"/>
    <w:rsid w:val="00C20AB9"/>
    <w:rsid w:val="00C20CE4"/>
    <w:rsid w:val="00C20D2D"/>
    <w:rsid w:val="00C20DD7"/>
    <w:rsid w:val="00C20F01"/>
    <w:rsid w:val="00C20FD7"/>
    <w:rsid w:val="00C211D9"/>
    <w:rsid w:val="00C21344"/>
    <w:rsid w:val="00C21457"/>
    <w:rsid w:val="00C216E6"/>
    <w:rsid w:val="00C21FAC"/>
    <w:rsid w:val="00C22021"/>
    <w:rsid w:val="00C22139"/>
    <w:rsid w:val="00C2218F"/>
    <w:rsid w:val="00C221A0"/>
    <w:rsid w:val="00C222A0"/>
    <w:rsid w:val="00C22440"/>
    <w:rsid w:val="00C22612"/>
    <w:rsid w:val="00C22D8E"/>
    <w:rsid w:val="00C231B8"/>
    <w:rsid w:val="00C23251"/>
    <w:rsid w:val="00C23269"/>
    <w:rsid w:val="00C23310"/>
    <w:rsid w:val="00C234AE"/>
    <w:rsid w:val="00C234E9"/>
    <w:rsid w:val="00C23514"/>
    <w:rsid w:val="00C2363B"/>
    <w:rsid w:val="00C23749"/>
    <w:rsid w:val="00C23C97"/>
    <w:rsid w:val="00C23CBA"/>
    <w:rsid w:val="00C23CBC"/>
    <w:rsid w:val="00C24001"/>
    <w:rsid w:val="00C243DD"/>
    <w:rsid w:val="00C24806"/>
    <w:rsid w:val="00C24AE6"/>
    <w:rsid w:val="00C24C06"/>
    <w:rsid w:val="00C24D80"/>
    <w:rsid w:val="00C24F79"/>
    <w:rsid w:val="00C250C7"/>
    <w:rsid w:val="00C251B9"/>
    <w:rsid w:val="00C251F3"/>
    <w:rsid w:val="00C25A72"/>
    <w:rsid w:val="00C25AF1"/>
    <w:rsid w:val="00C25BFE"/>
    <w:rsid w:val="00C25D34"/>
    <w:rsid w:val="00C25D8B"/>
    <w:rsid w:val="00C2601C"/>
    <w:rsid w:val="00C26037"/>
    <w:rsid w:val="00C265AA"/>
    <w:rsid w:val="00C270CB"/>
    <w:rsid w:val="00C27192"/>
    <w:rsid w:val="00C27260"/>
    <w:rsid w:val="00C27382"/>
    <w:rsid w:val="00C27642"/>
    <w:rsid w:val="00C276C8"/>
    <w:rsid w:val="00C278A9"/>
    <w:rsid w:val="00C27A63"/>
    <w:rsid w:val="00C27B1D"/>
    <w:rsid w:val="00C27DD5"/>
    <w:rsid w:val="00C27DD8"/>
    <w:rsid w:val="00C301AB"/>
    <w:rsid w:val="00C3039D"/>
    <w:rsid w:val="00C304C3"/>
    <w:rsid w:val="00C3064C"/>
    <w:rsid w:val="00C3068A"/>
    <w:rsid w:val="00C307D1"/>
    <w:rsid w:val="00C3086E"/>
    <w:rsid w:val="00C309E9"/>
    <w:rsid w:val="00C30BBB"/>
    <w:rsid w:val="00C30F78"/>
    <w:rsid w:val="00C3135B"/>
    <w:rsid w:val="00C3156A"/>
    <w:rsid w:val="00C317F3"/>
    <w:rsid w:val="00C31F14"/>
    <w:rsid w:val="00C3253E"/>
    <w:rsid w:val="00C325F0"/>
    <w:rsid w:val="00C32827"/>
    <w:rsid w:val="00C32CEE"/>
    <w:rsid w:val="00C32E91"/>
    <w:rsid w:val="00C32EAE"/>
    <w:rsid w:val="00C32F8D"/>
    <w:rsid w:val="00C336F6"/>
    <w:rsid w:val="00C337A3"/>
    <w:rsid w:val="00C33938"/>
    <w:rsid w:val="00C33E62"/>
    <w:rsid w:val="00C33EEC"/>
    <w:rsid w:val="00C34031"/>
    <w:rsid w:val="00C3436C"/>
    <w:rsid w:val="00C3459D"/>
    <w:rsid w:val="00C34623"/>
    <w:rsid w:val="00C346B9"/>
    <w:rsid w:val="00C34A9D"/>
    <w:rsid w:val="00C34DEF"/>
    <w:rsid w:val="00C34E37"/>
    <w:rsid w:val="00C34F00"/>
    <w:rsid w:val="00C35049"/>
    <w:rsid w:val="00C35646"/>
    <w:rsid w:val="00C3578F"/>
    <w:rsid w:val="00C358A2"/>
    <w:rsid w:val="00C35B92"/>
    <w:rsid w:val="00C35F21"/>
    <w:rsid w:val="00C360CE"/>
    <w:rsid w:val="00C366F5"/>
    <w:rsid w:val="00C367F0"/>
    <w:rsid w:val="00C36B21"/>
    <w:rsid w:val="00C36FFD"/>
    <w:rsid w:val="00C3711D"/>
    <w:rsid w:val="00C373B1"/>
    <w:rsid w:val="00C373C7"/>
    <w:rsid w:val="00C3778F"/>
    <w:rsid w:val="00C3779E"/>
    <w:rsid w:val="00C37BEC"/>
    <w:rsid w:val="00C37DB4"/>
    <w:rsid w:val="00C37EA1"/>
    <w:rsid w:val="00C37EC3"/>
    <w:rsid w:val="00C37F06"/>
    <w:rsid w:val="00C40359"/>
    <w:rsid w:val="00C40A34"/>
    <w:rsid w:val="00C40BAD"/>
    <w:rsid w:val="00C40C4A"/>
    <w:rsid w:val="00C40F60"/>
    <w:rsid w:val="00C41202"/>
    <w:rsid w:val="00C413BF"/>
    <w:rsid w:val="00C41A11"/>
    <w:rsid w:val="00C41F3D"/>
    <w:rsid w:val="00C42395"/>
    <w:rsid w:val="00C42586"/>
    <w:rsid w:val="00C425D3"/>
    <w:rsid w:val="00C4295C"/>
    <w:rsid w:val="00C42A77"/>
    <w:rsid w:val="00C42A81"/>
    <w:rsid w:val="00C42D0F"/>
    <w:rsid w:val="00C42FE5"/>
    <w:rsid w:val="00C4312F"/>
    <w:rsid w:val="00C4379F"/>
    <w:rsid w:val="00C43B3D"/>
    <w:rsid w:val="00C43BD9"/>
    <w:rsid w:val="00C43DE9"/>
    <w:rsid w:val="00C43F84"/>
    <w:rsid w:val="00C44178"/>
    <w:rsid w:val="00C443E5"/>
    <w:rsid w:val="00C4469E"/>
    <w:rsid w:val="00C44E07"/>
    <w:rsid w:val="00C44E21"/>
    <w:rsid w:val="00C44EEF"/>
    <w:rsid w:val="00C450CF"/>
    <w:rsid w:val="00C4524A"/>
    <w:rsid w:val="00C45493"/>
    <w:rsid w:val="00C4570C"/>
    <w:rsid w:val="00C45787"/>
    <w:rsid w:val="00C45892"/>
    <w:rsid w:val="00C4594F"/>
    <w:rsid w:val="00C45968"/>
    <w:rsid w:val="00C459D4"/>
    <w:rsid w:val="00C459F6"/>
    <w:rsid w:val="00C45B27"/>
    <w:rsid w:val="00C45B4E"/>
    <w:rsid w:val="00C45C43"/>
    <w:rsid w:val="00C45EDA"/>
    <w:rsid w:val="00C45F8B"/>
    <w:rsid w:val="00C46385"/>
    <w:rsid w:val="00C4686D"/>
    <w:rsid w:val="00C46A5D"/>
    <w:rsid w:val="00C46C91"/>
    <w:rsid w:val="00C46D80"/>
    <w:rsid w:val="00C4733D"/>
    <w:rsid w:val="00C478DF"/>
    <w:rsid w:val="00C47E45"/>
    <w:rsid w:val="00C50058"/>
    <w:rsid w:val="00C50146"/>
    <w:rsid w:val="00C503AA"/>
    <w:rsid w:val="00C504E9"/>
    <w:rsid w:val="00C50C86"/>
    <w:rsid w:val="00C50CB7"/>
    <w:rsid w:val="00C50EA2"/>
    <w:rsid w:val="00C50F40"/>
    <w:rsid w:val="00C50F46"/>
    <w:rsid w:val="00C51193"/>
    <w:rsid w:val="00C51330"/>
    <w:rsid w:val="00C514B0"/>
    <w:rsid w:val="00C514D5"/>
    <w:rsid w:val="00C518DB"/>
    <w:rsid w:val="00C518DF"/>
    <w:rsid w:val="00C51997"/>
    <w:rsid w:val="00C51A52"/>
    <w:rsid w:val="00C51AD3"/>
    <w:rsid w:val="00C51B46"/>
    <w:rsid w:val="00C51F42"/>
    <w:rsid w:val="00C520FA"/>
    <w:rsid w:val="00C52407"/>
    <w:rsid w:val="00C52512"/>
    <w:rsid w:val="00C52836"/>
    <w:rsid w:val="00C52A5E"/>
    <w:rsid w:val="00C52C9F"/>
    <w:rsid w:val="00C52D16"/>
    <w:rsid w:val="00C52F95"/>
    <w:rsid w:val="00C52F9F"/>
    <w:rsid w:val="00C530CE"/>
    <w:rsid w:val="00C531E3"/>
    <w:rsid w:val="00C5329B"/>
    <w:rsid w:val="00C53401"/>
    <w:rsid w:val="00C53428"/>
    <w:rsid w:val="00C5349E"/>
    <w:rsid w:val="00C53860"/>
    <w:rsid w:val="00C5395D"/>
    <w:rsid w:val="00C53BE5"/>
    <w:rsid w:val="00C53C7C"/>
    <w:rsid w:val="00C53DE9"/>
    <w:rsid w:val="00C54229"/>
    <w:rsid w:val="00C54286"/>
    <w:rsid w:val="00C54440"/>
    <w:rsid w:val="00C5469E"/>
    <w:rsid w:val="00C54AB1"/>
    <w:rsid w:val="00C54B44"/>
    <w:rsid w:val="00C54D3D"/>
    <w:rsid w:val="00C5524E"/>
    <w:rsid w:val="00C552CC"/>
    <w:rsid w:val="00C553DD"/>
    <w:rsid w:val="00C55909"/>
    <w:rsid w:val="00C55A2F"/>
    <w:rsid w:val="00C56244"/>
    <w:rsid w:val="00C56246"/>
    <w:rsid w:val="00C56601"/>
    <w:rsid w:val="00C56750"/>
    <w:rsid w:val="00C56890"/>
    <w:rsid w:val="00C568AE"/>
    <w:rsid w:val="00C56AE8"/>
    <w:rsid w:val="00C57112"/>
    <w:rsid w:val="00C57164"/>
    <w:rsid w:val="00C5720E"/>
    <w:rsid w:val="00C57B03"/>
    <w:rsid w:val="00C57E6E"/>
    <w:rsid w:val="00C57EE3"/>
    <w:rsid w:val="00C60395"/>
    <w:rsid w:val="00C607CB"/>
    <w:rsid w:val="00C60BFF"/>
    <w:rsid w:val="00C60ECA"/>
    <w:rsid w:val="00C60F63"/>
    <w:rsid w:val="00C61E2C"/>
    <w:rsid w:val="00C61F1C"/>
    <w:rsid w:val="00C62452"/>
    <w:rsid w:val="00C62804"/>
    <w:rsid w:val="00C62AC6"/>
    <w:rsid w:val="00C62AFC"/>
    <w:rsid w:val="00C62C9A"/>
    <w:rsid w:val="00C62CBA"/>
    <w:rsid w:val="00C62D97"/>
    <w:rsid w:val="00C62F37"/>
    <w:rsid w:val="00C634F5"/>
    <w:rsid w:val="00C63862"/>
    <w:rsid w:val="00C63A7C"/>
    <w:rsid w:val="00C63F2C"/>
    <w:rsid w:val="00C64004"/>
    <w:rsid w:val="00C641AF"/>
    <w:rsid w:val="00C6459A"/>
    <w:rsid w:val="00C6468F"/>
    <w:rsid w:val="00C64901"/>
    <w:rsid w:val="00C64BFF"/>
    <w:rsid w:val="00C650ED"/>
    <w:rsid w:val="00C65255"/>
    <w:rsid w:val="00C654B8"/>
    <w:rsid w:val="00C654E6"/>
    <w:rsid w:val="00C65851"/>
    <w:rsid w:val="00C6585F"/>
    <w:rsid w:val="00C65B14"/>
    <w:rsid w:val="00C65CE7"/>
    <w:rsid w:val="00C65DD6"/>
    <w:rsid w:val="00C6624A"/>
    <w:rsid w:val="00C6624B"/>
    <w:rsid w:val="00C667F6"/>
    <w:rsid w:val="00C66CAB"/>
    <w:rsid w:val="00C66E54"/>
    <w:rsid w:val="00C66E77"/>
    <w:rsid w:val="00C66F08"/>
    <w:rsid w:val="00C67353"/>
    <w:rsid w:val="00C6774B"/>
    <w:rsid w:val="00C67C18"/>
    <w:rsid w:val="00C7028B"/>
    <w:rsid w:val="00C7029F"/>
    <w:rsid w:val="00C704E9"/>
    <w:rsid w:val="00C70503"/>
    <w:rsid w:val="00C70669"/>
    <w:rsid w:val="00C70ABD"/>
    <w:rsid w:val="00C70D75"/>
    <w:rsid w:val="00C70F5A"/>
    <w:rsid w:val="00C71046"/>
    <w:rsid w:val="00C710AE"/>
    <w:rsid w:val="00C711AD"/>
    <w:rsid w:val="00C711EB"/>
    <w:rsid w:val="00C71306"/>
    <w:rsid w:val="00C7130C"/>
    <w:rsid w:val="00C7157D"/>
    <w:rsid w:val="00C717C8"/>
    <w:rsid w:val="00C71D8C"/>
    <w:rsid w:val="00C71E4C"/>
    <w:rsid w:val="00C72340"/>
    <w:rsid w:val="00C725B6"/>
    <w:rsid w:val="00C72882"/>
    <w:rsid w:val="00C72A0F"/>
    <w:rsid w:val="00C72A36"/>
    <w:rsid w:val="00C72B15"/>
    <w:rsid w:val="00C72E5F"/>
    <w:rsid w:val="00C731D1"/>
    <w:rsid w:val="00C73349"/>
    <w:rsid w:val="00C73398"/>
    <w:rsid w:val="00C73595"/>
    <w:rsid w:val="00C741D2"/>
    <w:rsid w:val="00C74366"/>
    <w:rsid w:val="00C746B7"/>
    <w:rsid w:val="00C746BA"/>
    <w:rsid w:val="00C74950"/>
    <w:rsid w:val="00C74A9E"/>
    <w:rsid w:val="00C74B81"/>
    <w:rsid w:val="00C74B97"/>
    <w:rsid w:val="00C74D20"/>
    <w:rsid w:val="00C74E1F"/>
    <w:rsid w:val="00C75430"/>
    <w:rsid w:val="00C75901"/>
    <w:rsid w:val="00C75911"/>
    <w:rsid w:val="00C75B1D"/>
    <w:rsid w:val="00C75B6D"/>
    <w:rsid w:val="00C75B77"/>
    <w:rsid w:val="00C75BC7"/>
    <w:rsid w:val="00C75D45"/>
    <w:rsid w:val="00C75EF5"/>
    <w:rsid w:val="00C7610A"/>
    <w:rsid w:val="00C76203"/>
    <w:rsid w:val="00C76330"/>
    <w:rsid w:val="00C7637E"/>
    <w:rsid w:val="00C7675D"/>
    <w:rsid w:val="00C769DD"/>
    <w:rsid w:val="00C76ABB"/>
    <w:rsid w:val="00C76D9F"/>
    <w:rsid w:val="00C770CD"/>
    <w:rsid w:val="00C774D9"/>
    <w:rsid w:val="00C77797"/>
    <w:rsid w:val="00C77870"/>
    <w:rsid w:val="00C77968"/>
    <w:rsid w:val="00C779B2"/>
    <w:rsid w:val="00C77A62"/>
    <w:rsid w:val="00C77C45"/>
    <w:rsid w:val="00C77E57"/>
    <w:rsid w:val="00C77F11"/>
    <w:rsid w:val="00C8043E"/>
    <w:rsid w:val="00C80633"/>
    <w:rsid w:val="00C8097A"/>
    <w:rsid w:val="00C809AF"/>
    <w:rsid w:val="00C80A29"/>
    <w:rsid w:val="00C80B44"/>
    <w:rsid w:val="00C8126C"/>
    <w:rsid w:val="00C81944"/>
    <w:rsid w:val="00C81A0B"/>
    <w:rsid w:val="00C81C2F"/>
    <w:rsid w:val="00C81FA0"/>
    <w:rsid w:val="00C8225A"/>
    <w:rsid w:val="00C82383"/>
    <w:rsid w:val="00C82AEE"/>
    <w:rsid w:val="00C82C3B"/>
    <w:rsid w:val="00C830E6"/>
    <w:rsid w:val="00C8351D"/>
    <w:rsid w:val="00C8355B"/>
    <w:rsid w:val="00C83685"/>
    <w:rsid w:val="00C83D52"/>
    <w:rsid w:val="00C83DFC"/>
    <w:rsid w:val="00C843C8"/>
    <w:rsid w:val="00C84457"/>
    <w:rsid w:val="00C8451B"/>
    <w:rsid w:val="00C8460C"/>
    <w:rsid w:val="00C84BB6"/>
    <w:rsid w:val="00C85165"/>
    <w:rsid w:val="00C8583C"/>
    <w:rsid w:val="00C85B26"/>
    <w:rsid w:val="00C85E92"/>
    <w:rsid w:val="00C85F07"/>
    <w:rsid w:val="00C86168"/>
    <w:rsid w:val="00C863FE"/>
    <w:rsid w:val="00C86925"/>
    <w:rsid w:val="00C869E7"/>
    <w:rsid w:val="00C86ACA"/>
    <w:rsid w:val="00C87102"/>
    <w:rsid w:val="00C877F1"/>
    <w:rsid w:val="00C8792C"/>
    <w:rsid w:val="00C87DF3"/>
    <w:rsid w:val="00C8DB87"/>
    <w:rsid w:val="00C90013"/>
    <w:rsid w:val="00C90424"/>
    <w:rsid w:val="00C905BF"/>
    <w:rsid w:val="00C907A4"/>
    <w:rsid w:val="00C90ADB"/>
    <w:rsid w:val="00C90F40"/>
    <w:rsid w:val="00C91068"/>
    <w:rsid w:val="00C91078"/>
    <w:rsid w:val="00C910A4"/>
    <w:rsid w:val="00C912C3"/>
    <w:rsid w:val="00C912EE"/>
    <w:rsid w:val="00C91409"/>
    <w:rsid w:val="00C91510"/>
    <w:rsid w:val="00C916DF"/>
    <w:rsid w:val="00C91777"/>
    <w:rsid w:val="00C917E3"/>
    <w:rsid w:val="00C919CB"/>
    <w:rsid w:val="00C91B95"/>
    <w:rsid w:val="00C92044"/>
    <w:rsid w:val="00C920BC"/>
    <w:rsid w:val="00C921B2"/>
    <w:rsid w:val="00C92240"/>
    <w:rsid w:val="00C92343"/>
    <w:rsid w:val="00C92746"/>
    <w:rsid w:val="00C9296E"/>
    <w:rsid w:val="00C92C1F"/>
    <w:rsid w:val="00C93174"/>
    <w:rsid w:val="00C933C3"/>
    <w:rsid w:val="00C93757"/>
    <w:rsid w:val="00C94175"/>
    <w:rsid w:val="00C946B2"/>
    <w:rsid w:val="00C94B50"/>
    <w:rsid w:val="00C94F6C"/>
    <w:rsid w:val="00C9505C"/>
    <w:rsid w:val="00C95558"/>
    <w:rsid w:val="00C95701"/>
    <w:rsid w:val="00C959CF"/>
    <w:rsid w:val="00C95A6F"/>
    <w:rsid w:val="00C95C57"/>
    <w:rsid w:val="00C95CCC"/>
    <w:rsid w:val="00C95D24"/>
    <w:rsid w:val="00C96058"/>
    <w:rsid w:val="00C96080"/>
    <w:rsid w:val="00C96385"/>
    <w:rsid w:val="00C9658B"/>
    <w:rsid w:val="00C96691"/>
    <w:rsid w:val="00C968DD"/>
    <w:rsid w:val="00C96CE1"/>
    <w:rsid w:val="00C972FC"/>
    <w:rsid w:val="00C97387"/>
    <w:rsid w:val="00C974A8"/>
    <w:rsid w:val="00C974E8"/>
    <w:rsid w:val="00C97E7A"/>
    <w:rsid w:val="00C97F81"/>
    <w:rsid w:val="00CA0126"/>
    <w:rsid w:val="00CA01F1"/>
    <w:rsid w:val="00CA06F1"/>
    <w:rsid w:val="00CA0A62"/>
    <w:rsid w:val="00CA0A65"/>
    <w:rsid w:val="00CA0F6C"/>
    <w:rsid w:val="00CA1040"/>
    <w:rsid w:val="00CA16A3"/>
    <w:rsid w:val="00CA18F6"/>
    <w:rsid w:val="00CA18FF"/>
    <w:rsid w:val="00CA1B68"/>
    <w:rsid w:val="00CA1D32"/>
    <w:rsid w:val="00CA1D85"/>
    <w:rsid w:val="00CA2029"/>
    <w:rsid w:val="00CA230D"/>
    <w:rsid w:val="00CA241C"/>
    <w:rsid w:val="00CA26B1"/>
    <w:rsid w:val="00CA2BED"/>
    <w:rsid w:val="00CA2F82"/>
    <w:rsid w:val="00CA3286"/>
    <w:rsid w:val="00CA3376"/>
    <w:rsid w:val="00CA3684"/>
    <w:rsid w:val="00CA36A2"/>
    <w:rsid w:val="00CA3922"/>
    <w:rsid w:val="00CA3CEE"/>
    <w:rsid w:val="00CA3F96"/>
    <w:rsid w:val="00CA4037"/>
    <w:rsid w:val="00CA41FD"/>
    <w:rsid w:val="00CA4234"/>
    <w:rsid w:val="00CA43D5"/>
    <w:rsid w:val="00CA44D2"/>
    <w:rsid w:val="00CA4515"/>
    <w:rsid w:val="00CA4A97"/>
    <w:rsid w:val="00CA4C8F"/>
    <w:rsid w:val="00CA4F30"/>
    <w:rsid w:val="00CA564E"/>
    <w:rsid w:val="00CA56DB"/>
    <w:rsid w:val="00CA5CAC"/>
    <w:rsid w:val="00CA5DCD"/>
    <w:rsid w:val="00CA5DED"/>
    <w:rsid w:val="00CA5E4A"/>
    <w:rsid w:val="00CA5F7E"/>
    <w:rsid w:val="00CA5F84"/>
    <w:rsid w:val="00CA61C1"/>
    <w:rsid w:val="00CA6661"/>
    <w:rsid w:val="00CA66AA"/>
    <w:rsid w:val="00CA6C61"/>
    <w:rsid w:val="00CA6E1C"/>
    <w:rsid w:val="00CA6E5F"/>
    <w:rsid w:val="00CA728C"/>
    <w:rsid w:val="00CA759B"/>
    <w:rsid w:val="00CA75A7"/>
    <w:rsid w:val="00CA75D1"/>
    <w:rsid w:val="00CA793C"/>
    <w:rsid w:val="00CA7AB9"/>
    <w:rsid w:val="00CA7CB7"/>
    <w:rsid w:val="00CA7E26"/>
    <w:rsid w:val="00CA7EC0"/>
    <w:rsid w:val="00CA7F61"/>
    <w:rsid w:val="00CB000D"/>
    <w:rsid w:val="00CB0259"/>
    <w:rsid w:val="00CB034A"/>
    <w:rsid w:val="00CB0578"/>
    <w:rsid w:val="00CB10DA"/>
    <w:rsid w:val="00CB1124"/>
    <w:rsid w:val="00CB132E"/>
    <w:rsid w:val="00CB1604"/>
    <w:rsid w:val="00CB1A91"/>
    <w:rsid w:val="00CB1AAF"/>
    <w:rsid w:val="00CB1F41"/>
    <w:rsid w:val="00CB2124"/>
    <w:rsid w:val="00CB216E"/>
    <w:rsid w:val="00CB2266"/>
    <w:rsid w:val="00CB227D"/>
    <w:rsid w:val="00CB2315"/>
    <w:rsid w:val="00CB2374"/>
    <w:rsid w:val="00CB2432"/>
    <w:rsid w:val="00CB39C9"/>
    <w:rsid w:val="00CB3E2E"/>
    <w:rsid w:val="00CB4504"/>
    <w:rsid w:val="00CB46B9"/>
    <w:rsid w:val="00CB46C4"/>
    <w:rsid w:val="00CB47B9"/>
    <w:rsid w:val="00CB4866"/>
    <w:rsid w:val="00CB4E9E"/>
    <w:rsid w:val="00CB4FD5"/>
    <w:rsid w:val="00CB526B"/>
    <w:rsid w:val="00CB52AD"/>
    <w:rsid w:val="00CB52D0"/>
    <w:rsid w:val="00CB5FF0"/>
    <w:rsid w:val="00CB6034"/>
    <w:rsid w:val="00CB605B"/>
    <w:rsid w:val="00CB6162"/>
    <w:rsid w:val="00CB6335"/>
    <w:rsid w:val="00CB64A5"/>
    <w:rsid w:val="00CB66D8"/>
    <w:rsid w:val="00CB70D1"/>
    <w:rsid w:val="00CB76D0"/>
    <w:rsid w:val="00CB7A2A"/>
    <w:rsid w:val="00CB7AD3"/>
    <w:rsid w:val="00CB7DE5"/>
    <w:rsid w:val="00CB7F4B"/>
    <w:rsid w:val="00CB7F7E"/>
    <w:rsid w:val="00CC04CE"/>
    <w:rsid w:val="00CC06C2"/>
    <w:rsid w:val="00CC08AA"/>
    <w:rsid w:val="00CC09B4"/>
    <w:rsid w:val="00CC0AE9"/>
    <w:rsid w:val="00CC0BD9"/>
    <w:rsid w:val="00CC1193"/>
    <w:rsid w:val="00CC137E"/>
    <w:rsid w:val="00CC1A18"/>
    <w:rsid w:val="00CC1AA9"/>
    <w:rsid w:val="00CC1AD9"/>
    <w:rsid w:val="00CC1BC7"/>
    <w:rsid w:val="00CC1EF3"/>
    <w:rsid w:val="00CC292D"/>
    <w:rsid w:val="00CC2AA5"/>
    <w:rsid w:val="00CC2AB2"/>
    <w:rsid w:val="00CC343C"/>
    <w:rsid w:val="00CC3785"/>
    <w:rsid w:val="00CC39FA"/>
    <w:rsid w:val="00CC3F9E"/>
    <w:rsid w:val="00CC4062"/>
    <w:rsid w:val="00CC4094"/>
    <w:rsid w:val="00CC4499"/>
    <w:rsid w:val="00CC4537"/>
    <w:rsid w:val="00CC46C4"/>
    <w:rsid w:val="00CC47FE"/>
    <w:rsid w:val="00CC5141"/>
    <w:rsid w:val="00CC5194"/>
    <w:rsid w:val="00CC51CE"/>
    <w:rsid w:val="00CC527D"/>
    <w:rsid w:val="00CC537A"/>
    <w:rsid w:val="00CC53E0"/>
    <w:rsid w:val="00CC5469"/>
    <w:rsid w:val="00CC5804"/>
    <w:rsid w:val="00CC581D"/>
    <w:rsid w:val="00CC5832"/>
    <w:rsid w:val="00CC5ABA"/>
    <w:rsid w:val="00CC6126"/>
    <w:rsid w:val="00CC68FE"/>
    <w:rsid w:val="00CC6958"/>
    <w:rsid w:val="00CC6D07"/>
    <w:rsid w:val="00CC6DD1"/>
    <w:rsid w:val="00CC72D4"/>
    <w:rsid w:val="00CC731D"/>
    <w:rsid w:val="00CC75D7"/>
    <w:rsid w:val="00CC77CC"/>
    <w:rsid w:val="00CC7A37"/>
    <w:rsid w:val="00CC7C0C"/>
    <w:rsid w:val="00CC7C10"/>
    <w:rsid w:val="00CC7CCD"/>
    <w:rsid w:val="00CC7D6E"/>
    <w:rsid w:val="00CC7EC2"/>
    <w:rsid w:val="00CC7F6F"/>
    <w:rsid w:val="00CD00A5"/>
    <w:rsid w:val="00CD016C"/>
    <w:rsid w:val="00CD01AA"/>
    <w:rsid w:val="00CD0266"/>
    <w:rsid w:val="00CD0385"/>
    <w:rsid w:val="00CD04E5"/>
    <w:rsid w:val="00CD0716"/>
    <w:rsid w:val="00CD07D2"/>
    <w:rsid w:val="00CD0A41"/>
    <w:rsid w:val="00CD0E67"/>
    <w:rsid w:val="00CD0FDF"/>
    <w:rsid w:val="00CD1136"/>
    <w:rsid w:val="00CD136C"/>
    <w:rsid w:val="00CD13EB"/>
    <w:rsid w:val="00CD191C"/>
    <w:rsid w:val="00CD1A16"/>
    <w:rsid w:val="00CD1D50"/>
    <w:rsid w:val="00CD2437"/>
    <w:rsid w:val="00CD268E"/>
    <w:rsid w:val="00CD2B66"/>
    <w:rsid w:val="00CD2BAE"/>
    <w:rsid w:val="00CD2EAE"/>
    <w:rsid w:val="00CD3582"/>
    <w:rsid w:val="00CD398D"/>
    <w:rsid w:val="00CD3D1D"/>
    <w:rsid w:val="00CD45FD"/>
    <w:rsid w:val="00CD47EA"/>
    <w:rsid w:val="00CD48AA"/>
    <w:rsid w:val="00CD4942"/>
    <w:rsid w:val="00CD4A08"/>
    <w:rsid w:val="00CD4B6E"/>
    <w:rsid w:val="00CD4D28"/>
    <w:rsid w:val="00CD4F66"/>
    <w:rsid w:val="00CD50DE"/>
    <w:rsid w:val="00CD5173"/>
    <w:rsid w:val="00CD52FB"/>
    <w:rsid w:val="00CD5598"/>
    <w:rsid w:val="00CD5724"/>
    <w:rsid w:val="00CD5D93"/>
    <w:rsid w:val="00CD5EB6"/>
    <w:rsid w:val="00CD5ECC"/>
    <w:rsid w:val="00CD632A"/>
    <w:rsid w:val="00CD637E"/>
    <w:rsid w:val="00CD6386"/>
    <w:rsid w:val="00CD64B6"/>
    <w:rsid w:val="00CD64C2"/>
    <w:rsid w:val="00CD6619"/>
    <w:rsid w:val="00CD67B8"/>
    <w:rsid w:val="00CD67CE"/>
    <w:rsid w:val="00CD6AB5"/>
    <w:rsid w:val="00CD6C04"/>
    <w:rsid w:val="00CD6C5F"/>
    <w:rsid w:val="00CD6E56"/>
    <w:rsid w:val="00CD73A3"/>
    <w:rsid w:val="00CD77EE"/>
    <w:rsid w:val="00CE0243"/>
    <w:rsid w:val="00CE06B7"/>
    <w:rsid w:val="00CE0722"/>
    <w:rsid w:val="00CE09FE"/>
    <w:rsid w:val="00CE0AFB"/>
    <w:rsid w:val="00CE0D95"/>
    <w:rsid w:val="00CE0F82"/>
    <w:rsid w:val="00CE1081"/>
    <w:rsid w:val="00CE10BE"/>
    <w:rsid w:val="00CE13E0"/>
    <w:rsid w:val="00CE155E"/>
    <w:rsid w:val="00CE1966"/>
    <w:rsid w:val="00CE1A91"/>
    <w:rsid w:val="00CE2509"/>
    <w:rsid w:val="00CE25DB"/>
    <w:rsid w:val="00CE26A0"/>
    <w:rsid w:val="00CE27B9"/>
    <w:rsid w:val="00CE2E2E"/>
    <w:rsid w:val="00CE30E3"/>
    <w:rsid w:val="00CE343D"/>
    <w:rsid w:val="00CE3753"/>
    <w:rsid w:val="00CE423A"/>
    <w:rsid w:val="00CE43F4"/>
    <w:rsid w:val="00CE440C"/>
    <w:rsid w:val="00CE4554"/>
    <w:rsid w:val="00CE4AE4"/>
    <w:rsid w:val="00CE4CA7"/>
    <w:rsid w:val="00CE4F69"/>
    <w:rsid w:val="00CE54EB"/>
    <w:rsid w:val="00CE58A2"/>
    <w:rsid w:val="00CE58A5"/>
    <w:rsid w:val="00CE5915"/>
    <w:rsid w:val="00CE59B6"/>
    <w:rsid w:val="00CE5B7B"/>
    <w:rsid w:val="00CE5C6A"/>
    <w:rsid w:val="00CE5EEC"/>
    <w:rsid w:val="00CE5F0E"/>
    <w:rsid w:val="00CE61C6"/>
    <w:rsid w:val="00CE6291"/>
    <w:rsid w:val="00CE63C2"/>
    <w:rsid w:val="00CE6555"/>
    <w:rsid w:val="00CE6577"/>
    <w:rsid w:val="00CE666A"/>
    <w:rsid w:val="00CE68A9"/>
    <w:rsid w:val="00CE6A81"/>
    <w:rsid w:val="00CE6F88"/>
    <w:rsid w:val="00CE71B8"/>
    <w:rsid w:val="00CE728D"/>
    <w:rsid w:val="00CE74AA"/>
    <w:rsid w:val="00CE77AA"/>
    <w:rsid w:val="00CE7805"/>
    <w:rsid w:val="00CE7880"/>
    <w:rsid w:val="00CE7B3B"/>
    <w:rsid w:val="00CE7B40"/>
    <w:rsid w:val="00CE7C08"/>
    <w:rsid w:val="00CE7DB3"/>
    <w:rsid w:val="00CE7E8A"/>
    <w:rsid w:val="00CF000D"/>
    <w:rsid w:val="00CF0636"/>
    <w:rsid w:val="00CF0AA6"/>
    <w:rsid w:val="00CF0ADF"/>
    <w:rsid w:val="00CF0BF1"/>
    <w:rsid w:val="00CF0CEF"/>
    <w:rsid w:val="00CF0D87"/>
    <w:rsid w:val="00CF0E35"/>
    <w:rsid w:val="00CF0EA2"/>
    <w:rsid w:val="00CF0F98"/>
    <w:rsid w:val="00CF1110"/>
    <w:rsid w:val="00CF149F"/>
    <w:rsid w:val="00CF14C2"/>
    <w:rsid w:val="00CF153E"/>
    <w:rsid w:val="00CF172C"/>
    <w:rsid w:val="00CF1780"/>
    <w:rsid w:val="00CF18E0"/>
    <w:rsid w:val="00CF18E5"/>
    <w:rsid w:val="00CF1D44"/>
    <w:rsid w:val="00CF1F11"/>
    <w:rsid w:val="00CF1F42"/>
    <w:rsid w:val="00CF207C"/>
    <w:rsid w:val="00CF21F8"/>
    <w:rsid w:val="00CF2351"/>
    <w:rsid w:val="00CF24E2"/>
    <w:rsid w:val="00CF2598"/>
    <w:rsid w:val="00CF2965"/>
    <w:rsid w:val="00CF2A45"/>
    <w:rsid w:val="00CF2A99"/>
    <w:rsid w:val="00CF2B17"/>
    <w:rsid w:val="00CF3C7A"/>
    <w:rsid w:val="00CF3D8D"/>
    <w:rsid w:val="00CF40CE"/>
    <w:rsid w:val="00CF40E1"/>
    <w:rsid w:val="00CF421B"/>
    <w:rsid w:val="00CF4334"/>
    <w:rsid w:val="00CF457E"/>
    <w:rsid w:val="00CF45E8"/>
    <w:rsid w:val="00CF4F7D"/>
    <w:rsid w:val="00CF4FF7"/>
    <w:rsid w:val="00CF5248"/>
    <w:rsid w:val="00CF5A1F"/>
    <w:rsid w:val="00CF5EE9"/>
    <w:rsid w:val="00CF600A"/>
    <w:rsid w:val="00CF608C"/>
    <w:rsid w:val="00CF65E0"/>
    <w:rsid w:val="00CF67D9"/>
    <w:rsid w:val="00CF680A"/>
    <w:rsid w:val="00CF6F3A"/>
    <w:rsid w:val="00CF6FA8"/>
    <w:rsid w:val="00CF7367"/>
    <w:rsid w:val="00CF7547"/>
    <w:rsid w:val="00CF7939"/>
    <w:rsid w:val="00CF7E43"/>
    <w:rsid w:val="00CF7EF0"/>
    <w:rsid w:val="00D001FB"/>
    <w:rsid w:val="00D0040B"/>
    <w:rsid w:val="00D005F6"/>
    <w:rsid w:val="00D00D67"/>
    <w:rsid w:val="00D00D9D"/>
    <w:rsid w:val="00D01009"/>
    <w:rsid w:val="00D011D1"/>
    <w:rsid w:val="00D01416"/>
    <w:rsid w:val="00D01804"/>
    <w:rsid w:val="00D01C5D"/>
    <w:rsid w:val="00D01F60"/>
    <w:rsid w:val="00D02173"/>
    <w:rsid w:val="00D021EF"/>
    <w:rsid w:val="00D025C0"/>
    <w:rsid w:val="00D02A31"/>
    <w:rsid w:val="00D02AEC"/>
    <w:rsid w:val="00D030B7"/>
    <w:rsid w:val="00D03589"/>
    <w:rsid w:val="00D035ED"/>
    <w:rsid w:val="00D037F1"/>
    <w:rsid w:val="00D03A2A"/>
    <w:rsid w:val="00D03CE5"/>
    <w:rsid w:val="00D03DED"/>
    <w:rsid w:val="00D03E6B"/>
    <w:rsid w:val="00D04214"/>
    <w:rsid w:val="00D047FA"/>
    <w:rsid w:val="00D04F82"/>
    <w:rsid w:val="00D05138"/>
    <w:rsid w:val="00D052BC"/>
    <w:rsid w:val="00D0589D"/>
    <w:rsid w:val="00D05ADB"/>
    <w:rsid w:val="00D05C90"/>
    <w:rsid w:val="00D05CC0"/>
    <w:rsid w:val="00D06301"/>
    <w:rsid w:val="00D0648E"/>
    <w:rsid w:val="00D065D1"/>
    <w:rsid w:val="00D067EB"/>
    <w:rsid w:val="00D06A04"/>
    <w:rsid w:val="00D06A40"/>
    <w:rsid w:val="00D06E53"/>
    <w:rsid w:val="00D06E9B"/>
    <w:rsid w:val="00D073CA"/>
    <w:rsid w:val="00D07481"/>
    <w:rsid w:val="00D0785C"/>
    <w:rsid w:val="00D079AD"/>
    <w:rsid w:val="00D07C57"/>
    <w:rsid w:val="00D07F1A"/>
    <w:rsid w:val="00D10027"/>
    <w:rsid w:val="00D10227"/>
    <w:rsid w:val="00D10344"/>
    <w:rsid w:val="00D104E8"/>
    <w:rsid w:val="00D1050B"/>
    <w:rsid w:val="00D105EC"/>
    <w:rsid w:val="00D10A38"/>
    <w:rsid w:val="00D10A82"/>
    <w:rsid w:val="00D10B6A"/>
    <w:rsid w:val="00D10B8B"/>
    <w:rsid w:val="00D10B93"/>
    <w:rsid w:val="00D10BF9"/>
    <w:rsid w:val="00D110F0"/>
    <w:rsid w:val="00D110FE"/>
    <w:rsid w:val="00D11706"/>
    <w:rsid w:val="00D11CC4"/>
    <w:rsid w:val="00D120C0"/>
    <w:rsid w:val="00D120EB"/>
    <w:rsid w:val="00D12265"/>
    <w:rsid w:val="00D12335"/>
    <w:rsid w:val="00D125E1"/>
    <w:rsid w:val="00D12635"/>
    <w:rsid w:val="00D1291B"/>
    <w:rsid w:val="00D12A36"/>
    <w:rsid w:val="00D12AD3"/>
    <w:rsid w:val="00D12B6E"/>
    <w:rsid w:val="00D12C85"/>
    <w:rsid w:val="00D12DB6"/>
    <w:rsid w:val="00D133AE"/>
    <w:rsid w:val="00D13564"/>
    <w:rsid w:val="00D1388D"/>
    <w:rsid w:val="00D138A1"/>
    <w:rsid w:val="00D13ADC"/>
    <w:rsid w:val="00D13E96"/>
    <w:rsid w:val="00D13EA5"/>
    <w:rsid w:val="00D13EB4"/>
    <w:rsid w:val="00D140B0"/>
    <w:rsid w:val="00D14444"/>
    <w:rsid w:val="00D14987"/>
    <w:rsid w:val="00D149A1"/>
    <w:rsid w:val="00D14B7D"/>
    <w:rsid w:val="00D14F60"/>
    <w:rsid w:val="00D15444"/>
    <w:rsid w:val="00D157A2"/>
    <w:rsid w:val="00D15868"/>
    <w:rsid w:val="00D15895"/>
    <w:rsid w:val="00D158C9"/>
    <w:rsid w:val="00D15A8D"/>
    <w:rsid w:val="00D15D06"/>
    <w:rsid w:val="00D16091"/>
    <w:rsid w:val="00D160AA"/>
    <w:rsid w:val="00D16133"/>
    <w:rsid w:val="00D161A5"/>
    <w:rsid w:val="00D16918"/>
    <w:rsid w:val="00D1697C"/>
    <w:rsid w:val="00D16C4B"/>
    <w:rsid w:val="00D173A4"/>
    <w:rsid w:val="00D179FE"/>
    <w:rsid w:val="00D17B99"/>
    <w:rsid w:val="00D17FBA"/>
    <w:rsid w:val="00D200AE"/>
    <w:rsid w:val="00D203A9"/>
    <w:rsid w:val="00D20412"/>
    <w:rsid w:val="00D2050E"/>
    <w:rsid w:val="00D20522"/>
    <w:rsid w:val="00D2071E"/>
    <w:rsid w:val="00D20873"/>
    <w:rsid w:val="00D208D6"/>
    <w:rsid w:val="00D20F00"/>
    <w:rsid w:val="00D20F6E"/>
    <w:rsid w:val="00D21335"/>
    <w:rsid w:val="00D2145F"/>
    <w:rsid w:val="00D216C9"/>
    <w:rsid w:val="00D21787"/>
    <w:rsid w:val="00D21BBD"/>
    <w:rsid w:val="00D21EC4"/>
    <w:rsid w:val="00D21F5A"/>
    <w:rsid w:val="00D21F5B"/>
    <w:rsid w:val="00D21FF7"/>
    <w:rsid w:val="00D220BC"/>
    <w:rsid w:val="00D22192"/>
    <w:rsid w:val="00D22196"/>
    <w:rsid w:val="00D22254"/>
    <w:rsid w:val="00D222BA"/>
    <w:rsid w:val="00D22305"/>
    <w:rsid w:val="00D22444"/>
    <w:rsid w:val="00D226DB"/>
    <w:rsid w:val="00D2287B"/>
    <w:rsid w:val="00D22F0E"/>
    <w:rsid w:val="00D22FC7"/>
    <w:rsid w:val="00D2300E"/>
    <w:rsid w:val="00D230CC"/>
    <w:rsid w:val="00D23536"/>
    <w:rsid w:val="00D23630"/>
    <w:rsid w:val="00D23654"/>
    <w:rsid w:val="00D23E15"/>
    <w:rsid w:val="00D23EFF"/>
    <w:rsid w:val="00D24325"/>
    <w:rsid w:val="00D24343"/>
    <w:rsid w:val="00D243D2"/>
    <w:rsid w:val="00D2446F"/>
    <w:rsid w:val="00D249FB"/>
    <w:rsid w:val="00D24E8F"/>
    <w:rsid w:val="00D2556B"/>
    <w:rsid w:val="00D2567C"/>
    <w:rsid w:val="00D25C06"/>
    <w:rsid w:val="00D265C5"/>
    <w:rsid w:val="00D2686F"/>
    <w:rsid w:val="00D269AB"/>
    <w:rsid w:val="00D26B15"/>
    <w:rsid w:val="00D26C44"/>
    <w:rsid w:val="00D26F57"/>
    <w:rsid w:val="00D270A8"/>
    <w:rsid w:val="00D272D5"/>
    <w:rsid w:val="00D2730F"/>
    <w:rsid w:val="00D274BA"/>
    <w:rsid w:val="00D2766F"/>
    <w:rsid w:val="00D277F1"/>
    <w:rsid w:val="00D2786E"/>
    <w:rsid w:val="00D279E2"/>
    <w:rsid w:val="00D27D9A"/>
    <w:rsid w:val="00D27DE9"/>
    <w:rsid w:val="00D27F22"/>
    <w:rsid w:val="00D300B0"/>
    <w:rsid w:val="00D30256"/>
    <w:rsid w:val="00D30490"/>
    <w:rsid w:val="00D3070C"/>
    <w:rsid w:val="00D307A0"/>
    <w:rsid w:val="00D30E1C"/>
    <w:rsid w:val="00D30EF0"/>
    <w:rsid w:val="00D30FC9"/>
    <w:rsid w:val="00D30FD1"/>
    <w:rsid w:val="00D312E4"/>
    <w:rsid w:val="00D3136B"/>
    <w:rsid w:val="00D3146E"/>
    <w:rsid w:val="00D31B5E"/>
    <w:rsid w:val="00D31DE2"/>
    <w:rsid w:val="00D31EBA"/>
    <w:rsid w:val="00D31EEA"/>
    <w:rsid w:val="00D31FDE"/>
    <w:rsid w:val="00D32251"/>
    <w:rsid w:val="00D32672"/>
    <w:rsid w:val="00D327EF"/>
    <w:rsid w:val="00D32999"/>
    <w:rsid w:val="00D32C78"/>
    <w:rsid w:val="00D33720"/>
    <w:rsid w:val="00D339A0"/>
    <w:rsid w:val="00D343A2"/>
    <w:rsid w:val="00D3443A"/>
    <w:rsid w:val="00D3456E"/>
    <w:rsid w:val="00D34D11"/>
    <w:rsid w:val="00D34FCE"/>
    <w:rsid w:val="00D3513F"/>
    <w:rsid w:val="00D35428"/>
    <w:rsid w:val="00D3550B"/>
    <w:rsid w:val="00D355F9"/>
    <w:rsid w:val="00D357C7"/>
    <w:rsid w:val="00D35D2B"/>
    <w:rsid w:val="00D35D65"/>
    <w:rsid w:val="00D3632F"/>
    <w:rsid w:val="00D36611"/>
    <w:rsid w:val="00D36634"/>
    <w:rsid w:val="00D367FC"/>
    <w:rsid w:val="00D36984"/>
    <w:rsid w:val="00D36DB1"/>
    <w:rsid w:val="00D373BE"/>
    <w:rsid w:val="00D37492"/>
    <w:rsid w:val="00D375AB"/>
    <w:rsid w:val="00D37815"/>
    <w:rsid w:val="00D37CEF"/>
    <w:rsid w:val="00D37FFA"/>
    <w:rsid w:val="00D40532"/>
    <w:rsid w:val="00D40B26"/>
    <w:rsid w:val="00D40E56"/>
    <w:rsid w:val="00D4108F"/>
    <w:rsid w:val="00D410D5"/>
    <w:rsid w:val="00D411E6"/>
    <w:rsid w:val="00D41240"/>
    <w:rsid w:val="00D41405"/>
    <w:rsid w:val="00D4165D"/>
    <w:rsid w:val="00D4174B"/>
    <w:rsid w:val="00D4187F"/>
    <w:rsid w:val="00D41933"/>
    <w:rsid w:val="00D41CF1"/>
    <w:rsid w:val="00D41E7C"/>
    <w:rsid w:val="00D41F86"/>
    <w:rsid w:val="00D41FE3"/>
    <w:rsid w:val="00D41FFB"/>
    <w:rsid w:val="00D42178"/>
    <w:rsid w:val="00D425E6"/>
    <w:rsid w:val="00D42628"/>
    <w:rsid w:val="00D429D1"/>
    <w:rsid w:val="00D42A0B"/>
    <w:rsid w:val="00D42A25"/>
    <w:rsid w:val="00D42FFF"/>
    <w:rsid w:val="00D4316E"/>
    <w:rsid w:val="00D43256"/>
    <w:rsid w:val="00D433D0"/>
    <w:rsid w:val="00D435FD"/>
    <w:rsid w:val="00D436C0"/>
    <w:rsid w:val="00D437D8"/>
    <w:rsid w:val="00D43AF3"/>
    <w:rsid w:val="00D43F10"/>
    <w:rsid w:val="00D448E4"/>
    <w:rsid w:val="00D44B46"/>
    <w:rsid w:val="00D44BED"/>
    <w:rsid w:val="00D44C52"/>
    <w:rsid w:val="00D44D8A"/>
    <w:rsid w:val="00D44F6D"/>
    <w:rsid w:val="00D454C3"/>
    <w:rsid w:val="00D45562"/>
    <w:rsid w:val="00D4583D"/>
    <w:rsid w:val="00D45A74"/>
    <w:rsid w:val="00D45D56"/>
    <w:rsid w:val="00D46466"/>
    <w:rsid w:val="00D467A7"/>
    <w:rsid w:val="00D46AC3"/>
    <w:rsid w:val="00D46C55"/>
    <w:rsid w:val="00D4739F"/>
    <w:rsid w:val="00D47463"/>
    <w:rsid w:val="00D4757B"/>
    <w:rsid w:val="00D47762"/>
    <w:rsid w:val="00D47896"/>
    <w:rsid w:val="00D478C2"/>
    <w:rsid w:val="00D4790B"/>
    <w:rsid w:val="00D47A3A"/>
    <w:rsid w:val="00D47A91"/>
    <w:rsid w:val="00D47D2D"/>
    <w:rsid w:val="00D47FFE"/>
    <w:rsid w:val="00D50182"/>
    <w:rsid w:val="00D5031A"/>
    <w:rsid w:val="00D5081B"/>
    <w:rsid w:val="00D508BC"/>
    <w:rsid w:val="00D508F1"/>
    <w:rsid w:val="00D50A3F"/>
    <w:rsid w:val="00D511AC"/>
    <w:rsid w:val="00D51543"/>
    <w:rsid w:val="00D515CB"/>
    <w:rsid w:val="00D517CF"/>
    <w:rsid w:val="00D51916"/>
    <w:rsid w:val="00D5197F"/>
    <w:rsid w:val="00D51BF9"/>
    <w:rsid w:val="00D51CDD"/>
    <w:rsid w:val="00D51D61"/>
    <w:rsid w:val="00D51E43"/>
    <w:rsid w:val="00D52051"/>
    <w:rsid w:val="00D5225C"/>
    <w:rsid w:val="00D5230A"/>
    <w:rsid w:val="00D52599"/>
    <w:rsid w:val="00D5277E"/>
    <w:rsid w:val="00D52B06"/>
    <w:rsid w:val="00D52CD6"/>
    <w:rsid w:val="00D52E09"/>
    <w:rsid w:val="00D52FFC"/>
    <w:rsid w:val="00D531FA"/>
    <w:rsid w:val="00D5337D"/>
    <w:rsid w:val="00D53723"/>
    <w:rsid w:val="00D53A77"/>
    <w:rsid w:val="00D53AA2"/>
    <w:rsid w:val="00D53C18"/>
    <w:rsid w:val="00D53D9C"/>
    <w:rsid w:val="00D54076"/>
    <w:rsid w:val="00D54121"/>
    <w:rsid w:val="00D54125"/>
    <w:rsid w:val="00D54157"/>
    <w:rsid w:val="00D543CD"/>
    <w:rsid w:val="00D544DC"/>
    <w:rsid w:val="00D54519"/>
    <w:rsid w:val="00D549B4"/>
    <w:rsid w:val="00D54BC6"/>
    <w:rsid w:val="00D54E1A"/>
    <w:rsid w:val="00D54FC7"/>
    <w:rsid w:val="00D55233"/>
    <w:rsid w:val="00D55668"/>
    <w:rsid w:val="00D558AF"/>
    <w:rsid w:val="00D55B22"/>
    <w:rsid w:val="00D55B2B"/>
    <w:rsid w:val="00D55D3A"/>
    <w:rsid w:val="00D55F48"/>
    <w:rsid w:val="00D5600E"/>
    <w:rsid w:val="00D561E7"/>
    <w:rsid w:val="00D56255"/>
    <w:rsid w:val="00D562E8"/>
    <w:rsid w:val="00D56347"/>
    <w:rsid w:val="00D56919"/>
    <w:rsid w:val="00D56A63"/>
    <w:rsid w:val="00D56E72"/>
    <w:rsid w:val="00D56EE6"/>
    <w:rsid w:val="00D57591"/>
    <w:rsid w:val="00D577BD"/>
    <w:rsid w:val="00D578DA"/>
    <w:rsid w:val="00D57942"/>
    <w:rsid w:val="00D57CF1"/>
    <w:rsid w:val="00D57D04"/>
    <w:rsid w:val="00D600E3"/>
    <w:rsid w:val="00D607F6"/>
    <w:rsid w:val="00D60BC1"/>
    <w:rsid w:val="00D60C6E"/>
    <w:rsid w:val="00D612B4"/>
    <w:rsid w:val="00D61521"/>
    <w:rsid w:val="00D619CD"/>
    <w:rsid w:val="00D61B4F"/>
    <w:rsid w:val="00D61B7D"/>
    <w:rsid w:val="00D620A2"/>
    <w:rsid w:val="00D62249"/>
    <w:rsid w:val="00D62357"/>
    <w:rsid w:val="00D628F4"/>
    <w:rsid w:val="00D62B75"/>
    <w:rsid w:val="00D62CAD"/>
    <w:rsid w:val="00D62E6D"/>
    <w:rsid w:val="00D63021"/>
    <w:rsid w:val="00D630D3"/>
    <w:rsid w:val="00D63EA1"/>
    <w:rsid w:val="00D643FF"/>
    <w:rsid w:val="00D644DF"/>
    <w:rsid w:val="00D645D4"/>
    <w:rsid w:val="00D649AE"/>
    <w:rsid w:val="00D64AE1"/>
    <w:rsid w:val="00D64B6D"/>
    <w:rsid w:val="00D64EC9"/>
    <w:rsid w:val="00D6523B"/>
    <w:rsid w:val="00D65689"/>
    <w:rsid w:val="00D65777"/>
    <w:rsid w:val="00D65CC6"/>
    <w:rsid w:val="00D6618C"/>
    <w:rsid w:val="00D6664E"/>
    <w:rsid w:val="00D66919"/>
    <w:rsid w:val="00D66BE4"/>
    <w:rsid w:val="00D66CBC"/>
    <w:rsid w:val="00D66D6B"/>
    <w:rsid w:val="00D66DAC"/>
    <w:rsid w:val="00D6732E"/>
    <w:rsid w:val="00D67362"/>
    <w:rsid w:val="00D67AD2"/>
    <w:rsid w:val="00D67E2B"/>
    <w:rsid w:val="00D70087"/>
    <w:rsid w:val="00D70333"/>
    <w:rsid w:val="00D71052"/>
    <w:rsid w:val="00D710BC"/>
    <w:rsid w:val="00D711FC"/>
    <w:rsid w:val="00D71343"/>
    <w:rsid w:val="00D714FA"/>
    <w:rsid w:val="00D71751"/>
    <w:rsid w:val="00D7179F"/>
    <w:rsid w:val="00D71825"/>
    <w:rsid w:val="00D7189C"/>
    <w:rsid w:val="00D71FE6"/>
    <w:rsid w:val="00D7221F"/>
    <w:rsid w:val="00D72263"/>
    <w:rsid w:val="00D72662"/>
    <w:rsid w:val="00D72873"/>
    <w:rsid w:val="00D7290F"/>
    <w:rsid w:val="00D7293B"/>
    <w:rsid w:val="00D72A34"/>
    <w:rsid w:val="00D72A76"/>
    <w:rsid w:val="00D72F55"/>
    <w:rsid w:val="00D730FC"/>
    <w:rsid w:val="00D7316D"/>
    <w:rsid w:val="00D7334A"/>
    <w:rsid w:val="00D73350"/>
    <w:rsid w:val="00D733EE"/>
    <w:rsid w:val="00D7344E"/>
    <w:rsid w:val="00D73515"/>
    <w:rsid w:val="00D735D5"/>
    <w:rsid w:val="00D73B5E"/>
    <w:rsid w:val="00D73BEF"/>
    <w:rsid w:val="00D73C5F"/>
    <w:rsid w:val="00D7403B"/>
    <w:rsid w:val="00D741AA"/>
    <w:rsid w:val="00D74237"/>
    <w:rsid w:val="00D7435D"/>
    <w:rsid w:val="00D743B3"/>
    <w:rsid w:val="00D7453D"/>
    <w:rsid w:val="00D7462C"/>
    <w:rsid w:val="00D74DFC"/>
    <w:rsid w:val="00D75167"/>
    <w:rsid w:val="00D75222"/>
    <w:rsid w:val="00D7564B"/>
    <w:rsid w:val="00D75B2E"/>
    <w:rsid w:val="00D75D13"/>
    <w:rsid w:val="00D75DB9"/>
    <w:rsid w:val="00D76371"/>
    <w:rsid w:val="00D76CF2"/>
    <w:rsid w:val="00D778EE"/>
    <w:rsid w:val="00D7797C"/>
    <w:rsid w:val="00D77A18"/>
    <w:rsid w:val="00D77B2E"/>
    <w:rsid w:val="00D77F57"/>
    <w:rsid w:val="00D8028B"/>
    <w:rsid w:val="00D80297"/>
    <w:rsid w:val="00D803F5"/>
    <w:rsid w:val="00D805EF"/>
    <w:rsid w:val="00D806AA"/>
    <w:rsid w:val="00D80765"/>
    <w:rsid w:val="00D80A69"/>
    <w:rsid w:val="00D80AAE"/>
    <w:rsid w:val="00D80E8D"/>
    <w:rsid w:val="00D80FD4"/>
    <w:rsid w:val="00D811FF"/>
    <w:rsid w:val="00D8144C"/>
    <w:rsid w:val="00D819E7"/>
    <w:rsid w:val="00D81AE0"/>
    <w:rsid w:val="00D81D9C"/>
    <w:rsid w:val="00D81EFF"/>
    <w:rsid w:val="00D81F37"/>
    <w:rsid w:val="00D82025"/>
    <w:rsid w:val="00D82553"/>
    <w:rsid w:val="00D826EC"/>
    <w:rsid w:val="00D82783"/>
    <w:rsid w:val="00D82B64"/>
    <w:rsid w:val="00D82B8A"/>
    <w:rsid w:val="00D82C40"/>
    <w:rsid w:val="00D82D24"/>
    <w:rsid w:val="00D82D31"/>
    <w:rsid w:val="00D82FA2"/>
    <w:rsid w:val="00D830DB"/>
    <w:rsid w:val="00D8387B"/>
    <w:rsid w:val="00D83FB3"/>
    <w:rsid w:val="00D84336"/>
    <w:rsid w:val="00D8461A"/>
    <w:rsid w:val="00D8475A"/>
    <w:rsid w:val="00D8475C"/>
    <w:rsid w:val="00D8491E"/>
    <w:rsid w:val="00D84A69"/>
    <w:rsid w:val="00D84F47"/>
    <w:rsid w:val="00D84FA4"/>
    <w:rsid w:val="00D8516C"/>
    <w:rsid w:val="00D85957"/>
    <w:rsid w:val="00D85C17"/>
    <w:rsid w:val="00D85E57"/>
    <w:rsid w:val="00D861EA"/>
    <w:rsid w:val="00D8623E"/>
    <w:rsid w:val="00D8637F"/>
    <w:rsid w:val="00D863B7"/>
    <w:rsid w:val="00D8647C"/>
    <w:rsid w:val="00D866AB"/>
    <w:rsid w:val="00D867D1"/>
    <w:rsid w:val="00D86863"/>
    <w:rsid w:val="00D869E8"/>
    <w:rsid w:val="00D86AA1"/>
    <w:rsid w:val="00D86D51"/>
    <w:rsid w:val="00D86FC9"/>
    <w:rsid w:val="00D8711A"/>
    <w:rsid w:val="00D872B4"/>
    <w:rsid w:val="00D87C60"/>
    <w:rsid w:val="00D87CA7"/>
    <w:rsid w:val="00D87E72"/>
    <w:rsid w:val="00D90B44"/>
    <w:rsid w:val="00D911D9"/>
    <w:rsid w:val="00D9125D"/>
    <w:rsid w:val="00D91561"/>
    <w:rsid w:val="00D915D5"/>
    <w:rsid w:val="00D91761"/>
    <w:rsid w:val="00D91E48"/>
    <w:rsid w:val="00D921C1"/>
    <w:rsid w:val="00D92306"/>
    <w:rsid w:val="00D92367"/>
    <w:rsid w:val="00D92B65"/>
    <w:rsid w:val="00D92C1E"/>
    <w:rsid w:val="00D92F4E"/>
    <w:rsid w:val="00D936C9"/>
    <w:rsid w:val="00D93A56"/>
    <w:rsid w:val="00D93E5D"/>
    <w:rsid w:val="00D943A2"/>
    <w:rsid w:val="00D94437"/>
    <w:rsid w:val="00D9448D"/>
    <w:rsid w:val="00D94A84"/>
    <w:rsid w:val="00D94B7B"/>
    <w:rsid w:val="00D94CD1"/>
    <w:rsid w:val="00D9543E"/>
    <w:rsid w:val="00D95738"/>
    <w:rsid w:val="00D957AA"/>
    <w:rsid w:val="00D957FF"/>
    <w:rsid w:val="00D95851"/>
    <w:rsid w:val="00D95A00"/>
    <w:rsid w:val="00D95A49"/>
    <w:rsid w:val="00D95AC8"/>
    <w:rsid w:val="00D95F2F"/>
    <w:rsid w:val="00D9688D"/>
    <w:rsid w:val="00D96AB0"/>
    <w:rsid w:val="00D96C93"/>
    <w:rsid w:val="00D96D01"/>
    <w:rsid w:val="00D96D44"/>
    <w:rsid w:val="00D96D65"/>
    <w:rsid w:val="00D96EBA"/>
    <w:rsid w:val="00D96EF7"/>
    <w:rsid w:val="00D977D1"/>
    <w:rsid w:val="00D97A21"/>
    <w:rsid w:val="00D97A5D"/>
    <w:rsid w:val="00D97C28"/>
    <w:rsid w:val="00D97F6C"/>
    <w:rsid w:val="00DA027B"/>
    <w:rsid w:val="00DA0454"/>
    <w:rsid w:val="00DA0696"/>
    <w:rsid w:val="00DA06CD"/>
    <w:rsid w:val="00DA0724"/>
    <w:rsid w:val="00DA08DB"/>
    <w:rsid w:val="00DA0AB8"/>
    <w:rsid w:val="00DA0C28"/>
    <w:rsid w:val="00DA1075"/>
    <w:rsid w:val="00DA10C0"/>
    <w:rsid w:val="00DA12D0"/>
    <w:rsid w:val="00DA1542"/>
    <w:rsid w:val="00DA1B9C"/>
    <w:rsid w:val="00DA1C32"/>
    <w:rsid w:val="00DA1E4D"/>
    <w:rsid w:val="00DA22BD"/>
    <w:rsid w:val="00DA26E7"/>
    <w:rsid w:val="00DA2A23"/>
    <w:rsid w:val="00DA2E5A"/>
    <w:rsid w:val="00DA309A"/>
    <w:rsid w:val="00DA32DA"/>
    <w:rsid w:val="00DA3877"/>
    <w:rsid w:val="00DA3A38"/>
    <w:rsid w:val="00DA3E0C"/>
    <w:rsid w:val="00DA3E6F"/>
    <w:rsid w:val="00DA415E"/>
    <w:rsid w:val="00DA4280"/>
    <w:rsid w:val="00DA429D"/>
    <w:rsid w:val="00DA4565"/>
    <w:rsid w:val="00DA4B41"/>
    <w:rsid w:val="00DA51E6"/>
    <w:rsid w:val="00DA54CF"/>
    <w:rsid w:val="00DA5598"/>
    <w:rsid w:val="00DA575A"/>
    <w:rsid w:val="00DA5AB7"/>
    <w:rsid w:val="00DA6189"/>
    <w:rsid w:val="00DA6222"/>
    <w:rsid w:val="00DA6357"/>
    <w:rsid w:val="00DA6EBE"/>
    <w:rsid w:val="00DA7043"/>
    <w:rsid w:val="00DA7331"/>
    <w:rsid w:val="00DA770C"/>
    <w:rsid w:val="00DB01C3"/>
    <w:rsid w:val="00DB02CA"/>
    <w:rsid w:val="00DB0342"/>
    <w:rsid w:val="00DB045A"/>
    <w:rsid w:val="00DB0557"/>
    <w:rsid w:val="00DB0561"/>
    <w:rsid w:val="00DB064F"/>
    <w:rsid w:val="00DB0769"/>
    <w:rsid w:val="00DB07A7"/>
    <w:rsid w:val="00DB07DD"/>
    <w:rsid w:val="00DB0842"/>
    <w:rsid w:val="00DB08D5"/>
    <w:rsid w:val="00DB0E51"/>
    <w:rsid w:val="00DB101E"/>
    <w:rsid w:val="00DB1052"/>
    <w:rsid w:val="00DB1458"/>
    <w:rsid w:val="00DB15E4"/>
    <w:rsid w:val="00DB1640"/>
    <w:rsid w:val="00DB1CAD"/>
    <w:rsid w:val="00DB1FE1"/>
    <w:rsid w:val="00DB2641"/>
    <w:rsid w:val="00DB28EF"/>
    <w:rsid w:val="00DB2D8F"/>
    <w:rsid w:val="00DB2E0A"/>
    <w:rsid w:val="00DB2E5D"/>
    <w:rsid w:val="00DB345C"/>
    <w:rsid w:val="00DB386E"/>
    <w:rsid w:val="00DB38E2"/>
    <w:rsid w:val="00DB397C"/>
    <w:rsid w:val="00DB39C2"/>
    <w:rsid w:val="00DB3B40"/>
    <w:rsid w:val="00DB3C77"/>
    <w:rsid w:val="00DB40E4"/>
    <w:rsid w:val="00DB438C"/>
    <w:rsid w:val="00DB4478"/>
    <w:rsid w:val="00DB47CB"/>
    <w:rsid w:val="00DB48AC"/>
    <w:rsid w:val="00DB4DDB"/>
    <w:rsid w:val="00DB4F20"/>
    <w:rsid w:val="00DB4FCA"/>
    <w:rsid w:val="00DB5129"/>
    <w:rsid w:val="00DB52F2"/>
    <w:rsid w:val="00DB585F"/>
    <w:rsid w:val="00DB5986"/>
    <w:rsid w:val="00DB5BE2"/>
    <w:rsid w:val="00DB5E4F"/>
    <w:rsid w:val="00DB6197"/>
    <w:rsid w:val="00DB61AE"/>
    <w:rsid w:val="00DB6929"/>
    <w:rsid w:val="00DB6A7D"/>
    <w:rsid w:val="00DB6C61"/>
    <w:rsid w:val="00DB776A"/>
    <w:rsid w:val="00DB7B37"/>
    <w:rsid w:val="00DB7BA6"/>
    <w:rsid w:val="00DB7E29"/>
    <w:rsid w:val="00DC01A0"/>
    <w:rsid w:val="00DC06A3"/>
    <w:rsid w:val="00DC0C34"/>
    <w:rsid w:val="00DC0CF8"/>
    <w:rsid w:val="00DC113F"/>
    <w:rsid w:val="00DC1377"/>
    <w:rsid w:val="00DC15AA"/>
    <w:rsid w:val="00DC1611"/>
    <w:rsid w:val="00DC16DC"/>
    <w:rsid w:val="00DC1743"/>
    <w:rsid w:val="00DC19B6"/>
    <w:rsid w:val="00DC19C9"/>
    <w:rsid w:val="00DC1A3B"/>
    <w:rsid w:val="00DC1C48"/>
    <w:rsid w:val="00DC1D22"/>
    <w:rsid w:val="00DC2402"/>
    <w:rsid w:val="00DC2610"/>
    <w:rsid w:val="00DC29ED"/>
    <w:rsid w:val="00DC2C3D"/>
    <w:rsid w:val="00DC2F20"/>
    <w:rsid w:val="00DC3152"/>
    <w:rsid w:val="00DC3267"/>
    <w:rsid w:val="00DC32BD"/>
    <w:rsid w:val="00DC38C0"/>
    <w:rsid w:val="00DC3B0E"/>
    <w:rsid w:val="00DC3C1A"/>
    <w:rsid w:val="00DC3CC7"/>
    <w:rsid w:val="00DC3D4C"/>
    <w:rsid w:val="00DC40A0"/>
    <w:rsid w:val="00DC4235"/>
    <w:rsid w:val="00DC4271"/>
    <w:rsid w:val="00DC4E29"/>
    <w:rsid w:val="00DC4F9C"/>
    <w:rsid w:val="00DC4FD7"/>
    <w:rsid w:val="00DC506C"/>
    <w:rsid w:val="00DC518C"/>
    <w:rsid w:val="00DC54E2"/>
    <w:rsid w:val="00DC56C5"/>
    <w:rsid w:val="00DC57D3"/>
    <w:rsid w:val="00DC58EC"/>
    <w:rsid w:val="00DC5A8C"/>
    <w:rsid w:val="00DC5CA5"/>
    <w:rsid w:val="00DC64AE"/>
    <w:rsid w:val="00DC64C1"/>
    <w:rsid w:val="00DC65EE"/>
    <w:rsid w:val="00DC6608"/>
    <w:rsid w:val="00DC6ABF"/>
    <w:rsid w:val="00DC6FD2"/>
    <w:rsid w:val="00DC7199"/>
    <w:rsid w:val="00DC74F1"/>
    <w:rsid w:val="00DC74F5"/>
    <w:rsid w:val="00DC75A8"/>
    <w:rsid w:val="00DC7779"/>
    <w:rsid w:val="00DC77FA"/>
    <w:rsid w:val="00DD0176"/>
    <w:rsid w:val="00DD030C"/>
    <w:rsid w:val="00DD049B"/>
    <w:rsid w:val="00DD0CFC"/>
    <w:rsid w:val="00DD1194"/>
    <w:rsid w:val="00DD127A"/>
    <w:rsid w:val="00DD174F"/>
    <w:rsid w:val="00DD201D"/>
    <w:rsid w:val="00DD2136"/>
    <w:rsid w:val="00DD25F6"/>
    <w:rsid w:val="00DD2934"/>
    <w:rsid w:val="00DD2995"/>
    <w:rsid w:val="00DD2AA5"/>
    <w:rsid w:val="00DD2B2F"/>
    <w:rsid w:val="00DD2CD9"/>
    <w:rsid w:val="00DD2D8B"/>
    <w:rsid w:val="00DD2DBB"/>
    <w:rsid w:val="00DD304B"/>
    <w:rsid w:val="00DD3859"/>
    <w:rsid w:val="00DD3B62"/>
    <w:rsid w:val="00DD3C91"/>
    <w:rsid w:val="00DD3E23"/>
    <w:rsid w:val="00DD442C"/>
    <w:rsid w:val="00DD450C"/>
    <w:rsid w:val="00DD4BD2"/>
    <w:rsid w:val="00DD4C1B"/>
    <w:rsid w:val="00DD4F1A"/>
    <w:rsid w:val="00DD5165"/>
    <w:rsid w:val="00DD5558"/>
    <w:rsid w:val="00DD568B"/>
    <w:rsid w:val="00DD5F4F"/>
    <w:rsid w:val="00DD6962"/>
    <w:rsid w:val="00DD6C81"/>
    <w:rsid w:val="00DD7056"/>
    <w:rsid w:val="00DD7BF9"/>
    <w:rsid w:val="00DE00D3"/>
    <w:rsid w:val="00DE026B"/>
    <w:rsid w:val="00DE048E"/>
    <w:rsid w:val="00DE05F9"/>
    <w:rsid w:val="00DE0A68"/>
    <w:rsid w:val="00DE0EAD"/>
    <w:rsid w:val="00DE1211"/>
    <w:rsid w:val="00DE169E"/>
    <w:rsid w:val="00DE1718"/>
    <w:rsid w:val="00DE1B79"/>
    <w:rsid w:val="00DE1FEA"/>
    <w:rsid w:val="00DE24D1"/>
    <w:rsid w:val="00DE27B9"/>
    <w:rsid w:val="00DE28E8"/>
    <w:rsid w:val="00DE290B"/>
    <w:rsid w:val="00DE29E0"/>
    <w:rsid w:val="00DE2A9B"/>
    <w:rsid w:val="00DE2E90"/>
    <w:rsid w:val="00DE312A"/>
    <w:rsid w:val="00DE3193"/>
    <w:rsid w:val="00DE333E"/>
    <w:rsid w:val="00DE33F0"/>
    <w:rsid w:val="00DE3454"/>
    <w:rsid w:val="00DE3958"/>
    <w:rsid w:val="00DE3EED"/>
    <w:rsid w:val="00DE4736"/>
    <w:rsid w:val="00DE47E3"/>
    <w:rsid w:val="00DE4E39"/>
    <w:rsid w:val="00DE50A1"/>
    <w:rsid w:val="00DE51CF"/>
    <w:rsid w:val="00DE5281"/>
    <w:rsid w:val="00DE5540"/>
    <w:rsid w:val="00DE55B5"/>
    <w:rsid w:val="00DE560E"/>
    <w:rsid w:val="00DE593D"/>
    <w:rsid w:val="00DE5A26"/>
    <w:rsid w:val="00DE5DFC"/>
    <w:rsid w:val="00DE5F89"/>
    <w:rsid w:val="00DE60AB"/>
    <w:rsid w:val="00DE6172"/>
    <w:rsid w:val="00DE625C"/>
    <w:rsid w:val="00DE6474"/>
    <w:rsid w:val="00DE67FA"/>
    <w:rsid w:val="00DE6AD5"/>
    <w:rsid w:val="00DE6C10"/>
    <w:rsid w:val="00DE6D0A"/>
    <w:rsid w:val="00DE71CF"/>
    <w:rsid w:val="00DE72DA"/>
    <w:rsid w:val="00DE7459"/>
    <w:rsid w:val="00DE789A"/>
    <w:rsid w:val="00DE7B0D"/>
    <w:rsid w:val="00DE7EA7"/>
    <w:rsid w:val="00DF0024"/>
    <w:rsid w:val="00DF0913"/>
    <w:rsid w:val="00DF0B56"/>
    <w:rsid w:val="00DF11E4"/>
    <w:rsid w:val="00DF12D9"/>
    <w:rsid w:val="00DF12FD"/>
    <w:rsid w:val="00DF13BF"/>
    <w:rsid w:val="00DF151F"/>
    <w:rsid w:val="00DF153C"/>
    <w:rsid w:val="00DF1594"/>
    <w:rsid w:val="00DF15F5"/>
    <w:rsid w:val="00DF1608"/>
    <w:rsid w:val="00DF16A3"/>
    <w:rsid w:val="00DF1812"/>
    <w:rsid w:val="00DF1885"/>
    <w:rsid w:val="00DF1AC6"/>
    <w:rsid w:val="00DF1FF5"/>
    <w:rsid w:val="00DF2032"/>
    <w:rsid w:val="00DF21CF"/>
    <w:rsid w:val="00DF2228"/>
    <w:rsid w:val="00DF244A"/>
    <w:rsid w:val="00DF289D"/>
    <w:rsid w:val="00DF2BEE"/>
    <w:rsid w:val="00DF2C43"/>
    <w:rsid w:val="00DF2EAD"/>
    <w:rsid w:val="00DF3491"/>
    <w:rsid w:val="00DF39BF"/>
    <w:rsid w:val="00DF39DC"/>
    <w:rsid w:val="00DF3DF2"/>
    <w:rsid w:val="00DF3EF4"/>
    <w:rsid w:val="00DF3F5F"/>
    <w:rsid w:val="00DF3FF5"/>
    <w:rsid w:val="00DF40D1"/>
    <w:rsid w:val="00DF4240"/>
    <w:rsid w:val="00DF4801"/>
    <w:rsid w:val="00DF4B5F"/>
    <w:rsid w:val="00DF4EC4"/>
    <w:rsid w:val="00DF4FCE"/>
    <w:rsid w:val="00DF5392"/>
    <w:rsid w:val="00DF5420"/>
    <w:rsid w:val="00DF57B3"/>
    <w:rsid w:val="00DF58D6"/>
    <w:rsid w:val="00DF5D48"/>
    <w:rsid w:val="00DF5E81"/>
    <w:rsid w:val="00DF5EBC"/>
    <w:rsid w:val="00DF5F1F"/>
    <w:rsid w:val="00DF5F44"/>
    <w:rsid w:val="00DF5FA2"/>
    <w:rsid w:val="00DF608F"/>
    <w:rsid w:val="00DF616B"/>
    <w:rsid w:val="00DF62A5"/>
    <w:rsid w:val="00DF64C4"/>
    <w:rsid w:val="00DF65BF"/>
    <w:rsid w:val="00DF66EA"/>
    <w:rsid w:val="00DF6BC2"/>
    <w:rsid w:val="00DF6BC5"/>
    <w:rsid w:val="00DF6C57"/>
    <w:rsid w:val="00DF7271"/>
    <w:rsid w:val="00DF72A6"/>
    <w:rsid w:val="00DF7404"/>
    <w:rsid w:val="00DF7448"/>
    <w:rsid w:val="00DF7480"/>
    <w:rsid w:val="00DF74C5"/>
    <w:rsid w:val="00DF776C"/>
    <w:rsid w:val="00DF7B5D"/>
    <w:rsid w:val="00E001D7"/>
    <w:rsid w:val="00E0029C"/>
    <w:rsid w:val="00E0060D"/>
    <w:rsid w:val="00E00692"/>
    <w:rsid w:val="00E009EE"/>
    <w:rsid w:val="00E00A4A"/>
    <w:rsid w:val="00E00CFF"/>
    <w:rsid w:val="00E013E3"/>
    <w:rsid w:val="00E01415"/>
    <w:rsid w:val="00E01A8A"/>
    <w:rsid w:val="00E01E51"/>
    <w:rsid w:val="00E026D4"/>
    <w:rsid w:val="00E02A6D"/>
    <w:rsid w:val="00E02F75"/>
    <w:rsid w:val="00E02F9A"/>
    <w:rsid w:val="00E02FDE"/>
    <w:rsid w:val="00E0318A"/>
    <w:rsid w:val="00E034AD"/>
    <w:rsid w:val="00E036B4"/>
    <w:rsid w:val="00E039B3"/>
    <w:rsid w:val="00E03A1E"/>
    <w:rsid w:val="00E03F82"/>
    <w:rsid w:val="00E04420"/>
    <w:rsid w:val="00E0446D"/>
    <w:rsid w:val="00E0460E"/>
    <w:rsid w:val="00E048ED"/>
    <w:rsid w:val="00E048F6"/>
    <w:rsid w:val="00E04BA1"/>
    <w:rsid w:val="00E04C3D"/>
    <w:rsid w:val="00E04CAD"/>
    <w:rsid w:val="00E04D7D"/>
    <w:rsid w:val="00E058A1"/>
    <w:rsid w:val="00E05977"/>
    <w:rsid w:val="00E05E68"/>
    <w:rsid w:val="00E06571"/>
    <w:rsid w:val="00E066E1"/>
    <w:rsid w:val="00E067D4"/>
    <w:rsid w:val="00E068AB"/>
    <w:rsid w:val="00E06DEA"/>
    <w:rsid w:val="00E071E9"/>
    <w:rsid w:val="00E07252"/>
    <w:rsid w:val="00E0766D"/>
    <w:rsid w:val="00E07693"/>
    <w:rsid w:val="00E07776"/>
    <w:rsid w:val="00E07BE9"/>
    <w:rsid w:val="00E07E9B"/>
    <w:rsid w:val="00E102B9"/>
    <w:rsid w:val="00E10538"/>
    <w:rsid w:val="00E10601"/>
    <w:rsid w:val="00E10782"/>
    <w:rsid w:val="00E108F9"/>
    <w:rsid w:val="00E109B7"/>
    <w:rsid w:val="00E10A7F"/>
    <w:rsid w:val="00E10DFB"/>
    <w:rsid w:val="00E10F49"/>
    <w:rsid w:val="00E11393"/>
    <w:rsid w:val="00E114BE"/>
    <w:rsid w:val="00E11594"/>
    <w:rsid w:val="00E11790"/>
    <w:rsid w:val="00E1184D"/>
    <w:rsid w:val="00E11919"/>
    <w:rsid w:val="00E11A79"/>
    <w:rsid w:val="00E11AEA"/>
    <w:rsid w:val="00E11B75"/>
    <w:rsid w:val="00E11C7B"/>
    <w:rsid w:val="00E12094"/>
    <w:rsid w:val="00E120C0"/>
    <w:rsid w:val="00E12204"/>
    <w:rsid w:val="00E12472"/>
    <w:rsid w:val="00E12661"/>
    <w:rsid w:val="00E1285B"/>
    <w:rsid w:val="00E12C2D"/>
    <w:rsid w:val="00E12F5C"/>
    <w:rsid w:val="00E137CE"/>
    <w:rsid w:val="00E13998"/>
    <w:rsid w:val="00E13A56"/>
    <w:rsid w:val="00E13B04"/>
    <w:rsid w:val="00E13B40"/>
    <w:rsid w:val="00E13B50"/>
    <w:rsid w:val="00E13C08"/>
    <w:rsid w:val="00E13E29"/>
    <w:rsid w:val="00E140C1"/>
    <w:rsid w:val="00E143A2"/>
    <w:rsid w:val="00E14405"/>
    <w:rsid w:val="00E1440B"/>
    <w:rsid w:val="00E1440D"/>
    <w:rsid w:val="00E145A2"/>
    <w:rsid w:val="00E14662"/>
    <w:rsid w:val="00E146C1"/>
    <w:rsid w:val="00E14A34"/>
    <w:rsid w:val="00E14CE7"/>
    <w:rsid w:val="00E1516C"/>
    <w:rsid w:val="00E15356"/>
    <w:rsid w:val="00E15442"/>
    <w:rsid w:val="00E15529"/>
    <w:rsid w:val="00E15726"/>
    <w:rsid w:val="00E15786"/>
    <w:rsid w:val="00E1585B"/>
    <w:rsid w:val="00E15921"/>
    <w:rsid w:val="00E15ACF"/>
    <w:rsid w:val="00E15D96"/>
    <w:rsid w:val="00E163E9"/>
    <w:rsid w:val="00E16A34"/>
    <w:rsid w:val="00E16DBA"/>
    <w:rsid w:val="00E1706A"/>
    <w:rsid w:val="00E1716B"/>
    <w:rsid w:val="00E171D1"/>
    <w:rsid w:val="00E1721C"/>
    <w:rsid w:val="00E174C9"/>
    <w:rsid w:val="00E17532"/>
    <w:rsid w:val="00E20B56"/>
    <w:rsid w:val="00E20B93"/>
    <w:rsid w:val="00E20E56"/>
    <w:rsid w:val="00E21243"/>
    <w:rsid w:val="00E218A1"/>
    <w:rsid w:val="00E21A8A"/>
    <w:rsid w:val="00E21BF4"/>
    <w:rsid w:val="00E21C35"/>
    <w:rsid w:val="00E21EBD"/>
    <w:rsid w:val="00E22023"/>
    <w:rsid w:val="00E220BC"/>
    <w:rsid w:val="00E22172"/>
    <w:rsid w:val="00E22A5E"/>
    <w:rsid w:val="00E22AA5"/>
    <w:rsid w:val="00E22B9E"/>
    <w:rsid w:val="00E22BBC"/>
    <w:rsid w:val="00E22C25"/>
    <w:rsid w:val="00E23100"/>
    <w:rsid w:val="00E23598"/>
    <w:rsid w:val="00E235CE"/>
    <w:rsid w:val="00E23955"/>
    <w:rsid w:val="00E23C91"/>
    <w:rsid w:val="00E23CB1"/>
    <w:rsid w:val="00E24089"/>
    <w:rsid w:val="00E24220"/>
    <w:rsid w:val="00E2447D"/>
    <w:rsid w:val="00E2486B"/>
    <w:rsid w:val="00E24A2B"/>
    <w:rsid w:val="00E24A50"/>
    <w:rsid w:val="00E24A5B"/>
    <w:rsid w:val="00E24C4D"/>
    <w:rsid w:val="00E24FBE"/>
    <w:rsid w:val="00E25AFF"/>
    <w:rsid w:val="00E25CF2"/>
    <w:rsid w:val="00E25DB5"/>
    <w:rsid w:val="00E261B7"/>
    <w:rsid w:val="00E2636D"/>
    <w:rsid w:val="00E26809"/>
    <w:rsid w:val="00E26911"/>
    <w:rsid w:val="00E26A60"/>
    <w:rsid w:val="00E26B0B"/>
    <w:rsid w:val="00E26BA9"/>
    <w:rsid w:val="00E26E75"/>
    <w:rsid w:val="00E26EF3"/>
    <w:rsid w:val="00E2712E"/>
    <w:rsid w:val="00E27467"/>
    <w:rsid w:val="00E303C7"/>
    <w:rsid w:val="00E304AA"/>
    <w:rsid w:val="00E304EB"/>
    <w:rsid w:val="00E305F5"/>
    <w:rsid w:val="00E30605"/>
    <w:rsid w:val="00E30A53"/>
    <w:rsid w:val="00E30ADA"/>
    <w:rsid w:val="00E30BAB"/>
    <w:rsid w:val="00E30C8A"/>
    <w:rsid w:val="00E30D9E"/>
    <w:rsid w:val="00E30F4D"/>
    <w:rsid w:val="00E3190F"/>
    <w:rsid w:val="00E31A7B"/>
    <w:rsid w:val="00E31B22"/>
    <w:rsid w:val="00E3225D"/>
    <w:rsid w:val="00E32462"/>
    <w:rsid w:val="00E324A1"/>
    <w:rsid w:val="00E32AD3"/>
    <w:rsid w:val="00E32B98"/>
    <w:rsid w:val="00E32D1E"/>
    <w:rsid w:val="00E32D91"/>
    <w:rsid w:val="00E32E0A"/>
    <w:rsid w:val="00E33136"/>
    <w:rsid w:val="00E334BB"/>
    <w:rsid w:val="00E33780"/>
    <w:rsid w:val="00E337F9"/>
    <w:rsid w:val="00E33E03"/>
    <w:rsid w:val="00E3402D"/>
    <w:rsid w:val="00E340A4"/>
    <w:rsid w:val="00E34115"/>
    <w:rsid w:val="00E3426B"/>
    <w:rsid w:val="00E3457D"/>
    <w:rsid w:val="00E34783"/>
    <w:rsid w:val="00E348E2"/>
    <w:rsid w:val="00E34A48"/>
    <w:rsid w:val="00E34A72"/>
    <w:rsid w:val="00E34B3C"/>
    <w:rsid w:val="00E34C17"/>
    <w:rsid w:val="00E34C4F"/>
    <w:rsid w:val="00E35088"/>
    <w:rsid w:val="00E350DB"/>
    <w:rsid w:val="00E35481"/>
    <w:rsid w:val="00E355E5"/>
    <w:rsid w:val="00E35675"/>
    <w:rsid w:val="00E35897"/>
    <w:rsid w:val="00E35A2D"/>
    <w:rsid w:val="00E35B69"/>
    <w:rsid w:val="00E35EC5"/>
    <w:rsid w:val="00E36057"/>
    <w:rsid w:val="00E36114"/>
    <w:rsid w:val="00E36478"/>
    <w:rsid w:val="00E36546"/>
    <w:rsid w:val="00E368DA"/>
    <w:rsid w:val="00E36B7C"/>
    <w:rsid w:val="00E37166"/>
    <w:rsid w:val="00E37771"/>
    <w:rsid w:val="00E3779D"/>
    <w:rsid w:val="00E378C1"/>
    <w:rsid w:val="00E37F37"/>
    <w:rsid w:val="00E40195"/>
    <w:rsid w:val="00E402DF"/>
    <w:rsid w:val="00E403ED"/>
    <w:rsid w:val="00E4047B"/>
    <w:rsid w:val="00E4050B"/>
    <w:rsid w:val="00E40710"/>
    <w:rsid w:val="00E40793"/>
    <w:rsid w:val="00E4079B"/>
    <w:rsid w:val="00E40849"/>
    <w:rsid w:val="00E40F09"/>
    <w:rsid w:val="00E411FB"/>
    <w:rsid w:val="00E4143F"/>
    <w:rsid w:val="00E415AC"/>
    <w:rsid w:val="00E41A3A"/>
    <w:rsid w:val="00E41C01"/>
    <w:rsid w:val="00E41DB9"/>
    <w:rsid w:val="00E41E93"/>
    <w:rsid w:val="00E4218A"/>
    <w:rsid w:val="00E421B7"/>
    <w:rsid w:val="00E422CC"/>
    <w:rsid w:val="00E4258F"/>
    <w:rsid w:val="00E425BA"/>
    <w:rsid w:val="00E4281E"/>
    <w:rsid w:val="00E42939"/>
    <w:rsid w:val="00E4299D"/>
    <w:rsid w:val="00E42C61"/>
    <w:rsid w:val="00E4361C"/>
    <w:rsid w:val="00E436EA"/>
    <w:rsid w:val="00E43984"/>
    <w:rsid w:val="00E439E8"/>
    <w:rsid w:val="00E43B13"/>
    <w:rsid w:val="00E43B8C"/>
    <w:rsid w:val="00E4410B"/>
    <w:rsid w:val="00E4424F"/>
    <w:rsid w:val="00E44560"/>
    <w:rsid w:val="00E44695"/>
    <w:rsid w:val="00E4470C"/>
    <w:rsid w:val="00E447A3"/>
    <w:rsid w:val="00E447F9"/>
    <w:rsid w:val="00E44B46"/>
    <w:rsid w:val="00E4526E"/>
    <w:rsid w:val="00E452D6"/>
    <w:rsid w:val="00E4550F"/>
    <w:rsid w:val="00E4581D"/>
    <w:rsid w:val="00E458E4"/>
    <w:rsid w:val="00E4596C"/>
    <w:rsid w:val="00E45CD4"/>
    <w:rsid w:val="00E45D08"/>
    <w:rsid w:val="00E461C1"/>
    <w:rsid w:val="00E46430"/>
    <w:rsid w:val="00E464F4"/>
    <w:rsid w:val="00E464FB"/>
    <w:rsid w:val="00E46797"/>
    <w:rsid w:val="00E46C05"/>
    <w:rsid w:val="00E46C30"/>
    <w:rsid w:val="00E46D17"/>
    <w:rsid w:val="00E46F08"/>
    <w:rsid w:val="00E47010"/>
    <w:rsid w:val="00E47214"/>
    <w:rsid w:val="00E474FF"/>
    <w:rsid w:val="00E47630"/>
    <w:rsid w:val="00E4774C"/>
    <w:rsid w:val="00E47782"/>
    <w:rsid w:val="00E47854"/>
    <w:rsid w:val="00E47E3C"/>
    <w:rsid w:val="00E47F60"/>
    <w:rsid w:val="00E47F66"/>
    <w:rsid w:val="00E50188"/>
    <w:rsid w:val="00E506B7"/>
    <w:rsid w:val="00E50AAD"/>
    <w:rsid w:val="00E50AF5"/>
    <w:rsid w:val="00E50B32"/>
    <w:rsid w:val="00E50DF9"/>
    <w:rsid w:val="00E50F3D"/>
    <w:rsid w:val="00E51056"/>
    <w:rsid w:val="00E510B9"/>
    <w:rsid w:val="00E51393"/>
    <w:rsid w:val="00E51528"/>
    <w:rsid w:val="00E51765"/>
    <w:rsid w:val="00E517A7"/>
    <w:rsid w:val="00E5184F"/>
    <w:rsid w:val="00E51982"/>
    <w:rsid w:val="00E51AED"/>
    <w:rsid w:val="00E51BC4"/>
    <w:rsid w:val="00E51C7B"/>
    <w:rsid w:val="00E51E02"/>
    <w:rsid w:val="00E52126"/>
    <w:rsid w:val="00E523C2"/>
    <w:rsid w:val="00E52B16"/>
    <w:rsid w:val="00E52DFA"/>
    <w:rsid w:val="00E52ED4"/>
    <w:rsid w:val="00E52F7A"/>
    <w:rsid w:val="00E531E0"/>
    <w:rsid w:val="00E532A5"/>
    <w:rsid w:val="00E53360"/>
    <w:rsid w:val="00E535F6"/>
    <w:rsid w:val="00E53895"/>
    <w:rsid w:val="00E53A4A"/>
    <w:rsid w:val="00E53AAE"/>
    <w:rsid w:val="00E53BBF"/>
    <w:rsid w:val="00E53CFA"/>
    <w:rsid w:val="00E53EFE"/>
    <w:rsid w:val="00E53F5C"/>
    <w:rsid w:val="00E53FEA"/>
    <w:rsid w:val="00E540E1"/>
    <w:rsid w:val="00E54196"/>
    <w:rsid w:val="00E541B6"/>
    <w:rsid w:val="00E5425A"/>
    <w:rsid w:val="00E5431C"/>
    <w:rsid w:val="00E5432C"/>
    <w:rsid w:val="00E5475D"/>
    <w:rsid w:val="00E548FD"/>
    <w:rsid w:val="00E5491E"/>
    <w:rsid w:val="00E54B59"/>
    <w:rsid w:val="00E5508C"/>
    <w:rsid w:val="00E5521B"/>
    <w:rsid w:val="00E558C3"/>
    <w:rsid w:val="00E55ACB"/>
    <w:rsid w:val="00E560E8"/>
    <w:rsid w:val="00E562C8"/>
    <w:rsid w:val="00E5636C"/>
    <w:rsid w:val="00E56B5F"/>
    <w:rsid w:val="00E56EE9"/>
    <w:rsid w:val="00E57711"/>
    <w:rsid w:val="00E57D05"/>
    <w:rsid w:val="00E57E95"/>
    <w:rsid w:val="00E57F4B"/>
    <w:rsid w:val="00E5BDE2"/>
    <w:rsid w:val="00E601A2"/>
    <w:rsid w:val="00E6047F"/>
    <w:rsid w:val="00E60767"/>
    <w:rsid w:val="00E60A66"/>
    <w:rsid w:val="00E60AD3"/>
    <w:rsid w:val="00E60F8F"/>
    <w:rsid w:val="00E60F96"/>
    <w:rsid w:val="00E60FE0"/>
    <w:rsid w:val="00E6115F"/>
    <w:rsid w:val="00E61866"/>
    <w:rsid w:val="00E61A13"/>
    <w:rsid w:val="00E61C15"/>
    <w:rsid w:val="00E61F54"/>
    <w:rsid w:val="00E621C8"/>
    <w:rsid w:val="00E62989"/>
    <w:rsid w:val="00E62ABF"/>
    <w:rsid w:val="00E62D13"/>
    <w:rsid w:val="00E62D1A"/>
    <w:rsid w:val="00E62E1F"/>
    <w:rsid w:val="00E62F84"/>
    <w:rsid w:val="00E62FB1"/>
    <w:rsid w:val="00E62FBA"/>
    <w:rsid w:val="00E631C3"/>
    <w:rsid w:val="00E6322C"/>
    <w:rsid w:val="00E64286"/>
    <w:rsid w:val="00E642C8"/>
    <w:rsid w:val="00E643C8"/>
    <w:rsid w:val="00E645F1"/>
    <w:rsid w:val="00E6464B"/>
    <w:rsid w:val="00E652D3"/>
    <w:rsid w:val="00E65366"/>
    <w:rsid w:val="00E654FD"/>
    <w:rsid w:val="00E6580C"/>
    <w:rsid w:val="00E65CDC"/>
    <w:rsid w:val="00E65F70"/>
    <w:rsid w:val="00E66077"/>
    <w:rsid w:val="00E660FD"/>
    <w:rsid w:val="00E66482"/>
    <w:rsid w:val="00E66D9A"/>
    <w:rsid w:val="00E66DBF"/>
    <w:rsid w:val="00E6733C"/>
    <w:rsid w:val="00E6734A"/>
    <w:rsid w:val="00E67567"/>
    <w:rsid w:val="00E678CA"/>
    <w:rsid w:val="00E67BC6"/>
    <w:rsid w:val="00E67C22"/>
    <w:rsid w:val="00E67D31"/>
    <w:rsid w:val="00E67E55"/>
    <w:rsid w:val="00E67ED0"/>
    <w:rsid w:val="00E7066F"/>
    <w:rsid w:val="00E70C09"/>
    <w:rsid w:val="00E70D74"/>
    <w:rsid w:val="00E70EB5"/>
    <w:rsid w:val="00E70EC6"/>
    <w:rsid w:val="00E70FFB"/>
    <w:rsid w:val="00E714F4"/>
    <w:rsid w:val="00E715C2"/>
    <w:rsid w:val="00E717F3"/>
    <w:rsid w:val="00E7181D"/>
    <w:rsid w:val="00E7183F"/>
    <w:rsid w:val="00E718A0"/>
    <w:rsid w:val="00E71C9A"/>
    <w:rsid w:val="00E71D6F"/>
    <w:rsid w:val="00E724C3"/>
    <w:rsid w:val="00E727B6"/>
    <w:rsid w:val="00E7283D"/>
    <w:rsid w:val="00E72B36"/>
    <w:rsid w:val="00E73164"/>
    <w:rsid w:val="00E73490"/>
    <w:rsid w:val="00E73518"/>
    <w:rsid w:val="00E7354F"/>
    <w:rsid w:val="00E7359D"/>
    <w:rsid w:val="00E73657"/>
    <w:rsid w:val="00E73798"/>
    <w:rsid w:val="00E740A5"/>
    <w:rsid w:val="00E748C8"/>
    <w:rsid w:val="00E7492D"/>
    <w:rsid w:val="00E74A94"/>
    <w:rsid w:val="00E75082"/>
    <w:rsid w:val="00E750FA"/>
    <w:rsid w:val="00E751F9"/>
    <w:rsid w:val="00E754DA"/>
    <w:rsid w:val="00E75635"/>
    <w:rsid w:val="00E75953"/>
    <w:rsid w:val="00E75A10"/>
    <w:rsid w:val="00E75A1C"/>
    <w:rsid w:val="00E75D5E"/>
    <w:rsid w:val="00E75E80"/>
    <w:rsid w:val="00E760D9"/>
    <w:rsid w:val="00E764F2"/>
    <w:rsid w:val="00E769B3"/>
    <w:rsid w:val="00E769DC"/>
    <w:rsid w:val="00E771E2"/>
    <w:rsid w:val="00E777D0"/>
    <w:rsid w:val="00E77A24"/>
    <w:rsid w:val="00E801C8"/>
    <w:rsid w:val="00E803B7"/>
    <w:rsid w:val="00E803D0"/>
    <w:rsid w:val="00E80450"/>
    <w:rsid w:val="00E8058E"/>
    <w:rsid w:val="00E806C7"/>
    <w:rsid w:val="00E80798"/>
    <w:rsid w:val="00E80850"/>
    <w:rsid w:val="00E80E0E"/>
    <w:rsid w:val="00E80E28"/>
    <w:rsid w:val="00E80F26"/>
    <w:rsid w:val="00E81174"/>
    <w:rsid w:val="00E811E6"/>
    <w:rsid w:val="00E814D4"/>
    <w:rsid w:val="00E816B7"/>
    <w:rsid w:val="00E81A1F"/>
    <w:rsid w:val="00E81CD2"/>
    <w:rsid w:val="00E81DAA"/>
    <w:rsid w:val="00E826E8"/>
    <w:rsid w:val="00E82725"/>
    <w:rsid w:val="00E83019"/>
    <w:rsid w:val="00E83503"/>
    <w:rsid w:val="00E8397B"/>
    <w:rsid w:val="00E83AD6"/>
    <w:rsid w:val="00E83C40"/>
    <w:rsid w:val="00E83F2B"/>
    <w:rsid w:val="00E83F6E"/>
    <w:rsid w:val="00E842F5"/>
    <w:rsid w:val="00E84C2C"/>
    <w:rsid w:val="00E84D4B"/>
    <w:rsid w:val="00E84E1E"/>
    <w:rsid w:val="00E852CF"/>
    <w:rsid w:val="00E853F3"/>
    <w:rsid w:val="00E854B6"/>
    <w:rsid w:val="00E858EA"/>
    <w:rsid w:val="00E85A09"/>
    <w:rsid w:val="00E85B53"/>
    <w:rsid w:val="00E85D69"/>
    <w:rsid w:val="00E85FAE"/>
    <w:rsid w:val="00E862D4"/>
    <w:rsid w:val="00E8691A"/>
    <w:rsid w:val="00E86EDD"/>
    <w:rsid w:val="00E871CE"/>
    <w:rsid w:val="00E872B8"/>
    <w:rsid w:val="00E8730C"/>
    <w:rsid w:val="00E87310"/>
    <w:rsid w:val="00E877B9"/>
    <w:rsid w:val="00E8782A"/>
    <w:rsid w:val="00E87878"/>
    <w:rsid w:val="00E878B8"/>
    <w:rsid w:val="00E879F1"/>
    <w:rsid w:val="00E87D45"/>
    <w:rsid w:val="00E901CC"/>
    <w:rsid w:val="00E90418"/>
    <w:rsid w:val="00E904BA"/>
    <w:rsid w:val="00E90543"/>
    <w:rsid w:val="00E9057E"/>
    <w:rsid w:val="00E90648"/>
    <w:rsid w:val="00E90EC4"/>
    <w:rsid w:val="00E91087"/>
    <w:rsid w:val="00E91484"/>
    <w:rsid w:val="00E9161C"/>
    <w:rsid w:val="00E91646"/>
    <w:rsid w:val="00E91650"/>
    <w:rsid w:val="00E91933"/>
    <w:rsid w:val="00E91CA8"/>
    <w:rsid w:val="00E91D21"/>
    <w:rsid w:val="00E922F3"/>
    <w:rsid w:val="00E92569"/>
    <w:rsid w:val="00E92CC2"/>
    <w:rsid w:val="00E92CE4"/>
    <w:rsid w:val="00E93101"/>
    <w:rsid w:val="00E93663"/>
    <w:rsid w:val="00E9367A"/>
    <w:rsid w:val="00E93A7C"/>
    <w:rsid w:val="00E93BE1"/>
    <w:rsid w:val="00E94074"/>
    <w:rsid w:val="00E9419B"/>
    <w:rsid w:val="00E944CE"/>
    <w:rsid w:val="00E94543"/>
    <w:rsid w:val="00E9457B"/>
    <w:rsid w:val="00E9469A"/>
    <w:rsid w:val="00E9484A"/>
    <w:rsid w:val="00E94AA3"/>
    <w:rsid w:val="00E94AB8"/>
    <w:rsid w:val="00E94AC8"/>
    <w:rsid w:val="00E95383"/>
    <w:rsid w:val="00E95562"/>
    <w:rsid w:val="00E9579A"/>
    <w:rsid w:val="00E9588C"/>
    <w:rsid w:val="00E9590A"/>
    <w:rsid w:val="00E96824"/>
    <w:rsid w:val="00E96A07"/>
    <w:rsid w:val="00E96D3F"/>
    <w:rsid w:val="00E96EA5"/>
    <w:rsid w:val="00E96EB2"/>
    <w:rsid w:val="00E974E4"/>
    <w:rsid w:val="00E97765"/>
    <w:rsid w:val="00E97938"/>
    <w:rsid w:val="00E97D4D"/>
    <w:rsid w:val="00E97DA9"/>
    <w:rsid w:val="00E97E6E"/>
    <w:rsid w:val="00E97EB6"/>
    <w:rsid w:val="00E97FAF"/>
    <w:rsid w:val="00E97FEC"/>
    <w:rsid w:val="00EA0511"/>
    <w:rsid w:val="00EA07A4"/>
    <w:rsid w:val="00EA099D"/>
    <w:rsid w:val="00EA0D29"/>
    <w:rsid w:val="00EA0DE7"/>
    <w:rsid w:val="00EA121F"/>
    <w:rsid w:val="00EA14DD"/>
    <w:rsid w:val="00EA16BB"/>
    <w:rsid w:val="00EA1913"/>
    <w:rsid w:val="00EA198C"/>
    <w:rsid w:val="00EA19E4"/>
    <w:rsid w:val="00EA1B8F"/>
    <w:rsid w:val="00EA1EB6"/>
    <w:rsid w:val="00EA2306"/>
    <w:rsid w:val="00EA2462"/>
    <w:rsid w:val="00EA26ED"/>
    <w:rsid w:val="00EA288E"/>
    <w:rsid w:val="00EA29C0"/>
    <w:rsid w:val="00EA2CEC"/>
    <w:rsid w:val="00EA2EBF"/>
    <w:rsid w:val="00EA2EEC"/>
    <w:rsid w:val="00EA2F37"/>
    <w:rsid w:val="00EA309E"/>
    <w:rsid w:val="00EA309F"/>
    <w:rsid w:val="00EA3D6A"/>
    <w:rsid w:val="00EA4100"/>
    <w:rsid w:val="00EA4252"/>
    <w:rsid w:val="00EA46AB"/>
    <w:rsid w:val="00EA487A"/>
    <w:rsid w:val="00EA487B"/>
    <w:rsid w:val="00EA4A24"/>
    <w:rsid w:val="00EA4E3A"/>
    <w:rsid w:val="00EA5054"/>
    <w:rsid w:val="00EA5484"/>
    <w:rsid w:val="00EA55DA"/>
    <w:rsid w:val="00EA55E7"/>
    <w:rsid w:val="00EA585C"/>
    <w:rsid w:val="00EA5D07"/>
    <w:rsid w:val="00EA5FF8"/>
    <w:rsid w:val="00EA6091"/>
    <w:rsid w:val="00EA6449"/>
    <w:rsid w:val="00EA66D9"/>
    <w:rsid w:val="00EA6710"/>
    <w:rsid w:val="00EA6A55"/>
    <w:rsid w:val="00EA6B0F"/>
    <w:rsid w:val="00EA7069"/>
    <w:rsid w:val="00EA713B"/>
    <w:rsid w:val="00EA72A6"/>
    <w:rsid w:val="00EA75C3"/>
    <w:rsid w:val="00EA77A3"/>
    <w:rsid w:val="00EA7C71"/>
    <w:rsid w:val="00EA7E10"/>
    <w:rsid w:val="00EB025A"/>
    <w:rsid w:val="00EB0353"/>
    <w:rsid w:val="00EB03A8"/>
    <w:rsid w:val="00EB04C5"/>
    <w:rsid w:val="00EB0631"/>
    <w:rsid w:val="00EB067B"/>
    <w:rsid w:val="00EB07A0"/>
    <w:rsid w:val="00EB08BC"/>
    <w:rsid w:val="00EB0FAF"/>
    <w:rsid w:val="00EB100D"/>
    <w:rsid w:val="00EB131D"/>
    <w:rsid w:val="00EB14A4"/>
    <w:rsid w:val="00EB1988"/>
    <w:rsid w:val="00EB1A18"/>
    <w:rsid w:val="00EB1AE5"/>
    <w:rsid w:val="00EB1B51"/>
    <w:rsid w:val="00EB239E"/>
    <w:rsid w:val="00EB2426"/>
    <w:rsid w:val="00EB24A9"/>
    <w:rsid w:val="00EB25C8"/>
    <w:rsid w:val="00EB2BCA"/>
    <w:rsid w:val="00EB2E1B"/>
    <w:rsid w:val="00EB2E7B"/>
    <w:rsid w:val="00EB31B7"/>
    <w:rsid w:val="00EB31D5"/>
    <w:rsid w:val="00EB323C"/>
    <w:rsid w:val="00EB32B8"/>
    <w:rsid w:val="00EB32D1"/>
    <w:rsid w:val="00EB35F5"/>
    <w:rsid w:val="00EB3B39"/>
    <w:rsid w:val="00EB3C74"/>
    <w:rsid w:val="00EB3D1C"/>
    <w:rsid w:val="00EB3D9B"/>
    <w:rsid w:val="00EB3E32"/>
    <w:rsid w:val="00EB3ED1"/>
    <w:rsid w:val="00EB41F4"/>
    <w:rsid w:val="00EB4377"/>
    <w:rsid w:val="00EB4404"/>
    <w:rsid w:val="00EB4446"/>
    <w:rsid w:val="00EB457C"/>
    <w:rsid w:val="00EB4724"/>
    <w:rsid w:val="00EB4B20"/>
    <w:rsid w:val="00EB4B4B"/>
    <w:rsid w:val="00EB4D9F"/>
    <w:rsid w:val="00EB4E61"/>
    <w:rsid w:val="00EB50C9"/>
    <w:rsid w:val="00EB5212"/>
    <w:rsid w:val="00EB53A3"/>
    <w:rsid w:val="00EB53F1"/>
    <w:rsid w:val="00EB5611"/>
    <w:rsid w:val="00EB564C"/>
    <w:rsid w:val="00EB57A6"/>
    <w:rsid w:val="00EB5D5E"/>
    <w:rsid w:val="00EB6015"/>
    <w:rsid w:val="00EB616A"/>
    <w:rsid w:val="00EB676D"/>
    <w:rsid w:val="00EB6BE6"/>
    <w:rsid w:val="00EB71D6"/>
    <w:rsid w:val="00EB7270"/>
    <w:rsid w:val="00EB7529"/>
    <w:rsid w:val="00EB7728"/>
    <w:rsid w:val="00EB7E30"/>
    <w:rsid w:val="00EB7F7F"/>
    <w:rsid w:val="00EB7F9B"/>
    <w:rsid w:val="00EB7FC3"/>
    <w:rsid w:val="00EB7FF0"/>
    <w:rsid w:val="00EC0272"/>
    <w:rsid w:val="00EC0395"/>
    <w:rsid w:val="00EC0634"/>
    <w:rsid w:val="00EC0745"/>
    <w:rsid w:val="00EC07E4"/>
    <w:rsid w:val="00EC0B74"/>
    <w:rsid w:val="00EC0F92"/>
    <w:rsid w:val="00EC0FCB"/>
    <w:rsid w:val="00EC118C"/>
    <w:rsid w:val="00EC11B4"/>
    <w:rsid w:val="00EC1408"/>
    <w:rsid w:val="00EC184F"/>
    <w:rsid w:val="00EC189A"/>
    <w:rsid w:val="00EC1998"/>
    <w:rsid w:val="00EC1A29"/>
    <w:rsid w:val="00EC1B36"/>
    <w:rsid w:val="00EC23C4"/>
    <w:rsid w:val="00EC25AC"/>
    <w:rsid w:val="00EC2627"/>
    <w:rsid w:val="00EC2967"/>
    <w:rsid w:val="00EC2C8E"/>
    <w:rsid w:val="00EC2CAD"/>
    <w:rsid w:val="00EC30BA"/>
    <w:rsid w:val="00EC3402"/>
    <w:rsid w:val="00EC3995"/>
    <w:rsid w:val="00EC3B7D"/>
    <w:rsid w:val="00EC3D15"/>
    <w:rsid w:val="00EC3D3B"/>
    <w:rsid w:val="00EC3E7A"/>
    <w:rsid w:val="00EC4049"/>
    <w:rsid w:val="00EC405B"/>
    <w:rsid w:val="00EC4285"/>
    <w:rsid w:val="00EC43E7"/>
    <w:rsid w:val="00EC465F"/>
    <w:rsid w:val="00EC46EC"/>
    <w:rsid w:val="00EC4C37"/>
    <w:rsid w:val="00EC4E14"/>
    <w:rsid w:val="00EC5086"/>
    <w:rsid w:val="00EC5328"/>
    <w:rsid w:val="00EC53A6"/>
    <w:rsid w:val="00EC5508"/>
    <w:rsid w:val="00EC58DB"/>
    <w:rsid w:val="00EC5A3C"/>
    <w:rsid w:val="00EC5CF9"/>
    <w:rsid w:val="00EC5EB8"/>
    <w:rsid w:val="00EC5F56"/>
    <w:rsid w:val="00EC5FE4"/>
    <w:rsid w:val="00EC60AC"/>
    <w:rsid w:val="00EC612D"/>
    <w:rsid w:val="00EC632C"/>
    <w:rsid w:val="00EC6524"/>
    <w:rsid w:val="00EC67FE"/>
    <w:rsid w:val="00EC687A"/>
    <w:rsid w:val="00EC6C68"/>
    <w:rsid w:val="00EC6E27"/>
    <w:rsid w:val="00EC6ED4"/>
    <w:rsid w:val="00EC7195"/>
    <w:rsid w:val="00EC7339"/>
    <w:rsid w:val="00EC73E2"/>
    <w:rsid w:val="00EC7484"/>
    <w:rsid w:val="00EC754D"/>
    <w:rsid w:val="00EC75AE"/>
    <w:rsid w:val="00EC76AC"/>
    <w:rsid w:val="00EC7704"/>
    <w:rsid w:val="00EC794A"/>
    <w:rsid w:val="00EC7ABF"/>
    <w:rsid w:val="00EC7CDF"/>
    <w:rsid w:val="00EC7F46"/>
    <w:rsid w:val="00ED03A7"/>
    <w:rsid w:val="00ED059E"/>
    <w:rsid w:val="00ED05DE"/>
    <w:rsid w:val="00ED05FA"/>
    <w:rsid w:val="00ED0789"/>
    <w:rsid w:val="00ED07B4"/>
    <w:rsid w:val="00ED07EE"/>
    <w:rsid w:val="00ED0BB6"/>
    <w:rsid w:val="00ED0D51"/>
    <w:rsid w:val="00ED0EC5"/>
    <w:rsid w:val="00ED0ECA"/>
    <w:rsid w:val="00ED0F32"/>
    <w:rsid w:val="00ED1182"/>
    <w:rsid w:val="00ED12A2"/>
    <w:rsid w:val="00ED142D"/>
    <w:rsid w:val="00ED1C6E"/>
    <w:rsid w:val="00ED1D98"/>
    <w:rsid w:val="00ED1E6C"/>
    <w:rsid w:val="00ED2050"/>
    <w:rsid w:val="00ED26D3"/>
    <w:rsid w:val="00ED2A95"/>
    <w:rsid w:val="00ED2C5D"/>
    <w:rsid w:val="00ED2F8A"/>
    <w:rsid w:val="00ED2F9E"/>
    <w:rsid w:val="00ED32CF"/>
    <w:rsid w:val="00ED32F9"/>
    <w:rsid w:val="00ED34DA"/>
    <w:rsid w:val="00ED34E1"/>
    <w:rsid w:val="00ED36C3"/>
    <w:rsid w:val="00ED4136"/>
    <w:rsid w:val="00ED41D1"/>
    <w:rsid w:val="00ED4537"/>
    <w:rsid w:val="00ED4582"/>
    <w:rsid w:val="00ED4672"/>
    <w:rsid w:val="00ED4B9F"/>
    <w:rsid w:val="00ED4BF6"/>
    <w:rsid w:val="00ED4FBB"/>
    <w:rsid w:val="00ED4FDB"/>
    <w:rsid w:val="00ED504D"/>
    <w:rsid w:val="00ED5066"/>
    <w:rsid w:val="00ED52B9"/>
    <w:rsid w:val="00ED563F"/>
    <w:rsid w:val="00ED56B8"/>
    <w:rsid w:val="00ED58FE"/>
    <w:rsid w:val="00ED5C08"/>
    <w:rsid w:val="00ED5D99"/>
    <w:rsid w:val="00ED5EF6"/>
    <w:rsid w:val="00ED5EFD"/>
    <w:rsid w:val="00ED5F55"/>
    <w:rsid w:val="00ED60C2"/>
    <w:rsid w:val="00ED62E0"/>
    <w:rsid w:val="00ED643F"/>
    <w:rsid w:val="00ED69F3"/>
    <w:rsid w:val="00ED6E86"/>
    <w:rsid w:val="00ED6FAA"/>
    <w:rsid w:val="00ED754B"/>
    <w:rsid w:val="00ED79DD"/>
    <w:rsid w:val="00ED7AC9"/>
    <w:rsid w:val="00ED7D71"/>
    <w:rsid w:val="00EE01C3"/>
    <w:rsid w:val="00EE0332"/>
    <w:rsid w:val="00EE05F5"/>
    <w:rsid w:val="00EE0734"/>
    <w:rsid w:val="00EE0956"/>
    <w:rsid w:val="00EE0BDC"/>
    <w:rsid w:val="00EE0BEB"/>
    <w:rsid w:val="00EE0BF3"/>
    <w:rsid w:val="00EE0FDD"/>
    <w:rsid w:val="00EE16BE"/>
    <w:rsid w:val="00EE179A"/>
    <w:rsid w:val="00EE184B"/>
    <w:rsid w:val="00EE1D2D"/>
    <w:rsid w:val="00EE1EF5"/>
    <w:rsid w:val="00EE21CB"/>
    <w:rsid w:val="00EE22B9"/>
    <w:rsid w:val="00EE22C1"/>
    <w:rsid w:val="00EE23A9"/>
    <w:rsid w:val="00EE2411"/>
    <w:rsid w:val="00EE2514"/>
    <w:rsid w:val="00EE25FE"/>
    <w:rsid w:val="00EE29DC"/>
    <w:rsid w:val="00EE2D69"/>
    <w:rsid w:val="00EE2E54"/>
    <w:rsid w:val="00EE2F65"/>
    <w:rsid w:val="00EE324C"/>
    <w:rsid w:val="00EE3426"/>
    <w:rsid w:val="00EE37D5"/>
    <w:rsid w:val="00EE3860"/>
    <w:rsid w:val="00EE3F0A"/>
    <w:rsid w:val="00EE4366"/>
    <w:rsid w:val="00EE4755"/>
    <w:rsid w:val="00EE4A46"/>
    <w:rsid w:val="00EE4C19"/>
    <w:rsid w:val="00EE549D"/>
    <w:rsid w:val="00EE582D"/>
    <w:rsid w:val="00EE5B75"/>
    <w:rsid w:val="00EE5B9B"/>
    <w:rsid w:val="00EE5BC8"/>
    <w:rsid w:val="00EE5ECE"/>
    <w:rsid w:val="00EE606E"/>
    <w:rsid w:val="00EE668A"/>
    <w:rsid w:val="00EE6FFC"/>
    <w:rsid w:val="00EE720F"/>
    <w:rsid w:val="00EE730B"/>
    <w:rsid w:val="00EE7B4C"/>
    <w:rsid w:val="00EF0084"/>
    <w:rsid w:val="00EF0289"/>
    <w:rsid w:val="00EF0716"/>
    <w:rsid w:val="00EF0752"/>
    <w:rsid w:val="00EF09CC"/>
    <w:rsid w:val="00EF0BA8"/>
    <w:rsid w:val="00EF119F"/>
    <w:rsid w:val="00EF11BD"/>
    <w:rsid w:val="00EF165A"/>
    <w:rsid w:val="00EF168E"/>
    <w:rsid w:val="00EF16AC"/>
    <w:rsid w:val="00EF1C6D"/>
    <w:rsid w:val="00EF1DEA"/>
    <w:rsid w:val="00EF1ECB"/>
    <w:rsid w:val="00EF2112"/>
    <w:rsid w:val="00EF2195"/>
    <w:rsid w:val="00EF2312"/>
    <w:rsid w:val="00EF278C"/>
    <w:rsid w:val="00EF2E32"/>
    <w:rsid w:val="00EF2FFC"/>
    <w:rsid w:val="00EF326A"/>
    <w:rsid w:val="00EF328C"/>
    <w:rsid w:val="00EF36C2"/>
    <w:rsid w:val="00EF36CB"/>
    <w:rsid w:val="00EF3BD5"/>
    <w:rsid w:val="00EF3C31"/>
    <w:rsid w:val="00EF3E75"/>
    <w:rsid w:val="00EF3F6C"/>
    <w:rsid w:val="00EF407F"/>
    <w:rsid w:val="00EF4228"/>
    <w:rsid w:val="00EF42FF"/>
    <w:rsid w:val="00EF4CC2"/>
    <w:rsid w:val="00EF4CD5"/>
    <w:rsid w:val="00EF4D70"/>
    <w:rsid w:val="00EF4E29"/>
    <w:rsid w:val="00EF52E2"/>
    <w:rsid w:val="00EF55F5"/>
    <w:rsid w:val="00EF55FC"/>
    <w:rsid w:val="00EF56FA"/>
    <w:rsid w:val="00EF5731"/>
    <w:rsid w:val="00EF578F"/>
    <w:rsid w:val="00EF59A6"/>
    <w:rsid w:val="00EF5D73"/>
    <w:rsid w:val="00EF5FA6"/>
    <w:rsid w:val="00EF611E"/>
    <w:rsid w:val="00EF6168"/>
    <w:rsid w:val="00EF62F1"/>
    <w:rsid w:val="00EF684C"/>
    <w:rsid w:val="00EF687D"/>
    <w:rsid w:val="00EF6A2D"/>
    <w:rsid w:val="00EF6A93"/>
    <w:rsid w:val="00EF6ACD"/>
    <w:rsid w:val="00EF6CBA"/>
    <w:rsid w:val="00EF6E8E"/>
    <w:rsid w:val="00EF6F6F"/>
    <w:rsid w:val="00EF722C"/>
    <w:rsid w:val="00EF7368"/>
    <w:rsid w:val="00EF752C"/>
    <w:rsid w:val="00EF7A91"/>
    <w:rsid w:val="00EF7D87"/>
    <w:rsid w:val="00EF7DDE"/>
    <w:rsid w:val="00EF7E0A"/>
    <w:rsid w:val="00EF7F4A"/>
    <w:rsid w:val="00EF7F7B"/>
    <w:rsid w:val="00F002A3"/>
    <w:rsid w:val="00F002C7"/>
    <w:rsid w:val="00F0045A"/>
    <w:rsid w:val="00F00555"/>
    <w:rsid w:val="00F0059E"/>
    <w:rsid w:val="00F005A3"/>
    <w:rsid w:val="00F006FB"/>
    <w:rsid w:val="00F00777"/>
    <w:rsid w:val="00F0078B"/>
    <w:rsid w:val="00F008D1"/>
    <w:rsid w:val="00F0093E"/>
    <w:rsid w:val="00F00B49"/>
    <w:rsid w:val="00F00B51"/>
    <w:rsid w:val="00F00BAE"/>
    <w:rsid w:val="00F0103D"/>
    <w:rsid w:val="00F011BC"/>
    <w:rsid w:val="00F011F6"/>
    <w:rsid w:val="00F013DE"/>
    <w:rsid w:val="00F014CE"/>
    <w:rsid w:val="00F01A7F"/>
    <w:rsid w:val="00F01AD4"/>
    <w:rsid w:val="00F01B41"/>
    <w:rsid w:val="00F02166"/>
    <w:rsid w:val="00F02265"/>
    <w:rsid w:val="00F027CF"/>
    <w:rsid w:val="00F02863"/>
    <w:rsid w:val="00F030AC"/>
    <w:rsid w:val="00F034DE"/>
    <w:rsid w:val="00F03624"/>
    <w:rsid w:val="00F03AD4"/>
    <w:rsid w:val="00F03E08"/>
    <w:rsid w:val="00F03FD4"/>
    <w:rsid w:val="00F04158"/>
    <w:rsid w:val="00F041D5"/>
    <w:rsid w:val="00F045AB"/>
    <w:rsid w:val="00F0488D"/>
    <w:rsid w:val="00F050A3"/>
    <w:rsid w:val="00F050AA"/>
    <w:rsid w:val="00F05235"/>
    <w:rsid w:val="00F05244"/>
    <w:rsid w:val="00F0550C"/>
    <w:rsid w:val="00F05586"/>
    <w:rsid w:val="00F0598C"/>
    <w:rsid w:val="00F05A1E"/>
    <w:rsid w:val="00F05BB4"/>
    <w:rsid w:val="00F05C07"/>
    <w:rsid w:val="00F05F42"/>
    <w:rsid w:val="00F066EF"/>
    <w:rsid w:val="00F067D0"/>
    <w:rsid w:val="00F0684C"/>
    <w:rsid w:val="00F06C8D"/>
    <w:rsid w:val="00F06DC4"/>
    <w:rsid w:val="00F074D5"/>
    <w:rsid w:val="00F075E0"/>
    <w:rsid w:val="00F07818"/>
    <w:rsid w:val="00F07A9C"/>
    <w:rsid w:val="00F07B4F"/>
    <w:rsid w:val="00F07BED"/>
    <w:rsid w:val="00F07BF3"/>
    <w:rsid w:val="00F10014"/>
    <w:rsid w:val="00F10025"/>
    <w:rsid w:val="00F1027E"/>
    <w:rsid w:val="00F102F2"/>
    <w:rsid w:val="00F1060A"/>
    <w:rsid w:val="00F1063A"/>
    <w:rsid w:val="00F106F6"/>
    <w:rsid w:val="00F10A53"/>
    <w:rsid w:val="00F10A7A"/>
    <w:rsid w:val="00F10EF2"/>
    <w:rsid w:val="00F10F3F"/>
    <w:rsid w:val="00F10FF5"/>
    <w:rsid w:val="00F110E4"/>
    <w:rsid w:val="00F110FC"/>
    <w:rsid w:val="00F1136A"/>
    <w:rsid w:val="00F11393"/>
    <w:rsid w:val="00F11544"/>
    <w:rsid w:val="00F117FC"/>
    <w:rsid w:val="00F11893"/>
    <w:rsid w:val="00F118A3"/>
    <w:rsid w:val="00F119F4"/>
    <w:rsid w:val="00F11B75"/>
    <w:rsid w:val="00F11ED6"/>
    <w:rsid w:val="00F11FC0"/>
    <w:rsid w:val="00F1208D"/>
    <w:rsid w:val="00F12193"/>
    <w:rsid w:val="00F1236E"/>
    <w:rsid w:val="00F12392"/>
    <w:rsid w:val="00F127ED"/>
    <w:rsid w:val="00F1293D"/>
    <w:rsid w:val="00F12C8C"/>
    <w:rsid w:val="00F12CD4"/>
    <w:rsid w:val="00F12DA8"/>
    <w:rsid w:val="00F12F7B"/>
    <w:rsid w:val="00F13248"/>
    <w:rsid w:val="00F13275"/>
    <w:rsid w:val="00F13388"/>
    <w:rsid w:val="00F1357D"/>
    <w:rsid w:val="00F135D4"/>
    <w:rsid w:val="00F13E08"/>
    <w:rsid w:val="00F14690"/>
    <w:rsid w:val="00F1474F"/>
    <w:rsid w:val="00F14A75"/>
    <w:rsid w:val="00F14C13"/>
    <w:rsid w:val="00F14CB6"/>
    <w:rsid w:val="00F14FB1"/>
    <w:rsid w:val="00F14FDC"/>
    <w:rsid w:val="00F150D0"/>
    <w:rsid w:val="00F152F2"/>
    <w:rsid w:val="00F1539F"/>
    <w:rsid w:val="00F15436"/>
    <w:rsid w:val="00F15546"/>
    <w:rsid w:val="00F156E6"/>
    <w:rsid w:val="00F1581D"/>
    <w:rsid w:val="00F15C26"/>
    <w:rsid w:val="00F15D31"/>
    <w:rsid w:val="00F1600E"/>
    <w:rsid w:val="00F17485"/>
    <w:rsid w:val="00F175B7"/>
    <w:rsid w:val="00F175DA"/>
    <w:rsid w:val="00F175F9"/>
    <w:rsid w:val="00F17CAE"/>
    <w:rsid w:val="00F17E1F"/>
    <w:rsid w:val="00F2007A"/>
    <w:rsid w:val="00F202C5"/>
    <w:rsid w:val="00F2056F"/>
    <w:rsid w:val="00F20CD4"/>
    <w:rsid w:val="00F20ED9"/>
    <w:rsid w:val="00F20EDD"/>
    <w:rsid w:val="00F20FE4"/>
    <w:rsid w:val="00F21282"/>
    <w:rsid w:val="00F217DA"/>
    <w:rsid w:val="00F21949"/>
    <w:rsid w:val="00F21C6E"/>
    <w:rsid w:val="00F21CF9"/>
    <w:rsid w:val="00F21E81"/>
    <w:rsid w:val="00F223B8"/>
    <w:rsid w:val="00F224CB"/>
    <w:rsid w:val="00F2255A"/>
    <w:rsid w:val="00F2273F"/>
    <w:rsid w:val="00F22C2D"/>
    <w:rsid w:val="00F22F55"/>
    <w:rsid w:val="00F22FA0"/>
    <w:rsid w:val="00F22FF1"/>
    <w:rsid w:val="00F2300D"/>
    <w:rsid w:val="00F231CD"/>
    <w:rsid w:val="00F23877"/>
    <w:rsid w:val="00F23889"/>
    <w:rsid w:val="00F23A05"/>
    <w:rsid w:val="00F23A34"/>
    <w:rsid w:val="00F23EE9"/>
    <w:rsid w:val="00F23F15"/>
    <w:rsid w:val="00F23FBC"/>
    <w:rsid w:val="00F243E6"/>
    <w:rsid w:val="00F2446A"/>
    <w:rsid w:val="00F2449D"/>
    <w:rsid w:val="00F246C6"/>
    <w:rsid w:val="00F248EE"/>
    <w:rsid w:val="00F24B32"/>
    <w:rsid w:val="00F25269"/>
    <w:rsid w:val="00F2536E"/>
    <w:rsid w:val="00F253A5"/>
    <w:rsid w:val="00F25581"/>
    <w:rsid w:val="00F25667"/>
    <w:rsid w:val="00F256E6"/>
    <w:rsid w:val="00F2580B"/>
    <w:rsid w:val="00F25967"/>
    <w:rsid w:val="00F259BE"/>
    <w:rsid w:val="00F25C8A"/>
    <w:rsid w:val="00F25CEE"/>
    <w:rsid w:val="00F25F8E"/>
    <w:rsid w:val="00F260E5"/>
    <w:rsid w:val="00F263C6"/>
    <w:rsid w:val="00F2685E"/>
    <w:rsid w:val="00F269F4"/>
    <w:rsid w:val="00F26C65"/>
    <w:rsid w:val="00F26CEA"/>
    <w:rsid w:val="00F2707B"/>
    <w:rsid w:val="00F271B2"/>
    <w:rsid w:val="00F27669"/>
    <w:rsid w:val="00F27B9A"/>
    <w:rsid w:val="00F27C58"/>
    <w:rsid w:val="00F27CD3"/>
    <w:rsid w:val="00F30520"/>
    <w:rsid w:val="00F3058E"/>
    <w:rsid w:val="00F3064A"/>
    <w:rsid w:val="00F308FB"/>
    <w:rsid w:val="00F3093F"/>
    <w:rsid w:val="00F30B69"/>
    <w:rsid w:val="00F30C19"/>
    <w:rsid w:val="00F31130"/>
    <w:rsid w:val="00F31137"/>
    <w:rsid w:val="00F3135B"/>
    <w:rsid w:val="00F31567"/>
    <w:rsid w:val="00F31843"/>
    <w:rsid w:val="00F3197A"/>
    <w:rsid w:val="00F31B5F"/>
    <w:rsid w:val="00F31B61"/>
    <w:rsid w:val="00F31CC4"/>
    <w:rsid w:val="00F31FE1"/>
    <w:rsid w:val="00F3219E"/>
    <w:rsid w:val="00F321E4"/>
    <w:rsid w:val="00F322D7"/>
    <w:rsid w:val="00F324CC"/>
    <w:rsid w:val="00F32607"/>
    <w:rsid w:val="00F3262D"/>
    <w:rsid w:val="00F32A75"/>
    <w:rsid w:val="00F33149"/>
    <w:rsid w:val="00F3322E"/>
    <w:rsid w:val="00F33418"/>
    <w:rsid w:val="00F337E6"/>
    <w:rsid w:val="00F33902"/>
    <w:rsid w:val="00F339BB"/>
    <w:rsid w:val="00F33B81"/>
    <w:rsid w:val="00F34283"/>
    <w:rsid w:val="00F346ED"/>
    <w:rsid w:val="00F34A22"/>
    <w:rsid w:val="00F34B77"/>
    <w:rsid w:val="00F34C0B"/>
    <w:rsid w:val="00F34D3F"/>
    <w:rsid w:val="00F34F50"/>
    <w:rsid w:val="00F35B49"/>
    <w:rsid w:val="00F35FB2"/>
    <w:rsid w:val="00F36568"/>
    <w:rsid w:val="00F36644"/>
    <w:rsid w:val="00F366EC"/>
    <w:rsid w:val="00F3677C"/>
    <w:rsid w:val="00F36A0B"/>
    <w:rsid w:val="00F36A41"/>
    <w:rsid w:val="00F36D8D"/>
    <w:rsid w:val="00F36F6A"/>
    <w:rsid w:val="00F370F9"/>
    <w:rsid w:val="00F371B1"/>
    <w:rsid w:val="00F37239"/>
    <w:rsid w:val="00F37594"/>
    <w:rsid w:val="00F37D09"/>
    <w:rsid w:val="00F37F15"/>
    <w:rsid w:val="00F40609"/>
    <w:rsid w:val="00F40726"/>
    <w:rsid w:val="00F40865"/>
    <w:rsid w:val="00F40A92"/>
    <w:rsid w:val="00F40C43"/>
    <w:rsid w:val="00F40CC9"/>
    <w:rsid w:val="00F40D32"/>
    <w:rsid w:val="00F411A1"/>
    <w:rsid w:val="00F412EE"/>
    <w:rsid w:val="00F416F0"/>
    <w:rsid w:val="00F41755"/>
    <w:rsid w:val="00F41A8C"/>
    <w:rsid w:val="00F41AE1"/>
    <w:rsid w:val="00F41AF2"/>
    <w:rsid w:val="00F42042"/>
    <w:rsid w:val="00F42288"/>
    <w:rsid w:val="00F42552"/>
    <w:rsid w:val="00F428EC"/>
    <w:rsid w:val="00F429A2"/>
    <w:rsid w:val="00F42B46"/>
    <w:rsid w:val="00F42B54"/>
    <w:rsid w:val="00F42B5A"/>
    <w:rsid w:val="00F42CE3"/>
    <w:rsid w:val="00F43469"/>
    <w:rsid w:val="00F4386B"/>
    <w:rsid w:val="00F4395F"/>
    <w:rsid w:val="00F43AB5"/>
    <w:rsid w:val="00F43C88"/>
    <w:rsid w:val="00F43F5E"/>
    <w:rsid w:val="00F43F75"/>
    <w:rsid w:val="00F4417F"/>
    <w:rsid w:val="00F442A3"/>
    <w:rsid w:val="00F442E7"/>
    <w:rsid w:val="00F44370"/>
    <w:rsid w:val="00F44406"/>
    <w:rsid w:val="00F44414"/>
    <w:rsid w:val="00F4464D"/>
    <w:rsid w:val="00F44FAD"/>
    <w:rsid w:val="00F4518E"/>
    <w:rsid w:val="00F45429"/>
    <w:rsid w:val="00F4574A"/>
    <w:rsid w:val="00F4587F"/>
    <w:rsid w:val="00F458F7"/>
    <w:rsid w:val="00F4595E"/>
    <w:rsid w:val="00F45B9E"/>
    <w:rsid w:val="00F45D69"/>
    <w:rsid w:val="00F45F2F"/>
    <w:rsid w:val="00F4605E"/>
    <w:rsid w:val="00F4673F"/>
    <w:rsid w:val="00F46830"/>
    <w:rsid w:val="00F468C0"/>
    <w:rsid w:val="00F47299"/>
    <w:rsid w:val="00F478E2"/>
    <w:rsid w:val="00F47953"/>
    <w:rsid w:val="00F47EDF"/>
    <w:rsid w:val="00F50101"/>
    <w:rsid w:val="00F50178"/>
    <w:rsid w:val="00F504C4"/>
    <w:rsid w:val="00F50502"/>
    <w:rsid w:val="00F50542"/>
    <w:rsid w:val="00F50692"/>
    <w:rsid w:val="00F507E0"/>
    <w:rsid w:val="00F509BE"/>
    <w:rsid w:val="00F50B00"/>
    <w:rsid w:val="00F50CEA"/>
    <w:rsid w:val="00F5131F"/>
    <w:rsid w:val="00F5189A"/>
    <w:rsid w:val="00F51B37"/>
    <w:rsid w:val="00F51BC4"/>
    <w:rsid w:val="00F51EDD"/>
    <w:rsid w:val="00F51EF5"/>
    <w:rsid w:val="00F523FC"/>
    <w:rsid w:val="00F52563"/>
    <w:rsid w:val="00F52888"/>
    <w:rsid w:val="00F529AF"/>
    <w:rsid w:val="00F52AD8"/>
    <w:rsid w:val="00F52C35"/>
    <w:rsid w:val="00F52C7A"/>
    <w:rsid w:val="00F53073"/>
    <w:rsid w:val="00F53095"/>
    <w:rsid w:val="00F530B2"/>
    <w:rsid w:val="00F53178"/>
    <w:rsid w:val="00F53835"/>
    <w:rsid w:val="00F53B0A"/>
    <w:rsid w:val="00F53C83"/>
    <w:rsid w:val="00F53CC1"/>
    <w:rsid w:val="00F53D5A"/>
    <w:rsid w:val="00F53EAF"/>
    <w:rsid w:val="00F53FA8"/>
    <w:rsid w:val="00F540F5"/>
    <w:rsid w:val="00F541B4"/>
    <w:rsid w:val="00F5432E"/>
    <w:rsid w:val="00F54435"/>
    <w:rsid w:val="00F546C6"/>
    <w:rsid w:val="00F546FE"/>
    <w:rsid w:val="00F5471F"/>
    <w:rsid w:val="00F547F5"/>
    <w:rsid w:val="00F54A5F"/>
    <w:rsid w:val="00F55278"/>
    <w:rsid w:val="00F552EB"/>
    <w:rsid w:val="00F55519"/>
    <w:rsid w:val="00F55525"/>
    <w:rsid w:val="00F557C8"/>
    <w:rsid w:val="00F558F1"/>
    <w:rsid w:val="00F55ECB"/>
    <w:rsid w:val="00F55F44"/>
    <w:rsid w:val="00F560B2"/>
    <w:rsid w:val="00F562BB"/>
    <w:rsid w:val="00F5661D"/>
    <w:rsid w:val="00F56889"/>
    <w:rsid w:val="00F56B29"/>
    <w:rsid w:val="00F56B30"/>
    <w:rsid w:val="00F56DDE"/>
    <w:rsid w:val="00F570D5"/>
    <w:rsid w:val="00F571FC"/>
    <w:rsid w:val="00F572EE"/>
    <w:rsid w:val="00F573B0"/>
    <w:rsid w:val="00F5750F"/>
    <w:rsid w:val="00F57629"/>
    <w:rsid w:val="00F5785D"/>
    <w:rsid w:val="00F57F07"/>
    <w:rsid w:val="00F6016C"/>
    <w:rsid w:val="00F60760"/>
    <w:rsid w:val="00F60A23"/>
    <w:rsid w:val="00F60AEA"/>
    <w:rsid w:val="00F60BCB"/>
    <w:rsid w:val="00F61096"/>
    <w:rsid w:val="00F611F7"/>
    <w:rsid w:val="00F613FF"/>
    <w:rsid w:val="00F616FB"/>
    <w:rsid w:val="00F618A0"/>
    <w:rsid w:val="00F61A51"/>
    <w:rsid w:val="00F61B8E"/>
    <w:rsid w:val="00F61BC0"/>
    <w:rsid w:val="00F62002"/>
    <w:rsid w:val="00F620FF"/>
    <w:rsid w:val="00F62239"/>
    <w:rsid w:val="00F62481"/>
    <w:rsid w:val="00F62BC7"/>
    <w:rsid w:val="00F63016"/>
    <w:rsid w:val="00F632F4"/>
    <w:rsid w:val="00F63762"/>
    <w:rsid w:val="00F63810"/>
    <w:rsid w:val="00F63AB9"/>
    <w:rsid w:val="00F6411F"/>
    <w:rsid w:val="00F6429A"/>
    <w:rsid w:val="00F6485C"/>
    <w:rsid w:val="00F64E4D"/>
    <w:rsid w:val="00F653BF"/>
    <w:rsid w:val="00F658D3"/>
    <w:rsid w:val="00F65AA0"/>
    <w:rsid w:val="00F65DA0"/>
    <w:rsid w:val="00F65DF0"/>
    <w:rsid w:val="00F65EA7"/>
    <w:rsid w:val="00F65F37"/>
    <w:rsid w:val="00F6619E"/>
    <w:rsid w:val="00F6675B"/>
    <w:rsid w:val="00F66874"/>
    <w:rsid w:val="00F66885"/>
    <w:rsid w:val="00F66B8D"/>
    <w:rsid w:val="00F66E54"/>
    <w:rsid w:val="00F66EA1"/>
    <w:rsid w:val="00F66F5C"/>
    <w:rsid w:val="00F67196"/>
    <w:rsid w:val="00F672A7"/>
    <w:rsid w:val="00F67372"/>
    <w:rsid w:val="00F67384"/>
    <w:rsid w:val="00F67595"/>
    <w:rsid w:val="00F677CA"/>
    <w:rsid w:val="00F67818"/>
    <w:rsid w:val="00F67D30"/>
    <w:rsid w:val="00F67DF0"/>
    <w:rsid w:val="00F67FD2"/>
    <w:rsid w:val="00F703EA"/>
    <w:rsid w:val="00F704BE"/>
    <w:rsid w:val="00F705F1"/>
    <w:rsid w:val="00F7095E"/>
    <w:rsid w:val="00F70A83"/>
    <w:rsid w:val="00F70A8E"/>
    <w:rsid w:val="00F70BCC"/>
    <w:rsid w:val="00F70C18"/>
    <w:rsid w:val="00F70D89"/>
    <w:rsid w:val="00F70EE6"/>
    <w:rsid w:val="00F710B5"/>
    <w:rsid w:val="00F710BD"/>
    <w:rsid w:val="00F712CC"/>
    <w:rsid w:val="00F714D9"/>
    <w:rsid w:val="00F7168B"/>
    <w:rsid w:val="00F71819"/>
    <w:rsid w:val="00F71C90"/>
    <w:rsid w:val="00F71F24"/>
    <w:rsid w:val="00F72330"/>
    <w:rsid w:val="00F7242A"/>
    <w:rsid w:val="00F7269C"/>
    <w:rsid w:val="00F72DDF"/>
    <w:rsid w:val="00F72E2B"/>
    <w:rsid w:val="00F73290"/>
    <w:rsid w:val="00F734A2"/>
    <w:rsid w:val="00F73B3F"/>
    <w:rsid w:val="00F73C1A"/>
    <w:rsid w:val="00F73F5F"/>
    <w:rsid w:val="00F741CC"/>
    <w:rsid w:val="00F74488"/>
    <w:rsid w:val="00F74661"/>
    <w:rsid w:val="00F74802"/>
    <w:rsid w:val="00F74D0D"/>
    <w:rsid w:val="00F74D51"/>
    <w:rsid w:val="00F74FD0"/>
    <w:rsid w:val="00F75180"/>
    <w:rsid w:val="00F75315"/>
    <w:rsid w:val="00F75543"/>
    <w:rsid w:val="00F7555E"/>
    <w:rsid w:val="00F75B0C"/>
    <w:rsid w:val="00F75B5F"/>
    <w:rsid w:val="00F75D3D"/>
    <w:rsid w:val="00F75F31"/>
    <w:rsid w:val="00F7651D"/>
    <w:rsid w:val="00F767BB"/>
    <w:rsid w:val="00F769B1"/>
    <w:rsid w:val="00F76B1D"/>
    <w:rsid w:val="00F76BE8"/>
    <w:rsid w:val="00F76C46"/>
    <w:rsid w:val="00F76D21"/>
    <w:rsid w:val="00F76D48"/>
    <w:rsid w:val="00F76F72"/>
    <w:rsid w:val="00F76FE7"/>
    <w:rsid w:val="00F77192"/>
    <w:rsid w:val="00F778DB"/>
    <w:rsid w:val="00F77A6B"/>
    <w:rsid w:val="00F77C2B"/>
    <w:rsid w:val="00F77EAC"/>
    <w:rsid w:val="00F77FCA"/>
    <w:rsid w:val="00F801E4"/>
    <w:rsid w:val="00F8028A"/>
    <w:rsid w:val="00F80346"/>
    <w:rsid w:val="00F806FE"/>
    <w:rsid w:val="00F80930"/>
    <w:rsid w:val="00F80D53"/>
    <w:rsid w:val="00F80DA0"/>
    <w:rsid w:val="00F80DE0"/>
    <w:rsid w:val="00F80ED6"/>
    <w:rsid w:val="00F81042"/>
    <w:rsid w:val="00F816A5"/>
    <w:rsid w:val="00F818A5"/>
    <w:rsid w:val="00F8273D"/>
    <w:rsid w:val="00F82854"/>
    <w:rsid w:val="00F8299D"/>
    <w:rsid w:val="00F83139"/>
    <w:rsid w:val="00F83206"/>
    <w:rsid w:val="00F833C7"/>
    <w:rsid w:val="00F834E0"/>
    <w:rsid w:val="00F83795"/>
    <w:rsid w:val="00F83B25"/>
    <w:rsid w:val="00F83B5F"/>
    <w:rsid w:val="00F8419A"/>
    <w:rsid w:val="00F8423D"/>
    <w:rsid w:val="00F845CD"/>
    <w:rsid w:val="00F84641"/>
    <w:rsid w:val="00F84957"/>
    <w:rsid w:val="00F84989"/>
    <w:rsid w:val="00F84BE7"/>
    <w:rsid w:val="00F84BEB"/>
    <w:rsid w:val="00F84E6E"/>
    <w:rsid w:val="00F8505A"/>
    <w:rsid w:val="00F8523F"/>
    <w:rsid w:val="00F852A1"/>
    <w:rsid w:val="00F85433"/>
    <w:rsid w:val="00F8547B"/>
    <w:rsid w:val="00F854F1"/>
    <w:rsid w:val="00F859F9"/>
    <w:rsid w:val="00F85D2A"/>
    <w:rsid w:val="00F85DAA"/>
    <w:rsid w:val="00F85F90"/>
    <w:rsid w:val="00F8634D"/>
    <w:rsid w:val="00F865E2"/>
    <w:rsid w:val="00F8694E"/>
    <w:rsid w:val="00F86A48"/>
    <w:rsid w:val="00F86B53"/>
    <w:rsid w:val="00F86BAA"/>
    <w:rsid w:val="00F86BF1"/>
    <w:rsid w:val="00F86DA7"/>
    <w:rsid w:val="00F86E2B"/>
    <w:rsid w:val="00F87046"/>
    <w:rsid w:val="00F87120"/>
    <w:rsid w:val="00F872CB"/>
    <w:rsid w:val="00F872F9"/>
    <w:rsid w:val="00F87536"/>
    <w:rsid w:val="00F87740"/>
    <w:rsid w:val="00F8790B"/>
    <w:rsid w:val="00F879CF"/>
    <w:rsid w:val="00F87B43"/>
    <w:rsid w:val="00F87C25"/>
    <w:rsid w:val="00F9010C"/>
    <w:rsid w:val="00F90110"/>
    <w:rsid w:val="00F904E0"/>
    <w:rsid w:val="00F90613"/>
    <w:rsid w:val="00F907F6"/>
    <w:rsid w:val="00F90B34"/>
    <w:rsid w:val="00F90BB0"/>
    <w:rsid w:val="00F90CE4"/>
    <w:rsid w:val="00F90EA5"/>
    <w:rsid w:val="00F912AF"/>
    <w:rsid w:val="00F914B7"/>
    <w:rsid w:val="00F9156E"/>
    <w:rsid w:val="00F916F9"/>
    <w:rsid w:val="00F91735"/>
    <w:rsid w:val="00F91779"/>
    <w:rsid w:val="00F91974"/>
    <w:rsid w:val="00F919A6"/>
    <w:rsid w:val="00F91C12"/>
    <w:rsid w:val="00F91D36"/>
    <w:rsid w:val="00F91EB3"/>
    <w:rsid w:val="00F91F42"/>
    <w:rsid w:val="00F91F76"/>
    <w:rsid w:val="00F91FF1"/>
    <w:rsid w:val="00F928C3"/>
    <w:rsid w:val="00F92DD6"/>
    <w:rsid w:val="00F930D7"/>
    <w:rsid w:val="00F93346"/>
    <w:rsid w:val="00F935D2"/>
    <w:rsid w:val="00F937D6"/>
    <w:rsid w:val="00F9380C"/>
    <w:rsid w:val="00F939E7"/>
    <w:rsid w:val="00F93A9C"/>
    <w:rsid w:val="00F93CD0"/>
    <w:rsid w:val="00F93FB3"/>
    <w:rsid w:val="00F9436A"/>
    <w:rsid w:val="00F9448F"/>
    <w:rsid w:val="00F94962"/>
    <w:rsid w:val="00F94BB2"/>
    <w:rsid w:val="00F950CF"/>
    <w:rsid w:val="00F95178"/>
    <w:rsid w:val="00F9524B"/>
    <w:rsid w:val="00F95575"/>
    <w:rsid w:val="00F956ED"/>
    <w:rsid w:val="00F956FE"/>
    <w:rsid w:val="00F9590D"/>
    <w:rsid w:val="00F95F52"/>
    <w:rsid w:val="00F960CA"/>
    <w:rsid w:val="00F96108"/>
    <w:rsid w:val="00F96238"/>
    <w:rsid w:val="00F966AD"/>
    <w:rsid w:val="00F96869"/>
    <w:rsid w:val="00F96A67"/>
    <w:rsid w:val="00F96C23"/>
    <w:rsid w:val="00F9723B"/>
    <w:rsid w:val="00F9755E"/>
    <w:rsid w:val="00F975BB"/>
    <w:rsid w:val="00F9767B"/>
    <w:rsid w:val="00F97924"/>
    <w:rsid w:val="00F97BF8"/>
    <w:rsid w:val="00F97C7E"/>
    <w:rsid w:val="00FA0121"/>
    <w:rsid w:val="00FA0208"/>
    <w:rsid w:val="00FA0627"/>
    <w:rsid w:val="00FA069B"/>
    <w:rsid w:val="00FA07C0"/>
    <w:rsid w:val="00FA0A97"/>
    <w:rsid w:val="00FA1036"/>
    <w:rsid w:val="00FA10D4"/>
    <w:rsid w:val="00FA1374"/>
    <w:rsid w:val="00FA137A"/>
    <w:rsid w:val="00FA158E"/>
    <w:rsid w:val="00FA1765"/>
    <w:rsid w:val="00FA1BD4"/>
    <w:rsid w:val="00FA1C90"/>
    <w:rsid w:val="00FA1D4C"/>
    <w:rsid w:val="00FA1DE9"/>
    <w:rsid w:val="00FA1E91"/>
    <w:rsid w:val="00FA1FDC"/>
    <w:rsid w:val="00FA20DC"/>
    <w:rsid w:val="00FA275B"/>
    <w:rsid w:val="00FA2CDC"/>
    <w:rsid w:val="00FA3528"/>
    <w:rsid w:val="00FA35F1"/>
    <w:rsid w:val="00FA3E7C"/>
    <w:rsid w:val="00FA47EC"/>
    <w:rsid w:val="00FA483A"/>
    <w:rsid w:val="00FA4A39"/>
    <w:rsid w:val="00FA4A49"/>
    <w:rsid w:val="00FA4B3A"/>
    <w:rsid w:val="00FA4CDA"/>
    <w:rsid w:val="00FA4FB4"/>
    <w:rsid w:val="00FA51C5"/>
    <w:rsid w:val="00FA5402"/>
    <w:rsid w:val="00FA55EC"/>
    <w:rsid w:val="00FA574E"/>
    <w:rsid w:val="00FA5760"/>
    <w:rsid w:val="00FA59D4"/>
    <w:rsid w:val="00FA5D5C"/>
    <w:rsid w:val="00FA5DAB"/>
    <w:rsid w:val="00FA5DB7"/>
    <w:rsid w:val="00FA5E2A"/>
    <w:rsid w:val="00FA6092"/>
    <w:rsid w:val="00FA64C1"/>
    <w:rsid w:val="00FA6764"/>
    <w:rsid w:val="00FA6A3B"/>
    <w:rsid w:val="00FA6BDE"/>
    <w:rsid w:val="00FA6FA0"/>
    <w:rsid w:val="00FA723C"/>
    <w:rsid w:val="00FA7487"/>
    <w:rsid w:val="00FA77F7"/>
    <w:rsid w:val="00FA7AB5"/>
    <w:rsid w:val="00FA7CA0"/>
    <w:rsid w:val="00FA7D76"/>
    <w:rsid w:val="00FA7D9F"/>
    <w:rsid w:val="00FA7FF7"/>
    <w:rsid w:val="00FB066B"/>
    <w:rsid w:val="00FB06F5"/>
    <w:rsid w:val="00FB0743"/>
    <w:rsid w:val="00FB09DA"/>
    <w:rsid w:val="00FB0C16"/>
    <w:rsid w:val="00FB1131"/>
    <w:rsid w:val="00FB1143"/>
    <w:rsid w:val="00FB128C"/>
    <w:rsid w:val="00FB132B"/>
    <w:rsid w:val="00FB15FB"/>
    <w:rsid w:val="00FB1D81"/>
    <w:rsid w:val="00FB1F14"/>
    <w:rsid w:val="00FB213B"/>
    <w:rsid w:val="00FB23DA"/>
    <w:rsid w:val="00FB2E76"/>
    <w:rsid w:val="00FB2EE6"/>
    <w:rsid w:val="00FB2F6C"/>
    <w:rsid w:val="00FB3084"/>
    <w:rsid w:val="00FB3437"/>
    <w:rsid w:val="00FB34CD"/>
    <w:rsid w:val="00FB3731"/>
    <w:rsid w:val="00FB39CA"/>
    <w:rsid w:val="00FB3D73"/>
    <w:rsid w:val="00FB3E81"/>
    <w:rsid w:val="00FB400A"/>
    <w:rsid w:val="00FB4128"/>
    <w:rsid w:val="00FB44E0"/>
    <w:rsid w:val="00FB4E03"/>
    <w:rsid w:val="00FB4E7B"/>
    <w:rsid w:val="00FB4F1C"/>
    <w:rsid w:val="00FB503F"/>
    <w:rsid w:val="00FB52BD"/>
    <w:rsid w:val="00FB5371"/>
    <w:rsid w:val="00FB53EC"/>
    <w:rsid w:val="00FB5C34"/>
    <w:rsid w:val="00FB5FCF"/>
    <w:rsid w:val="00FB60F5"/>
    <w:rsid w:val="00FB6313"/>
    <w:rsid w:val="00FB65AC"/>
    <w:rsid w:val="00FB70AF"/>
    <w:rsid w:val="00FB7114"/>
    <w:rsid w:val="00FB734A"/>
    <w:rsid w:val="00FB782E"/>
    <w:rsid w:val="00FB7B61"/>
    <w:rsid w:val="00FB7CFD"/>
    <w:rsid w:val="00FB7D54"/>
    <w:rsid w:val="00FC01C6"/>
    <w:rsid w:val="00FC0B49"/>
    <w:rsid w:val="00FC0DC4"/>
    <w:rsid w:val="00FC1178"/>
    <w:rsid w:val="00FC12AE"/>
    <w:rsid w:val="00FC15E7"/>
    <w:rsid w:val="00FC1925"/>
    <w:rsid w:val="00FC1A15"/>
    <w:rsid w:val="00FC1A2E"/>
    <w:rsid w:val="00FC1A6B"/>
    <w:rsid w:val="00FC1BCB"/>
    <w:rsid w:val="00FC1F5E"/>
    <w:rsid w:val="00FC21CD"/>
    <w:rsid w:val="00FC236D"/>
    <w:rsid w:val="00FC2539"/>
    <w:rsid w:val="00FC267C"/>
    <w:rsid w:val="00FC26F7"/>
    <w:rsid w:val="00FC27DE"/>
    <w:rsid w:val="00FC29A6"/>
    <w:rsid w:val="00FC2A84"/>
    <w:rsid w:val="00FC2FCC"/>
    <w:rsid w:val="00FC2FD0"/>
    <w:rsid w:val="00FC36F0"/>
    <w:rsid w:val="00FC3A99"/>
    <w:rsid w:val="00FC3BA6"/>
    <w:rsid w:val="00FC4059"/>
    <w:rsid w:val="00FC46A4"/>
    <w:rsid w:val="00FC47B9"/>
    <w:rsid w:val="00FC4919"/>
    <w:rsid w:val="00FC492E"/>
    <w:rsid w:val="00FC49FC"/>
    <w:rsid w:val="00FC4C03"/>
    <w:rsid w:val="00FC4D7B"/>
    <w:rsid w:val="00FC4E68"/>
    <w:rsid w:val="00FC4FA4"/>
    <w:rsid w:val="00FC5445"/>
    <w:rsid w:val="00FC56DD"/>
    <w:rsid w:val="00FC5A53"/>
    <w:rsid w:val="00FC5AF0"/>
    <w:rsid w:val="00FC60D4"/>
    <w:rsid w:val="00FC6113"/>
    <w:rsid w:val="00FC61CE"/>
    <w:rsid w:val="00FC64E4"/>
    <w:rsid w:val="00FC654F"/>
    <w:rsid w:val="00FC6599"/>
    <w:rsid w:val="00FC66E5"/>
    <w:rsid w:val="00FC68B3"/>
    <w:rsid w:val="00FC69D3"/>
    <w:rsid w:val="00FC6D94"/>
    <w:rsid w:val="00FC6FD4"/>
    <w:rsid w:val="00FC70B1"/>
    <w:rsid w:val="00FC71AA"/>
    <w:rsid w:val="00FC71F1"/>
    <w:rsid w:val="00FC72D2"/>
    <w:rsid w:val="00FC73E0"/>
    <w:rsid w:val="00FC7759"/>
    <w:rsid w:val="00FC7D39"/>
    <w:rsid w:val="00FD0053"/>
    <w:rsid w:val="00FD0065"/>
    <w:rsid w:val="00FD0353"/>
    <w:rsid w:val="00FD0470"/>
    <w:rsid w:val="00FD0662"/>
    <w:rsid w:val="00FD0881"/>
    <w:rsid w:val="00FD0A08"/>
    <w:rsid w:val="00FD0A10"/>
    <w:rsid w:val="00FD0C6C"/>
    <w:rsid w:val="00FD0E7E"/>
    <w:rsid w:val="00FD1077"/>
    <w:rsid w:val="00FD10B8"/>
    <w:rsid w:val="00FD15FA"/>
    <w:rsid w:val="00FD172E"/>
    <w:rsid w:val="00FD1BB3"/>
    <w:rsid w:val="00FD1F6A"/>
    <w:rsid w:val="00FD21B3"/>
    <w:rsid w:val="00FD2679"/>
    <w:rsid w:val="00FD27AE"/>
    <w:rsid w:val="00FD27F1"/>
    <w:rsid w:val="00FD2C25"/>
    <w:rsid w:val="00FD2D32"/>
    <w:rsid w:val="00FD2E0F"/>
    <w:rsid w:val="00FD2F69"/>
    <w:rsid w:val="00FD308F"/>
    <w:rsid w:val="00FD327A"/>
    <w:rsid w:val="00FD33ED"/>
    <w:rsid w:val="00FD3479"/>
    <w:rsid w:val="00FD3487"/>
    <w:rsid w:val="00FD39AC"/>
    <w:rsid w:val="00FD423C"/>
    <w:rsid w:val="00FD4288"/>
    <w:rsid w:val="00FD433C"/>
    <w:rsid w:val="00FD47FA"/>
    <w:rsid w:val="00FD4905"/>
    <w:rsid w:val="00FD4A4A"/>
    <w:rsid w:val="00FD4C02"/>
    <w:rsid w:val="00FD4CAE"/>
    <w:rsid w:val="00FD4D7F"/>
    <w:rsid w:val="00FD4FCA"/>
    <w:rsid w:val="00FD5156"/>
    <w:rsid w:val="00FD51B5"/>
    <w:rsid w:val="00FD52AA"/>
    <w:rsid w:val="00FD55C9"/>
    <w:rsid w:val="00FD5669"/>
    <w:rsid w:val="00FD5766"/>
    <w:rsid w:val="00FD5CBD"/>
    <w:rsid w:val="00FD6760"/>
    <w:rsid w:val="00FD6A07"/>
    <w:rsid w:val="00FD6E96"/>
    <w:rsid w:val="00FD72CF"/>
    <w:rsid w:val="00FD7428"/>
    <w:rsid w:val="00FD75F5"/>
    <w:rsid w:val="00FD76A3"/>
    <w:rsid w:val="00FD7E8B"/>
    <w:rsid w:val="00FE0023"/>
    <w:rsid w:val="00FE0180"/>
    <w:rsid w:val="00FE0A2F"/>
    <w:rsid w:val="00FE0B4F"/>
    <w:rsid w:val="00FE0DC1"/>
    <w:rsid w:val="00FE0FF2"/>
    <w:rsid w:val="00FE10B8"/>
    <w:rsid w:val="00FE11AF"/>
    <w:rsid w:val="00FE1244"/>
    <w:rsid w:val="00FE15F6"/>
    <w:rsid w:val="00FE1849"/>
    <w:rsid w:val="00FE1941"/>
    <w:rsid w:val="00FE1AEB"/>
    <w:rsid w:val="00FE1C24"/>
    <w:rsid w:val="00FE1DE3"/>
    <w:rsid w:val="00FE204A"/>
    <w:rsid w:val="00FE2092"/>
    <w:rsid w:val="00FE20F5"/>
    <w:rsid w:val="00FE2103"/>
    <w:rsid w:val="00FE21BA"/>
    <w:rsid w:val="00FE2606"/>
    <w:rsid w:val="00FE2815"/>
    <w:rsid w:val="00FE2C79"/>
    <w:rsid w:val="00FE2F61"/>
    <w:rsid w:val="00FE350E"/>
    <w:rsid w:val="00FE3607"/>
    <w:rsid w:val="00FE37ED"/>
    <w:rsid w:val="00FE3A59"/>
    <w:rsid w:val="00FE3B00"/>
    <w:rsid w:val="00FE40E0"/>
    <w:rsid w:val="00FE4850"/>
    <w:rsid w:val="00FE4A25"/>
    <w:rsid w:val="00FE4BCC"/>
    <w:rsid w:val="00FE5072"/>
    <w:rsid w:val="00FE52D7"/>
    <w:rsid w:val="00FE53A4"/>
    <w:rsid w:val="00FE5697"/>
    <w:rsid w:val="00FE5AB7"/>
    <w:rsid w:val="00FE63FC"/>
    <w:rsid w:val="00FE641A"/>
    <w:rsid w:val="00FE65AC"/>
    <w:rsid w:val="00FE66F8"/>
    <w:rsid w:val="00FE6EEF"/>
    <w:rsid w:val="00FE6FB5"/>
    <w:rsid w:val="00FE700D"/>
    <w:rsid w:val="00FE7727"/>
    <w:rsid w:val="00FE7F47"/>
    <w:rsid w:val="00FE7F53"/>
    <w:rsid w:val="00FF04FC"/>
    <w:rsid w:val="00FF0B66"/>
    <w:rsid w:val="00FF0E24"/>
    <w:rsid w:val="00FF0ED6"/>
    <w:rsid w:val="00FF0F09"/>
    <w:rsid w:val="00FF0F22"/>
    <w:rsid w:val="00FF1188"/>
    <w:rsid w:val="00FF11DD"/>
    <w:rsid w:val="00FF1346"/>
    <w:rsid w:val="00FF155F"/>
    <w:rsid w:val="00FF19B4"/>
    <w:rsid w:val="00FF1D30"/>
    <w:rsid w:val="00FF1D5B"/>
    <w:rsid w:val="00FF1FBC"/>
    <w:rsid w:val="00FF2063"/>
    <w:rsid w:val="00FF2097"/>
    <w:rsid w:val="00FF2876"/>
    <w:rsid w:val="00FF2C8B"/>
    <w:rsid w:val="00FF2FA2"/>
    <w:rsid w:val="00FF3297"/>
    <w:rsid w:val="00FF32A4"/>
    <w:rsid w:val="00FF3600"/>
    <w:rsid w:val="00FF36C3"/>
    <w:rsid w:val="00FF37C0"/>
    <w:rsid w:val="00FF3DAB"/>
    <w:rsid w:val="00FF3F43"/>
    <w:rsid w:val="00FF4007"/>
    <w:rsid w:val="00FF40C4"/>
    <w:rsid w:val="00FF41D0"/>
    <w:rsid w:val="00FF4B34"/>
    <w:rsid w:val="00FF4DB0"/>
    <w:rsid w:val="00FF4FA7"/>
    <w:rsid w:val="00FF55ED"/>
    <w:rsid w:val="00FF5708"/>
    <w:rsid w:val="00FF58D1"/>
    <w:rsid w:val="00FF5B0D"/>
    <w:rsid w:val="00FF5C2C"/>
    <w:rsid w:val="00FF6317"/>
    <w:rsid w:val="00FF635C"/>
    <w:rsid w:val="00FF63A1"/>
    <w:rsid w:val="00FF63A9"/>
    <w:rsid w:val="00FF64B8"/>
    <w:rsid w:val="00FF655E"/>
    <w:rsid w:val="00FF673B"/>
    <w:rsid w:val="00FF680A"/>
    <w:rsid w:val="00FF68F8"/>
    <w:rsid w:val="00FF6B20"/>
    <w:rsid w:val="00FF6F6E"/>
    <w:rsid w:val="00FF75BB"/>
    <w:rsid w:val="00FF7823"/>
    <w:rsid w:val="00FF7A08"/>
    <w:rsid w:val="00FF7AAF"/>
    <w:rsid w:val="00FF7E65"/>
    <w:rsid w:val="0101171C"/>
    <w:rsid w:val="0107F95B"/>
    <w:rsid w:val="0114135B"/>
    <w:rsid w:val="01150EE7"/>
    <w:rsid w:val="01255227"/>
    <w:rsid w:val="0126B970"/>
    <w:rsid w:val="01286E03"/>
    <w:rsid w:val="01299D85"/>
    <w:rsid w:val="0141A8D7"/>
    <w:rsid w:val="0143696A"/>
    <w:rsid w:val="0148DB66"/>
    <w:rsid w:val="014C4E2A"/>
    <w:rsid w:val="014E36D1"/>
    <w:rsid w:val="0154A4A1"/>
    <w:rsid w:val="015FA63A"/>
    <w:rsid w:val="016736E3"/>
    <w:rsid w:val="0172130D"/>
    <w:rsid w:val="0172962D"/>
    <w:rsid w:val="01745A17"/>
    <w:rsid w:val="01874449"/>
    <w:rsid w:val="018782F5"/>
    <w:rsid w:val="018A5E66"/>
    <w:rsid w:val="0191BC03"/>
    <w:rsid w:val="0193EF6F"/>
    <w:rsid w:val="0197BA6B"/>
    <w:rsid w:val="019FE547"/>
    <w:rsid w:val="01B73FCF"/>
    <w:rsid w:val="01D55E63"/>
    <w:rsid w:val="01DC3AD5"/>
    <w:rsid w:val="01DC3ADD"/>
    <w:rsid w:val="01F1ECBE"/>
    <w:rsid w:val="01F521ED"/>
    <w:rsid w:val="01FB6652"/>
    <w:rsid w:val="01FE54FC"/>
    <w:rsid w:val="01FF77C9"/>
    <w:rsid w:val="0202E96B"/>
    <w:rsid w:val="02119B67"/>
    <w:rsid w:val="021F7B34"/>
    <w:rsid w:val="02219F89"/>
    <w:rsid w:val="0237F2F5"/>
    <w:rsid w:val="023947C3"/>
    <w:rsid w:val="023F9C5F"/>
    <w:rsid w:val="02471D3D"/>
    <w:rsid w:val="024834B7"/>
    <w:rsid w:val="024BDA4B"/>
    <w:rsid w:val="0254D049"/>
    <w:rsid w:val="0255B762"/>
    <w:rsid w:val="025D207F"/>
    <w:rsid w:val="02622ED8"/>
    <w:rsid w:val="0262D111"/>
    <w:rsid w:val="02658968"/>
    <w:rsid w:val="02711C3C"/>
    <w:rsid w:val="02794827"/>
    <w:rsid w:val="0281FE74"/>
    <w:rsid w:val="028CCD15"/>
    <w:rsid w:val="02934A2A"/>
    <w:rsid w:val="0297C195"/>
    <w:rsid w:val="029C8337"/>
    <w:rsid w:val="029DA908"/>
    <w:rsid w:val="029FD50E"/>
    <w:rsid w:val="02A0DD08"/>
    <w:rsid w:val="02A2AEB8"/>
    <w:rsid w:val="02A68ADD"/>
    <w:rsid w:val="02ADDF0F"/>
    <w:rsid w:val="02AF4152"/>
    <w:rsid w:val="02B0C07A"/>
    <w:rsid w:val="02B9EB60"/>
    <w:rsid w:val="02C119D4"/>
    <w:rsid w:val="02C59EDF"/>
    <w:rsid w:val="02C742AE"/>
    <w:rsid w:val="02C91E9C"/>
    <w:rsid w:val="02D5F529"/>
    <w:rsid w:val="02E76CC2"/>
    <w:rsid w:val="02EE92C0"/>
    <w:rsid w:val="02F4FB3B"/>
    <w:rsid w:val="02F78EB8"/>
    <w:rsid w:val="02FE54D4"/>
    <w:rsid w:val="03017F8A"/>
    <w:rsid w:val="0306C30E"/>
    <w:rsid w:val="03091DB4"/>
    <w:rsid w:val="0309AEFE"/>
    <w:rsid w:val="031A3B97"/>
    <w:rsid w:val="032A45B2"/>
    <w:rsid w:val="033010D8"/>
    <w:rsid w:val="0332328D"/>
    <w:rsid w:val="0350E6FC"/>
    <w:rsid w:val="03719424"/>
    <w:rsid w:val="03724FFC"/>
    <w:rsid w:val="0382077F"/>
    <w:rsid w:val="0384FE7E"/>
    <w:rsid w:val="03953789"/>
    <w:rsid w:val="039F2ED0"/>
    <w:rsid w:val="03A0C631"/>
    <w:rsid w:val="03A1291F"/>
    <w:rsid w:val="03A487E6"/>
    <w:rsid w:val="03B0353E"/>
    <w:rsid w:val="03B62ABD"/>
    <w:rsid w:val="03BAE5EB"/>
    <w:rsid w:val="03C64D02"/>
    <w:rsid w:val="03C717D7"/>
    <w:rsid w:val="03D44A00"/>
    <w:rsid w:val="03EA20E9"/>
    <w:rsid w:val="03EB9C0D"/>
    <w:rsid w:val="03ED26EE"/>
    <w:rsid w:val="03F57A98"/>
    <w:rsid w:val="03FE11F3"/>
    <w:rsid w:val="040615C0"/>
    <w:rsid w:val="0407EC7C"/>
    <w:rsid w:val="042C0592"/>
    <w:rsid w:val="042E8D78"/>
    <w:rsid w:val="042F7ED7"/>
    <w:rsid w:val="043078EA"/>
    <w:rsid w:val="0438CB53"/>
    <w:rsid w:val="0440D79B"/>
    <w:rsid w:val="045A69BE"/>
    <w:rsid w:val="0461C2A1"/>
    <w:rsid w:val="047341D4"/>
    <w:rsid w:val="047376EF"/>
    <w:rsid w:val="0479B038"/>
    <w:rsid w:val="0480947F"/>
    <w:rsid w:val="0485224D"/>
    <w:rsid w:val="048F4487"/>
    <w:rsid w:val="0498E317"/>
    <w:rsid w:val="04AF31F4"/>
    <w:rsid w:val="04B42BF4"/>
    <w:rsid w:val="04B622EF"/>
    <w:rsid w:val="04B75C0F"/>
    <w:rsid w:val="04B98C96"/>
    <w:rsid w:val="04BE499A"/>
    <w:rsid w:val="04C75408"/>
    <w:rsid w:val="04D0E4DC"/>
    <w:rsid w:val="04DEE6CE"/>
    <w:rsid w:val="04EDC47B"/>
    <w:rsid w:val="05150E18"/>
    <w:rsid w:val="051A2696"/>
    <w:rsid w:val="051D4E86"/>
    <w:rsid w:val="05346DD6"/>
    <w:rsid w:val="0535D619"/>
    <w:rsid w:val="05391B4B"/>
    <w:rsid w:val="0541ED76"/>
    <w:rsid w:val="0553C64C"/>
    <w:rsid w:val="057E973D"/>
    <w:rsid w:val="05815901"/>
    <w:rsid w:val="0587FDF2"/>
    <w:rsid w:val="05911C35"/>
    <w:rsid w:val="0595B9E6"/>
    <w:rsid w:val="0597D0F4"/>
    <w:rsid w:val="0598BE5F"/>
    <w:rsid w:val="05A16E33"/>
    <w:rsid w:val="05A24B70"/>
    <w:rsid w:val="05B87B09"/>
    <w:rsid w:val="05BD35B2"/>
    <w:rsid w:val="05C20B64"/>
    <w:rsid w:val="05D2F006"/>
    <w:rsid w:val="05D33CB7"/>
    <w:rsid w:val="05E2A7CA"/>
    <w:rsid w:val="05F1A5D7"/>
    <w:rsid w:val="0600C2F0"/>
    <w:rsid w:val="060EE021"/>
    <w:rsid w:val="061CDDA7"/>
    <w:rsid w:val="06473D97"/>
    <w:rsid w:val="06496104"/>
    <w:rsid w:val="064EDF6D"/>
    <w:rsid w:val="066298EF"/>
    <w:rsid w:val="067127E6"/>
    <w:rsid w:val="06724372"/>
    <w:rsid w:val="06726987"/>
    <w:rsid w:val="069DE310"/>
    <w:rsid w:val="069DFE86"/>
    <w:rsid w:val="06A91B77"/>
    <w:rsid w:val="06ACF93E"/>
    <w:rsid w:val="06C198D2"/>
    <w:rsid w:val="06C199A0"/>
    <w:rsid w:val="06C300C9"/>
    <w:rsid w:val="06CA8C16"/>
    <w:rsid w:val="06CEE422"/>
    <w:rsid w:val="06CF16F8"/>
    <w:rsid w:val="06D0A69A"/>
    <w:rsid w:val="06D3592E"/>
    <w:rsid w:val="06D3C3D9"/>
    <w:rsid w:val="06D668E5"/>
    <w:rsid w:val="06DA9AEC"/>
    <w:rsid w:val="06DB9030"/>
    <w:rsid w:val="06E471D7"/>
    <w:rsid w:val="06FAD8EB"/>
    <w:rsid w:val="07022B0F"/>
    <w:rsid w:val="071D3553"/>
    <w:rsid w:val="07215468"/>
    <w:rsid w:val="0724657D"/>
    <w:rsid w:val="0726524A"/>
    <w:rsid w:val="072B1A62"/>
    <w:rsid w:val="0739E717"/>
    <w:rsid w:val="073B8E2D"/>
    <w:rsid w:val="073E7C92"/>
    <w:rsid w:val="07404935"/>
    <w:rsid w:val="07424ABF"/>
    <w:rsid w:val="074C0E65"/>
    <w:rsid w:val="0763FEFF"/>
    <w:rsid w:val="07675C81"/>
    <w:rsid w:val="0767F870"/>
    <w:rsid w:val="076D30BC"/>
    <w:rsid w:val="077808CA"/>
    <w:rsid w:val="078248CA"/>
    <w:rsid w:val="0788EA2C"/>
    <w:rsid w:val="079A187B"/>
    <w:rsid w:val="07A3C44B"/>
    <w:rsid w:val="07C12F0D"/>
    <w:rsid w:val="07C30E52"/>
    <w:rsid w:val="07DA4A2F"/>
    <w:rsid w:val="07DD6361"/>
    <w:rsid w:val="07E1858C"/>
    <w:rsid w:val="07E2E486"/>
    <w:rsid w:val="07E3EE29"/>
    <w:rsid w:val="07E60FCA"/>
    <w:rsid w:val="07F069A8"/>
    <w:rsid w:val="07F0BEA4"/>
    <w:rsid w:val="07F86B09"/>
    <w:rsid w:val="0800E467"/>
    <w:rsid w:val="080ADAFC"/>
    <w:rsid w:val="080F88EF"/>
    <w:rsid w:val="083017CA"/>
    <w:rsid w:val="0830D032"/>
    <w:rsid w:val="0832015C"/>
    <w:rsid w:val="084353D0"/>
    <w:rsid w:val="0843B32D"/>
    <w:rsid w:val="084B3EB8"/>
    <w:rsid w:val="0861C31F"/>
    <w:rsid w:val="086A70BF"/>
    <w:rsid w:val="086EFEB5"/>
    <w:rsid w:val="086F30F8"/>
    <w:rsid w:val="088306BF"/>
    <w:rsid w:val="088832E4"/>
    <w:rsid w:val="089F5E9B"/>
    <w:rsid w:val="08A7291F"/>
    <w:rsid w:val="08A7ADAD"/>
    <w:rsid w:val="08ADDD68"/>
    <w:rsid w:val="08ADF6D1"/>
    <w:rsid w:val="08C484D0"/>
    <w:rsid w:val="08CACC1C"/>
    <w:rsid w:val="08D3FF16"/>
    <w:rsid w:val="08D76F4B"/>
    <w:rsid w:val="08DFC344"/>
    <w:rsid w:val="08E2A461"/>
    <w:rsid w:val="08E88E06"/>
    <w:rsid w:val="08F3EC97"/>
    <w:rsid w:val="08FDD153"/>
    <w:rsid w:val="08FFBD27"/>
    <w:rsid w:val="090A87A2"/>
    <w:rsid w:val="090C443B"/>
    <w:rsid w:val="09178D66"/>
    <w:rsid w:val="091BF88B"/>
    <w:rsid w:val="09237FAC"/>
    <w:rsid w:val="09276DCA"/>
    <w:rsid w:val="0934F028"/>
    <w:rsid w:val="0935720F"/>
    <w:rsid w:val="0939BA14"/>
    <w:rsid w:val="093A2922"/>
    <w:rsid w:val="093AADDE"/>
    <w:rsid w:val="0944C06E"/>
    <w:rsid w:val="0948B460"/>
    <w:rsid w:val="094F7C90"/>
    <w:rsid w:val="0952C3BE"/>
    <w:rsid w:val="095A61C3"/>
    <w:rsid w:val="095C556E"/>
    <w:rsid w:val="095CD160"/>
    <w:rsid w:val="09680BFB"/>
    <w:rsid w:val="096AE56D"/>
    <w:rsid w:val="096D78E2"/>
    <w:rsid w:val="09753B91"/>
    <w:rsid w:val="097B3D41"/>
    <w:rsid w:val="0986012F"/>
    <w:rsid w:val="0987011E"/>
    <w:rsid w:val="0987F25A"/>
    <w:rsid w:val="098BE8EE"/>
    <w:rsid w:val="09A0434E"/>
    <w:rsid w:val="09A57FD0"/>
    <w:rsid w:val="09BD8360"/>
    <w:rsid w:val="09BFE800"/>
    <w:rsid w:val="09C1BB43"/>
    <w:rsid w:val="09C4CDCD"/>
    <w:rsid w:val="09CB5AA0"/>
    <w:rsid w:val="09CC3233"/>
    <w:rsid w:val="09CF3272"/>
    <w:rsid w:val="09D1BA11"/>
    <w:rsid w:val="09D6888F"/>
    <w:rsid w:val="09D92FD8"/>
    <w:rsid w:val="09DB1AEC"/>
    <w:rsid w:val="09E1A7BE"/>
    <w:rsid w:val="09E361EC"/>
    <w:rsid w:val="09E85648"/>
    <w:rsid w:val="09F8AD3D"/>
    <w:rsid w:val="09FC28D4"/>
    <w:rsid w:val="09FC9912"/>
    <w:rsid w:val="0A06B7BA"/>
    <w:rsid w:val="0A11D51C"/>
    <w:rsid w:val="0A1614D2"/>
    <w:rsid w:val="0A18195F"/>
    <w:rsid w:val="0A1C78E6"/>
    <w:rsid w:val="0A1F6011"/>
    <w:rsid w:val="0A21A02C"/>
    <w:rsid w:val="0A360D58"/>
    <w:rsid w:val="0A3D9B70"/>
    <w:rsid w:val="0A444C33"/>
    <w:rsid w:val="0A474A2A"/>
    <w:rsid w:val="0A4762B7"/>
    <w:rsid w:val="0A6A945B"/>
    <w:rsid w:val="0A71B8A6"/>
    <w:rsid w:val="0A723CF8"/>
    <w:rsid w:val="0A779019"/>
    <w:rsid w:val="0A7999C7"/>
    <w:rsid w:val="0A7E5A91"/>
    <w:rsid w:val="0A7FF8F4"/>
    <w:rsid w:val="0A84B6FE"/>
    <w:rsid w:val="0A914073"/>
    <w:rsid w:val="0AA23B5D"/>
    <w:rsid w:val="0AA8761F"/>
    <w:rsid w:val="0AA9C2BE"/>
    <w:rsid w:val="0ABBAEF9"/>
    <w:rsid w:val="0ACF2370"/>
    <w:rsid w:val="0ACF72CB"/>
    <w:rsid w:val="0ADBEDD4"/>
    <w:rsid w:val="0ADC3E95"/>
    <w:rsid w:val="0ADE870E"/>
    <w:rsid w:val="0AFAC5B7"/>
    <w:rsid w:val="0B0691E7"/>
    <w:rsid w:val="0B151C43"/>
    <w:rsid w:val="0B1A6B89"/>
    <w:rsid w:val="0B1D8B94"/>
    <w:rsid w:val="0B21208F"/>
    <w:rsid w:val="0B2A2447"/>
    <w:rsid w:val="0B30586C"/>
    <w:rsid w:val="0B3A44E2"/>
    <w:rsid w:val="0B3B8AA5"/>
    <w:rsid w:val="0B3BB7FF"/>
    <w:rsid w:val="0B3E42AA"/>
    <w:rsid w:val="0B41BF2D"/>
    <w:rsid w:val="0B424C50"/>
    <w:rsid w:val="0B42EDF2"/>
    <w:rsid w:val="0B483228"/>
    <w:rsid w:val="0B488413"/>
    <w:rsid w:val="0B518683"/>
    <w:rsid w:val="0B581F5C"/>
    <w:rsid w:val="0B60D3B7"/>
    <w:rsid w:val="0B65A81B"/>
    <w:rsid w:val="0B6A7F89"/>
    <w:rsid w:val="0B6BC1DD"/>
    <w:rsid w:val="0B773208"/>
    <w:rsid w:val="0B7C87AD"/>
    <w:rsid w:val="0B7DC65B"/>
    <w:rsid w:val="0B806A61"/>
    <w:rsid w:val="0B85D1F4"/>
    <w:rsid w:val="0B883E6B"/>
    <w:rsid w:val="0B9CCB6D"/>
    <w:rsid w:val="0BA6BEBB"/>
    <w:rsid w:val="0BA71104"/>
    <w:rsid w:val="0BA9F5FB"/>
    <w:rsid w:val="0BBF70C3"/>
    <w:rsid w:val="0BC53BDE"/>
    <w:rsid w:val="0BC77F69"/>
    <w:rsid w:val="0BDDA1DB"/>
    <w:rsid w:val="0BE31D79"/>
    <w:rsid w:val="0BE6EA55"/>
    <w:rsid w:val="0BE8CC71"/>
    <w:rsid w:val="0BEAF68A"/>
    <w:rsid w:val="0BF0A58B"/>
    <w:rsid w:val="0BF12754"/>
    <w:rsid w:val="0BFB0DF6"/>
    <w:rsid w:val="0C0E37F3"/>
    <w:rsid w:val="0C29647E"/>
    <w:rsid w:val="0C33B10B"/>
    <w:rsid w:val="0C3C9D70"/>
    <w:rsid w:val="0C43E7F6"/>
    <w:rsid w:val="0C44D9C2"/>
    <w:rsid w:val="0C46F562"/>
    <w:rsid w:val="0C48460B"/>
    <w:rsid w:val="0C4EBFC0"/>
    <w:rsid w:val="0C5055E5"/>
    <w:rsid w:val="0C518012"/>
    <w:rsid w:val="0C538C28"/>
    <w:rsid w:val="0C55A5B9"/>
    <w:rsid w:val="0C56B1FE"/>
    <w:rsid w:val="0C597B4E"/>
    <w:rsid w:val="0C5F488F"/>
    <w:rsid w:val="0C68BAE8"/>
    <w:rsid w:val="0C737607"/>
    <w:rsid w:val="0C771315"/>
    <w:rsid w:val="0C7C29D1"/>
    <w:rsid w:val="0C7CBE1F"/>
    <w:rsid w:val="0C8408EF"/>
    <w:rsid w:val="0C8DC15A"/>
    <w:rsid w:val="0C9EBD68"/>
    <w:rsid w:val="0CA0C84A"/>
    <w:rsid w:val="0CAD3767"/>
    <w:rsid w:val="0CB6D97A"/>
    <w:rsid w:val="0CBB5E30"/>
    <w:rsid w:val="0CBB8532"/>
    <w:rsid w:val="0CBEC4B9"/>
    <w:rsid w:val="0CC50568"/>
    <w:rsid w:val="0CD9350A"/>
    <w:rsid w:val="0CD9E614"/>
    <w:rsid w:val="0CDCED3B"/>
    <w:rsid w:val="0CDDB846"/>
    <w:rsid w:val="0CEA3494"/>
    <w:rsid w:val="0CFE2519"/>
    <w:rsid w:val="0D060CAA"/>
    <w:rsid w:val="0D0C4E47"/>
    <w:rsid w:val="0D211AF2"/>
    <w:rsid w:val="0D285F73"/>
    <w:rsid w:val="0D3032B5"/>
    <w:rsid w:val="0D359A0C"/>
    <w:rsid w:val="0D45D279"/>
    <w:rsid w:val="0D4C137D"/>
    <w:rsid w:val="0D4D5640"/>
    <w:rsid w:val="0D62E77D"/>
    <w:rsid w:val="0D6301EB"/>
    <w:rsid w:val="0D6C118B"/>
    <w:rsid w:val="0D6F2DCC"/>
    <w:rsid w:val="0D85229C"/>
    <w:rsid w:val="0D89220E"/>
    <w:rsid w:val="0D8CE0F1"/>
    <w:rsid w:val="0D8FD14D"/>
    <w:rsid w:val="0D9630DE"/>
    <w:rsid w:val="0DA0954F"/>
    <w:rsid w:val="0DA8A1F9"/>
    <w:rsid w:val="0DAABC0C"/>
    <w:rsid w:val="0DB141F0"/>
    <w:rsid w:val="0DC4FA68"/>
    <w:rsid w:val="0DD2D54E"/>
    <w:rsid w:val="0DE4024F"/>
    <w:rsid w:val="0DE70581"/>
    <w:rsid w:val="0DECF3C8"/>
    <w:rsid w:val="0DED5401"/>
    <w:rsid w:val="0E066476"/>
    <w:rsid w:val="0E096C7C"/>
    <w:rsid w:val="0E1BAA56"/>
    <w:rsid w:val="0E1EDB25"/>
    <w:rsid w:val="0E1FBE61"/>
    <w:rsid w:val="0E239771"/>
    <w:rsid w:val="0E2C0D84"/>
    <w:rsid w:val="0E3E6E0A"/>
    <w:rsid w:val="0E437E78"/>
    <w:rsid w:val="0E46A89A"/>
    <w:rsid w:val="0E49C862"/>
    <w:rsid w:val="0E73E214"/>
    <w:rsid w:val="0E754FD7"/>
    <w:rsid w:val="0E78A66B"/>
    <w:rsid w:val="0E82BAAA"/>
    <w:rsid w:val="0E86BD45"/>
    <w:rsid w:val="0E8EE6B1"/>
    <w:rsid w:val="0E8FD1DE"/>
    <w:rsid w:val="0EB3AA6D"/>
    <w:rsid w:val="0EC3640A"/>
    <w:rsid w:val="0EC7CE5D"/>
    <w:rsid w:val="0ED9EADB"/>
    <w:rsid w:val="0EE05418"/>
    <w:rsid w:val="0EF0F144"/>
    <w:rsid w:val="0EFB9973"/>
    <w:rsid w:val="0F08BF2F"/>
    <w:rsid w:val="0F0A3BC8"/>
    <w:rsid w:val="0F18BF85"/>
    <w:rsid w:val="0F3C8CF9"/>
    <w:rsid w:val="0F60EC7D"/>
    <w:rsid w:val="0F64FAFE"/>
    <w:rsid w:val="0F661783"/>
    <w:rsid w:val="0F6B0E41"/>
    <w:rsid w:val="0F6B3842"/>
    <w:rsid w:val="0F743252"/>
    <w:rsid w:val="0F7F8BA0"/>
    <w:rsid w:val="0F823331"/>
    <w:rsid w:val="0F843265"/>
    <w:rsid w:val="0F906FC5"/>
    <w:rsid w:val="0F9B8A4A"/>
    <w:rsid w:val="0F9CB681"/>
    <w:rsid w:val="0FB5620C"/>
    <w:rsid w:val="0FBA3989"/>
    <w:rsid w:val="0FBC9B6A"/>
    <w:rsid w:val="0FC0F291"/>
    <w:rsid w:val="0FC6CDCD"/>
    <w:rsid w:val="0FC7297A"/>
    <w:rsid w:val="0FD0BA9B"/>
    <w:rsid w:val="0FDB8841"/>
    <w:rsid w:val="0FDE8037"/>
    <w:rsid w:val="0FEE1BF6"/>
    <w:rsid w:val="0FF3FCF6"/>
    <w:rsid w:val="0FFE017A"/>
    <w:rsid w:val="1004372E"/>
    <w:rsid w:val="1004DC43"/>
    <w:rsid w:val="100D0B45"/>
    <w:rsid w:val="10152227"/>
    <w:rsid w:val="1024D9D6"/>
    <w:rsid w:val="1030DC9D"/>
    <w:rsid w:val="10316D05"/>
    <w:rsid w:val="103321DF"/>
    <w:rsid w:val="10397869"/>
    <w:rsid w:val="103B4E6C"/>
    <w:rsid w:val="1054D656"/>
    <w:rsid w:val="1055EF7D"/>
    <w:rsid w:val="105CE3FD"/>
    <w:rsid w:val="10747BB7"/>
    <w:rsid w:val="10766091"/>
    <w:rsid w:val="108324D4"/>
    <w:rsid w:val="108DB5BB"/>
    <w:rsid w:val="10915A21"/>
    <w:rsid w:val="1097123F"/>
    <w:rsid w:val="109C87FD"/>
    <w:rsid w:val="10A10347"/>
    <w:rsid w:val="10B26D3D"/>
    <w:rsid w:val="10BF373A"/>
    <w:rsid w:val="10C795FF"/>
    <w:rsid w:val="10CDDC66"/>
    <w:rsid w:val="10E50029"/>
    <w:rsid w:val="10F14442"/>
    <w:rsid w:val="10F7A986"/>
    <w:rsid w:val="10FDF404"/>
    <w:rsid w:val="1103E27F"/>
    <w:rsid w:val="11042DDB"/>
    <w:rsid w:val="1105CFEE"/>
    <w:rsid w:val="11065884"/>
    <w:rsid w:val="110CC7F6"/>
    <w:rsid w:val="11133E0A"/>
    <w:rsid w:val="111BAF4F"/>
    <w:rsid w:val="111CBB52"/>
    <w:rsid w:val="1120E3AD"/>
    <w:rsid w:val="11229F4B"/>
    <w:rsid w:val="1138A9F7"/>
    <w:rsid w:val="11397CE2"/>
    <w:rsid w:val="113C5E25"/>
    <w:rsid w:val="11464189"/>
    <w:rsid w:val="114FBBEF"/>
    <w:rsid w:val="1151F65C"/>
    <w:rsid w:val="115DE83E"/>
    <w:rsid w:val="115E27AC"/>
    <w:rsid w:val="11655B61"/>
    <w:rsid w:val="1180DE62"/>
    <w:rsid w:val="11810018"/>
    <w:rsid w:val="11905F90"/>
    <w:rsid w:val="11923CFF"/>
    <w:rsid w:val="119CCA10"/>
    <w:rsid w:val="119DFADB"/>
    <w:rsid w:val="11AA2AEB"/>
    <w:rsid w:val="11C520B7"/>
    <w:rsid w:val="11C70D13"/>
    <w:rsid w:val="11D115ED"/>
    <w:rsid w:val="11EE5F32"/>
    <w:rsid w:val="11F4364E"/>
    <w:rsid w:val="11F9C377"/>
    <w:rsid w:val="11FC3A5A"/>
    <w:rsid w:val="11FED41B"/>
    <w:rsid w:val="12045B07"/>
    <w:rsid w:val="120FFA1B"/>
    <w:rsid w:val="1216FDC1"/>
    <w:rsid w:val="1217053E"/>
    <w:rsid w:val="121B739D"/>
    <w:rsid w:val="12263725"/>
    <w:rsid w:val="12274289"/>
    <w:rsid w:val="122778A7"/>
    <w:rsid w:val="122A207B"/>
    <w:rsid w:val="123E1F13"/>
    <w:rsid w:val="124C7516"/>
    <w:rsid w:val="124DE6EF"/>
    <w:rsid w:val="124EBA0E"/>
    <w:rsid w:val="125642CB"/>
    <w:rsid w:val="1256EDB8"/>
    <w:rsid w:val="125B079B"/>
    <w:rsid w:val="125DBB57"/>
    <w:rsid w:val="12632F3B"/>
    <w:rsid w:val="1265D770"/>
    <w:rsid w:val="12669B7A"/>
    <w:rsid w:val="126BF99D"/>
    <w:rsid w:val="1270C5D4"/>
    <w:rsid w:val="127237A4"/>
    <w:rsid w:val="1275158F"/>
    <w:rsid w:val="128055D4"/>
    <w:rsid w:val="1282BD13"/>
    <w:rsid w:val="128851F3"/>
    <w:rsid w:val="128B08AC"/>
    <w:rsid w:val="12900EBB"/>
    <w:rsid w:val="1293A371"/>
    <w:rsid w:val="129489A6"/>
    <w:rsid w:val="129A2442"/>
    <w:rsid w:val="129DAA3F"/>
    <w:rsid w:val="12A14910"/>
    <w:rsid w:val="12AD38C7"/>
    <w:rsid w:val="12B4927E"/>
    <w:rsid w:val="12C681C5"/>
    <w:rsid w:val="12C9FE8A"/>
    <w:rsid w:val="12D1B014"/>
    <w:rsid w:val="12DAE4A9"/>
    <w:rsid w:val="12DC300D"/>
    <w:rsid w:val="12DF9213"/>
    <w:rsid w:val="12E15D5F"/>
    <w:rsid w:val="12E6AA7E"/>
    <w:rsid w:val="12F7547F"/>
    <w:rsid w:val="12FE25EC"/>
    <w:rsid w:val="1304B6D1"/>
    <w:rsid w:val="1311F9DE"/>
    <w:rsid w:val="13167F33"/>
    <w:rsid w:val="131B6249"/>
    <w:rsid w:val="131C1CED"/>
    <w:rsid w:val="132030CE"/>
    <w:rsid w:val="1323742A"/>
    <w:rsid w:val="1338483C"/>
    <w:rsid w:val="133E0BC2"/>
    <w:rsid w:val="1345CDF6"/>
    <w:rsid w:val="134A4618"/>
    <w:rsid w:val="134C2845"/>
    <w:rsid w:val="13507CBE"/>
    <w:rsid w:val="13644B44"/>
    <w:rsid w:val="136A4152"/>
    <w:rsid w:val="137612B1"/>
    <w:rsid w:val="137F669B"/>
    <w:rsid w:val="139AA13F"/>
    <w:rsid w:val="13A1BC91"/>
    <w:rsid w:val="13B824B8"/>
    <w:rsid w:val="13B9CA54"/>
    <w:rsid w:val="13C37587"/>
    <w:rsid w:val="13CC04EA"/>
    <w:rsid w:val="13D7361C"/>
    <w:rsid w:val="13D832BA"/>
    <w:rsid w:val="13E661F2"/>
    <w:rsid w:val="13E8E7B7"/>
    <w:rsid w:val="13EB16FD"/>
    <w:rsid w:val="13F14024"/>
    <w:rsid w:val="13F6D7FC"/>
    <w:rsid w:val="13FA46D1"/>
    <w:rsid w:val="13FBE2D5"/>
    <w:rsid w:val="14058DA2"/>
    <w:rsid w:val="1405E62B"/>
    <w:rsid w:val="14144E13"/>
    <w:rsid w:val="141DB40E"/>
    <w:rsid w:val="14203F51"/>
    <w:rsid w:val="1423E704"/>
    <w:rsid w:val="1427BD68"/>
    <w:rsid w:val="1439B8A4"/>
    <w:rsid w:val="143A0095"/>
    <w:rsid w:val="1450A521"/>
    <w:rsid w:val="14560596"/>
    <w:rsid w:val="145DED48"/>
    <w:rsid w:val="145E3F4F"/>
    <w:rsid w:val="1473381D"/>
    <w:rsid w:val="1473FEE7"/>
    <w:rsid w:val="1476BF61"/>
    <w:rsid w:val="14B4A272"/>
    <w:rsid w:val="14B4AC58"/>
    <w:rsid w:val="14B553D2"/>
    <w:rsid w:val="14BF2FA1"/>
    <w:rsid w:val="14C83D16"/>
    <w:rsid w:val="14D27C1A"/>
    <w:rsid w:val="14D793B8"/>
    <w:rsid w:val="14D96D4C"/>
    <w:rsid w:val="14D9C5A0"/>
    <w:rsid w:val="14DE7DDE"/>
    <w:rsid w:val="14DF2138"/>
    <w:rsid w:val="14EA51D8"/>
    <w:rsid w:val="150DC370"/>
    <w:rsid w:val="1514ED0D"/>
    <w:rsid w:val="1519D2CD"/>
    <w:rsid w:val="152005AC"/>
    <w:rsid w:val="15255EA8"/>
    <w:rsid w:val="152CB624"/>
    <w:rsid w:val="153444EE"/>
    <w:rsid w:val="153BD650"/>
    <w:rsid w:val="153CFD57"/>
    <w:rsid w:val="153E4171"/>
    <w:rsid w:val="15498DC5"/>
    <w:rsid w:val="157ADF21"/>
    <w:rsid w:val="15839C6F"/>
    <w:rsid w:val="158A985D"/>
    <w:rsid w:val="158C6392"/>
    <w:rsid w:val="158C6E6F"/>
    <w:rsid w:val="158FEBFA"/>
    <w:rsid w:val="159A5F02"/>
    <w:rsid w:val="159D6295"/>
    <w:rsid w:val="15B3594B"/>
    <w:rsid w:val="15D00ECC"/>
    <w:rsid w:val="15D45557"/>
    <w:rsid w:val="15D90733"/>
    <w:rsid w:val="15E940C7"/>
    <w:rsid w:val="15F78709"/>
    <w:rsid w:val="15F85F21"/>
    <w:rsid w:val="15FEFC98"/>
    <w:rsid w:val="160E92A8"/>
    <w:rsid w:val="16100E70"/>
    <w:rsid w:val="16198CB9"/>
    <w:rsid w:val="161F15BD"/>
    <w:rsid w:val="162385D7"/>
    <w:rsid w:val="162464C0"/>
    <w:rsid w:val="163392D5"/>
    <w:rsid w:val="1633D895"/>
    <w:rsid w:val="1642DE5C"/>
    <w:rsid w:val="164D32A6"/>
    <w:rsid w:val="1651AC4B"/>
    <w:rsid w:val="1654A3F5"/>
    <w:rsid w:val="1655D36E"/>
    <w:rsid w:val="1657C4AB"/>
    <w:rsid w:val="1659C19A"/>
    <w:rsid w:val="16615FE0"/>
    <w:rsid w:val="166946FD"/>
    <w:rsid w:val="167E8DFC"/>
    <w:rsid w:val="168C4F1F"/>
    <w:rsid w:val="16904C51"/>
    <w:rsid w:val="16934666"/>
    <w:rsid w:val="1696A028"/>
    <w:rsid w:val="16A13CDC"/>
    <w:rsid w:val="16A20316"/>
    <w:rsid w:val="16B817B3"/>
    <w:rsid w:val="16BFEF5A"/>
    <w:rsid w:val="16C1DE57"/>
    <w:rsid w:val="16D2D9B6"/>
    <w:rsid w:val="16EB4D49"/>
    <w:rsid w:val="16ED4D25"/>
    <w:rsid w:val="16F85BA5"/>
    <w:rsid w:val="16FA40B9"/>
    <w:rsid w:val="170929E1"/>
    <w:rsid w:val="170C30CB"/>
    <w:rsid w:val="170D8DF0"/>
    <w:rsid w:val="170F4EB0"/>
    <w:rsid w:val="1714B328"/>
    <w:rsid w:val="17256B18"/>
    <w:rsid w:val="173D3E69"/>
    <w:rsid w:val="17445633"/>
    <w:rsid w:val="1744E56F"/>
    <w:rsid w:val="17465912"/>
    <w:rsid w:val="174B18EC"/>
    <w:rsid w:val="174D6F93"/>
    <w:rsid w:val="174E9576"/>
    <w:rsid w:val="174F0311"/>
    <w:rsid w:val="1754927E"/>
    <w:rsid w:val="1768F71F"/>
    <w:rsid w:val="177E686C"/>
    <w:rsid w:val="177E6CFA"/>
    <w:rsid w:val="17813F3A"/>
    <w:rsid w:val="178AB2D1"/>
    <w:rsid w:val="1794B82C"/>
    <w:rsid w:val="179F3F2A"/>
    <w:rsid w:val="17A0B506"/>
    <w:rsid w:val="17B6F3C8"/>
    <w:rsid w:val="17B96871"/>
    <w:rsid w:val="17BC33B4"/>
    <w:rsid w:val="17C1E8C8"/>
    <w:rsid w:val="17C3523F"/>
    <w:rsid w:val="17C8A737"/>
    <w:rsid w:val="17CB2A9A"/>
    <w:rsid w:val="17CC8E4A"/>
    <w:rsid w:val="17D2D25F"/>
    <w:rsid w:val="17DCC1BA"/>
    <w:rsid w:val="17DCF8CE"/>
    <w:rsid w:val="17ECE39D"/>
    <w:rsid w:val="17F95955"/>
    <w:rsid w:val="17FE3700"/>
    <w:rsid w:val="1815334C"/>
    <w:rsid w:val="181AF689"/>
    <w:rsid w:val="181C3024"/>
    <w:rsid w:val="1823BD2E"/>
    <w:rsid w:val="1824FF1E"/>
    <w:rsid w:val="182CCC4D"/>
    <w:rsid w:val="1836A806"/>
    <w:rsid w:val="1838314D"/>
    <w:rsid w:val="1842BE1B"/>
    <w:rsid w:val="185BC32E"/>
    <w:rsid w:val="18674D0A"/>
    <w:rsid w:val="1868B227"/>
    <w:rsid w:val="1878755F"/>
    <w:rsid w:val="187F62B9"/>
    <w:rsid w:val="189059C7"/>
    <w:rsid w:val="189C705A"/>
    <w:rsid w:val="189F616A"/>
    <w:rsid w:val="189F737F"/>
    <w:rsid w:val="18A19628"/>
    <w:rsid w:val="18ACA747"/>
    <w:rsid w:val="18B6EE06"/>
    <w:rsid w:val="18C07C38"/>
    <w:rsid w:val="18C33D6F"/>
    <w:rsid w:val="18C5A7B1"/>
    <w:rsid w:val="18D3E522"/>
    <w:rsid w:val="18E10C72"/>
    <w:rsid w:val="18EAE8A2"/>
    <w:rsid w:val="18FB2A95"/>
    <w:rsid w:val="190852A9"/>
    <w:rsid w:val="190A268D"/>
    <w:rsid w:val="190B6E69"/>
    <w:rsid w:val="190B7830"/>
    <w:rsid w:val="190E38B7"/>
    <w:rsid w:val="190E4EB2"/>
    <w:rsid w:val="190E6DFB"/>
    <w:rsid w:val="19110ACD"/>
    <w:rsid w:val="191459EE"/>
    <w:rsid w:val="1918EF22"/>
    <w:rsid w:val="192CE679"/>
    <w:rsid w:val="192E97C3"/>
    <w:rsid w:val="1934591E"/>
    <w:rsid w:val="1935E418"/>
    <w:rsid w:val="19466C51"/>
    <w:rsid w:val="1947841A"/>
    <w:rsid w:val="1947AF32"/>
    <w:rsid w:val="194F6CC3"/>
    <w:rsid w:val="194FDE81"/>
    <w:rsid w:val="19529B25"/>
    <w:rsid w:val="195708D9"/>
    <w:rsid w:val="195E290C"/>
    <w:rsid w:val="196B8C46"/>
    <w:rsid w:val="196BD905"/>
    <w:rsid w:val="196E7A89"/>
    <w:rsid w:val="1979EF30"/>
    <w:rsid w:val="197DF95E"/>
    <w:rsid w:val="197F269C"/>
    <w:rsid w:val="19828BAF"/>
    <w:rsid w:val="1998D14D"/>
    <w:rsid w:val="199965BC"/>
    <w:rsid w:val="199ADB20"/>
    <w:rsid w:val="199DEF25"/>
    <w:rsid w:val="19A5B1D8"/>
    <w:rsid w:val="19AC50A9"/>
    <w:rsid w:val="19BC55D7"/>
    <w:rsid w:val="19C0C584"/>
    <w:rsid w:val="19C858FD"/>
    <w:rsid w:val="19CB6ABA"/>
    <w:rsid w:val="19CDE174"/>
    <w:rsid w:val="19CF38B7"/>
    <w:rsid w:val="19D81573"/>
    <w:rsid w:val="19DEA32B"/>
    <w:rsid w:val="1A004352"/>
    <w:rsid w:val="1A09C392"/>
    <w:rsid w:val="1A0AD7E8"/>
    <w:rsid w:val="1A0ED0A2"/>
    <w:rsid w:val="1A119813"/>
    <w:rsid w:val="1A1A1F61"/>
    <w:rsid w:val="1A28AA75"/>
    <w:rsid w:val="1A2DA9A7"/>
    <w:rsid w:val="1A60E3A3"/>
    <w:rsid w:val="1A61B65B"/>
    <w:rsid w:val="1A647E2A"/>
    <w:rsid w:val="1A65E591"/>
    <w:rsid w:val="1A6A26E0"/>
    <w:rsid w:val="1A782B69"/>
    <w:rsid w:val="1A7CE4AA"/>
    <w:rsid w:val="1A8B9A11"/>
    <w:rsid w:val="1A92F092"/>
    <w:rsid w:val="1A937AD9"/>
    <w:rsid w:val="1AA793F5"/>
    <w:rsid w:val="1AACFB66"/>
    <w:rsid w:val="1ABA3B57"/>
    <w:rsid w:val="1ABC4CF3"/>
    <w:rsid w:val="1AD09C42"/>
    <w:rsid w:val="1ADEDE2B"/>
    <w:rsid w:val="1B06CA5A"/>
    <w:rsid w:val="1B0DAC66"/>
    <w:rsid w:val="1B0F4071"/>
    <w:rsid w:val="1B19005B"/>
    <w:rsid w:val="1B1D5904"/>
    <w:rsid w:val="1B20550D"/>
    <w:rsid w:val="1B21044A"/>
    <w:rsid w:val="1B237B0D"/>
    <w:rsid w:val="1B326DEE"/>
    <w:rsid w:val="1B3734A5"/>
    <w:rsid w:val="1B3B7419"/>
    <w:rsid w:val="1B42C7B2"/>
    <w:rsid w:val="1B466BF5"/>
    <w:rsid w:val="1B532E61"/>
    <w:rsid w:val="1B6CB4A3"/>
    <w:rsid w:val="1B7E8666"/>
    <w:rsid w:val="1B83AB8D"/>
    <w:rsid w:val="1B879FA7"/>
    <w:rsid w:val="1B8A0470"/>
    <w:rsid w:val="1B8BAEC5"/>
    <w:rsid w:val="1B8F8EBC"/>
    <w:rsid w:val="1B9BF1BA"/>
    <w:rsid w:val="1BA56D95"/>
    <w:rsid w:val="1BAC2C2F"/>
    <w:rsid w:val="1BB3268E"/>
    <w:rsid w:val="1BB72400"/>
    <w:rsid w:val="1BB8442E"/>
    <w:rsid w:val="1BC41B95"/>
    <w:rsid w:val="1BC47AD6"/>
    <w:rsid w:val="1BD5451A"/>
    <w:rsid w:val="1BD564CB"/>
    <w:rsid w:val="1BE9638B"/>
    <w:rsid w:val="1BECFB54"/>
    <w:rsid w:val="1BF51CDA"/>
    <w:rsid w:val="1BF8D118"/>
    <w:rsid w:val="1BF999C1"/>
    <w:rsid w:val="1C036B6A"/>
    <w:rsid w:val="1C12A9CF"/>
    <w:rsid w:val="1C1C4CA6"/>
    <w:rsid w:val="1C21EB62"/>
    <w:rsid w:val="1C2DC38E"/>
    <w:rsid w:val="1C30A29E"/>
    <w:rsid w:val="1C38513B"/>
    <w:rsid w:val="1C4D918F"/>
    <w:rsid w:val="1C4FAF0D"/>
    <w:rsid w:val="1C5A5E9C"/>
    <w:rsid w:val="1C78A12A"/>
    <w:rsid w:val="1C7BF17A"/>
    <w:rsid w:val="1C83B793"/>
    <w:rsid w:val="1C90B362"/>
    <w:rsid w:val="1C928005"/>
    <w:rsid w:val="1CA2B6A1"/>
    <w:rsid w:val="1CA52BF3"/>
    <w:rsid w:val="1CAD9115"/>
    <w:rsid w:val="1CB1F526"/>
    <w:rsid w:val="1CB29302"/>
    <w:rsid w:val="1CBF1FE6"/>
    <w:rsid w:val="1CC36B52"/>
    <w:rsid w:val="1CC80845"/>
    <w:rsid w:val="1CD9EEE7"/>
    <w:rsid w:val="1CDCA28F"/>
    <w:rsid w:val="1CDF2837"/>
    <w:rsid w:val="1CE50C6A"/>
    <w:rsid w:val="1CED93BA"/>
    <w:rsid w:val="1D00895F"/>
    <w:rsid w:val="1D00F15A"/>
    <w:rsid w:val="1D07639C"/>
    <w:rsid w:val="1D0E989F"/>
    <w:rsid w:val="1D17ED9D"/>
    <w:rsid w:val="1D1A457B"/>
    <w:rsid w:val="1D1D2E21"/>
    <w:rsid w:val="1D292D40"/>
    <w:rsid w:val="1D298A6F"/>
    <w:rsid w:val="1D30FD05"/>
    <w:rsid w:val="1D3CE66F"/>
    <w:rsid w:val="1D480096"/>
    <w:rsid w:val="1D4A27D7"/>
    <w:rsid w:val="1D6F8432"/>
    <w:rsid w:val="1D709BB9"/>
    <w:rsid w:val="1D7A86E7"/>
    <w:rsid w:val="1D7C0724"/>
    <w:rsid w:val="1D94CAAB"/>
    <w:rsid w:val="1D95B473"/>
    <w:rsid w:val="1D97B85B"/>
    <w:rsid w:val="1D9C2BB3"/>
    <w:rsid w:val="1DAC641A"/>
    <w:rsid w:val="1DBEAB33"/>
    <w:rsid w:val="1DC840C3"/>
    <w:rsid w:val="1DEF306A"/>
    <w:rsid w:val="1DF584C7"/>
    <w:rsid w:val="1DFF84E9"/>
    <w:rsid w:val="1E0208E6"/>
    <w:rsid w:val="1E087DEB"/>
    <w:rsid w:val="1E20BBF6"/>
    <w:rsid w:val="1E28CAD6"/>
    <w:rsid w:val="1E296447"/>
    <w:rsid w:val="1E2FE292"/>
    <w:rsid w:val="1E351243"/>
    <w:rsid w:val="1E3A928C"/>
    <w:rsid w:val="1E4E3322"/>
    <w:rsid w:val="1E550270"/>
    <w:rsid w:val="1E8368AA"/>
    <w:rsid w:val="1E9531EE"/>
    <w:rsid w:val="1E96EE8E"/>
    <w:rsid w:val="1EA7AFA4"/>
    <w:rsid w:val="1EB57872"/>
    <w:rsid w:val="1EBC96A6"/>
    <w:rsid w:val="1EC3FEE3"/>
    <w:rsid w:val="1EC44439"/>
    <w:rsid w:val="1ECDF79B"/>
    <w:rsid w:val="1EDA6906"/>
    <w:rsid w:val="1EDFF448"/>
    <w:rsid w:val="1EEF931C"/>
    <w:rsid w:val="1EF4B90F"/>
    <w:rsid w:val="1EF57362"/>
    <w:rsid w:val="1EFC5ECE"/>
    <w:rsid w:val="1F0E0D74"/>
    <w:rsid w:val="1F1B97BC"/>
    <w:rsid w:val="1F3349FE"/>
    <w:rsid w:val="1F4EEBE8"/>
    <w:rsid w:val="1F54AF61"/>
    <w:rsid w:val="1F6F3CCC"/>
    <w:rsid w:val="1F74B350"/>
    <w:rsid w:val="1F74E16A"/>
    <w:rsid w:val="1F80EBAA"/>
    <w:rsid w:val="1F83EDE9"/>
    <w:rsid w:val="1F860692"/>
    <w:rsid w:val="1F909361"/>
    <w:rsid w:val="1FA1FFA5"/>
    <w:rsid w:val="1FA2C91E"/>
    <w:rsid w:val="1FA86FB9"/>
    <w:rsid w:val="1FA8946F"/>
    <w:rsid w:val="1FB5484D"/>
    <w:rsid w:val="1FBE523A"/>
    <w:rsid w:val="1FC23511"/>
    <w:rsid w:val="1FCB361B"/>
    <w:rsid w:val="1FD7C9DE"/>
    <w:rsid w:val="1FDC5A73"/>
    <w:rsid w:val="1FDD023E"/>
    <w:rsid w:val="1FE05F6A"/>
    <w:rsid w:val="1FF402B8"/>
    <w:rsid w:val="1FF8236B"/>
    <w:rsid w:val="2010F820"/>
    <w:rsid w:val="201BCE9D"/>
    <w:rsid w:val="201CDE19"/>
    <w:rsid w:val="201E990F"/>
    <w:rsid w:val="2022AC09"/>
    <w:rsid w:val="20236251"/>
    <w:rsid w:val="202E1364"/>
    <w:rsid w:val="20428855"/>
    <w:rsid w:val="20483511"/>
    <w:rsid w:val="20621823"/>
    <w:rsid w:val="2063413C"/>
    <w:rsid w:val="2074D423"/>
    <w:rsid w:val="20754A23"/>
    <w:rsid w:val="207D2FCB"/>
    <w:rsid w:val="208F8200"/>
    <w:rsid w:val="20B0CF5F"/>
    <w:rsid w:val="20B4962F"/>
    <w:rsid w:val="20BF6CFE"/>
    <w:rsid w:val="20C9CA1B"/>
    <w:rsid w:val="20DFCE7B"/>
    <w:rsid w:val="20F1E723"/>
    <w:rsid w:val="20FEB852"/>
    <w:rsid w:val="20FF156C"/>
    <w:rsid w:val="21083389"/>
    <w:rsid w:val="21099429"/>
    <w:rsid w:val="211A83B8"/>
    <w:rsid w:val="211B7FE8"/>
    <w:rsid w:val="21260197"/>
    <w:rsid w:val="21295422"/>
    <w:rsid w:val="212AAEF4"/>
    <w:rsid w:val="214399E8"/>
    <w:rsid w:val="217472CD"/>
    <w:rsid w:val="2174B8EA"/>
    <w:rsid w:val="2177D700"/>
    <w:rsid w:val="217A564A"/>
    <w:rsid w:val="218DDDD5"/>
    <w:rsid w:val="21977FF2"/>
    <w:rsid w:val="21984CC3"/>
    <w:rsid w:val="21ADDD85"/>
    <w:rsid w:val="21AF89E6"/>
    <w:rsid w:val="21B08555"/>
    <w:rsid w:val="21B37D4A"/>
    <w:rsid w:val="21C150BF"/>
    <w:rsid w:val="21CD224D"/>
    <w:rsid w:val="21D05919"/>
    <w:rsid w:val="21DB9260"/>
    <w:rsid w:val="21E5B479"/>
    <w:rsid w:val="21E7249D"/>
    <w:rsid w:val="21E812DC"/>
    <w:rsid w:val="21E8C894"/>
    <w:rsid w:val="21F12081"/>
    <w:rsid w:val="21F44E50"/>
    <w:rsid w:val="21F4D5DC"/>
    <w:rsid w:val="21F735C9"/>
    <w:rsid w:val="21F8DCCD"/>
    <w:rsid w:val="21FB3C16"/>
    <w:rsid w:val="21FD6B93"/>
    <w:rsid w:val="220DF88B"/>
    <w:rsid w:val="221C6744"/>
    <w:rsid w:val="2221C5DF"/>
    <w:rsid w:val="22282F5E"/>
    <w:rsid w:val="222D8B70"/>
    <w:rsid w:val="223303EB"/>
    <w:rsid w:val="2234DE04"/>
    <w:rsid w:val="22352431"/>
    <w:rsid w:val="22374B64"/>
    <w:rsid w:val="223C25DB"/>
    <w:rsid w:val="22402662"/>
    <w:rsid w:val="224E84B9"/>
    <w:rsid w:val="22547031"/>
    <w:rsid w:val="225C8BB6"/>
    <w:rsid w:val="225E4B05"/>
    <w:rsid w:val="226826EA"/>
    <w:rsid w:val="2277A466"/>
    <w:rsid w:val="2293040A"/>
    <w:rsid w:val="22984A1A"/>
    <w:rsid w:val="229970D4"/>
    <w:rsid w:val="229E912C"/>
    <w:rsid w:val="22A9F9AC"/>
    <w:rsid w:val="22AA1F5F"/>
    <w:rsid w:val="22C17B26"/>
    <w:rsid w:val="22C8BB58"/>
    <w:rsid w:val="22D22C42"/>
    <w:rsid w:val="22DC215C"/>
    <w:rsid w:val="22EAA83F"/>
    <w:rsid w:val="22FCA0E3"/>
    <w:rsid w:val="22FD9F4F"/>
    <w:rsid w:val="230FD42D"/>
    <w:rsid w:val="23230DF6"/>
    <w:rsid w:val="23275997"/>
    <w:rsid w:val="232CC372"/>
    <w:rsid w:val="233561C4"/>
    <w:rsid w:val="233E19B4"/>
    <w:rsid w:val="233E6BC8"/>
    <w:rsid w:val="234617F5"/>
    <w:rsid w:val="2357C577"/>
    <w:rsid w:val="23668519"/>
    <w:rsid w:val="2368C333"/>
    <w:rsid w:val="236DDF0D"/>
    <w:rsid w:val="2375B6AC"/>
    <w:rsid w:val="237FDF7F"/>
    <w:rsid w:val="23850BDF"/>
    <w:rsid w:val="238BA1F7"/>
    <w:rsid w:val="238CD6F5"/>
    <w:rsid w:val="238F23EC"/>
    <w:rsid w:val="239C3558"/>
    <w:rsid w:val="23A82719"/>
    <w:rsid w:val="23AC4026"/>
    <w:rsid w:val="23B1C201"/>
    <w:rsid w:val="23B7AA1E"/>
    <w:rsid w:val="23BAF113"/>
    <w:rsid w:val="23CE606A"/>
    <w:rsid w:val="23D987D5"/>
    <w:rsid w:val="23DC3F7E"/>
    <w:rsid w:val="23DEED44"/>
    <w:rsid w:val="23ED6962"/>
    <w:rsid w:val="23F12B4E"/>
    <w:rsid w:val="23F6D352"/>
    <w:rsid w:val="23FC48BE"/>
    <w:rsid w:val="23FFB605"/>
    <w:rsid w:val="24077E02"/>
    <w:rsid w:val="24221956"/>
    <w:rsid w:val="24276638"/>
    <w:rsid w:val="242A75B4"/>
    <w:rsid w:val="242B994B"/>
    <w:rsid w:val="244AEC1E"/>
    <w:rsid w:val="245049D4"/>
    <w:rsid w:val="2450AC1C"/>
    <w:rsid w:val="24551143"/>
    <w:rsid w:val="24602B9F"/>
    <w:rsid w:val="246B1130"/>
    <w:rsid w:val="246D0080"/>
    <w:rsid w:val="246DEBB6"/>
    <w:rsid w:val="247FF80F"/>
    <w:rsid w:val="2488797E"/>
    <w:rsid w:val="248D5B44"/>
    <w:rsid w:val="248FEF6A"/>
    <w:rsid w:val="24973604"/>
    <w:rsid w:val="2498FD44"/>
    <w:rsid w:val="24B1A83F"/>
    <w:rsid w:val="24B5DC62"/>
    <w:rsid w:val="24B8A8FF"/>
    <w:rsid w:val="24C762C8"/>
    <w:rsid w:val="24CFEAA8"/>
    <w:rsid w:val="24E21AD6"/>
    <w:rsid w:val="24E6F367"/>
    <w:rsid w:val="24ECD8F4"/>
    <w:rsid w:val="24F0EC86"/>
    <w:rsid w:val="24FCC0E3"/>
    <w:rsid w:val="250079DF"/>
    <w:rsid w:val="250EC055"/>
    <w:rsid w:val="251833A2"/>
    <w:rsid w:val="251B6849"/>
    <w:rsid w:val="2522C218"/>
    <w:rsid w:val="2522EB06"/>
    <w:rsid w:val="2522F1E3"/>
    <w:rsid w:val="252B21BF"/>
    <w:rsid w:val="252D0B4F"/>
    <w:rsid w:val="253A9CA6"/>
    <w:rsid w:val="253AEC04"/>
    <w:rsid w:val="2566DEF2"/>
    <w:rsid w:val="2574C5FA"/>
    <w:rsid w:val="2577A995"/>
    <w:rsid w:val="258921F4"/>
    <w:rsid w:val="258C97E9"/>
    <w:rsid w:val="258CF5D1"/>
    <w:rsid w:val="25923D64"/>
    <w:rsid w:val="259EA52F"/>
    <w:rsid w:val="25A37ED2"/>
    <w:rsid w:val="25ADD42C"/>
    <w:rsid w:val="25B2B56F"/>
    <w:rsid w:val="25B7576E"/>
    <w:rsid w:val="25B99804"/>
    <w:rsid w:val="25CE48A8"/>
    <w:rsid w:val="25D60544"/>
    <w:rsid w:val="25D6085F"/>
    <w:rsid w:val="25E97697"/>
    <w:rsid w:val="25EDC1DC"/>
    <w:rsid w:val="2601447E"/>
    <w:rsid w:val="26203423"/>
    <w:rsid w:val="2627AC16"/>
    <w:rsid w:val="26280AD9"/>
    <w:rsid w:val="26299A3E"/>
    <w:rsid w:val="26317FA4"/>
    <w:rsid w:val="2639CC60"/>
    <w:rsid w:val="264E6A00"/>
    <w:rsid w:val="264EAB77"/>
    <w:rsid w:val="2651A9AA"/>
    <w:rsid w:val="26523B56"/>
    <w:rsid w:val="26776793"/>
    <w:rsid w:val="2683198B"/>
    <w:rsid w:val="26865DCC"/>
    <w:rsid w:val="268AEDDC"/>
    <w:rsid w:val="26903459"/>
    <w:rsid w:val="269E025E"/>
    <w:rsid w:val="26A3C1AE"/>
    <w:rsid w:val="26A7F526"/>
    <w:rsid w:val="26AB7B22"/>
    <w:rsid w:val="26C4C689"/>
    <w:rsid w:val="26C5130B"/>
    <w:rsid w:val="26CA84E6"/>
    <w:rsid w:val="26D1873D"/>
    <w:rsid w:val="26D3C3FA"/>
    <w:rsid w:val="26E12E58"/>
    <w:rsid w:val="26E8E80D"/>
    <w:rsid w:val="26F2754C"/>
    <w:rsid w:val="26F6DFC4"/>
    <w:rsid w:val="26FA08FD"/>
    <w:rsid w:val="26FA360C"/>
    <w:rsid w:val="26FEC3B3"/>
    <w:rsid w:val="270A02E7"/>
    <w:rsid w:val="270C0D79"/>
    <w:rsid w:val="2711BAE9"/>
    <w:rsid w:val="271B38B4"/>
    <w:rsid w:val="272135F8"/>
    <w:rsid w:val="27229B6A"/>
    <w:rsid w:val="273EB075"/>
    <w:rsid w:val="2749A9FF"/>
    <w:rsid w:val="274D0012"/>
    <w:rsid w:val="274F397F"/>
    <w:rsid w:val="275D7FE1"/>
    <w:rsid w:val="2764CAB9"/>
    <w:rsid w:val="27749E73"/>
    <w:rsid w:val="27827965"/>
    <w:rsid w:val="27850DFC"/>
    <w:rsid w:val="278B9260"/>
    <w:rsid w:val="278CA1BC"/>
    <w:rsid w:val="278D7414"/>
    <w:rsid w:val="279D656F"/>
    <w:rsid w:val="27B119DC"/>
    <w:rsid w:val="27B207C3"/>
    <w:rsid w:val="27B35063"/>
    <w:rsid w:val="27B90E2A"/>
    <w:rsid w:val="27C321E2"/>
    <w:rsid w:val="27C9F021"/>
    <w:rsid w:val="27CA2008"/>
    <w:rsid w:val="27D2A57B"/>
    <w:rsid w:val="27DBDE53"/>
    <w:rsid w:val="27F1FBBE"/>
    <w:rsid w:val="27F34321"/>
    <w:rsid w:val="27F585D5"/>
    <w:rsid w:val="27F6A84A"/>
    <w:rsid w:val="27F82B8B"/>
    <w:rsid w:val="280B9139"/>
    <w:rsid w:val="281F8002"/>
    <w:rsid w:val="2823B797"/>
    <w:rsid w:val="2824DDCA"/>
    <w:rsid w:val="2825A074"/>
    <w:rsid w:val="2825B84B"/>
    <w:rsid w:val="28269D2E"/>
    <w:rsid w:val="2829DE76"/>
    <w:rsid w:val="28360A8F"/>
    <w:rsid w:val="2837D9EB"/>
    <w:rsid w:val="283D7AC6"/>
    <w:rsid w:val="28474B83"/>
    <w:rsid w:val="284772E6"/>
    <w:rsid w:val="284A678D"/>
    <w:rsid w:val="2850FCCC"/>
    <w:rsid w:val="2854D2C7"/>
    <w:rsid w:val="28610433"/>
    <w:rsid w:val="2865309B"/>
    <w:rsid w:val="2866D5D6"/>
    <w:rsid w:val="286F6EB9"/>
    <w:rsid w:val="28728BAE"/>
    <w:rsid w:val="287660E8"/>
    <w:rsid w:val="2877CD53"/>
    <w:rsid w:val="28782281"/>
    <w:rsid w:val="2879B668"/>
    <w:rsid w:val="288BCFCE"/>
    <w:rsid w:val="288D2075"/>
    <w:rsid w:val="288D9D29"/>
    <w:rsid w:val="289D5AAE"/>
    <w:rsid w:val="28A6ACA3"/>
    <w:rsid w:val="28AA9D02"/>
    <w:rsid w:val="28C1F67A"/>
    <w:rsid w:val="28CE02B3"/>
    <w:rsid w:val="28D09F1F"/>
    <w:rsid w:val="28F06B2F"/>
    <w:rsid w:val="290E538A"/>
    <w:rsid w:val="291AE42E"/>
    <w:rsid w:val="291DE647"/>
    <w:rsid w:val="291DEB57"/>
    <w:rsid w:val="2922FAB3"/>
    <w:rsid w:val="2929FB50"/>
    <w:rsid w:val="292E6A8A"/>
    <w:rsid w:val="293233F4"/>
    <w:rsid w:val="2936E778"/>
    <w:rsid w:val="294092E5"/>
    <w:rsid w:val="294CFF17"/>
    <w:rsid w:val="294DE271"/>
    <w:rsid w:val="2957823C"/>
    <w:rsid w:val="295C41B4"/>
    <w:rsid w:val="2963DBF8"/>
    <w:rsid w:val="2963F5A5"/>
    <w:rsid w:val="296F86EE"/>
    <w:rsid w:val="29770DCF"/>
    <w:rsid w:val="2987EE67"/>
    <w:rsid w:val="2989E832"/>
    <w:rsid w:val="29946EB9"/>
    <w:rsid w:val="29A473B1"/>
    <w:rsid w:val="29B19A7C"/>
    <w:rsid w:val="29BC532C"/>
    <w:rsid w:val="29E1BB1E"/>
    <w:rsid w:val="29EABE0F"/>
    <w:rsid w:val="29EC9DD2"/>
    <w:rsid w:val="29ED8B64"/>
    <w:rsid w:val="29F2D63F"/>
    <w:rsid w:val="29FA0CBC"/>
    <w:rsid w:val="29FA2426"/>
    <w:rsid w:val="29FCFF2D"/>
    <w:rsid w:val="2A041251"/>
    <w:rsid w:val="2A160CAD"/>
    <w:rsid w:val="2A23FB33"/>
    <w:rsid w:val="2A26AE7E"/>
    <w:rsid w:val="2A289488"/>
    <w:rsid w:val="2A2E3242"/>
    <w:rsid w:val="2A411975"/>
    <w:rsid w:val="2A46BBC5"/>
    <w:rsid w:val="2A56E2A1"/>
    <w:rsid w:val="2A5FB1DD"/>
    <w:rsid w:val="2A6019A9"/>
    <w:rsid w:val="2A60521E"/>
    <w:rsid w:val="2A61425D"/>
    <w:rsid w:val="2A6568F4"/>
    <w:rsid w:val="2A694CD2"/>
    <w:rsid w:val="2A6B97A8"/>
    <w:rsid w:val="2A70612D"/>
    <w:rsid w:val="2A7371AB"/>
    <w:rsid w:val="2A78C59F"/>
    <w:rsid w:val="2A7F243B"/>
    <w:rsid w:val="2A81826C"/>
    <w:rsid w:val="2A874345"/>
    <w:rsid w:val="2A8EFAA5"/>
    <w:rsid w:val="2A95CE28"/>
    <w:rsid w:val="2A98277B"/>
    <w:rsid w:val="2AA63C09"/>
    <w:rsid w:val="2AB21FF8"/>
    <w:rsid w:val="2AB74CC0"/>
    <w:rsid w:val="2ABA16AC"/>
    <w:rsid w:val="2AC38FF2"/>
    <w:rsid w:val="2AD85DE5"/>
    <w:rsid w:val="2B102268"/>
    <w:rsid w:val="2B10A15F"/>
    <w:rsid w:val="2B10E5F5"/>
    <w:rsid w:val="2B1E119A"/>
    <w:rsid w:val="2B20785F"/>
    <w:rsid w:val="2B2366E4"/>
    <w:rsid w:val="2B2D10FF"/>
    <w:rsid w:val="2B2D50F7"/>
    <w:rsid w:val="2B2EAFC7"/>
    <w:rsid w:val="2B30A8AA"/>
    <w:rsid w:val="2B30D7D4"/>
    <w:rsid w:val="2B316AAC"/>
    <w:rsid w:val="2B360CFD"/>
    <w:rsid w:val="2B45488C"/>
    <w:rsid w:val="2B474D46"/>
    <w:rsid w:val="2B49739A"/>
    <w:rsid w:val="2B4CC046"/>
    <w:rsid w:val="2B4DBF63"/>
    <w:rsid w:val="2B51D2AD"/>
    <w:rsid w:val="2B527430"/>
    <w:rsid w:val="2B5906C9"/>
    <w:rsid w:val="2B5B3445"/>
    <w:rsid w:val="2B5B7203"/>
    <w:rsid w:val="2B5B8CBC"/>
    <w:rsid w:val="2B6917E2"/>
    <w:rsid w:val="2B716829"/>
    <w:rsid w:val="2B777503"/>
    <w:rsid w:val="2B78E7D1"/>
    <w:rsid w:val="2B79B4D2"/>
    <w:rsid w:val="2B7ABA0D"/>
    <w:rsid w:val="2B7D5E91"/>
    <w:rsid w:val="2B97FDD5"/>
    <w:rsid w:val="2BA88701"/>
    <w:rsid w:val="2BABA01C"/>
    <w:rsid w:val="2BAC7D88"/>
    <w:rsid w:val="2BB297CF"/>
    <w:rsid w:val="2BB2F188"/>
    <w:rsid w:val="2BB876E9"/>
    <w:rsid w:val="2BBFDCC5"/>
    <w:rsid w:val="2BC20DD4"/>
    <w:rsid w:val="2BC8F05C"/>
    <w:rsid w:val="2BC96E30"/>
    <w:rsid w:val="2BD65258"/>
    <w:rsid w:val="2BE1198F"/>
    <w:rsid w:val="2BE401B2"/>
    <w:rsid w:val="2BEDD91E"/>
    <w:rsid w:val="2BEEA7C3"/>
    <w:rsid w:val="2C03EB8B"/>
    <w:rsid w:val="2C06037B"/>
    <w:rsid w:val="2C0D1A92"/>
    <w:rsid w:val="2C0D7C9F"/>
    <w:rsid w:val="2C146BAB"/>
    <w:rsid w:val="2C1BD052"/>
    <w:rsid w:val="2C24656A"/>
    <w:rsid w:val="2C2693AE"/>
    <w:rsid w:val="2C2D8689"/>
    <w:rsid w:val="2C416994"/>
    <w:rsid w:val="2C5869F7"/>
    <w:rsid w:val="2C5CE365"/>
    <w:rsid w:val="2C60B11A"/>
    <w:rsid w:val="2C668AAD"/>
    <w:rsid w:val="2C8A2B4B"/>
    <w:rsid w:val="2C90F5BB"/>
    <w:rsid w:val="2C9CDC55"/>
    <w:rsid w:val="2C9D6144"/>
    <w:rsid w:val="2CA2A42C"/>
    <w:rsid w:val="2CA82AD2"/>
    <w:rsid w:val="2CC0D656"/>
    <w:rsid w:val="2CD714FF"/>
    <w:rsid w:val="2CDAA1D1"/>
    <w:rsid w:val="2CDE939A"/>
    <w:rsid w:val="2CDEB1CA"/>
    <w:rsid w:val="2CEE7BF2"/>
    <w:rsid w:val="2CF62A4B"/>
    <w:rsid w:val="2CFB1892"/>
    <w:rsid w:val="2CFBC044"/>
    <w:rsid w:val="2CFD7816"/>
    <w:rsid w:val="2D1037E5"/>
    <w:rsid w:val="2D18B4A8"/>
    <w:rsid w:val="2D22DC10"/>
    <w:rsid w:val="2D2FB24A"/>
    <w:rsid w:val="2D3BBCD1"/>
    <w:rsid w:val="2D3F596A"/>
    <w:rsid w:val="2D421865"/>
    <w:rsid w:val="2D499E60"/>
    <w:rsid w:val="2D54A286"/>
    <w:rsid w:val="2D565F6F"/>
    <w:rsid w:val="2D69A935"/>
    <w:rsid w:val="2D72B3BC"/>
    <w:rsid w:val="2D736F8E"/>
    <w:rsid w:val="2D8CDC54"/>
    <w:rsid w:val="2D96DD56"/>
    <w:rsid w:val="2D9C055C"/>
    <w:rsid w:val="2D9F7B41"/>
    <w:rsid w:val="2DA4B0CA"/>
    <w:rsid w:val="2DA4F9A0"/>
    <w:rsid w:val="2DA97E72"/>
    <w:rsid w:val="2DB08E0C"/>
    <w:rsid w:val="2DB6C6C4"/>
    <w:rsid w:val="2DBBFF02"/>
    <w:rsid w:val="2DBEE49C"/>
    <w:rsid w:val="2DC36D66"/>
    <w:rsid w:val="2DC59A24"/>
    <w:rsid w:val="2DC5EDA4"/>
    <w:rsid w:val="2DC81F40"/>
    <w:rsid w:val="2DCD0B73"/>
    <w:rsid w:val="2DDBB0A8"/>
    <w:rsid w:val="2DE10484"/>
    <w:rsid w:val="2DE2F087"/>
    <w:rsid w:val="2DE353A5"/>
    <w:rsid w:val="2DE384E6"/>
    <w:rsid w:val="2DF60066"/>
    <w:rsid w:val="2DFE6864"/>
    <w:rsid w:val="2E03DD23"/>
    <w:rsid w:val="2E073303"/>
    <w:rsid w:val="2E12A5B3"/>
    <w:rsid w:val="2E201CDD"/>
    <w:rsid w:val="2E222C60"/>
    <w:rsid w:val="2E270CE6"/>
    <w:rsid w:val="2E2A63D3"/>
    <w:rsid w:val="2E35BBDC"/>
    <w:rsid w:val="2E3B1DB4"/>
    <w:rsid w:val="2E3CE460"/>
    <w:rsid w:val="2E4A6B1B"/>
    <w:rsid w:val="2E524127"/>
    <w:rsid w:val="2E532A5B"/>
    <w:rsid w:val="2E570217"/>
    <w:rsid w:val="2E585F21"/>
    <w:rsid w:val="2E66F5C9"/>
    <w:rsid w:val="2E7192E2"/>
    <w:rsid w:val="2E952F8D"/>
    <w:rsid w:val="2E98897E"/>
    <w:rsid w:val="2E99EEE5"/>
    <w:rsid w:val="2EB39837"/>
    <w:rsid w:val="2EBB8DC5"/>
    <w:rsid w:val="2EBD9A5A"/>
    <w:rsid w:val="2EBFAA88"/>
    <w:rsid w:val="2EC55D0B"/>
    <w:rsid w:val="2EC9A8D1"/>
    <w:rsid w:val="2ED71433"/>
    <w:rsid w:val="2EDDDD05"/>
    <w:rsid w:val="2EEFAF7F"/>
    <w:rsid w:val="2EF3ED88"/>
    <w:rsid w:val="2F0B37A1"/>
    <w:rsid w:val="2F1475E6"/>
    <w:rsid w:val="2F18340E"/>
    <w:rsid w:val="2F20791E"/>
    <w:rsid w:val="2F24981A"/>
    <w:rsid w:val="2F25D3B9"/>
    <w:rsid w:val="2F2E6293"/>
    <w:rsid w:val="2F30CB0E"/>
    <w:rsid w:val="2F318FE4"/>
    <w:rsid w:val="2F3D73F3"/>
    <w:rsid w:val="2F40D091"/>
    <w:rsid w:val="2F5001A2"/>
    <w:rsid w:val="2F5E512C"/>
    <w:rsid w:val="2F63AEFD"/>
    <w:rsid w:val="2F75915F"/>
    <w:rsid w:val="2F7E0CB5"/>
    <w:rsid w:val="2F854F44"/>
    <w:rsid w:val="2F8A9760"/>
    <w:rsid w:val="2F8AB489"/>
    <w:rsid w:val="2F8BBFB9"/>
    <w:rsid w:val="2F8D9777"/>
    <w:rsid w:val="2F9BFDDA"/>
    <w:rsid w:val="2F9E6761"/>
    <w:rsid w:val="2FA2D2AE"/>
    <w:rsid w:val="2FA304CC"/>
    <w:rsid w:val="2FA3D2EC"/>
    <w:rsid w:val="2FA8F51B"/>
    <w:rsid w:val="2FB15462"/>
    <w:rsid w:val="2FB346FB"/>
    <w:rsid w:val="2FD2F79B"/>
    <w:rsid w:val="2FD84D81"/>
    <w:rsid w:val="2FDC2887"/>
    <w:rsid w:val="2FE36AB7"/>
    <w:rsid w:val="2FE556E9"/>
    <w:rsid w:val="2FF01A0E"/>
    <w:rsid w:val="3008D87E"/>
    <w:rsid w:val="300A3093"/>
    <w:rsid w:val="300CEC90"/>
    <w:rsid w:val="3018F1B9"/>
    <w:rsid w:val="302BC88D"/>
    <w:rsid w:val="303518D8"/>
    <w:rsid w:val="30407B93"/>
    <w:rsid w:val="30462EA6"/>
    <w:rsid w:val="30493278"/>
    <w:rsid w:val="3062C8D5"/>
    <w:rsid w:val="30676A4D"/>
    <w:rsid w:val="306F4E7C"/>
    <w:rsid w:val="3089D8E3"/>
    <w:rsid w:val="308F2F8D"/>
    <w:rsid w:val="30944985"/>
    <w:rsid w:val="3097CA6E"/>
    <w:rsid w:val="30A7885B"/>
    <w:rsid w:val="30ACFDD2"/>
    <w:rsid w:val="30AE4B1B"/>
    <w:rsid w:val="30B28BAA"/>
    <w:rsid w:val="30B3DA74"/>
    <w:rsid w:val="30B7E897"/>
    <w:rsid w:val="30BA564C"/>
    <w:rsid w:val="30DAB594"/>
    <w:rsid w:val="30DEC9C5"/>
    <w:rsid w:val="30E248CE"/>
    <w:rsid w:val="30E3EED0"/>
    <w:rsid w:val="30E6F36A"/>
    <w:rsid w:val="30ED0308"/>
    <w:rsid w:val="30F00B58"/>
    <w:rsid w:val="30F8FAC8"/>
    <w:rsid w:val="31072951"/>
    <w:rsid w:val="3114E4D7"/>
    <w:rsid w:val="31182BE2"/>
    <w:rsid w:val="311A953A"/>
    <w:rsid w:val="311E5B16"/>
    <w:rsid w:val="312A3216"/>
    <w:rsid w:val="312BA35B"/>
    <w:rsid w:val="312DDAA9"/>
    <w:rsid w:val="313ED3C5"/>
    <w:rsid w:val="3149397C"/>
    <w:rsid w:val="3157AA0A"/>
    <w:rsid w:val="3162BB47"/>
    <w:rsid w:val="317FE0CC"/>
    <w:rsid w:val="3189B52A"/>
    <w:rsid w:val="318BFD0F"/>
    <w:rsid w:val="3194DE5E"/>
    <w:rsid w:val="319EBEA3"/>
    <w:rsid w:val="31AC8B9B"/>
    <w:rsid w:val="31BB12B2"/>
    <w:rsid w:val="31BE8AAE"/>
    <w:rsid w:val="31C96FFC"/>
    <w:rsid w:val="31D02A40"/>
    <w:rsid w:val="31D2391F"/>
    <w:rsid w:val="31D87F86"/>
    <w:rsid w:val="31DAE31E"/>
    <w:rsid w:val="31DB0633"/>
    <w:rsid w:val="31DCB534"/>
    <w:rsid w:val="31E9C64D"/>
    <w:rsid w:val="31E9D1E5"/>
    <w:rsid w:val="31EAD70F"/>
    <w:rsid w:val="31F1EA3A"/>
    <w:rsid w:val="32082941"/>
    <w:rsid w:val="3228562E"/>
    <w:rsid w:val="3230BB77"/>
    <w:rsid w:val="32356341"/>
    <w:rsid w:val="324A5FD3"/>
    <w:rsid w:val="324E946E"/>
    <w:rsid w:val="325C31BE"/>
    <w:rsid w:val="325FA0BB"/>
    <w:rsid w:val="3264955A"/>
    <w:rsid w:val="32659C5E"/>
    <w:rsid w:val="327287EF"/>
    <w:rsid w:val="3276E62E"/>
    <w:rsid w:val="327EB694"/>
    <w:rsid w:val="328841FA"/>
    <w:rsid w:val="3291A074"/>
    <w:rsid w:val="329DD707"/>
    <w:rsid w:val="32A699A3"/>
    <w:rsid w:val="32A7EECB"/>
    <w:rsid w:val="32B00413"/>
    <w:rsid w:val="32B28428"/>
    <w:rsid w:val="32B2C1DB"/>
    <w:rsid w:val="32B9A19B"/>
    <w:rsid w:val="32DE9197"/>
    <w:rsid w:val="32E9F88E"/>
    <w:rsid w:val="32F67D53"/>
    <w:rsid w:val="32FAFE66"/>
    <w:rsid w:val="3306160C"/>
    <w:rsid w:val="330D64BF"/>
    <w:rsid w:val="3320994F"/>
    <w:rsid w:val="3327C8E3"/>
    <w:rsid w:val="3335F100"/>
    <w:rsid w:val="3345489F"/>
    <w:rsid w:val="3354F44B"/>
    <w:rsid w:val="335AA8EE"/>
    <w:rsid w:val="336F79D2"/>
    <w:rsid w:val="336FC7C2"/>
    <w:rsid w:val="33725E16"/>
    <w:rsid w:val="3373EEC6"/>
    <w:rsid w:val="33760BC0"/>
    <w:rsid w:val="3376C9FE"/>
    <w:rsid w:val="3377E68C"/>
    <w:rsid w:val="3377F966"/>
    <w:rsid w:val="337A3A8D"/>
    <w:rsid w:val="337B8EDF"/>
    <w:rsid w:val="33877BBF"/>
    <w:rsid w:val="3387D2C1"/>
    <w:rsid w:val="3388413A"/>
    <w:rsid w:val="3388CFB8"/>
    <w:rsid w:val="338A2CBC"/>
    <w:rsid w:val="338A7CC1"/>
    <w:rsid w:val="338AE490"/>
    <w:rsid w:val="338CF85B"/>
    <w:rsid w:val="33910EFF"/>
    <w:rsid w:val="339EB49C"/>
    <w:rsid w:val="33A15AAB"/>
    <w:rsid w:val="33B34DC0"/>
    <w:rsid w:val="33B62D36"/>
    <w:rsid w:val="33BA2D8B"/>
    <w:rsid w:val="33BCC44D"/>
    <w:rsid w:val="33C6DE17"/>
    <w:rsid w:val="33DB453A"/>
    <w:rsid w:val="33DD6C49"/>
    <w:rsid w:val="33E8FD9E"/>
    <w:rsid w:val="34128A54"/>
    <w:rsid w:val="34241BAC"/>
    <w:rsid w:val="343B02CA"/>
    <w:rsid w:val="343D6FF3"/>
    <w:rsid w:val="3441FC16"/>
    <w:rsid w:val="3451081E"/>
    <w:rsid w:val="3456126D"/>
    <w:rsid w:val="34752137"/>
    <w:rsid w:val="3478884E"/>
    <w:rsid w:val="347A4694"/>
    <w:rsid w:val="347DC9C1"/>
    <w:rsid w:val="34855950"/>
    <w:rsid w:val="348AD0EC"/>
    <w:rsid w:val="348F19BB"/>
    <w:rsid w:val="3491172A"/>
    <w:rsid w:val="349385DB"/>
    <w:rsid w:val="34951D86"/>
    <w:rsid w:val="3496F262"/>
    <w:rsid w:val="34B7886E"/>
    <w:rsid w:val="34BA8C58"/>
    <w:rsid w:val="34C7BEC9"/>
    <w:rsid w:val="34D5072F"/>
    <w:rsid w:val="34D7E76B"/>
    <w:rsid w:val="34D99A1F"/>
    <w:rsid w:val="34ED6705"/>
    <w:rsid w:val="34EFBAE8"/>
    <w:rsid w:val="34FB646F"/>
    <w:rsid w:val="35001E21"/>
    <w:rsid w:val="3514DC48"/>
    <w:rsid w:val="351E92AB"/>
    <w:rsid w:val="352A582F"/>
    <w:rsid w:val="3532ED31"/>
    <w:rsid w:val="3539F2E6"/>
    <w:rsid w:val="353F9D78"/>
    <w:rsid w:val="35539C84"/>
    <w:rsid w:val="35582175"/>
    <w:rsid w:val="355C178A"/>
    <w:rsid w:val="355ECF61"/>
    <w:rsid w:val="35614F73"/>
    <w:rsid w:val="35615E3A"/>
    <w:rsid w:val="3561CA31"/>
    <w:rsid w:val="3565371C"/>
    <w:rsid w:val="357B223F"/>
    <w:rsid w:val="35881A10"/>
    <w:rsid w:val="358AD991"/>
    <w:rsid w:val="358CDB72"/>
    <w:rsid w:val="35A25313"/>
    <w:rsid w:val="35A63E03"/>
    <w:rsid w:val="35C06A48"/>
    <w:rsid w:val="35C7E1A3"/>
    <w:rsid w:val="35CB4A5D"/>
    <w:rsid w:val="35CC6A6E"/>
    <w:rsid w:val="35E2C9E6"/>
    <w:rsid w:val="35F50C4B"/>
    <w:rsid w:val="35FE627E"/>
    <w:rsid w:val="35FFD3D6"/>
    <w:rsid w:val="36076873"/>
    <w:rsid w:val="36117CD6"/>
    <w:rsid w:val="3620C4B9"/>
    <w:rsid w:val="3623B784"/>
    <w:rsid w:val="362936A3"/>
    <w:rsid w:val="362C0A35"/>
    <w:rsid w:val="362C2EBF"/>
    <w:rsid w:val="36390CBD"/>
    <w:rsid w:val="3648825F"/>
    <w:rsid w:val="364D3256"/>
    <w:rsid w:val="3650A740"/>
    <w:rsid w:val="36533460"/>
    <w:rsid w:val="366302B9"/>
    <w:rsid w:val="36669DC6"/>
    <w:rsid w:val="366809A0"/>
    <w:rsid w:val="366FA20F"/>
    <w:rsid w:val="367A4B0B"/>
    <w:rsid w:val="3691BBDA"/>
    <w:rsid w:val="36BE02A7"/>
    <w:rsid w:val="36CC2D72"/>
    <w:rsid w:val="36DF30A7"/>
    <w:rsid w:val="36EBA5A3"/>
    <w:rsid w:val="36EFCF64"/>
    <w:rsid w:val="36F47D6F"/>
    <w:rsid w:val="36F675C7"/>
    <w:rsid w:val="3712E0C4"/>
    <w:rsid w:val="37195124"/>
    <w:rsid w:val="371ED272"/>
    <w:rsid w:val="3725EDED"/>
    <w:rsid w:val="37271ADF"/>
    <w:rsid w:val="373755AB"/>
    <w:rsid w:val="3738338E"/>
    <w:rsid w:val="373E1808"/>
    <w:rsid w:val="374D3B6F"/>
    <w:rsid w:val="374FBE3B"/>
    <w:rsid w:val="37506009"/>
    <w:rsid w:val="3769E8F0"/>
    <w:rsid w:val="376A9038"/>
    <w:rsid w:val="376F3D28"/>
    <w:rsid w:val="37741C65"/>
    <w:rsid w:val="377A804C"/>
    <w:rsid w:val="37860463"/>
    <w:rsid w:val="37864B13"/>
    <w:rsid w:val="3788972E"/>
    <w:rsid w:val="378AC7E5"/>
    <w:rsid w:val="37B05286"/>
    <w:rsid w:val="37B39EA0"/>
    <w:rsid w:val="37C237D3"/>
    <w:rsid w:val="37CC9D2C"/>
    <w:rsid w:val="37CD8C02"/>
    <w:rsid w:val="37CF54FC"/>
    <w:rsid w:val="37D1ECB8"/>
    <w:rsid w:val="37D87A49"/>
    <w:rsid w:val="37E20F9B"/>
    <w:rsid w:val="37EC1181"/>
    <w:rsid w:val="37F1BBB3"/>
    <w:rsid w:val="37FAB4E8"/>
    <w:rsid w:val="380973B9"/>
    <w:rsid w:val="380C6CAA"/>
    <w:rsid w:val="381E4C87"/>
    <w:rsid w:val="382939AA"/>
    <w:rsid w:val="382A76A4"/>
    <w:rsid w:val="3830B7CC"/>
    <w:rsid w:val="384B84FB"/>
    <w:rsid w:val="384DA7E9"/>
    <w:rsid w:val="385458BD"/>
    <w:rsid w:val="3854AFAE"/>
    <w:rsid w:val="385FD873"/>
    <w:rsid w:val="38614327"/>
    <w:rsid w:val="3866DE49"/>
    <w:rsid w:val="386C4EE0"/>
    <w:rsid w:val="3882D185"/>
    <w:rsid w:val="388973B8"/>
    <w:rsid w:val="38C6C62D"/>
    <w:rsid w:val="38DB9A15"/>
    <w:rsid w:val="38E341BD"/>
    <w:rsid w:val="38E36C9B"/>
    <w:rsid w:val="38F56713"/>
    <w:rsid w:val="3908DCD0"/>
    <w:rsid w:val="390EC6B6"/>
    <w:rsid w:val="39103523"/>
    <w:rsid w:val="391CD692"/>
    <w:rsid w:val="39221E80"/>
    <w:rsid w:val="392B91B0"/>
    <w:rsid w:val="392F38CA"/>
    <w:rsid w:val="393A3215"/>
    <w:rsid w:val="393D28B9"/>
    <w:rsid w:val="39460F76"/>
    <w:rsid w:val="394FD17A"/>
    <w:rsid w:val="3958460F"/>
    <w:rsid w:val="395B7889"/>
    <w:rsid w:val="395EDEB8"/>
    <w:rsid w:val="3960075B"/>
    <w:rsid w:val="3970DE93"/>
    <w:rsid w:val="39801003"/>
    <w:rsid w:val="399AEC89"/>
    <w:rsid w:val="399C2AE2"/>
    <w:rsid w:val="399C992B"/>
    <w:rsid w:val="39AD1941"/>
    <w:rsid w:val="39B0E6B7"/>
    <w:rsid w:val="39C27CBD"/>
    <w:rsid w:val="39C8E9A8"/>
    <w:rsid w:val="39DE1F6F"/>
    <w:rsid w:val="39EA969E"/>
    <w:rsid w:val="39EDF84E"/>
    <w:rsid w:val="39EF6798"/>
    <w:rsid w:val="3A0CC708"/>
    <w:rsid w:val="3A118382"/>
    <w:rsid w:val="3A13150F"/>
    <w:rsid w:val="3A16C1A2"/>
    <w:rsid w:val="3A175F9A"/>
    <w:rsid w:val="3A18A745"/>
    <w:rsid w:val="3A2357D5"/>
    <w:rsid w:val="3A2641E3"/>
    <w:rsid w:val="3A2C633C"/>
    <w:rsid w:val="3A3B7B03"/>
    <w:rsid w:val="3A3E1070"/>
    <w:rsid w:val="3A3EB6F3"/>
    <w:rsid w:val="3A43E801"/>
    <w:rsid w:val="3A53E126"/>
    <w:rsid w:val="3A567A18"/>
    <w:rsid w:val="3A594145"/>
    <w:rsid w:val="3A59B9B6"/>
    <w:rsid w:val="3A5D11A1"/>
    <w:rsid w:val="3A6AAD3E"/>
    <w:rsid w:val="3A708CFD"/>
    <w:rsid w:val="3A7F0B21"/>
    <w:rsid w:val="3A814B60"/>
    <w:rsid w:val="3A8CB639"/>
    <w:rsid w:val="3A93CA95"/>
    <w:rsid w:val="3A974873"/>
    <w:rsid w:val="3AA10B53"/>
    <w:rsid w:val="3AB0639D"/>
    <w:rsid w:val="3AC0FD7A"/>
    <w:rsid w:val="3AC4AF71"/>
    <w:rsid w:val="3ACA4850"/>
    <w:rsid w:val="3AD72EC4"/>
    <w:rsid w:val="3AE03CA2"/>
    <w:rsid w:val="3AEFDC95"/>
    <w:rsid w:val="3AF114F6"/>
    <w:rsid w:val="3AF180E2"/>
    <w:rsid w:val="3AFA2772"/>
    <w:rsid w:val="3AFA8890"/>
    <w:rsid w:val="3AFCCCE3"/>
    <w:rsid w:val="3B008EF6"/>
    <w:rsid w:val="3B09BBCA"/>
    <w:rsid w:val="3B1A13DD"/>
    <w:rsid w:val="3B2CCEAB"/>
    <w:rsid w:val="3B374FDF"/>
    <w:rsid w:val="3B41840F"/>
    <w:rsid w:val="3B4D52E7"/>
    <w:rsid w:val="3B4F6F38"/>
    <w:rsid w:val="3B4FD77B"/>
    <w:rsid w:val="3B55DC0E"/>
    <w:rsid w:val="3B615943"/>
    <w:rsid w:val="3B6254B0"/>
    <w:rsid w:val="3B6591BC"/>
    <w:rsid w:val="3B67EC97"/>
    <w:rsid w:val="3B6A174A"/>
    <w:rsid w:val="3B6C46FE"/>
    <w:rsid w:val="3B6FBF33"/>
    <w:rsid w:val="3B74A559"/>
    <w:rsid w:val="3B795E47"/>
    <w:rsid w:val="3B81BB98"/>
    <w:rsid w:val="3B83D844"/>
    <w:rsid w:val="3B888646"/>
    <w:rsid w:val="3B895159"/>
    <w:rsid w:val="3B8E2B36"/>
    <w:rsid w:val="3B901792"/>
    <w:rsid w:val="3B93663A"/>
    <w:rsid w:val="3B93C5A6"/>
    <w:rsid w:val="3BAC3E2F"/>
    <w:rsid w:val="3BAE9084"/>
    <w:rsid w:val="3BB00A42"/>
    <w:rsid w:val="3BB821F1"/>
    <w:rsid w:val="3BBB067A"/>
    <w:rsid w:val="3BBECA05"/>
    <w:rsid w:val="3BC42309"/>
    <w:rsid w:val="3BCD734E"/>
    <w:rsid w:val="3BDB7106"/>
    <w:rsid w:val="3BDE948F"/>
    <w:rsid w:val="3BDF039B"/>
    <w:rsid w:val="3BE68834"/>
    <w:rsid w:val="3BEB8709"/>
    <w:rsid w:val="3BED1776"/>
    <w:rsid w:val="3C119DC3"/>
    <w:rsid w:val="3C127911"/>
    <w:rsid w:val="3C1AB2E8"/>
    <w:rsid w:val="3C1FFA99"/>
    <w:rsid w:val="3C2729AC"/>
    <w:rsid w:val="3C2D01A5"/>
    <w:rsid w:val="3C3450E8"/>
    <w:rsid w:val="3C34E89E"/>
    <w:rsid w:val="3C3E5BBA"/>
    <w:rsid w:val="3C4744EB"/>
    <w:rsid w:val="3C4D984D"/>
    <w:rsid w:val="3C53A0CE"/>
    <w:rsid w:val="3C56CF99"/>
    <w:rsid w:val="3C58AEE7"/>
    <w:rsid w:val="3C5C57F7"/>
    <w:rsid w:val="3C5DB0D2"/>
    <w:rsid w:val="3C5E0DA7"/>
    <w:rsid w:val="3C61609E"/>
    <w:rsid w:val="3C6DDB05"/>
    <w:rsid w:val="3C769EDC"/>
    <w:rsid w:val="3C837DBC"/>
    <w:rsid w:val="3C83C139"/>
    <w:rsid w:val="3C84E5E7"/>
    <w:rsid w:val="3C8E0CD5"/>
    <w:rsid w:val="3C9685AA"/>
    <w:rsid w:val="3C97735C"/>
    <w:rsid w:val="3C9B2AC3"/>
    <w:rsid w:val="3C9F84B6"/>
    <w:rsid w:val="3CA34218"/>
    <w:rsid w:val="3CA426CF"/>
    <w:rsid w:val="3CA4F790"/>
    <w:rsid w:val="3CAEF915"/>
    <w:rsid w:val="3CB7D980"/>
    <w:rsid w:val="3CB91AF6"/>
    <w:rsid w:val="3CBB4481"/>
    <w:rsid w:val="3CC0AAD5"/>
    <w:rsid w:val="3CC1A75A"/>
    <w:rsid w:val="3CCAE792"/>
    <w:rsid w:val="3CCDEF1A"/>
    <w:rsid w:val="3CD76C86"/>
    <w:rsid w:val="3CDF5FFC"/>
    <w:rsid w:val="3CE29ACD"/>
    <w:rsid w:val="3CED036D"/>
    <w:rsid w:val="3CFC4BC6"/>
    <w:rsid w:val="3D024480"/>
    <w:rsid w:val="3D025E4B"/>
    <w:rsid w:val="3D0745BD"/>
    <w:rsid w:val="3D079090"/>
    <w:rsid w:val="3D10B991"/>
    <w:rsid w:val="3D18B95C"/>
    <w:rsid w:val="3D1F2FFD"/>
    <w:rsid w:val="3D2A3034"/>
    <w:rsid w:val="3D2CF034"/>
    <w:rsid w:val="3D2F8C41"/>
    <w:rsid w:val="3D3A7490"/>
    <w:rsid w:val="3D475568"/>
    <w:rsid w:val="3D49E993"/>
    <w:rsid w:val="3D4AEC0B"/>
    <w:rsid w:val="3D4E277C"/>
    <w:rsid w:val="3D53E009"/>
    <w:rsid w:val="3D693B0B"/>
    <w:rsid w:val="3D6A4474"/>
    <w:rsid w:val="3D74CC1A"/>
    <w:rsid w:val="3D75DA69"/>
    <w:rsid w:val="3D75E587"/>
    <w:rsid w:val="3D79F4B2"/>
    <w:rsid w:val="3D7D5E23"/>
    <w:rsid w:val="3DB09C6E"/>
    <w:rsid w:val="3DB3AEEB"/>
    <w:rsid w:val="3DC6B12E"/>
    <w:rsid w:val="3DE80536"/>
    <w:rsid w:val="3DFBA08A"/>
    <w:rsid w:val="3E05C7F6"/>
    <w:rsid w:val="3E0A1A40"/>
    <w:rsid w:val="3E206E4F"/>
    <w:rsid w:val="3E25955E"/>
    <w:rsid w:val="3E283CAC"/>
    <w:rsid w:val="3E292B52"/>
    <w:rsid w:val="3E2BCA53"/>
    <w:rsid w:val="3E3EF02A"/>
    <w:rsid w:val="3E412E3C"/>
    <w:rsid w:val="3E55E2DF"/>
    <w:rsid w:val="3E67FAAE"/>
    <w:rsid w:val="3E7C4FD1"/>
    <w:rsid w:val="3E7CB5D4"/>
    <w:rsid w:val="3E8087B0"/>
    <w:rsid w:val="3E88FAC4"/>
    <w:rsid w:val="3E8FB2FC"/>
    <w:rsid w:val="3E91D67E"/>
    <w:rsid w:val="3E930D5D"/>
    <w:rsid w:val="3E93B4CE"/>
    <w:rsid w:val="3E9C6AB3"/>
    <w:rsid w:val="3E9C75B2"/>
    <w:rsid w:val="3EB5C254"/>
    <w:rsid w:val="3EB69ACE"/>
    <w:rsid w:val="3EC2E465"/>
    <w:rsid w:val="3EC2EECD"/>
    <w:rsid w:val="3ED35AD1"/>
    <w:rsid w:val="3EDD2948"/>
    <w:rsid w:val="3EDECC51"/>
    <w:rsid w:val="3EF0941D"/>
    <w:rsid w:val="3EFE0BA2"/>
    <w:rsid w:val="3F0B885E"/>
    <w:rsid w:val="3F0DC598"/>
    <w:rsid w:val="3F0E41AC"/>
    <w:rsid w:val="3F198884"/>
    <w:rsid w:val="3F1BD92A"/>
    <w:rsid w:val="3F2ECEAE"/>
    <w:rsid w:val="3F488456"/>
    <w:rsid w:val="3F4B3F37"/>
    <w:rsid w:val="3F56779D"/>
    <w:rsid w:val="3F5AB0FE"/>
    <w:rsid w:val="3F5AF054"/>
    <w:rsid w:val="3F700061"/>
    <w:rsid w:val="3F7E35F6"/>
    <w:rsid w:val="3F7F3702"/>
    <w:rsid w:val="3F81BFB2"/>
    <w:rsid w:val="3F836365"/>
    <w:rsid w:val="3F8BCB04"/>
    <w:rsid w:val="3F9466DA"/>
    <w:rsid w:val="3F9EA0B5"/>
    <w:rsid w:val="3FA3524A"/>
    <w:rsid w:val="3FA3F213"/>
    <w:rsid w:val="3FA80ED1"/>
    <w:rsid w:val="3FB89B71"/>
    <w:rsid w:val="3FBAB824"/>
    <w:rsid w:val="3FBDEBE8"/>
    <w:rsid w:val="3FC9DC95"/>
    <w:rsid w:val="3FCADC40"/>
    <w:rsid w:val="3FCF8C65"/>
    <w:rsid w:val="3FD89DE7"/>
    <w:rsid w:val="3FFA0956"/>
    <w:rsid w:val="400856D8"/>
    <w:rsid w:val="40088D68"/>
    <w:rsid w:val="400A87F5"/>
    <w:rsid w:val="40241BAD"/>
    <w:rsid w:val="402A33DA"/>
    <w:rsid w:val="40350669"/>
    <w:rsid w:val="403BDD96"/>
    <w:rsid w:val="403CE955"/>
    <w:rsid w:val="403F6DE9"/>
    <w:rsid w:val="404E8319"/>
    <w:rsid w:val="40566F3D"/>
    <w:rsid w:val="4062B435"/>
    <w:rsid w:val="40632D0E"/>
    <w:rsid w:val="4068630E"/>
    <w:rsid w:val="407C4D1A"/>
    <w:rsid w:val="408DE392"/>
    <w:rsid w:val="409341E1"/>
    <w:rsid w:val="40991F93"/>
    <w:rsid w:val="40A576C1"/>
    <w:rsid w:val="40B0BB96"/>
    <w:rsid w:val="40C1AECB"/>
    <w:rsid w:val="40D3921C"/>
    <w:rsid w:val="40DD40A1"/>
    <w:rsid w:val="40E4320E"/>
    <w:rsid w:val="40E6ECAD"/>
    <w:rsid w:val="40F390EB"/>
    <w:rsid w:val="40FE5666"/>
    <w:rsid w:val="410205F9"/>
    <w:rsid w:val="410AA3A8"/>
    <w:rsid w:val="410B7CC9"/>
    <w:rsid w:val="41174E3C"/>
    <w:rsid w:val="411DA428"/>
    <w:rsid w:val="4120A7B7"/>
    <w:rsid w:val="4123CC66"/>
    <w:rsid w:val="412B5053"/>
    <w:rsid w:val="412ECA0E"/>
    <w:rsid w:val="4136FF31"/>
    <w:rsid w:val="41454002"/>
    <w:rsid w:val="41519C28"/>
    <w:rsid w:val="4154A414"/>
    <w:rsid w:val="415A3FF4"/>
    <w:rsid w:val="415B45EB"/>
    <w:rsid w:val="415FA6A1"/>
    <w:rsid w:val="416296C4"/>
    <w:rsid w:val="4167F36B"/>
    <w:rsid w:val="416EA0C5"/>
    <w:rsid w:val="4199FEF2"/>
    <w:rsid w:val="419F016A"/>
    <w:rsid w:val="41A36151"/>
    <w:rsid w:val="41ABAB28"/>
    <w:rsid w:val="41B15074"/>
    <w:rsid w:val="41B1F7BB"/>
    <w:rsid w:val="41B32047"/>
    <w:rsid w:val="41BB72B5"/>
    <w:rsid w:val="41BF0AF7"/>
    <w:rsid w:val="41D674DE"/>
    <w:rsid w:val="41E7E37B"/>
    <w:rsid w:val="41EAAD2F"/>
    <w:rsid w:val="41EC5953"/>
    <w:rsid w:val="41F088FD"/>
    <w:rsid w:val="41F3FBE4"/>
    <w:rsid w:val="41F42F0B"/>
    <w:rsid w:val="41F4A321"/>
    <w:rsid w:val="41F5CE0C"/>
    <w:rsid w:val="41FD2CD0"/>
    <w:rsid w:val="4207BD32"/>
    <w:rsid w:val="420ED919"/>
    <w:rsid w:val="42247CAE"/>
    <w:rsid w:val="4235504D"/>
    <w:rsid w:val="423F70D5"/>
    <w:rsid w:val="42417EBC"/>
    <w:rsid w:val="425112E7"/>
    <w:rsid w:val="42522705"/>
    <w:rsid w:val="42554A44"/>
    <w:rsid w:val="425ED576"/>
    <w:rsid w:val="42686E8C"/>
    <w:rsid w:val="426DA131"/>
    <w:rsid w:val="4274ADB7"/>
    <w:rsid w:val="4275BCE8"/>
    <w:rsid w:val="427746B0"/>
    <w:rsid w:val="42789B12"/>
    <w:rsid w:val="428677FE"/>
    <w:rsid w:val="429B29E7"/>
    <w:rsid w:val="429D76A7"/>
    <w:rsid w:val="42A9EFB3"/>
    <w:rsid w:val="42ACB2F8"/>
    <w:rsid w:val="42AFAB13"/>
    <w:rsid w:val="42B201CF"/>
    <w:rsid w:val="42B5E2C7"/>
    <w:rsid w:val="42BEB776"/>
    <w:rsid w:val="42CAC054"/>
    <w:rsid w:val="42D019CA"/>
    <w:rsid w:val="42D7B70D"/>
    <w:rsid w:val="42E15066"/>
    <w:rsid w:val="42E8AA72"/>
    <w:rsid w:val="42EFCFEE"/>
    <w:rsid w:val="4308C6B1"/>
    <w:rsid w:val="43112F44"/>
    <w:rsid w:val="432451B7"/>
    <w:rsid w:val="432B9DFC"/>
    <w:rsid w:val="43385737"/>
    <w:rsid w:val="433D7EF5"/>
    <w:rsid w:val="434B82A5"/>
    <w:rsid w:val="434D00B9"/>
    <w:rsid w:val="434E8795"/>
    <w:rsid w:val="435A5D01"/>
    <w:rsid w:val="436BC834"/>
    <w:rsid w:val="43719508"/>
    <w:rsid w:val="4381222D"/>
    <w:rsid w:val="438DF670"/>
    <w:rsid w:val="438FA785"/>
    <w:rsid w:val="4393370C"/>
    <w:rsid w:val="439B0445"/>
    <w:rsid w:val="43A075E4"/>
    <w:rsid w:val="43A13610"/>
    <w:rsid w:val="43AA8F87"/>
    <w:rsid w:val="43AAB7E8"/>
    <w:rsid w:val="43BAF830"/>
    <w:rsid w:val="43CB6286"/>
    <w:rsid w:val="43D382AC"/>
    <w:rsid w:val="43D98C3B"/>
    <w:rsid w:val="43E9D726"/>
    <w:rsid w:val="43F4DCC5"/>
    <w:rsid w:val="43F720B4"/>
    <w:rsid w:val="4404CF74"/>
    <w:rsid w:val="440FF2D5"/>
    <w:rsid w:val="44175BC8"/>
    <w:rsid w:val="441AEC89"/>
    <w:rsid w:val="441BD2D0"/>
    <w:rsid w:val="441CC448"/>
    <w:rsid w:val="441DD09E"/>
    <w:rsid w:val="4426BD2D"/>
    <w:rsid w:val="44279650"/>
    <w:rsid w:val="4427E968"/>
    <w:rsid w:val="44339346"/>
    <w:rsid w:val="443D47A3"/>
    <w:rsid w:val="44522239"/>
    <w:rsid w:val="44591D38"/>
    <w:rsid w:val="4463E519"/>
    <w:rsid w:val="447239DB"/>
    <w:rsid w:val="4489A953"/>
    <w:rsid w:val="448CE8FF"/>
    <w:rsid w:val="4492E6AD"/>
    <w:rsid w:val="449485D7"/>
    <w:rsid w:val="44A37234"/>
    <w:rsid w:val="44B49F88"/>
    <w:rsid w:val="44CF24CC"/>
    <w:rsid w:val="44EB02D9"/>
    <w:rsid w:val="44ED2264"/>
    <w:rsid w:val="44F465C1"/>
    <w:rsid w:val="4501A6FD"/>
    <w:rsid w:val="450538FF"/>
    <w:rsid w:val="450E5936"/>
    <w:rsid w:val="4510729B"/>
    <w:rsid w:val="452036EB"/>
    <w:rsid w:val="452B2D4A"/>
    <w:rsid w:val="452D6ECE"/>
    <w:rsid w:val="45327485"/>
    <w:rsid w:val="453B1DBC"/>
    <w:rsid w:val="45453465"/>
    <w:rsid w:val="455554BC"/>
    <w:rsid w:val="456094CC"/>
    <w:rsid w:val="4566AB1F"/>
    <w:rsid w:val="45691ECB"/>
    <w:rsid w:val="45746C10"/>
    <w:rsid w:val="457580A7"/>
    <w:rsid w:val="458F45B9"/>
    <w:rsid w:val="4590293C"/>
    <w:rsid w:val="459C6E4D"/>
    <w:rsid w:val="45A426CF"/>
    <w:rsid w:val="45B12C1C"/>
    <w:rsid w:val="45B2857A"/>
    <w:rsid w:val="45C20FB2"/>
    <w:rsid w:val="45C8EF48"/>
    <w:rsid w:val="45CFDF5B"/>
    <w:rsid w:val="45D37580"/>
    <w:rsid w:val="45D8B080"/>
    <w:rsid w:val="45E22350"/>
    <w:rsid w:val="45E460EC"/>
    <w:rsid w:val="45E63982"/>
    <w:rsid w:val="460885B7"/>
    <w:rsid w:val="460FC6F9"/>
    <w:rsid w:val="461A75DB"/>
    <w:rsid w:val="4620D166"/>
    <w:rsid w:val="4629CD04"/>
    <w:rsid w:val="462BE4CD"/>
    <w:rsid w:val="463004BF"/>
    <w:rsid w:val="463A9692"/>
    <w:rsid w:val="4651C9EB"/>
    <w:rsid w:val="46583165"/>
    <w:rsid w:val="465C69F9"/>
    <w:rsid w:val="465CBECE"/>
    <w:rsid w:val="465D225B"/>
    <w:rsid w:val="465D83F7"/>
    <w:rsid w:val="465F5CDE"/>
    <w:rsid w:val="4669068F"/>
    <w:rsid w:val="4669AF2C"/>
    <w:rsid w:val="466D6268"/>
    <w:rsid w:val="466FBBBE"/>
    <w:rsid w:val="466FC4B3"/>
    <w:rsid w:val="46789789"/>
    <w:rsid w:val="468C2E4E"/>
    <w:rsid w:val="46955663"/>
    <w:rsid w:val="469D7F4B"/>
    <w:rsid w:val="469FA042"/>
    <w:rsid w:val="46A0C059"/>
    <w:rsid w:val="46A6BEE9"/>
    <w:rsid w:val="46C26BAC"/>
    <w:rsid w:val="46C6DAB0"/>
    <w:rsid w:val="46CB403E"/>
    <w:rsid w:val="46CDF4C3"/>
    <w:rsid w:val="46D10683"/>
    <w:rsid w:val="46DA30FA"/>
    <w:rsid w:val="46DF92FC"/>
    <w:rsid w:val="46E12D64"/>
    <w:rsid w:val="46E7F939"/>
    <w:rsid w:val="46EF2E59"/>
    <w:rsid w:val="46F794A2"/>
    <w:rsid w:val="46FA5B3D"/>
    <w:rsid w:val="46FE72AF"/>
    <w:rsid w:val="47002B87"/>
    <w:rsid w:val="470BC375"/>
    <w:rsid w:val="470CDAF7"/>
    <w:rsid w:val="4718AE39"/>
    <w:rsid w:val="471ABFAA"/>
    <w:rsid w:val="472D2532"/>
    <w:rsid w:val="4731CA1F"/>
    <w:rsid w:val="4733F96E"/>
    <w:rsid w:val="473498BB"/>
    <w:rsid w:val="473862E3"/>
    <w:rsid w:val="4745A471"/>
    <w:rsid w:val="475375AD"/>
    <w:rsid w:val="4753A92A"/>
    <w:rsid w:val="47563C3D"/>
    <w:rsid w:val="475757B6"/>
    <w:rsid w:val="4758562D"/>
    <w:rsid w:val="475E0D7C"/>
    <w:rsid w:val="4767AD9D"/>
    <w:rsid w:val="476E7995"/>
    <w:rsid w:val="477CE2DF"/>
    <w:rsid w:val="4786D9CC"/>
    <w:rsid w:val="4788F517"/>
    <w:rsid w:val="4789E9DB"/>
    <w:rsid w:val="478C0976"/>
    <w:rsid w:val="478F38BF"/>
    <w:rsid w:val="4793E495"/>
    <w:rsid w:val="47A2E110"/>
    <w:rsid w:val="47AA6CDF"/>
    <w:rsid w:val="47AF532C"/>
    <w:rsid w:val="47B0FD39"/>
    <w:rsid w:val="47C9B13D"/>
    <w:rsid w:val="47CAB4F2"/>
    <w:rsid w:val="47D5AEF5"/>
    <w:rsid w:val="47E8B567"/>
    <w:rsid w:val="47F8ADED"/>
    <w:rsid w:val="47F9BD7F"/>
    <w:rsid w:val="47FAB669"/>
    <w:rsid w:val="48046EAE"/>
    <w:rsid w:val="48109411"/>
    <w:rsid w:val="4819FC69"/>
    <w:rsid w:val="482145B1"/>
    <w:rsid w:val="482B4A85"/>
    <w:rsid w:val="483205A9"/>
    <w:rsid w:val="483951F4"/>
    <w:rsid w:val="4864ADEB"/>
    <w:rsid w:val="4865735A"/>
    <w:rsid w:val="486DEAC9"/>
    <w:rsid w:val="486EF480"/>
    <w:rsid w:val="486F5E76"/>
    <w:rsid w:val="488462F1"/>
    <w:rsid w:val="4895BF2E"/>
    <w:rsid w:val="4898270A"/>
    <w:rsid w:val="48A96516"/>
    <w:rsid w:val="48B3FB3A"/>
    <w:rsid w:val="48B4D042"/>
    <w:rsid w:val="48B54FDA"/>
    <w:rsid w:val="48CBE291"/>
    <w:rsid w:val="48CF8C76"/>
    <w:rsid w:val="48D1E1BE"/>
    <w:rsid w:val="48D68410"/>
    <w:rsid w:val="48D729DC"/>
    <w:rsid w:val="48D7E274"/>
    <w:rsid w:val="48DD9092"/>
    <w:rsid w:val="48E84209"/>
    <w:rsid w:val="48EB89D9"/>
    <w:rsid w:val="48F454C5"/>
    <w:rsid w:val="48FA86DF"/>
    <w:rsid w:val="48FE0CAB"/>
    <w:rsid w:val="4901D399"/>
    <w:rsid w:val="490513CD"/>
    <w:rsid w:val="490ACD22"/>
    <w:rsid w:val="490C1F2C"/>
    <w:rsid w:val="491414DF"/>
    <w:rsid w:val="491CE3F9"/>
    <w:rsid w:val="492105A0"/>
    <w:rsid w:val="492635F7"/>
    <w:rsid w:val="4938C519"/>
    <w:rsid w:val="493E5EF1"/>
    <w:rsid w:val="49409FA1"/>
    <w:rsid w:val="49428ABB"/>
    <w:rsid w:val="4947F0A3"/>
    <w:rsid w:val="4949C71B"/>
    <w:rsid w:val="494AD4F8"/>
    <w:rsid w:val="496BAEEE"/>
    <w:rsid w:val="498C09D2"/>
    <w:rsid w:val="499C7679"/>
    <w:rsid w:val="49A79972"/>
    <w:rsid w:val="49AD6792"/>
    <w:rsid w:val="49B0D996"/>
    <w:rsid w:val="49B385EB"/>
    <w:rsid w:val="49CB6AA2"/>
    <w:rsid w:val="49CC7CF4"/>
    <w:rsid w:val="49D1C763"/>
    <w:rsid w:val="49D99C2C"/>
    <w:rsid w:val="49E10341"/>
    <w:rsid w:val="49E8D5BE"/>
    <w:rsid w:val="49E9F697"/>
    <w:rsid w:val="49FD1C2E"/>
    <w:rsid w:val="4A00362C"/>
    <w:rsid w:val="4A03430A"/>
    <w:rsid w:val="4A054C3A"/>
    <w:rsid w:val="4A08A569"/>
    <w:rsid w:val="4A1794E0"/>
    <w:rsid w:val="4A183D6F"/>
    <w:rsid w:val="4A2E4E85"/>
    <w:rsid w:val="4A33D7D6"/>
    <w:rsid w:val="4A3561E4"/>
    <w:rsid w:val="4A357781"/>
    <w:rsid w:val="4A424687"/>
    <w:rsid w:val="4A42DDB6"/>
    <w:rsid w:val="4A459E90"/>
    <w:rsid w:val="4A590CF3"/>
    <w:rsid w:val="4A68178C"/>
    <w:rsid w:val="4A6DE9FE"/>
    <w:rsid w:val="4A7583EC"/>
    <w:rsid w:val="4A7AFDF6"/>
    <w:rsid w:val="4A7BFD95"/>
    <w:rsid w:val="4A84412E"/>
    <w:rsid w:val="4A865896"/>
    <w:rsid w:val="4A8724C6"/>
    <w:rsid w:val="4A885231"/>
    <w:rsid w:val="4A984B76"/>
    <w:rsid w:val="4A9A16BF"/>
    <w:rsid w:val="4A9E8D30"/>
    <w:rsid w:val="4AA0B916"/>
    <w:rsid w:val="4AA5A538"/>
    <w:rsid w:val="4AAC47CD"/>
    <w:rsid w:val="4AB85436"/>
    <w:rsid w:val="4ABC8EDC"/>
    <w:rsid w:val="4AC552B9"/>
    <w:rsid w:val="4AC82801"/>
    <w:rsid w:val="4ACBDB2A"/>
    <w:rsid w:val="4ACD6DEC"/>
    <w:rsid w:val="4AD8944C"/>
    <w:rsid w:val="4ADDA318"/>
    <w:rsid w:val="4AE455B8"/>
    <w:rsid w:val="4AE933C5"/>
    <w:rsid w:val="4AF68ABE"/>
    <w:rsid w:val="4B126BE6"/>
    <w:rsid w:val="4B133313"/>
    <w:rsid w:val="4B166456"/>
    <w:rsid w:val="4B19AF08"/>
    <w:rsid w:val="4B1A56C0"/>
    <w:rsid w:val="4B207079"/>
    <w:rsid w:val="4B253ED5"/>
    <w:rsid w:val="4B35247F"/>
    <w:rsid w:val="4B3D6B47"/>
    <w:rsid w:val="4B44CCF2"/>
    <w:rsid w:val="4B46CB8D"/>
    <w:rsid w:val="4B49DF03"/>
    <w:rsid w:val="4B5828A8"/>
    <w:rsid w:val="4B5ACBF1"/>
    <w:rsid w:val="4B5CDFCE"/>
    <w:rsid w:val="4B5EBBC2"/>
    <w:rsid w:val="4B699197"/>
    <w:rsid w:val="4B7114A6"/>
    <w:rsid w:val="4B7764BE"/>
    <w:rsid w:val="4B7D246E"/>
    <w:rsid w:val="4B81C155"/>
    <w:rsid w:val="4B82394C"/>
    <w:rsid w:val="4B913FDA"/>
    <w:rsid w:val="4B96F9BF"/>
    <w:rsid w:val="4BA11C9B"/>
    <w:rsid w:val="4BA27BC4"/>
    <w:rsid w:val="4BA6FE26"/>
    <w:rsid w:val="4BAA3E4E"/>
    <w:rsid w:val="4BB62340"/>
    <w:rsid w:val="4BB62AE8"/>
    <w:rsid w:val="4BBB2FD7"/>
    <w:rsid w:val="4BBCE20A"/>
    <w:rsid w:val="4BBCF997"/>
    <w:rsid w:val="4BD0ACE9"/>
    <w:rsid w:val="4BDB6CB6"/>
    <w:rsid w:val="4BEC55C1"/>
    <w:rsid w:val="4BEE1545"/>
    <w:rsid w:val="4BF72A94"/>
    <w:rsid w:val="4C0C35C7"/>
    <w:rsid w:val="4C19924E"/>
    <w:rsid w:val="4C1D4036"/>
    <w:rsid w:val="4C1EFF89"/>
    <w:rsid w:val="4C302C43"/>
    <w:rsid w:val="4C34530E"/>
    <w:rsid w:val="4C470532"/>
    <w:rsid w:val="4C55DAB3"/>
    <w:rsid w:val="4C634510"/>
    <w:rsid w:val="4C77470E"/>
    <w:rsid w:val="4C79FF8C"/>
    <w:rsid w:val="4C7A9BDF"/>
    <w:rsid w:val="4C7DD7F7"/>
    <w:rsid w:val="4C93AF25"/>
    <w:rsid w:val="4C98FD41"/>
    <w:rsid w:val="4C9DF892"/>
    <w:rsid w:val="4CA55544"/>
    <w:rsid w:val="4CA9CB80"/>
    <w:rsid w:val="4CAAEF15"/>
    <w:rsid w:val="4CB04B1C"/>
    <w:rsid w:val="4CB19989"/>
    <w:rsid w:val="4CC78F2C"/>
    <w:rsid w:val="4CDAF8D3"/>
    <w:rsid w:val="4CE03F88"/>
    <w:rsid w:val="4CE20131"/>
    <w:rsid w:val="4CE23974"/>
    <w:rsid w:val="4CF3D264"/>
    <w:rsid w:val="4CF463E7"/>
    <w:rsid w:val="4CF994EE"/>
    <w:rsid w:val="4CFB0105"/>
    <w:rsid w:val="4D010FA5"/>
    <w:rsid w:val="4D02507F"/>
    <w:rsid w:val="4D092C0A"/>
    <w:rsid w:val="4D0EDAFE"/>
    <w:rsid w:val="4D18C74E"/>
    <w:rsid w:val="4D1C2DC4"/>
    <w:rsid w:val="4D1EDAFF"/>
    <w:rsid w:val="4D1FFA8C"/>
    <w:rsid w:val="4D2732C1"/>
    <w:rsid w:val="4D3B8FD9"/>
    <w:rsid w:val="4D4AC43B"/>
    <w:rsid w:val="4D4D0169"/>
    <w:rsid w:val="4D6BBE02"/>
    <w:rsid w:val="4D6ECCAF"/>
    <w:rsid w:val="4D7007B9"/>
    <w:rsid w:val="4D77F975"/>
    <w:rsid w:val="4D8CFB43"/>
    <w:rsid w:val="4D8F3215"/>
    <w:rsid w:val="4D8FF803"/>
    <w:rsid w:val="4D92826A"/>
    <w:rsid w:val="4D963008"/>
    <w:rsid w:val="4D98B97B"/>
    <w:rsid w:val="4D9C85B4"/>
    <w:rsid w:val="4DA0A5DF"/>
    <w:rsid w:val="4DAC7353"/>
    <w:rsid w:val="4DB7DFFE"/>
    <w:rsid w:val="4DC21A5E"/>
    <w:rsid w:val="4DC57611"/>
    <w:rsid w:val="4DD4D07B"/>
    <w:rsid w:val="4DF2EE5F"/>
    <w:rsid w:val="4DF3CE79"/>
    <w:rsid w:val="4DF9E072"/>
    <w:rsid w:val="4E021CFD"/>
    <w:rsid w:val="4E0843BA"/>
    <w:rsid w:val="4E0E215E"/>
    <w:rsid w:val="4E0E540C"/>
    <w:rsid w:val="4E1042E5"/>
    <w:rsid w:val="4E11E71C"/>
    <w:rsid w:val="4E1965CB"/>
    <w:rsid w:val="4E1F835C"/>
    <w:rsid w:val="4E281CDD"/>
    <w:rsid w:val="4E2826D5"/>
    <w:rsid w:val="4E29488A"/>
    <w:rsid w:val="4E47D555"/>
    <w:rsid w:val="4E7022EF"/>
    <w:rsid w:val="4E711009"/>
    <w:rsid w:val="4E848C04"/>
    <w:rsid w:val="4E880C30"/>
    <w:rsid w:val="4E887FE4"/>
    <w:rsid w:val="4E8B424B"/>
    <w:rsid w:val="4E8E0883"/>
    <w:rsid w:val="4EA32F73"/>
    <w:rsid w:val="4EA761E9"/>
    <w:rsid w:val="4EB613E3"/>
    <w:rsid w:val="4EB8EE26"/>
    <w:rsid w:val="4ED23257"/>
    <w:rsid w:val="4ED3E80D"/>
    <w:rsid w:val="4EE011B8"/>
    <w:rsid w:val="4EE50027"/>
    <w:rsid w:val="4EE5F919"/>
    <w:rsid w:val="4EEA7F7F"/>
    <w:rsid w:val="4EEC35A9"/>
    <w:rsid w:val="4EF7FC02"/>
    <w:rsid w:val="4F00398E"/>
    <w:rsid w:val="4F11B587"/>
    <w:rsid w:val="4F181F34"/>
    <w:rsid w:val="4F1A9EE2"/>
    <w:rsid w:val="4F201939"/>
    <w:rsid w:val="4F374A9D"/>
    <w:rsid w:val="4F3E05A2"/>
    <w:rsid w:val="4F410711"/>
    <w:rsid w:val="4F414E6F"/>
    <w:rsid w:val="4F501CF6"/>
    <w:rsid w:val="4F67EEB3"/>
    <w:rsid w:val="4F68F637"/>
    <w:rsid w:val="4F6E5B53"/>
    <w:rsid w:val="4F7A384A"/>
    <w:rsid w:val="4F86E2F0"/>
    <w:rsid w:val="4F8D235F"/>
    <w:rsid w:val="4F8E5AB3"/>
    <w:rsid w:val="4F91EB5F"/>
    <w:rsid w:val="4F9A5BE0"/>
    <w:rsid w:val="4F9A7FBB"/>
    <w:rsid w:val="4F9EF81B"/>
    <w:rsid w:val="4FA13CD8"/>
    <w:rsid w:val="4FA984B9"/>
    <w:rsid w:val="4FAC0E34"/>
    <w:rsid w:val="4FAC3A40"/>
    <w:rsid w:val="4FC7FEA7"/>
    <w:rsid w:val="4FC848D8"/>
    <w:rsid w:val="4FD016B0"/>
    <w:rsid w:val="4FD59E29"/>
    <w:rsid w:val="4FE11E14"/>
    <w:rsid w:val="4FE52A30"/>
    <w:rsid w:val="4FF45FD1"/>
    <w:rsid w:val="4FFCB3EB"/>
    <w:rsid w:val="50118FF5"/>
    <w:rsid w:val="5011D886"/>
    <w:rsid w:val="5011DF98"/>
    <w:rsid w:val="5018991F"/>
    <w:rsid w:val="502524A6"/>
    <w:rsid w:val="502875E6"/>
    <w:rsid w:val="502A4E23"/>
    <w:rsid w:val="503077AA"/>
    <w:rsid w:val="50330ABA"/>
    <w:rsid w:val="503426A9"/>
    <w:rsid w:val="50408D11"/>
    <w:rsid w:val="504143BE"/>
    <w:rsid w:val="5041BE7C"/>
    <w:rsid w:val="50469C2B"/>
    <w:rsid w:val="50472684"/>
    <w:rsid w:val="5050147A"/>
    <w:rsid w:val="5052486A"/>
    <w:rsid w:val="50530E38"/>
    <w:rsid w:val="50543E82"/>
    <w:rsid w:val="50592456"/>
    <w:rsid w:val="5060EA6F"/>
    <w:rsid w:val="50640230"/>
    <w:rsid w:val="5064CE6B"/>
    <w:rsid w:val="506B7243"/>
    <w:rsid w:val="506C2DDF"/>
    <w:rsid w:val="507C0728"/>
    <w:rsid w:val="50843D2E"/>
    <w:rsid w:val="508A9911"/>
    <w:rsid w:val="5090A80D"/>
    <w:rsid w:val="5093BBCC"/>
    <w:rsid w:val="5097C3D0"/>
    <w:rsid w:val="509820F5"/>
    <w:rsid w:val="50986A52"/>
    <w:rsid w:val="509A0A4D"/>
    <w:rsid w:val="509FBB26"/>
    <w:rsid w:val="50A26ABF"/>
    <w:rsid w:val="50A3C6BD"/>
    <w:rsid w:val="50A9ABB6"/>
    <w:rsid w:val="50B7060A"/>
    <w:rsid w:val="50C7454D"/>
    <w:rsid w:val="50DB8EB6"/>
    <w:rsid w:val="50E25038"/>
    <w:rsid w:val="50F0B684"/>
    <w:rsid w:val="50F1DE57"/>
    <w:rsid w:val="510DD7E2"/>
    <w:rsid w:val="51244AC0"/>
    <w:rsid w:val="512AB2BF"/>
    <w:rsid w:val="512C7717"/>
    <w:rsid w:val="512C9DAC"/>
    <w:rsid w:val="512FD14C"/>
    <w:rsid w:val="514D4037"/>
    <w:rsid w:val="51502F7C"/>
    <w:rsid w:val="515AB2AB"/>
    <w:rsid w:val="5160A599"/>
    <w:rsid w:val="516ADFD3"/>
    <w:rsid w:val="5177A67B"/>
    <w:rsid w:val="51827C23"/>
    <w:rsid w:val="51A664D5"/>
    <w:rsid w:val="51CBCA46"/>
    <w:rsid w:val="51CEDB1B"/>
    <w:rsid w:val="51D8C801"/>
    <w:rsid w:val="51DA6628"/>
    <w:rsid w:val="5200C359"/>
    <w:rsid w:val="520779B8"/>
    <w:rsid w:val="52106752"/>
    <w:rsid w:val="521DFB71"/>
    <w:rsid w:val="5223EB43"/>
    <w:rsid w:val="522C3AEF"/>
    <w:rsid w:val="523643A1"/>
    <w:rsid w:val="52430B53"/>
    <w:rsid w:val="5246EF7E"/>
    <w:rsid w:val="524ACFE7"/>
    <w:rsid w:val="524B4E43"/>
    <w:rsid w:val="524F780C"/>
    <w:rsid w:val="5251B39B"/>
    <w:rsid w:val="525AB0FC"/>
    <w:rsid w:val="5266AB19"/>
    <w:rsid w:val="526CE2AB"/>
    <w:rsid w:val="52821DDB"/>
    <w:rsid w:val="52828447"/>
    <w:rsid w:val="528721B7"/>
    <w:rsid w:val="528ABE26"/>
    <w:rsid w:val="5298D0BF"/>
    <w:rsid w:val="529A6D59"/>
    <w:rsid w:val="52B33C13"/>
    <w:rsid w:val="52B9A0B7"/>
    <w:rsid w:val="52BADCE0"/>
    <w:rsid w:val="52BC5AD1"/>
    <w:rsid w:val="52D8739C"/>
    <w:rsid w:val="52DBBEBA"/>
    <w:rsid w:val="52DBF930"/>
    <w:rsid w:val="52E35995"/>
    <w:rsid w:val="52EECB41"/>
    <w:rsid w:val="52F54EFB"/>
    <w:rsid w:val="52F9FB33"/>
    <w:rsid w:val="53058654"/>
    <w:rsid w:val="530FD3DF"/>
    <w:rsid w:val="53177EBA"/>
    <w:rsid w:val="53232A1E"/>
    <w:rsid w:val="533B1628"/>
    <w:rsid w:val="5345C4D7"/>
    <w:rsid w:val="534B3DF5"/>
    <w:rsid w:val="534C491B"/>
    <w:rsid w:val="534F33B6"/>
    <w:rsid w:val="53643741"/>
    <w:rsid w:val="536C3BF5"/>
    <w:rsid w:val="538160E9"/>
    <w:rsid w:val="5385ECF4"/>
    <w:rsid w:val="53899714"/>
    <w:rsid w:val="538D45CD"/>
    <w:rsid w:val="538E59DB"/>
    <w:rsid w:val="538E88CC"/>
    <w:rsid w:val="5392DB4C"/>
    <w:rsid w:val="53C6BA36"/>
    <w:rsid w:val="53CC7B40"/>
    <w:rsid w:val="53D76253"/>
    <w:rsid w:val="53E1A098"/>
    <w:rsid w:val="53F1839B"/>
    <w:rsid w:val="54026B7D"/>
    <w:rsid w:val="5408BEEA"/>
    <w:rsid w:val="540FFE33"/>
    <w:rsid w:val="5418148B"/>
    <w:rsid w:val="5424BDC1"/>
    <w:rsid w:val="54288695"/>
    <w:rsid w:val="542A58D2"/>
    <w:rsid w:val="543B08F9"/>
    <w:rsid w:val="5443EA0C"/>
    <w:rsid w:val="544E74D3"/>
    <w:rsid w:val="5458C544"/>
    <w:rsid w:val="545A2ADC"/>
    <w:rsid w:val="546E15DF"/>
    <w:rsid w:val="547C8F0B"/>
    <w:rsid w:val="5485BDA3"/>
    <w:rsid w:val="5492F649"/>
    <w:rsid w:val="5495C851"/>
    <w:rsid w:val="549E3EB3"/>
    <w:rsid w:val="54A21DE7"/>
    <w:rsid w:val="54A3C534"/>
    <w:rsid w:val="54A65BBD"/>
    <w:rsid w:val="54A9080B"/>
    <w:rsid w:val="54AA0E52"/>
    <w:rsid w:val="54ABD351"/>
    <w:rsid w:val="54AF3F4B"/>
    <w:rsid w:val="54B465FF"/>
    <w:rsid w:val="54DDD138"/>
    <w:rsid w:val="54E3A69D"/>
    <w:rsid w:val="54E9F1E6"/>
    <w:rsid w:val="54EA662A"/>
    <w:rsid w:val="54F31637"/>
    <w:rsid w:val="54F58FC4"/>
    <w:rsid w:val="55037B8C"/>
    <w:rsid w:val="550739AB"/>
    <w:rsid w:val="5507DDB8"/>
    <w:rsid w:val="55093904"/>
    <w:rsid w:val="551A6371"/>
    <w:rsid w:val="551B9609"/>
    <w:rsid w:val="552DFE69"/>
    <w:rsid w:val="5530266F"/>
    <w:rsid w:val="5532F97B"/>
    <w:rsid w:val="553694BC"/>
    <w:rsid w:val="553986A3"/>
    <w:rsid w:val="553A6874"/>
    <w:rsid w:val="553FB1FB"/>
    <w:rsid w:val="554220A9"/>
    <w:rsid w:val="55433183"/>
    <w:rsid w:val="55463DD1"/>
    <w:rsid w:val="555020AC"/>
    <w:rsid w:val="555041A1"/>
    <w:rsid w:val="5552B241"/>
    <w:rsid w:val="555BBE19"/>
    <w:rsid w:val="555C6F11"/>
    <w:rsid w:val="555C8390"/>
    <w:rsid w:val="556ED089"/>
    <w:rsid w:val="556F5EB1"/>
    <w:rsid w:val="5576B6F7"/>
    <w:rsid w:val="5589C1AA"/>
    <w:rsid w:val="559AC4E8"/>
    <w:rsid w:val="559B17D5"/>
    <w:rsid w:val="55A12E20"/>
    <w:rsid w:val="55A31773"/>
    <w:rsid w:val="55B4526D"/>
    <w:rsid w:val="55B7625E"/>
    <w:rsid w:val="55C0D0E6"/>
    <w:rsid w:val="55C70245"/>
    <w:rsid w:val="55C707C6"/>
    <w:rsid w:val="55C78E72"/>
    <w:rsid w:val="55C86751"/>
    <w:rsid w:val="55C8EFCC"/>
    <w:rsid w:val="55CB2716"/>
    <w:rsid w:val="55D91D35"/>
    <w:rsid w:val="55F7CC81"/>
    <w:rsid w:val="55F7E6D0"/>
    <w:rsid w:val="5603CD48"/>
    <w:rsid w:val="5607E53C"/>
    <w:rsid w:val="562283DE"/>
    <w:rsid w:val="56268619"/>
    <w:rsid w:val="5629F55F"/>
    <w:rsid w:val="562DC324"/>
    <w:rsid w:val="5630C68E"/>
    <w:rsid w:val="563A6CA6"/>
    <w:rsid w:val="563C455F"/>
    <w:rsid w:val="563C78F6"/>
    <w:rsid w:val="564A09F0"/>
    <w:rsid w:val="564AA917"/>
    <w:rsid w:val="564DF10A"/>
    <w:rsid w:val="5650AB0D"/>
    <w:rsid w:val="5650C36B"/>
    <w:rsid w:val="565318B1"/>
    <w:rsid w:val="566F5A16"/>
    <w:rsid w:val="567B22BF"/>
    <w:rsid w:val="568393AA"/>
    <w:rsid w:val="568922BE"/>
    <w:rsid w:val="568F5B5A"/>
    <w:rsid w:val="5691DFF3"/>
    <w:rsid w:val="56924CDF"/>
    <w:rsid w:val="56AAF561"/>
    <w:rsid w:val="56CAC150"/>
    <w:rsid w:val="56CBBAE4"/>
    <w:rsid w:val="56CE36B4"/>
    <w:rsid w:val="56D3F64E"/>
    <w:rsid w:val="56D48563"/>
    <w:rsid w:val="56D654EC"/>
    <w:rsid w:val="56D86226"/>
    <w:rsid w:val="56D9E1C1"/>
    <w:rsid w:val="56DDEA14"/>
    <w:rsid w:val="56DEE39A"/>
    <w:rsid w:val="56E30C28"/>
    <w:rsid w:val="56E6C799"/>
    <w:rsid w:val="56E8EE4E"/>
    <w:rsid w:val="56ED463F"/>
    <w:rsid w:val="56FA7EC8"/>
    <w:rsid w:val="56FD5A36"/>
    <w:rsid w:val="570BFA08"/>
    <w:rsid w:val="570CC271"/>
    <w:rsid w:val="570D7FFE"/>
    <w:rsid w:val="5710EE43"/>
    <w:rsid w:val="57121CB8"/>
    <w:rsid w:val="572784D7"/>
    <w:rsid w:val="5728A723"/>
    <w:rsid w:val="57429EF7"/>
    <w:rsid w:val="574305FA"/>
    <w:rsid w:val="57474ED6"/>
    <w:rsid w:val="5747BA0C"/>
    <w:rsid w:val="5748DE6D"/>
    <w:rsid w:val="5759B908"/>
    <w:rsid w:val="575ABA79"/>
    <w:rsid w:val="57641695"/>
    <w:rsid w:val="576ADCFF"/>
    <w:rsid w:val="577DCD18"/>
    <w:rsid w:val="5787FF8A"/>
    <w:rsid w:val="578F6345"/>
    <w:rsid w:val="579C129D"/>
    <w:rsid w:val="579D88D3"/>
    <w:rsid w:val="57A3B59D"/>
    <w:rsid w:val="57A7D87F"/>
    <w:rsid w:val="57ADA845"/>
    <w:rsid w:val="57B5DAA2"/>
    <w:rsid w:val="57BC70AC"/>
    <w:rsid w:val="57BD3CAB"/>
    <w:rsid w:val="57C23DD1"/>
    <w:rsid w:val="57D06E9C"/>
    <w:rsid w:val="57D37588"/>
    <w:rsid w:val="57F11C26"/>
    <w:rsid w:val="57F29C65"/>
    <w:rsid w:val="57F5DF62"/>
    <w:rsid w:val="57FD8E38"/>
    <w:rsid w:val="57FFAD13"/>
    <w:rsid w:val="57FFD450"/>
    <w:rsid w:val="580168FE"/>
    <w:rsid w:val="58063DAD"/>
    <w:rsid w:val="580C6C50"/>
    <w:rsid w:val="5815426A"/>
    <w:rsid w:val="581885D3"/>
    <w:rsid w:val="5819E870"/>
    <w:rsid w:val="581FFAED"/>
    <w:rsid w:val="58280414"/>
    <w:rsid w:val="582980F6"/>
    <w:rsid w:val="582DE658"/>
    <w:rsid w:val="582EDB13"/>
    <w:rsid w:val="5843CE13"/>
    <w:rsid w:val="5865CD5E"/>
    <w:rsid w:val="586924B9"/>
    <w:rsid w:val="586C1F69"/>
    <w:rsid w:val="58825353"/>
    <w:rsid w:val="58854131"/>
    <w:rsid w:val="5894E113"/>
    <w:rsid w:val="589BECCD"/>
    <w:rsid w:val="58A41E91"/>
    <w:rsid w:val="58A42AF4"/>
    <w:rsid w:val="58DE7C0C"/>
    <w:rsid w:val="58EF71DB"/>
    <w:rsid w:val="5909CB27"/>
    <w:rsid w:val="590D6D15"/>
    <w:rsid w:val="590E183E"/>
    <w:rsid w:val="59120EEC"/>
    <w:rsid w:val="591A9F47"/>
    <w:rsid w:val="5928CB79"/>
    <w:rsid w:val="5933F60A"/>
    <w:rsid w:val="594035B4"/>
    <w:rsid w:val="594063A7"/>
    <w:rsid w:val="59487869"/>
    <w:rsid w:val="594CC100"/>
    <w:rsid w:val="59566063"/>
    <w:rsid w:val="59676F86"/>
    <w:rsid w:val="596ED4D4"/>
    <w:rsid w:val="5977946C"/>
    <w:rsid w:val="59792E8E"/>
    <w:rsid w:val="5984FC65"/>
    <w:rsid w:val="598A8231"/>
    <w:rsid w:val="598ACB85"/>
    <w:rsid w:val="598FA414"/>
    <w:rsid w:val="59936F92"/>
    <w:rsid w:val="599544C8"/>
    <w:rsid w:val="5998339D"/>
    <w:rsid w:val="599AA6BD"/>
    <w:rsid w:val="599D92EB"/>
    <w:rsid w:val="59AE46AC"/>
    <w:rsid w:val="59D7D944"/>
    <w:rsid w:val="59E5AC41"/>
    <w:rsid w:val="59E78859"/>
    <w:rsid w:val="59EF23B5"/>
    <w:rsid w:val="5A173A8E"/>
    <w:rsid w:val="5A202AE1"/>
    <w:rsid w:val="5A24AF4C"/>
    <w:rsid w:val="5A27B1BE"/>
    <w:rsid w:val="5A2CF857"/>
    <w:rsid w:val="5A485DFB"/>
    <w:rsid w:val="5A4AF74F"/>
    <w:rsid w:val="5A4B366B"/>
    <w:rsid w:val="5A55F24D"/>
    <w:rsid w:val="5A5ABA01"/>
    <w:rsid w:val="5A6188BE"/>
    <w:rsid w:val="5A6673B7"/>
    <w:rsid w:val="5A69AE1A"/>
    <w:rsid w:val="5A947F45"/>
    <w:rsid w:val="5AA43481"/>
    <w:rsid w:val="5AB62E66"/>
    <w:rsid w:val="5ABB329F"/>
    <w:rsid w:val="5AD6DF7E"/>
    <w:rsid w:val="5AD70AC4"/>
    <w:rsid w:val="5AD918FF"/>
    <w:rsid w:val="5ADF000D"/>
    <w:rsid w:val="5ADF13E4"/>
    <w:rsid w:val="5AE20E31"/>
    <w:rsid w:val="5AE609EC"/>
    <w:rsid w:val="5AE6948C"/>
    <w:rsid w:val="5AEC7B32"/>
    <w:rsid w:val="5AFF9BDD"/>
    <w:rsid w:val="5B0A4D60"/>
    <w:rsid w:val="5B0B8898"/>
    <w:rsid w:val="5B0D51B6"/>
    <w:rsid w:val="5B0DE344"/>
    <w:rsid w:val="5B11F3B0"/>
    <w:rsid w:val="5B147393"/>
    <w:rsid w:val="5B17D2FF"/>
    <w:rsid w:val="5B25BFD6"/>
    <w:rsid w:val="5B263EBE"/>
    <w:rsid w:val="5B26E40B"/>
    <w:rsid w:val="5B36771E"/>
    <w:rsid w:val="5B367EC8"/>
    <w:rsid w:val="5B52484A"/>
    <w:rsid w:val="5B5B6DC4"/>
    <w:rsid w:val="5B5EF2ED"/>
    <w:rsid w:val="5B665720"/>
    <w:rsid w:val="5B891414"/>
    <w:rsid w:val="5B96C02D"/>
    <w:rsid w:val="5BB4D114"/>
    <w:rsid w:val="5BC0AA28"/>
    <w:rsid w:val="5BCF3976"/>
    <w:rsid w:val="5BD1D01F"/>
    <w:rsid w:val="5BE980D0"/>
    <w:rsid w:val="5BF00325"/>
    <w:rsid w:val="5BF3B75C"/>
    <w:rsid w:val="5BFCEBFB"/>
    <w:rsid w:val="5BFDDA3F"/>
    <w:rsid w:val="5C007E77"/>
    <w:rsid w:val="5C358227"/>
    <w:rsid w:val="5C3586F5"/>
    <w:rsid w:val="5C443C8E"/>
    <w:rsid w:val="5C57FCC1"/>
    <w:rsid w:val="5C5DFE21"/>
    <w:rsid w:val="5C71CCD5"/>
    <w:rsid w:val="5C7BC291"/>
    <w:rsid w:val="5C7D01F9"/>
    <w:rsid w:val="5C7F4DA4"/>
    <w:rsid w:val="5C7F7AAF"/>
    <w:rsid w:val="5C804E22"/>
    <w:rsid w:val="5C87E8A4"/>
    <w:rsid w:val="5C8DE9C2"/>
    <w:rsid w:val="5C9478B3"/>
    <w:rsid w:val="5CAF7444"/>
    <w:rsid w:val="5CBA428B"/>
    <w:rsid w:val="5CBB8E25"/>
    <w:rsid w:val="5CC1E8F4"/>
    <w:rsid w:val="5CC2DB24"/>
    <w:rsid w:val="5CC2FB83"/>
    <w:rsid w:val="5CC46A3B"/>
    <w:rsid w:val="5CC4F192"/>
    <w:rsid w:val="5CC60B0E"/>
    <w:rsid w:val="5CC77C25"/>
    <w:rsid w:val="5CE21B23"/>
    <w:rsid w:val="5CEA04FB"/>
    <w:rsid w:val="5CFC37DF"/>
    <w:rsid w:val="5D001852"/>
    <w:rsid w:val="5D059EFC"/>
    <w:rsid w:val="5D153479"/>
    <w:rsid w:val="5D196BF2"/>
    <w:rsid w:val="5D32CBD6"/>
    <w:rsid w:val="5D384CE6"/>
    <w:rsid w:val="5D4B04D5"/>
    <w:rsid w:val="5D4DA4C6"/>
    <w:rsid w:val="5D4F0A15"/>
    <w:rsid w:val="5D53ADEA"/>
    <w:rsid w:val="5D55239D"/>
    <w:rsid w:val="5D5CCCD5"/>
    <w:rsid w:val="5D5DD271"/>
    <w:rsid w:val="5D6C966F"/>
    <w:rsid w:val="5D6FED6A"/>
    <w:rsid w:val="5D844FC0"/>
    <w:rsid w:val="5D8B03A1"/>
    <w:rsid w:val="5DAA36F2"/>
    <w:rsid w:val="5DB810CE"/>
    <w:rsid w:val="5DB88C0B"/>
    <w:rsid w:val="5DB97DD8"/>
    <w:rsid w:val="5DBBD1B2"/>
    <w:rsid w:val="5DCE584E"/>
    <w:rsid w:val="5DD18856"/>
    <w:rsid w:val="5DD40B4D"/>
    <w:rsid w:val="5DDD3A26"/>
    <w:rsid w:val="5DE1FC77"/>
    <w:rsid w:val="5DF14A2E"/>
    <w:rsid w:val="5E18D160"/>
    <w:rsid w:val="5E226615"/>
    <w:rsid w:val="5E24A833"/>
    <w:rsid w:val="5E32503F"/>
    <w:rsid w:val="5E44A642"/>
    <w:rsid w:val="5E4DB715"/>
    <w:rsid w:val="5E57DA43"/>
    <w:rsid w:val="5E57FE41"/>
    <w:rsid w:val="5E597977"/>
    <w:rsid w:val="5E5F64BB"/>
    <w:rsid w:val="5E614794"/>
    <w:rsid w:val="5E73ACA5"/>
    <w:rsid w:val="5E85BC2A"/>
    <w:rsid w:val="5E8DFA46"/>
    <w:rsid w:val="5E93B110"/>
    <w:rsid w:val="5E998A61"/>
    <w:rsid w:val="5EC474B3"/>
    <w:rsid w:val="5EC9ACB2"/>
    <w:rsid w:val="5ECF8749"/>
    <w:rsid w:val="5ED8D1F8"/>
    <w:rsid w:val="5F00AACC"/>
    <w:rsid w:val="5F026EFE"/>
    <w:rsid w:val="5F02FB5C"/>
    <w:rsid w:val="5F02FC85"/>
    <w:rsid w:val="5F0A4D23"/>
    <w:rsid w:val="5F0F17D2"/>
    <w:rsid w:val="5F10B392"/>
    <w:rsid w:val="5F186228"/>
    <w:rsid w:val="5F1C3FB8"/>
    <w:rsid w:val="5F2783A2"/>
    <w:rsid w:val="5F2A47BA"/>
    <w:rsid w:val="5F2C4B82"/>
    <w:rsid w:val="5F46C5B5"/>
    <w:rsid w:val="5F493323"/>
    <w:rsid w:val="5F4F56BE"/>
    <w:rsid w:val="5F5A8A1D"/>
    <w:rsid w:val="5F5E580C"/>
    <w:rsid w:val="5F5F1D20"/>
    <w:rsid w:val="5F64DEE0"/>
    <w:rsid w:val="5F68563D"/>
    <w:rsid w:val="5F700763"/>
    <w:rsid w:val="5F7282C1"/>
    <w:rsid w:val="5F78C440"/>
    <w:rsid w:val="5F790EA0"/>
    <w:rsid w:val="5F814653"/>
    <w:rsid w:val="5F8E58E3"/>
    <w:rsid w:val="5F94B90F"/>
    <w:rsid w:val="5FA02F37"/>
    <w:rsid w:val="5FA7D37A"/>
    <w:rsid w:val="5FAE11D5"/>
    <w:rsid w:val="5FAEFC56"/>
    <w:rsid w:val="5FAF1030"/>
    <w:rsid w:val="5FAF1B30"/>
    <w:rsid w:val="5FB2BF1E"/>
    <w:rsid w:val="5FB965E7"/>
    <w:rsid w:val="5FBE1F0A"/>
    <w:rsid w:val="5FC82C0A"/>
    <w:rsid w:val="5FC92725"/>
    <w:rsid w:val="5FCF2C71"/>
    <w:rsid w:val="5FD11786"/>
    <w:rsid w:val="5FE0C4D2"/>
    <w:rsid w:val="5FE583FE"/>
    <w:rsid w:val="5FE907A6"/>
    <w:rsid w:val="5FF11865"/>
    <w:rsid w:val="5FF11872"/>
    <w:rsid w:val="5FF992FA"/>
    <w:rsid w:val="5FFD8CB5"/>
    <w:rsid w:val="5FFDABD0"/>
    <w:rsid w:val="600266D1"/>
    <w:rsid w:val="6018EEC4"/>
    <w:rsid w:val="601B0B0A"/>
    <w:rsid w:val="6020544F"/>
    <w:rsid w:val="60296163"/>
    <w:rsid w:val="6037C22A"/>
    <w:rsid w:val="603F66FD"/>
    <w:rsid w:val="60412712"/>
    <w:rsid w:val="604392DE"/>
    <w:rsid w:val="604659E2"/>
    <w:rsid w:val="604AB26B"/>
    <w:rsid w:val="60522EAA"/>
    <w:rsid w:val="6057C72E"/>
    <w:rsid w:val="605E8532"/>
    <w:rsid w:val="60641C4E"/>
    <w:rsid w:val="606565C0"/>
    <w:rsid w:val="607521AD"/>
    <w:rsid w:val="608C3CD8"/>
    <w:rsid w:val="608DDBBF"/>
    <w:rsid w:val="609BFCDA"/>
    <w:rsid w:val="60A3023F"/>
    <w:rsid w:val="60B0387C"/>
    <w:rsid w:val="60B3EBF8"/>
    <w:rsid w:val="60B4C13B"/>
    <w:rsid w:val="60C54F02"/>
    <w:rsid w:val="60D16719"/>
    <w:rsid w:val="60D882F4"/>
    <w:rsid w:val="60EC7CA2"/>
    <w:rsid w:val="60F3B1D0"/>
    <w:rsid w:val="60F68858"/>
    <w:rsid w:val="60F83AC5"/>
    <w:rsid w:val="60F8CCA0"/>
    <w:rsid w:val="60FA8682"/>
    <w:rsid w:val="6109F999"/>
    <w:rsid w:val="6118F933"/>
    <w:rsid w:val="611AA720"/>
    <w:rsid w:val="6133F250"/>
    <w:rsid w:val="613EB804"/>
    <w:rsid w:val="614270BD"/>
    <w:rsid w:val="61460CC0"/>
    <w:rsid w:val="614756AC"/>
    <w:rsid w:val="614CF65F"/>
    <w:rsid w:val="614D1AC6"/>
    <w:rsid w:val="614F5626"/>
    <w:rsid w:val="615101B4"/>
    <w:rsid w:val="61521A3F"/>
    <w:rsid w:val="61658207"/>
    <w:rsid w:val="6167F316"/>
    <w:rsid w:val="616DA056"/>
    <w:rsid w:val="6176973A"/>
    <w:rsid w:val="6179101C"/>
    <w:rsid w:val="617C23C7"/>
    <w:rsid w:val="617F9046"/>
    <w:rsid w:val="618CB5AE"/>
    <w:rsid w:val="61907F93"/>
    <w:rsid w:val="61940AFD"/>
    <w:rsid w:val="619840DB"/>
    <w:rsid w:val="61A788D6"/>
    <w:rsid w:val="61B88D26"/>
    <w:rsid w:val="61BB9BF8"/>
    <w:rsid w:val="61BC7901"/>
    <w:rsid w:val="61C46CE2"/>
    <w:rsid w:val="61C60F3D"/>
    <w:rsid w:val="61D34304"/>
    <w:rsid w:val="61D8EE23"/>
    <w:rsid w:val="61DE6A8A"/>
    <w:rsid w:val="61E15A34"/>
    <w:rsid w:val="61E938B6"/>
    <w:rsid w:val="61EF177E"/>
    <w:rsid w:val="61F045F2"/>
    <w:rsid w:val="61F6F5B9"/>
    <w:rsid w:val="61FFCCDC"/>
    <w:rsid w:val="620CB2C0"/>
    <w:rsid w:val="620F7E8B"/>
    <w:rsid w:val="6217F607"/>
    <w:rsid w:val="62324468"/>
    <w:rsid w:val="6247793D"/>
    <w:rsid w:val="6254CCAB"/>
    <w:rsid w:val="62593ACC"/>
    <w:rsid w:val="625B06F4"/>
    <w:rsid w:val="6264C88C"/>
    <w:rsid w:val="626A4702"/>
    <w:rsid w:val="626C2DDF"/>
    <w:rsid w:val="626C7EED"/>
    <w:rsid w:val="6279000E"/>
    <w:rsid w:val="627C9D84"/>
    <w:rsid w:val="627D04A5"/>
    <w:rsid w:val="627DC8A3"/>
    <w:rsid w:val="628850C6"/>
    <w:rsid w:val="628AE4E9"/>
    <w:rsid w:val="6290B7BB"/>
    <w:rsid w:val="629A638D"/>
    <w:rsid w:val="629BBF2A"/>
    <w:rsid w:val="62A463B1"/>
    <w:rsid w:val="62B571BE"/>
    <w:rsid w:val="62B755B8"/>
    <w:rsid w:val="62BAF28E"/>
    <w:rsid w:val="62C416BC"/>
    <w:rsid w:val="62C7164B"/>
    <w:rsid w:val="62CB464E"/>
    <w:rsid w:val="62CDA442"/>
    <w:rsid w:val="62D48DA7"/>
    <w:rsid w:val="62D68516"/>
    <w:rsid w:val="62E1CB20"/>
    <w:rsid w:val="62EC29A8"/>
    <w:rsid w:val="62F70987"/>
    <w:rsid w:val="62FFE127"/>
    <w:rsid w:val="630D1E24"/>
    <w:rsid w:val="631B08A9"/>
    <w:rsid w:val="631B3E84"/>
    <w:rsid w:val="631B5A93"/>
    <w:rsid w:val="631BA107"/>
    <w:rsid w:val="63202D96"/>
    <w:rsid w:val="632B6F64"/>
    <w:rsid w:val="632FD03A"/>
    <w:rsid w:val="634A2D43"/>
    <w:rsid w:val="634E23AA"/>
    <w:rsid w:val="635CA146"/>
    <w:rsid w:val="63896EB1"/>
    <w:rsid w:val="6391D2BB"/>
    <w:rsid w:val="6399FE1D"/>
    <w:rsid w:val="639C274A"/>
    <w:rsid w:val="63AA23BC"/>
    <w:rsid w:val="63AA891E"/>
    <w:rsid w:val="63B0ADB6"/>
    <w:rsid w:val="63B4DA48"/>
    <w:rsid w:val="63BC2094"/>
    <w:rsid w:val="63BC8FD3"/>
    <w:rsid w:val="63BCBC69"/>
    <w:rsid w:val="63BF2A5C"/>
    <w:rsid w:val="63C2414A"/>
    <w:rsid w:val="63C8717C"/>
    <w:rsid w:val="63C87803"/>
    <w:rsid w:val="63E1D049"/>
    <w:rsid w:val="63E4ADF3"/>
    <w:rsid w:val="63EA78AF"/>
    <w:rsid w:val="63ED5E21"/>
    <w:rsid w:val="63F6BF8E"/>
    <w:rsid w:val="6407C9BD"/>
    <w:rsid w:val="64132864"/>
    <w:rsid w:val="64133228"/>
    <w:rsid w:val="641F226F"/>
    <w:rsid w:val="6428C592"/>
    <w:rsid w:val="642C95ED"/>
    <w:rsid w:val="642E35B6"/>
    <w:rsid w:val="642F6320"/>
    <w:rsid w:val="6431A438"/>
    <w:rsid w:val="643627FC"/>
    <w:rsid w:val="64422AF4"/>
    <w:rsid w:val="6443D3AF"/>
    <w:rsid w:val="644EEA2B"/>
    <w:rsid w:val="64504E62"/>
    <w:rsid w:val="6455CF17"/>
    <w:rsid w:val="6464933F"/>
    <w:rsid w:val="6470425D"/>
    <w:rsid w:val="647A3846"/>
    <w:rsid w:val="649B9D2D"/>
    <w:rsid w:val="64A28FFA"/>
    <w:rsid w:val="64A61B21"/>
    <w:rsid w:val="64A8EB32"/>
    <w:rsid w:val="64AA5CED"/>
    <w:rsid w:val="64AB49FE"/>
    <w:rsid w:val="64B05127"/>
    <w:rsid w:val="64B3EE63"/>
    <w:rsid w:val="64B77A93"/>
    <w:rsid w:val="64C3C0B1"/>
    <w:rsid w:val="64CA1B9B"/>
    <w:rsid w:val="64D5E843"/>
    <w:rsid w:val="64D8CE45"/>
    <w:rsid w:val="64EBAD06"/>
    <w:rsid w:val="64ECDB2B"/>
    <w:rsid w:val="64EDFB68"/>
    <w:rsid w:val="6504AEE7"/>
    <w:rsid w:val="650503BD"/>
    <w:rsid w:val="65173A85"/>
    <w:rsid w:val="6519720D"/>
    <w:rsid w:val="651D8C6D"/>
    <w:rsid w:val="65242692"/>
    <w:rsid w:val="652A2D7F"/>
    <w:rsid w:val="652D7D5C"/>
    <w:rsid w:val="6541198D"/>
    <w:rsid w:val="6546AA83"/>
    <w:rsid w:val="6549D41D"/>
    <w:rsid w:val="654CA573"/>
    <w:rsid w:val="6550C9BB"/>
    <w:rsid w:val="6552B2B5"/>
    <w:rsid w:val="65569578"/>
    <w:rsid w:val="65622AB1"/>
    <w:rsid w:val="658CC9A9"/>
    <w:rsid w:val="65958623"/>
    <w:rsid w:val="6596ECEB"/>
    <w:rsid w:val="659FEB52"/>
    <w:rsid w:val="65B7E013"/>
    <w:rsid w:val="65B99FA8"/>
    <w:rsid w:val="65BDBC68"/>
    <w:rsid w:val="65D6E630"/>
    <w:rsid w:val="65E12AB5"/>
    <w:rsid w:val="65F4DB2A"/>
    <w:rsid w:val="6602BDA4"/>
    <w:rsid w:val="6606EE39"/>
    <w:rsid w:val="660BD088"/>
    <w:rsid w:val="6613961F"/>
    <w:rsid w:val="66165796"/>
    <w:rsid w:val="66282F24"/>
    <w:rsid w:val="6629E3F9"/>
    <w:rsid w:val="662CE219"/>
    <w:rsid w:val="662FA1C6"/>
    <w:rsid w:val="663038E2"/>
    <w:rsid w:val="663D1799"/>
    <w:rsid w:val="664D9495"/>
    <w:rsid w:val="6651C31C"/>
    <w:rsid w:val="6658CE96"/>
    <w:rsid w:val="666DA279"/>
    <w:rsid w:val="667C84D2"/>
    <w:rsid w:val="66880B73"/>
    <w:rsid w:val="66B37DA1"/>
    <w:rsid w:val="66C629B5"/>
    <w:rsid w:val="66CDDBC6"/>
    <w:rsid w:val="66D5A5CF"/>
    <w:rsid w:val="66D6078D"/>
    <w:rsid w:val="66DFE81D"/>
    <w:rsid w:val="66E023E3"/>
    <w:rsid w:val="66E14D86"/>
    <w:rsid w:val="66E48042"/>
    <w:rsid w:val="66EC8C21"/>
    <w:rsid w:val="66ECDB53"/>
    <w:rsid w:val="66F3B179"/>
    <w:rsid w:val="66F72579"/>
    <w:rsid w:val="67071CA1"/>
    <w:rsid w:val="671603EB"/>
    <w:rsid w:val="67175238"/>
    <w:rsid w:val="671AAF21"/>
    <w:rsid w:val="6727FE68"/>
    <w:rsid w:val="672EB817"/>
    <w:rsid w:val="672FB299"/>
    <w:rsid w:val="6742DCDF"/>
    <w:rsid w:val="6753BCD9"/>
    <w:rsid w:val="675609B5"/>
    <w:rsid w:val="67621184"/>
    <w:rsid w:val="6762D417"/>
    <w:rsid w:val="676D4CDB"/>
    <w:rsid w:val="676E8DBC"/>
    <w:rsid w:val="6775EB96"/>
    <w:rsid w:val="677CDADE"/>
    <w:rsid w:val="677EC083"/>
    <w:rsid w:val="6782EC4F"/>
    <w:rsid w:val="67842F93"/>
    <w:rsid w:val="67879023"/>
    <w:rsid w:val="67930A9E"/>
    <w:rsid w:val="67997A4E"/>
    <w:rsid w:val="679E6917"/>
    <w:rsid w:val="679E755E"/>
    <w:rsid w:val="67A697C0"/>
    <w:rsid w:val="67B9905B"/>
    <w:rsid w:val="67D46B51"/>
    <w:rsid w:val="67D970CD"/>
    <w:rsid w:val="67DD082D"/>
    <w:rsid w:val="67E2B788"/>
    <w:rsid w:val="67F32CC0"/>
    <w:rsid w:val="68026339"/>
    <w:rsid w:val="680D4342"/>
    <w:rsid w:val="6811E2AB"/>
    <w:rsid w:val="6816E1B0"/>
    <w:rsid w:val="6828F76F"/>
    <w:rsid w:val="6836DD0A"/>
    <w:rsid w:val="6837A080"/>
    <w:rsid w:val="684DB26E"/>
    <w:rsid w:val="684E1EA7"/>
    <w:rsid w:val="684F7A85"/>
    <w:rsid w:val="685EF6FC"/>
    <w:rsid w:val="686B653C"/>
    <w:rsid w:val="687330BA"/>
    <w:rsid w:val="687ADFE0"/>
    <w:rsid w:val="687B493C"/>
    <w:rsid w:val="689759D9"/>
    <w:rsid w:val="6899DFDC"/>
    <w:rsid w:val="689E0D65"/>
    <w:rsid w:val="689F9E0B"/>
    <w:rsid w:val="68A0C645"/>
    <w:rsid w:val="68A11AE5"/>
    <w:rsid w:val="68A339EE"/>
    <w:rsid w:val="68A4ABFA"/>
    <w:rsid w:val="68A78A28"/>
    <w:rsid w:val="68B10288"/>
    <w:rsid w:val="68C1786A"/>
    <w:rsid w:val="68C701C9"/>
    <w:rsid w:val="68DDCCE6"/>
    <w:rsid w:val="68DEAF75"/>
    <w:rsid w:val="68DF0FB3"/>
    <w:rsid w:val="68EBDF08"/>
    <w:rsid w:val="68F3F1D3"/>
    <w:rsid w:val="68F90F9A"/>
    <w:rsid w:val="69108388"/>
    <w:rsid w:val="691E8240"/>
    <w:rsid w:val="692BAB47"/>
    <w:rsid w:val="692C7B2F"/>
    <w:rsid w:val="69313DC4"/>
    <w:rsid w:val="693751FF"/>
    <w:rsid w:val="69448F15"/>
    <w:rsid w:val="6948960B"/>
    <w:rsid w:val="694B36E1"/>
    <w:rsid w:val="69532C0D"/>
    <w:rsid w:val="69592EDA"/>
    <w:rsid w:val="695ACF4E"/>
    <w:rsid w:val="696324EB"/>
    <w:rsid w:val="6966A575"/>
    <w:rsid w:val="6967776A"/>
    <w:rsid w:val="696EA957"/>
    <w:rsid w:val="69712C17"/>
    <w:rsid w:val="697420A3"/>
    <w:rsid w:val="69834EFB"/>
    <w:rsid w:val="6988309E"/>
    <w:rsid w:val="698929E0"/>
    <w:rsid w:val="69950FB7"/>
    <w:rsid w:val="69A94814"/>
    <w:rsid w:val="69BF463D"/>
    <w:rsid w:val="69C03ECB"/>
    <w:rsid w:val="69C50D73"/>
    <w:rsid w:val="69D73E5F"/>
    <w:rsid w:val="69E35CBD"/>
    <w:rsid w:val="69F28E59"/>
    <w:rsid w:val="69FA1D08"/>
    <w:rsid w:val="69FDD5E7"/>
    <w:rsid w:val="6A0255B6"/>
    <w:rsid w:val="6A051B6F"/>
    <w:rsid w:val="6A2BA6D7"/>
    <w:rsid w:val="6A301738"/>
    <w:rsid w:val="6A421A30"/>
    <w:rsid w:val="6A42FCAE"/>
    <w:rsid w:val="6A46F0C0"/>
    <w:rsid w:val="6A4AC586"/>
    <w:rsid w:val="6A4BFD64"/>
    <w:rsid w:val="6A4CDCCE"/>
    <w:rsid w:val="6A4EAD02"/>
    <w:rsid w:val="6A5B9E9E"/>
    <w:rsid w:val="6A65DD5D"/>
    <w:rsid w:val="6A6ABD1E"/>
    <w:rsid w:val="6A6BDC2C"/>
    <w:rsid w:val="6A6F761D"/>
    <w:rsid w:val="6A81B037"/>
    <w:rsid w:val="6A849827"/>
    <w:rsid w:val="6A8643BB"/>
    <w:rsid w:val="6A984F5F"/>
    <w:rsid w:val="6AA0E3E3"/>
    <w:rsid w:val="6AA552D9"/>
    <w:rsid w:val="6AADC555"/>
    <w:rsid w:val="6ABEF4C8"/>
    <w:rsid w:val="6AC5AB2B"/>
    <w:rsid w:val="6AD80BB0"/>
    <w:rsid w:val="6ADD10FC"/>
    <w:rsid w:val="6ADD7161"/>
    <w:rsid w:val="6AE01C3C"/>
    <w:rsid w:val="6AE40B28"/>
    <w:rsid w:val="6AE52F75"/>
    <w:rsid w:val="6AE94A76"/>
    <w:rsid w:val="6B0470B6"/>
    <w:rsid w:val="6B086A50"/>
    <w:rsid w:val="6B0ADEB1"/>
    <w:rsid w:val="6B0C5B9E"/>
    <w:rsid w:val="6B0D3EDD"/>
    <w:rsid w:val="6B15CB06"/>
    <w:rsid w:val="6B19FA86"/>
    <w:rsid w:val="6B2241A1"/>
    <w:rsid w:val="6B409E5E"/>
    <w:rsid w:val="6B5C13A1"/>
    <w:rsid w:val="6B5DA765"/>
    <w:rsid w:val="6B62307D"/>
    <w:rsid w:val="6B647998"/>
    <w:rsid w:val="6B6CD0E5"/>
    <w:rsid w:val="6B72946A"/>
    <w:rsid w:val="6B765D37"/>
    <w:rsid w:val="6B772E58"/>
    <w:rsid w:val="6B7C3E51"/>
    <w:rsid w:val="6B8CC1AE"/>
    <w:rsid w:val="6B93F4AC"/>
    <w:rsid w:val="6B9765E3"/>
    <w:rsid w:val="6BA7B550"/>
    <w:rsid w:val="6BAA398E"/>
    <w:rsid w:val="6BC772EA"/>
    <w:rsid w:val="6BC968CB"/>
    <w:rsid w:val="6BC9F94D"/>
    <w:rsid w:val="6BD8CA83"/>
    <w:rsid w:val="6BE0FA29"/>
    <w:rsid w:val="6BE2004B"/>
    <w:rsid w:val="6BE3F8B7"/>
    <w:rsid w:val="6BF76ED7"/>
    <w:rsid w:val="6BFC1833"/>
    <w:rsid w:val="6C07117A"/>
    <w:rsid w:val="6C0734EE"/>
    <w:rsid w:val="6C07CB78"/>
    <w:rsid w:val="6C152E79"/>
    <w:rsid w:val="6C18793D"/>
    <w:rsid w:val="6C1FBCD2"/>
    <w:rsid w:val="6C27F7A9"/>
    <w:rsid w:val="6C35D98E"/>
    <w:rsid w:val="6C44A513"/>
    <w:rsid w:val="6C4CC3D4"/>
    <w:rsid w:val="6C4DD7E1"/>
    <w:rsid w:val="6C4FF038"/>
    <w:rsid w:val="6C6AA615"/>
    <w:rsid w:val="6C6D3A70"/>
    <w:rsid w:val="6C6ED4D6"/>
    <w:rsid w:val="6C6F3295"/>
    <w:rsid w:val="6C73DDAA"/>
    <w:rsid w:val="6C75D618"/>
    <w:rsid w:val="6C78F44B"/>
    <w:rsid w:val="6C849F46"/>
    <w:rsid w:val="6C85A8A6"/>
    <w:rsid w:val="6C92841A"/>
    <w:rsid w:val="6C929033"/>
    <w:rsid w:val="6C94D62B"/>
    <w:rsid w:val="6C9D9469"/>
    <w:rsid w:val="6C9EE34A"/>
    <w:rsid w:val="6CB44BAB"/>
    <w:rsid w:val="6CB5EBB0"/>
    <w:rsid w:val="6CB6630D"/>
    <w:rsid w:val="6CB7B09D"/>
    <w:rsid w:val="6CC924E2"/>
    <w:rsid w:val="6CD0865B"/>
    <w:rsid w:val="6CD81D74"/>
    <w:rsid w:val="6CF01D70"/>
    <w:rsid w:val="6CF7E25F"/>
    <w:rsid w:val="6CFB90BB"/>
    <w:rsid w:val="6D08A681"/>
    <w:rsid w:val="6D0E54B9"/>
    <w:rsid w:val="6D137BE6"/>
    <w:rsid w:val="6D14D265"/>
    <w:rsid w:val="6D189434"/>
    <w:rsid w:val="6D1A004B"/>
    <w:rsid w:val="6D1E6995"/>
    <w:rsid w:val="6D31ED41"/>
    <w:rsid w:val="6D3AA418"/>
    <w:rsid w:val="6D3D4B2F"/>
    <w:rsid w:val="6D43048A"/>
    <w:rsid w:val="6D52C1D5"/>
    <w:rsid w:val="6D579A2E"/>
    <w:rsid w:val="6D61148F"/>
    <w:rsid w:val="6D65F3D5"/>
    <w:rsid w:val="6D719A94"/>
    <w:rsid w:val="6D7D4DCC"/>
    <w:rsid w:val="6D7E657B"/>
    <w:rsid w:val="6D8D5189"/>
    <w:rsid w:val="6D9BD3DE"/>
    <w:rsid w:val="6DA083C9"/>
    <w:rsid w:val="6DACA373"/>
    <w:rsid w:val="6DAF7287"/>
    <w:rsid w:val="6DB43C3E"/>
    <w:rsid w:val="6DB69736"/>
    <w:rsid w:val="6DCD6E6C"/>
    <w:rsid w:val="6DCE4F4D"/>
    <w:rsid w:val="6DD5D842"/>
    <w:rsid w:val="6DD67515"/>
    <w:rsid w:val="6DDB6965"/>
    <w:rsid w:val="6DDEE36D"/>
    <w:rsid w:val="6DE6A8F5"/>
    <w:rsid w:val="6DEE00B6"/>
    <w:rsid w:val="6E07AB19"/>
    <w:rsid w:val="6E2AEF1D"/>
    <w:rsid w:val="6E2CE429"/>
    <w:rsid w:val="6E329654"/>
    <w:rsid w:val="6E32ED09"/>
    <w:rsid w:val="6E332033"/>
    <w:rsid w:val="6E3B2632"/>
    <w:rsid w:val="6E3D0C36"/>
    <w:rsid w:val="6E48079E"/>
    <w:rsid w:val="6E48C429"/>
    <w:rsid w:val="6E58CD00"/>
    <w:rsid w:val="6E5AC803"/>
    <w:rsid w:val="6E6293F0"/>
    <w:rsid w:val="6E657700"/>
    <w:rsid w:val="6E6A872D"/>
    <w:rsid w:val="6E70C25C"/>
    <w:rsid w:val="6E7BE5A7"/>
    <w:rsid w:val="6E7BEE95"/>
    <w:rsid w:val="6E7E52AE"/>
    <w:rsid w:val="6E963224"/>
    <w:rsid w:val="6E99C9BB"/>
    <w:rsid w:val="6E9BE8D3"/>
    <w:rsid w:val="6E9CC3FF"/>
    <w:rsid w:val="6EB05778"/>
    <w:rsid w:val="6EB628EA"/>
    <w:rsid w:val="6EB9C521"/>
    <w:rsid w:val="6EBC97B0"/>
    <w:rsid w:val="6EBEF425"/>
    <w:rsid w:val="6ECBB419"/>
    <w:rsid w:val="6EDC54C0"/>
    <w:rsid w:val="6EE41BAE"/>
    <w:rsid w:val="6EE6BA6B"/>
    <w:rsid w:val="6EF43A70"/>
    <w:rsid w:val="6F086711"/>
    <w:rsid w:val="6F0DDF29"/>
    <w:rsid w:val="6F148E31"/>
    <w:rsid w:val="6F1C1AB4"/>
    <w:rsid w:val="6F20C415"/>
    <w:rsid w:val="6F225A5A"/>
    <w:rsid w:val="6F3B54B8"/>
    <w:rsid w:val="6F474ED9"/>
    <w:rsid w:val="6F4FD04C"/>
    <w:rsid w:val="6F5D02DF"/>
    <w:rsid w:val="6F6B655B"/>
    <w:rsid w:val="6F6E4C65"/>
    <w:rsid w:val="6F7BB124"/>
    <w:rsid w:val="6F805AEB"/>
    <w:rsid w:val="6F815232"/>
    <w:rsid w:val="6F9556E6"/>
    <w:rsid w:val="6F9B90D9"/>
    <w:rsid w:val="6FA76579"/>
    <w:rsid w:val="6FA7C6A3"/>
    <w:rsid w:val="6FA9680E"/>
    <w:rsid w:val="6FAA47F3"/>
    <w:rsid w:val="6FAEB410"/>
    <w:rsid w:val="6FB4759A"/>
    <w:rsid w:val="6FB5AC76"/>
    <w:rsid w:val="6FBBB9A6"/>
    <w:rsid w:val="6FCC2A91"/>
    <w:rsid w:val="6FD98C44"/>
    <w:rsid w:val="6FD9CA89"/>
    <w:rsid w:val="6FE1C69A"/>
    <w:rsid w:val="6FE2298A"/>
    <w:rsid w:val="6FE98DFE"/>
    <w:rsid w:val="6FF67928"/>
    <w:rsid w:val="6FF89045"/>
    <w:rsid w:val="7006D576"/>
    <w:rsid w:val="700C9EC2"/>
    <w:rsid w:val="700DC08C"/>
    <w:rsid w:val="7010DE76"/>
    <w:rsid w:val="701B5D4D"/>
    <w:rsid w:val="701D25CC"/>
    <w:rsid w:val="701FE366"/>
    <w:rsid w:val="70239C22"/>
    <w:rsid w:val="702B14CA"/>
    <w:rsid w:val="70355CF6"/>
    <w:rsid w:val="70387E11"/>
    <w:rsid w:val="703B50D4"/>
    <w:rsid w:val="7043FD71"/>
    <w:rsid w:val="704510E4"/>
    <w:rsid w:val="70461799"/>
    <w:rsid w:val="7047942F"/>
    <w:rsid w:val="7060AEEC"/>
    <w:rsid w:val="706572DC"/>
    <w:rsid w:val="7070BDDB"/>
    <w:rsid w:val="7073D215"/>
    <w:rsid w:val="707E51F5"/>
    <w:rsid w:val="707E667C"/>
    <w:rsid w:val="7085A137"/>
    <w:rsid w:val="70932029"/>
    <w:rsid w:val="70979B3C"/>
    <w:rsid w:val="709804A6"/>
    <w:rsid w:val="70A25134"/>
    <w:rsid w:val="70C0080A"/>
    <w:rsid w:val="70C0FE22"/>
    <w:rsid w:val="70D0EA2D"/>
    <w:rsid w:val="70D1AF68"/>
    <w:rsid w:val="70D8BBA4"/>
    <w:rsid w:val="70DD9D78"/>
    <w:rsid w:val="70E6A71E"/>
    <w:rsid w:val="70EFA8D9"/>
    <w:rsid w:val="70F8DA47"/>
    <w:rsid w:val="711C92C5"/>
    <w:rsid w:val="71262279"/>
    <w:rsid w:val="712D2C7B"/>
    <w:rsid w:val="7130CEC4"/>
    <w:rsid w:val="7157410C"/>
    <w:rsid w:val="71587D3C"/>
    <w:rsid w:val="715BE87C"/>
    <w:rsid w:val="715FE21F"/>
    <w:rsid w:val="71681E07"/>
    <w:rsid w:val="716CEC98"/>
    <w:rsid w:val="716D423A"/>
    <w:rsid w:val="71742A33"/>
    <w:rsid w:val="718CD66C"/>
    <w:rsid w:val="7191615F"/>
    <w:rsid w:val="71960502"/>
    <w:rsid w:val="71A87585"/>
    <w:rsid w:val="71B08A8C"/>
    <w:rsid w:val="71CDEF94"/>
    <w:rsid w:val="71CEB258"/>
    <w:rsid w:val="71D3F66B"/>
    <w:rsid w:val="71E74343"/>
    <w:rsid w:val="71E99A0B"/>
    <w:rsid w:val="71EAA6D1"/>
    <w:rsid w:val="71EB08BF"/>
    <w:rsid w:val="71F02BFB"/>
    <w:rsid w:val="71FAC075"/>
    <w:rsid w:val="71FC80D6"/>
    <w:rsid w:val="71FEAFD8"/>
    <w:rsid w:val="720B9F6F"/>
    <w:rsid w:val="72169E46"/>
    <w:rsid w:val="7217C78D"/>
    <w:rsid w:val="7226042A"/>
    <w:rsid w:val="7227EAB6"/>
    <w:rsid w:val="722E053B"/>
    <w:rsid w:val="7239DC71"/>
    <w:rsid w:val="7254DA69"/>
    <w:rsid w:val="725B1617"/>
    <w:rsid w:val="725CF014"/>
    <w:rsid w:val="72605D4D"/>
    <w:rsid w:val="726111FE"/>
    <w:rsid w:val="726A45F3"/>
    <w:rsid w:val="726F8151"/>
    <w:rsid w:val="727B8D3C"/>
    <w:rsid w:val="728B4E6E"/>
    <w:rsid w:val="729401AD"/>
    <w:rsid w:val="729B7500"/>
    <w:rsid w:val="72A5781B"/>
    <w:rsid w:val="72B073F7"/>
    <w:rsid w:val="72B268AA"/>
    <w:rsid w:val="72B8BCA3"/>
    <w:rsid w:val="72C1A0B2"/>
    <w:rsid w:val="72C7651D"/>
    <w:rsid w:val="72CD64F9"/>
    <w:rsid w:val="72CD9E80"/>
    <w:rsid w:val="72D6C00E"/>
    <w:rsid w:val="72D79C8D"/>
    <w:rsid w:val="72DF86A3"/>
    <w:rsid w:val="72E1C68C"/>
    <w:rsid w:val="72E6024F"/>
    <w:rsid w:val="72E71793"/>
    <w:rsid w:val="72E9335D"/>
    <w:rsid w:val="72EA4385"/>
    <w:rsid w:val="72EA994D"/>
    <w:rsid w:val="72F2E0ED"/>
    <w:rsid w:val="72FCFC40"/>
    <w:rsid w:val="730B90A9"/>
    <w:rsid w:val="731620EF"/>
    <w:rsid w:val="73259819"/>
    <w:rsid w:val="73308D76"/>
    <w:rsid w:val="7347F502"/>
    <w:rsid w:val="734BCE44"/>
    <w:rsid w:val="734DAAA7"/>
    <w:rsid w:val="7357B5CA"/>
    <w:rsid w:val="735DAB6F"/>
    <w:rsid w:val="735EDC4F"/>
    <w:rsid w:val="73641B11"/>
    <w:rsid w:val="736E0BA3"/>
    <w:rsid w:val="73729D2E"/>
    <w:rsid w:val="737372C9"/>
    <w:rsid w:val="737636DA"/>
    <w:rsid w:val="7388E287"/>
    <w:rsid w:val="738CAA64"/>
    <w:rsid w:val="739A55DB"/>
    <w:rsid w:val="739B10B1"/>
    <w:rsid w:val="73A4F5E9"/>
    <w:rsid w:val="73AA5DB2"/>
    <w:rsid w:val="73AD99AA"/>
    <w:rsid w:val="73B5FF2B"/>
    <w:rsid w:val="73BA36D1"/>
    <w:rsid w:val="73C2B4A1"/>
    <w:rsid w:val="73C6D982"/>
    <w:rsid w:val="73CC40A4"/>
    <w:rsid w:val="73D59B04"/>
    <w:rsid w:val="73DA776E"/>
    <w:rsid w:val="73DD095F"/>
    <w:rsid w:val="73DDD0E1"/>
    <w:rsid w:val="73DEC0E7"/>
    <w:rsid w:val="73DF9BCD"/>
    <w:rsid w:val="73EADF13"/>
    <w:rsid w:val="73EE2BA8"/>
    <w:rsid w:val="73EE3AC6"/>
    <w:rsid w:val="73F7162D"/>
    <w:rsid w:val="73FEDB4A"/>
    <w:rsid w:val="7405249C"/>
    <w:rsid w:val="74088A0F"/>
    <w:rsid w:val="740AD843"/>
    <w:rsid w:val="740B3BF5"/>
    <w:rsid w:val="74206A7C"/>
    <w:rsid w:val="742AFF15"/>
    <w:rsid w:val="743405ED"/>
    <w:rsid w:val="743A928C"/>
    <w:rsid w:val="743EDA67"/>
    <w:rsid w:val="743FCBB7"/>
    <w:rsid w:val="7446B173"/>
    <w:rsid w:val="7468FE1E"/>
    <w:rsid w:val="746C8C9C"/>
    <w:rsid w:val="74702C96"/>
    <w:rsid w:val="74772CAE"/>
    <w:rsid w:val="747B229D"/>
    <w:rsid w:val="747BCD16"/>
    <w:rsid w:val="748D667C"/>
    <w:rsid w:val="748FA073"/>
    <w:rsid w:val="749228A8"/>
    <w:rsid w:val="749373ED"/>
    <w:rsid w:val="749BC812"/>
    <w:rsid w:val="74A681FC"/>
    <w:rsid w:val="74AE2EBC"/>
    <w:rsid w:val="74D20B22"/>
    <w:rsid w:val="74D35FB7"/>
    <w:rsid w:val="74D469AE"/>
    <w:rsid w:val="74DDD4E3"/>
    <w:rsid w:val="74EFCE38"/>
    <w:rsid w:val="74F6A832"/>
    <w:rsid w:val="74FA81C4"/>
    <w:rsid w:val="74FED0C7"/>
    <w:rsid w:val="750CE80B"/>
    <w:rsid w:val="7514182B"/>
    <w:rsid w:val="7516A20D"/>
    <w:rsid w:val="75185201"/>
    <w:rsid w:val="751EFA4F"/>
    <w:rsid w:val="75232C62"/>
    <w:rsid w:val="752E40B3"/>
    <w:rsid w:val="7539B1FD"/>
    <w:rsid w:val="753CFE2C"/>
    <w:rsid w:val="7552942E"/>
    <w:rsid w:val="7562DFD5"/>
    <w:rsid w:val="7564BAA2"/>
    <w:rsid w:val="7567E41A"/>
    <w:rsid w:val="756F3C27"/>
    <w:rsid w:val="757108BC"/>
    <w:rsid w:val="7573EF25"/>
    <w:rsid w:val="7578E757"/>
    <w:rsid w:val="75871027"/>
    <w:rsid w:val="7592D21D"/>
    <w:rsid w:val="759837D0"/>
    <w:rsid w:val="759B4972"/>
    <w:rsid w:val="759F01EF"/>
    <w:rsid w:val="759F1997"/>
    <w:rsid w:val="75A542C2"/>
    <w:rsid w:val="75AD34CE"/>
    <w:rsid w:val="75B520CC"/>
    <w:rsid w:val="75B724CE"/>
    <w:rsid w:val="75B86B73"/>
    <w:rsid w:val="75CC3F65"/>
    <w:rsid w:val="75D72DBF"/>
    <w:rsid w:val="75E65956"/>
    <w:rsid w:val="75F1B346"/>
    <w:rsid w:val="75FFDB7E"/>
    <w:rsid w:val="76121836"/>
    <w:rsid w:val="76137575"/>
    <w:rsid w:val="761971AB"/>
    <w:rsid w:val="762C9D33"/>
    <w:rsid w:val="7638A6D7"/>
    <w:rsid w:val="763FA9A9"/>
    <w:rsid w:val="7648354A"/>
    <w:rsid w:val="766175F3"/>
    <w:rsid w:val="7663DF62"/>
    <w:rsid w:val="766C3B50"/>
    <w:rsid w:val="766FBBBA"/>
    <w:rsid w:val="76713578"/>
    <w:rsid w:val="768551D2"/>
    <w:rsid w:val="7686639F"/>
    <w:rsid w:val="768B9E99"/>
    <w:rsid w:val="768F1F8A"/>
    <w:rsid w:val="76B924FB"/>
    <w:rsid w:val="76C31833"/>
    <w:rsid w:val="76C4047F"/>
    <w:rsid w:val="76DC96AB"/>
    <w:rsid w:val="76DD159A"/>
    <w:rsid w:val="76EAF836"/>
    <w:rsid w:val="76EDF08A"/>
    <w:rsid w:val="76EECD96"/>
    <w:rsid w:val="76F14873"/>
    <w:rsid w:val="76F59F09"/>
    <w:rsid w:val="76F64D7A"/>
    <w:rsid w:val="7708AA94"/>
    <w:rsid w:val="7710C3FF"/>
    <w:rsid w:val="7710D851"/>
    <w:rsid w:val="7711AB6A"/>
    <w:rsid w:val="77121830"/>
    <w:rsid w:val="7738256E"/>
    <w:rsid w:val="773D8B50"/>
    <w:rsid w:val="773E9BE5"/>
    <w:rsid w:val="7749078A"/>
    <w:rsid w:val="774DB807"/>
    <w:rsid w:val="774E5306"/>
    <w:rsid w:val="77532A0D"/>
    <w:rsid w:val="775EA088"/>
    <w:rsid w:val="77611BCC"/>
    <w:rsid w:val="7766220E"/>
    <w:rsid w:val="7769A791"/>
    <w:rsid w:val="776FBAB2"/>
    <w:rsid w:val="77713652"/>
    <w:rsid w:val="7775AB4B"/>
    <w:rsid w:val="777BD8D7"/>
    <w:rsid w:val="77805433"/>
    <w:rsid w:val="778D2C69"/>
    <w:rsid w:val="77A4F635"/>
    <w:rsid w:val="77A6FEE1"/>
    <w:rsid w:val="77B1A4D0"/>
    <w:rsid w:val="77B37CD5"/>
    <w:rsid w:val="77D35D30"/>
    <w:rsid w:val="77E2C3D2"/>
    <w:rsid w:val="7804DA44"/>
    <w:rsid w:val="7808F57C"/>
    <w:rsid w:val="783C1242"/>
    <w:rsid w:val="785CC6C9"/>
    <w:rsid w:val="786018F0"/>
    <w:rsid w:val="7869F3FB"/>
    <w:rsid w:val="786C027B"/>
    <w:rsid w:val="786F7ECE"/>
    <w:rsid w:val="787642AC"/>
    <w:rsid w:val="787A4AFE"/>
    <w:rsid w:val="787EDA0D"/>
    <w:rsid w:val="789FBC1E"/>
    <w:rsid w:val="78BA2C6A"/>
    <w:rsid w:val="78BB0F50"/>
    <w:rsid w:val="78BCC7A3"/>
    <w:rsid w:val="78BD95E0"/>
    <w:rsid w:val="78BFFCE7"/>
    <w:rsid w:val="78C35E5C"/>
    <w:rsid w:val="78CF3206"/>
    <w:rsid w:val="78D3E98D"/>
    <w:rsid w:val="78DB24DA"/>
    <w:rsid w:val="78E65D37"/>
    <w:rsid w:val="78F07175"/>
    <w:rsid w:val="78FEA182"/>
    <w:rsid w:val="790D3652"/>
    <w:rsid w:val="7916E02C"/>
    <w:rsid w:val="791C8342"/>
    <w:rsid w:val="79213532"/>
    <w:rsid w:val="7924D8EA"/>
    <w:rsid w:val="792546CD"/>
    <w:rsid w:val="792955D1"/>
    <w:rsid w:val="792A248B"/>
    <w:rsid w:val="792C631D"/>
    <w:rsid w:val="7930BA41"/>
    <w:rsid w:val="79388C5C"/>
    <w:rsid w:val="793B5A09"/>
    <w:rsid w:val="794750E8"/>
    <w:rsid w:val="794E5310"/>
    <w:rsid w:val="797C9C4F"/>
    <w:rsid w:val="7981E6F1"/>
    <w:rsid w:val="79865C20"/>
    <w:rsid w:val="79886DB3"/>
    <w:rsid w:val="798CDDD0"/>
    <w:rsid w:val="79973EEA"/>
    <w:rsid w:val="799E0B44"/>
    <w:rsid w:val="79A2AABE"/>
    <w:rsid w:val="79A5AF7D"/>
    <w:rsid w:val="79A86AE3"/>
    <w:rsid w:val="79AA94B5"/>
    <w:rsid w:val="79B3D532"/>
    <w:rsid w:val="79C8B97E"/>
    <w:rsid w:val="79CF4E36"/>
    <w:rsid w:val="79D4A6DD"/>
    <w:rsid w:val="79EB5ABB"/>
    <w:rsid w:val="79ECF24B"/>
    <w:rsid w:val="79F4393E"/>
    <w:rsid w:val="79FA97AA"/>
    <w:rsid w:val="79FE3877"/>
    <w:rsid w:val="7A2C6EBC"/>
    <w:rsid w:val="7A3E0A69"/>
    <w:rsid w:val="7A433AB7"/>
    <w:rsid w:val="7A47CD46"/>
    <w:rsid w:val="7A5502B3"/>
    <w:rsid w:val="7A589804"/>
    <w:rsid w:val="7A5AAD2E"/>
    <w:rsid w:val="7A5FCCB0"/>
    <w:rsid w:val="7A74B2B2"/>
    <w:rsid w:val="7A8B234B"/>
    <w:rsid w:val="7A921B7F"/>
    <w:rsid w:val="7A96152E"/>
    <w:rsid w:val="7A9E7086"/>
    <w:rsid w:val="7AA29B35"/>
    <w:rsid w:val="7AA3E372"/>
    <w:rsid w:val="7ABEBD70"/>
    <w:rsid w:val="7AC173B5"/>
    <w:rsid w:val="7AD54343"/>
    <w:rsid w:val="7ADC07B2"/>
    <w:rsid w:val="7ADDD93A"/>
    <w:rsid w:val="7AEBFBC8"/>
    <w:rsid w:val="7AF43AD2"/>
    <w:rsid w:val="7B013D8B"/>
    <w:rsid w:val="7B01BA33"/>
    <w:rsid w:val="7B0EBD7C"/>
    <w:rsid w:val="7B17C422"/>
    <w:rsid w:val="7B1ADD01"/>
    <w:rsid w:val="7B1E33B1"/>
    <w:rsid w:val="7B427C3D"/>
    <w:rsid w:val="7B5AE208"/>
    <w:rsid w:val="7B6EAC4B"/>
    <w:rsid w:val="7B7D8092"/>
    <w:rsid w:val="7B832CCE"/>
    <w:rsid w:val="7B836345"/>
    <w:rsid w:val="7B88C2AC"/>
    <w:rsid w:val="7B8EFFA6"/>
    <w:rsid w:val="7B8F9B2E"/>
    <w:rsid w:val="7B9CDDA9"/>
    <w:rsid w:val="7BA20A61"/>
    <w:rsid w:val="7BA2C851"/>
    <w:rsid w:val="7BAADEEA"/>
    <w:rsid w:val="7BB626D9"/>
    <w:rsid w:val="7BB6EFC0"/>
    <w:rsid w:val="7BC17C2A"/>
    <w:rsid w:val="7BCBD9C6"/>
    <w:rsid w:val="7BD4E04D"/>
    <w:rsid w:val="7BE3D9E3"/>
    <w:rsid w:val="7BFF3D19"/>
    <w:rsid w:val="7C0135E1"/>
    <w:rsid w:val="7C0FACCE"/>
    <w:rsid w:val="7C11519C"/>
    <w:rsid w:val="7C15344D"/>
    <w:rsid w:val="7C1A6799"/>
    <w:rsid w:val="7C1A6C85"/>
    <w:rsid w:val="7C1C980B"/>
    <w:rsid w:val="7C271BAB"/>
    <w:rsid w:val="7C407EED"/>
    <w:rsid w:val="7C440A49"/>
    <w:rsid w:val="7C4B2BC7"/>
    <w:rsid w:val="7C4D36DE"/>
    <w:rsid w:val="7C5792F6"/>
    <w:rsid w:val="7C602B7C"/>
    <w:rsid w:val="7C6C3F98"/>
    <w:rsid w:val="7C721B91"/>
    <w:rsid w:val="7C7CEEF7"/>
    <w:rsid w:val="7C7F9794"/>
    <w:rsid w:val="7C8DE7BD"/>
    <w:rsid w:val="7CA01EF3"/>
    <w:rsid w:val="7CA1AE5B"/>
    <w:rsid w:val="7CA29CBE"/>
    <w:rsid w:val="7CA45366"/>
    <w:rsid w:val="7CAD351B"/>
    <w:rsid w:val="7CB0864D"/>
    <w:rsid w:val="7CB58487"/>
    <w:rsid w:val="7CCB2DF0"/>
    <w:rsid w:val="7CCBFEC0"/>
    <w:rsid w:val="7CD07DF6"/>
    <w:rsid w:val="7CD385A2"/>
    <w:rsid w:val="7CD5F421"/>
    <w:rsid w:val="7CD7DDAA"/>
    <w:rsid w:val="7CE5408F"/>
    <w:rsid w:val="7D044F9C"/>
    <w:rsid w:val="7D094C82"/>
    <w:rsid w:val="7D0E372A"/>
    <w:rsid w:val="7D22C7C3"/>
    <w:rsid w:val="7D32A901"/>
    <w:rsid w:val="7D466839"/>
    <w:rsid w:val="7D4FA9B4"/>
    <w:rsid w:val="7D51AE2F"/>
    <w:rsid w:val="7D55323A"/>
    <w:rsid w:val="7D5845DD"/>
    <w:rsid w:val="7D5C8288"/>
    <w:rsid w:val="7D642485"/>
    <w:rsid w:val="7D7F04B9"/>
    <w:rsid w:val="7D7FC871"/>
    <w:rsid w:val="7D84E750"/>
    <w:rsid w:val="7D884D00"/>
    <w:rsid w:val="7D8EA158"/>
    <w:rsid w:val="7D9424C9"/>
    <w:rsid w:val="7D960710"/>
    <w:rsid w:val="7D9B4A7F"/>
    <w:rsid w:val="7D9FDED5"/>
    <w:rsid w:val="7DA928E1"/>
    <w:rsid w:val="7DB12895"/>
    <w:rsid w:val="7DB54D00"/>
    <w:rsid w:val="7DBE81BF"/>
    <w:rsid w:val="7DC2652A"/>
    <w:rsid w:val="7DC39CB1"/>
    <w:rsid w:val="7DC6B9EB"/>
    <w:rsid w:val="7DC72D86"/>
    <w:rsid w:val="7DCE4960"/>
    <w:rsid w:val="7DD9AAC4"/>
    <w:rsid w:val="7DDDD19A"/>
    <w:rsid w:val="7DEBB7F3"/>
    <w:rsid w:val="7DEBD1F0"/>
    <w:rsid w:val="7DFE9A64"/>
    <w:rsid w:val="7E0CE08A"/>
    <w:rsid w:val="7E248497"/>
    <w:rsid w:val="7E2D59E6"/>
    <w:rsid w:val="7E38E403"/>
    <w:rsid w:val="7E4023C7"/>
    <w:rsid w:val="7E4789C8"/>
    <w:rsid w:val="7E4B6BF3"/>
    <w:rsid w:val="7E528D8E"/>
    <w:rsid w:val="7E614517"/>
    <w:rsid w:val="7E6C731C"/>
    <w:rsid w:val="7E6CAE57"/>
    <w:rsid w:val="7E6F5FA7"/>
    <w:rsid w:val="7E724C9A"/>
    <w:rsid w:val="7E85F4E8"/>
    <w:rsid w:val="7E880968"/>
    <w:rsid w:val="7E8E75EB"/>
    <w:rsid w:val="7E9C26B9"/>
    <w:rsid w:val="7E9DA3A4"/>
    <w:rsid w:val="7EA2E1B3"/>
    <w:rsid w:val="7EA5D042"/>
    <w:rsid w:val="7EADE877"/>
    <w:rsid w:val="7EB5957D"/>
    <w:rsid w:val="7EB7F290"/>
    <w:rsid w:val="7EC2E949"/>
    <w:rsid w:val="7EC31A2E"/>
    <w:rsid w:val="7EC33B7F"/>
    <w:rsid w:val="7EC92B6B"/>
    <w:rsid w:val="7EEBEFF4"/>
    <w:rsid w:val="7EF3A463"/>
    <w:rsid w:val="7EF8777D"/>
    <w:rsid w:val="7EFEB1F2"/>
    <w:rsid w:val="7EFF03E4"/>
    <w:rsid w:val="7F10B098"/>
    <w:rsid w:val="7F1317F0"/>
    <w:rsid w:val="7F173100"/>
    <w:rsid w:val="7F223C8B"/>
    <w:rsid w:val="7F24CE7B"/>
    <w:rsid w:val="7F2D6882"/>
    <w:rsid w:val="7F31B4F3"/>
    <w:rsid w:val="7F3502E8"/>
    <w:rsid w:val="7F477504"/>
    <w:rsid w:val="7F5FBAFB"/>
    <w:rsid w:val="7F6367B2"/>
    <w:rsid w:val="7F6F30D1"/>
    <w:rsid w:val="7F7AE829"/>
    <w:rsid w:val="7F7ED29B"/>
    <w:rsid w:val="7F90A6F1"/>
    <w:rsid w:val="7F922F39"/>
    <w:rsid w:val="7F943953"/>
    <w:rsid w:val="7F9A43DC"/>
    <w:rsid w:val="7FB7C14C"/>
    <w:rsid w:val="7FC32DFD"/>
    <w:rsid w:val="7FC39415"/>
    <w:rsid w:val="7FDFFAA3"/>
    <w:rsid w:val="7FE0B13C"/>
    <w:rsid w:val="7FE12FD8"/>
    <w:rsid w:val="7FFCD3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0737AF"/>
  <w15:docId w15:val="{6AF830DA-FCF4-42FD-BFEB-3C36F4EE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17"/>
      </w:numPr>
      <w:spacing w:before="240"/>
      <w:outlineLvl w:val="0"/>
    </w:pPr>
    <w:rPr>
      <w:b/>
      <w:smallCaps/>
    </w:rPr>
  </w:style>
  <w:style w:type="paragraph" w:styleId="Heading2">
    <w:name w:val="heading 2"/>
    <w:basedOn w:val="Normal"/>
    <w:next w:val="Text2"/>
    <w:uiPriority w:val="1"/>
    <w:qFormat/>
    <w:pPr>
      <w:keepNext/>
      <w:numPr>
        <w:ilvl w:val="1"/>
        <w:numId w:val="17"/>
      </w:numPr>
      <w:outlineLvl w:val="1"/>
    </w:pPr>
    <w:rPr>
      <w:b/>
    </w:rPr>
  </w:style>
  <w:style w:type="paragraph" w:styleId="Heading3">
    <w:name w:val="heading 3"/>
    <w:basedOn w:val="Normal"/>
    <w:next w:val="Text3"/>
    <w:uiPriority w:val="1"/>
    <w:qFormat/>
    <w:pPr>
      <w:keepNext/>
      <w:numPr>
        <w:ilvl w:val="2"/>
        <w:numId w:val="17"/>
      </w:numPr>
      <w:outlineLvl w:val="2"/>
    </w:pPr>
    <w:rPr>
      <w:i/>
    </w:rPr>
  </w:style>
  <w:style w:type="paragraph" w:styleId="Heading4">
    <w:name w:val="heading 4"/>
    <w:basedOn w:val="Normal"/>
    <w:next w:val="Text4"/>
    <w:uiPriority w:val="1"/>
    <w:qFormat/>
    <w:pPr>
      <w:keepNext/>
      <w:numPr>
        <w:ilvl w:val="3"/>
        <w:numId w:val="17"/>
      </w:numPr>
      <w:outlineLvl w:val="3"/>
    </w:pPr>
  </w:style>
  <w:style w:type="paragraph" w:styleId="Heading5">
    <w:name w:val="heading 5"/>
    <w:basedOn w:val="Normal"/>
    <w:next w:val="Normal"/>
    <w:semiHidden/>
    <w:pPr>
      <w:keepNext/>
      <w:numPr>
        <w:ilvl w:val="4"/>
        <w:numId w:val="17"/>
      </w:numPr>
      <w:outlineLvl w:val="4"/>
    </w:pPr>
  </w:style>
  <w:style w:type="paragraph" w:styleId="Heading6">
    <w:name w:val="heading 6"/>
    <w:basedOn w:val="Normal"/>
    <w:next w:val="Normal"/>
    <w:semiHidden/>
    <w:pPr>
      <w:keepNext/>
      <w:numPr>
        <w:ilvl w:val="5"/>
        <w:numId w:val="17"/>
      </w:numPr>
      <w:outlineLvl w:val="5"/>
    </w:pPr>
  </w:style>
  <w:style w:type="paragraph" w:styleId="Heading7">
    <w:name w:val="heading 7"/>
    <w:basedOn w:val="Normal"/>
    <w:next w:val="Normal"/>
    <w:semiHidden/>
    <w:pPr>
      <w:keepNext/>
      <w:numPr>
        <w:ilvl w:val="6"/>
        <w:numId w:val="17"/>
      </w:numPr>
      <w:outlineLvl w:val="6"/>
    </w:pPr>
  </w:style>
  <w:style w:type="paragraph" w:styleId="Heading8">
    <w:name w:val="heading 8"/>
    <w:basedOn w:val="Normal"/>
    <w:next w:val="Normal"/>
    <w:semiHidden/>
    <w:pPr>
      <w:keepNext/>
      <w:numPr>
        <w:ilvl w:val="7"/>
        <w:numId w:val="17"/>
      </w:numPr>
      <w:outlineLvl w:val="7"/>
    </w:pPr>
  </w:style>
  <w:style w:type="paragraph" w:styleId="Heading9">
    <w:name w:val="heading 9"/>
    <w:basedOn w:val="Normal"/>
    <w:next w:val="Normal"/>
    <w:semiHidden/>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semiHidden/>
    <w:unhideWhenUsed/>
    <w:pPr>
      <w:spacing w:after="120"/>
    </w:pPr>
    <w:rPr>
      <w:b/>
      <w:i/>
    </w:rPr>
  </w:style>
  <w:style w:type="paragraph" w:customStyle="1" w:styleId="TableTitle3">
    <w:name w:val="Table Title 3"/>
    <w:basedOn w:val="Text3"/>
    <w:semiHidden/>
    <w:unhideWhenUsed/>
    <w:pPr>
      <w:spacing w:after="120"/>
    </w:pPr>
    <w:rPr>
      <w:b/>
      <w:i/>
    </w:rPr>
  </w:style>
  <w:style w:type="paragraph" w:customStyle="1" w:styleId="TableTitle2">
    <w:name w:val="Table Title 2"/>
    <w:basedOn w:val="Text2"/>
    <w:semiHidden/>
    <w:unhideWhenUsed/>
    <w:pPr>
      <w:spacing w:after="120"/>
    </w:pPr>
    <w:rPr>
      <w:b/>
      <w:i/>
    </w:rPr>
  </w:style>
  <w:style w:type="paragraph" w:customStyle="1" w:styleId="TableTitle1">
    <w:name w:val="Table Title 1"/>
    <w:basedOn w:val="Text1"/>
    <w:semiHidden/>
    <w:unhideWhenUsed/>
    <w:pPr>
      <w:spacing w:after="120"/>
    </w:pPr>
    <w:rPr>
      <w:b/>
      <w:i/>
    </w:rPr>
  </w:style>
  <w:style w:type="paragraph" w:customStyle="1" w:styleId="TableTitle">
    <w:name w:val="Table Title"/>
    <w:basedOn w:val="Normal"/>
    <w:semiHidden/>
    <w:unhideWhenUsed/>
    <w:pPr>
      <w:spacing w:after="120"/>
    </w:pPr>
    <w:rPr>
      <w:b/>
      <w:i/>
    </w:rPr>
  </w:style>
  <w:style w:type="paragraph" w:customStyle="1" w:styleId="FigureSource4">
    <w:name w:val="Figure Source 4"/>
    <w:basedOn w:val="Text4"/>
    <w:next w:val="Text3"/>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Note">
    <w:name w:val="Figure Note"/>
    <w:basedOn w:val="FigureSource"/>
    <w:next w:val="FigureSource"/>
    <w:uiPriority w:val="2"/>
    <w:rPr>
      <w:b/>
    </w:rPr>
  </w:style>
  <w:style w:type="paragraph" w:customStyle="1" w:styleId="FigureBody4">
    <w:name w:val="Figure Body 4"/>
    <w:basedOn w:val="Text4"/>
    <w:next w:val="FigureNote"/>
    <w:uiPriority w:val="2"/>
    <w:pPr>
      <w:keepNext/>
      <w:spacing w:after="40"/>
    </w:pPr>
  </w:style>
  <w:style w:type="paragraph" w:customStyle="1" w:styleId="FigureBody3">
    <w:name w:val="Figure Body 3"/>
    <w:basedOn w:val="Text3"/>
    <w:next w:val="FigureNote"/>
    <w:uiPriority w:val="2"/>
    <w:pPr>
      <w:keepNext/>
      <w:spacing w:after="40"/>
    </w:pPr>
  </w:style>
  <w:style w:type="paragraph" w:customStyle="1" w:styleId="FigureBody2">
    <w:name w:val="Figure Body 2"/>
    <w:basedOn w:val="Text2"/>
    <w:next w:val="FigureNote"/>
    <w:uiPriority w:val="2"/>
    <w:pPr>
      <w:keepNext/>
      <w:spacing w:after="40"/>
    </w:pPr>
  </w:style>
  <w:style w:type="paragraph" w:customStyle="1" w:styleId="FigureBody1">
    <w:name w:val="Figure Body 1"/>
    <w:basedOn w:val="Text1"/>
    <w:next w:val="FigureNote"/>
    <w:uiPriority w:val="2"/>
    <w:pPr>
      <w:keepNext/>
      <w:spacing w:after="40"/>
    </w:pPr>
  </w:style>
  <w:style w:type="paragraph" w:customStyle="1" w:styleId="FigureBody">
    <w:name w:val="Figure Body"/>
    <w:basedOn w:val="Normal"/>
    <w:next w:val="FigureNote"/>
    <w:uiPriority w:val="2"/>
    <w:pPr>
      <w:keepNext/>
      <w:spacing w:after="40"/>
    </w:pPr>
  </w:style>
  <w:style w:type="paragraph" w:customStyle="1" w:styleId="FigureTitle4">
    <w:name w:val="Figure Title 4"/>
    <w:basedOn w:val="Text4"/>
    <w:next w:val="FigureBody"/>
    <w:uiPriority w:val="2"/>
    <w:pPr>
      <w:keepNext/>
      <w:spacing w:after="180"/>
    </w:pPr>
    <w:rPr>
      <w:b/>
    </w:rPr>
  </w:style>
  <w:style w:type="paragraph" w:customStyle="1" w:styleId="FigureTitle3">
    <w:name w:val="Figure Title 3"/>
    <w:basedOn w:val="Text3"/>
    <w:next w:val="FigureBody"/>
    <w:uiPriority w:val="2"/>
    <w:pPr>
      <w:keepNext/>
      <w:spacing w:after="180"/>
    </w:pPr>
    <w:rPr>
      <w:b/>
    </w:rPr>
  </w:style>
  <w:style w:type="paragraph" w:customStyle="1" w:styleId="FigureTitle2">
    <w:name w:val="Figure Title 2"/>
    <w:basedOn w:val="Text2"/>
    <w:next w:val="FigureBody"/>
    <w:uiPriority w:val="2"/>
    <w:pPr>
      <w:keepNext/>
      <w:spacing w:after="180"/>
    </w:pPr>
    <w:rPr>
      <w:b/>
    </w:rPr>
  </w:style>
  <w:style w:type="paragraph" w:customStyle="1" w:styleId="FigureTitle1">
    <w:name w:val="Figure Title 1"/>
    <w:basedOn w:val="Text1"/>
    <w:next w:val="FigureBody"/>
    <w:uiPriority w:val="2"/>
    <w:pPr>
      <w:keepNext/>
      <w:spacing w:after="180"/>
    </w:pPr>
    <w:rPr>
      <w:b/>
    </w:rPr>
  </w:style>
  <w:style w:type="paragraph" w:customStyle="1" w:styleId="FigureTitle">
    <w:name w:val="Figure Title"/>
    <w:basedOn w:val="Normal"/>
    <w:next w:val="FigureBody"/>
    <w:uiPriority w:val="2"/>
    <w:pPr>
      <w:keepNext/>
      <w:spacing w:after="180"/>
    </w:pPr>
    <w:rPr>
      <w:b/>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nhideWhenUsed/>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20"/>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6"/>
      </w:numPr>
    </w:pPr>
  </w:style>
  <w:style w:type="paragraph" w:customStyle="1" w:styleId="ListBulletLevel2">
    <w:name w:val="List Bullet (Level 2)"/>
    <w:basedOn w:val="Text1"/>
    <w:uiPriority w:val="1"/>
    <w:pPr>
      <w:numPr>
        <w:ilvl w:val="1"/>
        <w:numId w:val="16"/>
      </w:numPr>
    </w:pPr>
  </w:style>
  <w:style w:type="paragraph" w:customStyle="1" w:styleId="ListBulletLevel3">
    <w:name w:val="List Bullet (Level 3)"/>
    <w:basedOn w:val="Text1"/>
    <w:uiPriority w:val="1"/>
    <w:semiHidden/>
    <w:unhideWhenUsed/>
    <w:pPr>
      <w:numPr>
        <w:ilvl w:val="2"/>
        <w:numId w:val="16"/>
      </w:numPr>
    </w:pPr>
  </w:style>
  <w:style w:type="paragraph" w:customStyle="1" w:styleId="ListBulletLevel4">
    <w:name w:val="List Bullet (Level 4)"/>
    <w:basedOn w:val="Text1"/>
    <w:uiPriority w:val="1"/>
    <w:semiHidden/>
    <w:unhideWhenUsed/>
    <w:pPr>
      <w:numPr>
        <w:ilvl w:val="3"/>
        <w:numId w:val="16"/>
      </w:numPr>
    </w:pPr>
  </w:style>
  <w:style w:type="paragraph" w:customStyle="1" w:styleId="ListBullet1">
    <w:name w:val="List Bullet 1"/>
    <w:basedOn w:val="Text1"/>
    <w:uiPriority w:val="1"/>
    <w:pPr>
      <w:numPr>
        <w:numId w:val="15"/>
      </w:numPr>
    </w:pPr>
  </w:style>
  <w:style w:type="paragraph" w:customStyle="1" w:styleId="ListBullet1Level2">
    <w:name w:val="List Bullet 1 (Level 2)"/>
    <w:basedOn w:val="Text1"/>
    <w:uiPriority w:val="1"/>
    <w:pPr>
      <w:numPr>
        <w:ilvl w:val="1"/>
        <w:numId w:val="15"/>
      </w:numPr>
    </w:pPr>
  </w:style>
  <w:style w:type="paragraph" w:customStyle="1" w:styleId="ListBullet1Level3">
    <w:name w:val="List Bullet 1 (Level 3)"/>
    <w:basedOn w:val="Text1"/>
    <w:uiPriority w:val="1"/>
    <w:semiHidden/>
    <w:unhideWhenUsed/>
    <w:pPr>
      <w:numPr>
        <w:ilvl w:val="2"/>
        <w:numId w:val="15"/>
      </w:numPr>
    </w:pPr>
  </w:style>
  <w:style w:type="paragraph" w:customStyle="1" w:styleId="ListBullet1Level4">
    <w:name w:val="List Bullet 1 (Level 4)"/>
    <w:basedOn w:val="Text1"/>
    <w:uiPriority w:val="1"/>
    <w:semiHidden/>
    <w:unhideWhenUsed/>
    <w:pPr>
      <w:numPr>
        <w:ilvl w:val="3"/>
        <w:numId w:val="15"/>
      </w:numPr>
    </w:pPr>
  </w:style>
  <w:style w:type="paragraph" w:styleId="ListBullet2">
    <w:name w:val="List Bullet 2"/>
    <w:basedOn w:val="Text2"/>
    <w:uiPriority w:val="1"/>
    <w:pPr>
      <w:numPr>
        <w:numId w:val="14"/>
      </w:numPr>
    </w:pPr>
  </w:style>
  <w:style w:type="paragraph" w:customStyle="1" w:styleId="ListBullet2Level2">
    <w:name w:val="List Bullet 2 (Level 2)"/>
    <w:basedOn w:val="Text2"/>
    <w:uiPriority w:val="1"/>
    <w:pPr>
      <w:numPr>
        <w:ilvl w:val="1"/>
        <w:numId w:val="14"/>
      </w:numPr>
    </w:pPr>
  </w:style>
  <w:style w:type="paragraph" w:customStyle="1" w:styleId="ListBullet2Level3">
    <w:name w:val="List Bullet 2 (Level 3)"/>
    <w:basedOn w:val="Text2"/>
    <w:uiPriority w:val="1"/>
    <w:semiHidden/>
    <w:unhideWhenUsed/>
    <w:pPr>
      <w:numPr>
        <w:ilvl w:val="2"/>
        <w:numId w:val="14"/>
      </w:numPr>
    </w:pPr>
  </w:style>
  <w:style w:type="paragraph" w:customStyle="1" w:styleId="ListBullet2Level4">
    <w:name w:val="List Bullet 2 (Level 4)"/>
    <w:basedOn w:val="Text2"/>
    <w:uiPriority w:val="1"/>
    <w:semiHidden/>
    <w:unhideWhenUsed/>
    <w:pPr>
      <w:numPr>
        <w:ilvl w:val="3"/>
        <w:numId w:val="14"/>
      </w:numPr>
    </w:pPr>
  </w:style>
  <w:style w:type="paragraph" w:styleId="ListBullet3">
    <w:name w:val="List Bullet 3"/>
    <w:basedOn w:val="Text3"/>
    <w:uiPriority w:val="1"/>
    <w:pPr>
      <w:numPr>
        <w:numId w:val="13"/>
      </w:numPr>
    </w:pPr>
  </w:style>
  <w:style w:type="paragraph" w:customStyle="1" w:styleId="ListBullet3Level2">
    <w:name w:val="List Bullet 3 (Level 2)"/>
    <w:basedOn w:val="Text3"/>
    <w:uiPriority w:val="1"/>
    <w:pPr>
      <w:numPr>
        <w:ilvl w:val="1"/>
        <w:numId w:val="13"/>
      </w:numPr>
    </w:pPr>
  </w:style>
  <w:style w:type="paragraph" w:customStyle="1" w:styleId="ListBullet3Level3">
    <w:name w:val="List Bullet 3 (Level 3)"/>
    <w:basedOn w:val="Text3"/>
    <w:uiPriority w:val="1"/>
    <w:semiHidden/>
    <w:unhideWhenUsed/>
    <w:pPr>
      <w:numPr>
        <w:ilvl w:val="2"/>
        <w:numId w:val="13"/>
      </w:numPr>
    </w:pPr>
  </w:style>
  <w:style w:type="paragraph" w:customStyle="1" w:styleId="ListBullet3Level4">
    <w:name w:val="List Bullet 3 (Level 4)"/>
    <w:basedOn w:val="Text3"/>
    <w:uiPriority w:val="1"/>
    <w:semiHidden/>
    <w:unhideWhenUsed/>
    <w:pPr>
      <w:numPr>
        <w:ilvl w:val="3"/>
        <w:numId w:val="13"/>
      </w:numPr>
    </w:pPr>
  </w:style>
  <w:style w:type="paragraph" w:styleId="ListBullet4">
    <w:name w:val="List Bullet 4"/>
    <w:basedOn w:val="Text4"/>
    <w:uiPriority w:val="1"/>
    <w:pPr>
      <w:numPr>
        <w:numId w:val="12"/>
      </w:numPr>
    </w:pPr>
  </w:style>
  <w:style w:type="paragraph" w:customStyle="1" w:styleId="ListBullet4Level2">
    <w:name w:val="List Bullet 4 (Level 2)"/>
    <w:basedOn w:val="Text4"/>
    <w:uiPriority w:val="1"/>
    <w:pPr>
      <w:numPr>
        <w:ilvl w:val="1"/>
        <w:numId w:val="12"/>
      </w:numPr>
    </w:pPr>
  </w:style>
  <w:style w:type="paragraph" w:customStyle="1" w:styleId="ListBullet4Level3">
    <w:name w:val="List Bullet 4 (Level 3)"/>
    <w:basedOn w:val="Text4"/>
    <w:uiPriority w:val="1"/>
    <w:semiHidden/>
    <w:unhideWhenUsed/>
    <w:pPr>
      <w:numPr>
        <w:ilvl w:val="2"/>
        <w:numId w:val="12"/>
      </w:numPr>
    </w:pPr>
  </w:style>
  <w:style w:type="paragraph" w:customStyle="1" w:styleId="ListBullet4Level4">
    <w:name w:val="List Bullet 4 (Level 4)"/>
    <w:basedOn w:val="Text4"/>
    <w:uiPriority w:val="1"/>
    <w:semiHidden/>
    <w:unhideWhenUsed/>
    <w:pPr>
      <w:numPr>
        <w:ilvl w:val="3"/>
        <w:numId w:val="12"/>
      </w:numPr>
    </w:pPr>
  </w:style>
  <w:style w:type="paragraph" w:customStyle="1" w:styleId="ListDash">
    <w:name w:val="List Dash"/>
    <w:basedOn w:val="Normal"/>
    <w:uiPriority w:val="1"/>
    <w:pPr>
      <w:numPr>
        <w:numId w:val="6"/>
      </w:numPr>
    </w:pPr>
  </w:style>
  <w:style w:type="paragraph" w:customStyle="1" w:styleId="ListDashLevel2">
    <w:name w:val="List Dash (Level 2)"/>
    <w:basedOn w:val="Normal"/>
    <w:uiPriority w:val="1"/>
    <w:pPr>
      <w:numPr>
        <w:ilvl w:val="1"/>
        <w:numId w:val="6"/>
      </w:numPr>
    </w:pPr>
  </w:style>
  <w:style w:type="paragraph" w:customStyle="1" w:styleId="ListDashLevel3">
    <w:name w:val="List Dash (Level 3)"/>
    <w:basedOn w:val="Normal"/>
    <w:uiPriority w:val="1"/>
    <w:semiHidden/>
    <w:unhideWhenUsed/>
    <w:pPr>
      <w:numPr>
        <w:ilvl w:val="2"/>
        <w:numId w:val="6"/>
      </w:numPr>
    </w:pPr>
  </w:style>
  <w:style w:type="paragraph" w:customStyle="1" w:styleId="ListDashLevel4">
    <w:name w:val="List Dash (Level 4)"/>
    <w:basedOn w:val="Normal"/>
    <w:uiPriority w:val="1"/>
    <w:semiHidden/>
    <w:unhideWhenUsed/>
    <w:pPr>
      <w:numPr>
        <w:ilvl w:val="3"/>
        <w:numId w:val="6"/>
      </w:numPr>
    </w:pPr>
  </w:style>
  <w:style w:type="paragraph" w:customStyle="1" w:styleId="ListDash1">
    <w:name w:val="List Dash 1"/>
    <w:basedOn w:val="Text1"/>
    <w:uiPriority w:val="1"/>
    <w:pPr>
      <w:numPr>
        <w:numId w:val="5"/>
      </w:numPr>
    </w:pPr>
  </w:style>
  <w:style w:type="paragraph" w:customStyle="1" w:styleId="ListDash1Level2">
    <w:name w:val="List Dash 1 (Level 2)"/>
    <w:basedOn w:val="Text1"/>
    <w:uiPriority w:val="1"/>
    <w:pPr>
      <w:numPr>
        <w:ilvl w:val="1"/>
        <w:numId w:val="5"/>
      </w:numPr>
    </w:pPr>
  </w:style>
  <w:style w:type="paragraph" w:customStyle="1" w:styleId="ListDash1Level3">
    <w:name w:val="List Dash 1 (Level 3)"/>
    <w:basedOn w:val="Text1"/>
    <w:uiPriority w:val="1"/>
    <w:semiHidden/>
    <w:unhideWhenUsed/>
    <w:pPr>
      <w:numPr>
        <w:ilvl w:val="2"/>
        <w:numId w:val="5"/>
      </w:numPr>
    </w:pPr>
  </w:style>
  <w:style w:type="paragraph" w:customStyle="1" w:styleId="ListDash1Level4">
    <w:name w:val="List Dash 1 (Level 4)"/>
    <w:basedOn w:val="Text1"/>
    <w:uiPriority w:val="1"/>
    <w:semiHidden/>
    <w:unhideWhenUsed/>
    <w:pPr>
      <w:numPr>
        <w:ilvl w:val="3"/>
        <w:numId w:val="5"/>
      </w:numPr>
    </w:pPr>
  </w:style>
  <w:style w:type="paragraph" w:customStyle="1" w:styleId="ListDash2">
    <w:name w:val="List Dash 2"/>
    <w:basedOn w:val="Text2"/>
    <w:uiPriority w:val="1"/>
    <w:pPr>
      <w:numPr>
        <w:numId w:val="4"/>
      </w:numPr>
    </w:pPr>
  </w:style>
  <w:style w:type="paragraph" w:customStyle="1" w:styleId="ListDash2Level2">
    <w:name w:val="List Dash 2 (Level 2)"/>
    <w:basedOn w:val="Text2"/>
    <w:uiPriority w:val="1"/>
    <w:pPr>
      <w:numPr>
        <w:ilvl w:val="1"/>
        <w:numId w:val="4"/>
      </w:numPr>
    </w:pPr>
  </w:style>
  <w:style w:type="paragraph" w:customStyle="1" w:styleId="ListDash2Level3">
    <w:name w:val="List Dash 2 (Level 3)"/>
    <w:basedOn w:val="Text2"/>
    <w:uiPriority w:val="1"/>
    <w:semiHidden/>
    <w:unhideWhenUsed/>
    <w:pPr>
      <w:numPr>
        <w:ilvl w:val="2"/>
        <w:numId w:val="4"/>
      </w:numPr>
    </w:pPr>
  </w:style>
  <w:style w:type="paragraph" w:customStyle="1" w:styleId="ListDash2Level4">
    <w:name w:val="List Dash 2 (Level 4)"/>
    <w:basedOn w:val="Text2"/>
    <w:uiPriority w:val="1"/>
    <w:semiHidden/>
    <w:unhideWhenUsed/>
    <w:pPr>
      <w:numPr>
        <w:ilvl w:val="3"/>
        <w:numId w:val="4"/>
      </w:numPr>
    </w:pPr>
  </w:style>
  <w:style w:type="paragraph" w:customStyle="1" w:styleId="ListDash3">
    <w:name w:val="List Dash 3"/>
    <w:basedOn w:val="Text3"/>
    <w:uiPriority w:val="1"/>
    <w:pPr>
      <w:numPr>
        <w:numId w:val="3"/>
      </w:numPr>
    </w:pPr>
  </w:style>
  <w:style w:type="paragraph" w:customStyle="1" w:styleId="ListDash3Level2">
    <w:name w:val="List Dash 3 (Level 2)"/>
    <w:basedOn w:val="Text3"/>
    <w:uiPriority w:val="1"/>
    <w:pPr>
      <w:numPr>
        <w:ilvl w:val="1"/>
        <w:numId w:val="3"/>
      </w:numPr>
    </w:pPr>
  </w:style>
  <w:style w:type="paragraph" w:customStyle="1" w:styleId="ListDash3Level3">
    <w:name w:val="List Dash 3 (Level 3)"/>
    <w:basedOn w:val="Text3"/>
    <w:uiPriority w:val="1"/>
    <w:semiHidden/>
    <w:unhideWhenUsed/>
    <w:pPr>
      <w:numPr>
        <w:ilvl w:val="2"/>
        <w:numId w:val="3"/>
      </w:numPr>
    </w:pPr>
  </w:style>
  <w:style w:type="paragraph" w:customStyle="1" w:styleId="ListDash3Level4">
    <w:name w:val="List Dash 3 (Level 4)"/>
    <w:basedOn w:val="Text3"/>
    <w:uiPriority w:val="1"/>
    <w:semiHidden/>
    <w:unhideWhenUsed/>
    <w:pPr>
      <w:numPr>
        <w:ilvl w:val="3"/>
        <w:numId w:val="3"/>
      </w:numPr>
    </w:pPr>
  </w:style>
  <w:style w:type="paragraph" w:customStyle="1" w:styleId="ListDash4">
    <w:name w:val="List Dash 4"/>
    <w:basedOn w:val="Text4"/>
    <w:uiPriority w:val="1"/>
    <w:pPr>
      <w:numPr>
        <w:numId w:val="2"/>
      </w:numPr>
    </w:pPr>
  </w:style>
  <w:style w:type="paragraph" w:customStyle="1" w:styleId="ListDash4Level2">
    <w:name w:val="List Dash 4 (Level 2)"/>
    <w:basedOn w:val="Text4"/>
    <w:uiPriority w:val="1"/>
    <w:pPr>
      <w:numPr>
        <w:ilvl w:val="1"/>
        <w:numId w:val="2"/>
      </w:numPr>
    </w:pPr>
  </w:style>
  <w:style w:type="paragraph" w:customStyle="1" w:styleId="ListDash4Level3">
    <w:name w:val="List Dash 4 (Level 3)"/>
    <w:basedOn w:val="Text4"/>
    <w:uiPriority w:val="1"/>
    <w:semiHidden/>
    <w:unhideWhenUsed/>
    <w:pPr>
      <w:numPr>
        <w:ilvl w:val="2"/>
        <w:numId w:val="2"/>
      </w:numPr>
    </w:pPr>
  </w:style>
  <w:style w:type="paragraph" w:customStyle="1" w:styleId="ListDash4Level4">
    <w:name w:val="List Dash 4 (Level 4)"/>
    <w:basedOn w:val="Text4"/>
    <w:uiPriority w:val="1"/>
    <w:semiHidden/>
    <w:unhideWhenUsed/>
    <w:pPr>
      <w:numPr>
        <w:ilvl w:val="3"/>
        <w:numId w:val="2"/>
      </w:numPr>
    </w:pPr>
  </w:style>
  <w:style w:type="paragraph" w:styleId="ListNumber">
    <w:name w:val="List Number"/>
    <w:basedOn w:val="Normal"/>
    <w:uiPriority w:val="1"/>
    <w:pPr>
      <w:numPr>
        <w:numId w:val="11"/>
      </w:numPr>
    </w:pPr>
  </w:style>
  <w:style w:type="paragraph" w:customStyle="1" w:styleId="ListNumberLevel2">
    <w:name w:val="List Number (Level 2)"/>
    <w:basedOn w:val="Normal"/>
    <w:uiPriority w:val="1"/>
    <w:pPr>
      <w:numPr>
        <w:ilvl w:val="1"/>
        <w:numId w:val="11"/>
      </w:numPr>
    </w:pPr>
  </w:style>
  <w:style w:type="paragraph" w:customStyle="1" w:styleId="ListNumberLevel3">
    <w:name w:val="List Number (Level 3)"/>
    <w:basedOn w:val="Normal"/>
    <w:uiPriority w:val="1"/>
    <w:semiHidden/>
    <w:unhideWhenUsed/>
    <w:pPr>
      <w:numPr>
        <w:ilvl w:val="2"/>
        <w:numId w:val="11"/>
      </w:numPr>
    </w:pPr>
  </w:style>
  <w:style w:type="paragraph" w:customStyle="1" w:styleId="ListNumberLevel4">
    <w:name w:val="List Number (Level 4)"/>
    <w:basedOn w:val="Normal"/>
    <w:uiPriority w:val="1"/>
    <w:semiHidden/>
    <w:unhideWhenUsed/>
    <w:pPr>
      <w:numPr>
        <w:ilvl w:val="3"/>
        <w:numId w:val="11"/>
      </w:numPr>
    </w:pPr>
  </w:style>
  <w:style w:type="paragraph" w:customStyle="1" w:styleId="ListNumber1">
    <w:name w:val="List Number 1"/>
    <w:basedOn w:val="Text1"/>
    <w:uiPriority w:val="1"/>
    <w:pPr>
      <w:numPr>
        <w:numId w:val="10"/>
      </w:numPr>
    </w:pPr>
  </w:style>
  <w:style w:type="paragraph" w:customStyle="1" w:styleId="ListNumber1Level2">
    <w:name w:val="List Number 1 (Level 2)"/>
    <w:basedOn w:val="Text1"/>
    <w:uiPriority w:val="1"/>
    <w:pPr>
      <w:numPr>
        <w:ilvl w:val="1"/>
        <w:numId w:val="10"/>
      </w:numPr>
    </w:pPr>
  </w:style>
  <w:style w:type="paragraph" w:customStyle="1" w:styleId="ListNumber1Level3">
    <w:name w:val="List Number 1 (Level 3)"/>
    <w:basedOn w:val="Text1"/>
    <w:uiPriority w:val="1"/>
    <w:semiHidden/>
    <w:unhideWhenUsed/>
    <w:pPr>
      <w:numPr>
        <w:ilvl w:val="2"/>
        <w:numId w:val="10"/>
      </w:numPr>
    </w:pPr>
  </w:style>
  <w:style w:type="paragraph" w:customStyle="1" w:styleId="ListNumber1Level4">
    <w:name w:val="List Number 1 (Level 4)"/>
    <w:basedOn w:val="Text1"/>
    <w:uiPriority w:val="1"/>
    <w:semiHidden/>
    <w:unhideWhenUsed/>
    <w:pPr>
      <w:numPr>
        <w:ilvl w:val="3"/>
        <w:numId w:val="10"/>
      </w:numPr>
    </w:pPr>
  </w:style>
  <w:style w:type="paragraph" w:styleId="ListNumber2">
    <w:name w:val="List Number 2"/>
    <w:basedOn w:val="Text2"/>
    <w:uiPriority w:val="1"/>
    <w:pPr>
      <w:numPr>
        <w:numId w:val="9"/>
      </w:numPr>
    </w:pPr>
  </w:style>
  <w:style w:type="paragraph" w:customStyle="1" w:styleId="ListNumber2Level2">
    <w:name w:val="List Number 2 (Level 2)"/>
    <w:basedOn w:val="Text2"/>
    <w:uiPriority w:val="1"/>
    <w:pPr>
      <w:numPr>
        <w:ilvl w:val="1"/>
        <w:numId w:val="9"/>
      </w:numPr>
    </w:pPr>
  </w:style>
  <w:style w:type="paragraph" w:customStyle="1" w:styleId="ListNumber2Level3">
    <w:name w:val="List Number 2 (Level 3)"/>
    <w:basedOn w:val="Text2"/>
    <w:uiPriority w:val="1"/>
    <w:semiHidden/>
    <w:unhideWhenUsed/>
    <w:pPr>
      <w:numPr>
        <w:ilvl w:val="2"/>
        <w:numId w:val="9"/>
      </w:numPr>
    </w:pPr>
  </w:style>
  <w:style w:type="paragraph" w:customStyle="1" w:styleId="ListNumber2Level4">
    <w:name w:val="List Number 2 (Level 4)"/>
    <w:basedOn w:val="Text2"/>
    <w:uiPriority w:val="1"/>
    <w:semiHidden/>
    <w:unhideWhenUsed/>
    <w:pPr>
      <w:numPr>
        <w:ilvl w:val="3"/>
        <w:numId w:val="9"/>
      </w:numPr>
    </w:pPr>
  </w:style>
  <w:style w:type="paragraph" w:styleId="ListNumber3">
    <w:name w:val="List Number 3"/>
    <w:basedOn w:val="Text3"/>
    <w:uiPriority w:val="1"/>
    <w:pPr>
      <w:numPr>
        <w:numId w:val="8"/>
      </w:numPr>
    </w:pPr>
  </w:style>
  <w:style w:type="paragraph" w:customStyle="1" w:styleId="ListNumber3Level2">
    <w:name w:val="List Number 3 (Level 2)"/>
    <w:basedOn w:val="Text3"/>
    <w:uiPriority w:val="1"/>
    <w:pPr>
      <w:numPr>
        <w:ilvl w:val="1"/>
        <w:numId w:val="8"/>
      </w:numPr>
    </w:pPr>
  </w:style>
  <w:style w:type="paragraph" w:customStyle="1" w:styleId="ListNumber3Level3">
    <w:name w:val="List Number 3 (Level 3)"/>
    <w:basedOn w:val="Text3"/>
    <w:uiPriority w:val="1"/>
    <w:semiHidden/>
    <w:unhideWhenUsed/>
    <w:pPr>
      <w:numPr>
        <w:ilvl w:val="2"/>
        <w:numId w:val="8"/>
      </w:numPr>
    </w:pPr>
  </w:style>
  <w:style w:type="paragraph" w:customStyle="1" w:styleId="ListNumber3Level4">
    <w:name w:val="List Number 3 (Level 4)"/>
    <w:basedOn w:val="Text3"/>
    <w:uiPriority w:val="1"/>
    <w:semiHidden/>
    <w:unhideWhenUsed/>
    <w:pPr>
      <w:numPr>
        <w:ilvl w:val="3"/>
        <w:numId w:val="8"/>
      </w:numPr>
    </w:pPr>
  </w:style>
  <w:style w:type="paragraph" w:styleId="ListNumber4">
    <w:name w:val="List Number 4"/>
    <w:basedOn w:val="Text4"/>
    <w:uiPriority w:val="1"/>
    <w:pPr>
      <w:numPr>
        <w:numId w:val="7"/>
      </w:numPr>
    </w:pPr>
  </w:style>
  <w:style w:type="paragraph" w:customStyle="1" w:styleId="ListNumber4Level2">
    <w:name w:val="List Number 4 (Level 2)"/>
    <w:basedOn w:val="Text4"/>
    <w:uiPriority w:val="1"/>
    <w:pPr>
      <w:numPr>
        <w:ilvl w:val="1"/>
        <w:numId w:val="7"/>
      </w:numPr>
    </w:pPr>
  </w:style>
  <w:style w:type="paragraph" w:customStyle="1" w:styleId="ListNumber4Level3">
    <w:name w:val="List Number 4 (Level 3)"/>
    <w:basedOn w:val="Text4"/>
    <w:uiPriority w:val="1"/>
    <w:semiHidden/>
    <w:unhideWhenUsed/>
    <w:pPr>
      <w:numPr>
        <w:ilvl w:val="2"/>
        <w:numId w:val="7"/>
      </w:numPr>
    </w:pPr>
  </w:style>
  <w:style w:type="paragraph" w:customStyle="1" w:styleId="ListNumber4Level4">
    <w:name w:val="List Number 4 (Level 4)"/>
    <w:basedOn w:val="Text4"/>
    <w:uiPriority w:val="1"/>
    <w:semiHidden/>
    <w:unhideWhenUsed/>
    <w:pPr>
      <w:numPr>
        <w:ilvl w:val="3"/>
        <w:numId w:val="7"/>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8"/>
      </w:numPr>
      <w:spacing w:line="360" w:lineRule="auto"/>
    </w:pPr>
  </w:style>
  <w:style w:type="paragraph" w:customStyle="1" w:styleId="LegalNumPar2">
    <w:name w:val="LegalNumPar2"/>
    <w:basedOn w:val="Normal"/>
    <w:uiPriority w:val="1"/>
    <w:pPr>
      <w:numPr>
        <w:ilvl w:val="1"/>
        <w:numId w:val="18"/>
      </w:numPr>
      <w:spacing w:line="360" w:lineRule="auto"/>
    </w:pPr>
  </w:style>
  <w:style w:type="paragraph" w:customStyle="1" w:styleId="LegalNumPar3">
    <w:name w:val="LegalNumPar3"/>
    <w:basedOn w:val="Normal"/>
    <w:uiPriority w:val="1"/>
    <w:pPr>
      <w:numPr>
        <w:ilvl w:val="2"/>
        <w:numId w:val="18"/>
      </w:numPr>
      <w:spacing w:line="360" w:lineRule="auto"/>
    </w:pPr>
  </w:style>
  <w:style w:type="paragraph" w:customStyle="1" w:styleId="ContNum">
    <w:name w:val="ContNum"/>
    <w:basedOn w:val="Normal"/>
    <w:uiPriority w:val="1"/>
    <w:qFormat/>
    <w:pPr>
      <w:numPr>
        <w:numId w:val="19"/>
      </w:numPr>
    </w:pPr>
  </w:style>
  <w:style w:type="paragraph" w:customStyle="1" w:styleId="ContNumLevel2">
    <w:name w:val="ContNum (Level 2)"/>
    <w:basedOn w:val="Normal"/>
    <w:uiPriority w:val="1"/>
    <w:pPr>
      <w:numPr>
        <w:ilvl w:val="1"/>
        <w:numId w:val="19"/>
      </w:numPr>
    </w:pPr>
  </w:style>
  <w:style w:type="paragraph" w:customStyle="1" w:styleId="ContNumLevel3">
    <w:name w:val="ContNum (Level 3)"/>
    <w:basedOn w:val="Normal"/>
    <w:uiPriority w:val="1"/>
    <w:pPr>
      <w:numPr>
        <w:ilvl w:val="2"/>
        <w:numId w:val="19"/>
      </w:numPr>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History">
    <w:name w:val="Table History"/>
    <w:basedOn w:val="TableNormal"/>
    <w:semiHidden/>
    <w:pPr>
      <w:spacing w:before="60" w:after="60" w:line="264" w:lineRule="auto"/>
    </w:pPr>
    <w:rPr>
      <w:sz w:val="22"/>
    </w:rPr>
    <w:tblPr>
      <w:tblInd w:w="142" w:type="dxa"/>
    </w:tblPr>
  </w:style>
  <w:style w:type="table" w:customStyle="1" w:styleId="SignatureTable">
    <w:name w:val="Signature Table"/>
    <w:basedOn w:val="HelperTableBase"/>
    <w:semiHidden/>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E FNZ,Ref"/>
    <w:basedOn w:val="DefaultParagraphFont"/>
    <w:link w:val="FootnotesymbolCarZchn"/>
    <w:uiPriority w:val="99"/>
    <w:qFormat/>
    <w:locked/>
    <w:rsid w:val="00375B0A"/>
    <w:rPr>
      <w:vertAlign w:val="superscript"/>
    </w:rPr>
  </w:style>
  <w:style w:type="character" w:styleId="Hyperlink">
    <w:name w:val="Hyperlink"/>
    <w:basedOn w:val="DefaultParagraphFont"/>
    <w:uiPriority w:val="99"/>
    <w:locked/>
    <w:rsid w:val="00375B0A"/>
    <w:rPr>
      <w:color w:val="0563C1" w:themeColor="hyperlink"/>
      <w:u w:val="single"/>
    </w:rPr>
  </w:style>
  <w:style w:type="table" w:styleId="TableGrid">
    <w:name w:val="Table Grid"/>
    <w:basedOn w:val="TableNormal"/>
    <w:locked/>
    <w:rsid w:val="009E2019"/>
    <w:tblPr/>
  </w:style>
  <w:style w:type="character" w:customStyle="1" w:styleId="normaltextrun">
    <w:name w:val="normaltextrun"/>
    <w:basedOn w:val="DefaultParagraphFont"/>
    <w:rsid w:val="009E2019"/>
  </w:style>
  <w:style w:type="paragraph" w:styleId="BalloonText">
    <w:name w:val="Balloon Text"/>
    <w:basedOn w:val="Normal"/>
    <w:link w:val="BalloonTextChar"/>
    <w:semiHidden/>
    <w:locked/>
    <w:rsid w:val="003772B0"/>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3772B0"/>
    <w:rPr>
      <w:rFonts w:ascii="Segoe UI" w:hAnsi="Segoe UI" w:cs="Segoe UI"/>
      <w:sz w:val="18"/>
      <w:szCs w:val="18"/>
    </w:rPr>
  </w:style>
  <w:style w:type="character" w:styleId="CommentReference">
    <w:name w:val="annotation reference"/>
    <w:basedOn w:val="DefaultParagraphFont"/>
    <w:uiPriority w:val="99"/>
    <w:semiHidden/>
    <w:locked/>
    <w:rsid w:val="00FA6A3B"/>
    <w:rPr>
      <w:sz w:val="16"/>
      <w:szCs w:val="16"/>
    </w:rPr>
  </w:style>
  <w:style w:type="paragraph" w:styleId="CommentText">
    <w:name w:val="annotation text"/>
    <w:basedOn w:val="Normal"/>
    <w:link w:val="CommentTextChar"/>
    <w:uiPriority w:val="99"/>
    <w:locked/>
    <w:rsid w:val="00FA6A3B"/>
    <w:rPr>
      <w:sz w:val="20"/>
    </w:rPr>
  </w:style>
  <w:style w:type="character" w:customStyle="1" w:styleId="CommentTextChar">
    <w:name w:val="Comment Text Char"/>
    <w:basedOn w:val="DefaultParagraphFont"/>
    <w:link w:val="CommentText"/>
    <w:uiPriority w:val="99"/>
    <w:rsid w:val="00FA6A3B"/>
    <w:rPr>
      <w:sz w:val="20"/>
    </w:rPr>
  </w:style>
  <w:style w:type="paragraph" w:styleId="CommentSubject">
    <w:name w:val="annotation subject"/>
    <w:basedOn w:val="CommentText"/>
    <w:next w:val="CommentText"/>
    <w:link w:val="CommentSubjectChar"/>
    <w:semiHidden/>
    <w:locked/>
    <w:rsid w:val="00FA6A3B"/>
    <w:rPr>
      <w:b/>
      <w:bCs/>
    </w:rPr>
  </w:style>
  <w:style w:type="character" w:customStyle="1" w:styleId="CommentSubjectChar">
    <w:name w:val="Comment Subject Char"/>
    <w:basedOn w:val="CommentTextChar"/>
    <w:link w:val="CommentSubject"/>
    <w:semiHidden/>
    <w:rsid w:val="00FA6A3B"/>
    <w:rPr>
      <w:b/>
      <w:bCs/>
      <w:sz w:val="20"/>
    </w:rPr>
  </w:style>
  <w:style w:type="character" w:styleId="FollowedHyperlink">
    <w:name w:val="FollowedHyperlink"/>
    <w:basedOn w:val="DefaultParagraphFont"/>
    <w:semiHidden/>
    <w:locked/>
    <w:rsid w:val="00550A8E"/>
    <w:rPr>
      <w:color w:val="954F72" w:themeColor="followedHyperlink"/>
      <w:u w:val="single"/>
    </w:rPr>
  </w:style>
  <w:style w:type="paragraph" w:styleId="Revision">
    <w:name w:val="Revision"/>
    <w:hidden/>
    <w:semiHidden/>
    <w:locked/>
    <w:rsid w:val="00345F07"/>
  </w:style>
  <w:style w:type="paragraph" w:styleId="ListParagraph">
    <w:name w:val="List Paragraph"/>
    <w:basedOn w:val="Normal"/>
    <w:qFormat/>
    <w:locked/>
    <w:rsid w:val="006551A6"/>
    <w:pPr>
      <w:ind w:left="720"/>
      <w:contextualSpacing/>
    </w:p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uiPriority w:val="99"/>
    <w:qFormat/>
    <w:rsid w:val="00DF151F"/>
    <w:rPr>
      <w:sz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F151F"/>
    <w:pPr>
      <w:spacing w:after="160" w:line="240" w:lineRule="exact"/>
    </w:pPr>
    <w:rPr>
      <w:vertAlign w:val="superscript"/>
    </w:rPr>
  </w:style>
  <w:style w:type="character" w:customStyle="1" w:styleId="Mention1">
    <w:name w:val="Mention1"/>
    <w:basedOn w:val="DefaultParagraphFont"/>
    <w:uiPriority w:val="99"/>
    <w:unhideWhenUsed/>
    <w:rPr>
      <w:color w:val="2B579A"/>
      <w:shd w:val="clear" w:color="auto" w:fill="E6E6E6"/>
    </w:rPr>
  </w:style>
  <w:style w:type="character" w:customStyle="1" w:styleId="Marker">
    <w:name w:val="Marker"/>
    <w:basedOn w:val="DefaultParagraphFont"/>
    <w:rsid w:val="00462B34"/>
    <w:rPr>
      <w:color w:val="0000FF"/>
      <w:shd w:val="clear" w:color="auto" w:fill="auto"/>
    </w:rPr>
  </w:style>
  <w:style w:type="paragraph" w:customStyle="1" w:styleId="Pagedecouverture">
    <w:name w:val="Page de couverture"/>
    <w:basedOn w:val="Normal"/>
    <w:next w:val="Normal"/>
    <w:rsid w:val="00462B34"/>
    <w:pPr>
      <w:spacing w:after="0"/>
    </w:pPr>
    <w:rPr>
      <w:rFonts w:eastAsiaTheme="minorHAnsi"/>
      <w:szCs w:val="22"/>
      <w:lang w:eastAsia="en-US"/>
    </w:rPr>
  </w:style>
  <w:style w:type="paragraph" w:customStyle="1" w:styleId="FooterCoverPage">
    <w:name w:val="Footer Cover Page"/>
    <w:basedOn w:val="Normal"/>
    <w:link w:val="FooterCoverPageChar"/>
    <w:rsid w:val="00462B34"/>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62B34"/>
  </w:style>
  <w:style w:type="paragraph" w:customStyle="1" w:styleId="FooterSensitivity">
    <w:name w:val="Footer Sensitivity"/>
    <w:basedOn w:val="Normal"/>
    <w:link w:val="FooterSensitivityChar"/>
    <w:rsid w:val="00462B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62B34"/>
    <w:rPr>
      <w:b/>
      <w:sz w:val="32"/>
    </w:rPr>
  </w:style>
  <w:style w:type="paragraph" w:customStyle="1" w:styleId="HeaderCoverPage">
    <w:name w:val="Header Cover Page"/>
    <w:basedOn w:val="Normal"/>
    <w:link w:val="HeaderCoverPageChar"/>
    <w:rsid w:val="00462B34"/>
    <w:pPr>
      <w:tabs>
        <w:tab w:val="center" w:pos="4535"/>
        <w:tab w:val="right" w:pos="9071"/>
      </w:tabs>
      <w:spacing w:after="120"/>
    </w:pPr>
  </w:style>
  <w:style w:type="character" w:customStyle="1" w:styleId="HeaderCoverPageChar">
    <w:name w:val="Header Cover Page Char"/>
    <w:basedOn w:val="DefaultParagraphFont"/>
    <w:link w:val="HeaderCoverPage"/>
    <w:rsid w:val="00462B34"/>
  </w:style>
  <w:style w:type="paragraph" w:customStyle="1" w:styleId="HeaderSensitivity">
    <w:name w:val="Header Sensitivity"/>
    <w:basedOn w:val="Normal"/>
    <w:link w:val="HeaderSensitivityChar"/>
    <w:rsid w:val="00462B3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62B34"/>
    <w:rPr>
      <w:b/>
      <w:sz w:val="32"/>
    </w:rPr>
  </w:style>
  <w:style w:type="paragraph" w:customStyle="1" w:styleId="HeaderSensitivityRight">
    <w:name w:val="Header Sensitivity Right"/>
    <w:basedOn w:val="Normal"/>
    <w:link w:val="HeaderSensitivityRightChar"/>
    <w:rsid w:val="002D060B"/>
    <w:pPr>
      <w:spacing w:after="120"/>
      <w:jc w:val="right"/>
    </w:pPr>
    <w:rPr>
      <w:sz w:val="28"/>
    </w:rPr>
  </w:style>
  <w:style w:type="character" w:customStyle="1" w:styleId="HeaderSensitivityRightChar">
    <w:name w:val="Header Sensitivity Right Char"/>
    <w:basedOn w:val="DefaultParagraphFont"/>
    <w:link w:val="HeaderSensitivityRight"/>
    <w:rsid w:val="00462B34"/>
    <w:rPr>
      <w:sz w:val="28"/>
    </w:rPr>
  </w:style>
  <w:style w:type="character" w:customStyle="1" w:styleId="FooterChar">
    <w:name w:val="Footer Char"/>
    <w:basedOn w:val="DefaultParagraphFont"/>
    <w:link w:val="Footer"/>
    <w:uiPriority w:val="99"/>
    <w:rsid w:val="00FF55ED"/>
    <w:rPr>
      <w:sz w:val="16"/>
    </w:rPr>
  </w:style>
  <w:style w:type="paragraph" w:customStyle="1" w:styleId="Languesfaisantfoi">
    <w:name w:val="Langues faisant foi"/>
    <w:basedOn w:val="Normal"/>
    <w:next w:val="Normal"/>
    <w:rsid w:val="00630D15"/>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630D15"/>
    <w:pPr>
      <w:spacing w:before="360"/>
      <w:jc w:val="center"/>
    </w:pPr>
    <w:rPr>
      <w:rFonts w:eastAsiaTheme="minorHAnsi"/>
      <w:szCs w:val="22"/>
      <w:lang w:eastAsia="en-US"/>
    </w:rPr>
  </w:style>
  <w:style w:type="paragraph" w:customStyle="1" w:styleId="IntrtEEE">
    <w:name w:val="Intérêt EEE"/>
    <w:basedOn w:val="Languesfaisantfoi"/>
    <w:next w:val="Normal"/>
    <w:rsid w:val="00630D15"/>
    <w:pPr>
      <w:spacing w:after="0"/>
    </w:pPr>
  </w:style>
  <w:style w:type="paragraph" w:customStyle="1" w:styleId="IntrtEEEPagedecouverture">
    <w:name w:val="Intérêt EEE (Page de couverture)"/>
    <w:basedOn w:val="IntrtEEE"/>
    <w:next w:val="Normal"/>
    <w:rsid w:val="00630D15"/>
  </w:style>
  <w:style w:type="character" w:customStyle="1" w:styleId="Mention">
    <w:name w:val="Mention"/>
    <w:basedOn w:val="DefaultParagraphFont"/>
    <w:uiPriority w:val="99"/>
    <w:unhideWhenUsed/>
    <w:rsid w:val="009B315D"/>
    <w:rPr>
      <w:color w:val="2B579A"/>
      <w:shd w:val="clear" w:color="auto" w:fill="E1DFDD"/>
    </w:rPr>
  </w:style>
  <w:style w:type="character" w:customStyle="1" w:styleId="UnresolvedMention">
    <w:name w:val="Unresolved Mention"/>
    <w:basedOn w:val="DefaultParagraphFont"/>
    <w:uiPriority w:val="99"/>
    <w:semiHidden/>
    <w:unhideWhenUsed/>
    <w:rsid w:val="00FD4FCA"/>
    <w:rPr>
      <w:color w:val="605E5C"/>
      <w:shd w:val="clear" w:color="auto" w:fill="E1DFDD"/>
    </w:rPr>
  </w:style>
  <w:style w:type="table" w:customStyle="1" w:styleId="TableGrid1">
    <w:name w:val="Table Grid1"/>
    <w:basedOn w:val="TableNormal"/>
    <w:next w:val="TableGrid"/>
    <w:uiPriority w:val="39"/>
    <w:rsid w:val="006F7438"/>
    <w:rPr>
      <w:rFonts w:ascii="Aptos" w:eastAsia="Aptos" w:hAnsi="Aptos" w:cs="Arial"/>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F684C"/>
    <w:rPr>
      <w:rFonts w:ascii="Aptos" w:eastAsia="Aptos" w:hAnsi="Aptos" w:cs="Arial"/>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2D060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D060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D060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D060B"/>
    <w:pPr>
      <w:spacing w:after="0" w:line="276" w:lineRule="auto"/>
      <w:ind w:left="5103"/>
      <w:jc w:val="left"/>
    </w:pPr>
    <w:rPr>
      <w:rFonts w:eastAsiaTheme="minorHAnsi"/>
      <w:i/>
      <w:sz w:val="28"/>
      <w:szCs w:val="22"/>
      <w:lang w:eastAsia="en-US"/>
    </w:rPr>
  </w:style>
  <w:style w:type="paragraph" w:styleId="NormalWeb">
    <w:name w:val="Normal (Web)"/>
    <w:basedOn w:val="Normal"/>
    <w:semiHidden/>
    <w:locked/>
    <w:rsid w:val="001B1F85"/>
    <w:rPr>
      <w:szCs w:val="24"/>
    </w:rPr>
  </w:style>
  <w:style w:type="character" w:styleId="EndnoteReference">
    <w:name w:val="endnote reference"/>
    <w:basedOn w:val="DefaultParagraphFont"/>
    <w:semiHidden/>
    <w:locked/>
    <w:rsid w:val="00C20F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3225">
      <w:bodyDiv w:val="1"/>
      <w:marLeft w:val="0"/>
      <w:marRight w:val="0"/>
      <w:marTop w:val="0"/>
      <w:marBottom w:val="0"/>
      <w:divBdr>
        <w:top w:val="none" w:sz="0" w:space="0" w:color="auto"/>
        <w:left w:val="none" w:sz="0" w:space="0" w:color="auto"/>
        <w:bottom w:val="none" w:sz="0" w:space="0" w:color="auto"/>
        <w:right w:val="none" w:sz="0" w:space="0" w:color="auto"/>
      </w:divBdr>
      <w:divsChild>
        <w:div w:id="468280257">
          <w:marLeft w:val="0"/>
          <w:marRight w:val="0"/>
          <w:marTop w:val="0"/>
          <w:marBottom w:val="0"/>
          <w:divBdr>
            <w:top w:val="none" w:sz="0" w:space="0" w:color="auto"/>
            <w:left w:val="none" w:sz="0" w:space="0" w:color="auto"/>
            <w:bottom w:val="none" w:sz="0" w:space="0" w:color="auto"/>
            <w:right w:val="none" w:sz="0" w:space="0" w:color="auto"/>
          </w:divBdr>
          <w:divsChild>
            <w:div w:id="1941452521">
              <w:marLeft w:val="0"/>
              <w:marRight w:val="0"/>
              <w:marTop w:val="0"/>
              <w:marBottom w:val="0"/>
              <w:divBdr>
                <w:top w:val="none" w:sz="0" w:space="0" w:color="auto"/>
                <w:left w:val="none" w:sz="0" w:space="0" w:color="auto"/>
                <w:bottom w:val="none" w:sz="0" w:space="0" w:color="auto"/>
                <w:right w:val="none" w:sz="0" w:space="0" w:color="auto"/>
              </w:divBdr>
              <w:divsChild>
                <w:div w:id="796340601">
                  <w:marLeft w:val="0"/>
                  <w:marRight w:val="0"/>
                  <w:marTop w:val="0"/>
                  <w:marBottom w:val="0"/>
                  <w:divBdr>
                    <w:top w:val="none" w:sz="0" w:space="0" w:color="auto"/>
                    <w:left w:val="none" w:sz="0" w:space="0" w:color="auto"/>
                    <w:bottom w:val="none" w:sz="0" w:space="0" w:color="auto"/>
                    <w:right w:val="none" w:sz="0" w:space="0" w:color="auto"/>
                  </w:divBdr>
                  <w:divsChild>
                    <w:div w:id="1258127260">
                      <w:marLeft w:val="0"/>
                      <w:marRight w:val="0"/>
                      <w:marTop w:val="0"/>
                      <w:marBottom w:val="0"/>
                      <w:divBdr>
                        <w:top w:val="none" w:sz="0" w:space="0" w:color="auto"/>
                        <w:left w:val="none" w:sz="0" w:space="0" w:color="auto"/>
                        <w:bottom w:val="none" w:sz="0" w:space="0" w:color="auto"/>
                        <w:right w:val="none" w:sz="0" w:space="0" w:color="auto"/>
                      </w:divBdr>
                      <w:divsChild>
                        <w:div w:id="2049796175">
                          <w:marLeft w:val="0"/>
                          <w:marRight w:val="0"/>
                          <w:marTop w:val="0"/>
                          <w:marBottom w:val="0"/>
                          <w:divBdr>
                            <w:top w:val="none" w:sz="0" w:space="0" w:color="auto"/>
                            <w:left w:val="none" w:sz="0" w:space="0" w:color="auto"/>
                            <w:bottom w:val="none" w:sz="0" w:space="0" w:color="auto"/>
                            <w:right w:val="none" w:sz="0" w:space="0" w:color="auto"/>
                          </w:divBdr>
                          <w:divsChild>
                            <w:div w:id="819229814">
                              <w:marLeft w:val="0"/>
                              <w:marRight w:val="0"/>
                              <w:marTop w:val="0"/>
                              <w:marBottom w:val="0"/>
                              <w:divBdr>
                                <w:top w:val="none" w:sz="0" w:space="0" w:color="auto"/>
                                <w:left w:val="none" w:sz="0" w:space="0" w:color="auto"/>
                                <w:bottom w:val="none" w:sz="0" w:space="0" w:color="auto"/>
                                <w:right w:val="none" w:sz="0" w:space="0" w:color="auto"/>
                              </w:divBdr>
                              <w:divsChild>
                                <w:div w:id="19069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72227">
      <w:bodyDiv w:val="1"/>
      <w:marLeft w:val="0"/>
      <w:marRight w:val="0"/>
      <w:marTop w:val="0"/>
      <w:marBottom w:val="0"/>
      <w:divBdr>
        <w:top w:val="none" w:sz="0" w:space="0" w:color="auto"/>
        <w:left w:val="none" w:sz="0" w:space="0" w:color="auto"/>
        <w:bottom w:val="none" w:sz="0" w:space="0" w:color="auto"/>
        <w:right w:val="none" w:sz="0" w:space="0" w:color="auto"/>
      </w:divBdr>
    </w:div>
    <w:div w:id="139735675">
      <w:bodyDiv w:val="1"/>
      <w:marLeft w:val="0"/>
      <w:marRight w:val="0"/>
      <w:marTop w:val="0"/>
      <w:marBottom w:val="0"/>
      <w:divBdr>
        <w:top w:val="none" w:sz="0" w:space="0" w:color="auto"/>
        <w:left w:val="none" w:sz="0" w:space="0" w:color="auto"/>
        <w:bottom w:val="none" w:sz="0" w:space="0" w:color="auto"/>
        <w:right w:val="none" w:sz="0" w:space="0" w:color="auto"/>
      </w:divBdr>
    </w:div>
    <w:div w:id="158008670">
      <w:bodyDiv w:val="1"/>
      <w:marLeft w:val="0"/>
      <w:marRight w:val="0"/>
      <w:marTop w:val="0"/>
      <w:marBottom w:val="0"/>
      <w:divBdr>
        <w:top w:val="none" w:sz="0" w:space="0" w:color="auto"/>
        <w:left w:val="none" w:sz="0" w:space="0" w:color="auto"/>
        <w:bottom w:val="none" w:sz="0" w:space="0" w:color="auto"/>
        <w:right w:val="none" w:sz="0" w:space="0" w:color="auto"/>
      </w:divBdr>
    </w:div>
    <w:div w:id="206992913">
      <w:bodyDiv w:val="1"/>
      <w:marLeft w:val="0"/>
      <w:marRight w:val="0"/>
      <w:marTop w:val="0"/>
      <w:marBottom w:val="0"/>
      <w:divBdr>
        <w:top w:val="none" w:sz="0" w:space="0" w:color="auto"/>
        <w:left w:val="none" w:sz="0" w:space="0" w:color="auto"/>
        <w:bottom w:val="none" w:sz="0" w:space="0" w:color="auto"/>
        <w:right w:val="none" w:sz="0" w:space="0" w:color="auto"/>
      </w:divBdr>
    </w:div>
    <w:div w:id="267543191">
      <w:bodyDiv w:val="1"/>
      <w:marLeft w:val="0"/>
      <w:marRight w:val="0"/>
      <w:marTop w:val="0"/>
      <w:marBottom w:val="0"/>
      <w:divBdr>
        <w:top w:val="none" w:sz="0" w:space="0" w:color="auto"/>
        <w:left w:val="none" w:sz="0" w:space="0" w:color="auto"/>
        <w:bottom w:val="none" w:sz="0" w:space="0" w:color="auto"/>
        <w:right w:val="none" w:sz="0" w:space="0" w:color="auto"/>
      </w:divBdr>
      <w:divsChild>
        <w:div w:id="1278944649">
          <w:marLeft w:val="0"/>
          <w:marRight w:val="0"/>
          <w:marTop w:val="0"/>
          <w:marBottom w:val="0"/>
          <w:divBdr>
            <w:top w:val="none" w:sz="0" w:space="0" w:color="auto"/>
            <w:left w:val="none" w:sz="0" w:space="0" w:color="auto"/>
            <w:bottom w:val="none" w:sz="0" w:space="0" w:color="auto"/>
            <w:right w:val="none" w:sz="0" w:space="0" w:color="auto"/>
          </w:divBdr>
        </w:div>
      </w:divsChild>
    </w:div>
    <w:div w:id="289746841">
      <w:bodyDiv w:val="1"/>
      <w:marLeft w:val="0"/>
      <w:marRight w:val="0"/>
      <w:marTop w:val="0"/>
      <w:marBottom w:val="0"/>
      <w:divBdr>
        <w:top w:val="none" w:sz="0" w:space="0" w:color="auto"/>
        <w:left w:val="none" w:sz="0" w:space="0" w:color="auto"/>
        <w:bottom w:val="none" w:sz="0" w:space="0" w:color="auto"/>
        <w:right w:val="none" w:sz="0" w:space="0" w:color="auto"/>
      </w:divBdr>
    </w:div>
    <w:div w:id="295529843">
      <w:bodyDiv w:val="1"/>
      <w:marLeft w:val="0"/>
      <w:marRight w:val="0"/>
      <w:marTop w:val="0"/>
      <w:marBottom w:val="0"/>
      <w:divBdr>
        <w:top w:val="none" w:sz="0" w:space="0" w:color="auto"/>
        <w:left w:val="none" w:sz="0" w:space="0" w:color="auto"/>
        <w:bottom w:val="none" w:sz="0" w:space="0" w:color="auto"/>
        <w:right w:val="none" w:sz="0" w:space="0" w:color="auto"/>
      </w:divBdr>
    </w:div>
    <w:div w:id="330763807">
      <w:bodyDiv w:val="1"/>
      <w:marLeft w:val="0"/>
      <w:marRight w:val="0"/>
      <w:marTop w:val="0"/>
      <w:marBottom w:val="0"/>
      <w:divBdr>
        <w:top w:val="none" w:sz="0" w:space="0" w:color="auto"/>
        <w:left w:val="none" w:sz="0" w:space="0" w:color="auto"/>
        <w:bottom w:val="none" w:sz="0" w:space="0" w:color="auto"/>
        <w:right w:val="none" w:sz="0" w:space="0" w:color="auto"/>
      </w:divBdr>
    </w:div>
    <w:div w:id="330987961">
      <w:bodyDiv w:val="1"/>
      <w:marLeft w:val="0"/>
      <w:marRight w:val="0"/>
      <w:marTop w:val="0"/>
      <w:marBottom w:val="0"/>
      <w:divBdr>
        <w:top w:val="none" w:sz="0" w:space="0" w:color="auto"/>
        <w:left w:val="none" w:sz="0" w:space="0" w:color="auto"/>
        <w:bottom w:val="none" w:sz="0" w:space="0" w:color="auto"/>
        <w:right w:val="none" w:sz="0" w:space="0" w:color="auto"/>
      </w:divBdr>
    </w:div>
    <w:div w:id="334234852">
      <w:bodyDiv w:val="1"/>
      <w:marLeft w:val="0"/>
      <w:marRight w:val="0"/>
      <w:marTop w:val="0"/>
      <w:marBottom w:val="0"/>
      <w:divBdr>
        <w:top w:val="none" w:sz="0" w:space="0" w:color="auto"/>
        <w:left w:val="none" w:sz="0" w:space="0" w:color="auto"/>
        <w:bottom w:val="none" w:sz="0" w:space="0" w:color="auto"/>
        <w:right w:val="none" w:sz="0" w:space="0" w:color="auto"/>
      </w:divBdr>
      <w:divsChild>
        <w:div w:id="280839330">
          <w:marLeft w:val="0"/>
          <w:marRight w:val="0"/>
          <w:marTop w:val="0"/>
          <w:marBottom w:val="0"/>
          <w:divBdr>
            <w:top w:val="none" w:sz="0" w:space="0" w:color="auto"/>
            <w:left w:val="none" w:sz="0" w:space="0" w:color="auto"/>
            <w:bottom w:val="none" w:sz="0" w:space="0" w:color="auto"/>
            <w:right w:val="none" w:sz="0" w:space="0" w:color="auto"/>
          </w:divBdr>
        </w:div>
      </w:divsChild>
    </w:div>
    <w:div w:id="343825376">
      <w:bodyDiv w:val="1"/>
      <w:marLeft w:val="0"/>
      <w:marRight w:val="0"/>
      <w:marTop w:val="0"/>
      <w:marBottom w:val="0"/>
      <w:divBdr>
        <w:top w:val="none" w:sz="0" w:space="0" w:color="auto"/>
        <w:left w:val="none" w:sz="0" w:space="0" w:color="auto"/>
        <w:bottom w:val="none" w:sz="0" w:space="0" w:color="auto"/>
        <w:right w:val="none" w:sz="0" w:space="0" w:color="auto"/>
      </w:divBdr>
    </w:div>
    <w:div w:id="353386965">
      <w:bodyDiv w:val="1"/>
      <w:marLeft w:val="0"/>
      <w:marRight w:val="0"/>
      <w:marTop w:val="0"/>
      <w:marBottom w:val="0"/>
      <w:divBdr>
        <w:top w:val="none" w:sz="0" w:space="0" w:color="auto"/>
        <w:left w:val="none" w:sz="0" w:space="0" w:color="auto"/>
        <w:bottom w:val="none" w:sz="0" w:space="0" w:color="auto"/>
        <w:right w:val="none" w:sz="0" w:space="0" w:color="auto"/>
      </w:divBdr>
    </w:div>
    <w:div w:id="387918233">
      <w:bodyDiv w:val="1"/>
      <w:marLeft w:val="0"/>
      <w:marRight w:val="0"/>
      <w:marTop w:val="0"/>
      <w:marBottom w:val="0"/>
      <w:divBdr>
        <w:top w:val="none" w:sz="0" w:space="0" w:color="auto"/>
        <w:left w:val="none" w:sz="0" w:space="0" w:color="auto"/>
        <w:bottom w:val="none" w:sz="0" w:space="0" w:color="auto"/>
        <w:right w:val="none" w:sz="0" w:space="0" w:color="auto"/>
      </w:divBdr>
    </w:div>
    <w:div w:id="432438062">
      <w:bodyDiv w:val="1"/>
      <w:marLeft w:val="0"/>
      <w:marRight w:val="0"/>
      <w:marTop w:val="0"/>
      <w:marBottom w:val="0"/>
      <w:divBdr>
        <w:top w:val="none" w:sz="0" w:space="0" w:color="auto"/>
        <w:left w:val="none" w:sz="0" w:space="0" w:color="auto"/>
        <w:bottom w:val="none" w:sz="0" w:space="0" w:color="auto"/>
        <w:right w:val="none" w:sz="0" w:space="0" w:color="auto"/>
      </w:divBdr>
    </w:div>
    <w:div w:id="432750311">
      <w:bodyDiv w:val="1"/>
      <w:marLeft w:val="0"/>
      <w:marRight w:val="0"/>
      <w:marTop w:val="0"/>
      <w:marBottom w:val="0"/>
      <w:divBdr>
        <w:top w:val="none" w:sz="0" w:space="0" w:color="auto"/>
        <w:left w:val="none" w:sz="0" w:space="0" w:color="auto"/>
        <w:bottom w:val="none" w:sz="0" w:space="0" w:color="auto"/>
        <w:right w:val="none" w:sz="0" w:space="0" w:color="auto"/>
      </w:divBdr>
    </w:div>
    <w:div w:id="449936044">
      <w:bodyDiv w:val="1"/>
      <w:marLeft w:val="0"/>
      <w:marRight w:val="0"/>
      <w:marTop w:val="0"/>
      <w:marBottom w:val="0"/>
      <w:divBdr>
        <w:top w:val="none" w:sz="0" w:space="0" w:color="auto"/>
        <w:left w:val="none" w:sz="0" w:space="0" w:color="auto"/>
        <w:bottom w:val="none" w:sz="0" w:space="0" w:color="auto"/>
        <w:right w:val="none" w:sz="0" w:space="0" w:color="auto"/>
      </w:divBdr>
    </w:div>
    <w:div w:id="464661130">
      <w:bodyDiv w:val="1"/>
      <w:marLeft w:val="0"/>
      <w:marRight w:val="0"/>
      <w:marTop w:val="0"/>
      <w:marBottom w:val="0"/>
      <w:divBdr>
        <w:top w:val="none" w:sz="0" w:space="0" w:color="auto"/>
        <w:left w:val="none" w:sz="0" w:space="0" w:color="auto"/>
        <w:bottom w:val="none" w:sz="0" w:space="0" w:color="auto"/>
        <w:right w:val="none" w:sz="0" w:space="0" w:color="auto"/>
      </w:divBdr>
      <w:divsChild>
        <w:div w:id="333849136">
          <w:marLeft w:val="0"/>
          <w:marRight w:val="0"/>
          <w:marTop w:val="0"/>
          <w:marBottom w:val="0"/>
          <w:divBdr>
            <w:top w:val="none" w:sz="0" w:space="0" w:color="auto"/>
            <w:left w:val="none" w:sz="0" w:space="0" w:color="auto"/>
            <w:bottom w:val="none" w:sz="0" w:space="0" w:color="auto"/>
            <w:right w:val="none" w:sz="0" w:space="0" w:color="auto"/>
          </w:divBdr>
        </w:div>
      </w:divsChild>
    </w:div>
    <w:div w:id="472407183">
      <w:bodyDiv w:val="1"/>
      <w:marLeft w:val="0"/>
      <w:marRight w:val="0"/>
      <w:marTop w:val="0"/>
      <w:marBottom w:val="0"/>
      <w:divBdr>
        <w:top w:val="none" w:sz="0" w:space="0" w:color="auto"/>
        <w:left w:val="none" w:sz="0" w:space="0" w:color="auto"/>
        <w:bottom w:val="none" w:sz="0" w:space="0" w:color="auto"/>
        <w:right w:val="none" w:sz="0" w:space="0" w:color="auto"/>
      </w:divBdr>
    </w:div>
    <w:div w:id="476141957">
      <w:bodyDiv w:val="1"/>
      <w:marLeft w:val="0"/>
      <w:marRight w:val="0"/>
      <w:marTop w:val="0"/>
      <w:marBottom w:val="0"/>
      <w:divBdr>
        <w:top w:val="none" w:sz="0" w:space="0" w:color="auto"/>
        <w:left w:val="none" w:sz="0" w:space="0" w:color="auto"/>
        <w:bottom w:val="none" w:sz="0" w:space="0" w:color="auto"/>
        <w:right w:val="none" w:sz="0" w:space="0" w:color="auto"/>
      </w:divBdr>
      <w:divsChild>
        <w:div w:id="1802263152">
          <w:marLeft w:val="0"/>
          <w:marRight w:val="0"/>
          <w:marTop w:val="0"/>
          <w:marBottom w:val="0"/>
          <w:divBdr>
            <w:top w:val="none" w:sz="0" w:space="0" w:color="auto"/>
            <w:left w:val="none" w:sz="0" w:space="0" w:color="auto"/>
            <w:bottom w:val="none" w:sz="0" w:space="0" w:color="auto"/>
            <w:right w:val="none" w:sz="0" w:space="0" w:color="auto"/>
          </w:divBdr>
          <w:divsChild>
            <w:div w:id="733356844">
              <w:marLeft w:val="0"/>
              <w:marRight w:val="0"/>
              <w:marTop w:val="0"/>
              <w:marBottom w:val="0"/>
              <w:divBdr>
                <w:top w:val="none" w:sz="0" w:space="0" w:color="auto"/>
                <w:left w:val="none" w:sz="0" w:space="0" w:color="auto"/>
                <w:bottom w:val="none" w:sz="0" w:space="0" w:color="auto"/>
                <w:right w:val="none" w:sz="0" w:space="0" w:color="auto"/>
              </w:divBdr>
              <w:divsChild>
                <w:div w:id="957104377">
                  <w:marLeft w:val="0"/>
                  <w:marRight w:val="0"/>
                  <w:marTop w:val="0"/>
                  <w:marBottom w:val="0"/>
                  <w:divBdr>
                    <w:top w:val="none" w:sz="0" w:space="0" w:color="auto"/>
                    <w:left w:val="none" w:sz="0" w:space="0" w:color="auto"/>
                    <w:bottom w:val="none" w:sz="0" w:space="0" w:color="auto"/>
                    <w:right w:val="none" w:sz="0" w:space="0" w:color="auto"/>
                  </w:divBdr>
                  <w:divsChild>
                    <w:div w:id="2113890162">
                      <w:marLeft w:val="0"/>
                      <w:marRight w:val="0"/>
                      <w:marTop w:val="0"/>
                      <w:marBottom w:val="0"/>
                      <w:divBdr>
                        <w:top w:val="none" w:sz="0" w:space="0" w:color="auto"/>
                        <w:left w:val="none" w:sz="0" w:space="0" w:color="auto"/>
                        <w:bottom w:val="none" w:sz="0" w:space="0" w:color="auto"/>
                        <w:right w:val="none" w:sz="0" w:space="0" w:color="auto"/>
                      </w:divBdr>
                      <w:divsChild>
                        <w:div w:id="1405298761">
                          <w:marLeft w:val="0"/>
                          <w:marRight w:val="0"/>
                          <w:marTop w:val="0"/>
                          <w:marBottom w:val="0"/>
                          <w:divBdr>
                            <w:top w:val="none" w:sz="0" w:space="0" w:color="auto"/>
                            <w:left w:val="none" w:sz="0" w:space="0" w:color="auto"/>
                            <w:bottom w:val="none" w:sz="0" w:space="0" w:color="auto"/>
                            <w:right w:val="none" w:sz="0" w:space="0" w:color="auto"/>
                          </w:divBdr>
                          <w:divsChild>
                            <w:div w:id="1774520269">
                              <w:marLeft w:val="0"/>
                              <w:marRight w:val="0"/>
                              <w:marTop w:val="0"/>
                              <w:marBottom w:val="0"/>
                              <w:divBdr>
                                <w:top w:val="none" w:sz="0" w:space="0" w:color="auto"/>
                                <w:left w:val="none" w:sz="0" w:space="0" w:color="auto"/>
                                <w:bottom w:val="none" w:sz="0" w:space="0" w:color="auto"/>
                                <w:right w:val="none" w:sz="0" w:space="0" w:color="auto"/>
                              </w:divBdr>
                              <w:divsChild>
                                <w:div w:id="189434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797496">
      <w:bodyDiv w:val="1"/>
      <w:marLeft w:val="0"/>
      <w:marRight w:val="0"/>
      <w:marTop w:val="0"/>
      <w:marBottom w:val="0"/>
      <w:divBdr>
        <w:top w:val="none" w:sz="0" w:space="0" w:color="auto"/>
        <w:left w:val="none" w:sz="0" w:space="0" w:color="auto"/>
        <w:bottom w:val="none" w:sz="0" w:space="0" w:color="auto"/>
        <w:right w:val="none" w:sz="0" w:space="0" w:color="auto"/>
      </w:divBdr>
    </w:div>
    <w:div w:id="532766484">
      <w:bodyDiv w:val="1"/>
      <w:marLeft w:val="0"/>
      <w:marRight w:val="0"/>
      <w:marTop w:val="0"/>
      <w:marBottom w:val="0"/>
      <w:divBdr>
        <w:top w:val="none" w:sz="0" w:space="0" w:color="auto"/>
        <w:left w:val="none" w:sz="0" w:space="0" w:color="auto"/>
        <w:bottom w:val="none" w:sz="0" w:space="0" w:color="auto"/>
        <w:right w:val="none" w:sz="0" w:space="0" w:color="auto"/>
      </w:divBdr>
    </w:div>
    <w:div w:id="560680783">
      <w:bodyDiv w:val="1"/>
      <w:marLeft w:val="0"/>
      <w:marRight w:val="0"/>
      <w:marTop w:val="0"/>
      <w:marBottom w:val="0"/>
      <w:divBdr>
        <w:top w:val="none" w:sz="0" w:space="0" w:color="auto"/>
        <w:left w:val="none" w:sz="0" w:space="0" w:color="auto"/>
        <w:bottom w:val="none" w:sz="0" w:space="0" w:color="auto"/>
        <w:right w:val="none" w:sz="0" w:space="0" w:color="auto"/>
      </w:divBdr>
    </w:div>
    <w:div w:id="627129860">
      <w:bodyDiv w:val="1"/>
      <w:marLeft w:val="0"/>
      <w:marRight w:val="0"/>
      <w:marTop w:val="0"/>
      <w:marBottom w:val="0"/>
      <w:divBdr>
        <w:top w:val="none" w:sz="0" w:space="0" w:color="auto"/>
        <w:left w:val="none" w:sz="0" w:space="0" w:color="auto"/>
        <w:bottom w:val="none" w:sz="0" w:space="0" w:color="auto"/>
        <w:right w:val="none" w:sz="0" w:space="0" w:color="auto"/>
      </w:divBdr>
    </w:div>
    <w:div w:id="632370103">
      <w:bodyDiv w:val="1"/>
      <w:marLeft w:val="0"/>
      <w:marRight w:val="0"/>
      <w:marTop w:val="0"/>
      <w:marBottom w:val="0"/>
      <w:divBdr>
        <w:top w:val="none" w:sz="0" w:space="0" w:color="auto"/>
        <w:left w:val="none" w:sz="0" w:space="0" w:color="auto"/>
        <w:bottom w:val="none" w:sz="0" w:space="0" w:color="auto"/>
        <w:right w:val="none" w:sz="0" w:space="0" w:color="auto"/>
      </w:divBdr>
    </w:div>
    <w:div w:id="678241285">
      <w:bodyDiv w:val="1"/>
      <w:marLeft w:val="0"/>
      <w:marRight w:val="0"/>
      <w:marTop w:val="0"/>
      <w:marBottom w:val="0"/>
      <w:divBdr>
        <w:top w:val="none" w:sz="0" w:space="0" w:color="auto"/>
        <w:left w:val="none" w:sz="0" w:space="0" w:color="auto"/>
        <w:bottom w:val="none" w:sz="0" w:space="0" w:color="auto"/>
        <w:right w:val="none" w:sz="0" w:space="0" w:color="auto"/>
      </w:divBdr>
    </w:div>
    <w:div w:id="754086048">
      <w:bodyDiv w:val="1"/>
      <w:marLeft w:val="0"/>
      <w:marRight w:val="0"/>
      <w:marTop w:val="0"/>
      <w:marBottom w:val="0"/>
      <w:divBdr>
        <w:top w:val="none" w:sz="0" w:space="0" w:color="auto"/>
        <w:left w:val="none" w:sz="0" w:space="0" w:color="auto"/>
        <w:bottom w:val="none" w:sz="0" w:space="0" w:color="auto"/>
        <w:right w:val="none" w:sz="0" w:space="0" w:color="auto"/>
      </w:divBdr>
    </w:div>
    <w:div w:id="777868758">
      <w:bodyDiv w:val="1"/>
      <w:marLeft w:val="0"/>
      <w:marRight w:val="0"/>
      <w:marTop w:val="0"/>
      <w:marBottom w:val="0"/>
      <w:divBdr>
        <w:top w:val="none" w:sz="0" w:space="0" w:color="auto"/>
        <w:left w:val="none" w:sz="0" w:space="0" w:color="auto"/>
        <w:bottom w:val="none" w:sz="0" w:space="0" w:color="auto"/>
        <w:right w:val="none" w:sz="0" w:space="0" w:color="auto"/>
      </w:divBdr>
    </w:div>
    <w:div w:id="800416749">
      <w:bodyDiv w:val="1"/>
      <w:marLeft w:val="0"/>
      <w:marRight w:val="0"/>
      <w:marTop w:val="0"/>
      <w:marBottom w:val="0"/>
      <w:divBdr>
        <w:top w:val="none" w:sz="0" w:space="0" w:color="auto"/>
        <w:left w:val="none" w:sz="0" w:space="0" w:color="auto"/>
        <w:bottom w:val="none" w:sz="0" w:space="0" w:color="auto"/>
        <w:right w:val="none" w:sz="0" w:space="0" w:color="auto"/>
      </w:divBdr>
    </w:div>
    <w:div w:id="818418388">
      <w:bodyDiv w:val="1"/>
      <w:marLeft w:val="0"/>
      <w:marRight w:val="0"/>
      <w:marTop w:val="0"/>
      <w:marBottom w:val="0"/>
      <w:divBdr>
        <w:top w:val="none" w:sz="0" w:space="0" w:color="auto"/>
        <w:left w:val="none" w:sz="0" w:space="0" w:color="auto"/>
        <w:bottom w:val="none" w:sz="0" w:space="0" w:color="auto"/>
        <w:right w:val="none" w:sz="0" w:space="0" w:color="auto"/>
      </w:divBdr>
    </w:div>
    <w:div w:id="835997667">
      <w:bodyDiv w:val="1"/>
      <w:marLeft w:val="0"/>
      <w:marRight w:val="0"/>
      <w:marTop w:val="0"/>
      <w:marBottom w:val="0"/>
      <w:divBdr>
        <w:top w:val="none" w:sz="0" w:space="0" w:color="auto"/>
        <w:left w:val="none" w:sz="0" w:space="0" w:color="auto"/>
        <w:bottom w:val="none" w:sz="0" w:space="0" w:color="auto"/>
        <w:right w:val="none" w:sz="0" w:space="0" w:color="auto"/>
      </w:divBdr>
    </w:div>
    <w:div w:id="836767970">
      <w:bodyDiv w:val="1"/>
      <w:marLeft w:val="0"/>
      <w:marRight w:val="0"/>
      <w:marTop w:val="0"/>
      <w:marBottom w:val="0"/>
      <w:divBdr>
        <w:top w:val="none" w:sz="0" w:space="0" w:color="auto"/>
        <w:left w:val="none" w:sz="0" w:space="0" w:color="auto"/>
        <w:bottom w:val="none" w:sz="0" w:space="0" w:color="auto"/>
        <w:right w:val="none" w:sz="0" w:space="0" w:color="auto"/>
      </w:divBdr>
    </w:div>
    <w:div w:id="876819390">
      <w:bodyDiv w:val="1"/>
      <w:marLeft w:val="0"/>
      <w:marRight w:val="0"/>
      <w:marTop w:val="0"/>
      <w:marBottom w:val="0"/>
      <w:divBdr>
        <w:top w:val="none" w:sz="0" w:space="0" w:color="auto"/>
        <w:left w:val="none" w:sz="0" w:space="0" w:color="auto"/>
        <w:bottom w:val="none" w:sz="0" w:space="0" w:color="auto"/>
        <w:right w:val="none" w:sz="0" w:space="0" w:color="auto"/>
      </w:divBdr>
    </w:div>
    <w:div w:id="919753974">
      <w:bodyDiv w:val="1"/>
      <w:marLeft w:val="0"/>
      <w:marRight w:val="0"/>
      <w:marTop w:val="0"/>
      <w:marBottom w:val="0"/>
      <w:divBdr>
        <w:top w:val="none" w:sz="0" w:space="0" w:color="auto"/>
        <w:left w:val="none" w:sz="0" w:space="0" w:color="auto"/>
        <w:bottom w:val="none" w:sz="0" w:space="0" w:color="auto"/>
        <w:right w:val="none" w:sz="0" w:space="0" w:color="auto"/>
      </w:divBdr>
    </w:div>
    <w:div w:id="923802678">
      <w:bodyDiv w:val="1"/>
      <w:marLeft w:val="0"/>
      <w:marRight w:val="0"/>
      <w:marTop w:val="0"/>
      <w:marBottom w:val="0"/>
      <w:divBdr>
        <w:top w:val="none" w:sz="0" w:space="0" w:color="auto"/>
        <w:left w:val="none" w:sz="0" w:space="0" w:color="auto"/>
        <w:bottom w:val="none" w:sz="0" w:space="0" w:color="auto"/>
        <w:right w:val="none" w:sz="0" w:space="0" w:color="auto"/>
      </w:divBdr>
    </w:div>
    <w:div w:id="988750639">
      <w:bodyDiv w:val="1"/>
      <w:marLeft w:val="0"/>
      <w:marRight w:val="0"/>
      <w:marTop w:val="0"/>
      <w:marBottom w:val="0"/>
      <w:divBdr>
        <w:top w:val="none" w:sz="0" w:space="0" w:color="auto"/>
        <w:left w:val="none" w:sz="0" w:space="0" w:color="auto"/>
        <w:bottom w:val="none" w:sz="0" w:space="0" w:color="auto"/>
        <w:right w:val="none" w:sz="0" w:space="0" w:color="auto"/>
      </w:divBdr>
    </w:div>
    <w:div w:id="1005861735">
      <w:bodyDiv w:val="1"/>
      <w:marLeft w:val="0"/>
      <w:marRight w:val="0"/>
      <w:marTop w:val="0"/>
      <w:marBottom w:val="0"/>
      <w:divBdr>
        <w:top w:val="none" w:sz="0" w:space="0" w:color="auto"/>
        <w:left w:val="none" w:sz="0" w:space="0" w:color="auto"/>
        <w:bottom w:val="none" w:sz="0" w:space="0" w:color="auto"/>
        <w:right w:val="none" w:sz="0" w:space="0" w:color="auto"/>
      </w:divBdr>
    </w:div>
    <w:div w:id="1030302750">
      <w:bodyDiv w:val="1"/>
      <w:marLeft w:val="0"/>
      <w:marRight w:val="0"/>
      <w:marTop w:val="0"/>
      <w:marBottom w:val="0"/>
      <w:divBdr>
        <w:top w:val="none" w:sz="0" w:space="0" w:color="auto"/>
        <w:left w:val="none" w:sz="0" w:space="0" w:color="auto"/>
        <w:bottom w:val="none" w:sz="0" w:space="0" w:color="auto"/>
        <w:right w:val="none" w:sz="0" w:space="0" w:color="auto"/>
      </w:divBdr>
    </w:div>
    <w:div w:id="1039743019">
      <w:bodyDiv w:val="1"/>
      <w:marLeft w:val="0"/>
      <w:marRight w:val="0"/>
      <w:marTop w:val="0"/>
      <w:marBottom w:val="0"/>
      <w:divBdr>
        <w:top w:val="none" w:sz="0" w:space="0" w:color="auto"/>
        <w:left w:val="none" w:sz="0" w:space="0" w:color="auto"/>
        <w:bottom w:val="none" w:sz="0" w:space="0" w:color="auto"/>
        <w:right w:val="none" w:sz="0" w:space="0" w:color="auto"/>
      </w:divBdr>
    </w:div>
    <w:div w:id="1067920696">
      <w:bodyDiv w:val="1"/>
      <w:marLeft w:val="0"/>
      <w:marRight w:val="0"/>
      <w:marTop w:val="0"/>
      <w:marBottom w:val="0"/>
      <w:divBdr>
        <w:top w:val="none" w:sz="0" w:space="0" w:color="auto"/>
        <w:left w:val="none" w:sz="0" w:space="0" w:color="auto"/>
        <w:bottom w:val="none" w:sz="0" w:space="0" w:color="auto"/>
        <w:right w:val="none" w:sz="0" w:space="0" w:color="auto"/>
      </w:divBdr>
    </w:div>
    <w:div w:id="1070469812">
      <w:bodyDiv w:val="1"/>
      <w:marLeft w:val="0"/>
      <w:marRight w:val="0"/>
      <w:marTop w:val="0"/>
      <w:marBottom w:val="0"/>
      <w:divBdr>
        <w:top w:val="none" w:sz="0" w:space="0" w:color="auto"/>
        <w:left w:val="none" w:sz="0" w:space="0" w:color="auto"/>
        <w:bottom w:val="none" w:sz="0" w:space="0" w:color="auto"/>
        <w:right w:val="none" w:sz="0" w:space="0" w:color="auto"/>
      </w:divBdr>
    </w:div>
    <w:div w:id="1078476988">
      <w:bodyDiv w:val="1"/>
      <w:marLeft w:val="0"/>
      <w:marRight w:val="0"/>
      <w:marTop w:val="0"/>
      <w:marBottom w:val="0"/>
      <w:divBdr>
        <w:top w:val="none" w:sz="0" w:space="0" w:color="auto"/>
        <w:left w:val="none" w:sz="0" w:space="0" w:color="auto"/>
        <w:bottom w:val="none" w:sz="0" w:space="0" w:color="auto"/>
        <w:right w:val="none" w:sz="0" w:space="0" w:color="auto"/>
      </w:divBdr>
    </w:div>
    <w:div w:id="1087384821">
      <w:bodyDiv w:val="1"/>
      <w:marLeft w:val="0"/>
      <w:marRight w:val="0"/>
      <w:marTop w:val="0"/>
      <w:marBottom w:val="0"/>
      <w:divBdr>
        <w:top w:val="none" w:sz="0" w:space="0" w:color="auto"/>
        <w:left w:val="none" w:sz="0" w:space="0" w:color="auto"/>
        <w:bottom w:val="none" w:sz="0" w:space="0" w:color="auto"/>
        <w:right w:val="none" w:sz="0" w:space="0" w:color="auto"/>
      </w:divBdr>
    </w:div>
    <w:div w:id="1093671685">
      <w:bodyDiv w:val="1"/>
      <w:marLeft w:val="0"/>
      <w:marRight w:val="0"/>
      <w:marTop w:val="0"/>
      <w:marBottom w:val="0"/>
      <w:divBdr>
        <w:top w:val="none" w:sz="0" w:space="0" w:color="auto"/>
        <w:left w:val="none" w:sz="0" w:space="0" w:color="auto"/>
        <w:bottom w:val="none" w:sz="0" w:space="0" w:color="auto"/>
        <w:right w:val="none" w:sz="0" w:space="0" w:color="auto"/>
      </w:divBdr>
    </w:div>
    <w:div w:id="1101338988">
      <w:bodyDiv w:val="1"/>
      <w:marLeft w:val="0"/>
      <w:marRight w:val="0"/>
      <w:marTop w:val="0"/>
      <w:marBottom w:val="0"/>
      <w:divBdr>
        <w:top w:val="none" w:sz="0" w:space="0" w:color="auto"/>
        <w:left w:val="none" w:sz="0" w:space="0" w:color="auto"/>
        <w:bottom w:val="none" w:sz="0" w:space="0" w:color="auto"/>
        <w:right w:val="none" w:sz="0" w:space="0" w:color="auto"/>
      </w:divBdr>
    </w:div>
    <w:div w:id="1113786925">
      <w:bodyDiv w:val="1"/>
      <w:marLeft w:val="0"/>
      <w:marRight w:val="0"/>
      <w:marTop w:val="0"/>
      <w:marBottom w:val="0"/>
      <w:divBdr>
        <w:top w:val="none" w:sz="0" w:space="0" w:color="auto"/>
        <w:left w:val="none" w:sz="0" w:space="0" w:color="auto"/>
        <w:bottom w:val="none" w:sz="0" w:space="0" w:color="auto"/>
        <w:right w:val="none" w:sz="0" w:space="0" w:color="auto"/>
      </w:divBdr>
    </w:div>
    <w:div w:id="1140423943">
      <w:bodyDiv w:val="1"/>
      <w:marLeft w:val="0"/>
      <w:marRight w:val="0"/>
      <w:marTop w:val="0"/>
      <w:marBottom w:val="0"/>
      <w:divBdr>
        <w:top w:val="none" w:sz="0" w:space="0" w:color="auto"/>
        <w:left w:val="none" w:sz="0" w:space="0" w:color="auto"/>
        <w:bottom w:val="none" w:sz="0" w:space="0" w:color="auto"/>
        <w:right w:val="none" w:sz="0" w:space="0" w:color="auto"/>
      </w:divBdr>
    </w:div>
    <w:div w:id="1143890656">
      <w:bodyDiv w:val="1"/>
      <w:marLeft w:val="0"/>
      <w:marRight w:val="0"/>
      <w:marTop w:val="0"/>
      <w:marBottom w:val="0"/>
      <w:divBdr>
        <w:top w:val="none" w:sz="0" w:space="0" w:color="auto"/>
        <w:left w:val="none" w:sz="0" w:space="0" w:color="auto"/>
        <w:bottom w:val="none" w:sz="0" w:space="0" w:color="auto"/>
        <w:right w:val="none" w:sz="0" w:space="0" w:color="auto"/>
      </w:divBdr>
    </w:div>
    <w:div w:id="1219394464">
      <w:bodyDiv w:val="1"/>
      <w:marLeft w:val="0"/>
      <w:marRight w:val="0"/>
      <w:marTop w:val="0"/>
      <w:marBottom w:val="0"/>
      <w:divBdr>
        <w:top w:val="none" w:sz="0" w:space="0" w:color="auto"/>
        <w:left w:val="none" w:sz="0" w:space="0" w:color="auto"/>
        <w:bottom w:val="none" w:sz="0" w:space="0" w:color="auto"/>
        <w:right w:val="none" w:sz="0" w:space="0" w:color="auto"/>
      </w:divBdr>
    </w:div>
    <w:div w:id="1233811165">
      <w:bodyDiv w:val="1"/>
      <w:marLeft w:val="0"/>
      <w:marRight w:val="0"/>
      <w:marTop w:val="0"/>
      <w:marBottom w:val="0"/>
      <w:divBdr>
        <w:top w:val="none" w:sz="0" w:space="0" w:color="auto"/>
        <w:left w:val="none" w:sz="0" w:space="0" w:color="auto"/>
        <w:bottom w:val="none" w:sz="0" w:space="0" w:color="auto"/>
        <w:right w:val="none" w:sz="0" w:space="0" w:color="auto"/>
      </w:divBdr>
    </w:div>
    <w:div w:id="1241409032">
      <w:bodyDiv w:val="1"/>
      <w:marLeft w:val="0"/>
      <w:marRight w:val="0"/>
      <w:marTop w:val="0"/>
      <w:marBottom w:val="0"/>
      <w:divBdr>
        <w:top w:val="none" w:sz="0" w:space="0" w:color="auto"/>
        <w:left w:val="none" w:sz="0" w:space="0" w:color="auto"/>
        <w:bottom w:val="none" w:sz="0" w:space="0" w:color="auto"/>
        <w:right w:val="none" w:sz="0" w:space="0" w:color="auto"/>
      </w:divBdr>
    </w:div>
    <w:div w:id="1262029722">
      <w:bodyDiv w:val="1"/>
      <w:marLeft w:val="0"/>
      <w:marRight w:val="0"/>
      <w:marTop w:val="0"/>
      <w:marBottom w:val="0"/>
      <w:divBdr>
        <w:top w:val="none" w:sz="0" w:space="0" w:color="auto"/>
        <w:left w:val="none" w:sz="0" w:space="0" w:color="auto"/>
        <w:bottom w:val="none" w:sz="0" w:space="0" w:color="auto"/>
        <w:right w:val="none" w:sz="0" w:space="0" w:color="auto"/>
      </w:divBdr>
    </w:div>
    <w:div w:id="1278755760">
      <w:bodyDiv w:val="1"/>
      <w:marLeft w:val="0"/>
      <w:marRight w:val="0"/>
      <w:marTop w:val="0"/>
      <w:marBottom w:val="0"/>
      <w:divBdr>
        <w:top w:val="none" w:sz="0" w:space="0" w:color="auto"/>
        <w:left w:val="none" w:sz="0" w:space="0" w:color="auto"/>
        <w:bottom w:val="none" w:sz="0" w:space="0" w:color="auto"/>
        <w:right w:val="none" w:sz="0" w:space="0" w:color="auto"/>
      </w:divBdr>
    </w:div>
    <w:div w:id="1279141642">
      <w:bodyDiv w:val="1"/>
      <w:marLeft w:val="0"/>
      <w:marRight w:val="0"/>
      <w:marTop w:val="0"/>
      <w:marBottom w:val="0"/>
      <w:divBdr>
        <w:top w:val="none" w:sz="0" w:space="0" w:color="auto"/>
        <w:left w:val="none" w:sz="0" w:space="0" w:color="auto"/>
        <w:bottom w:val="none" w:sz="0" w:space="0" w:color="auto"/>
        <w:right w:val="none" w:sz="0" w:space="0" w:color="auto"/>
      </w:divBdr>
      <w:divsChild>
        <w:div w:id="1108112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099593">
      <w:bodyDiv w:val="1"/>
      <w:marLeft w:val="0"/>
      <w:marRight w:val="0"/>
      <w:marTop w:val="0"/>
      <w:marBottom w:val="0"/>
      <w:divBdr>
        <w:top w:val="none" w:sz="0" w:space="0" w:color="auto"/>
        <w:left w:val="none" w:sz="0" w:space="0" w:color="auto"/>
        <w:bottom w:val="none" w:sz="0" w:space="0" w:color="auto"/>
        <w:right w:val="none" w:sz="0" w:space="0" w:color="auto"/>
      </w:divBdr>
    </w:div>
    <w:div w:id="1350335742">
      <w:bodyDiv w:val="1"/>
      <w:marLeft w:val="0"/>
      <w:marRight w:val="0"/>
      <w:marTop w:val="0"/>
      <w:marBottom w:val="0"/>
      <w:divBdr>
        <w:top w:val="none" w:sz="0" w:space="0" w:color="auto"/>
        <w:left w:val="none" w:sz="0" w:space="0" w:color="auto"/>
        <w:bottom w:val="none" w:sz="0" w:space="0" w:color="auto"/>
        <w:right w:val="none" w:sz="0" w:space="0" w:color="auto"/>
      </w:divBdr>
    </w:div>
    <w:div w:id="1443263495">
      <w:bodyDiv w:val="1"/>
      <w:marLeft w:val="0"/>
      <w:marRight w:val="0"/>
      <w:marTop w:val="0"/>
      <w:marBottom w:val="0"/>
      <w:divBdr>
        <w:top w:val="none" w:sz="0" w:space="0" w:color="auto"/>
        <w:left w:val="none" w:sz="0" w:space="0" w:color="auto"/>
        <w:bottom w:val="none" w:sz="0" w:space="0" w:color="auto"/>
        <w:right w:val="none" w:sz="0" w:space="0" w:color="auto"/>
      </w:divBdr>
    </w:div>
    <w:div w:id="1459448918">
      <w:bodyDiv w:val="1"/>
      <w:marLeft w:val="0"/>
      <w:marRight w:val="0"/>
      <w:marTop w:val="0"/>
      <w:marBottom w:val="0"/>
      <w:divBdr>
        <w:top w:val="none" w:sz="0" w:space="0" w:color="auto"/>
        <w:left w:val="none" w:sz="0" w:space="0" w:color="auto"/>
        <w:bottom w:val="none" w:sz="0" w:space="0" w:color="auto"/>
        <w:right w:val="none" w:sz="0" w:space="0" w:color="auto"/>
      </w:divBdr>
    </w:div>
    <w:div w:id="1470242022">
      <w:bodyDiv w:val="1"/>
      <w:marLeft w:val="0"/>
      <w:marRight w:val="0"/>
      <w:marTop w:val="0"/>
      <w:marBottom w:val="0"/>
      <w:divBdr>
        <w:top w:val="none" w:sz="0" w:space="0" w:color="auto"/>
        <w:left w:val="none" w:sz="0" w:space="0" w:color="auto"/>
        <w:bottom w:val="none" w:sz="0" w:space="0" w:color="auto"/>
        <w:right w:val="none" w:sz="0" w:space="0" w:color="auto"/>
      </w:divBdr>
    </w:div>
    <w:div w:id="1485732052">
      <w:bodyDiv w:val="1"/>
      <w:marLeft w:val="0"/>
      <w:marRight w:val="0"/>
      <w:marTop w:val="0"/>
      <w:marBottom w:val="0"/>
      <w:divBdr>
        <w:top w:val="none" w:sz="0" w:space="0" w:color="auto"/>
        <w:left w:val="none" w:sz="0" w:space="0" w:color="auto"/>
        <w:bottom w:val="none" w:sz="0" w:space="0" w:color="auto"/>
        <w:right w:val="none" w:sz="0" w:space="0" w:color="auto"/>
      </w:divBdr>
    </w:div>
    <w:div w:id="1503473764">
      <w:bodyDiv w:val="1"/>
      <w:marLeft w:val="0"/>
      <w:marRight w:val="0"/>
      <w:marTop w:val="0"/>
      <w:marBottom w:val="0"/>
      <w:divBdr>
        <w:top w:val="none" w:sz="0" w:space="0" w:color="auto"/>
        <w:left w:val="none" w:sz="0" w:space="0" w:color="auto"/>
        <w:bottom w:val="none" w:sz="0" w:space="0" w:color="auto"/>
        <w:right w:val="none" w:sz="0" w:space="0" w:color="auto"/>
      </w:divBdr>
    </w:div>
    <w:div w:id="1518617819">
      <w:bodyDiv w:val="1"/>
      <w:marLeft w:val="0"/>
      <w:marRight w:val="0"/>
      <w:marTop w:val="0"/>
      <w:marBottom w:val="0"/>
      <w:divBdr>
        <w:top w:val="none" w:sz="0" w:space="0" w:color="auto"/>
        <w:left w:val="none" w:sz="0" w:space="0" w:color="auto"/>
        <w:bottom w:val="none" w:sz="0" w:space="0" w:color="auto"/>
        <w:right w:val="none" w:sz="0" w:space="0" w:color="auto"/>
      </w:divBdr>
    </w:div>
    <w:div w:id="1538351262">
      <w:bodyDiv w:val="1"/>
      <w:marLeft w:val="0"/>
      <w:marRight w:val="0"/>
      <w:marTop w:val="0"/>
      <w:marBottom w:val="0"/>
      <w:divBdr>
        <w:top w:val="none" w:sz="0" w:space="0" w:color="auto"/>
        <w:left w:val="none" w:sz="0" w:space="0" w:color="auto"/>
        <w:bottom w:val="none" w:sz="0" w:space="0" w:color="auto"/>
        <w:right w:val="none" w:sz="0" w:space="0" w:color="auto"/>
      </w:divBdr>
    </w:div>
    <w:div w:id="1548833897">
      <w:bodyDiv w:val="1"/>
      <w:marLeft w:val="0"/>
      <w:marRight w:val="0"/>
      <w:marTop w:val="0"/>
      <w:marBottom w:val="0"/>
      <w:divBdr>
        <w:top w:val="none" w:sz="0" w:space="0" w:color="auto"/>
        <w:left w:val="none" w:sz="0" w:space="0" w:color="auto"/>
        <w:bottom w:val="none" w:sz="0" w:space="0" w:color="auto"/>
        <w:right w:val="none" w:sz="0" w:space="0" w:color="auto"/>
      </w:divBdr>
      <w:divsChild>
        <w:div w:id="1000736884">
          <w:marLeft w:val="0"/>
          <w:marRight w:val="0"/>
          <w:marTop w:val="0"/>
          <w:marBottom w:val="0"/>
          <w:divBdr>
            <w:top w:val="none" w:sz="0" w:space="0" w:color="auto"/>
            <w:left w:val="none" w:sz="0" w:space="0" w:color="auto"/>
            <w:bottom w:val="none" w:sz="0" w:space="0" w:color="auto"/>
            <w:right w:val="none" w:sz="0" w:space="0" w:color="auto"/>
          </w:divBdr>
          <w:divsChild>
            <w:div w:id="476383554">
              <w:marLeft w:val="0"/>
              <w:marRight w:val="0"/>
              <w:marTop w:val="0"/>
              <w:marBottom w:val="0"/>
              <w:divBdr>
                <w:top w:val="none" w:sz="0" w:space="0" w:color="auto"/>
                <w:left w:val="none" w:sz="0" w:space="0" w:color="auto"/>
                <w:bottom w:val="none" w:sz="0" w:space="0" w:color="auto"/>
                <w:right w:val="none" w:sz="0" w:space="0" w:color="auto"/>
              </w:divBdr>
              <w:divsChild>
                <w:div w:id="2100128182">
                  <w:marLeft w:val="0"/>
                  <w:marRight w:val="0"/>
                  <w:marTop w:val="0"/>
                  <w:marBottom w:val="0"/>
                  <w:divBdr>
                    <w:top w:val="none" w:sz="0" w:space="0" w:color="auto"/>
                    <w:left w:val="none" w:sz="0" w:space="0" w:color="auto"/>
                    <w:bottom w:val="none" w:sz="0" w:space="0" w:color="auto"/>
                    <w:right w:val="none" w:sz="0" w:space="0" w:color="auto"/>
                  </w:divBdr>
                  <w:divsChild>
                    <w:div w:id="536746429">
                      <w:marLeft w:val="0"/>
                      <w:marRight w:val="0"/>
                      <w:marTop w:val="0"/>
                      <w:marBottom w:val="0"/>
                      <w:divBdr>
                        <w:top w:val="none" w:sz="0" w:space="0" w:color="auto"/>
                        <w:left w:val="none" w:sz="0" w:space="0" w:color="auto"/>
                        <w:bottom w:val="none" w:sz="0" w:space="0" w:color="auto"/>
                        <w:right w:val="none" w:sz="0" w:space="0" w:color="auto"/>
                      </w:divBdr>
                      <w:divsChild>
                        <w:div w:id="1300502467">
                          <w:marLeft w:val="0"/>
                          <w:marRight w:val="0"/>
                          <w:marTop w:val="0"/>
                          <w:marBottom w:val="0"/>
                          <w:divBdr>
                            <w:top w:val="none" w:sz="0" w:space="0" w:color="auto"/>
                            <w:left w:val="none" w:sz="0" w:space="0" w:color="auto"/>
                            <w:bottom w:val="none" w:sz="0" w:space="0" w:color="auto"/>
                            <w:right w:val="none" w:sz="0" w:space="0" w:color="auto"/>
                          </w:divBdr>
                          <w:divsChild>
                            <w:div w:id="1411343516">
                              <w:marLeft w:val="0"/>
                              <w:marRight w:val="0"/>
                              <w:marTop w:val="0"/>
                              <w:marBottom w:val="0"/>
                              <w:divBdr>
                                <w:top w:val="none" w:sz="0" w:space="0" w:color="auto"/>
                                <w:left w:val="none" w:sz="0" w:space="0" w:color="auto"/>
                                <w:bottom w:val="none" w:sz="0" w:space="0" w:color="auto"/>
                                <w:right w:val="none" w:sz="0" w:space="0" w:color="auto"/>
                              </w:divBdr>
                              <w:divsChild>
                                <w:div w:id="93836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212828">
      <w:bodyDiv w:val="1"/>
      <w:marLeft w:val="0"/>
      <w:marRight w:val="0"/>
      <w:marTop w:val="0"/>
      <w:marBottom w:val="0"/>
      <w:divBdr>
        <w:top w:val="none" w:sz="0" w:space="0" w:color="auto"/>
        <w:left w:val="none" w:sz="0" w:space="0" w:color="auto"/>
        <w:bottom w:val="none" w:sz="0" w:space="0" w:color="auto"/>
        <w:right w:val="none" w:sz="0" w:space="0" w:color="auto"/>
      </w:divBdr>
      <w:divsChild>
        <w:div w:id="53088146">
          <w:marLeft w:val="0"/>
          <w:marRight w:val="0"/>
          <w:marTop w:val="0"/>
          <w:marBottom w:val="0"/>
          <w:divBdr>
            <w:top w:val="none" w:sz="0" w:space="0" w:color="auto"/>
            <w:left w:val="none" w:sz="0" w:space="0" w:color="auto"/>
            <w:bottom w:val="none" w:sz="0" w:space="0" w:color="auto"/>
            <w:right w:val="none" w:sz="0" w:space="0" w:color="auto"/>
          </w:divBdr>
        </w:div>
      </w:divsChild>
    </w:div>
    <w:div w:id="1614900755">
      <w:bodyDiv w:val="1"/>
      <w:marLeft w:val="0"/>
      <w:marRight w:val="0"/>
      <w:marTop w:val="0"/>
      <w:marBottom w:val="0"/>
      <w:divBdr>
        <w:top w:val="none" w:sz="0" w:space="0" w:color="auto"/>
        <w:left w:val="none" w:sz="0" w:space="0" w:color="auto"/>
        <w:bottom w:val="none" w:sz="0" w:space="0" w:color="auto"/>
        <w:right w:val="none" w:sz="0" w:space="0" w:color="auto"/>
      </w:divBdr>
    </w:div>
    <w:div w:id="1618373024">
      <w:bodyDiv w:val="1"/>
      <w:marLeft w:val="0"/>
      <w:marRight w:val="0"/>
      <w:marTop w:val="0"/>
      <w:marBottom w:val="0"/>
      <w:divBdr>
        <w:top w:val="none" w:sz="0" w:space="0" w:color="auto"/>
        <w:left w:val="none" w:sz="0" w:space="0" w:color="auto"/>
        <w:bottom w:val="none" w:sz="0" w:space="0" w:color="auto"/>
        <w:right w:val="none" w:sz="0" w:space="0" w:color="auto"/>
      </w:divBdr>
    </w:div>
    <w:div w:id="1661276706">
      <w:bodyDiv w:val="1"/>
      <w:marLeft w:val="0"/>
      <w:marRight w:val="0"/>
      <w:marTop w:val="0"/>
      <w:marBottom w:val="0"/>
      <w:divBdr>
        <w:top w:val="none" w:sz="0" w:space="0" w:color="auto"/>
        <w:left w:val="none" w:sz="0" w:space="0" w:color="auto"/>
        <w:bottom w:val="none" w:sz="0" w:space="0" w:color="auto"/>
        <w:right w:val="none" w:sz="0" w:space="0" w:color="auto"/>
      </w:divBdr>
    </w:div>
    <w:div w:id="1710766411">
      <w:bodyDiv w:val="1"/>
      <w:marLeft w:val="0"/>
      <w:marRight w:val="0"/>
      <w:marTop w:val="0"/>
      <w:marBottom w:val="0"/>
      <w:divBdr>
        <w:top w:val="none" w:sz="0" w:space="0" w:color="auto"/>
        <w:left w:val="none" w:sz="0" w:space="0" w:color="auto"/>
        <w:bottom w:val="none" w:sz="0" w:space="0" w:color="auto"/>
        <w:right w:val="none" w:sz="0" w:space="0" w:color="auto"/>
      </w:divBdr>
    </w:div>
    <w:div w:id="1725134898">
      <w:bodyDiv w:val="1"/>
      <w:marLeft w:val="0"/>
      <w:marRight w:val="0"/>
      <w:marTop w:val="0"/>
      <w:marBottom w:val="0"/>
      <w:divBdr>
        <w:top w:val="none" w:sz="0" w:space="0" w:color="auto"/>
        <w:left w:val="none" w:sz="0" w:space="0" w:color="auto"/>
        <w:bottom w:val="none" w:sz="0" w:space="0" w:color="auto"/>
        <w:right w:val="none" w:sz="0" w:space="0" w:color="auto"/>
      </w:divBdr>
    </w:div>
    <w:div w:id="1743216908">
      <w:bodyDiv w:val="1"/>
      <w:marLeft w:val="0"/>
      <w:marRight w:val="0"/>
      <w:marTop w:val="0"/>
      <w:marBottom w:val="0"/>
      <w:divBdr>
        <w:top w:val="none" w:sz="0" w:space="0" w:color="auto"/>
        <w:left w:val="none" w:sz="0" w:space="0" w:color="auto"/>
        <w:bottom w:val="none" w:sz="0" w:space="0" w:color="auto"/>
        <w:right w:val="none" w:sz="0" w:space="0" w:color="auto"/>
      </w:divBdr>
    </w:div>
    <w:div w:id="1784614868">
      <w:bodyDiv w:val="1"/>
      <w:marLeft w:val="0"/>
      <w:marRight w:val="0"/>
      <w:marTop w:val="0"/>
      <w:marBottom w:val="0"/>
      <w:divBdr>
        <w:top w:val="none" w:sz="0" w:space="0" w:color="auto"/>
        <w:left w:val="none" w:sz="0" w:space="0" w:color="auto"/>
        <w:bottom w:val="none" w:sz="0" w:space="0" w:color="auto"/>
        <w:right w:val="none" w:sz="0" w:space="0" w:color="auto"/>
      </w:divBdr>
      <w:divsChild>
        <w:div w:id="1305158654">
          <w:marLeft w:val="0"/>
          <w:marRight w:val="0"/>
          <w:marTop w:val="0"/>
          <w:marBottom w:val="0"/>
          <w:divBdr>
            <w:top w:val="none" w:sz="0" w:space="0" w:color="auto"/>
            <w:left w:val="none" w:sz="0" w:space="0" w:color="auto"/>
            <w:bottom w:val="none" w:sz="0" w:space="0" w:color="auto"/>
            <w:right w:val="none" w:sz="0" w:space="0" w:color="auto"/>
          </w:divBdr>
        </w:div>
      </w:divsChild>
    </w:div>
    <w:div w:id="1810707899">
      <w:bodyDiv w:val="1"/>
      <w:marLeft w:val="0"/>
      <w:marRight w:val="0"/>
      <w:marTop w:val="0"/>
      <w:marBottom w:val="0"/>
      <w:divBdr>
        <w:top w:val="none" w:sz="0" w:space="0" w:color="auto"/>
        <w:left w:val="none" w:sz="0" w:space="0" w:color="auto"/>
        <w:bottom w:val="none" w:sz="0" w:space="0" w:color="auto"/>
        <w:right w:val="none" w:sz="0" w:space="0" w:color="auto"/>
      </w:divBdr>
    </w:div>
    <w:div w:id="1828158323">
      <w:bodyDiv w:val="1"/>
      <w:marLeft w:val="0"/>
      <w:marRight w:val="0"/>
      <w:marTop w:val="0"/>
      <w:marBottom w:val="0"/>
      <w:divBdr>
        <w:top w:val="none" w:sz="0" w:space="0" w:color="auto"/>
        <w:left w:val="none" w:sz="0" w:space="0" w:color="auto"/>
        <w:bottom w:val="none" w:sz="0" w:space="0" w:color="auto"/>
        <w:right w:val="none" w:sz="0" w:space="0" w:color="auto"/>
      </w:divBdr>
    </w:div>
    <w:div w:id="1837530194">
      <w:bodyDiv w:val="1"/>
      <w:marLeft w:val="0"/>
      <w:marRight w:val="0"/>
      <w:marTop w:val="0"/>
      <w:marBottom w:val="0"/>
      <w:divBdr>
        <w:top w:val="none" w:sz="0" w:space="0" w:color="auto"/>
        <w:left w:val="none" w:sz="0" w:space="0" w:color="auto"/>
        <w:bottom w:val="none" w:sz="0" w:space="0" w:color="auto"/>
        <w:right w:val="none" w:sz="0" w:space="0" w:color="auto"/>
      </w:divBdr>
    </w:div>
    <w:div w:id="1838423691">
      <w:bodyDiv w:val="1"/>
      <w:marLeft w:val="0"/>
      <w:marRight w:val="0"/>
      <w:marTop w:val="0"/>
      <w:marBottom w:val="0"/>
      <w:divBdr>
        <w:top w:val="none" w:sz="0" w:space="0" w:color="auto"/>
        <w:left w:val="none" w:sz="0" w:space="0" w:color="auto"/>
        <w:bottom w:val="none" w:sz="0" w:space="0" w:color="auto"/>
        <w:right w:val="none" w:sz="0" w:space="0" w:color="auto"/>
      </w:divBdr>
    </w:div>
    <w:div w:id="1845778305">
      <w:bodyDiv w:val="1"/>
      <w:marLeft w:val="0"/>
      <w:marRight w:val="0"/>
      <w:marTop w:val="0"/>
      <w:marBottom w:val="0"/>
      <w:divBdr>
        <w:top w:val="none" w:sz="0" w:space="0" w:color="auto"/>
        <w:left w:val="none" w:sz="0" w:space="0" w:color="auto"/>
        <w:bottom w:val="none" w:sz="0" w:space="0" w:color="auto"/>
        <w:right w:val="none" w:sz="0" w:space="0" w:color="auto"/>
      </w:divBdr>
    </w:div>
    <w:div w:id="1855268824">
      <w:bodyDiv w:val="1"/>
      <w:marLeft w:val="0"/>
      <w:marRight w:val="0"/>
      <w:marTop w:val="0"/>
      <w:marBottom w:val="0"/>
      <w:divBdr>
        <w:top w:val="none" w:sz="0" w:space="0" w:color="auto"/>
        <w:left w:val="none" w:sz="0" w:space="0" w:color="auto"/>
        <w:bottom w:val="none" w:sz="0" w:space="0" w:color="auto"/>
        <w:right w:val="none" w:sz="0" w:space="0" w:color="auto"/>
      </w:divBdr>
    </w:div>
    <w:div w:id="1856114115">
      <w:bodyDiv w:val="1"/>
      <w:marLeft w:val="0"/>
      <w:marRight w:val="0"/>
      <w:marTop w:val="0"/>
      <w:marBottom w:val="0"/>
      <w:divBdr>
        <w:top w:val="none" w:sz="0" w:space="0" w:color="auto"/>
        <w:left w:val="none" w:sz="0" w:space="0" w:color="auto"/>
        <w:bottom w:val="none" w:sz="0" w:space="0" w:color="auto"/>
        <w:right w:val="none" w:sz="0" w:space="0" w:color="auto"/>
      </w:divBdr>
      <w:divsChild>
        <w:div w:id="1551457448">
          <w:marLeft w:val="0"/>
          <w:marRight w:val="0"/>
          <w:marTop w:val="0"/>
          <w:marBottom w:val="0"/>
          <w:divBdr>
            <w:top w:val="none" w:sz="0" w:space="0" w:color="auto"/>
            <w:left w:val="none" w:sz="0" w:space="0" w:color="auto"/>
            <w:bottom w:val="none" w:sz="0" w:space="0" w:color="auto"/>
            <w:right w:val="none" w:sz="0" w:space="0" w:color="auto"/>
          </w:divBdr>
        </w:div>
      </w:divsChild>
    </w:div>
    <w:div w:id="1863128807">
      <w:bodyDiv w:val="1"/>
      <w:marLeft w:val="0"/>
      <w:marRight w:val="0"/>
      <w:marTop w:val="0"/>
      <w:marBottom w:val="0"/>
      <w:divBdr>
        <w:top w:val="none" w:sz="0" w:space="0" w:color="auto"/>
        <w:left w:val="none" w:sz="0" w:space="0" w:color="auto"/>
        <w:bottom w:val="none" w:sz="0" w:space="0" w:color="auto"/>
        <w:right w:val="none" w:sz="0" w:space="0" w:color="auto"/>
      </w:divBdr>
    </w:div>
    <w:div w:id="1877891962">
      <w:bodyDiv w:val="1"/>
      <w:marLeft w:val="0"/>
      <w:marRight w:val="0"/>
      <w:marTop w:val="0"/>
      <w:marBottom w:val="0"/>
      <w:divBdr>
        <w:top w:val="none" w:sz="0" w:space="0" w:color="auto"/>
        <w:left w:val="none" w:sz="0" w:space="0" w:color="auto"/>
        <w:bottom w:val="none" w:sz="0" w:space="0" w:color="auto"/>
        <w:right w:val="none" w:sz="0" w:space="0" w:color="auto"/>
      </w:divBdr>
      <w:divsChild>
        <w:div w:id="14838168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944137">
      <w:bodyDiv w:val="1"/>
      <w:marLeft w:val="0"/>
      <w:marRight w:val="0"/>
      <w:marTop w:val="0"/>
      <w:marBottom w:val="0"/>
      <w:divBdr>
        <w:top w:val="none" w:sz="0" w:space="0" w:color="auto"/>
        <w:left w:val="none" w:sz="0" w:space="0" w:color="auto"/>
        <w:bottom w:val="none" w:sz="0" w:space="0" w:color="auto"/>
        <w:right w:val="none" w:sz="0" w:space="0" w:color="auto"/>
      </w:divBdr>
    </w:div>
    <w:div w:id="1911695654">
      <w:bodyDiv w:val="1"/>
      <w:marLeft w:val="0"/>
      <w:marRight w:val="0"/>
      <w:marTop w:val="0"/>
      <w:marBottom w:val="0"/>
      <w:divBdr>
        <w:top w:val="none" w:sz="0" w:space="0" w:color="auto"/>
        <w:left w:val="none" w:sz="0" w:space="0" w:color="auto"/>
        <w:bottom w:val="none" w:sz="0" w:space="0" w:color="auto"/>
        <w:right w:val="none" w:sz="0" w:space="0" w:color="auto"/>
      </w:divBdr>
    </w:div>
    <w:div w:id="1917089679">
      <w:bodyDiv w:val="1"/>
      <w:marLeft w:val="0"/>
      <w:marRight w:val="0"/>
      <w:marTop w:val="0"/>
      <w:marBottom w:val="0"/>
      <w:divBdr>
        <w:top w:val="none" w:sz="0" w:space="0" w:color="auto"/>
        <w:left w:val="none" w:sz="0" w:space="0" w:color="auto"/>
        <w:bottom w:val="none" w:sz="0" w:space="0" w:color="auto"/>
        <w:right w:val="none" w:sz="0" w:space="0" w:color="auto"/>
      </w:divBdr>
    </w:div>
    <w:div w:id="1941717825">
      <w:bodyDiv w:val="1"/>
      <w:marLeft w:val="0"/>
      <w:marRight w:val="0"/>
      <w:marTop w:val="0"/>
      <w:marBottom w:val="0"/>
      <w:divBdr>
        <w:top w:val="none" w:sz="0" w:space="0" w:color="auto"/>
        <w:left w:val="none" w:sz="0" w:space="0" w:color="auto"/>
        <w:bottom w:val="none" w:sz="0" w:space="0" w:color="auto"/>
        <w:right w:val="none" w:sz="0" w:space="0" w:color="auto"/>
      </w:divBdr>
    </w:div>
    <w:div w:id="1944989549">
      <w:bodyDiv w:val="1"/>
      <w:marLeft w:val="0"/>
      <w:marRight w:val="0"/>
      <w:marTop w:val="0"/>
      <w:marBottom w:val="0"/>
      <w:divBdr>
        <w:top w:val="none" w:sz="0" w:space="0" w:color="auto"/>
        <w:left w:val="none" w:sz="0" w:space="0" w:color="auto"/>
        <w:bottom w:val="none" w:sz="0" w:space="0" w:color="auto"/>
        <w:right w:val="none" w:sz="0" w:space="0" w:color="auto"/>
      </w:divBdr>
    </w:div>
    <w:div w:id="1965235190">
      <w:bodyDiv w:val="1"/>
      <w:marLeft w:val="0"/>
      <w:marRight w:val="0"/>
      <w:marTop w:val="0"/>
      <w:marBottom w:val="0"/>
      <w:divBdr>
        <w:top w:val="none" w:sz="0" w:space="0" w:color="auto"/>
        <w:left w:val="none" w:sz="0" w:space="0" w:color="auto"/>
        <w:bottom w:val="none" w:sz="0" w:space="0" w:color="auto"/>
        <w:right w:val="none" w:sz="0" w:space="0" w:color="auto"/>
      </w:divBdr>
      <w:divsChild>
        <w:div w:id="252209735">
          <w:marLeft w:val="0"/>
          <w:marRight w:val="0"/>
          <w:marTop w:val="0"/>
          <w:marBottom w:val="0"/>
          <w:divBdr>
            <w:top w:val="none" w:sz="0" w:space="0" w:color="auto"/>
            <w:left w:val="none" w:sz="0" w:space="0" w:color="auto"/>
            <w:bottom w:val="none" w:sz="0" w:space="0" w:color="auto"/>
            <w:right w:val="none" w:sz="0" w:space="0" w:color="auto"/>
          </w:divBdr>
        </w:div>
      </w:divsChild>
    </w:div>
    <w:div w:id="1979525824">
      <w:bodyDiv w:val="1"/>
      <w:marLeft w:val="0"/>
      <w:marRight w:val="0"/>
      <w:marTop w:val="0"/>
      <w:marBottom w:val="0"/>
      <w:divBdr>
        <w:top w:val="none" w:sz="0" w:space="0" w:color="auto"/>
        <w:left w:val="none" w:sz="0" w:space="0" w:color="auto"/>
        <w:bottom w:val="none" w:sz="0" w:space="0" w:color="auto"/>
        <w:right w:val="none" w:sz="0" w:space="0" w:color="auto"/>
      </w:divBdr>
    </w:div>
    <w:div w:id="1990674741">
      <w:bodyDiv w:val="1"/>
      <w:marLeft w:val="0"/>
      <w:marRight w:val="0"/>
      <w:marTop w:val="0"/>
      <w:marBottom w:val="0"/>
      <w:divBdr>
        <w:top w:val="none" w:sz="0" w:space="0" w:color="auto"/>
        <w:left w:val="none" w:sz="0" w:space="0" w:color="auto"/>
        <w:bottom w:val="none" w:sz="0" w:space="0" w:color="auto"/>
        <w:right w:val="none" w:sz="0" w:space="0" w:color="auto"/>
      </w:divBdr>
    </w:div>
    <w:div w:id="2015842460">
      <w:bodyDiv w:val="1"/>
      <w:marLeft w:val="0"/>
      <w:marRight w:val="0"/>
      <w:marTop w:val="0"/>
      <w:marBottom w:val="0"/>
      <w:divBdr>
        <w:top w:val="none" w:sz="0" w:space="0" w:color="auto"/>
        <w:left w:val="none" w:sz="0" w:space="0" w:color="auto"/>
        <w:bottom w:val="none" w:sz="0" w:space="0" w:color="auto"/>
        <w:right w:val="none" w:sz="0" w:space="0" w:color="auto"/>
      </w:divBdr>
      <w:divsChild>
        <w:div w:id="394857520">
          <w:marLeft w:val="0"/>
          <w:marRight w:val="0"/>
          <w:marTop w:val="0"/>
          <w:marBottom w:val="0"/>
          <w:divBdr>
            <w:top w:val="none" w:sz="0" w:space="0" w:color="auto"/>
            <w:left w:val="none" w:sz="0" w:space="0" w:color="auto"/>
            <w:bottom w:val="none" w:sz="0" w:space="0" w:color="auto"/>
            <w:right w:val="none" w:sz="0" w:space="0" w:color="auto"/>
          </w:divBdr>
        </w:div>
      </w:divsChild>
    </w:div>
    <w:div w:id="2054503655">
      <w:bodyDiv w:val="1"/>
      <w:marLeft w:val="0"/>
      <w:marRight w:val="0"/>
      <w:marTop w:val="0"/>
      <w:marBottom w:val="0"/>
      <w:divBdr>
        <w:top w:val="none" w:sz="0" w:space="0" w:color="auto"/>
        <w:left w:val="none" w:sz="0" w:space="0" w:color="auto"/>
        <w:bottom w:val="none" w:sz="0" w:space="0" w:color="auto"/>
        <w:right w:val="none" w:sz="0" w:space="0" w:color="auto"/>
      </w:divBdr>
    </w:div>
    <w:div w:id="2104261744">
      <w:bodyDiv w:val="1"/>
      <w:marLeft w:val="0"/>
      <w:marRight w:val="0"/>
      <w:marTop w:val="0"/>
      <w:marBottom w:val="0"/>
      <w:divBdr>
        <w:top w:val="none" w:sz="0" w:space="0" w:color="auto"/>
        <w:left w:val="none" w:sz="0" w:space="0" w:color="auto"/>
        <w:bottom w:val="none" w:sz="0" w:space="0" w:color="auto"/>
        <w:right w:val="none" w:sz="0" w:space="0" w:color="auto"/>
      </w:divBdr>
    </w:div>
    <w:div w:id="2104571931">
      <w:bodyDiv w:val="1"/>
      <w:marLeft w:val="0"/>
      <w:marRight w:val="0"/>
      <w:marTop w:val="0"/>
      <w:marBottom w:val="0"/>
      <w:divBdr>
        <w:top w:val="none" w:sz="0" w:space="0" w:color="auto"/>
        <w:left w:val="none" w:sz="0" w:space="0" w:color="auto"/>
        <w:bottom w:val="none" w:sz="0" w:space="0" w:color="auto"/>
        <w:right w:val="none" w:sz="0" w:space="0" w:color="auto"/>
      </w:divBdr>
    </w:div>
    <w:div w:id="2106657196">
      <w:bodyDiv w:val="1"/>
      <w:marLeft w:val="0"/>
      <w:marRight w:val="0"/>
      <w:marTop w:val="0"/>
      <w:marBottom w:val="0"/>
      <w:divBdr>
        <w:top w:val="none" w:sz="0" w:space="0" w:color="auto"/>
        <w:left w:val="none" w:sz="0" w:space="0" w:color="auto"/>
        <w:bottom w:val="none" w:sz="0" w:space="0" w:color="auto"/>
        <w:right w:val="none" w:sz="0" w:space="0" w:color="auto"/>
      </w:divBdr>
    </w:div>
    <w:div w:id="2134715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endnotes.xml.rels><?xml version="1.0" encoding="UTF-8" standalone="yes"?>
<Relationships xmlns="http://schemas.openxmlformats.org/package/2006/relationships"><Relationship Id="rId8" Type="http://schemas.openxmlformats.org/officeDocument/2006/relationships/hyperlink" Target="https://ec.europa.eu/social/BlobServlet?docId=26937&amp;langId=en" TargetMode="External"/><Relationship Id="rId13" Type="http://schemas.openxmlformats.org/officeDocument/2006/relationships/hyperlink" Target="https://eur-lex.europa.eu/legal-content/FR/TXT/HTML/?uri=OJ:L_202302832" TargetMode="External"/><Relationship Id="rId18" Type="http://schemas.openxmlformats.org/officeDocument/2006/relationships/hyperlink" Target="https://eur-lex.europa.eu/legal-content/FR/TXT/HTML/?uri=CELEX:02021R1057-20250920" TargetMode="External"/><Relationship Id="rId26" Type="http://schemas.openxmlformats.org/officeDocument/2006/relationships/hyperlink" Target="https://www.european-microfinance.org/publication/survey-on-microfinance-in-europe-executive-summary-2025-edition/" TargetMode="External"/><Relationship Id="rId39" Type="http://schemas.openxmlformats.org/officeDocument/2006/relationships/hyperlink" Target="https://eur-lex.europa.eu/legal-content/FR/TXT/?uri=celex:52025DC0790" TargetMode="External"/><Relationship Id="rId3" Type="http://schemas.openxmlformats.org/officeDocument/2006/relationships/hyperlink" Target="https://eur-lex.europa.eu/legal-content/FR/TXT/?uri=oj:JOC_2017_428_R_0009" TargetMode="External"/><Relationship Id="rId21" Type="http://schemas.openxmlformats.org/officeDocument/2006/relationships/hyperlink" Target="https://socialinnovationplus.eu/" TargetMode="External"/><Relationship Id="rId34" Type="http://schemas.openxmlformats.org/officeDocument/2006/relationships/hyperlink" Target="https://eur-lex.europa.eu/eli/reg/2013/345/oj/fra" TargetMode="External"/><Relationship Id="rId7" Type="http://schemas.openxmlformats.org/officeDocument/2006/relationships/hyperlink" Target="https://eur-lex.europa.eu/eli/C/2023/1344/oj/fra" TargetMode="External"/><Relationship Id="rId12" Type="http://schemas.openxmlformats.org/officeDocument/2006/relationships/hyperlink" Target="https://eur-lex.europa.eu/legal-content/FR/TXT/HTML/?uri=OJ:L_202302831" TargetMode="External"/><Relationship Id="rId17" Type="http://schemas.openxmlformats.org/officeDocument/2006/relationships/hyperlink" Target="https://www.calameo.com/read/00727022715040554de5f?trackersource=library" TargetMode="External"/><Relationship Id="rId25" Type="http://schemas.openxmlformats.org/officeDocument/2006/relationships/hyperlink" Target="https://www.impacteurope.net/sites/www.evpa.ngo/files/publications/The-Size-of-Impact-2024.pdf" TargetMode="External"/><Relationship Id="rId33" Type="http://schemas.openxmlformats.org/officeDocument/2006/relationships/hyperlink" Target="https://eur-lex.europa.eu/legal-content/FR/TXT/?uri=celex:52025DC0378" TargetMode="External"/><Relationship Id="rId38" Type="http://schemas.openxmlformats.org/officeDocument/2006/relationships/hyperlink" Target="https://eur-lex.europa.eu/legal-content/FR/TXT/?uri=celex:52025JC0791" TargetMode="External"/><Relationship Id="rId2" Type="http://schemas.openxmlformats.org/officeDocument/2006/relationships/hyperlink" Target="https://eur-lex.europa.eu/legal-content/FR/TXT/PDF/?uri=CELEX:52021DC0778" TargetMode="External"/><Relationship Id="rId16" Type="http://schemas.openxmlformats.org/officeDocument/2006/relationships/hyperlink" Target="https://circular-cities-and-regions.ec.europa.eu/" TargetMode="External"/><Relationship Id="rId20" Type="http://schemas.openxmlformats.org/officeDocument/2006/relationships/hyperlink" Target="https://eur-lex.europa.eu/legal-content/FR/TXT/HTML/?uri=CELEX:02021R0241-20240301" TargetMode="External"/><Relationship Id="rId29" Type="http://schemas.openxmlformats.org/officeDocument/2006/relationships/hyperlink" Target="https://op.europa.eu/en/publication-detail/-/publication/16601199-d187-11f0-8da2-01aa75ed71a1/language-en" TargetMode="External"/><Relationship Id="rId1" Type="http://schemas.openxmlformats.org/officeDocument/2006/relationships/hyperlink" Target="https://op.europa.eu/en/publication-detail/-/publication/8aa2a5cb-74a7-11ef-a8ba-01aa75ed71a1/language-en" TargetMode="External"/><Relationship Id="rId6" Type="http://schemas.openxmlformats.org/officeDocument/2006/relationships/hyperlink" Target="https://www.consilium.europa.eu/media/ny3j24sm/much-more-than-a-market-report-by-enrico-letta.pdf" TargetMode="External"/><Relationship Id="rId11" Type="http://schemas.openxmlformats.org/officeDocument/2006/relationships/hyperlink" Target="https://eur-lex.europa.eu/legal-content/EN-FR/TXT/?from=EN&amp;uri=CELEX%3A32014R0651" TargetMode="External"/><Relationship Id="rId24" Type="http://schemas.openxmlformats.org/officeDocument/2006/relationships/hyperlink" Target="https://www.impacteurope.net/sites/www.evpa.ngo/files/publications/The-Size-of-Impact-2024.pdf" TargetMode="External"/><Relationship Id="rId32" Type="http://schemas.openxmlformats.org/officeDocument/2006/relationships/hyperlink" Target="https://eur-lex.europa.eu/legal-content/FR/TXT/?uri=celex:52025JC0026" TargetMode="External"/><Relationship Id="rId37" Type="http://schemas.openxmlformats.org/officeDocument/2006/relationships/hyperlink" Target="https://link.europa.eu/Wn7Nmq" TargetMode="External"/><Relationship Id="rId5" Type="http://schemas.openxmlformats.org/officeDocument/2006/relationships/hyperlink" Target="https://www.consilium.europa.eu/media/ny3j24sm/much-more-than-a-market-report-by-enrico-letta.pdf" TargetMode="External"/><Relationship Id="rId15" Type="http://schemas.openxmlformats.org/officeDocument/2006/relationships/hyperlink" Target="https://eur-lex.europa.eu/legal-content/FR/TXT/HTML/?uri=CELEX:52025SC0333" TargetMode="External"/><Relationship Id="rId23" Type="http://schemas.openxmlformats.org/officeDocument/2006/relationships/hyperlink" Target="https://social-economy-gateway.ec.europa.eu/document/download/de8055d7-71cd-4fc9-b086-9734495562a8_en" TargetMode="External"/><Relationship Id="rId28" Type="http://schemas.openxmlformats.org/officeDocument/2006/relationships/hyperlink" Target="https://op.europa.eu/en/publication-detail/-/publication/8aa2a5cb-74a7-11ef-a8ba-01aa75ed71a1/language-en" TargetMode="External"/><Relationship Id="rId36" Type="http://schemas.openxmlformats.org/officeDocument/2006/relationships/hyperlink" Target="https://eur-lex.europa.eu/legal-content/FR/TXT/?uri=celex:52025DC1025" TargetMode="External"/><Relationship Id="rId10" Type="http://schemas.openxmlformats.org/officeDocument/2006/relationships/hyperlink" Target="https://op.europa.eu/en/publication-detail/-/publication/ef325f6c-05e5-11ef-a251-01aa75ed71a1/language-en" TargetMode="External"/><Relationship Id="rId19" Type="http://schemas.openxmlformats.org/officeDocument/2006/relationships/hyperlink" Target="https://eur-lex.europa.eu/legal-content/FR/TXT/HTML/?uri=CELEX:02021R1058-20250920" TargetMode="External"/><Relationship Id="rId31" Type="http://schemas.openxmlformats.org/officeDocument/2006/relationships/hyperlink" Target="https://eur-lex.europa.eu/legal-content/FR/TXT/HTML/?uri=CELEX:52025DC0872" TargetMode="External"/><Relationship Id="rId4" Type="http://schemas.openxmlformats.org/officeDocument/2006/relationships/hyperlink" Target="https://data.europa.eu/doi/10.2767/7540978" TargetMode="External"/><Relationship Id="rId9" Type="http://schemas.openxmlformats.org/officeDocument/2006/relationships/hyperlink" Target="https://ec.europa.eu/social/BlobServlet?docId=26938&amp;langId=en" TargetMode="External"/><Relationship Id="rId14" Type="http://schemas.openxmlformats.org/officeDocument/2006/relationships/hyperlink" Target="https://eur-lex.europa.eu/legal-content/FR/TXT/HTML/?uri=OJ:L_202502630" TargetMode="External"/><Relationship Id="rId22" Type="http://schemas.openxmlformats.org/officeDocument/2006/relationships/hyperlink" Target="https://link.europa.eu/jpJ6xv" TargetMode="External"/><Relationship Id="rId27" Type="http://schemas.openxmlformats.org/officeDocument/2006/relationships/hyperlink" Target="https://social-economy-gateway.ec.europa.eu/" TargetMode="External"/><Relationship Id="rId30" Type="http://schemas.openxmlformats.org/officeDocument/2006/relationships/hyperlink" Target="https://eur-lex.europa.eu/legal-content/FR/TXT/?uri=celex:52021DC0345" TargetMode="External"/><Relationship Id="rId35" Type="http://schemas.openxmlformats.org/officeDocument/2006/relationships/hyperlink" Target="https://eur-lex.europa.eu/LexUriServ/LexUriServ.do?uri=OJ:L:2013:115:0018:0038: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76f06999-e56f-44d8-85f3-e84d322fbd5f</Id>
  <Names>
    <Latin>
      <FirstName>Estelle</FirstName>
      <LastName>BACCONNIER</LastName>
    </Latin>
    <Greek>
      <FirstName/>
      <LastName/>
    </Greek>
    <Cyrillic>
      <FirstName/>
      <LastName/>
    </Cyrillic>
    <DocumentScript>
      <FirstName>Estelle</FirstName>
      <LastName>BACCONNIER</LastName>
      <FullName>Estelle BACCONNIER</FullName>
    </DocumentScript>
  </Names>
  <Initials>EB</Initials>
  <Gender>f</Gender>
  <Email>Estelle.BACCONNIER@ec.europa.eu</Email>
  <Service>EMPL.G.3</Service>
  <Function ADCode="" ShowInSignature="true" ShowInHeader="false" HeaderText=""/>
  <WebAddress/>
  <FunctionalMailbox/>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8caf3872-6a4c-4919-ae83-a3e4fa2234fb</Id>
    <LogicalLevel>2</LogicalLevel>
    <Name>EMPL.G</Name>
    <HeadLine1>Funds: Programming and Implementation</HeadLine1>
    <HeadLine2/>
    <PrimaryAddressId>f03b5801-04c9-4931-aa17-c6d6c70bc579</PrimaryAddressId>
    <SecondaryAddressId/>
    <WebAddress/>
    <InheritedWebAddress>WebAddress</InheritedWebAddress>
    <ShowInHeader>true</ShowInHeader>
  </OrgaEntity2>
  <OrgaEntity3>
    <Id>085f101e-03b3-4ebb-a0af-aa854001a451</Id>
    <LogicalLevel>3</LogicalLevel>
    <Name>EMPL.G.3</Name>
    <HeadLine1>Social and Inclusive Entrepreneurship</HeadLine1>
    <HeadLine2/>
    <PrimaryAddressId>f03b5801-04c9-4931-aa17-c6d6c70bc579</PrimaryAddressId>
    <SecondaryAddressId/>
    <WebAddress/>
    <InheritedWebAddress>WebAddress</InheritedWebAddress>
    <ShowInHeader>true</ShowInHeader>
  </OrgaEntity3>
  <Hierarchy>
    <OrgaEntity>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
    <OrgaEntity>
      <Id>8caf3872-6a4c-4919-ae83-a3e4fa2234fb</Id>
      <LogicalLevel>2</LogicalLevel>
      <Name>EMPL.G</Name>
      <HeadLine1>Funds: Programming and Implementation</HeadLine1>
      <HeadLine2/>
      <PrimaryAddressId>f03b5801-04c9-4931-aa17-c6d6c70bc579</PrimaryAddressId>
      <SecondaryAddressId/>
      <WebAddress/>
      <InheritedWebAddress>WebAddress</InheritedWebAddress>
      <ShowInHeader>true</ShowInHeader>
    </OrgaEntity>
    <OrgaEntity>
      <Id>085f101e-03b3-4ebb-a0af-aa854001a451</Id>
      <LogicalLevel>3</LogicalLevel>
      <Name>EMPL.G.3</Name>
      <HeadLine1>Social and Inclusive Entrepreneurship</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+32 229-71927</Phone>
    <Office>SPA3 04/050</Office>
  </MainWorkplace>
  <Workplaces>
    <Workplace IsMain="false">
      <AddressId>1264fb81-f6bb-475e-9f9d-a937d3be6ee2</AddressId>
      <Fax/>
      <Phone/>
      <Office/>
    </Workplace>
    <Workplace IsMain="true">
      <AddressId>f03b5801-04c9-4931-aa17-c6d6c70bc579</AddressId>
      <Fax/>
      <Phone>+32 229-71927</Phone>
      <Office>SPA3 04/050</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LabelSource>Source</LabelSource>
  <LabelTableSeqEC>Table {SEQ Table \* ARABIC }: </LabelTableSeqEC>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34a3906-e2fe-45dd-be63-435c8762400b" xsi:nil="true"/>
  </documentManagement>
</p:properties>
</file>

<file path=customXml/item4.xml><?xml version="1.0" encoding="utf-8"?>
<EurolookProperties>
  <ProductCustomizationId>EC</ProductCustomizationId>
  <Created>
    <Version>10.0.42447.0</Version>
    <Date>2021-11-15T10:36:36</Date>
    <Language>EN</Language>
    <Note/>
  </Created>
  <Edited>
    <Version>10.0.42447.0</Version>
    <Date>2021-11-23T16:19:14</Date>
  </Edited>
  <DocumentModel>
    <Id>6cbda13a-4db2-46c6-876a-ef72275827ef</Id>
    <Name>Report</Name>
  </DocumentModel>
  <DocumentDate>2021-11-15T10:36:36</DocumentDate>
  <DocumentVersion>0.1</DocumentVersion>
  <CompatibilityMode>Eurolook10</CompatibilityMode>
  <DocumentMetadata>
    <EC_SecurityDistributionSensitive MetadataSerializationType="SimpleValue"/>
    <EC_SecurityDateMarking MetadataSerializationType="SimpleValue"/>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DocumentMetadata>
</Eurolook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7" ma:contentTypeDescription="Create a new document." ma:contentTypeScope="" ma:versionID="ab711426ea0dbc345a9c13769a5c8b1e">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71a629978805d562a4dfb0cf71ce86fc"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f0651b2-80ac-4c5e-89ee-9d634572306f}"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393B8D0-689B-42BF-93D2-B092F2F726FB}">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25855EA4-DA44-4682-A34F-3E2E149913DD}">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82FE9BE1-1BE2-42DE-AB9E-AED643659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D5F2019-67DE-47CE-AB56-0FCEA9A9B71B}">
  <ds:schemaRefs>
    <ds:schemaRef ds:uri="http://schemas.microsoft.com/sharepoint/v3/contenttype/forms"/>
  </ds:schemaRefs>
</ds:datastoreItem>
</file>

<file path=customXml/itemProps7.xml><?xml version="1.0" encoding="utf-8"?>
<ds:datastoreItem xmlns:ds="http://schemas.openxmlformats.org/officeDocument/2006/customXml" ds:itemID="{29CA42C1-C022-403C-81DB-D0968683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7925</Words>
  <Characters>45175</Characters>
  <Application>Microsoft Office Word</Application>
  <DocSecurity>0</DocSecurity>
  <PresentationFormat>Microsoft Word 14.0</PresentationFormat>
  <Lines>376</Lines>
  <Paragraphs>105</Paragraphs>
  <ScaleCrop>true</ScaleCrop>
  <Manager/>
  <Company/>
  <LinksUpToDate>false</LinksUpToDate>
  <CharactersWithSpaces>52995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2026-03-09T08:47:00Z</dcterms:created>
  <dcterms:modified xsi:type="dcterms:W3CDTF">2026-03-31T08:57:00Z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2026-01-12T13:04:08Z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50573e32-f240-4720-8273-37f9ee47e1a1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y fmtid="{D5CDD505-2E9C-101B-9397-08002B2CF9AE}" pid="16" name="ContentTypeId">
    <vt:lpwstr>0x010100724FDE23FB365D4CB8B2901107175F9F</vt:lpwstr>
  </property>
  <property fmtid="{D5CDD505-2E9C-101B-9397-08002B2CF9AE}" pid="17" name="MediaServiceImageTags">
    <vt:lpwstr/>
  </property>
</Properties>
</file>