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A69B1E" w14:textId="1763D2EE" w:rsidR="00D10F54" w:rsidRDefault="00924944" w:rsidP="00924944">
      <w:pPr>
        <w:pStyle w:val="Pagedecouverture"/>
        <w:rPr>
          <w:noProof/>
        </w:rPr>
      </w:pPr>
      <w:r>
        <w:rPr>
          <w:noProof/>
        </w:rPr>
        <w:pict w14:anchorId="03930A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11BAC81-09CB-478E-B230-F0525481F8E8" style="width:455.25pt;height:389.25pt">
            <v:imagedata r:id="rId8" o:title=""/>
          </v:shape>
        </w:pict>
      </w:r>
    </w:p>
    <w:p w14:paraId="5899C2C9" w14:textId="77777777" w:rsidR="002D317B" w:rsidRDefault="002D317B">
      <w:pPr>
        <w:rPr>
          <w:noProof/>
        </w:rPr>
        <w:sectPr w:rsidR="002D317B" w:rsidSect="00924944">
          <w:footerReference w:type="even" r:id="rId9"/>
          <w:footerReference w:type="default" r:id="rId10"/>
          <w:pgSz w:w="11907" w:h="16839"/>
          <w:pgMar w:top="1134" w:right="1417" w:bottom="1134" w:left="1417" w:header="709" w:footer="709" w:gutter="0"/>
          <w:pgNumType w:start="0"/>
          <w:cols w:space="720"/>
          <w:docGrid w:linePitch="360"/>
        </w:sectPr>
      </w:pPr>
    </w:p>
    <w:p w14:paraId="1DD28C30" w14:textId="77777777" w:rsidR="002D317B" w:rsidRDefault="000809AC">
      <w:pPr>
        <w:pStyle w:val="Exposdesmotifstitre"/>
        <w:rPr>
          <w:noProof/>
        </w:rPr>
      </w:pPr>
      <w:bookmarkStart w:id="0" w:name="_GoBack"/>
      <w:bookmarkEnd w:id="0"/>
      <w:r>
        <w:rPr>
          <w:noProof/>
        </w:rPr>
        <w:lastRenderedPageBreak/>
        <w:t>EXPLANATORY MEMORANDUM</w:t>
      </w:r>
    </w:p>
    <w:p w14:paraId="3158C7E2" w14:textId="77777777" w:rsidR="00215C8F" w:rsidRPr="006F770D" w:rsidRDefault="00215C8F" w:rsidP="00215C8F">
      <w:pPr>
        <w:pStyle w:val="ManualHeading1"/>
        <w:rPr>
          <w:noProof/>
        </w:rPr>
      </w:pPr>
      <w:r w:rsidRPr="00C567EE">
        <w:rPr>
          <w:noProof/>
        </w:rPr>
        <w:t>1.</w:t>
      </w:r>
      <w:r w:rsidRPr="00C567EE">
        <w:rPr>
          <w:noProof/>
        </w:rPr>
        <w:tab/>
      </w:r>
      <w:r w:rsidRPr="006F770D">
        <w:rPr>
          <w:noProof/>
        </w:rPr>
        <w:t>CONTEXT OF THE PROPOSAL</w:t>
      </w:r>
    </w:p>
    <w:p w14:paraId="35F8F6A7" w14:textId="77777777" w:rsidR="00215C8F" w:rsidRPr="00215C8F" w:rsidRDefault="00215C8F" w:rsidP="00215C8F">
      <w:pPr>
        <w:pStyle w:val="ManualHeading2"/>
        <w:rPr>
          <w:noProof/>
        </w:rPr>
      </w:pPr>
      <w:r w:rsidRPr="00215C8F">
        <w:rPr>
          <w:noProof/>
        </w:rPr>
        <w:t>•</w:t>
      </w:r>
      <w:r w:rsidRPr="00215C8F">
        <w:rPr>
          <w:noProof/>
        </w:rPr>
        <w:tab/>
        <w:t>Reasons for and objectives of the proposal</w:t>
      </w:r>
    </w:p>
    <w:p w14:paraId="2B1B3E6F" w14:textId="77777777" w:rsidR="009C1ED9" w:rsidRDefault="6E94ACB2" w:rsidP="00215C8F">
      <w:pPr>
        <w:rPr>
          <w:noProof/>
        </w:rPr>
      </w:pPr>
      <w:r>
        <w:rPr>
          <w:noProof/>
        </w:rPr>
        <w:t xml:space="preserve">This proposal is part of a package of measures that aims at aligning the </w:t>
      </w:r>
      <w:r w:rsidR="00895F68" w:rsidRPr="00785B9A">
        <w:rPr>
          <w:noProof/>
        </w:rPr>
        <w:t>Union’s</w:t>
      </w:r>
      <w:r>
        <w:rPr>
          <w:noProof/>
        </w:rPr>
        <w:t xml:space="preserve"> cybersecurity framework with the needs of stakeholders in an increasingly </w:t>
      </w:r>
      <w:r w:rsidR="521D94BE">
        <w:rPr>
          <w:noProof/>
        </w:rPr>
        <w:t xml:space="preserve">sophisticated </w:t>
      </w:r>
      <w:r>
        <w:rPr>
          <w:noProof/>
        </w:rPr>
        <w:t>cyber threat landscape and complex geopolitical reality.</w:t>
      </w:r>
      <w:r w:rsidR="5299ADCD">
        <w:rPr>
          <w:noProof/>
        </w:rPr>
        <w:t xml:space="preserve"> </w:t>
      </w:r>
      <w:r w:rsidR="0711C1D8" w:rsidRPr="006A2D97">
        <w:rPr>
          <w:noProof/>
        </w:rPr>
        <w:t>Essential</w:t>
      </w:r>
      <w:r w:rsidR="00523E18" w:rsidRPr="006A2D97">
        <w:rPr>
          <w:noProof/>
        </w:rPr>
        <w:t xml:space="preserve"> and important</w:t>
      </w:r>
      <w:r w:rsidR="0711C1D8" w:rsidRPr="006A2D97">
        <w:rPr>
          <w:noProof/>
        </w:rPr>
        <w:t xml:space="preserve"> entities from critical sectors are increasingly </w:t>
      </w:r>
      <w:r w:rsidR="6791E518" w:rsidRPr="006A2D97">
        <w:rPr>
          <w:noProof/>
        </w:rPr>
        <w:t>targeted by</w:t>
      </w:r>
      <w:r w:rsidR="0711C1D8" w:rsidRPr="006A2D97">
        <w:rPr>
          <w:noProof/>
        </w:rPr>
        <w:t xml:space="preserve"> cyberattacks</w:t>
      </w:r>
      <w:r w:rsidR="6033115F" w:rsidRPr="006A2D97">
        <w:rPr>
          <w:rStyle w:val="FootnoteReference"/>
          <w:noProof/>
        </w:rPr>
        <w:footnoteReference w:id="2"/>
      </w:r>
      <w:r w:rsidR="224E0CE8" w:rsidRPr="006A2D97">
        <w:rPr>
          <w:noProof/>
        </w:rPr>
        <w:t xml:space="preserve"> while </w:t>
      </w:r>
      <w:r w:rsidR="78E22A10" w:rsidRPr="006A2D97">
        <w:rPr>
          <w:noProof/>
        </w:rPr>
        <w:t xml:space="preserve">state </w:t>
      </w:r>
      <w:r w:rsidR="224E0CE8" w:rsidRPr="006A2D97">
        <w:rPr>
          <w:noProof/>
        </w:rPr>
        <w:t xml:space="preserve">threat actors </w:t>
      </w:r>
      <w:r w:rsidR="15241CF5" w:rsidRPr="006A2D97">
        <w:rPr>
          <w:noProof/>
        </w:rPr>
        <w:t>leverag</w:t>
      </w:r>
      <w:r w:rsidR="5DE7CAFF" w:rsidRPr="006A2D97">
        <w:rPr>
          <w:noProof/>
        </w:rPr>
        <w:t xml:space="preserve">e </w:t>
      </w:r>
      <w:r w:rsidR="15241CF5" w:rsidRPr="006A2D97">
        <w:rPr>
          <w:noProof/>
        </w:rPr>
        <w:t>emerging technologies such as artificial intelligence (AI) to further scale and</w:t>
      </w:r>
      <w:r w:rsidR="4191903B" w:rsidRPr="006A2D97">
        <w:rPr>
          <w:noProof/>
        </w:rPr>
        <w:t xml:space="preserve"> optimise their attacks. </w:t>
      </w:r>
      <w:r w:rsidR="74E3C632" w:rsidRPr="006A2D97">
        <w:rPr>
          <w:noProof/>
        </w:rPr>
        <w:t>In this context, th</w:t>
      </w:r>
      <w:r w:rsidR="4191903B" w:rsidRPr="006A2D97">
        <w:rPr>
          <w:noProof/>
        </w:rPr>
        <w:t>e</w:t>
      </w:r>
      <w:r w:rsidR="5299ADCD" w:rsidRPr="006A2D97">
        <w:rPr>
          <w:noProof/>
        </w:rPr>
        <w:t xml:space="preserve"> resilience of critical infrastructure </w:t>
      </w:r>
      <w:r w:rsidR="450DCAB0" w:rsidRPr="006A2D97">
        <w:rPr>
          <w:noProof/>
        </w:rPr>
        <w:t>in the face of cyber</w:t>
      </w:r>
      <w:r w:rsidR="42FE3C02" w:rsidRPr="006A2D97">
        <w:rPr>
          <w:noProof/>
        </w:rPr>
        <w:t xml:space="preserve"> threats</w:t>
      </w:r>
      <w:r w:rsidR="450DCAB0" w:rsidRPr="006A2D97">
        <w:rPr>
          <w:noProof/>
        </w:rPr>
        <w:t xml:space="preserve"> </w:t>
      </w:r>
      <w:r w:rsidR="41553745" w:rsidRPr="006A2D97">
        <w:rPr>
          <w:noProof/>
        </w:rPr>
        <w:t>is recogni</w:t>
      </w:r>
      <w:r w:rsidR="00592AA8" w:rsidRPr="006A2D97">
        <w:rPr>
          <w:noProof/>
        </w:rPr>
        <w:t>s</w:t>
      </w:r>
      <w:r w:rsidR="41553745" w:rsidRPr="006A2D97">
        <w:rPr>
          <w:noProof/>
        </w:rPr>
        <w:t xml:space="preserve">ed as a strategic pillar for our democracies and </w:t>
      </w:r>
      <w:r w:rsidR="3457DB19" w:rsidRPr="006A2D97">
        <w:rPr>
          <w:noProof/>
        </w:rPr>
        <w:t>the economic security of the Union.</w:t>
      </w:r>
      <w:r w:rsidR="2723D9DA" w:rsidRPr="006A2D97">
        <w:rPr>
          <w:noProof/>
        </w:rPr>
        <w:t xml:space="preserve"> </w:t>
      </w:r>
      <w:r w:rsidR="003A2B25" w:rsidRPr="006A2D97">
        <w:rPr>
          <w:noProof/>
        </w:rPr>
        <w:t>Both the European Preparedness Union Strategy</w:t>
      </w:r>
      <w:r w:rsidR="003A2B25" w:rsidRPr="006A2D97">
        <w:rPr>
          <w:rStyle w:val="FootnoteReference"/>
          <w:noProof/>
        </w:rPr>
        <w:footnoteReference w:id="3"/>
      </w:r>
      <w:r w:rsidR="003A2B25" w:rsidRPr="006A2D97">
        <w:rPr>
          <w:noProof/>
        </w:rPr>
        <w:t> and the European Internal Security Strategy (ProtectEU)</w:t>
      </w:r>
      <w:r w:rsidR="003A2B25" w:rsidRPr="006A2D97">
        <w:rPr>
          <w:rStyle w:val="FootnoteReference"/>
          <w:noProof/>
        </w:rPr>
        <w:footnoteReference w:id="4"/>
      </w:r>
      <w:r w:rsidR="003A2B25" w:rsidRPr="006A2D97">
        <w:rPr>
          <w:noProof/>
        </w:rPr>
        <w:t xml:space="preserve"> have placed cybersecurity at the heart of the Union’s resilience agenda. </w:t>
      </w:r>
      <w:r w:rsidR="009C1ED9" w:rsidRPr="006A2D97">
        <w:rPr>
          <w:noProof/>
        </w:rPr>
        <w:t>Similarly, the Communication on Strengthening EU economic security</w:t>
      </w:r>
      <w:r w:rsidR="009C1ED9" w:rsidRPr="009E7540">
        <w:rPr>
          <w:rStyle w:val="FootnoteReference"/>
          <w:noProof/>
        </w:rPr>
        <w:footnoteReference w:id="5"/>
      </w:r>
      <w:r w:rsidR="009C1ED9" w:rsidRPr="006A2D97">
        <w:rPr>
          <w:noProof/>
        </w:rPr>
        <w:t xml:space="preserve"> identifies preventing access to sensitive information and data that could undermine the Union’s economic security and preventing and mitigating disruptions to Union’s critical infrastructure affecting the Union economy as priority objectives, </w:t>
      </w:r>
      <w:r w:rsidR="00E160B9" w:rsidRPr="00785B9A">
        <w:rPr>
          <w:noProof/>
        </w:rPr>
        <w:t xml:space="preserve">in </w:t>
      </w:r>
      <w:r w:rsidR="009C1ED9" w:rsidRPr="006A2D97">
        <w:rPr>
          <w:noProof/>
        </w:rPr>
        <w:t>which effective cybersecurity measures play a crucial role.</w:t>
      </w:r>
      <w:r w:rsidR="00C12A1A" w:rsidRPr="006A2D97">
        <w:rPr>
          <w:noProof/>
        </w:rPr>
        <w:t xml:space="preserve"> </w:t>
      </w:r>
      <w:r w:rsidR="00E61413" w:rsidRPr="006A2D97">
        <w:rPr>
          <w:noProof/>
        </w:rPr>
        <w:t xml:space="preserve">Further, </w:t>
      </w:r>
      <w:r w:rsidR="00D13389" w:rsidRPr="00785B9A">
        <w:rPr>
          <w:noProof/>
        </w:rPr>
        <w:t>the</w:t>
      </w:r>
      <w:r w:rsidR="00E61413" w:rsidRPr="006A2D97">
        <w:rPr>
          <w:noProof/>
        </w:rPr>
        <w:t xml:space="preserve"> Draghi </w:t>
      </w:r>
      <w:r w:rsidR="00D13389" w:rsidRPr="00785B9A">
        <w:rPr>
          <w:noProof/>
        </w:rPr>
        <w:t xml:space="preserve">Report </w:t>
      </w:r>
      <w:r w:rsidR="00E61413" w:rsidRPr="006A2D97">
        <w:rPr>
          <w:noProof/>
        </w:rPr>
        <w:t xml:space="preserve">highlighted the need to increase security and reduce dependencies as one main area of action needed in the </w:t>
      </w:r>
      <w:r w:rsidR="00E61413" w:rsidRPr="00785B9A">
        <w:rPr>
          <w:noProof/>
        </w:rPr>
        <w:t>Union</w:t>
      </w:r>
      <w:r w:rsidR="00E61413" w:rsidRPr="009E7540">
        <w:rPr>
          <w:rStyle w:val="FootnoteReference"/>
          <w:noProof/>
        </w:rPr>
        <w:footnoteReference w:id="6"/>
      </w:r>
      <w:r w:rsidR="00E61413" w:rsidRPr="00E61413">
        <w:rPr>
          <w:noProof/>
        </w:rPr>
        <w:t xml:space="preserve">. </w:t>
      </w:r>
      <w:r w:rsidR="00C928AE">
        <w:rPr>
          <w:noProof/>
        </w:rPr>
        <w:t>In its Communication on a Simpler and Faster Europe</w:t>
      </w:r>
      <w:r w:rsidR="00BC696E">
        <w:rPr>
          <w:rStyle w:val="FootnoteReference"/>
          <w:noProof/>
        </w:rPr>
        <w:footnoteReference w:id="7"/>
      </w:r>
      <w:r w:rsidR="00C928AE">
        <w:rPr>
          <w:noProof/>
        </w:rPr>
        <w:t>, the Commission announced its commitment to an ambitious programme to promote forward-looking, innovative policies that strengthen the Union’s competitiveness and lighten the regulatory burdens on people, businesses and administrations, while maintaining the highest standard in promoting its values</w:t>
      </w:r>
      <w:r w:rsidR="00D555BE">
        <w:rPr>
          <w:noProof/>
        </w:rPr>
        <w:t>.</w:t>
      </w:r>
    </w:p>
    <w:p w14:paraId="4F36F307" w14:textId="510E7F62" w:rsidR="6033115F" w:rsidRDefault="00007320" w:rsidP="00215C8F">
      <w:pPr>
        <w:rPr>
          <w:noProof/>
        </w:rPr>
      </w:pPr>
      <w:r w:rsidRPr="00007320">
        <w:rPr>
          <w:noProof/>
        </w:rPr>
        <w:t xml:space="preserve">Against this background, </w:t>
      </w:r>
      <w:r w:rsidR="00AA32DB">
        <w:rPr>
          <w:noProof/>
        </w:rPr>
        <w:t xml:space="preserve">the present </w:t>
      </w:r>
      <w:r w:rsidR="00EF0BB2">
        <w:rPr>
          <w:noProof/>
        </w:rPr>
        <w:t>proposal</w:t>
      </w:r>
      <w:r w:rsidR="00C81B05">
        <w:rPr>
          <w:noProof/>
        </w:rPr>
        <w:t xml:space="preserve"> for a Directive</w:t>
      </w:r>
      <w:r w:rsidR="00EF0BB2">
        <w:rPr>
          <w:noProof/>
        </w:rPr>
        <w:t xml:space="preserve"> </w:t>
      </w:r>
      <w:r w:rsidR="00C81B05" w:rsidRPr="00340B07">
        <w:rPr>
          <w:noProof/>
        </w:rPr>
        <w:t>amending Directive (EU) 2022/2555</w:t>
      </w:r>
      <w:r w:rsidR="00C81B05" w:rsidRPr="00C81B05">
        <w:rPr>
          <w:noProof/>
        </w:rPr>
        <w:t xml:space="preserve"> as regards simplification </w:t>
      </w:r>
      <w:r w:rsidR="00C81B05" w:rsidRPr="00E46D03">
        <w:rPr>
          <w:noProof/>
        </w:rPr>
        <w:t xml:space="preserve">measures and alignment with </w:t>
      </w:r>
      <w:r w:rsidR="00E46D03" w:rsidRPr="00A27C4F">
        <w:rPr>
          <w:noProof/>
        </w:rPr>
        <w:t xml:space="preserve">the </w:t>
      </w:r>
      <w:r w:rsidR="00C81B05" w:rsidRPr="00DD1D17">
        <w:rPr>
          <w:noProof/>
        </w:rPr>
        <w:t xml:space="preserve">[Proposal for a </w:t>
      </w:r>
      <w:r w:rsidR="00A8741D">
        <w:rPr>
          <w:noProof/>
        </w:rPr>
        <w:t xml:space="preserve">Regulation of the European Parliament and of the Council </w:t>
      </w:r>
      <w:r w:rsidR="00C81B05" w:rsidRPr="00DD1D17">
        <w:rPr>
          <w:noProof/>
        </w:rPr>
        <w:t xml:space="preserve">on the European Union Agency for Cybersecurity (ENISA), </w:t>
      </w:r>
      <w:r w:rsidR="00E46D03" w:rsidRPr="00DD1D17">
        <w:rPr>
          <w:noProof/>
        </w:rPr>
        <w:t xml:space="preserve">the </w:t>
      </w:r>
      <w:r w:rsidR="00C81B05" w:rsidRPr="00DD1D17">
        <w:rPr>
          <w:noProof/>
        </w:rPr>
        <w:t>European cybersecurity certification framework, and ICT supply chain security and repealing Regulation (EU) 2019/881 (The Cybersecurity Act 2)</w:t>
      </w:r>
      <w:r w:rsidR="00E46D03" w:rsidRPr="00E46D03">
        <w:rPr>
          <w:noProof/>
        </w:rPr>
        <w:t>]</w:t>
      </w:r>
      <w:r w:rsidR="00BF5BDB" w:rsidRPr="00E46D03">
        <w:rPr>
          <w:noProof/>
        </w:rPr>
        <w:t xml:space="preserve"> </w:t>
      </w:r>
      <w:r w:rsidR="00350A05" w:rsidRPr="00E46D03">
        <w:rPr>
          <w:noProof/>
        </w:rPr>
        <w:t>aims</w:t>
      </w:r>
      <w:r w:rsidR="00350A05">
        <w:rPr>
          <w:noProof/>
        </w:rPr>
        <w:t xml:space="preserve"> at addressing the problem of </w:t>
      </w:r>
      <w:r w:rsidR="00350A05" w:rsidRPr="00350A05">
        <w:rPr>
          <w:noProof/>
        </w:rPr>
        <w:t>the complexity and diversity of the cybersecurity-related policies impacting the Union’s cyber posture</w:t>
      </w:r>
      <w:r w:rsidR="00E474DC">
        <w:rPr>
          <w:noProof/>
        </w:rPr>
        <w:t xml:space="preserve"> </w:t>
      </w:r>
      <w:r w:rsidR="00F63270">
        <w:rPr>
          <w:noProof/>
        </w:rPr>
        <w:t xml:space="preserve">in particular </w:t>
      </w:r>
      <w:r w:rsidR="00350A05">
        <w:rPr>
          <w:noProof/>
        </w:rPr>
        <w:t xml:space="preserve">by </w:t>
      </w:r>
      <w:r w:rsidR="4B0C0141">
        <w:rPr>
          <w:noProof/>
        </w:rPr>
        <w:t>introduc</w:t>
      </w:r>
      <w:r w:rsidR="009D22E8">
        <w:rPr>
          <w:noProof/>
        </w:rPr>
        <w:t>ing</w:t>
      </w:r>
      <w:r w:rsidR="4B0C0141">
        <w:rPr>
          <w:noProof/>
        </w:rPr>
        <w:t xml:space="preserve"> clarifications and </w:t>
      </w:r>
      <w:r w:rsidR="009D22E8">
        <w:rPr>
          <w:noProof/>
        </w:rPr>
        <w:t>making</w:t>
      </w:r>
      <w:r w:rsidR="007C3C80">
        <w:rPr>
          <w:noProof/>
        </w:rPr>
        <w:t xml:space="preserve"> compliance for regulated entities</w:t>
      </w:r>
      <w:r w:rsidR="009D22E8">
        <w:rPr>
          <w:noProof/>
        </w:rPr>
        <w:t xml:space="preserve"> easier</w:t>
      </w:r>
      <w:r w:rsidR="00350A05">
        <w:rPr>
          <w:noProof/>
        </w:rPr>
        <w:t>.</w:t>
      </w:r>
    </w:p>
    <w:p w14:paraId="0A16310F" w14:textId="77777777" w:rsidR="6033115F" w:rsidRDefault="25B7B4BF" w:rsidP="00215C8F">
      <w:pPr>
        <w:rPr>
          <w:rFonts w:eastAsia="Times New Roman"/>
          <w:noProof/>
          <w:color w:val="000000" w:themeColor="text1"/>
        </w:rPr>
      </w:pPr>
      <w:r>
        <w:rPr>
          <w:noProof/>
        </w:rPr>
        <w:t xml:space="preserve">The objective of the present </w:t>
      </w:r>
      <w:r w:rsidR="00F20A6B">
        <w:rPr>
          <w:noProof/>
        </w:rPr>
        <w:t>d</w:t>
      </w:r>
      <w:r>
        <w:rPr>
          <w:noProof/>
        </w:rPr>
        <w:t xml:space="preserve">irective should be considered </w:t>
      </w:r>
      <w:r w:rsidR="32EDD02D">
        <w:rPr>
          <w:noProof/>
        </w:rPr>
        <w:t xml:space="preserve">as part of </w:t>
      </w:r>
      <w:r>
        <w:rPr>
          <w:noProof/>
        </w:rPr>
        <w:t xml:space="preserve">the overarching goals of the </w:t>
      </w:r>
      <w:r w:rsidR="00EF7E09">
        <w:rPr>
          <w:noProof/>
        </w:rPr>
        <w:t xml:space="preserve">Cybersecurity Act revision </w:t>
      </w:r>
      <w:r>
        <w:rPr>
          <w:noProof/>
        </w:rPr>
        <w:t xml:space="preserve">package involving the proposal for a </w:t>
      </w:r>
      <w:r w:rsidR="00CE5DF5">
        <w:rPr>
          <w:noProof/>
        </w:rPr>
        <w:t xml:space="preserve">Regulation by the European Parliament and the Council </w:t>
      </w:r>
      <w:r w:rsidR="7CAA149D" w:rsidRPr="003B038C">
        <w:rPr>
          <w:noProof/>
        </w:rPr>
        <w:t xml:space="preserve">on the European Union Agency for Cybersecurity </w:t>
      </w:r>
      <w:r w:rsidR="003B038C" w:rsidRPr="003B038C">
        <w:rPr>
          <w:noProof/>
        </w:rPr>
        <w:t xml:space="preserve">(ENISA), the European cybersecurity certification framework, </w:t>
      </w:r>
      <w:r w:rsidR="7CAA149D" w:rsidRPr="003B038C">
        <w:rPr>
          <w:noProof/>
        </w:rPr>
        <w:t xml:space="preserve">and </w:t>
      </w:r>
      <w:r w:rsidR="003B038C" w:rsidRPr="003B038C">
        <w:rPr>
          <w:noProof/>
        </w:rPr>
        <w:t xml:space="preserve">ICT supply chain security </w:t>
      </w:r>
      <w:r w:rsidR="7CAA149D" w:rsidRPr="003B038C">
        <w:rPr>
          <w:noProof/>
        </w:rPr>
        <w:t xml:space="preserve">and </w:t>
      </w:r>
      <w:r w:rsidR="003B038C" w:rsidRPr="003B038C">
        <w:rPr>
          <w:noProof/>
        </w:rPr>
        <w:t>repealing Regulation (EU) 2019/881</w:t>
      </w:r>
      <w:r w:rsidR="7CAA149D">
        <w:rPr>
          <w:noProof/>
        </w:rPr>
        <w:t xml:space="preserve">. </w:t>
      </w:r>
      <w:r w:rsidR="4C170A8E">
        <w:rPr>
          <w:noProof/>
        </w:rPr>
        <w:t xml:space="preserve">The proposal for </w:t>
      </w:r>
      <w:r w:rsidR="00785B9A">
        <w:rPr>
          <w:noProof/>
        </w:rPr>
        <w:t xml:space="preserve">that </w:t>
      </w:r>
      <w:r w:rsidR="00122907">
        <w:rPr>
          <w:noProof/>
        </w:rPr>
        <w:t>r</w:t>
      </w:r>
      <w:r w:rsidR="4C170A8E">
        <w:rPr>
          <w:noProof/>
        </w:rPr>
        <w:t xml:space="preserve">egulation aims </w:t>
      </w:r>
      <w:r w:rsidR="001A1B6B" w:rsidRPr="001A1B6B">
        <w:rPr>
          <w:noProof/>
        </w:rPr>
        <w:t xml:space="preserve">to tackle: (i) the misalignment between the Union’s cybersecurity policy framework and stakeholders’ needs in an increasingly hostile threat landscape; (ii) the stalled implementation of the European cybersecurity certification framework (ECCF); </w:t>
      </w:r>
      <w:r w:rsidR="001A1B6B" w:rsidRPr="00EC0A9A">
        <w:rPr>
          <w:noProof/>
        </w:rPr>
        <w:t>(iii) the complexity and diversity of the cybersecurity-related policies impacting the Union’s cyber posture;</w:t>
      </w:r>
      <w:r w:rsidR="001A1B6B" w:rsidRPr="001A1B6B">
        <w:rPr>
          <w:noProof/>
        </w:rPr>
        <w:t xml:space="preserve"> and (iv) increasing ICT supply chains security </w:t>
      </w:r>
      <w:r w:rsidR="001A1B6B" w:rsidRPr="00E57677">
        <w:rPr>
          <w:noProof/>
        </w:rPr>
        <w:t>risks</w:t>
      </w:r>
      <w:r w:rsidR="31BC5FDC" w:rsidRPr="00E57677">
        <w:rPr>
          <w:rFonts w:eastAsia="Times New Roman"/>
          <w:noProof/>
          <w:color w:val="000000" w:themeColor="text1"/>
        </w:rPr>
        <w:t>.</w:t>
      </w:r>
      <w:r w:rsidR="31BC5FDC" w:rsidRPr="6C5F9DDC">
        <w:rPr>
          <w:rFonts w:eastAsia="Times New Roman"/>
          <w:noProof/>
          <w:color w:val="000000" w:themeColor="text1"/>
        </w:rPr>
        <w:t xml:space="preserve"> </w:t>
      </w:r>
      <w:r w:rsidR="001472D7">
        <w:rPr>
          <w:rFonts w:eastAsia="Times New Roman"/>
          <w:noProof/>
          <w:color w:val="000000" w:themeColor="text1"/>
        </w:rPr>
        <w:t xml:space="preserve">Concerning </w:t>
      </w:r>
      <w:r w:rsidR="001472D7" w:rsidRPr="001472D7">
        <w:rPr>
          <w:rFonts w:eastAsia="Times New Roman"/>
          <w:noProof/>
          <w:color w:val="000000" w:themeColor="text1"/>
        </w:rPr>
        <w:t>the complexity and diversity of the cybersecurity-related policies impacting the Union’s cyber posture</w:t>
      </w:r>
      <w:r w:rsidR="001472D7">
        <w:rPr>
          <w:rFonts w:eastAsia="Times New Roman"/>
          <w:noProof/>
          <w:color w:val="000000" w:themeColor="text1"/>
        </w:rPr>
        <w:t xml:space="preserve">, </w:t>
      </w:r>
      <w:r w:rsidR="000B690A" w:rsidRPr="006A2D97" w:rsidDel="00170B95">
        <w:rPr>
          <w:rFonts w:eastAsia="Times New Roman"/>
          <w:noProof/>
          <w:color w:val="000000" w:themeColor="text1"/>
        </w:rPr>
        <w:t xml:space="preserve">the </w:t>
      </w:r>
      <w:r w:rsidR="000B690A" w:rsidRPr="00E57677">
        <w:rPr>
          <w:rFonts w:eastAsia="Times New Roman"/>
          <w:noProof/>
          <w:color w:val="000000" w:themeColor="text1"/>
        </w:rPr>
        <w:t xml:space="preserve">Cybersecurity Act </w:t>
      </w:r>
      <w:r w:rsidR="00170B95" w:rsidRPr="00E57677">
        <w:rPr>
          <w:rFonts w:eastAsia="Times New Roman"/>
          <w:noProof/>
          <w:color w:val="000000" w:themeColor="text1"/>
        </w:rPr>
        <w:t xml:space="preserve">revision package </w:t>
      </w:r>
      <w:r w:rsidR="6D8283A6" w:rsidRPr="006A2D97">
        <w:rPr>
          <w:rFonts w:eastAsia="Times New Roman"/>
          <w:noProof/>
          <w:color w:val="000000" w:themeColor="text1"/>
        </w:rPr>
        <w:t xml:space="preserve">proposes </w:t>
      </w:r>
      <w:r w:rsidR="00284B55" w:rsidRPr="006A2D97">
        <w:rPr>
          <w:rFonts w:eastAsia="Times New Roman"/>
          <w:noProof/>
          <w:color w:val="000000" w:themeColor="text1"/>
        </w:rPr>
        <w:t>–</w:t>
      </w:r>
      <w:r w:rsidR="6D8283A6" w:rsidRPr="006A2D97">
        <w:rPr>
          <w:rFonts w:eastAsia="Times New Roman"/>
          <w:noProof/>
          <w:color w:val="000000" w:themeColor="text1"/>
        </w:rPr>
        <w:t xml:space="preserve"> a</w:t>
      </w:r>
      <w:r w:rsidR="72E5C1F9" w:rsidRPr="006A2D97">
        <w:rPr>
          <w:rFonts w:eastAsia="Times New Roman"/>
          <w:noProof/>
          <w:color w:val="000000" w:themeColor="text1"/>
        </w:rPr>
        <w:t xml:space="preserve">s </w:t>
      </w:r>
      <w:r w:rsidR="00284B55" w:rsidRPr="006A2D97">
        <w:rPr>
          <w:rFonts w:eastAsia="Times New Roman"/>
          <w:noProof/>
          <w:color w:val="000000" w:themeColor="text1"/>
        </w:rPr>
        <w:t xml:space="preserve">part of </w:t>
      </w:r>
      <w:r w:rsidR="6D8283A6" w:rsidRPr="00FF5B6F">
        <w:rPr>
          <w:rFonts w:eastAsia="Times New Roman"/>
          <w:noProof/>
          <w:color w:val="000000" w:themeColor="text1"/>
        </w:rPr>
        <w:t xml:space="preserve">a reform of </w:t>
      </w:r>
      <w:r w:rsidR="0049549B" w:rsidRPr="006A2D97">
        <w:rPr>
          <w:rFonts w:eastAsia="Times New Roman"/>
          <w:noProof/>
          <w:color w:val="000000" w:themeColor="text1"/>
        </w:rPr>
        <w:t>the European Cybersecurity C</w:t>
      </w:r>
      <w:r w:rsidR="6D8283A6" w:rsidRPr="00E57677">
        <w:rPr>
          <w:rFonts w:eastAsia="Times New Roman"/>
          <w:noProof/>
          <w:color w:val="000000" w:themeColor="text1"/>
        </w:rPr>
        <w:t>ertification</w:t>
      </w:r>
      <w:r w:rsidR="6D8283A6" w:rsidRPr="00FF5B6F">
        <w:rPr>
          <w:rFonts w:eastAsia="Times New Roman"/>
          <w:noProof/>
          <w:color w:val="000000" w:themeColor="text1"/>
        </w:rPr>
        <w:t xml:space="preserve"> </w:t>
      </w:r>
      <w:r w:rsidR="0049549B" w:rsidRPr="006A2D97">
        <w:rPr>
          <w:rFonts w:eastAsia="Times New Roman"/>
          <w:noProof/>
          <w:color w:val="000000" w:themeColor="text1"/>
        </w:rPr>
        <w:t xml:space="preserve">Framework </w:t>
      </w:r>
      <w:r w:rsidR="00284B55" w:rsidRPr="006A2D97">
        <w:rPr>
          <w:rFonts w:eastAsia="Times New Roman"/>
          <w:noProof/>
          <w:color w:val="000000" w:themeColor="text1"/>
        </w:rPr>
        <w:t xml:space="preserve">– </w:t>
      </w:r>
      <w:r w:rsidR="00232AEE">
        <w:rPr>
          <w:rFonts w:eastAsia="Times New Roman"/>
          <w:noProof/>
          <w:color w:val="000000" w:themeColor="text1"/>
        </w:rPr>
        <w:t xml:space="preserve">to </w:t>
      </w:r>
      <w:r w:rsidR="6251FB57" w:rsidRPr="006A2D97">
        <w:rPr>
          <w:rFonts w:eastAsia="Times New Roman"/>
          <w:noProof/>
          <w:color w:val="000000" w:themeColor="text1"/>
        </w:rPr>
        <w:t>promot</w:t>
      </w:r>
      <w:r w:rsidR="0012197D" w:rsidRPr="00E57677">
        <w:rPr>
          <w:rFonts w:eastAsia="Times New Roman"/>
          <w:noProof/>
          <w:color w:val="000000" w:themeColor="text1"/>
        </w:rPr>
        <w:t>e</w:t>
      </w:r>
      <w:r w:rsidR="6D8283A6" w:rsidRPr="006A2D97">
        <w:rPr>
          <w:rFonts w:eastAsia="Times New Roman"/>
          <w:noProof/>
          <w:color w:val="000000" w:themeColor="text1"/>
        </w:rPr>
        <w:t xml:space="preserve"> certification as a compliance tool for businesses</w:t>
      </w:r>
      <w:r w:rsidR="6DF462A3" w:rsidRPr="00E57677">
        <w:rPr>
          <w:rFonts w:eastAsia="Times New Roman"/>
          <w:noProof/>
          <w:color w:val="000000" w:themeColor="text1"/>
        </w:rPr>
        <w:t>, and</w:t>
      </w:r>
      <w:r w:rsidR="00232AEE" w:rsidRPr="00E57677">
        <w:rPr>
          <w:rFonts w:eastAsia="Times New Roman"/>
          <w:noProof/>
          <w:color w:val="000000" w:themeColor="text1"/>
        </w:rPr>
        <w:t xml:space="preserve"> to</w:t>
      </w:r>
      <w:r w:rsidR="6DF462A3" w:rsidRPr="00E57677">
        <w:rPr>
          <w:rFonts w:eastAsia="Times New Roman"/>
          <w:noProof/>
          <w:color w:val="000000" w:themeColor="text1"/>
        </w:rPr>
        <w:t xml:space="preserve"> </w:t>
      </w:r>
      <w:r w:rsidR="6D8283A6" w:rsidRPr="006A2D97">
        <w:rPr>
          <w:rFonts w:eastAsia="Times New Roman"/>
          <w:noProof/>
          <w:color w:val="000000" w:themeColor="text1"/>
        </w:rPr>
        <w:t>enabl</w:t>
      </w:r>
      <w:r w:rsidR="77446BE1" w:rsidRPr="00E57677">
        <w:rPr>
          <w:rFonts w:eastAsia="Times New Roman"/>
          <w:noProof/>
          <w:color w:val="000000" w:themeColor="text1"/>
        </w:rPr>
        <w:t>e</w:t>
      </w:r>
      <w:r w:rsidR="6D8283A6" w:rsidRPr="006A2D97">
        <w:rPr>
          <w:rFonts w:eastAsia="Times New Roman"/>
          <w:noProof/>
          <w:color w:val="000000" w:themeColor="text1"/>
        </w:rPr>
        <w:t xml:space="preserve"> the development of a scheme on the cyber posture of entities</w:t>
      </w:r>
      <w:r w:rsidR="1A488B97" w:rsidRPr="00E57677">
        <w:rPr>
          <w:rFonts w:eastAsia="Times New Roman"/>
          <w:noProof/>
          <w:color w:val="000000" w:themeColor="text1"/>
        </w:rPr>
        <w:t xml:space="preserve"> </w:t>
      </w:r>
      <w:r w:rsidR="00E57677" w:rsidRPr="001D3C56">
        <w:rPr>
          <w:rFonts w:eastAsia="Times New Roman"/>
          <w:noProof/>
          <w:color w:val="000000" w:themeColor="text1"/>
        </w:rPr>
        <w:t xml:space="preserve">to </w:t>
      </w:r>
      <w:r w:rsidR="6D8283A6" w:rsidRPr="006A2D97">
        <w:rPr>
          <w:rFonts w:eastAsia="Times New Roman"/>
          <w:noProof/>
          <w:color w:val="000000" w:themeColor="text1"/>
        </w:rPr>
        <w:t>reduc</w:t>
      </w:r>
      <w:r w:rsidR="00E57677" w:rsidRPr="001D3C56">
        <w:rPr>
          <w:rFonts w:eastAsia="Times New Roman"/>
          <w:noProof/>
          <w:color w:val="000000" w:themeColor="text1"/>
        </w:rPr>
        <w:t>e</w:t>
      </w:r>
      <w:r w:rsidR="6D8283A6" w:rsidRPr="001D3C56">
        <w:rPr>
          <w:rFonts w:eastAsia="Times New Roman"/>
          <w:noProof/>
          <w:color w:val="000000" w:themeColor="text1"/>
        </w:rPr>
        <w:t xml:space="preserve"> </w:t>
      </w:r>
      <w:r w:rsidR="6D8283A6" w:rsidRPr="006A2D97">
        <w:rPr>
          <w:rFonts w:eastAsia="Times New Roman"/>
          <w:noProof/>
          <w:color w:val="000000" w:themeColor="text1"/>
        </w:rPr>
        <w:t>compliance costs for entities subject to</w:t>
      </w:r>
      <w:r w:rsidR="338CB6E5" w:rsidRPr="001D3C56">
        <w:rPr>
          <w:rFonts w:eastAsia="Times New Roman"/>
          <w:noProof/>
          <w:color w:val="000000" w:themeColor="text1"/>
        </w:rPr>
        <w:t xml:space="preserve"> the NIS</w:t>
      </w:r>
      <w:r w:rsidR="00F20A6B">
        <w:rPr>
          <w:rFonts w:eastAsia="Times New Roman"/>
          <w:noProof/>
          <w:color w:val="000000" w:themeColor="text1"/>
        </w:rPr>
        <w:t xml:space="preserve"> </w:t>
      </w:r>
      <w:r w:rsidR="338CB6E5" w:rsidRPr="001D3C56">
        <w:rPr>
          <w:rFonts w:eastAsia="Times New Roman"/>
          <w:noProof/>
          <w:color w:val="000000" w:themeColor="text1"/>
        </w:rPr>
        <w:t>2 Directive and other</w:t>
      </w:r>
      <w:r w:rsidR="6D8283A6" w:rsidRPr="006A2D97">
        <w:rPr>
          <w:rFonts w:eastAsia="Times New Roman"/>
          <w:noProof/>
          <w:color w:val="000000" w:themeColor="text1"/>
        </w:rPr>
        <w:t xml:space="preserve"> relevant Union cybersecurity legislation</w:t>
      </w:r>
      <w:r w:rsidR="270E4B47" w:rsidRPr="001D3C56">
        <w:rPr>
          <w:rFonts w:eastAsia="Times New Roman"/>
          <w:noProof/>
          <w:color w:val="000000" w:themeColor="text1"/>
        </w:rPr>
        <w:t xml:space="preserve">. </w:t>
      </w:r>
      <w:r w:rsidR="6D8283A6" w:rsidRPr="006A2D97">
        <w:rPr>
          <w:rFonts w:eastAsia="Times New Roman"/>
          <w:noProof/>
          <w:color w:val="000000" w:themeColor="text1"/>
        </w:rPr>
        <w:t>This approach will significantly simplify regulatory obligations for entities subject to multiple compliance requirements and ensure a more effective use of resources across national authorities.</w:t>
      </w:r>
      <w:r w:rsidR="6D8283A6" w:rsidRPr="6C5F9DDC">
        <w:rPr>
          <w:rFonts w:eastAsia="Times New Roman"/>
          <w:noProof/>
          <w:color w:val="000000" w:themeColor="text1"/>
        </w:rPr>
        <w:t xml:space="preserve"> </w:t>
      </w:r>
    </w:p>
    <w:p w14:paraId="1064B3F1" w14:textId="77777777" w:rsidR="6033115F" w:rsidRDefault="731E1417" w:rsidP="00215C8F">
      <w:pPr>
        <w:rPr>
          <w:rFonts w:eastAsia="Times New Roman"/>
          <w:noProof/>
          <w:color w:val="000000" w:themeColor="text1"/>
        </w:rPr>
      </w:pPr>
      <w:r>
        <w:rPr>
          <w:noProof/>
        </w:rPr>
        <w:t>The</w:t>
      </w:r>
      <w:r w:rsidR="7AC15B3F">
        <w:rPr>
          <w:noProof/>
        </w:rPr>
        <w:t xml:space="preserve"> explanatory </w:t>
      </w:r>
      <w:r w:rsidR="6E4AC975">
        <w:rPr>
          <w:noProof/>
        </w:rPr>
        <w:t>memorandum</w:t>
      </w:r>
      <w:r w:rsidR="7AC15B3F">
        <w:rPr>
          <w:noProof/>
        </w:rPr>
        <w:t xml:space="preserve"> of the</w:t>
      </w:r>
      <w:r>
        <w:rPr>
          <w:noProof/>
        </w:rPr>
        <w:t xml:space="preserve"> proposal for a </w:t>
      </w:r>
      <w:r w:rsidR="00C81B05">
        <w:rPr>
          <w:noProof/>
        </w:rPr>
        <w:t xml:space="preserve">Cybersecurity Act 2 regulation </w:t>
      </w:r>
      <w:r>
        <w:rPr>
          <w:noProof/>
        </w:rPr>
        <w:t xml:space="preserve">outlines the key issues </w:t>
      </w:r>
      <w:r w:rsidR="79BC6E81">
        <w:rPr>
          <w:noProof/>
        </w:rPr>
        <w:t>underlying the proposal</w:t>
      </w:r>
      <w:r w:rsidR="6E276F3A">
        <w:rPr>
          <w:noProof/>
        </w:rPr>
        <w:t>,</w:t>
      </w:r>
      <w:r w:rsidR="79BC6E81">
        <w:rPr>
          <w:noProof/>
        </w:rPr>
        <w:t xml:space="preserve"> </w:t>
      </w:r>
      <w:r w:rsidR="15ED7799">
        <w:rPr>
          <w:noProof/>
        </w:rPr>
        <w:t xml:space="preserve">as well as the </w:t>
      </w:r>
      <w:r w:rsidR="36C88F66">
        <w:rPr>
          <w:noProof/>
        </w:rPr>
        <w:t>specific objectives to address them.</w:t>
      </w:r>
      <w:r w:rsidR="00E57677" w:rsidRPr="001D3C56">
        <w:rPr>
          <w:noProof/>
        </w:rPr>
        <w:t xml:space="preserve"> </w:t>
      </w:r>
      <w:r w:rsidR="0012197D" w:rsidRPr="001D3C56">
        <w:rPr>
          <w:noProof/>
        </w:rPr>
        <w:t>The</w:t>
      </w:r>
      <w:r w:rsidR="510AA1BB" w:rsidRPr="001D3C56">
        <w:rPr>
          <w:noProof/>
        </w:rPr>
        <w:t xml:space="preserve"> proposal </w:t>
      </w:r>
      <w:r w:rsidR="5AAD1C9F" w:rsidRPr="001D3C56">
        <w:rPr>
          <w:noProof/>
        </w:rPr>
        <w:t xml:space="preserve">for a </w:t>
      </w:r>
      <w:r w:rsidR="00027864">
        <w:rPr>
          <w:noProof/>
        </w:rPr>
        <w:t>d</w:t>
      </w:r>
      <w:r w:rsidR="5AAD1C9F" w:rsidRPr="001D3C56">
        <w:rPr>
          <w:noProof/>
        </w:rPr>
        <w:t xml:space="preserve">irective </w:t>
      </w:r>
      <w:r w:rsidR="13768D3E" w:rsidRPr="001D3C56">
        <w:rPr>
          <w:noProof/>
        </w:rPr>
        <w:t xml:space="preserve">will </w:t>
      </w:r>
      <w:r w:rsidR="510AA1BB" w:rsidRPr="001D3C56">
        <w:rPr>
          <w:noProof/>
        </w:rPr>
        <w:t>a</w:t>
      </w:r>
      <w:r w:rsidR="238A2C64" w:rsidRPr="001D3C56">
        <w:rPr>
          <w:noProof/>
        </w:rPr>
        <w:t xml:space="preserve">ddress </w:t>
      </w:r>
      <w:r w:rsidR="771B51F1" w:rsidRPr="001D3C56">
        <w:rPr>
          <w:noProof/>
        </w:rPr>
        <w:t xml:space="preserve">the specific objective 4 </w:t>
      </w:r>
      <w:r w:rsidR="771B51F1" w:rsidRPr="006A2D97">
        <w:rPr>
          <w:noProof/>
        </w:rPr>
        <w:t>(SPO4) of the CSA revision</w:t>
      </w:r>
      <w:r w:rsidR="00155DE8" w:rsidRPr="001D3C56">
        <w:rPr>
          <w:noProof/>
        </w:rPr>
        <w:t xml:space="preserve"> impact assessment</w:t>
      </w:r>
      <w:r w:rsidR="771B51F1" w:rsidRPr="006A2D97">
        <w:rPr>
          <w:noProof/>
        </w:rPr>
        <w:t xml:space="preserve">, </w:t>
      </w:r>
      <w:r w:rsidR="00881417" w:rsidRPr="001D3C56">
        <w:rPr>
          <w:noProof/>
        </w:rPr>
        <w:t xml:space="preserve">i.e. </w:t>
      </w:r>
      <w:r w:rsidR="771B51F1" w:rsidRPr="006A2D97">
        <w:rPr>
          <w:noProof/>
        </w:rPr>
        <w:t>to establish mechanisms and conditions to help facilitate compliance with cybersecurity requirements and in that way make their implementation more coherent and effective.</w:t>
      </w:r>
      <w:r w:rsidR="771B51F1">
        <w:rPr>
          <w:noProof/>
        </w:rPr>
        <w:t xml:space="preserve"> </w:t>
      </w:r>
      <w:r w:rsidR="60080EEC" w:rsidRPr="006A2D97">
        <w:rPr>
          <w:rFonts w:eastAsia="Times New Roman"/>
          <w:noProof/>
          <w:color w:val="000000" w:themeColor="text1"/>
        </w:rPr>
        <w:t xml:space="preserve">Targeted amendments to the NIS 2 Directive aim to simplify compliance with and ensure streamlined and coherent implementation of specific aspects of the cybersecurity framework, including </w:t>
      </w:r>
      <w:r w:rsidR="00A0099E">
        <w:rPr>
          <w:rFonts w:eastAsia="Times New Roman"/>
          <w:noProof/>
          <w:color w:val="000000" w:themeColor="text1"/>
        </w:rPr>
        <w:t>with</w:t>
      </w:r>
      <w:r w:rsidR="60080EEC" w:rsidRPr="006A2D97">
        <w:rPr>
          <w:rFonts w:eastAsia="Times New Roman"/>
          <w:noProof/>
          <w:color w:val="000000" w:themeColor="text1"/>
        </w:rPr>
        <w:t xml:space="preserve"> regard to scope, definitions, ransomware reporting and supervision of entities</w:t>
      </w:r>
      <w:r w:rsidR="00A0099E">
        <w:rPr>
          <w:rFonts w:eastAsia="Times New Roman"/>
          <w:noProof/>
          <w:color w:val="000000" w:themeColor="text1"/>
        </w:rPr>
        <w:t xml:space="preserve"> providing cross-border services</w:t>
      </w:r>
      <w:r w:rsidR="60080EEC" w:rsidRPr="006A2D97">
        <w:rPr>
          <w:rFonts w:eastAsia="Times New Roman"/>
          <w:noProof/>
          <w:color w:val="000000" w:themeColor="text1"/>
        </w:rPr>
        <w:t xml:space="preserve">. </w:t>
      </w:r>
    </w:p>
    <w:p w14:paraId="0257CD77" w14:textId="77777777" w:rsidR="00DD293F" w:rsidRPr="00215C8F" w:rsidRDefault="00DD293F" w:rsidP="00215C8F">
      <w:pPr>
        <w:rPr>
          <w:noProof/>
        </w:rPr>
      </w:pPr>
      <w:r w:rsidRPr="00625C25">
        <w:rPr>
          <w:noProof/>
        </w:rPr>
        <w:t xml:space="preserve">The </w:t>
      </w:r>
      <w:r>
        <w:rPr>
          <w:noProof/>
        </w:rPr>
        <w:t xml:space="preserve">proposal for </w:t>
      </w:r>
      <w:r w:rsidR="00B76F74">
        <w:rPr>
          <w:noProof/>
        </w:rPr>
        <w:t xml:space="preserve">a </w:t>
      </w:r>
      <w:r>
        <w:rPr>
          <w:noProof/>
        </w:rPr>
        <w:t xml:space="preserve">directive </w:t>
      </w:r>
      <w:r w:rsidR="00C81B05" w:rsidRPr="00B76F74">
        <w:rPr>
          <w:noProof/>
        </w:rPr>
        <w:t xml:space="preserve">amending Directive (EU) 2022/2555 </w:t>
      </w:r>
      <w:r w:rsidR="00B76F74" w:rsidRPr="00B76F74">
        <w:rPr>
          <w:noProof/>
        </w:rPr>
        <w:t xml:space="preserve">on simplification measures </w:t>
      </w:r>
      <w:r w:rsidR="00C81B05">
        <w:rPr>
          <w:noProof/>
        </w:rPr>
        <w:t xml:space="preserve">and alignment with </w:t>
      </w:r>
      <w:r w:rsidR="00340B07">
        <w:rPr>
          <w:noProof/>
        </w:rPr>
        <w:t xml:space="preserve">the </w:t>
      </w:r>
      <w:r w:rsidR="00B76F74" w:rsidRPr="00B76F74">
        <w:rPr>
          <w:noProof/>
        </w:rPr>
        <w:t>[</w:t>
      </w:r>
      <w:r w:rsidR="00C81B05">
        <w:rPr>
          <w:noProof/>
        </w:rPr>
        <w:t>Cybersecurity Act 2</w:t>
      </w:r>
      <w:r w:rsidR="00340B07">
        <w:rPr>
          <w:noProof/>
        </w:rPr>
        <w:t xml:space="preserve">] </w:t>
      </w:r>
      <w:r w:rsidRPr="00625C25">
        <w:rPr>
          <w:noProof/>
        </w:rPr>
        <w:t xml:space="preserve">falls </w:t>
      </w:r>
      <w:r w:rsidRPr="001D3C56">
        <w:rPr>
          <w:noProof/>
        </w:rPr>
        <w:t>within the remit of the regulatory fitness and performance programme (REFIT).</w:t>
      </w:r>
      <w:r w:rsidR="0018283B" w:rsidRPr="001D3C56">
        <w:rPr>
          <w:noProof/>
        </w:rPr>
        <w:t xml:space="preserve"> Together with the revision of the Cybersecurity Act, i</w:t>
      </w:r>
      <w:r w:rsidRPr="001D3C56">
        <w:rPr>
          <w:noProof/>
        </w:rPr>
        <w:t>t strongly contributes to improving clarity, removing inefficiencies and aligning procedures across legal frameworks. It contributes to the proper functioning of the internal market while ensuring the security and strategic autonomy of the Union</w:t>
      </w:r>
      <w:r w:rsidRPr="00625C25">
        <w:rPr>
          <w:noProof/>
        </w:rPr>
        <w:t>.</w:t>
      </w:r>
      <w:r>
        <w:rPr>
          <w:noProof/>
        </w:rPr>
        <w:t xml:space="preserve"> </w:t>
      </w:r>
    </w:p>
    <w:p w14:paraId="7D720872" w14:textId="77777777" w:rsidR="00215C8F" w:rsidRPr="002D5EE2" w:rsidRDefault="00215C8F" w:rsidP="00215C8F">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1ABB02CB" w14:textId="77777777" w:rsidR="00BB08E4" w:rsidRDefault="00C00F14" w:rsidP="00C00F14">
      <w:pPr>
        <w:spacing w:after="160" w:line="259" w:lineRule="auto"/>
        <w:rPr>
          <w:noProof/>
          <w:lang w:val="en-IE"/>
        </w:rPr>
      </w:pPr>
      <w:r w:rsidRPr="006A2D97">
        <w:rPr>
          <w:noProof/>
          <w:lang w:val="en-IE"/>
        </w:rPr>
        <w:t>Th</w:t>
      </w:r>
      <w:r w:rsidRPr="006A2D97">
        <w:rPr>
          <w:noProof/>
        </w:rPr>
        <w:t>e</w:t>
      </w:r>
      <w:r w:rsidRPr="006A2D97">
        <w:rPr>
          <w:b/>
          <w:noProof/>
        </w:rPr>
        <w:t xml:space="preserve"> </w:t>
      </w:r>
      <w:r w:rsidRPr="006A2D97">
        <w:rPr>
          <w:noProof/>
          <w:lang w:val="en-IE"/>
        </w:rPr>
        <w:t>Union has expanded its legal and policy tools</w:t>
      </w:r>
      <w:r w:rsidRPr="006A2D97">
        <w:rPr>
          <w:noProof/>
        </w:rPr>
        <w:t xml:space="preserve"> with the adoption of a number of legal instruments and policy measures: (i) the </w:t>
      </w:r>
      <w:r w:rsidRPr="005320EE">
        <w:rPr>
          <w:noProof/>
        </w:rPr>
        <w:t>NIS</w:t>
      </w:r>
      <w:r w:rsidR="0039579A">
        <w:rPr>
          <w:noProof/>
        </w:rPr>
        <w:t xml:space="preserve"> </w:t>
      </w:r>
      <w:r w:rsidRPr="005320EE">
        <w:rPr>
          <w:noProof/>
        </w:rPr>
        <w:t>2</w:t>
      </w:r>
      <w:r w:rsidRPr="006A2D97">
        <w:rPr>
          <w:noProof/>
        </w:rPr>
        <w:t xml:space="preserve"> Directive serves </w:t>
      </w:r>
      <w:r w:rsidRPr="006A2D97">
        <w:rPr>
          <w:noProof/>
          <w:lang w:val="en-IE"/>
        </w:rPr>
        <w:t xml:space="preserve">to strengthen cybersecurity for critical infrastructure; (ii) physical security measures are defined in its ‘sister directive’, the Critical Entities Resilience (CER) Directive; (iii) </w:t>
      </w:r>
      <w:r w:rsidRPr="006A2D97">
        <w:rPr>
          <w:noProof/>
        </w:rPr>
        <w:t>the Cyber Resilience Act (CRA)</w:t>
      </w:r>
      <w:r w:rsidRPr="006A2D97">
        <w:rPr>
          <w:noProof/>
          <w:lang w:val="en-IE"/>
        </w:rPr>
        <w:t xml:space="preserve"> enhances the cybersecurity of products</w:t>
      </w:r>
      <w:r w:rsidRPr="006A2D97">
        <w:rPr>
          <w:noProof/>
        </w:rPr>
        <w:t xml:space="preserve">; (iv) the Cyber Solidarity Act (CSoA) </w:t>
      </w:r>
      <w:r w:rsidRPr="006A2D97">
        <w:rPr>
          <w:noProof/>
          <w:lang w:val="en-IE"/>
        </w:rPr>
        <w:t>builds EU-wide response capabilities;</w:t>
      </w:r>
      <w:r w:rsidRPr="006A2D97">
        <w:rPr>
          <w:noProof/>
        </w:rPr>
        <w:t xml:space="preserve"> (v) the EU Cyber Blueprint</w:t>
      </w:r>
      <w:r w:rsidRPr="006A2D97">
        <w:rPr>
          <w:rStyle w:val="FootnoteReference"/>
          <w:noProof/>
        </w:rPr>
        <w:footnoteReference w:id="8"/>
      </w:r>
      <w:r w:rsidRPr="006A2D97">
        <w:rPr>
          <w:noProof/>
        </w:rPr>
        <w:t xml:space="preserve"> </w:t>
      </w:r>
      <w:r w:rsidRPr="006A2D97">
        <w:rPr>
          <w:noProof/>
          <w:lang w:val="en-IE"/>
        </w:rPr>
        <w:t xml:space="preserve">supports EU-level crisis management cooperation; (vi) </w:t>
      </w:r>
      <w:r w:rsidRPr="006A2D97">
        <w:rPr>
          <w:noProof/>
        </w:rPr>
        <w:t>the 5G Cybersecurity Toolbox (5G Toolbox) supports cybersecurity in 5G networks; (vii) the European action plan on the cybersecurity of hospitals and healthcare providers</w:t>
      </w:r>
      <w:r w:rsidRPr="006A2D97">
        <w:rPr>
          <w:rStyle w:val="FootnoteReference"/>
          <w:noProof/>
        </w:rPr>
        <w:footnoteReference w:id="9"/>
      </w:r>
      <w:r w:rsidRPr="006A2D97">
        <w:rPr>
          <w:noProof/>
        </w:rPr>
        <w:t xml:space="preserve"> helps improve their cybersecurity; and (viii) the </w:t>
      </w:r>
      <w:r w:rsidRPr="006A2D97">
        <w:rPr>
          <w:rFonts w:eastAsia="Yu Gothic Light"/>
          <w:noProof/>
          <w:lang w:eastAsia="en-GB"/>
        </w:rPr>
        <w:t>Cybersecurity</w:t>
      </w:r>
      <w:r w:rsidRPr="006A2D97">
        <w:rPr>
          <w:noProof/>
        </w:rPr>
        <w:t xml:space="preserve"> Skills Academy</w:t>
      </w:r>
      <w:r w:rsidRPr="006A2D97">
        <w:rPr>
          <w:rStyle w:val="FootnoteReference"/>
          <w:noProof/>
        </w:rPr>
        <w:footnoteReference w:id="10"/>
      </w:r>
      <w:r w:rsidRPr="006A2D97">
        <w:rPr>
          <w:noProof/>
        </w:rPr>
        <w:t xml:space="preserve"> </w:t>
      </w:r>
      <w:r w:rsidRPr="006A2D97">
        <w:rPr>
          <w:noProof/>
          <w:lang w:val="en-IE"/>
        </w:rPr>
        <w:t>addresses the growing challenge of the cybersecurity talent gap</w:t>
      </w:r>
      <w:r w:rsidRPr="00ED711B">
        <w:rPr>
          <w:noProof/>
          <w:lang w:val="en-IE"/>
        </w:rPr>
        <w:t>.</w:t>
      </w:r>
      <w:r>
        <w:rPr>
          <w:noProof/>
          <w:lang w:val="en-IE"/>
        </w:rPr>
        <w:t xml:space="preserve"> </w:t>
      </w:r>
    </w:p>
    <w:p w14:paraId="1366D63A" w14:textId="3973FE1F" w:rsidR="00C00F14" w:rsidRDefault="00BB08E4" w:rsidP="00583DE4">
      <w:pPr>
        <w:spacing w:after="160" w:line="259" w:lineRule="auto"/>
        <w:rPr>
          <w:noProof/>
          <w:lang w:val="en-IE"/>
        </w:rPr>
      </w:pPr>
      <w:r w:rsidRPr="006A2D97">
        <w:rPr>
          <w:rFonts w:eastAsia="Times New Roman"/>
          <w:noProof/>
          <w:color w:val="000000" w:themeColor="text1"/>
          <w:szCs w:val="24"/>
          <w:lang w:val="en-IE"/>
        </w:rPr>
        <w:t>The above-mentioned cybersecurity legal framework was complemented by sector-specific legislation, i.e. the Digital Operational Resilience Act (DORA Regulation) for the financial sector, network code on sector-specific rules for cybersecurity aspects of cross-border electricity flows (NCCS) for the electricity sub-sector, information security rules (Part-IS</w:t>
      </w:r>
      <w:r w:rsidRPr="009E7540">
        <w:rPr>
          <w:rStyle w:val="FootnoteReference"/>
          <w:noProof/>
        </w:rPr>
        <w:footnoteReference w:id="11"/>
      </w:r>
      <w:r w:rsidRPr="006A2D97">
        <w:rPr>
          <w:rFonts w:eastAsia="Times New Roman"/>
          <w:noProof/>
          <w:color w:val="000000" w:themeColor="text1"/>
          <w:szCs w:val="24"/>
          <w:lang w:val="en-IE"/>
        </w:rPr>
        <w:t>) for the air transport sub-sector.</w:t>
      </w:r>
      <w:r w:rsidR="00F04695">
        <w:rPr>
          <w:rFonts w:eastAsia="Times New Roman"/>
          <w:noProof/>
          <w:color w:val="000000" w:themeColor="text1"/>
          <w:szCs w:val="24"/>
          <w:lang w:val="en-IE"/>
        </w:rPr>
        <w:t xml:space="preserve"> </w:t>
      </w:r>
    </w:p>
    <w:p w14:paraId="6B35368D" w14:textId="77777777" w:rsidR="005019D7" w:rsidRPr="006A2D97" w:rsidRDefault="3E2AA2FA" w:rsidP="005019D7">
      <w:pPr>
        <w:spacing w:after="160" w:line="259" w:lineRule="auto"/>
        <w:rPr>
          <w:rFonts w:eastAsia="Times New Roman"/>
          <w:noProof/>
          <w:color w:val="000000" w:themeColor="text1"/>
          <w:lang w:val="en-IE"/>
        </w:rPr>
      </w:pPr>
      <w:r w:rsidRPr="6C5F9DDC">
        <w:rPr>
          <w:rFonts w:eastAsia="Times New Roman"/>
          <w:noProof/>
          <w:color w:val="000000" w:themeColor="text1"/>
          <w:szCs w:val="24"/>
          <w:lang w:val="en-IE"/>
        </w:rPr>
        <w:t>Th</w:t>
      </w:r>
      <w:r w:rsidR="1701A2B1" w:rsidRPr="6C5F9DDC">
        <w:rPr>
          <w:rFonts w:eastAsia="Times New Roman"/>
          <w:noProof/>
          <w:color w:val="000000" w:themeColor="text1"/>
          <w:szCs w:val="24"/>
          <w:lang w:val="en-IE"/>
        </w:rPr>
        <w:t>is proposal</w:t>
      </w:r>
      <w:r w:rsidR="007B0C6F">
        <w:rPr>
          <w:rFonts w:eastAsia="Times New Roman"/>
          <w:noProof/>
          <w:color w:val="000000" w:themeColor="text1"/>
          <w:szCs w:val="24"/>
          <w:lang w:val="en-IE"/>
        </w:rPr>
        <w:t xml:space="preserve"> for a directive</w:t>
      </w:r>
      <w:r w:rsidR="1701A2B1" w:rsidRPr="6C5F9DDC">
        <w:rPr>
          <w:rFonts w:eastAsia="Times New Roman"/>
          <w:noProof/>
          <w:color w:val="000000" w:themeColor="text1"/>
          <w:szCs w:val="24"/>
          <w:lang w:val="en-IE"/>
        </w:rPr>
        <w:t>, similar</w:t>
      </w:r>
      <w:r w:rsidR="00701C9A">
        <w:rPr>
          <w:rFonts w:eastAsia="Times New Roman"/>
          <w:noProof/>
          <w:color w:val="000000" w:themeColor="text1"/>
          <w:szCs w:val="24"/>
          <w:lang w:val="en-IE"/>
        </w:rPr>
        <w:t>ly</w:t>
      </w:r>
      <w:r w:rsidR="1701A2B1" w:rsidRPr="6C5F9DDC">
        <w:rPr>
          <w:rFonts w:eastAsia="Times New Roman"/>
          <w:noProof/>
          <w:color w:val="000000" w:themeColor="text1"/>
          <w:szCs w:val="24"/>
          <w:lang w:val="en-IE"/>
        </w:rPr>
        <w:t xml:space="preserve"> to the</w:t>
      </w:r>
      <w:r w:rsidR="753B873C" w:rsidRPr="6C5F9DDC">
        <w:rPr>
          <w:rFonts w:eastAsia="Times New Roman"/>
          <w:noProof/>
          <w:color w:val="000000" w:themeColor="text1"/>
          <w:szCs w:val="24"/>
          <w:lang w:val="en-IE"/>
        </w:rPr>
        <w:t xml:space="preserve"> proposal for a </w:t>
      </w:r>
      <w:r w:rsidR="00027864">
        <w:rPr>
          <w:rFonts w:eastAsia="Times New Roman"/>
          <w:noProof/>
          <w:color w:val="000000" w:themeColor="text1"/>
          <w:szCs w:val="24"/>
          <w:lang w:val="en-IE"/>
        </w:rPr>
        <w:t>r</w:t>
      </w:r>
      <w:r w:rsidR="753B873C" w:rsidRPr="005320EE">
        <w:rPr>
          <w:rFonts w:eastAsia="Times New Roman"/>
          <w:noProof/>
          <w:color w:val="000000" w:themeColor="text1"/>
          <w:szCs w:val="24"/>
          <w:lang w:val="en-IE"/>
        </w:rPr>
        <w:t>egulation</w:t>
      </w:r>
      <w:r w:rsidR="630B932A" w:rsidRPr="6C5F9DDC">
        <w:rPr>
          <w:rFonts w:eastAsia="Times New Roman"/>
          <w:noProof/>
          <w:color w:val="000000" w:themeColor="text1"/>
          <w:szCs w:val="24"/>
          <w:lang w:val="en-IE"/>
        </w:rPr>
        <w:t xml:space="preserve"> </w:t>
      </w:r>
      <w:r w:rsidR="753B873C" w:rsidRPr="6C5F9DDC">
        <w:rPr>
          <w:rFonts w:eastAsia="Times New Roman"/>
          <w:noProof/>
          <w:color w:val="000000" w:themeColor="text1"/>
          <w:szCs w:val="24"/>
          <w:lang w:val="en-IE"/>
        </w:rPr>
        <w:t>it accompanies</w:t>
      </w:r>
      <w:r w:rsidR="00EE3105" w:rsidRPr="006A2D97">
        <w:rPr>
          <w:rFonts w:eastAsia="Times New Roman"/>
          <w:noProof/>
          <w:color w:val="000000" w:themeColor="text1"/>
          <w:szCs w:val="24"/>
          <w:lang w:val="en-IE"/>
        </w:rPr>
        <w:t>,</w:t>
      </w:r>
      <w:r w:rsidR="5EC70763" w:rsidRPr="6C5F9DDC">
        <w:rPr>
          <w:rFonts w:eastAsia="Times New Roman"/>
          <w:noProof/>
          <w:color w:val="000000" w:themeColor="text1"/>
          <w:szCs w:val="24"/>
          <w:lang w:val="en-IE"/>
        </w:rPr>
        <w:t xml:space="preserve"> is a part of a </w:t>
      </w:r>
      <w:r w:rsidR="699CC4D9" w:rsidRPr="6C5F9DDC">
        <w:rPr>
          <w:rFonts w:eastAsia="Times New Roman"/>
          <w:noProof/>
          <w:color w:val="000000" w:themeColor="text1"/>
          <w:szCs w:val="24"/>
          <w:lang w:val="en-IE"/>
        </w:rPr>
        <w:t>wider</w:t>
      </w:r>
      <w:r w:rsidR="5EC70763" w:rsidRPr="6C5F9DDC">
        <w:rPr>
          <w:rFonts w:eastAsia="Times New Roman"/>
          <w:noProof/>
          <w:color w:val="000000" w:themeColor="text1"/>
          <w:szCs w:val="24"/>
          <w:lang w:val="en-IE"/>
        </w:rPr>
        <w:t xml:space="preserve"> set</w:t>
      </w:r>
      <w:r w:rsidRPr="6C5F9DDC">
        <w:rPr>
          <w:rFonts w:eastAsia="Times New Roman"/>
          <w:noProof/>
          <w:color w:val="000000" w:themeColor="text1"/>
          <w:szCs w:val="24"/>
          <w:lang w:val="en-IE"/>
        </w:rPr>
        <w:t xml:space="preserve"> of legal and policy initiatives </w:t>
      </w:r>
      <w:r w:rsidR="2460B5CA" w:rsidRPr="6C5F9DDC">
        <w:rPr>
          <w:rFonts w:eastAsia="Times New Roman"/>
          <w:noProof/>
          <w:color w:val="000000" w:themeColor="text1"/>
          <w:szCs w:val="24"/>
          <w:lang w:val="en-IE"/>
        </w:rPr>
        <w:t xml:space="preserve">adopted by the </w:t>
      </w:r>
      <w:r w:rsidR="00EE3105" w:rsidRPr="006A2D97">
        <w:rPr>
          <w:rFonts w:eastAsia="Times New Roman"/>
          <w:noProof/>
          <w:color w:val="000000" w:themeColor="text1"/>
          <w:szCs w:val="24"/>
          <w:lang w:val="en-IE"/>
        </w:rPr>
        <w:t>Union</w:t>
      </w:r>
      <w:r w:rsidR="2460B5CA" w:rsidRPr="6C5F9DDC">
        <w:rPr>
          <w:rFonts w:eastAsia="Times New Roman"/>
          <w:noProof/>
          <w:color w:val="000000" w:themeColor="text1"/>
          <w:szCs w:val="24"/>
          <w:lang w:val="en-IE"/>
        </w:rPr>
        <w:t xml:space="preserve"> to improve the resilience of </w:t>
      </w:r>
      <w:r w:rsidR="41C1323A" w:rsidRPr="6C5F9DDC">
        <w:rPr>
          <w:rFonts w:eastAsia="Times New Roman"/>
          <w:noProof/>
          <w:color w:val="000000" w:themeColor="text1"/>
          <w:szCs w:val="24"/>
          <w:lang w:val="en-IE"/>
        </w:rPr>
        <w:t>entities</w:t>
      </w:r>
      <w:r w:rsidR="2460B5CA" w:rsidRPr="6C5F9DDC">
        <w:rPr>
          <w:rFonts w:eastAsia="Times New Roman"/>
          <w:noProof/>
          <w:color w:val="000000" w:themeColor="text1"/>
          <w:szCs w:val="24"/>
          <w:lang w:val="en-IE"/>
        </w:rPr>
        <w:t xml:space="preserve"> against </w:t>
      </w:r>
      <w:r w:rsidR="41D24F94" w:rsidRPr="6C5F9DDC">
        <w:rPr>
          <w:rFonts w:eastAsia="Times New Roman"/>
          <w:noProof/>
          <w:color w:val="000000" w:themeColor="text1"/>
          <w:szCs w:val="24"/>
          <w:lang w:val="en-IE"/>
        </w:rPr>
        <w:t xml:space="preserve">security and cyber threats. </w:t>
      </w:r>
      <w:r w:rsidR="00BB08E4" w:rsidRPr="006A2D97">
        <w:rPr>
          <w:rFonts w:eastAsia="Times New Roman"/>
          <w:noProof/>
          <w:color w:val="000000" w:themeColor="text1"/>
          <w:szCs w:val="24"/>
          <w:lang w:val="en-IE"/>
        </w:rPr>
        <w:t xml:space="preserve">It </w:t>
      </w:r>
      <w:r w:rsidR="00E9744C" w:rsidRPr="006A2D97">
        <w:rPr>
          <w:rFonts w:eastAsia="Times New Roman"/>
          <w:noProof/>
          <w:color w:val="000000" w:themeColor="text1"/>
          <w:szCs w:val="24"/>
          <w:lang w:val="en-IE"/>
        </w:rPr>
        <w:t>is focused on targeted amendment</w:t>
      </w:r>
      <w:r w:rsidR="00FF5B6F" w:rsidRPr="006A2D97">
        <w:rPr>
          <w:rFonts w:eastAsia="Times New Roman"/>
          <w:noProof/>
          <w:color w:val="000000" w:themeColor="text1"/>
          <w:szCs w:val="24"/>
          <w:lang w:val="en-IE"/>
        </w:rPr>
        <w:t>s</w:t>
      </w:r>
      <w:r w:rsidR="00E9744C" w:rsidRPr="006A2D97">
        <w:rPr>
          <w:rFonts w:eastAsia="Times New Roman"/>
          <w:noProof/>
          <w:color w:val="000000" w:themeColor="text1"/>
          <w:szCs w:val="24"/>
          <w:lang w:val="en-IE"/>
        </w:rPr>
        <w:t xml:space="preserve"> to the NIS 2 Directive</w:t>
      </w:r>
      <w:r w:rsidR="00B056D2" w:rsidRPr="006A2D97">
        <w:rPr>
          <w:rFonts w:eastAsia="Times New Roman"/>
          <w:noProof/>
          <w:color w:val="000000" w:themeColor="text1"/>
          <w:szCs w:val="24"/>
          <w:lang w:val="en-IE"/>
        </w:rPr>
        <w:t xml:space="preserve"> which aim </w:t>
      </w:r>
      <w:r w:rsidR="002642F3" w:rsidRPr="006A2D97">
        <w:rPr>
          <w:rFonts w:eastAsia="Times New Roman"/>
          <w:noProof/>
          <w:color w:val="000000" w:themeColor="text1"/>
          <w:szCs w:val="24"/>
          <w:lang w:val="en-IE"/>
        </w:rPr>
        <w:t xml:space="preserve">inter alia </w:t>
      </w:r>
      <w:r w:rsidR="00B056D2" w:rsidRPr="006A2D97">
        <w:rPr>
          <w:rFonts w:eastAsia="Times New Roman"/>
          <w:noProof/>
          <w:color w:val="000000" w:themeColor="text1"/>
          <w:szCs w:val="24"/>
          <w:lang w:val="en-IE"/>
        </w:rPr>
        <w:t xml:space="preserve">at clarifying </w:t>
      </w:r>
      <w:r w:rsidR="00FF5B6F" w:rsidRPr="006A2D97">
        <w:rPr>
          <w:rFonts w:eastAsia="Times New Roman"/>
          <w:noProof/>
          <w:color w:val="000000" w:themeColor="text1"/>
          <w:szCs w:val="24"/>
          <w:lang w:val="en-IE"/>
        </w:rPr>
        <w:t xml:space="preserve">certain aspects regarding </w:t>
      </w:r>
      <w:r w:rsidR="002642F3" w:rsidRPr="006A2D97">
        <w:rPr>
          <w:rFonts w:eastAsia="Times New Roman"/>
          <w:noProof/>
          <w:color w:val="000000" w:themeColor="text1"/>
          <w:szCs w:val="24"/>
          <w:lang w:val="en-IE"/>
        </w:rPr>
        <w:t>the scope</w:t>
      </w:r>
      <w:r w:rsidR="00FF5B6F" w:rsidRPr="006A2D97">
        <w:rPr>
          <w:rFonts w:eastAsia="Times New Roman"/>
          <w:noProof/>
          <w:color w:val="000000" w:themeColor="text1"/>
          <w:szCs w:val="24"/>
          <w:lang w:val="en-IE"/>
        </w:rPr>
        <w:t xml:space="preserve">, </w:t>
      </w:r>
      <w:r w:rsidR="002642F3" w:rsidRPr="006A2D97">
        <w:rPr>
          <w:rFonts w:eastAsia="Times New Roman"/>
          <w:noProof/>
          <w:color w:val="000000" w:themeColor="text1"/>
          <w:szCs w:val="24"/>
          <w:lang w:val="en-IE"/>
        </w:rPr>
        <w:t>definitions</w:t>
      </w:r>
      <w:r w:rsidR="00FF5B6F" w:rsidRPr="006A2D97">
        <w:rPr>
          <w:rFonts w:eastAsia="Times New Roman"/>
          <w:noProof/>
          <w:color w:val="000000" w:themeColor="text1"/>
          <w:szCs w:val="24"/>
          <w:lang w:val="en-IE"/>
        </w:rPr>
        <w:t xml:space="preserve"> and jurisdictional rules</w:t>
      </w:r>
      <w:r w:rsidR="002642F3" w:rsidRPr="006A2D97">
        <w:rPr>
          <w:rFonts w:eastAsia="Times New Roman"/>
          <w:noProof/>
          <w:color w:val="000000" w:themeColor="text1"/>
          <w:szCs w:val="24"/>
          <w:lang w:val="en-IE"/>
        </w:rPr>
        <w:t>, reduce burden in supervision</w:t>
      </w:r>
      <w:r w:rsidR="00FF5B6F" w:rsidRPr="006A2D97">
        <w:rPr>
          <w:rFonts w:eastAsia="Times New Roman"/>
          <w:noProof/>
          <w:color w:val="000000" w:themeColor="text1"/>
          <w:szCs w:val="24"/>
          <w:lang w:val="en-IE"/>
        </w:rPr>
        <w:t xml:space="preserve"> of essential and important</w:t>
      </w:r>
      <w:r w:rsidR="005019D7" w:rsidRPr="006A2D97">
        <w:rPr>
          <w:rFonts w:eastAsia="Times New Roman"/>
          <w:noProof/>
          <w:color w:val="000000" w:themeColor="text1"/>
          <w:szCs w:val="24"/>
          <w:lang w:val="en-IE"/>
        </w:rPr>
        <w:t xml:space="preserve"> and</w:t>
      </w:r>
      <w:r w:rsidR="002642F3" w:rsidRPr="006A2D97">
        <w:rPr>
          <w:rFonts w:eastAsia="Times New Roman"/>
          <w:noProof/>
          <w:color w:val="000000" w:themeColor="text1"/>
          <w:szCs w:val="24"/>
          <w:lang w:val="en-IE"/>
        </w:rPr>
        <w:t xml:space="preserve"> facilitate supervision of cross-border entities</w:t>
      </w:r>
      <w:r w:rsidR="00C9108F" w:rsidRPr="006A2D97">
        <w:rPr>
          <w:rFonts w:eastAsia="Times New Roman"/>
          <w:noProof/>
          <w:color w:val="000000" w:themeColor="text1"/>
          <w:szCs w:val="24"/>
          <w:lang w:val="en-IE"/>
        </w:rPr>
        <w:t xml:space="preserve"> by strengthening ENISA’s role in operational cooperation support</w:t>
      </w:r>
      <w:r w:rsidR="005019D7" w:rsidRPr="006A2D97">
        <w:rPr>
          <w:rFonts w:eastAsia="Times New Roman"/>
          <w:noProof/>
          <w:color w:val="000000" w:themeColor="text1"/>
          <w:szCs w:val="24"/>
          <w:lang w:val="en-IE"/>
        </w:rPr>
        <w:t xml:space="preserve">. Furthermore, jointly with the proposal for a </w:t>
      </w:r>
      <w:r w:rsidR="00856C82">
        <w:rPr>
          <w:rFonts w:eastAsia="Times New Roman"/>
          <w:noProof/>
          <w:color w:val="000000" w:themeColor="text1"/>
          <w:szCs w:val="24"/>
          <w:lang w:val="en-IE"/>
        </w:rPr>
        <w:t>r</w:t>
      </w:r>
      <w:r w:rsidR="005019D7" w:rsidRPr="005320EE">
        <w:rPr>
          <w:rFonts w:eastAsia="Times New Roman"/>
          <w:noProof/>
          <w:color w:val="000000" w:themeColor="text1"/>
          <w:szCs w:val="24"/>
          <w:lang w:val="en-IE"/>
        </w:rPr>
        <w:t>egulation</w:t>
      </w:r>
      <w:r w:rsidR="005019D7" w:rsidRPr="006A2D97">
        <w:rPr>
          <w:rFonts w:eastAsia="Times New Roman"/>
          <w:noProof/>
          <w:color w:val="000000" w:themeColor="text1"/>
          <w:szCs w:val="24"/>
          <w:lang w:val="en-IE"/>
        </w:rPr>
        <w:t xml:space="preserve">, this proposal creates a strong synergy stemming from the development of cyber posture certification for the </w:t>
      </w:r>
      <w:r w:rsidR="005019D7" w:rsidRPr="005320EE">
        <w:rPr>
          <w:rFonts w:eastAsia="Times New Roman"/>
          <w:noProof/>
          <w:color w:val="000000" w:themeColor="text1"/>
          <w:szCs w:val="24"/>
          <w:lang w:val="en-IE"/>
        </w:rPr>
        <w:t>NIS</w:t>
      </w:r>
      <w:r w:rsidR="0039579A">
        <w:rPr>
          <w:rFonts w:eastAsia="Times New Roman"/>
          <w:noProof/>
          <w:color w:val="000000" w:themeColor="text1"/>
          <w:szCs w:val="24"/>
          <w:lang w:val="en-IE"/>
        </w:rPr>
        <w:t xml:space="preserve"> </w:t>
      </w:r>
      <w:r w:rsidR="005019D7" w:rsidRPr="005320EE">
        <w:rPr>
          <w:rFonts w:eastAsia="Times New Roman"/>
          <w:noProof/>
          <w:color w:val="000000" w:themeColor="text1"/>
          <w:szCs w:val="24"/>
          <w:lang w:val="en-IE"/>
        </w:rPr>
        <w:t>2</w:t>
      </w:r>
      <w:r w:rsidR="005019D7" w:rsidRPr="006A2D97">
        <w:rPr>
          <w:rFonts w:eastAsia="Times New Roman"/>
          <w:noProof/>
          <w:color w:val="000000" w:themeColor="text1"/>
          <w:szCs w:val="24"/>
          <w:lang w:val="en-IE"/>
        </w:rPr>
        <w:t xml:space="preserve"> Directive as well as potentially for facilitating compliance with other relevant Union legal acts such as the General Data Protection Regulation (GDPR), without prejudice to their specific certification requirements.</w:t>
      </w:r>
      <w:r w:rsidR="005019D7" w:rsidRPr="6C5F9DDC">
        <w:rPr>
          <w:rFonts w:eastAsia="Times New Roman"/>
          <w:noProof/>
          <w:color w:val="000000" w:themeColor="text1"/>
          <w:szCs w:val="24"/>
          <w:lang w:val="en-IE"/>
        </w:rPr>
        <w:t xml:space="preserve"> </w:t>
      </w:r>
      <w:r w:rsidR="005019D7" w:rsidRPr="006A2D97">
        <w:rPr>
          <w:rFonts w:eastAsia="Times New Roman"/>
          <w:noProof/>
          <w:color w:val="000000" w:themeColor="text1"/>
          <w:lang w:val="en-IE"/>
        </w:rPr>
        <w:t>These simplification measures should unlock resources to strengthen the operational cybersecurity preparedness of entities in the Union’s critical sectors</w:t>
      </w:r>
      <w:r w:rsidR="00553EA1" w:rsidRPr="006A2D97">
        <w:rPr>
          <w:rFonts w:eastAsia="Times New Roman"/>
          <w:noProof/>
          <w:color w:val="000000" w:themeColor="text1"/>
          <w:lang w:val="en-IE"/>
        </w:rPr>
        <w:t>.</w:t>
      </w:r>
    </w:p>
    <w:p w14:paraId="737AA400" w14:textId="77777777" w:rsidR="00215C8F" w:rsidRPr="002D5EE2" w:rsidRDefault="00215C8F" w:rsidP="00215C8F">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14:paraId="42F279AE" w14:textId="180BD4B6" w:rsidR="00D401C7" w:rsidRPr="005320EE" w:rsidRDefault="32E15B36" w:rsidP="00D401C7">
      <w:pPr>
        <w:spacing w:after="160" w:line="259" w:lineRule="auto"/>
        <w:rPr>
          <w:rFonts w:eastAsia="Times New Roman"/>
          <w:noProof/>
          <w:color w:val="000000" w:themeColor="text1"/>
          <w:lang w:val="en-IE"/>
        </w:rPr>
      </w:pPr>
      <w:r w:rsidRPr="00C414F4">
        <w:rPr>
          <w:rFonts w:eastAsia="Times New Roman"/>
          <w:noProof/>
          <w:color w:val="000000" w:themeColor="text1"/>
          <w:szCs w:val="24"/>
        </w:rPr>
        <w:t xml:space="preserve">This proposal </w:t>
      </w:r>
      <w:r w:rsidR="7730548C" w:rsidRPr="005320EE">
        <w:rPr>
          <w:rFonts w:eastAsia="Times New Roman"/>
          <w:noProof/>
          <w:color w:val="000000" w:themeColor="text1"/>
          <w:szCs w:val="24"/>
        </w:rPr>
        <w:t>strengthen</w:t>
      </w:r>
      <w:r w:rsidR="006A2D97">
        <w:rPr>
          <w:rFonts w:eastAsia="Times New Roman"/>
          <w:noProof/>
          <w:color w:val="000000" w:themeColor="text1"/>
          <w:szCs w:val="24"/>
        </w:rPr>
        <w:t>s</w:t>
      </w:r>
      <w:r w:rsidR="7730548C" w:rsidRPr="005320EE">
        <w:rPr>
          <w:rFonts w:eastAsia="Times New Roman"/>
          <w:noProof/>
          <w:color w:val="000000" w:themeColor="text1"/>
          <w:szCs w:val="24"/>
        </w:rPr>
        <w:t xml:space="preserve"> the security requirements for entities providing</w:t>
      </w:r>
      <w:r w:rsidR="103D089B" w:rsidRPr="005320EE">
        <w:rPr>
          <w:rFonts w:eastAsia="Times New Roman"/>
          <w:noProof/>
          <w:color w:val="000000" w:themeColor="text1"/>
          <w:szCs w:val="24"/>
        </w:rPr>
        <w:t xml:space="preserve"> Business Wallets</w:t>
      </w:r>
      <w:r w:rsidR="00EE0BA0" w:rsidRPr="005320EE">
        <w:rPr>
          <w:rFonts w:eastAsia="Times New Roman"/>
          <w:noProof/>
          <w:color w:val="000000" w:themeColor="text1"/>
          <w:szCs w:val="24"/>
        </w:rPr>
        <w:t xml:space="preserve"> as set out in the </w:t>
      </w:r>
      <w:r w:rsidR="00EA511B">
        <w:rPr>
          <w:rFonts w:eastAsia="Times New Roman"/>
          <w:noProof/>
          <w:color w:val="000000" w:themeColor="text1"/>
          <w:szCs w:val="24"/>
        </w:rPr>
        <w:t>p</w:t>
      </w:r>
      <w:r w:rsidR="00EE0BA0" w:rsidRPr="005320EE">
        <w:rPr>
          <w:rFonts w:eastAsia="Times New Roman"/>
          <w:noProof/>
          <w:color w:val="000000" w:themeColor="text1"/>
          <w:szCs w:val="24"/>
        </w:rPr>
        <w:t>roposal</w:t>
      </w:r>
      <w:r w:rsidR="00EE0BA0" w:rsidRPr="00EE0BA0">
        <w:rPr>
          <w:rFonts w:eastAsia="Times New Roman"/>
          <w:noProof/>
          <w:color w:val="000000" w:themeColor="text1"/>
          <w:szCs w:val="24"/>
        </w:rPr>
        <w:t xml:space="preserve"> for a </w:t>
      </w:r>
      <w:r w:rsidR="00EE0BA0">
        <w:rPr>
          <w:rFonts w:eastAsia="Times New Roman"/>
          <w:noProof/>
          <w:color w:val="000000" w:themeColor="text1"/>
          <w:szCs w:val="24"/>
        </w:rPr>
        <w:t xml:space="preserve">Regulation of the European Parliament and the Council </w:t>
      </w:r>
      <w:r w:rsidR="00EE0BA0" w:rsidRPr="00EE0BA0">
        <w:rPr>
          <w:rFonts w:eastAsia="Times New Roman"/>
          <w:noProof/>
          <w:color w:val="000000" w:themeColor="text1"/>
          <w:szCs w:val="24"/>
        </w:rPr>
        <w:t>on the establishment of European Business Wallets</w:t>
      </w:r>
      <w:r w:rsidR="00145050" w:rsidRPr="005320EE">
        <w:rPr>
          <w:rStyle w:val="FootnoteReference"/>
          <w:rFonts w:eastAsia="Times New Roman"/>
          <w:noProof/>
          <w:color w:val="000000" w:themeColor="text1"/>
          <w:szCs w:val="24"/>
        </w:rPr>
        <w:footnoteReference w:id="12"/>
      </w:r>
      <w:r w:rsidR="103D089B" w:rsidRPr="005320EE">
        <w:rPr>
          <w:rFonts w:eastAsia="Times New Roman"/>
          <w:noProof/>
          <w:color w:val="000000" w:themeColor="text1"/>
          <w:szCs w:val="24"/>
        </w:rPr>
        <w:t>.</w:t>
      </w:r>
      <w:r w:rsidR="57FE5487" w:rsidRPr="6C5F9DDC">
        <w:rPr>
          <w:rFonts w:eastAsia="Times New Roman"/>
          <w:noProof/>
          <w:color w:val="000000" w:themeColor="text1"/>
          <w:szCs w:val="24"/>
        </w:rPr>
        <w:t xml:space="preserve"> </w:t>
      </w:r>
      <w:r w:rsidRPr="005320EE">
        <w:rPr>
          <w:rFonts w:eastAsia="Times New Roman"/>
          <w:noProof/>
          <w:color w:val="000000" w:themeColor="text1"/>
          <w:szCs w:val="24"/>
        </w:rPr>
        <w:t>Moreover,</w:t>
      </w:r>
      <w:r w:rsidR="006D2DFE">
        <w:rPr>
          <w:rFonts w:eastAsia="Times New Roman"/>
          <w:noProof/>
          <w:color w:val="000000" w:themeColor="text1"/>
          <w:szCs w:val="24"/>
        </w:rPr>
        <w:t xml:space="preserve"> the Commission</w:t>
      </w:r>
      <w:r w:rsidRPr="005320EE">
        <w:rPr>
          <w:rFonts w:eastAsia="Times New Roman"/>
          <w:noProof/>
          <w:color w:val="000000" w:themeColor="text1"/>
          <w:szCs w:val="24"/>
        </w:rPr>
        <w:t xml:space="preserve"> </w:t>
      </w:r>
      <w:r w:rsidR="006D2DFE">
        <w:rPr>
          <w:rFonts w:eastAsia="Times New Roman"/>
          <w:noProof/>
          <w:color w:val="000000" w:themeColor="text1"/>
          <w:szCs w:val="24"/>
        </w:rPr>
        <w:t xml:space="preserve">will ensure consistency with </w:t>
      </w:r>
      <w:r w:rsidRPr="005320EE">
        <w:rPr>
          <w:rFonts w:eastAsia="Times New Roman"/>
          <w:noProof/>
          <w:color w:val="000000" w:themeColor="text1"/>
          <w:szCs w:val="24"/>
        </w:rPr>
        <w:t>upcoming initiatives, such as the Digital Networks Act (DNA)</w:t>
      </w:r>
      <w:r w:rsidR="004C32DD" w:rsidRPr="005320EE">
        <w:rPr>
          <w:rFonts w:eastAsia="Times New Roman"/>
          <w:noProof/>
          <w:color w:val="000000" w:themeColor="text1"/>
          <w:szCs w:val="24"/>
        </w:rPr>
        <w:t>.</w:t>
      </w:r>
      <w:r w:rsidR="00C414F4" w:rsidRPr="005320EE">
        <w:rPr>
          <w:rFonts w:eastAsia="Times New Roman"/>
          <w:noProof/>
          <w:color w:val="000000" w:themeColor="text1"/>
          <w:szCs w:val="24"/>
        </w:rPr>
        <w:t xml:space="preserve"> </w:t>
      </w:r>
      <w:bookmarkStart w:id="1" w:name="_Hlk218518002"/>
      <w:r w:rsidR="00D72818" w:rsidRPr="005320EE">
        <w:rPr>
          <w:rFonts w:eastAsia="Times New Roman"/>
          <w:noProof/>
          <w:color w:val="000000" w:themeColor="text1"/>
          <w:lang w:val="en-IE"/>
        </w:rPr>
        <w:t xml:space="preserve">This proposal is aligned with the </w:t>
      </w:r>
      <w:r w:rsidR="00EA511B">
        <w:rPr>
          <w:rFonts w:eastAsia="Times New Roman"/>
          <w:noProof/>
          <w:color w:val="000000" w:themeColor="text1"/>
          <w:lang w:val="en-IE"/>
        </w:rPr>
        <w:t>p</w:t>
      </w:r>
      <w:r w:rsidR="00D72818" w:rsidRPr="005320EE">
        <w:rPr>
          <w:rFonts w:eastAsia="Calibri"/>
          <w:noProof/>
          <w:szCs w:val="24"/>
        </w:rPr>
        <w:t xml:space="preserve">roposal for </w:t>
      </w:r>
      <w:r w:rsidR="00EA511B">
        <w:rPr>
          <w:rFonts w:eastAsia="Calibri"/>
          <w:noProof/>
          <w:szCs w:val="24"/>
        </w:rPr>
        <w:t>a</w:t>
      </w:r>
      <w:r w:rsidR="00D72818" w:rsidRPr="00F3514B">
        <w:rPr>
          <w:rFonts w:eastAsia="Calibri"/>
          <w:noProof/>
          <w:szCs w:val="24"/>
        </w:rPr>
        <w:t xml:space="preserve"> Regulation on simplification of the digital legislation (</w:t>
      </w:r>
      <w:r w:rsidR="00D72818" w:rsidRPr="005320EE">
        <w:rPr>
          <w:rFonts w:eastAsia="Times New Roman"/>
          <w:noProof/>
          <w:color w:val="000000" w:themeColor="text1"/>
          <w:lang w:val="en-IE"/>
        </w:rPr>
        <w:t>Digital Omnibus</w:t>
      </w:r>
      <w:r w:rsidR="00D72818" w:rsidRPr="00F3514B">
        <w:rPr>
          <w:rFonts w:eastAsia="Times New Roman"/>
          <w:noProof/>
          <w:color w:val="000000" w:themeColor="text1"/>
          <w:lang w:val="en-IE"/>
        </w:rPr>
        <w:t>)</w:t>
      </w:r>
      <w:r w:rsidR="00D72818" w:rsidRPr="00F3514B">
        <w:rPr>
          <w:rFonts w:eastAsia="Calibri"/>
          <w:noProof/>
          <w:szCs w:val="24"/>
        </w:rPr>
        <w:t xml:space="preserve"> </w:t>
      </w:r>
      <w:r w:rsidR="005E56C1" w:rsidRPr="00F3514B">
        <w:rPr>
          <w:rFonts w:eastAsia="Calibri"/>
          <w:noProof/>
          <w:szCs w:val="24"/>
        </w:rPr>
        <w:t>which contains inter alia amendments to the NIS 2 Directive</w:t>
      </w:r>
      <w:bookmarkEnd w:id="1"/>
      <w:r w:rsidR="00D72818" w:rsidRPr="005320EE">
        <w:rPr>
          <w:rFonts w:eastAsia="Times New Roman"/>
          <w:noProof/>
          <w:color w:val="000000" w:themeColor="text1"/>
          <w:lang w:val="en-IE"/>
        </w:rPr>
        <w:t>,</w:t>
      </w:r>
      <w:r w:rsidR="00D72818" w:rsidRPr="00F3514B">
        <w:rPr>
          <w:rFonts w:eastAsia="Times New Roman"/>
          <w:noProof/>
          <w:color w:val="000000" w:themeColor="text1"/>
          <w:lang w:val="en-IE"/>
        </w:rPr>
        <w:t xml:space="preserve"> along wit</w:t>
      </w:r>
      <w:r w:rsidR="00CD6CA9" w:rsidRPr="00F3514B">
        <w:rPr>
          <w:rFonts w:eastAsia="Times New Roman"/>
          <w:noProof/>
          <w:color w:val="000000" w:themeColor="text1"/>
          <w:lang w:val="en-IE"/>
        </w:rPr>
        <w:t xml:space="preserve">h other </w:t>
      </w:r>
      <w:r w:rsidR="00413B8B" w:rsidRPr="005320EE">
        <w:rPr>
          <w:rFonts w:eastAsia="Times New Roman"/>
          <w:noProof/>
          <w:color w:val="000000" w:themeColor="text1"/>
          <w:lang w:val="en-IE"/>
        </w:rPr>
        <w:t>Union</w:t>
      </w:r>
      <w:r w:rsidR="00CD6CA9" w:rsidRPr="00F3514B">
        <w:rPr>
          <w:rFonts w:eastAsia="Times New Roman"/>
          <w:noProof/>
          <w:color w:val="000000" w:themeColor="text1"/>
          <w:lang w:val="en-IE"/>
        </w:rPr>
        <w:t xml:space="preserve"> legal acts. The Digital Omnibus</w:t>
      </w:r>
      <w:r w:rsidR="0058787E" w:rsidRPr="005320EE" w:rsidDel="00D72818">
        <w:rPr>
          <w:rFonts w:eastAsia="Times New Roman"/>
          <w:noProof/>
          <w:color w:val="000000" w:themeColor="text1"/>
          <w:lang w:val="en-IE"/>
        </w:rPr>
        <w:t xml:space="preserve"> </w:t>
      </w:r>
      <w:r w:rsidR="00D401C7" w:rsidRPr="005320EE">
        <w:rPr>
          <w:rFonts w:eastAsia="Times New Roman"/>
          <w:noProof/>
          <w:color w:val="000000" w:themeColor="text1"/>
          <w:lang w:val="en-IE"/>
        </w:rPr>
        <w:t>proposes to facilitate compliance with cybersecurity reporting requirements, among others under the NIS</w:t>
      </w:r>
      <w:r w:rsidR="0039579A">
        <w:rPr>
          <w:rFonts w:eastAsia="Times New Roman"/>
          <w:noProof/>
          <w:color w:val="000000" w:themeColor="text1"/>
          <w:lang w:val="en-IE"/>
        </w:rPr>
        <w:t xml:space="preserve"> </w:t>
      </w:r>
      <w:r w:rsidR="00D401C7" w:rsidRPr="005320EE">
        <w:rPr>
          <w:rFonts w:eastAsia="Times New Roman"/>
          <w:noProof/>
          <w:color w:val="000000" w:themeColor="text1"/>
          <w:lang w:val="en-IE"/>
        </w:rPr>
        <w:t xml:space="preserve">2 Directive, by reporting </w:t>
      </w:r>
      <w:r w:rsidR="00BD4FA1" w:rsidRPr="005320EE">
        <w:rPr>
          <w:rFonts w:eastAsia="Times New Roman"/>
          <w:noProof/>
          <w:color w:val="000000" w:themeColor="text1"/>
          <w:lang w:val="en-IE"/>
        </w:rPr>
        <w:t>via</w:t>
      </w:r>
      <w:r w:rsidR="00D401C7" w:rsidRPr="005320EE">
        <w:rPr>
          <w:rFonts w:eastAsia="Times New Roman"/>
          <w:noProof/>
          <w:color w:val="000000" w:themeColor="text1"/>
          <w:lang w:val="en-IE"/>
        </w:rPr>
        <w:t xml:space="preserve"> a single</w:t>
      </w:r>
      <w:r w:rsidR="00CD6CA9" w:rsidRPr="005320EE">
        <w:rPr>
          <w:rFonts w:eastAsia="Times New Roman"/>
          <w:noProof/>
          <w:color w:val="000000" w:themeColor="text1"/>
          <w:lang w:val="en-IE"/>
        </w:rPr>
        <w:t>-</w:t>
      </w:r>
      <w:r w:rsidR="00D401C7" w:rsidRPr="005320EE">
        <w:rPr>
          <w:rFonts w:eastAsia="Times New Roman"/>
          <w:noProof/>
          <w:color w:val="000000" w:themeColor="text1"/>
          <w:lang w:val="en-IE"/>
        </w:rPr>
        <w:t>entry point for incident reporting, to be developed and maintained by ENISA.</w:t>
      </w:r>
      <w:r w:rsidR="004B5A0D">
        <w:rPr>
          <w:rFonts w:eastAsia="Times New Roman"/>
          <w:noProof/>
          <w:color w:val="000000" w:themeColor="text1"/>
          <w:lang w:val="en-IE"/>
        </w:rPr>
        <w:t xml:space="preserve"> Furthermore, this proposal is aligned with </w:t>
      </w:r>
      <w:r w:rsidR="004B5A0D">
        <w:rPr>
          <w:rFonts w:eastAsia="Times New Roman"/>
          <w:noProof/>
          <w:color w:val="000000" w:themeColor="text1"/>
          <w:szCs w:val="24"/>
          <w:lang w:val="en-IE"/>
        </w:rPr>
        <w:t xml:space="preserve">the </w:t>
      </w:r>
      <w:r w:rsidR="004B5A0D" w:rsidRPr="00583DE4">
        <w:rPr>
          <w:rFonts w:eastAsia="Times New Roman"/>
          <w:noProof/>
          <w:color w:val="000000" w:themeColor="text1"/>
          <w:szCs w:val="24"/>
          <w:lang w:val="en-IE"/>
        </w:rPr>
        <w:t>Proposal for a Regulation of the European Parliament and of the Council</w:t>
      </w:r>
      <w:r w:rsidR="004B5A0D">
        <w:rPr>
          <w:rFonts w:eastAsia="Times New Roman"/>
          <w:noProof/>
          <w:color w:val="000000" w:themeColor="text1"/>
          <w:szCs w:val="24"/>
          <w:lang w:val="en-IE"/>
        </w:rPr>
        <w:t xml:space="preserve"> </w:t>
      </w:r>
      <w:r w:rsidR="004B5A0D" w:rsidRPr="00583DE4">
        <w:rPr>
          <w:rFonts w:eastAsia="Times New Roman"/>
          <w:noProof/>
          <w:color w:val="000000" w:themeColor="text1"/>
          <w:szCs w:val="24"/>
          <w:lang w:val="en-IE"/>
        </w:rPr>
        <w:t>on the safety, resilience and sustainability of Space activities in the Union</w:t>
      </w:r>
      <w:r w:rsidR="004B5A0D">
        <w:rPr>
          <w:rStyle w:val="FootnoteReference"/>
          <w:rFonts w:eastAsia="Times New Roman"/>
          <w:noProof/>
          <w:color w:val="000000" w:themeColor="text1"/>
          <w:szCs w:val="24"/>
          <w:lang w:val="en-IE"/>
        </w:rPr>
        <w:footnoteReference w:id="13"/>
      </w:r>
      <w:r w:rsidR="004B5A0D">
        <w:rPr>
          <w:rFonts w:eastAsia="Times New Roman"/>
          <w:noProof/>
          <w:color w:val="000000" w:themeColor="text1"/>
          <w:szCs w:val="24"/>
          <w:lang w:val="en-IE"/>
        </w:rPr>
        <w:t xml:space="preserve">. </w:t>
      </w:r>
    </w:p>
    <w:p w14:paraId="6B32CE6B" w14:textId="77777777" w:rsidR="005A08BD" w:rsidRDefault="005E56C1" w:rsidP="6C5F9DDC">
      <w:pPr>
        <w:pBdr>
          <w:top w:val="nil"/>
          <w:left w:val="nil"/>
          <w:bottom w:val="nil"/>
          <w:right w:val="nil"/>
          <w:between w:val="nil"/>
        </w:pBdr>
        <w:spacing w:before="0" w:after="240"/>
        <w:rPr>
          <w:rFonts w:eastAsia="Times New Roman"/>
          <w:noProof/>
          <w:szCs w:val="24"/>
        </w:rPr>
      </w:pPr>
      <w:r>
        <w:rPr>
          <w:rFonts w:eastAsia="Calibri"/>
          <w:noProof/>
          <w:szCs w:val="24"/>
        </w:rPr>
        <w:t xml:space="preserve">In addition, the proposal is in line with </w:t>
      </w:r>
      <w:r w:rsidR="00C414F4" w:rsidRPr="005320EE">
        <w:rPr>
          <w:rFonts w:eastAsia="Calibri"/>
          <w:noProof/>
          <w:szCs w:val="24"/>
        </w:rPr>
        <w:t>Future of European Competitiveness report of Mario Draghi, as highlighted above.</w:t>
      </w:r>
    </w:p>
    <w:p w14:paraId="1725C048" w14:textId="77777777" w:rsidR="00215C8F" w:rsidRPr="002D5EE2" w:rsidRDefault="00215C8F" w:rsidP="00215C8F">
      <w:pPr>
        <w:pStyle w:val="ManualHeading1"/>
        <w:rPr>
          <w:noProof/>
        </w:rPr>
      </w:pPr>
      <w:r w:rsidRPr="002D5EE2">
        <w:rPr>
          <w:noProof/>
        </w:rPr>
        <w:t>2.</w:t>
      </w:r>
      <w:r w:rsidRPr="002D5EE2">
        <w:rPr>
          <w:noProof/>
        </w:rPr>
        <w:tab/>
        <w:t>LEGAL BASIS, SUBSIDIARITY AND PROPORTIONALITY</w:t>
      </w:r>
    </w:p>
    <w:p w14:paraId="1E4E42BB" w14:textId="77777777" w:rsidR="00215C8F" w:rsidRPr="002D5EE2" w:rsidRDefault="00215C8F" w:rsidP="00215C8F">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14:paraId="3B62B8BB" w14:textId="77777777" w:rsidR="66A21E5E" w:rsidRPr="00B37A9E" w:rsidRDefault="19B137CC">
      <w:pPr>
        <w:rPr>
          <w:rFonts w:eastAsia="Times New Roman"/>
          <w:b/>
          <w:noProof/>
          <w:color w:val="333333"/>
        </w:rPr>
      </w:pPr>
      <w:r>
        <w:rPr>
          <w:noProof/>
        </w:rPr>
        <w:t>Th</w:t>
      </w:r>
      <w:r w:rsidR="44CEA47D">
        <w:rPr>
          <w:noProof/>
        </w:rPr>
        <w:t>e legal basis for this</w:t>
      </w:r>
      <w:r>
        <w:rPr>
          <w:noProof/>
        </w:rPr>
        <w:t xml:space="preserve"> </w:t>
      </w:r>
      <w:r w:rsidR="00F61CDF">
        <w:rPr>
          <w:noProof/>
        </w:rPr>
        <w:t>d</w:t>
      </w:r>
      <w:r w:rsidRPr="005320EE">
        <w:rPr>
          <w:noProof/>
        </w:rPr>
        <w:t>irective</w:t>
      </w:r>
      <w:r>
        <w:rPr>
          <w:noProof/>
        </w:rPr>
        <w:t xml:space="preserve"> is Article 114 of the Treaty on the Functioning of the European Union</w:t>
      </w:r>
      <w:r w:rsidR="0034144C" w:rsidRPr="005320EE">
        <w:rPr>
          <w:noProof/>
        </w:rPr>
        <w:t xml:space="preserve"> (TFEU)</w:t>
      </w:r>
      <w:r w:rsidRPr="005320EE">
        <w:rPr>
          <w:noProof/>
        </w:rPr>
        <w:t>,</w:t>
      </w:r>
      <w:r>
        <w:rPr>
          <w:noProof/>
        </w:rPr>
        <w:t xml:space="preserve"> which seeks to establish and ensure</w:t>
      </w:r>
      <w:r w:rsidR="7159E2BC">
        <w:rPr>
          <w:noProof/>
        </w:rPr>
        <w:t xml:space="preserve"> the</w:t>
      </w:r>
      <w:r w:rsidR="7159E2BC" w:rsidRPr="6C5F9DDC">
        <w:rPr>
          <w:noProof/>
        </w:rPr>
        <w:t xml:space="preserve"> </w:t>
      </w:r>
      <w:r w:rsidR="7159E2BC" w:rsidRPr="005320EE">
        <w:rPr>
          <w:rFonts w:eastAsia="Times New Roman"/>
          <w:noProof/>
        </w:rPr>
        <w:t>functioning of the internal market by enhancing measures for the approximation of national rules.</w:t>
      </w:r>
      <w:r w:rsidR="4CB1ED5F" w:rsidRPr="40EEFD8A">
        <w:rPr>
          <w:rFonts w:eastAsia="Times New Roman"/>
          <w:noProof/>
        </w:rPr>
        <w:t xml:space="preserve"> </w:t>
      </w:r>
      <w:r w:rsidR="2CE5D74A" w:rsidRPr="005320EE">
        <w:rPr>
          <w:rFonts w:eastAsia="Times New Roman"/>
          <w:noProof/>
          <w:color w:val="000000" w:themeColor="text1"/>
        </w:rPr>
        <w:t>This proposal amends Directive (EU) 2022/2555 which was adopted under Article 114 TFEU.</w:t>
      </w:r>
    </w:p>
    <w:p w14:paraId="5555ABA2" w14:textId="77777777" w:rsidR="00215C8F" w:rsidRPr="002D5EE2" w:rsidRDefault="00215C8F" w:rsidP="00215C8F">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52A64D8D" w14:textId="77777777" w:rsidR="002D317B" w:rsidRDefault="748173CA" w:rsidP="3FEC3012">
      <w:pPr>
        <w:pBdr>
          <w:top w:val="nil"/>
          <w:left w:val="nil"/>
          <w:bottom w:val="nil"/>
          <w:right w:val="nil"/>
          <w:between w:val="nil"/>
        </w:pBdr>
        <w:spacing w:before="0" w:after="240"/>
        <w:rPr>
          <w:rFonts w:eastAsia="Times New Roman"/>
          <w:noProof/>
        </w:rPr>
      </w:pPr>
      <w:r w:rsidRPr="005320EE">
        <w:rPr>
          <w:rFonts w:eastAsia="Times New Roman"/>
          <w:noProof/>
          <w:color w:val="000000" w:themeColor="text1"/>
        </w:rPr>
        <w:t>The</w:t>
      </w:r>
      <w:r w:rsidRPr="2B16104A">
        <w:rPr>
          <w:rFonts w:eastAsia="Times New Roman"/>
          <w:noProof/>
          <w:color w:val="000000" w:themeColor="text1"/>
        </w:rPr>
        <w:t xml:space="preserve"> </w:t>
      </w:r>
      <w:r w:rsidRPr="005320EE">
        <w:rPr>
          <w:rFonts w:eastAsia="Times New Roman"/>
          <w:noProof/>
          <w:color w:val="000000" w:themeColor="text1"/>
        </w:rPr>
        <w:t>subsidiarity principle requires the assessment of the necessity and the added value of Union action. Compliance with the subsidiarity principle in this area was already recognised when adopting Directive</w:t>
      </w:r>
      <w:r w:rsidR="00E8034F">
        <w:rPr>
          <w:rFonts w:eastAsia="Times New Roman"/>
          <w:noProof/>
          <w:color w:val="000000" w:themeColor="text1"/>
        </w:rPr>
        <w:t xml:space="preserve"> (EU) 2022/2555</w:t>
      </w:r>
      <w:r w:rsidR="000D78FB">
        <w:rPr>
          <w:rFonts w:eastAsia="Times New Roman"/>
          <w:noProof/>
          <w:color w:val="000000" w:themeColor="text1"/>
        </w:rPr>
        <w:t xml:space="preserve"> which </w:t>
      </w:r>
      <w:r w:rsidR="006A1316">
        <w:rPr>
          <w:rFonts w:eastAsia="Times New Roman"/>
          <w:noProof/>
          <w:color w:val="000000" w:themeColor="text1"/>
        </w:rPr>
        <w:t>is amended by this proposal</w:t>
      </w:r>
      <w:r w:rsidRPr="2B16104A">
        <w:rPr>
          <w:rFonts w:eastAsia="Times New Roman"/>
          <w:noProof/>
          <w:color w:val="000000" w:themeColor="text1"/>
        </w:rPr>
        <w:t>.</w:t>
      </w:r>
    </w:p>
    <w:p w14:paraId="50FA030C" w14:textId="77777777" w:rsidR="002D317B" w:rsidRDefault="6DC2097B" w:rsidP="5A567148">
      <w:pPr>
        <w:pBdr>
          <w:top w:val="nil"/>
          <w:left w:val="nil"/>
          <w:bottom w:val="nil"/>
          <w:right w:val="nil"/>
          <w:between w:val="nil"/>
        </w:pBdr>
        <w:spacing w:before="0" w:after="240"/>
        <w:rPr>
          <w:rFonts w:eastAsia="Times New Roman"/>
          <w:noProof/>
        </w:rPr>
      </w:pPr>
      <w:r w:rsidRPr="005320EE">
        <w:rPr>
          <w:rFonts w:eastAsia="Times New Roman"/>
          <w:noProof/>
          <w:color w:val="000000" w:themeColor="text1"/>
        </w:rPr>
        <w:t xml:space="preserve">This proposal facilitates compliance with </w:t>
      </w:r>
      <w:r w:rsidR="006A1316" w:rsidRPr="005320EE">
        <w:rPr>
          <w:rFonts w:eastAsia="Times New Roman"/>
          <w:noProof/>
          <w:color w:val="000000" w:themeColor="text1"/>
        </w:rPr>
        <w:t xml:space="preserve">Union </w:t>
      </w:r>
      <w:r w:rsidRPr="005320EE">
        <w:rPr>
          <w:rFonts w:eastAsia="Times New Roman"/>
          <w:noProof/>
          <w:color w:val="000000" w:themeColor="text1"/>
        </w:rPr>
        <w:t>cybersecurity legislation</w:t>
      </w:r>
      <w:r w:rsidR="002B2BC8" w:rsidRPr="005320EE">
        <w:rPr>
          <w:rFonts w:eastAsia="Times New Roman"/>
          <w:noProof/>
          <w:color w:val="000000" w:themeColor="text1"/>
        </w:rPr>
        <w:t>, reducing</w:t>
      </w:r>
      <w:r w:rsidRPr="005320EE">
        <w:rPr>
          <w:rFonts w:eastAsia="Times New Roman"/>
          <w:noProof/>
          <w:color w:val="000000" w:themeColor="text1"/>
        </w:rPr>
        <w:t xml:space="preserve"> compliance costs and legal uncertainty for affected entities, </w:t>
      </w:r>
      <w:r w:rsidR="006D35D2" w:rsidRPr="005320EE">
        <w:rPr>
          <w:rFonts w:eastAsia="Times New Roman"/>
          <w:noProof/>
          <w:color w:val="000000" w:themeColor="text1"/>
        </w:rPr>
        <w:t xml:space="preserve">and </w:t>
      </w:r>
      <w:r w:rsidRPr="005320EE">
        <w:rPr>
          <w:rFonts w:eastAsia="Times New Roman"/>
          <w:noProof/>
          <w:color w:val="000000" w:themeColor="text1"/>
        </w:rPr>
        <w:t>facilitating and improving the rate of compliance with cybersecurity requirements. It also contributes to help level the playing field on approaches to supervision and compliance checks across Member States. </w:t>
      </w:r>
    </w:p>
    <w:p w14:paraId="2253C19F" w14:textId="77777777" w:rsidR="00215C8F" w:rsidRDefault="00215C8F" w:rsidP="00215C8F">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0237B793" w14:textId="77777777" w:rsidR="2D0CB175" w:rsidRDefault="7DA933B9" w:rsidP="6C5F9DDC">
      <w:pPr>
        <w:rPr>
          <w:noProof/>
        </w:rPr>
      </w:pPr>
      <w:r w:rsidRPr="12BFA53D">
        <w:rPr>
          <w:rFonts w:eastAsia="Times New Roman"/>
          <w:noProof/>
          <w:color w:val="333333"/>
        </w:rPr>
        <w:t>T</w:t>
      </w:r>
      <w:r w:rsidRPr="005320EE">
        <w:rPr>
          <w:rFonts w:eastAsia="Times New Roman"/>
          <w:noProof/>
          <w:color w:val="333333"/>
        </w:rPr>
        <w:t xml:space="preserve">he rules proposed in this </w:t>
      </w:r>
      <w:r w:rsidR="00F61CDF">
        <w:rPr>
          <w:rFonts w:eastAsia="Times New Roman"/>
          <w:noProof/>
          <w:color w:val="333333"/>
        </w:rPr>
        <w:t>d</w:t>
      </w:r>
      <w:r w:rsidRPr="005320EE">
        <w:rPr>
          <w:rFonts w:eastAsia="Times New Roman"/>
          <w:noProof/>
          <w:color w:val="333333"/>
        </w:rPr>
        <w:t xml:space="preserve">irective do not go beyond what is necessary to meet the specific objectives satisfactorily. The envisaged alignment and streamlining of </w:t>
      </w:r>
      <w:r w:rsidR="004A621E">
        <w:rPr>
          <w:rFonts w:eastAsia="Times New Roman"/>
          <w:noProof/>
          <w:color w:val="333333"/>
        </w:rPr>
        <w:t xml:space="preserve">scope, </w:t>
      </w:r>
      <w:r w:rsidRPr="005320EE">
        <w:rPr>
          <w:rFonts w:eastAsia="Times New Roman"/>
          <w:noProof/>
          <w:color w:val="333333"/>
        </w:rPr>
        <w:t>security measures and reporting obligations relate to Member States and businesses’ requests to improve the current framework.</w:t>
      </w:r>
      <w:r w:rsidRPr="005320EE">
        <w:rPr>
          <w:rFonts w:eastAsia="Times New Roman"/>
          <w:noProof/>
        </w:rPr>
        <w:t xml:space="preserve"> </w:t>
      </w:r>
    </w:p>
    <w:p w14:paraId="2E8A2878" w14:textId="77777777" w:rsidR="00215C8F" w:rsidRDefault="00215C8F" w:rsidP="00215C8F">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053F4191" w14:textId="77777777" w:rsidR="30FFF077" w:rsidRDefault="19CB9484" w:rsidP="6C5F9DDC">
      <w:pPr>
        <w:rPr>
          <w:rFonts w:eastAsia="Times New Roman"/>
          <w:noProof/>
          <w:color w:val="333333"/>
        </w:rPr>
      </w:pPr>
      <w:r w:rsidRPr="005320EE">
        <w:rPr>
          <w:rFonts w:eastAsia="Times New Roman"/>
          <w:noProof/>
          <w:color w:val="333333"/>
        </w:rPr>
        <w:t>The</w:t>
      </w:r>
      <w:r w:rsidRPr="0DD405BA">
        <w:rPr>
          <w:rFonts w:eastAsia="Times New Roman"/>
          <w:noProof/>
          <w:color w:val="333333"/>
        </w:rPr>
        <w:t xml:space="preserve"> proposal will amend the existing </w:t>
      </w:r>
      <w:r w:rsidRPr="005320EE">
        <w:rPr>
          <w:rFonts w:eastAsia="Times New Roman"/>
          <w:noProof/>
          <w:color w:val="333333"/>
        </w:rPr>
        <w:t>NIS</w:t>
      </w:r>
      <w:r w:rsidR="00F61CDF">
        <w:rPr>
          <w:rFonts w:eastAsia="Times New Roman"/>
          <w:noProof/>
          <w:color w:val="333333"/>
        </w:rPr>
        <w:t xml:space="preserve"> </w:t>
      </w:r>
      <w:r w:rsidRPr="005320EE">
        <w:rPr>
          <w:rFonts w:eastAsia="Times New Roman"/>
          <w:noProof/>
          <w:color w:val="333333"/>
        </w:rPr>
        <w:t>2</w:t>
      </w:r>
      <w:r w:rsidRPr="0DD405BA">
        <w:rPr>
          <w:rFonts w:eastAsia="Times New Roman"/>
          <w:noProof/>
          <w:color w:val="333333"/>
        </w:rPr>
        <w:t xml:space="preserve"> Directive and further streamline the obligations imposed on businesses</w:t>
      </w:r>
      <w:r w:rsidR="5DAE8BE1" w:rsidRPr="0DD405BA">
        <w:rPr>
          <w:rFonts w:eastAsia="Times New Roman"/>
          <w:noProof/>
          <w:color w:val="333333"/>
        </w:rPr>
        <w:t>, therefore</w:t>
      </w:r>
      <w:r w:rsidRPr="0DD405BA">
        <w:rPr>
          <w:rFonts w:eastAsia="Times New Roman"/>
          <w:noProof/>
          <w:color w:val="333333"/>
        </w:rPr>
        <w:t xml:space="preserve"> ensure a higher level of harmonisation </w:t>
      </w:r>
      <w:r w:rsidR="01A83B60" w:rsidRPr="0DD405BA">
        <w:rPr>
          <w:rFonts w:eastAsia="Times New Roman"/>
          <w:noProof/>
          <w:color w:val="333333"/>
        </w:rPr>
        <w:t>across the Union</w:t>
      </w:r>
      <w:r w:rsidRPr="0DD405BA">
        <w:rPr>
          <w:rFonts w:eastAsia="Times New Roman"/>
          <w:noProof/>
          <w:color w:val="333333"/>
        </w:rPr>
        <w:t xml:space="preserve">. </w:t>
      </w:r>
      <w:r w:rsidR="6C04EF67" w:rsidRPr="55FA8835">
        <w:rPr>
          <w:rFonts w:eastAsia="Times New Roman"/>
          <w:noProof/>
          <w:color w:val="333333"/>
        </w:rPr>
        <w:t xml:space="preserve">The choice of legal </w:t>
      </w:r>
      <w:r w:rsidR="6C04EF67" w:rsidRPr="78D6FEA8">
        <w:rPr>
          <w:rFonts w:eastAsia="Times New Roman"/>
          <w:noProof/>
          <w:color w:val="333333"/>
        </w:rPr>
        <w:t xml:space="preserve">instrument </w:t>
      </w:r>
      <w:r w:rsidR="6C04EF67" w:rsidRPr="0D0DAE75">
        <w:rPr>
          <w:rFonts w:eastAsia="Times New Roman"/>
          <w:noProof/>
          <w:color w:val="333333"/>
        </w:rPr>
        <w:t xml:space="preserve">for </w:t>
      </w:r>
      <w:r w:rsidR="6C04EF67" w:rsidRPr="0F536A60">
        <w:rPr>
          <w:rFonts w:eastAsia="Times New Roman"/>
          <w:noProof/>
          <w:color w:val="333333"/>
        </w:rPr>
        <w:t xml:space="preserve">this proposal is </w:t>
      </w:r>
      <w:r w:rsidR="6C04EF67" w:rsidRPr="0D0DAE75">
        <w:rPr>
          <w:rFonts w:eastAsia="Times New Roman"/>
          <w:noProof/>
          <w:color w:val="333333"/>
        </w:rPr>
        <w:t>consistent</w:t>
      </w:r>
      <w:r w:rsidR="6C04EF67" w:rsidRPr="78D6FEA8">
        <w:rPr>
          <w:rFonts w:eastAsia="Times New Roman"/>
          <w:noProof/>
          <w:color w:val="333333"/>
        </w:rPr>
        <w:t xml:space="preserve"> with </w:t>
      </w:r>
      <w:r w:rsidR="6C04EF67" w:rsidRPr="187FEC00">
        <w:rPr>
          <w:rFonts w:eastAsia="Times New Roman"/>
          <w:noProof/>
          <w:color w:val="333333"/>
        </w:rPr>
        <w:t xml:space="preserve">that of the legal text it </w:t>
      </w:r>
      <w:r w:rsidR="6C04EF67" w:rsidRPr="69B49953">
        <w:rPr>
          <w:rFonts w:eastAsia="Times New Roman"/>
          <w:noProof/>
          <w:color w:val="333333"/>
        </w:rPr>
        <w:t xml:space="preserve">is </w:t>
      </w:r>
      <w:r w:rsidR="6C04EF67" w:rsidRPr="474F3C4C">
        <w:rPr>
          <w:rFonts w:eastAsia="Times New Roman"/>
          <w:noProof/>
          <w:color w:val="333333"/>
        </w:rPr>
        <w:t>amending, i</w:t>
      </w:r>
      <w:r w:rsidR="6C04EF67" w:rsidRPr="7B1607C2">
        <w:rPr>
          <w:rFonts w:eastAsia="Times New Roman"/>
          <w:noProof/>
          <w:color w:val="333333"/>
        </w:rPr>
        <w:t>.e.</w:t>
      </w:r>
      <w:r w:rsidR="6C04EF67" w:rsidRPr="5B8FE0B8">
        <w:rPr>
          <w:rFonts w:eastAsia="Times New Roman"/>
          <w:noProof/>
          <w:color w:val="333333"/>
        </w:rPr>
        <w:t xml:space="preserve"> </w:t>
      </w:r>
      <w:r w:rsidR="6C04EF67" w:rsidRPr="0B1AF22E">
        <w:rPr>
          <w:rFonts w:eastAsia="Times New Roman"/>
          <w:noProof/>
          <w:color w:val="333333"/>
        </w:rPr>
        <w:t>the NIS</w:t>
      </w:r>
      <w:r w:rsidR="00F61CDF">
        <w:rPr>
          <w:rFonts w:eastAsia="Times New Roman"/>
          <w:noProof/>
          <w:color w:val="333333"/>
        </w:rPr>
        <w:t xml:space="preserve"> </w:t>
      </w:r>
      <w:r w:rsidR="6C04EF67" w:rsidRPr="0B1AF22E">
        <w:rPr>
          <w:rFonts w:eastAsia="Times New Roman"/>
          <w:noProof/>
          <w:color w:val="333333"/>
        </w:rPr>
        <w:t>2 Directive</w:t>
      </w:r>
      <w:r w:rsidR="4E79BF8A" w:rsidRPr="58F8FB18">
        <w:rPr>
          <w:rFonts w:eastAsia="Times New Roman"/>
          <w:noProof/>
          <w:color w:val="333333"/>
        </w:rPr>
        <w:t>.</w:t>
      </w:r>
      <w:r w:rsidR="7D225BEB" w:rsidRPr="0DD405BA">
        <w:rPr>
          <w:rFonts w:eastAsia="Times New Roman"/>
          <w:noProof/>
          <w:color w:val="333333"/>
        </w:rPr>
        <w:t xml:space="preserve"> This </w:t>
      </w:r>
      <w:r w:rsidR="6EE7AB1E" w:rsidRPr="38D5B004">
        <w:rPr>
          <w:rFonts w:eastAsia="Times New Roman"/>
          <w:noProof/>
          <w:color w:val="333333"/>
        </w:rPr>
        <w:t>pr</w:t>
      </w:r>
      <w:r w:rsidR="149182D1" w:rsidRPr="38D5B004">
        <w:rPr>
          <w:rFonts w:eastAsia="Times New Roman"/>
          <w:noProof/>
          <w:color w:val="333333"/>
        </w:rPr>
        <w:t xml:space="preserve">oposal builds on </w:t>
      </w:r>
      <w:r w:rsidR="149182D1" w:rsidRPr="532C08CD">
        <w:rPr>
          <w:rFonts w:eastAsia="Times New Roman"/>
          <w:noProof/>
          <w:color w:val="333333"/>
        </w:rPr>
        <w:t xml:space="preserve">the </w:t>
      </w:r>
      <w:r w:rsidR="341350D3" w:rsidRPr="39ABF00D">
        <w:rPr>
          <w:rFonts w:eastAsia="Times New Roman"/>
          <w:noProof/>
          <w:color w:val="333333"/>
        </w:rPr>
        <w:t>aim</w:t>
      </w:r>
      <w:r w:rsidR="64993DA4" w:rsidRPr="39ABF00D">
        <w:rPr>
          <w:rFonts w:eastAsia="Times New Roman"/>
          <w:noProof/>
          <w:color w:val="333333"/>
        </w:rPr>
        <w:t xml:space="preserve"> of </w:t>
      </w:r>
      <w:r w:rsidR="00AE4C92">
        <w:rPr>
          <w:rFonts w:eastAsia="Times New Roman"/>
          <w:noProof/>
          <w:color w:val="333333"/>
        </w:rPr>
        <w:t xml:space="preserve">the </w:t>
      </w:r>
      <w:r w:rsidR="64993DA4" w:rsidRPr="39ABF00D">
        <w:rPr>
          <w:rFonts w:eastAsia="Times New Roman"/>
          <w:noProof/>
          <w:color w:val="333333"/>
        </w:rPr>
        <w:t>NIS</w:t>
      </w:r>
      <w:r w:rsidR="00AE4C92">
        <w:rPr>
          <w:rFonts w:eastAsia="Times New Roman"/>
          <w:noProof/>
          <w:color w:val="333333"/>
        </w:rPr>
        <w:t xml:space="preserve"> </w:t>
      </w:r>
      <w:r w:rsidR="64993DA4" w:rsidRPr="39ABF00D">
        <w:rPr>
          <w:rFonts w:eastAsia="Times New Roman"/>
          <w:noProof/>
          <w:color w:val="333333"/>
        </w:rPr>
        <w:t>2</w:t>
      </w:r>
      <w:r w:rsidR="00AE4C92">
        <w:rPr>
          <w:rFonts w:eastAsia="Times New Roman"/>
          <w:noProof/>
          <w:color w:val="333333"/>
        </w:rPr>
        <w:t xml:space="preserve"> Directive</w:t>
      </w:r>
      <w:r w:rsidR="64993DA4" w:rsidRPr="39ABF00D">
        <w:rPr>
          <w:rFonts w:eastAsia="Times New Roman"/>
          <w:noProof/>
          <w:color w:val="333333"/>
        </w:rPr>
        <w:t xml:space="preserve"> </w:t>
      </w:r>
      <w:r w:rsidR="564DA305" w:rsidRPr="39ABF00D">
        <w:rPr>
          <w:rFonts w:eastAsia="Times New Roman"/>
          <w:noProof/>
          <w:color w:val="333333"/>
        </w:rPr>
        <w:t>to</w:t>
      </w:r>
      <w:r w:rsidR="564DA305" w:rsidRPr="0DD405BA">
        <w:rPr>
          <w:rFonts w:eastAsia="Times New Roman"/>
          <w:noProof/>
          <w:color w:val="333333"/>
        </w:rPr>
        <w:t xml:space="preserve"> provide Member States</w:t>
      </w:r>
      <w:r w:rsidRPr="0DD405BA">
        <w:rPr>
          <w:rFonts w:eastAsia="Times New Roman"/>
          <w:noProof/>
          <w:color w:val="333333"/>
        </w:rPr>
        <w:t xml:space="preserve"> with the flexibility needed to take into account national specificities</w:t>
      </w:r>
      <w:r w:rsidR="41FF82DC" w:rsidRPr="2D49217D">
        <w:rPr>
          <w:rFonts w:eastAsia="Times New Roman"/>
          <w:noProof/>
          <w:color w:val="333333"/>
        </w:rPr>
        <w:t>.</w:t>
      </w:r>
    </w:p>
    <w:p w14:paraId="66C3041B" w14:textId="77777777" w:rsidR="00215C8F" w:rsidRPr="00E46D03" w:rsidRDefault="00215C8F" w:rsidP="00215C8F">
      <w:pPr>
        <w:pStyle w:val="ManualHeading1"/>
        <w:rPr>
          <w:noProof/>
        </w:rPr>
      </w:pPr>
      <w:r w:rsidRPr="00550536">
        <w:rPr>
          <w:noProof/>
        </w:rPr>
        <w:t>3.</w:t>
      </w:r>
      <w:r w:rsidRPr="00550536">
        <w:rPr>
          <w:noProof/>
        </w:rPr>
        <w:tab/>
        <w:t xml:space="preserve">RESULTS OF EX-POST EVALUATIONS, STAKEHOLDER </w:t>
      </w:r>
      <w:r w:rsidRPr="00E46D03">
        <w:rPr>
          <w:noProof/>
        </w:rPr>
        <w:t>CONSULTATIONS AND IMPACT ASSESSMENTS</w:t>
      </w:r>
    </w:p>
    <w:p w14:paraId="628174FF" w14:textId="77777777" w:rsidR="00215C8F" w:rsidRPr="00E46D03" w:rsidRDefault="00215C8F" w:rsidP="00215C8F">
      <w:pPr>
        <w:pStyle w:val="ManualHeading2"/>
        <w:rPr>
          <w:rFonts w:eastAsia="Arial Unicode MS"/>
          <w:noProof/>
          <w:u w:color="000000"/>
          <w:bdr w:val="nil"/>
          <w:lang w:val="en-US" w:eastAsia="en-GB"/>
        </w:rPr>
      </w:pPr>
      <w:r w:rsidRPr="00E46D03">
        <w:rPr>
          <w:rFonts w:eastAsia="Arial Unicode MS"/>
          <w:noProof/>
          <w:u w:color="000000"/>
          <w:bdr w:val="nil"/>
          <w:lang w:val="en-US" w:eastAsia="en-GB"/>
        </w:rPr>
        <w:t>•</w:t>
      </w:r>
      <w:r w:rsidRPr="00E46D03">
        <w:rPr>
          <w:rFonts w:eastAsia="Arial Unicode MS"/>
          <w:noProof/>
          <w:u w:color="000000"/>
          <w:bdr w:val="nil"/>
          <w:lang w:val="en-US" w:eastAsia="en-GB"/>
        </w:rPr>
        <w:tab/>
        <w:t>Ex-post evaluations/fitness checks of existing legislation</w:t>
      </w:r>
    </w:p>
    <w:p w14:paraId="1B7237C6" w14:textId="77777777" w:rsidR="002D317B" w:rsidRPr="00E46D03" w:rsidRDefault="123FB6EA" w:rsidP="00215C8F">
      <w:pPr>
        <w:rPr>
          <w:noProof/>
        </w:rPr>
      </w:pPr>
      <w:r w:rsidRPr="00E46D03">
        <w:rPr>
          <w:noProof/>
        </w:rPr>
        <w:t xml:space="preserve">See the explanatory memorandum of the </w:t>
      </w:r>
      <w:r w:rsidR="00E46D03" w:rsidRPr="00E46D03">
        <w:rPr>
          <w:noProof/>
        </w:rPr>
        <w:t>[</w:t>
      </w:r>
      <w:r w:rsidRPr="00DD1D17">
        <w:rPr>
          <w:noProof/>
        </w:rPr>
        <w:t xml:space="preserve">proposal for </w:t>
      </w:r>
      <w:r w:rsidR="00C81B05" w:rsidRPr="00DD1D17">
        <w:rPr>
          <w:noProof/>
        </w:rPr>
        <w:t>the Cybersecurity Act 2</w:t>
      </w:r>
      <w:r w:rsidR="00E46D03" w:rsidRPr="00E46D03">
        <w:rPr>
          <w:noProof/>
        </w:rPr>
        <w:t>]</w:t>
      </w:r>
      <w:r w:rsidR="00C81B05" w:rsidRPr="00E46D03">
        <w:rPr>
          <w:noProof/>
        </w:rPr>
        <w:t>.</w:t>
      </w:r>
    </w:p>
    <w:p w14:paraId="07D2784E" w14:textId="77777777" w:rsidR="00215C8F" w:rsidRPr="00E46D03" w:rsidRDefault="00215C8F" w:rsidP="00215C8F">
      <w:pPr>
        <w:pStyle w:val="ManualHeading2"/>
        <w:rPr>
          <w:rFonts w:eastAsia="Arial Unicode MS"/>
          <w:noProof/>
          <w:u w:color="000000"/>
          <w:bdr w:val="nil"/>
          <w:lang w:val="en-US" w:eastAsia="en-GB"/>
        </w:rPr>
      </w:pPr>
      <w:r w:rsidRPr="00E46D03">
        <w:rPr>
          <w:rFonts w:eastAsia="Arial Unicode MS"/>
          <w:noProof/>
          <w:u w:color="000000"/>
          <w:bdr w:val="nil"/>
          <w:lang w:val="en-US" w:eastAsia="en-GB"/>
        </w:rPr>
        <w:t>•</w:t>
      </w:r>
      <w:r w:rsidRPr="00E46D03">
        <w:rPr>
          <w:rFonts w:eastAsia="Arial Unicode MS"/>
          <w:noProof/>
          <w:u w:color="000000"/>
          <w:bdr w:val="nil"/>
          <w:lang w:val="en-US" w:eastAsia="en-GB"/>
        </w:rPr>
        <w:tab/>
        <w:t>Stakeholder consultations</w:t>
      </w:r>
    </w:p>
    <w:p w14:paraId="305E05DA" w14:textId="77777777" w:rsidR="107FD571" w:rsidRPr="00E46D03" w:rsidRDefault="1878EF39">
      <w:pPr>
        <w:rPr>
          <w:noProof/>
        </w:rPr>
      </w:pPr>
      <w:r w:rsidRPr="00E46D03">
        <w:rPr>
          <w:noProof/>
        </w:rPr>
        <w:t xml:space="preserve">See the explanatory memorandum of the </w:t>
      </w:r>
      <w:r w:rsidR="00E46D03" w:rsidRPr="00E46D03">
        <w:rPr>
          <w:noProof/>
        </w:rPr>
        <w:t>[</w:t>
      </w:r>
      <w:r w:rsidR="00C81B05" w:rsidRPr="00DD1D17">
        <w:rPr>
          <w:noProof/>
        </w:rPr>
        <w:t>proposal for the Cybersecurity Act 2</w:t>
      </w:r>
      <w:r w:rsidR="00E46D03" w:rsidRPr="00DD1D17">
        <w:rPr>
          <w:noProof/>
        </w:rPr>
        <w:t>]</w:t>
      </w:r>
      <w:r w:rsidR="00C81B05" w:rsidRPr="00DD1D17">
        <w:rPr>
          <w:noProof/>
        </w:rPr>
        <w:t xml:space="preserve">. </w:t>
      </w:r>
    </w:p>
    <w:p w14:paraId="22135AE8" w14:textId="77777777" w:rsidR="00215C8F" w:rsidRPr="00E46D03" w:rsidRDefault="00215C8F" w:rsidP="00215C8F">
      <w:pPr>
        <w:pStyle w:val="ManualHeading2"/>
        <w:rPr>
          <w:rFonts w:eastAsia="Arial Unicode MS"/>
          <w:noProof/>
          <w:u w:color="000000"/>
          <w:bdr w:val="nil"/>
          <w:lang w:val="en-US" w:eastAsia="en-GB"/>
        </w:rPr>
      </w:pPr>
      <w:r w:rsidRPr="00E46D03">
        <w:rPr>
          <w:rFonts w:eastAsia="Arial Unicode MS"/>
          <w:noProof/>
          <w:u w:color="000000"/>
          <w:bdr w:val="nil"/>
          <w:lang w:val="en-US" w:eastAsia="en-GB"/>
        </w:rPr>
        <w:t>•</w:t>
      </w:r>
      <w:r w:rsidRPr="00E46D03">
        <w:rPr>
          <w:rFonts w:eastAsia="Arial Unicode MS"/>
          <w:noProof/>
          <w:u w:color="000000"/>
          <w:bdr w:val="nil"/>
          <w:lang w:val="en-US" w:eastAsia="en-GB"/>
        </w:rPr>
        <w:tab/>
        <w:t>Collection and use of expertise</w:t>
      </w:r>
    </w:p>
    <w:p w14:paraId="5B934089" w14:textId="77777777" w:rsidR="107FD571" w:rsidRPr="00E46D03" w:rsidRDefault="7AFB811F">
      <w:pPr>
        <w:rPr>
          <w:noProof/>
        </w:rPr>
      </w:pPr>
      <w:r w:rsidRPr="00E46D03">
        <w:rPr>
          <w:noProof/>
        </w:rPr>
        <w:t xml:space="preserve">See the explanatory memorandum of the </w:t>
      </w:r>
      <w:r w:rsidR="00E46D03" w:rsidRPr="00E46D03">
        <w:rPr>
          <w:noProof/>
        </w:rPr>
        <w:t>[</w:t>
      </w:r>
      <w:r w:rsidR="00C81B05" w:rsidRPr="00DD1D17">
        <w:rPr>
          <w:noProof/>
        </w:rPr>
        <w:t>proposal for the Cybersecurity Act 2</w:t>
      </w:r>
      <w:r w:rsidR="00E46D03" w:rsidRPr="00DD1D17">
        <w:rPr>
          <w:noProof/>
        </w:rPr>
        <w:t>]</w:t>
      </w:r>
      <w:r w:rsidR="00C81B05" w:rsidRPr="00DD1D17">
        <w:rPr>
          <w:noProof/>
        </w:rPr>
        <w:t xml:space="preserve">. </w:t>
      </w:r>
    </w:p>
    <w:p w14:paraId="3B1FA1D5" w14:textId="77777777" w:rsidR="00215C8F" w:rsidRPr="00E46D03" w:rsidRDefault="00215C8F" w:rsidP="00215C8F">
      <w:pPr>
        <w:pStyle w:val="ManualHeading2"/>
        <w:rPr>
          <w:rFonts w:eastAsia="Arial Unicode MS"/>
          <w:noProof/>
          <w:u w:color="000000"/>
          <w:bdr w:val="nil"/>
          <w:lang w:val="en-US" w:eastAsia="en-GB"/>
        </w:rPr>
      </w:pPr>
      <w:r w:rsidRPr="00E46D03">
        <w:rPr>
          <w:rFonts w:eastAsia="Arial Unicode MS"/>
          <w:noProof/>
          <w:u w:color="000000"/>
          <w:bdr w:val="nil"/>
          <w:lang w:val="en-US" w:eastAsia="en-GB"/>
        </w:rPr>
        <w:t>•</w:t>
      </w:r>
      <w:r w:rsidRPr="00E46D03">
        <w:rPr>
          <w:rFonts w:eastAsia="Arial Unicode MS"/>
          <w:noProof/>
          <w:u w:color="000000"/>
          <w:bdr w:val="nil"/>
          <w:lang w:val="en-US" w:eastAsia="en-GB"/>
        </w:rPr>
        <w:tab/>
        <w:t>Impact assessment</w:t>
      </w:r>
    </w:p>
    <w:p w14:paraId="47904EF5" w14:textId="77777777" w:rsidR="002D317B" w:rsidRPr="00E46D03" w:rsidRDefault="00B178FF" w:rsidP="00215C8F">
      <w:pPr>
        <w:pBdr>
          <w:top w:val="nil"/>
          <w:left w:val="nil"/>
          <w:bottom w:val="nil"/>
          <w:right w:val="nil"/>
          <w:between w:val="nil"/>
        </w:pBdr>
        <w:spacing w:before="0" w:after="240"/>
        <w:rPr>
          <w:rFonts w:eastAsia="Times New Roman"/>
          <w:noProof/>
          <w:color w:val="000000" w:themeColor="text1"/>
        </w:rPr>
      </w:pPr>
      <w:r w:rsidRPr="00E46D03">
        <w:rPr>
          <w:rFonts w:eastAsia="Times New Roman"/>
          <w:noProof/>
          <w:color w:val="000000" w:themeColor="text1"/>
        </w:rPr>
        <w:t xml:space="preserve">See the explanatory memorandum as well as the impact assessment report accompanying the </w:t>
      </w:r>
      <w:r w:rsidR="00E46D03" w:rsidRPr="00E46D03">
        <w:rPr>
          <w:rFonts w:eastAsia="Times New Roman"/>
          <w:noProof/>
          <w:color w:val="000000" w:themeColor="text1"/>
        </w:rPr>
        <w:t>[</w:t>
      </w:r>
      <w:r w:rsidR="00C81B05" w:rsidRPr="00DD1D17">
        <w:rPr>
          <w:noProof/>
        </w:rPr>
        <w:t>proposal for the Cybersecurity Act 2</w:t>
      </w:r>
      <w:r w:rsidR="00E46D03" w:rsidRPr="00E46D03">
        <w:rPr>
          <w:noProof/>
        </w:rPr>
        <w:t>]</w:t>
      </w:r>
      <w:r w:rsidRPr="00E46D03">
        <w:rPr>
          <w:rFonts w:eastAsia="Times New Roman"/>
          <w:noProof/>
          <w:color w:val="000000" w:themeColor="text1"/>
        </w:rPr>
        <w:t>.</w:t>
      </w:r>
    </w:p>
    <w:p w14:paraId="0631DA09" w14:textId="77777777" w:rsidR="00215C8F" w:rsidRPr="00E46D03" w:rsidRDefault="00215C8F" w:rsidP="00215C8F">
      <w:pPr>
        <w:pStyle w:val="ManualHeading2"/>
        <w:rPr>
          <w:rFonts w:eastAsia="Arial Unicode MS"/>
          <w:noProof/>
          <w:u w:color="000000"/>
          <w:bdr w:val="nil"/>
          <w:lang w:val="en-US" w:eastAsia="en-GB"/>
        </w:rPr>
      </w:pPr>
      <w:r w:rsidRPr="00E46D03">
        <w:rPr>
          <w:rFonts w:eastAsia="Arial Unicode MS"/>
          <w:noProof/>
          <w:u w:color="000000"/>
          <w:bdr w:val="nil"/>
          <w:lang w:val="en-US" w:eastAsia="en-GB"/>
        </w:rPr>
        <w:t>•</w:t>
      </w:r>
      <w:r w:rsidRPr="00E46D03">
        <w:rPr>
          <w:rFonts w:eastAsia="Arial Unicode MS"/>
          <w:noProof/>
          <w:u w:color="000000"/>
          <w:bdr w:val="nil"/>
          <w:lang w:val="en-US" w:eastAsia="en-GB"/>
        </w:rPr>
        <w:tab/>
        <w:t>Regulatory fitness and simplification</w:t>
      </w:r>
    </w:p>
    <w:p w14:paraId="41863441" w14:textId="77777777" w:rsidR="00636D3E" w:rsidRPr="00E46D03" w:rsidRDefault="002A29B7">
      <w:pPr>
        <w:rPr>
          <w:noProof/>
        </w:rPr>
      </w:pPr>
      <w:r w:rsidRPr="00E46D03">
        <w:rPr>
          <w:noProof/>
        </w:rPr>
        <w:t xml:space="preserve">See the explanatory memorandum of the </w:t>
      </w:r>
      <w:r w:rsidR="00E46D03" w:rsidRPr="00E46D03">
        <w:rPr>
          <w:noProof/>
        </w:rPr>
        <w:t>[</w:t>
      </w:r>
      <w:r w:rsidR="00C81B05" w:rsidRPr="00DD1D17">
        <w:rPr>
          <w:noProof/>
        </w:rPr>
        <w:t>proposal for the Cybersecurity Act 2</w:t>
      </w:r>
      <w:r w:rsidR="00E46D03" w:rsidRPr="00E46D03">
        <w:rPr>
          <w:noProof/>
        </w:rPr>
        <w:t>]</w:t>
      </w:r>
      <w:r w:rsidR="50F21C5F" w:rsidRPr="00E46D03">
        <w:rPr>
          <w:noProof/>
        </w:rPr>
        <w:t>.</w:t>
      </w:r>
    </w:p>
    <w:p w14:paraId="548F892A" w14:textId="77777777" w:rsidR="002D317B" w:rsidRPr="00E46D03" w:rsidRDefault="000809AC">
      <w:pPr>
        <w:pStyle w:val="ManualHeading2"/>
        <w:rPr>
          <w:noProof/>
        </w:rPr>
      </w:pPr>
      <w:r w:rsidRPr="00E46D03">
        <w:rPr>
          <w:noProof/>
        </w:rPr>
        <w:t>•</w:t>
      </w:r>
      <w:r w:rsidRPr="00E46D03">
        <w:rPr>
          <w:noProof/>
        </w:rPr>
        <w:tab/>
        <w:t>Fundamental rights</w:t>
      </w:r>
    </w:p>
    <w:p w14:paraId="218DEB26" w14:textId="77777777" w:rsidR="000809AC" w:rsidRPr="00E46D03" w:rsidRDefault="5341FD8D" w:rsidP="41184DCA">
      <w:pPr>
        <w:pBdr>
          <w:top w:val="nil"/>
          <w:left w:val="nil"/>
          <w:bottom w:val="nil"/>
          <w:right w:val="nil"/>
          <w:between w:val="nil"/>
        </w:pBdr>
        <w:spacing w:before="0" w:after="240"/>
        <w:rPr>
          <w:rFonts w:eastAsia="Times New Roman"/>
          <w:noProof/>
          <w:szCs w:val="24"/>
        </w:rPr>
      </w:pPr>
      <w:r w:rsidRPr="00E46D03">
        <w:rPr>
          <w:rFonts w:eastAsia="Times New Roman"/>
          <w:noProof/>
          <w:color w:val="000000" w:themeColor="text1"/>
          <w:szCs w:val="24"/>
        </w:rPr>
        <w:t xml:space="preserve"> </w:t>
      </w:r>
      <w:r w:rsidR="00E81035" w:rsidRPr="00E46D03">
        <w:rPr>
          <w:rFonts w:eastAsia="Times New Roman"/>
          <w:noProof/>
          <w:color w:val="000000" w:themeColor="text1"/>
          <w:szCs w:val="24"/>
        </w:rPr>
        <w:t xml:space="preserve">See the explanatory memorandum of the </w:t>
      </w:r>
      <w:r w:rsidR="00E46D03" w:rsidRPr="00E46D03">
        <w:rPr>
          <w:rFonts w:eastAsia="Times New Roman"/>
          <w:noProof/>
          <w:color w:val="000000" w:themeColor="text1"/>
          <w:szCs w:val="24"/>
        </w:rPr>
        <w:t>[</w:t>
      </w:r>
      <w:r w:rsidR="00C81B05" w:rsidRPr="00DD1D17">
        <w:rPr>
          <w:noProof/>
        </w:rPr>
        <w:t>proposal for the Cybersecurity Act 2</w:t>
      </w:r>
      <w:r w:rsidR="00E46D03" w:rsidRPr="00E46D03">
        <w:rPr>
          <w:noProof/>
        </w:rPr>
        <w:t>]</w:t>
      </w:r>
      <w:r w:rsidRPr="00E46D03">
        <w:rPr>
          <w:rFonts w:eastAsia="Times New Roman"/>
          <w:noProof/>
          <w:color w:val="000000" w:themeColor="text1"/>
          <w:szCs w:val="24"/>
        </w:rPr>
        <w:t>.</w:t>
      </w:r>
    </w:p>
    <w:p w14:paraId="5C82D0F1" w14:textId="77777777" w:rsidR="00215C8F" w:rsidRPr="00E46D03" w:rsidRDefault="00215C8F" w:rsidP="00215C8F">
      <w:pPr>
        <w:pStyle w:val="ManualHeading1"/>
        <w:rPr>
          <w:noProof/>
        </w:rPr>
      </w:pPr>
      <w:r w:rsidRPr="00E46D03">
        <w:rPr>
          <w:noProof/>
        </w:rPr>
        <w:t>4.</w:t>
      </w:r>
      <w:r w:rsidRPr="00E46D03">
        <w:rPr>
          <w:noProof/>
        </w:rPr>
        <w:tab/>
        <w:t>BUDGETARY IMPLICATIONS</w:t>
      </w:r>
    </w:p>
    <w:p w14:paraId="219699F9" w14:textId="77777777" w:rsidR="63FB44D6" w:rsidRDefault="3E72222D" w:rsidP="00215C8F">
      <w:pPr>
        <w:rPr>
          <w:noProof/>
        </w:rPr>
      </w:pPr>
      <w:r w:rsidRPr="00E46D03">
        <w:rPr>
          <w:noProof/>
        </w:rPr>
        <w:t xml:space="preserve">Please refer to the </w:t>
      </w:r>
      <w:r w:rsidR="004F22E9" w:rsidRPr="00E46D03">
        <w:rPr>
          <w:noProof/>
        </w:rPr>
        <w:t xml:space="preserve">legislative and </w:t>
      </w:r>
      <w:r w:rsidRPr="00E46D03">
        <w:rPr>
          <w:noProof/>
        </w:rPr>
        <w:t xml:space="preserve">financial </w:t>
      </w:r>
      <w:r w:rsidR="004F22E9" w:rsidRPr="00E46D03">
        <w:rPr>
          <w:noProof/>
        </w:rPr>
        <w:t xml:space="preserve">statement </w:t>
      </w:r>
      <w:r w:rsidR="496F4595" w:rsidRPr="00E46D03">
        <w:rPr>
          <w:noProof/>
        </w:rPr>
        <w:t>in</w:t>
      </w:r>
      <w:r w:rsidRPr="00E46D03">
        <w:rPr>
          <w:noProof/>
        </w:rPr>
        <w:t xml:space="preserve"> the </w:t>
      </w:r>
      <w:r w:rsidR="00E46D03" w:rsidRPr="00E46D03">
        <w:rPr>
          <w:noProof/>
        </w:rPr>
        <w:t>[</w:t>
      </w:r>
      <w:r w:rsidR="00C81B05" w:rsidRPr="00DD1D17">
        <w:rPr>
          <w:noProof/>
        </w:rPr>
        <w:t>proposal for the Cybersecurity Act 2</w:t>
      </w:r>
      <w:r w:rsidR="00E46D03" w:rsidRPr="00DD1D17">
        <w:rPr>
          <w:noProof/>
        </w:rPr>
        <w:t>]</w:t>
      </w:r>
      <w:r w:rsidR="00C81B05" w:rsidRPr="00DD1D17">
        <w:rPr>
          <w:noProof/>
        </w:rPr>
        <w:t>.</w:t>
      </w:r>
    </w:p>
    <w:p w14:paraId="299DB8EE" w14:textId="77777777" w:rsidR="002D317B" w:rsidRDefault="002D317B">
      <w:pPr>
        <w:rPr>
          <w:noProof/>
        </w:rPr>
      </w:pPr>
    </w:p>
    <w:p w14:paraId="22CC4347" w14:textId="77777777" w:rsidR="00215C8F" w:rsidRPr="00550536" w:rsidRDefault="00215C8F" w:rsidP="00215C8F">
      <w:pPr>
        <w:pStyle w:val="ManualHeading1"/>
        <w:rPr>
          <w:noProof/>
        </w:rPr>
      </w:pPr>
      <w:r w:rsidRPr="00550536">
        <w:rPr>
          <w:noProof/>
        </w:rPr>
        <w:t>5.</w:t>
      </w:r>
      <w:r w:rsidRPr="00550536">
        <w:rPr>
          <w:noProof/>
        </w:rPr>
        <w:tab/>
        <w:t>OTHER ELEMENTS</w:t>
      </w:r>
    </w:p>
    <w:p w14:paraId="113DB2D8" w14:textId="77777777" w:rsidR="002D317B" w:rsidRPr="00215C8F" w:rsidRDefault="000809AC" w:rsidP="00215C8F">
      <w:pPr>
        <w:pStyle w:val="ManualHeading2"/>
        <w:rPr>
          <w:noProof/>
        </w:rPr>
      </w:pPr>
      <w:r w:rsidRPr="00215C8F">
        <w:rPr>
          <w:noProof/>
        </w:rPr>
        <w:t>•</w:t>
      </w:r>
      <w:r w:rsidRPr="00215C8F">
        <w:rPr>
          <w:noProof/>
        </w:rPr>
        <w:tab/>
        <w:t>Implementation plans and monitoring, evaluation and reporting arrangements</w:t>
      </w:r>
    </w:p>
    <w:p w14:paraId="0702B6DA" w14:textId="77777777" w:rsidR="002D317B" w:rsidRDefault="60B4AAB1" w:rsidP="00215C8F">
      <w:pPr>
        <w:rPr>
          <w:noProof/>
        </w:rPr>
      </w:pPr>
      <w:r w:rsidRPr="00215C8F">
        <w:rPr>
          <w:b/>
          <w:bCs/>
          <w:noProof/>
        </w:rPr>
        <w:t>A</w:t>
      </w:r>
      <w:r w:rsidR="00AD61EA" w:rsidRPr="00215C8F">
        <w:rPr>
          <w:b/>
          <w:bCs/>
          <w:noProof/>
        </w:rPr>
        <w:t>ccording to Article 40 of the NIS</w:t>
      </w:r>
      <w:r w:rsidR="00F61CDF" w:rsidRPr="00215C8F">
        <w:rPr>
          <w:b/>
          <w:bCs/>
          <w:noProof/>
        </w:rPr>
        <w:t xml:space="preserve"> </w:t>
      </w:r>
      <w:r w:rsidR="00AD61EA" w:rsidRPr="00215C8F">
        <w:rPr>
          <w:b/>
          <w:bCs/>
          <w:noProof/>
        </w:rPr>
        <w:t>2 Directive</w:t>
      </w:r>
      <w:r w:rsidR="00AD61EA">
        <w:rPr>
          <w:noProof/>
        </w:rPr>
        <w:t xml:space="preserve">, </w:t>
      </w:r>
      <w:r w:rsidRPr="00F663D9">
        <w:rPr>
          <w:noProof/>
        </w:rPr>
        <w:t xml:space="preserve">the Commission will </w:t>
      </w:r>
      <w:r w:rsidR="00AD61EA" w:rsidRPr="00BA4E06">
        <w:rPr>
          <w:noProof/>
        </w:rPr>
        <w:t>review</w:t>
      </w:r>
      <w:r w:rsidRPr="00F663D9">
        <w:rPr>
          <w:noProof/>
        </w:rPr>
        <w:t xml:space="preserve"> the </w:t>
      </w:r>
      <w:r w:rsidR="00AD61EA" w:rsidRPr="00BA4E06">
        <w:rPr>
          <w:noProof/>
        </w:rPr>
        <w:t xml:space="preserve">functioning </w:t>
      </w:r>
      <w:r w:rsidRPr="00F663D9">
        <w:rPr>
          <w:noProof/>
        </w:rPr>
        <w:t xml:space="preserve">of the Directive and report to the European Parliament and to the Council every </w:t>
      </w:r>
      <w:r w:rsidR="00951F25" w:rsidRPr="00BA4E06">
        <w:rPr>
          <w:noProof/>
        </w:rPr>
        <w:t>36 months</w:t>
      </w:r>
      <w:r w:rsidRPr="00F663D9">
        <w:rPr>
          <w:noProof/>
        </w:rPr>
        <w:t xml:space="preserve">. </w:t>
      </w:r>
    </w:p>
    <w:p w14:paraId="0E2D8D62" w14:textId="77777777" w:rsidR="002D317B" w:rsidRDefault="000809AC">
      <w:pPr>
        <w:pStyle w:val="ManualHeading2"/>
        <w:rPr>
          <w:noProof/>
        </w:rPr>
      </w:pPr>
      <w:r>
        <w:rPr>
          <w:noProof/>
        </w:rPr>
        <w:t>•</w:t>
      </w:r>
      <w:r>
        <w:rPr>
          <w:noProof/>
        </w:rPr>
        <w:tab/>
        <w:t>Detailed explanation of the specific provisions of the proposal</w:t>
      </w:r>
    </w:p>
    <w:p w14:paraId="0495A752" w14:textId="77777777" w:rsidR="000809AC" w:rsidRDefault="00DD8498" w:rsidP="6050FEB0">
      <w:pPr>
        <w:rPr>
          <w:noProof/>
        </w:rPr>
      </w:pPr>
      <w:r w:rsidRPr="00D04CDE">
        <w:rPr>
          <w:rFonts w:eastAsia="Times New Roman"/>
          <w:noProof/>
          <w:color w:val="000000" w:themeColor="text1"/>
        </w:rPr>
        <w:t>The proposal aims to facilitate compliance with cybersecurity obligations and unlock resources to strengthen the operational cybersecurity preparedness of entities in the Union’s critical sectors</w:t>
      </w:r>
      <w:r w:rsidRPr="2BF8600B">
        <w:rPr>
          <w:rFonts w:eastAsia="Times New Roman"/>
          <w:noProof/>
          <w:color w:val="000000" w:themeColor="text1"/>
        </w:rPr>
        <w:t>.</w:t>
      </w:r>
      <w:r w:rsidRPr="2BF8600B">
        <w:rPr>
          <w:rFonts w:eastAsia="Times New Roman"/>
          <w:noProof/>
        </w:rPr>
        <w:t xml:space="preserve"> </w:t>
      </w:r>
    </w:p>
    <w:p w14:paraId="7C40A989" w14:textId="77777777" w:rsidR="79282A04" w:rsidRPr="00B77EC7" w:rsidRDefault="067A9E50" w:rsidP="00F663D9">
      <w:pPr>
        <w:pBdr>
          <w:top w:val="nil"/>
          <w:left w:val="nil"/>
          <w:bottom w:val="nil"/>
          <w:right w:val="nil"/>
          <w:between w:val="nil"/>
        </w:pBdr>
        <w:spacing w:before="0" w:after="240"/>
        <w:rPr>
          <w:rFonts w:eastAsia="Times New Roman"/>
          <w:noProof/>
          <w:color w:val="000000" w:themeColor="text1"/>
        </w:rPr>
      </w:pPr>
      <w:r w:rsidRPr="00D04CDE">
        <w:rPr>
          <w:rFonts w:eastAsia="Times New Roman"/>
          <w:noProof/>
          <w:color w:val="000000" w:themeColor="text1"/>
        </w:rPr>
        <w:t>The proposal introduces targeted amendments to the NIS 2 Directive to simplify specific aspects of the cybersecurity framework, increase legal certainty and harmonise implementation.</w:t>
      </w:r>
      <w:r w:rsidRPr="5F4271A2">
        <w:rPr>
          <w:rFonts w:eastAsia="Times New Roman"/>
          <w:noProof/>
          <w:color w:val="000000" w:themeColor="text1"/>
        </w:rPr>
        <w:t xml:space="preserve"> </w:t>
      </w:r>
    </w:p>
    <w:p w14:paraId="57B4E82D" w14:textId="2C1E2D35" w:rsidR="79282A04" w:rsidRPr="0089663F" w:rsidRDefault="067A9E50" w:rsidP="5F4271A2">
      <w:pPr>
        <w:rPr>
          <w:rFonts w:eastAsia="Times New Roman"/>
          <w:noProof/>
          <w:color w:val="000000" w:themeColor="text1"/>
        </w:rPr>
      </w:pPr>
      <w:r w:rsidRPr="00B77EC7">
        <w:rPr>
          <w:rFonts w:eastAsia="Times New Roman"/>
          <w:noProof/>
          <w:color w:val="000000" w:themeColor="text1"/>
        </w:rPr>
        <w:t xml:space="preserve">To make it easier for entities and suppliers to demonstrate compliance with the NIS 2 Directive, </w:t>
      </w:r>
      <w:r w:rsidR="7742E0F2" w:rsidRPr="00B77EC7">
        <w:rPr>
          <w:rFonts w:eastAsia="Times New Roman"/>
          <w:noProof/>
          <w:color w:val="000000" w:themeColor="text1"/>
        </w:rPr>
        <w:t xml:space="preserve">in line with </w:t>
      </w:r>
      <w:r w:rsidRPr="00B77EC7">
        <w:rPr>
          <w:rFonts w:eastAsia="Times New Roman"/>
          <w:noProof/>
          <w:color w:val="000000" w:themeColor="text1"/>
        </w:rPr>
        <w:t xml:space="preserve">the proposal for </w:t>
      </w:r>
      <w:r w:rsidR="006C03BA" w:rsidRPr="00B77EC7">
        <w:rPr>
          <w:rFonts w:eastAsia="Times New Roman"/>
          <w:noProof/>
          <w:color w:val="000000" w:themeColor="text1"/>
        </w:rPr>
        <w:t xml:space="preserve">a </w:t>
      </w:r>
      <w:r w:rsidR="00CD3DE2">
        <w:rPr>
          <w:rFonts w:eastAsia="Times New Roman"/>
          <w:noProof/>
          <w:color w:val="000000" w:themeColor="text1"/>
        </w:rPr>
        <w:t>r</w:t>
      </w:r>
      <w:r w:rsidRPr="00B77EC7">
        <w:rPr>
          <w:rFonts w:eastAsia="Times New Roman"/>
          <w:noProof/>
          <w:color w:val="000000" w:themeColor="text1"/>
        </w:rPr>
        <w:t xml:space="preserve">egulation </w:t>
      </w:r>
      <w:r w:rsidR="00D37F90" w:rsidRPr="00B77EC7">
        <w:rPr>
          <w:rFonts w:eastAsia="Times New Roman"/>
          <w:noProof/>
          <w:color w:val="000000" w:themeColor="text1"/>
        </w:rPr>
        <w:t xml:space="preserve">that </w:t>
      </w:r>
      <w:r w:rsidRPr="00B77EC7">
        <w:rPr>
          <w:rFonts w:eastAsia="Times New Roman"/>
          <w:noProof/>
          <w:color w:val="000000" w:themeColor="text1"/>
        </w:rPr>
        <w:t>this proposal</w:t>
      </w:r>
      <w:r w:rsidR="00D37F90" w:rsidRPr="00B77EC7">
        <w:rPr>
          <w:rFonts w:eastAsia="Times New Roman"/>
          <w:noProof/>
          <w:color w:val="000000" w:themeColor="text1"/>
        </w:rPr>
        <w:t xml:space="preserve"> </w:t>
      </w:r>
      <w:r w:rsidRPr="00B77EC7">
        <w:rPr>
          <w:rFonts w:eastAsia="Times New Roman"/>
          <w:noProof/>
          <w:color w:val="000000" w:themeColor="text1"/>
        </w:rPr>
        <w:t>accompanie</w:t>
      </w:r>
      <w:r w:rsidR="00D37F90" w:rsidRPr="00B77EC7">
        <w:rPr>
          <w:rFonts w:eastAsia="Times New Roman"/>
          <w:noProof/>
          <w:color w:val="000000" w:themeColor="text1"/>
        </w:rPr>
        <w:t>s</w:t>
      </w:r>
      <w:r w:rsidR="6A8B4C70" w:rsidRPr="00B77EC7">
        <w:rPr>
          <w:rFonts w:eastAsia="Times New Roman"/>
          <w:noProof/>
          <w:color w:val="000000" w:themeColor="text1"/>
        </w:rPr>
        <w:t>,</w:t>
      </w:r>
      <w:r w:rsidRPr="00B77EC7">
        <w:rPr>
          <w:rFonts w:eastAsia="Times New Roman"/>
          <w:noProof/>
          <w:color w:val="000000" w:themeColor="text1"/>
        </w:rPr>
        <w:t xml:space="preserve"> entities </w:t>
      </w:r>
      <w:r w:rsidR="0D2CB797" w:rsidRPr="00B77EC7">
        <w:rPr>
          <w:rFonts w:eastAsia="Times New Roman"/>
          <w:noProof/>
          <w:color w:val="000000" w:themeColor="text1"/>
        </w:rPr>
        <w:t xml:space="preserve">regulated by </w:t>
      </w:r>
      <w:r w:rsidR="00D37F90" w:rsidRPr="00B77EC7">
        <w:rPr>
          <w:rFonts w:eastAsia="Times New Roman"/>
          <w:noProof/>
          <w:color w:val="000000" w:themeColor="text1"/>
        </w:rPr>
        <w:t xml:space="preserve">the </w:t>
      </w:r>
      <w:r w:rsidR="0D2CB797" w:rsidRPr="00B77EC7">
        <w:rPr>
          <w:rFonts w:eastAsia="Times New Roman"/>
          <w:noProof/>
          <w:color w:val="000000" w:themeColor="text1"/>
        </w:rPr>
        <w:t>NIS</w:t>
      </w:r>
      <w:r w:rsidR="00D37F90" w:rsidRPr="00B77EC7">
        <w:rPr>
          <w:rFonts w:eastAsia="Times New Roman"/>
          <w:noProof/>
          <w:color w:val="000000" w:themeColor="text1"/>
        </w:rPr>
        <w:t xml:space="preserve"> </w:t>
      </w:r>
      <w:r w:rsidR="0D2CB797" w:rsidRPr="00B77EC7">
        <w:rPr>
          <w:rFonts w:eastAsia="Times New Roman"/>
          <w:noProof/>
          <w:color w:val="000000" w:themeColor="text1"/>
        </w:rPr>
        <w:t xml:space="preserve">2 </w:t>
      </w:r>
      <w:r w:rsidR="00D37F90" w:rsidRPr="00B77EC7">
        <w:rPr>
          <w:rFonts w:eastAsia="Times New Roman"/>
          <w:noProof/>
          <w:color w:val="000000" w:themeColor="text1"/>
        </w:rPr>
        <w:t>Directive</w:t>
      </w:r>
      <w:r w:rsidR="0D2CB797" w:rsidRPr="00B77EC7">
        <w:rPr>
          <w:rFonts w:eastAsia="Times New Roman"/>
          <w:noProof/>
          <w:color w:val="000000" w:themeColor="text1"/>
        </w:rPr>
        <w:t xml:space="preserve"> </w:t>
      </w:r>
      <w:r w:rsidR="48E9CDC4" w:rsidRPr="00B77EC7">
        <w:rPr>
          <w:rFonts w:eastAsia="Times New Roman"/>
          <w:noProof/>
          <w:color w:val="000000" w:themeColor="text1"/>
        </w:rPr>
        <w:t xml:space="preserve">will be able </w:t>
      </w:r>
      <w:r w:rsidRPr="00B77EC7">
        <w:rPr>
          <w:rFonts w:eastAsia="Times New Roman"/>
          <w:noProof/>
          <w:color w:val="000000" w:themeColor="text1"/>
        </w:rPr>
        <w:t xml:space="preserve">to obtain certificates under organisational cybersecurity certification schemes developed within the ECCF. </w:t>
      </w:r>
    </w:p>
    <w:p w14:paraId="523BE67B" w14:textId="77777777" w:rsidR="79282A04" w:rsidRPr="0089663F" w:rsidRDefault="067A9E50" w:rsidP="5F4271A2">
      <w:pPr>
        <w:rPr>
          <w:rFonts w:eastAsia="Times New Roman"/>
          <w:noProof/>
          <w:color w:val="000000" w:themeColor="text1"/>
        </w:rPr>
      </w:pPr>
      <w:r w:rsidRPr="0089663F">
        <w:rPr>
          <w:rFonts w:eastAsia="Times New Roman"/>
          <w:noProof/>
          <w:color w:val="000000" w:themeColor="text1"/>
        </w:rPr>
        <w:t>To further facilitate compliance with cybersecurity risk-management measures for multi-country entities subject to supervision by competent authorities from several Member States, ENISA is entrusted with a new role supporting Member States in supervising those entities, facilitating mutual assistance and creating a better overview of entities in scope of the NIS 2 Directive.</w:t>
      </w:r>
      <w:r w:rsidRPr="5F4271A2">
        <w:rPr>
          <w:rFonts w:eastAsia="Times New Roman"/>
          <w:noProof/>
          <w:color w:val="000000" w:themeColor="text1"/>
        </w:rPr>
        <w:t xml:space="preserve"> </w:t>
      </w:r>
    </w:p>
    <w:p w14:paraId="5F05D83F" w14:textId="77777777" w:rsidR="79282A04" w:rsidRPr="0089663F" w:rsidRDefault="067A9E50" w:rsidP="5F4271A2">
      <w:pPr>
        <w:rPr>
          <w:rFonts w:eastAsia="Times New Roman"/>
          <w:noProof/>
          <w:color w:val="000000" w:themeColor="text1"/>
        </w:rPr>
      </w:pPr>
      <w:r w:rsidRPr="0089663F">
        <w:rPr>
          <w:rFonts w:eastAsia="Times New Roman"/>
          <w:noProof/>
          <w:color w:val="000000" w:themeColor="text1"/>
        </w:rPr>
        <w:t xml:space="preserve">Moreover, </w:t>
      </w:r>
      <w:r w:rsidR="00B806EB" w:rsidRPr="0089663F">
        <w:rPr>
          <w:rFonts w:eastAsia="Times New Roman"/>
          <w:noProof/>
          <w:color w:val="000000" w:themeColor="text1"/>
        </w:rPr>
        <w:t>the proposal</w:t>
      </w:r>
      <w:r w:rsidRPr="0089663F">
        <w:rPr>
          <w:rFonts w:eastAsia="Times New Roman"/>
          <w:noProof/>
          <w:color w:val="000000" w:themeColor="text1"/>
        </w:rPr>
        <w:t xml:space="preserve"> envisages that the Commission adopt</w:t>
      </w:r>
      <w:r w:rsidR="00B806EB" w:rsidRPr="0089663F">
        <w:rPr>
          <w:rFonts w:eastAsia="Times New Roman"/>
          <w:noProof/>
          <w:color w:val="000000" w:themeColor="text1"/>
        </w:rPr>
        <w:t>s</w:t>
      </w:r>
      <w:r w:rsidRPr="0089663F">
        <w:rPr>
          <w:rFonts w:eastAsia="Times New Roman"/>
          <w:noProof/>
          <w:color w:val="000000" w:themeColor="text1"/>
        </w:rPr>
        <w:t xml:space="preserve"> guidelines on the application of supply chain security requirements that entities in scope of the NIS 2 Directive pass on to their suppliers, in order to ensure legal certainty and prevent the undue passing on of obligations on entities not in scope of the NIS 2 Directive.</w:t>
      </w:r>
      <w:r w:rsidRPr="5F4271A2">
        <w:rPr>
          <w:rFonts w:eastAsia="Times New Roman"/>
          <w:noProof/>
          <w:color w:val="000000" w:themeColor="text1"/>
        </w:rPr>
        <w:t xml:space="preserve"> </w:t>
      </w:r>
    </w:p>
    <w:p w14:paraId="7E45C160" w14:textId="77777777" w:rsidR="79282A04" w:rsidRPr="0089663F" w:rsidRDefault="067A9E50" w:rsidP="00F663D9">
      <w:pPr>
        <w:spacing w:before="0"/>
        <w:rPr>
          <w:rFonts w:eastAsia="Times New Roman"/>
          <w:noProof/>
          <w:color w:val="000000" w:themeColor="text1"/>
        </w:rPr>
      </w:pPr>
      <w:r w:rsidRPr="0089663F">
        <w:rPr>
          <w:rFonts w:eastAsia="Times New Roman"/>
          <w:noProof/>
          <w:color w:val="000000" w:themeColor="text1"/>
        </w:rPr>
        <w:t>Other targeted amendments to the NIS 2 Directive include:</w:t>
      </w:r>
    </w:p>
    <w:p w14:paraId="55186D92" w14:textId="77777777" w:rsidR="79282A04" w:rsidRPr="0089663F" w:rsidRDefault="067A9E50" w:rsidP="00B96BC3">
      <w:pPr>
        <w:pStyle w:val="Bullet0"/>
        <w:numPr>
          <w:ilvl w:val="0"/>
          <w:numId w:val="12"/>
        </w:numPr>
        <w:rPr>
          <w:noProof/>
        </w:rPr>
      </w:pPr>
      <w:r w:rsidRPr="0089663F">
        <w:rPr>
          <w:noProof/>
        </w:rPr>
        <w:t>clarifications of the scope and definitions;</w:t>
      </w:r>
      <w:r w:rsidRPr="5F4271A2">
        <w:rPr>
          <w:noProof/>
        </w:rPr>
        <w:t xml:space="preserve"> </w:t>
      </w:r>
    </w:p>
    <w:p w14:paraId="253050E2" w14:textId="77777777" w:rsidR="79282A04" w:rsidRDefault="067A9E50" w:rsidP="00215C8F">
      <w:pPr>
        <w:pStyle w:val="Bullet0"/>
        <w:rPr>
          <w:noProof/>
        </w:rPr>
      </w:pPr>
      <w:r w:rsidRPr="0089663F">
        <w:rPr>
          <w:noProof/>
        </w:rPr>
        <w:t>removal of micro- and small-sized DNS service providers from the scop</w:t>
      </w:r>
      <w:r w:rsidRPr="5F4271A2">
        <w:rPr>
          <w:noProof/>
        </w:rPr>
        <w:t xml:space="preserve">e; </w:t>
      </w:r>
    </w:p>
    <w:p w14:paraId="499BB595" w14:textId="77777777" w:rsidR="79282A04" w:rsidRPr="0089663F" w:rsidRDefault="067A9E50" w:rsidP="00215C8F">
      <w:pPr>
        <w:pStyle w:val="Bullet0"/>
        <w:rPr>
          <w:noProof/>
        </w:rPr>
      </w:pPr>
      <w:r w:rsidRPr="0089663F">
        <w:rPr>
          <w:noProof/>
        </w:rPr>
        <w:t>introduction of maximum harmonisation for implementing acts under Article 21(5) (specifying cybersecurity risk-management measures)</w:t>
      </w:r>
      <w:r w:rsidR="6B3929AB" w:rsidRPr="0089663F">
        <w:rPr>
          <w:noProof/>
        </w:rPr>
        <w:t xml:space="preserve"> </w:t>
      </w:r>
      <w:r w:rsidRPr="0089663F">
        <w:rPr>
          <w:noProof/>
        </w:rPr>
        <w:t>to facilitate compliance for entities and supervision for authorities;</w:t>
      </w:r>
      <w:r w:rsidRPr="5F4271A2">
        <w:rPr>
          <w:noProof/>
        </w:rPr>
        <w:t xml:space="preserve"> </w:t>
      </w:r>
    </w:p>
    <w:p w14:paraId="7591F9E8" w14:textId="77777777" w:rsidR="79282A04" w:rsidRPr="0089663F" w:rsidRDefault="067A9E50" w:rsidP="00215C8F">
      <w:pPr>
        <w:pStyle w:val="Bullet0"/>
        <w:rPr>
          <w:noProof/>
        </w:rPr>
      </w:pPr>
      <w:r w:rsidRPr="0089663F">
        <w:rPr>
          <w:noProof/>
        </w:rPr>
        <w:t>introduction of a new category of small mid-caps, in line with the 2025 Commission Recommendation on the definition of small mid-cap enterprises</w:t>
      </w:r>
      <w:r w:rsidRPr="0089663F">
        <w:rPr>
          <w:noProof/>
          <w:vertAlign w:val="superscript"/>
        </w:rPr>
        <w:t>18</w:t>
      </w:r>
      <w:r w:rsidRPr="0089663F">
        <w:rPr>
          <w:noProof/>
        </w:rPr>
        <w:t>; entities qualifying as small mid-caps are to be designated as important entities, reducing their compliance burden and the supervision burden on competent authorities;</w:t>
      </w:r>
      <w:r w:rsidRPr="5F4271A2">
        <w:rPr>
          <w:noProof/>
        </w:rPr>
        <w:t xml:space="preserve"> </w:t>
      </w:r>
    </w:p>
    <w:p w14:paraId="7C2D1EE1" w14:textId="77777777" w:rsidR="79282A04" w:rsidRPr="0089663F" w:rsidRDefault="067A9E50" w:rsidP="00215C8F">
      <w:pPr>
        <w:pStyle w:val="Bullet0"/>
        <w:rPr>
          <w:noProof/>
        </w:rPr>
      </w:pPr>
      <w:r w:rsidRPr="0089663F">
        <w:rPr>
          <w:noProof/>
        </w:rPr>
        <w:t>the requirement for Member States to adopt policies for the migration to post-quantum cryptography (PQC) as part of their national cybersecurity strategy; and</w:t>
      </w:r>
      <w:r w:rsidRPr="5F4271A2">
        <w:rPr>
          <w:noProof/>
        </w:rPr>
        <w:t xml:space="preserve"> </w:t>
      </w:r>
    </w:p>
    <w:p w14:paraId="6A06A9A1" w14:textId="77777777" w:rsidR="79282A04" w:rsidRPr="0089663F" w:rsidRDefault="067A9E50" w:rsidP="00215C8F">
      <w:pPr>
        <w:pStyle w:val="Bullet0"/>
        <w:rPr>
          <w:noProof/>
        </w:rPr>
      </w:pPr>
      <w:r w:rsidRPr="0089663F">
        <w:rPr>
          <w:noProof/>
        </w:rPr>
        <w:t>introduction of a harmonised collection of data on ransomware attacks.</w:t>
      </w:r>
    </w:p>
    <w:p w14:paraId="1CA66420" w14:textId="77777777" w:rsidR="002D317B" w:rsidRDefault="002D317B">
      <w:pPr>
        <w:rPr>
          <w:noProof/>
        </w:rPr>
        <w:sectPr w:rsidR="002D317B" w:rsidSect="0092494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365BE2E9" w14:textId="2DAB51AA" w:rsidR="005A682B" w:rsidRDefault="00D75EFE" w:rsidP="00D75EFE">
      <w:pPr>
        <w:pStyle w:val="Rfrenceinterinstitutionnelle"/>
        <w:rPr>
          <w:noProof/>
        </w:rPr>
      </w:pPr>
      <w:r>
        <w:rPr>
          <w:noProof/>
        </w:rPr>
        <w:t>2026/0012 (COD)</w:t>
      </w:r>
    </w:p>
    <w:p w14:paraId="7E1CE2D3" w14:textId="696490C9" w:rsidR="002D317B" w:rsidRDefault="00D75EFE" w:rsidP="00D75EFE">
      <w:pPr>
        <w:pStyle w:val="Statut"/>
        <w:rPr>
          <w:noProof/>
        </w:rPr>
      </w:pPr>
      <w:r w:rsidRPr="00D75EFE">
        <w:rPr>
          <w:noProof/>
        </w:rPr>
        <w:t>Proposal for a</w:t>
      </w:r>
    </w:p>
    <w:p w14:paraId="3536C538" w14:textId="499F88EE" w:rsidR="002D317B" w:rsidRDefault="00D75EFE" w:rsidP="00D75EFE">
      <w:pPr>
        <w:pStyle w:val="Typedudocument"/>
        <w:rPr>
          <w:noProof/>
        </w:rPr>
      </w:pPr>
      <w:r w:rsidRPr="00D75EFE">
        <w:rPr>
          <w:noProof/>
        </w:rPr>
        <w:t>DIRECTIVE OF THE EUROPEAN PARLIAMENT AND OF THE COUNCIL</w:t>
      </w:r>
    </w:p>
    <w:p w14:paraId="1138C5E5" w14:textId="3BC6857C" w:rsidR="005A682B" w:rsidRPr="00340B07" w:rsidRDefault="00D75EFE" w:rsidP="00D75EFE">
      <w:pPr>
        <w:pStyle w:val="Titreobjet"/>
        <w:rPr>
          <w:noProof/>
        </w:rPr>
      </w:pPr>
      <w:bookmarkStart w:id="2" w:name="_Hlk218607395"/>
      <w:r w:rsidRPr="00D75EFE">
        <w:rPr>
          <w:noProof/>
        </w:rPr>
        <w:t>amending Directive (EU) 2022/2555 as regards simplification measures and alignment with the [Proposal for the Cybersecurity Act 2]</w:t>
      </w:r>
    </w:p>
    <w:bookmarkEnd w:id="2"/>
    <w:p w14:paraId="4A0C9FC8" w14:textId="57037B68" w:rsidR="005A682B" w:rsidRDefault="00D75EFE" w:rsidP="00D75EFE">
      <w:pPr>
        <w:pStyle w:val="IntrtEEE"/>
        <w:rPr>
          <w:noProof/>
        </w:rPr>
      </w:pPr>
      <w:r w:rsidRPr="00D75EFE">
        <w:rPr>
          <w:noProof/>
        </w:rPr>
        <w:t>(Text with EEA relevance)</w:t>
      </w:r>
    </w:p>
    <w:p w14:paraId="615AA155" w14:textId="77777777" w:rsidR="002D317B" w:rsidRDefault="000809AC">
      <w:pPr>
        <w:pStyle w:val="Institutionquiagit"/>
        <w:rPr>
          <w:noProof/>
        </w:rPr>
      </w:pPr>
      <w:r>
        <w:rPr>
          <w:noProof/>
        </w:rPr>
        <w:t>THE EUROPEAN PARLIAMENT AND THE COUNCIL OF THE EUROPEAN UNION,</w:t>
      </w:r>
    </w:p>
    <w:p w14:paraId="6CEC265F" w14:textId="77777777" w:rsidR="002D317B" w:rsidRDefault="000809AC">
      <w:pPr>
        <w:rPr>
          <w:noProof/>
        </w:rPr>
      </w:pPr>
      <w:r>
        <w:rPr>
          <w:noProof/>
        </w:rPr>
        <w:t xml:space="preserve">Having regard to the Treaty on the Functioning of the European Union, and in particular Article </w:t>
      </w:r>
      <w:r w:rsidR="007F6011">
        <w:rPr>
          <w:noProof/>
        </w:rPr>
        <w:t>114</w:t>
      </w:r>
      <w:r>
        <w:rPr>
          <w:noProof/>
        </w:rPr>
        <w:t xml:space="preserve"> thereof,</w:t>
      </w:r>
    </w:p>
    <w:p w14:paraId="3A890B50" w14:textId="77777777" w:rsidR="002D317B" w:rsidRDefault="000809AC">
      <w:pPr>
        <w:rPr>
          <w:noProof/>
        </w:rPr>
      </w:pPr>
      <w:r>
        <w:rPr>
          <w:noProof/>
        </w:rPr>
        <w:t>Having regard to the proposal from the European Commission,</w:t>
      </w:r>
    </w:p>
    <w:p w14:paraId="3683DF32" w14:textId="77777777" w:rsidR="002D317B" w:rsidRDefault="000809AC">
      <w:pPr>
        <w:rPr>
          <w:noProof/>
        </w:rPr>
      </w:pPr>
      <w:r>
        <w:rPr>
          <w:noProof/>
        </w:rPr>
        <w:t>After transmission of the draft legislative act to the national Parliaments,</w:t>
      </w:r>
    </w:p>
    <w:p w14:paraId="7C16408D" w14:textId="77777777" w:rsidR="002D317B" w:rsidRPr="005A08BD" w:rsidRDefault="30FFF077" w:rsidP="009E7540">
      <w:pPr>
        <w:rPr>
          <w:noProof/>
          <w:color w:val="00B050"/>
        </w:rPr>
      </w:pPr>
      <w:r>
        <w:rPr>
          <w:noProof/>
        </w:rPr>
        <w:t>Having regard to the opinion of the European Economic and Social Committee</w:t>
      </w:r>
      <w:r w:rsidR="009E7540">
        <w:rPr>
          <w:rStyle w:val="FootnoteReference"/>
          <w:noProof/>
        </w:rPr>
        <w:footnoteReference w:id="14"/>
      </w:r>
      <w:r>
        <w:rPr>
          <w:noProof/>
        </w:rPr>
        <w:t>,</w:t>
      </w:r>
      <w:r w:rsidR="4AFE97DD">
        <w:rPr>
          <w:noProof/>
        </w:rPr>
        <w:t xml:space="preserve"> </w:t>
      </w:r>
    </w:p>
    <w:p w14:paraId="7CB754AF" w14:textId="77777777" w:rsidR="002D317B" w:rsidRDefault="30FFF077">
      <w:pPr>
        <w:rPr>
          <w:noProof/>
        </w:rPr>
      </w:pPr>
      <w:r>
        <w:rPr>
          <w:noProof/>
        </w:rPr>
        <w:t>Having regard to the opinion of the Committee of the Regions</w:t>
      </w:r>
      <w:r w:rsidR="009E7540">
        <w:rPr>
          <w:rStyle w:val="FootnoteReference"/>
          <w:noProof/>
        </w:rPr>
        <w:footnoteReference w:id="15"/>
      </w:r>
      <w:r>
        <w:rPr>
          <w:noProof/>
        </w:rPr>
        <w:t>,</w:t>
      </w:r>
      <w:r w:rsidR="4AFE97DD">
        <w:rPr>
          <w:noProof/>
        </w:rPr>
        <w:t xml:space="preserve"> </w:t>
      </w:r>
    </w:p>
    <w:p w14:paraId="2038BA55" w14:textId="77777777" w:rsidR="002D317B" w:rsidRDefault="000809AC">
      <w:pPr>
        <w:rPr>
          <w:noProof/>
        </w:rPr>
      </w:pPr>
      <w:r>
        <w:rPr>
          <w:noProof/>
        </w:rPr>
        <w:t>Acting in accordance with the ordinary legislative procedure,</w:t>
      </w:r>
    </w:p>
    <w:p w14:paraId="3B5112FD" w14:textId="77777777" w:rsidR="002D317B" w:rsidRDefault="000809AC">
      <w:pPr>
        <w:rPr>
          <w:noProof/>
        </w:rPr>
      </w:pPr>
      <w:r>
        <w:rPr>
          <w:noProof/>
        </w:rPr>
        <w:t>Whereas:</w:t>
      </w:r>
    </w:p>
    <w:p w14:paraId="30525205" w14:textId="067DE03F" w:rsidR="00751036" w:rsidRDefault="005A4C49" w:rsidP="005A4C49">
      <w:pPr>
        <w:pStyle w:val="ManualConsidrant"/>
        <w:rPr>
          <w:noProof/>
        </w:rPr>
      </w:pPr>
      <w:r w:rsidRPr="005A4C49">
        <w:rPr>
          <w:noProof/>
        </w:rPr>
        <w:t>(1)</w:t>
      </w:r>
      <w:r w:rsidRPr="005A4C49">
        <w:rPr>
          <w:noProof/>
        </w:rPr>
        <w:tab/>
      </w:r>
      <w:r w:rsidR="00F66438">
        <w:rPr>
          <w:noProof/>
        </w:rPr>
        <w:t xml:space="preserve">Directive </w:t>
      </w:r>
      <w:r w:rsidR="00F66438" w:rsidRPr="00F66438">
        <w:rPr>
          <w:noProof/>
        </w:rPr>
        <w:t>(EU) 2022/2555</w:t>
      </w:r>
      <w:r w:rsidR="00F66438">
        <w:rPr>
          <w:noProof/>
        </w:rPr>
        <w:t xml:space="preserve"> </w:t>
      </w:r>
      <w:r w:rsidR="009A5367">
        <w:rPr>
          <w:noProof/>
        </w:rPr>
        <w:t>of the European Parliament and of the Council</w:t>
      </w:r>
      <w:r w:rsidR="00032FB7">
        <w:rPr>
          <w:rStyle w:val="FootnoteReference"/>
          <w:noProof/>
        </w:rPr>
        <w:footnoteReference w:id="16"/>
      </w:r>
      <w:r w:rsidR="009A5367">
        <w:rPr>
          <w:noProof/>
        </w:rPr>
        <w:t xml:space="preserve"> </w:t>
      </w:r>
      <w:r w:rsidR="00F66438" w:rsidRPr="00F66438">
        <w:rPr>
          <w:noProof/>
        </w:rPr>
        <w:t>lays down measures that aim to achieve a high common level of cybersecurity across the Union, with a view to improving the functioning of the internal market.</w:t>
      </w:r>
      <w:r w:rsidR="00F66438">
        <w:rPr>
          <w:noProof/>
        </w:rPr>
        <w:t xml:space="preserve"> </w:t>
      </w:r>
      <w:r w:rsidR="00EA268C" w:rsidRPr="00EA268C">
        <w:rPr>
          <w:noProof/>
        </w:rPr>
        <w:t>Since the entry into force of Directive (EU) 2022/2555, progress has been made in increasing the Union’s level of cyber resilience.</w:t>
      </w:r>
      <w:r w:rsidR="00EA268C">
        <w:rPr>
          <w:noProof/>
        </w:rPr>
        <w:t xml:space="preserve"> </w:t>
      </w:r>
      <w:r w:rsidR="001D32DF">
        <w:rPr>
          <w:noProof/>
        </w:rPr>
        <w:t xml:space="preserve">At the same time, </w:t>
      </w:r>
      <w:r w:rsidR="007D3FB4">
        <w:rPr>
          <w:noProof/>
        </w:rPr>
        <w:t>certain challenges have arisen during the</w:t>
      </w:r>
      <w:r w:rsidR="001D32DF">
        <w:rPr>
          <w:noProof/>
        </w:rPr>
        <w:t xml:space="preserve"> </w:t>
      </w:r>
      <w:r w:rsidR="001D32DF" w:rsidRPr="001D32DF">
        <w:rPr>
          <w:noProof/>
        </w:rPr>
        <w:t>implementation by Member States</w:t>
      </w:r>
      <w:r w:rsidR="001D32DF">
        <w:rPr>
          <w:noProof/>
        </w:rPr>
        <w:t xml:space="preserve"> </w:t>
      </w:r>
      <w:r w:rsidR="001D32DF" w:rsidRPr="001D32DF">
        <w:rPr>
          <w:noProof/>
        </w:rPr>
        <w:t xml:space="preserve">including in relation to </w:t>
      </w:r>
      <w:r w:rsidR="002B7023">
        <w:rPr>
          <w:noProof/>
        </w:rPr>
        <w:t xml:space="preserve">the </w:t>
      </w:r>
      <w:r w:rsidR="001D32DF" w:rsidRPr="001D32DF">
        <w:rPr>
          <w:noProof/>
        </w:rPr>
        <w:t>scope</w:t>
      </w:r>
      <w:r w:rsidR="002B7023">
        <w:rPr>
          <w:noProof/>
        </w:rPr>
        <w:t xml:space="preserve"> of </w:t>
      </w:r>
      <w:r w:rsidR="00E97B92">
        <w:rPr>
          <w:noProof/>
        </w:rPr>
        <w:t>the</w:t>
      </w:r>
      <w:r w:rsidR="002B7023">
        <w:rPr>
          <w:noProof/>
        </w:rPr>
        <w:t xml:space="preserve"> Directive</w:t>
      </w:r>
      <w:r w:rsidR="00A10E37">
        <w:rPr>
          <w:noProof/>
        </w:rPr>
        <w:t>,</w:t>
      </w:r>
      <w:r w:rsidR="00DA465A">
        <w:rPr>
          <w:noProof/>
        </w:rPr>
        <w:t xml:space="preserve"> </w:t>
      </w:r>
      <w:r w:rsidR="001D32DF" w:rsidRPr="001D32DF">
        <w:rPr>
          <w:noProof/>
        </w:rPr>
        <w:t xml:space="preserve">the </w:t>
      </w:r>
      <w:r w:rsidR="001D32DF" w:rsidRPr="00E46D03">
        <w:rPr>
          <w:noProof/>
        </w:rPr>
        <w:t xml:space="preserve">implementation of the </w:t>
      </w:r>
      <w:r w:rsidR="00DA465A" w:rsidRPr="00E46D03">
        <w:rPr>
          <w:noProof/>
        </w:rPr>
        <w:t>cybersecurity risk-management</w:t>
      </w:r>
      <w:r w:rsidR="001D32DF" w:rsidRPr="00E46D03">
        <w:rPr>
          <w:noProof/>
        </w:rPr>
        <w:t xml:space="preserve"> and incident reporting obligations</w:t>
      </w:r>
      <w:r w:rsidR="00A10E37" w:rsidRPr="00E46D03">
        <w:rPr>
          <w:noProof/>
        </w:rPr>
        <w:t xml:space="preserve"> </w:t>
      </w:r>
      <w:r w:rsidR="00365D75" w:rsidRPr="00E46D03">
        <w:rPr>
          <w:noProof/>
        </w:rPr>
        <w:t>and the</w:t>
      </w:r>
      <w:r w:rsidR="00A10E37" w:rsidRPr="00E46D03">
        <w:rPr>
          <w:noProof/>
        </w:rPr>
        <w:t xml:space="preserve"> </w:t>
      </w:r>
      <w:r w:rsidR="005B4CB0" w:rsidRPr="00E46D03">
        <w:rPr>
          <w:noProof/>
        </w:rPr>
        <w:t>supervision of cross-border entities</w:t>
      </w:r>
      <w:r w:rsidR="001D32DF" w:rsidRPr="00E46D03">
        <w:rPr>
          <w:noProof/>
        </w:rPr>
        <w:t>.</w:t>
      </w:r>
      <w:r w:rsidR="003E5CB6" w:rsidRPr="00E46D03">
        <w:rPr>
          <w:noProof/>
        </w:rPr>
        <w:t xml:space="preserve"> </w:t>
      </w:r>
      <w:r w:rsidR="000D3915" w:rsidRPr="00E46D03">
        <w:rPr>
          <w:noProof/>
        </w:rPr>
        <w:t>Building on the [</w:t>
      </w:r>
      <w:r w:rsidR="000D3915" w:rsidRPr="00DD1D17">
        <w:rPr>
          <w:noProof/>
        </w:rPr>
        <w:t xml:space="preserve">proposal for </w:t>
      </w:r>
      <w:r w:rsidR="00C81B05" w:rsidRPr="00DD1D17">
        <w:rPr>
          <w:noProof/>
        </w:rPr>
        <w:t xml:space="preserve">the </w:t>
      </w:r>
      <w:r w:rsidR="000D3915" w:rsidRPr="00DD1D17">
        <w:rPr>
          <w:noProof/>
        </w:rPr>
        <w:t xml:space="preserve">Cybersecurity Act </w:t>
      </w:r>
      <w:r w:rsidR="00C81B05" w:rsidRPr="00DD1D17">
        <w:rPr>
          <w:noProof/>
        </w:rPr>
        <w:t>2</w:t>
      </w:r>
      <w:r w:rsidR="000D3915" w:rsidRPr="00E46D03">
        <w:rPr>
          <w:noProof/>
        </w:rPr>
        <w:t xml:space="preserve">], </w:t>
      </w:r>
      <w:r w:rsidR="005B4CB0" w:rsidRPr="00E46D03">
        <w:rPr>
          <w:noProof/>
        </w:rPr>
        <w:t xml:space="preserve">targeted amendments </w:t>
      </w:r>
      <w:r w:rsidR="005128C6" w:rsidRPr="00E46D03">
        <w:rPr>
          <w:noProof/>
        </w:rPr>
        <w:t xml:space="preserve">should be made </w:t>
      </w:r>
      <w:r w:rsidR="005B4CB0" w:rsidRPr="00E46D03">
        <w:rPr>
          <w:noProof/>
        </w:rPr>
        <w:t>to Directive (EU) 2022/2555 to address th</w:t>
      </w:r>
      <w:r w:rsidR="00E91EA6" w:rsidRPr="00E46D03">
        <w:rPr>
          <w:noProof/>
        </w:rPr>
        <w:t>o</w:t>
      </w:r>
      <w:r w:rsidR="005B4CB0" w:rsidRPr="00E46D03">
        <w:rPr>
          <w:noProof/>
        </w:rPr>
        <w:t>se</w:t>
      </w:r>
      <w:r w:rsidR="005B4CB0">
        <w:rPr>
          <w:noProof/>
        </w:rPr>
        <w:t xml:space="preserve"> challenge</w:t>
      </w:r>
      <w:r w:rsidR="006C2D91">
        <w:rPr>
          <w:noProof/>
        </w:rPr>
        <w:t>s</w:t>
      </w:r>
      <w:r w:rsidR="005B4CB0">
        <w:rPr>
          <w:noProof/>
        </w:rPr>
        <w:t xml:space="preserve">, </w:t>
      </w:r>
      <w:r w:rsidR="006C2D91">
        <w:rPr>
          <w:noProof/>
        </w:rPr>
        <w:t xml:space="preserve">by </w:t>
      </w:r>
      <w:r w:rsidR="005B4CB0">
        <w:rPr>
          <w:noProof/>
        </w:rPr>
        <w:t xml:space="preserve">simplifying </w:t>
      </w:r>
      <w:r w:rsidR="006C2D91" w:rsidRPr="006C2D91">
        <w:rPr>
          <w:noProof/>
        </w:rPr>
        <w:t xml:space="preserve">specific aspects </w:t>
      </w:r>
      <w:r w:rsidR="00E91EA6">
        <w:rPr>
          <w:noProof/>
        </w:rPr>
        <w:t>in order to</w:t>
      </w:r>
      <w:r w:rsidR="00E91EA6" w:rsidRPr="006C2D91">
        <w:rPr>
          <w:noProof/>
        </w:rPr>
        <w:t xml:space="preserve"> </w:t>
      </w:r>
      <w:r w:rsidR="006C2D91" w:rsidRPr="006C2D91">
        <w:rPr>
          <w:noProof/>
        </w:rPr>
        <w:t>increase legal certainty and</w:t>
      </w:r>
      <w:r w:rsidR="006D2DFE">
        <w:rPr>
          <w:noProof/>
        </w:rPr>
        <w:t xml:space="preserve"> </w:t>
      </w:r>
      <w:r w:rsidR="00F61B65">
        <w:rPr>
          <w:noProof/>
        </w:rPr>
        <w:t>ensure uniform</w:t>
      </w:r>
      <w:r w:rsidR="005B4CB0">
        <w:rPr>
          <w:noProof/>
        </w:rPr>
        <w:t xml:space="preserve"> implementation of </w:t>
      </w:r>
      <w:r w:rsidR="005B4CB0" w:rsidRPr="005B4CB0">
        <w:rPr>
          <w:noProof/>
        </w:rPr>
        <w:t>Directive (EU) 2022/2555</w:t>
      </w:r>
      <w:r w:rsidR="006C2D91">
        <w:rPr>
          <w:noProof/>
        </w:rPr>
        <w:t xml:space="preserve">. </w:t>
      </w:r>
    </w:p>
    <w:p w14:paraId="6121690C" w14:textId="09F4917B" w:rsidR="00871D16" w:rsidRDefault="005A4C49" w:rsidP="005A4C49">
      <w:pPr>
        <w:pStyle w:val="ManualConsidrant"/>
        <w:rPr>
          <w:noProof/>
        </w:rPr>
      </w:pPr>
      <w:r w:rsidRPr="005A4C49">
        <w:rPr>
          <w:noProof/>
        </w:rPr>
        <w:t>(2)</w:t>
      </w:r>
      <w:r w:rsidRPr="005A4C49">
        <w:rPr>
          <w:noProof/>
        </w:rPr>
        <w:tab/>
      </w:r>
      <w:r w:rsidR="50FE55F1" w:rsidRPr="00E85A74">
        <w:rPr>
          <w:noProof/>
        </w:rPr>
        <w:t xml:space="preserve">To reduce the burden of compliance for entities and of supervision for competent authorities, a new category of small mid-cap </w:t>
      </w:r>
      <w:r w:rsidR="00871D16" w:rsidRPr="004B0796">
        <w:rPr>
          <w:noProof/>
        </w:rPr>
        <w:t xml:space="preserve">enterprises </w:t>
      </w:r>
      <w:r w:rsidR="50FE55F1" w:rsidRPr="00E85A74">
        <w:rPr>
          <w:noProof/>
        </w:rPr>
        <w:t xml:space="preserve">should be introduced </w:t>
      </w:r>
      <w:r w:rsidR="00871D16">
        <w:rPr>
          <w:noProof/>
        </w:rPr>
        <w:t>in</w:t>
      </w:r>
      <w:r w:rsidR="50FE55F1" w:rsidRPr="00E85A74">
        <w:rPr>
          <w:noProof/>
        </w:rPr>
        <w:t xml:space="preserve"> Directive (EU) 2022/2555, in line with Commission Recommendation </w:t>
      </w:r>
      <w:r w:rsidR="00871D16">
        <w:rPr>
          <w:noProof/>
        </w:rPr>
        <w:t>(EU) 2025/1099</w:t>
      </w:r>
      <w:r w:rsidR="009E7540">
        <w:rPr>
          <w:rStyle w:val="FootnoteReference"/>
          <w:noProof/>
        </w:rPr>
        <w:footnoteReference w:id="17"/>
      </w:r>
      <w:r w:rsidR="50FE55F1" w:rsidRPr="00E85A74">
        <w:rPr>
          <w:noProof/>
        </w:rPr>
        <w:t xml:space="preserve">. </w:t>
      </w:r>
      <w:r w:rsidR="00871D16">
        <w:rPr>
          <w:noProof/>
        </w:rPr>
        <w:t>E</w:t>
      </w:r>
      <w:r w:rsidR="00871D16" w:rsidRPr="003F385F">
        <w:rPr>
          <w:noProof/>
        </w:rPr>
        <w:t xml:space="preserve">ntities of a type referred to in Annex I </w:t>
      </w:r>
      <w:r w:rsidR="00E91EA6">
        <w:rPr>
          <w:noProof/>
        </w:rPr>
        <w:t>to</w:t>
      </w:r>
      <w:r w:rsidR="00E91EA6" w:rsidRPr="003F385F">
        <w:rPr>
          <w:noProof/>
        </w:rPr>
        <w:t xml:space="preserve"> </w:t>
      </w:r>
      <w:r w:rsidR="00871D16" w:rsidRPr="003F385F">
        <w:rPr>
          <w:noProof/>
        </w:rPr>
        <w:t>Directive (EU) 2022/2555, which qualify as small mid-cap</w:t>
      </w:r>
      <w:r w:rsidR="00871D16">
        <w:rPr>
          <w:noProof/>
        </w:rPr>
        <w:t xml:space="preserve"> </w:t>
      </w:r>
      <w:r w:rsidR="00871D16" w:rsidRPr="003F385F">
        <w:rPr>
          <w:noProof/>
        </w:rPr>
        <w:t xml:space="preserve">enterprises under that Recommendation, should as a main rule be designated as important </w:t>
      </w:r>
      <w:r w:rsidR="50FE55F1" w:rsidRPr="00E85A74">
        <w:rPr>
          <w:noProof/>
        </w:rPr>
        <w:t>entities</w:t>
      </w:r>
      <w:r w:rsidR="00871D16">
        <w:rPr>
          <w:noProof/>
        </w:rPr>
        <w:t>. Further, to support the Commission</w:t>
      </w:r>
      <w:r w:rsidR="00871D16" w:rsidRPr="009E7540">
        <w:rPr>
          <w:noProof/>
          <w:color w:val="D13438"/>
          <w:bdr w:val="none" w:sz="0" w:space="0" w:color="auto" w:frame="1"/>
          <w:lang w:val="en-IE"/>
        </w:rPr>
        <w:t xml:space="preserve"> </w:t>
      </w:r>
      <w:r w:rsidR="00871D16" w:rsidRPr="009E7540">
        <w:rPr>
          <w:noProof/>
          <w:lang w:val="en-IE"/>
        </w:rPr>
        <w:t>’</w:t>
      </w:r>
      <w:r w:rsidR="00871D16">
        <w:rPr>
          <w:noProof/>
        </w:rPr>
        <w:t xml:space="preserve">s goal </w:t>
      </w:r>
      <w:r w:rsidR="008826CE">
        <w:rPr>
          <w:noProof/>
        </w:rPr>
        <w:t xml:space="preserve">of </w:t>
      </w:r>
      <w:r w:rsidR="00871D16">
        <w:rPr>
          <w:noProof/>
        </w:rPr>
        <w:t>cut</w:t>
      </w:r>
      <w:r w:rsidR="008826CE">
        <w:rPr>
          <w:noProof/>
        </w:rPr>
        <w:t>ting</w:t>
      </w:r>
      <w:r w:rsidR="00871D16">
        <w:rPr>
          <w:noProof/>
        </w:rPr>
        <w:t xml:space="preserve"> administrative costs by 25 % overall and by 35 % for small and medium-sized enterprises, the general size-cap rule set out in Directive (EU) 2022/2555, whereby all entities which qualify as medium-sized enterprises under Article 2 of the Annex to Commission Recommendation 2003/361/EC</w:t>
      </w:r>
      <w:r w:rsidR="00871D16">
        <w:rPr>
          <w:rStyle w:val="FootnoteReference"/>
          <w:noProof/>
        </w:rPr>
        <w:footnoteReference w:id="18"/>
      </w:r>
      <w:r w:rsidR="00871D16">
        <w:rPr>
          <w:noProof/>
        </w:rPr>
        <w:t>, or exceed the ceilings for medium-sized enterprises provided for in paragraph 1 of that Article, fall within the scope of Directive (EU) 2022/2555, should be applied to Domain Name System service providers.</w:t>
      </w:r>
    </w:p>
    <w:p w14:paraId="59C7EC64" w14:textId="36C3A097" w:rsidR="00871D16" w:rsidRDefault="005A4C49" w:rsidP="005A4C49">
      <w:pPr>
        <w:pStyle w:val="ManualConsidrant"/>
        <w:rPr>
          <w:noProof/>
        </w:rPr>
      </w:pPr>
      <w:r w:rsidRPr="005A4C49">
        <w:rPr>
          <w:noProof/>
        </w:rPr>
        <w:t>(3)</w:t>
      </w:r>
      <w:r w:rsidRPr="005A4C49">
        <w:rPr>
          <w:noProof/>
        </w:rPr>
        <w:tab/>
      </w:r>
      <w:r w:rsidR="00CC1C5C">
        <w:rPr>
          <w:noProof/>
        </w:rPr>
        <w:t>During the implementation of Directive (EU) 2022/2555, there have been c</w:t>
      </w:r>
      <w:r w:rsidR="00871D16">
        <w:rPr>
          <w:noProof/>
        </w:rPr>
        <w:t xml:space="preserve">hallenges in the interpretation of provisions regarding </w:t>
      </w:r>
      <w:r w:rsidR="00470363">
        <w:rPr>
          <w:noProof/>
        </w:rPr>
        <w:t xml:space="preserve">its </w:t>
      </w:r>
      <w:r w:rsidR="00871D16">
        <w:rPr>
          <w:noProof/>
        </w:rPr>
        <w:t xml:space="preserve">scope. </w:t>
      </w:r>
      <w:r w:rsidR="00171BCB">
        <w:rPr>
          <w:noProof/>
        </w:rPr>
        <w:t>Therefore</w:t>
      </w:r>
      <w:r w:rsidR="00871D16">
        <w:rPr>
          <w:noProof/>
        </w:rPr>
        <w:t xml:space="preserve">, </w:t>
      </w:r>
      <w:r w:rsidR="006D2DFE">
        <w:rPr>
          <w:noProof/>
        </w:rPr>
        <w:t xml:space="preserve">certain </w:t>
      </w:r>
      <w:r w:rsidR="00871D16">
        <w:rPr>
          <w:noProof/>
        </w:rPr>
        <w:t>scope-related provisions concerning healthcare providers, electricity producers, hydrogen undertakings and entities in the chemical sector should be clarified to ensure legal certainty and reduce compliance burden for both entities and national authorities.</w:t>
      </w:r>
    </w:p>
    <w:p w14:paraId="65C49BE8" w14:textId="51F4C8AE" w:rsidR="00871D16" w:rsidRDefault="005A4C49" w:rsidP="005A4C49">
      <w:pPr>
        <w:pStyle w:val="ManualConsidrant"/>
        <w:rPr>
          <w:noProof/>
        </w:rPr>
      </w:pPr>
      <w:r w:rsidRPr="005A4C49">
        <w:rPr>
          <w:noProof/>
        </w:rPr>
        <w:t>(4)</w:t>
      </w:r>
      <w:r w:rsidRPr="005A4C49">
        <w:rPr>
          <w:noProof/>
        </w:rPr>
        <w:tab/>
      </w:r>
      <w:r w:rsidR="00871D16" w:rsidRPr="00D234DD">
        <w:rPr>
          <w:noProof/>
        </w:rPr>
        <w:t xml:space="preserve">In order to </w:t>
      </w:r>
      <w:r w:rsidR="00871D16">
        <w:rPr>
          <w:noProof/>
        </w:rPr>
        <w:t xml:space="preserve">ensure proportionality as regards </w:t>
      </w:r>
      <w:r w:rsidR="00871D16" w:rsidRPr="00D234DD">
        <w:rPr>
          <w:noProof/>
        </w:rPr>
        <w:t>electricity producers within the meaning of Article 2, point (38), of Directive (EU) 2019/944</w:t>
      </w:r>
      <w:r w:rsidR="00871D16">
        <w:rPr>
          <w:noProof/>
        </w:rPr>
        <w:t xml:space="preserve"> of the European Parliament and of the Council</w:t>
      </w:r>
      <w:r w:rsidR="00871D16">
        <w:rPr>
          <w:rStyle w:val="FootnoteReference"/>
          <w:noProof/>
        </w:rPr>
        <w:footnoteReference w:id="19"/>
      </w:r>
      <w:r w:rsidR="00871D16">
        <w:rPr>
          <w:noProof/>
        </w:rPr>
        <w:t>,</w:t>
      </w:r>
      <w:r w:rsidR="00871D16" w:rsidRPr="00D234DD">
        <w:rPr>
          <w:noProof/>
        </w:rPr>
        <w:t xml:space="preserve"> only those electricity producers with a total generation capacity of more than 1 MW should </w:t>
      </w:r>
      <w:r w:rsidR="00871D16">
        <w:rPr>
          <w:noProof/>
        </w:rPr>
        <w:t>be considered to be essential or important entities under</w:t>
      </w:r>
      <w:r w:rsidR="00871D16" w:rsidRPr="00A3473A">
        <w:rPr>
          <w:noProof/>
        </w:rPr>
        <w:t xml:space="preserve"> Directive (EU) 2022/2555</w:t>
      </w:r>
      <w:r w:rsidR="00871D16">
        <w:rPr>
          <w:noProof/>
        </w:rPr>
        <w:t>, provided that they meet the size-cap rule</w:t>
      </w:r>
      <w:r w:rsidR="00871D16" w:rsidRPr="00D234DD">
        <w:rPr>
          <w:noProof/>
        </w:rPr>
        <w:t xml:space="preserve">. This should encompass electricity producers where a single electricity generation facility exceeds 1 MW as well as electricity producers that operate several generation facilities which together have a generation capacity of more than 1 MW. </w:t>
      </w:r>
      <w:r w:rsidR="00871D16">
        <w:rPr>
          <w:noProof/>
        </w:rPr>
        <w:t>Such an approach</w:t>
      </w:r>
      <w:r w:rsidR="00871D16" w:rsidRPr="00D234DD">
        <w:rPr>
          <w:noProof/>
        </w:rPr>
        <w:t xml:space="preserve"> enables a balance between the need to capture those entities where interference with their network and information system could imply a loss, non-controllability or external control of generation capacity that is on its own of relevance for the security and stability of the electricity grid</w:t>
      </w:r>
      <w:r w:rsidR="00871D16">
        <w:rPr>
          <w:noProof/>
        </w:rPr>
        <w:t>,</w:t>
      </w:r>
      <w:r w:rsidR="00871D16" w:rsidRPr="00D234DD">
        <w:rPr>
          <w:noProof/>
        </w:rPr>
        <w:t xml:space="preserve"> and the need not to place disproportionate administrative burden on undertakings under Directive</w:t>
      </w:r>
      <w:r w:rsidR="00871D16">
        <w:rPr>
          <w:noProof/>
        </w:rPr>
        <w:t xml:space="preserve"> (EU) 2022/2555</w:t>
      </w:r>
      <w:r w:rsidR="00871D16" w:rsidRPr="00D234DD">
        <w:rPr>
          <w:noProof/>
        </w:rPr>
        <w:t>.</w:t>
      </w:r>
    </w:p>
    <w:p w14:paraId="429DFC7B" w14:textId="0534B447" w:rsidR="00871D16" w:rsidRDefault="005A4C49" w:rsidP="005A4C49">
      <w:pPr>
        <w:pStyle w:val="ManualConsidrant"/>
        <w:rPr>
          <w:noProof/>
        </w:rPr>
      </w:pPr>
      <w:r w:rsidRPr="005A4C49">
        <w:rPr>
          <w:noProof/>
        </w:rPr>
        <w:t>(5)</w:t>
      </w:r>
      <w:r w:rsidRPr="005A4C49">
        <w:rPr>
          <w:noProof/>
        </w:rPr>
        <w:tab/>
      </w:r>
      <w:r w:rsidR="00871D16">
        <w:rPr>
          <w:noProof/>
        </w:rPr>
        <w:t xml:space="preserve">European Digital Identity Wallets </w:t>
      </w:r>
      <w:r w:rsidR="00A241EC">
        <w:rPr>
          <w:noProof/>
        </w:rPr>
        <w:t>as provided for</w:t>
      </w:r>
      <w:r w:rsidR="00871D16">
        <w:rPr>
          <w:noProof/>
        </w:rPr>
        <w:t xml:space="preserve"> in Regulation (EU) No 910/2014</w:t>
      </w:r>
      <w:r w:rsidR="000633CC">
        <w:rPr>
          <w:noProof/>
        </w:rPr>
        <w:t xml:space="preserve"> of the European Parliament and of the Council</w:t>
      </w:r>
      <w:r w:rsidR="000633CC">
        <w:rPr>
          <w:rStyle w:val="FootnoteReference"/>
          <w:noProof/>
        </w:rPr>
        <w:footnoteReference w:id="20"/>
      </w:r>
      <w:r w:rsidR="00871D16">
        <w:rPr>
          <w:noProof/>
        </w:rPr>
        <w:t xml:space="preserve"> are an essential component of the Union’s digital infrastructure, enabling secure identification</w:t>
      </w:r>
      <w:r w:rsidR="007D50F7">
        <w:rPr>
          <w:noProof/>
        </w:rPr>
        <w:t xml:space="preserve"> and</w:t>
      </w:r>
      <w:r w:rsidR="00871D16">
        <w:rPr>
          <w:noProof/>
        </w:rPr>
        <w:t xml:space="preserve"> authentication and the exchange of electronic documents, including electronic attestations of attributes. Given their critical role for the public and for the provision of public and private services, any cybersecurity incident affecting th</w:t>
      </w:r>
      <w:r w:rsidR="0009108C">
        <w:rPr>
          <w:noProof/>
        </w:rPr>
        <w:t>os</w:t>
      </w:r>
      <w:r w:rsidR="00871D16">
        <w:rPr>
          <w:noProof/>
        </w:rPr>
        <w:t xml:space="preserve">e Wallets could have a broad impact. To ensure the provision of their services, the providers of European Digital Identity Wallets should </w:t>
      </w:r>
      <w:r w:rsidR="001D2BE2">
        <w:rPr>
          <w:noProof/>
        </w:rPr>
        <w:t xml:space="preserve">be required to </w:t>
      </w:r>
      <w:r w:rsidR="00871D16">
        <w:rPr>
          <w:noProof/>
        </w:rPr>
        <w:t xml:space="preserve">implement appropriate technical, operational and organisational measures to manage cybersecurity risks, prevent and respond to incidents, and cooperate with competent authorities </w:t>
      </w:r>
      <w:r w:rsidR="003A3B05">
        <w:rPr>
          <w:noProof/>
        </w:rPr>
        <w:t xml:space="preserve">in accordance with </w:t>
      </w:r>
      <w:r w:rsidR="00871D16">
        <w:rPr>
          <w:noProof/>
        </w:rPr>
        <w:t xml:space="preserve">Directive (EU) 2022/2555. They should therefore be included among the entities covered by that Directive regardless of their size and be classified as essential entities. European Business Wallets offer similar functionalities and services tailored to the needs of economic operators and public sector bodies, building on the EU Digital Identity Framework, and are equally critical to the security and integrity of the digital economy. Consequently, providers of European Business Wallets </w:t>
      </w:r>
      <w:r w:rsidR="00871D16" w:rsidRPr="0079297B">
        <w:rPr>
          <w:noProof/>
        </w:rPr>
        <w:t xml:space="preserve">established in </w:t>
      </w:r>
      <w:r w:rsidR="00871D16" w:rsidRPr="00E46D03">
        <w:rPr>
          <w:noProof/>
        </w:rPr>
        <w:t xml:space="preserve">accordance with </w:t>
      </w:r>
      <w:r w:rsidR="00871D16" w:rsidRPr="00DD1D17">
        <w:rPr>
          <w:noProof/>
        </w:rPr>
        <w:t>[</w:t>
      </w:r>
      <w:r w:rsidR="00E77EFC" w:rsidRPr="00DD1D17">
        <w:rPr>
          <w:noProof/>
        </w:rPr>
        <w:t xml:space="preserve">Proposal for a </w:t>
      </w:r>
      <w:r w:rsidR="006D2DFE" w:rsidRPr="00DD1D17">
        <w:rPr>
          <w:noProof/>
        </w:rPr>
        <w:t>Regulation on the establishment of European Business Wallets</w:t>
      </w:r>
      <w:r w:rsidR="00A55477" w:rsidRPr="00E46D03">
        <w:rPr>
          <w:noProof/>
        </w:rPr>
        <w:t>]</w:t>
      </w:r>
      <w:r w:rsidR="00E77EFC" w:rsidRPr="00E46D03">
        <w:rPr>
          <w:rStyle w:val="FootnoteReference"/>
          <w:noProof/>
        </w:rPr>
        <w:footnoteReference w:id="21"/>
      </w:r>
      <w:r w:rsidR="00871D16" w:rsidRPr="0079297B">
        <w:rPr>
          <w:noProof/>
        </w:rPr>
        <w:t xml:space="preserve"> </w:t>
      </w:r>
      <w:r w:rsidR="00871D16">
        <w:rPr>
          <w:noProof/>
        </w:rPr>
        <w:t xml:space="preserve">should be subject to the same cybersecurity requirements and obligations as providers of European Digital Identity Wallets, in order to ensure a consistent and high level of security across the entire digital identity ecosystem. </w:t>
      </w:r>
    </w:p>
    <w:p w14:paraId="41EBD56C" w14:textId="0773EC16" w:rsidR="00871D16" w:rsidRDefault="005A4C49" w:rsidP="005A4C49">
      <w:pPr>
        <w:pStyle w:val="ManualConsidrant"/>
        <w:rPr>
          <w:noProof/>
        </w:rPr>
      </w:pPr>
      <w:r w:rsidRPr="005A4C49">
        <w:rPr>
          <w:noProof/>
        </w:rPr>
        <w:t>(6)</w:t>
      </w:r>
      <w:r w:rsidRPr="005A4C49">
        <w:rPr>
          <w:noProof/>
        </w:rPr>
        <w:tab/>
      </w:r>
      <w:r w:rsidR="00871D16">
        <w:rPr>
          <w:noProof/>
        </w:rPr>
        <w:t xml:space="preserve">Submarine data transmission infrastructure includes not only cables but also any infrastructure related to their operation. </w:t>
      </w:r>
      <w:r w:rsidR="005F05E7">
        <w:rPr>
          <w:noProof/>
        </w:rPr>
        <w:t>Such infrastructure</w:t>
      </w:r>
      <w:r w:rsidR="00871D16">
        <w:rPr>
          <w:noProof/>
        </w:rPr>
        <w:t xml:space="preserve"> includes landing stations and the terrestrial parts of the submarine cable connecting to them, such as land routes from beach manhole to landing station, data centre or point of presence. Submarine data </w:t>
      </w:r>
      <w:r w:rsidR="00871D16" w:rsidRPr="00346D12">
        <w:rPr>
          <w:noProof/>
        </w:rPr>
        <w:t>transmission</w:t>
      </w:r>
      <w:r w:rsidR="00871D16" w:rsidDel="00346D12">
        <w:rPr>
          <w:noProof/>
        </w:rPr>
        <w:t xml:space="preserve"> </w:t>
      </w:r>
      <w:r w:rsidR="00871D16">
        <w:rPr>
          <w:noProof/>
        </w:rPr>
        <w:t xml:space="preserve">infrastructure is usually operated by entities already covered by Directive (EU) 2022/2555 including providers of public electronic communications networks and services or cloud computing service providers. </w:t>
      </w:r>
      <w:r w:rsidR="000E60B4">
        <w:rPr>
          <w:noProof/>
        </w:rPr>
        <w:t>However</w:t>
      </w:r>
      <w:r w:rsidR="00871D16" w:rsidRPr="001976BF">
        <w:rPr>
          <w:noProof/>
        </w:rPr>
        <w:t xml:space="preserve">, submarine data </w:t>
      </w:r>
      <w:r w:rsidR="00871D16" w:rsidRPr="00A70CAC">
        <w:rPr>
          <w:noProof/>
        </w:rPr>
        <w:t xml:space="preserve">transmission </w:t>
      </w:r>
      <w:r w:rsidR="00871D16" w:rsidRPr="001976BF">
        <w:rPr>
          <w:noProof/>
        </w:rPr>
        <w:t xml:space="preserve">infrastructure may also be operated by </w:t>
      </w:r>
      <w:r w:rsidR="00871D16">
        <w:rPr>
          <w:noProof/>
        </w:rPr>
        <w:t xml:space="preserve">other types of </w:t>
      </w:r>
      <w:r w:rsidR="00871D16" w:rsidRPr="001976BF">
        <w:rPr>
          <w:noProof/>
        </w:rPr>
        <w:t xml:space="preserve">entities </w:t>
      </w:r>
      <w:r w:rsidR="00871D16">
        <w:rPr>
          <w:noProof/>
        </w:rPr>
        <w:t xml:space="preserve">which </w:t>
      </w:r>
      <w:r w:rsidR="00AE6AFE">
        <w:rPr>
          <w:noProof/>
        </w:rPr>
        <w:t xml:space="preserve">do not </w:t>
      </w:r>
      <w:r w:rsidR="00AF67D3">
        <w:rPr>
          <w:noProof/>
        </w:rPr>
        <w:t xml:space="preserve">currently </w:t>
      </w:r>
      <w:r w:rsidR="00AE6AFE">
        <w:rPr>
          <w:noProof/>
        </w:rPr>
        <w:t xml:space="preserve">fall within the </w:t>
      </w:r>
      <w:r w:rsidR="00871D16" w:rsidRPr="001976BF">
        <w:rPr>
          <w:noProof/>
        </w:rPr>
        <w:t xml:space="preserve">scope of Directive (EU) 2022/2555, such as submarine data </w:t>
      </w:r>
      <w:r w:rsidR="00871D16" w:rsidRPr="00A70CAC">
        <w:rPr>
          <w:noProof/>
        </w:rPr>
        <w:t xml:space="preserve">transmission </w:t>
      </w:r>
      <w:r w:rsidR="00871D16" w:rsidRPr="001976BF">
        <w:rPr>
          <w:noProof/>
        </w:rPr>
        <w:t>infrastructure operated by providers of electronic communications networks which are not public</w:t>
      </w:r>
      <w:r w:rsidR="00871D16">
        <w:rPr>
          <w:noProof/>
        </w:rPr>
        <w:t>,</w:t>
      </w:r>
      <w:r w:rsidR="00871D16" w:rsidRPr="001976BF">
        <w:rPr>
          <w:noProof/>
        </w:rPr>
        <w:t xml:space="preserve"> or by entities that lease the operation of submarine data </w:t>
      </w:r>
      <w:r w:rsidR="00871D16" w:rsidRPr="00A70CAC">
        <w:rPr>
          <w:noProof/>
        </w:rPr>
        <w:t xml:space="preserve">transmission </w:t>
      </w:r>
      <w:r w:rsidR="00871D16" w:rsidRPr="001976BF">
        <w:rPr>
          <w:noProof/>
        </w:rPr>
        <w:t>infrastructure either wholly or partially to providers of public electronic communications networks.</w:t>
      </w:r>
      <w:r w:rsidR="00871D16">
        <w:rPr>
          <w:noProof/>
        </w:rPr>
        <w:t xml:space="preserve"> Considering the increasing risks to submarine data </w:t>
      </w:r>
      <w:r w:rsidR="00871D16" w:rsidRPr="00A70CAC">
        <w:rPr>
          <w:noProof/>
        </w:rPr>
        <w:t xml:space="preserve">transmission </w:t>
      </w:r>
      <w:r w:rsidR="00871D16">
        <w:rPr>
          <w:noProof/>
        </w:rPr>
        <w:t xml:space="preserve">infrastructure and their resulting high criticality, it is necessary to ensure that all types of operators of submarine data </w:t>
      </w:r>
      <w:r w:rsidR="00871D16" w:rsidRPr="00A70CAC">
        <w:rPr>
          <w:noProof/>
        </w:rPr>
        <w:t xml:space="preserve">transmission </w:t>
      </w:r>
      <w:r w:rsidR="00871D16">
        <w:rPr>
          <w:noProof/>
        </w:rPr>
        <w:t>infrastructure are covered by Directive (EU) 2022/2555. Other maritime critical infrastructures, such as submarine electricity cables as well as gas, hydrogen and oil pipelines are typically already covered by Directive (EU) 2022/2555 as they are operated by transmission system operators in the sub-sectors electricity, gas, hydrogen and oil.</w:t>
      </w:r>
    </w:p>
    <w:p w14:paraId="0F6768CE" w14:textId="25033779" w:rsidR="00871D16" w:rsidRPr="005A5A3F" w:rsidRDefault="005A4C49" w:rsidP="005A4C49">
      <w:pPr>
        <w:pStyle w:val="ManualConsidrant"/>
        <w:rPr>
          <w:noProof/>
        </w:rPr>
      </w:pPr>
      <w:r w:rsidRPr="005A4C49">
        <w:rPr>
          <w:noProof/>
        </w:rPr>
        <w:t>(7)</w:t>
      </w:r>
      <w:r w:rsidRPr="005A4C49">
        <w:rPr>
          <w:noProof/>
        </w:rPr>
        <w:tab/>
      </w:r>
      <w:r w:rsidR="00871D16" w:rsidRPr="002927EA">
        <w:rPr>
          <w:noProof/>
          <w:lang w:eastAsia="en-IE"/>
        </w:rPr>
        <w:t>In order to enable entities providing services across several Member States to benefit from more coherent and less burden</w:t>
      </w:r>
      <w:r w:rsidR="00EE1164">
        <w:rPr>
          <w:noProof/>
          <w:lang w:eastAsia="en-IE"/>
        </w:rPr>
        <w:t>some</w:t>
      </w:r>
      <w:r w:rsidR="00871D16" w:rsidRPr="002927EA">
        <w:rPr>
          <w:noProof/>
          <w:lang w:eastAsia="en-IE"/>
        </w:rPr>
        <w:t xml:space="preserve"> supervisory approaches across the internal market</w:t>
      </w:r>
      <w:r w:rsidR="00871D16">
        <w:rPr>
          <w:noProof/>
          <w:lang w:eastAsia="en-IE"/>
        </w:rPr>
        <w:t xml:space="preserve">, </w:t>
      </w:r>
      <w:r w:rsidR="002800F9">
        <w:rPr>
          <w:noProof/>
          <w:lang w:eastAsia="en-IE"/>
        </w:rPr>
        <w:t xml:space="preserve">such entities </w:t>
      </w:r>
      <w:r w:rsidR="00871D16" w:rsidRPr="00DF4342" w:rsidDel="009E09DD">
        <w:rPr>
          <w:noProof/>
          <w:lang w:eastAsia="en-IE"/>
        </w:rPr>
        <w:t xml:space="preserve">should be able to demonstrate compliance with </w:t>
      </w:r>
      <w:r w:rsidR="00A958E3">
        <w:rPr>
          <w:noProof/>
          <w:lang w:eastAsia="en-IE"/>
        </w:rPr>
        <w:t xml:space="preserve">specific </w:t>
      </w:r>
      <w:r w:rsidR="00871D16">
        <w:rPr>
          <w:noProof/>
          <w:lang w:eastAsia="en-IE"/>
        </w:rPr>
        <w:t>or all</w:t>
      </w:r>
      <w:r w:rsidR="00871D16" w:rsidRPr="00DF4342" w:rsidDel="009E09DD">
        <w:rPr>
          <w:noProof/>
          <w:lang w:eastAsia="en-IE"/>
        </w:rPr>
        <w:t xml:space="preserve"> cybersecurity risk-management obligations laid down in Directive</w:t>
      </w:r>
      <w:r w:rsidR="00871D16">
        <w:rPr>
          <w:noProof/>
          <w:lang w:eastAsia="en-IE"/>
        </w:rPr>
        <w:t xml:space="preserve"> (EU) 2022/2555 </w:t>
      </w:r>
      <w:r w:rsidR="00871D16" w:rsidRPr="00A04B93">
        <w:rPr>
          <w:noProof/>
          <w:lang w:eastAsia="en-IE"/>
        </w:rPr>
        <w:t>by obtaining a certificate on the cyber posture under a European cybersecurity certification scheme</w:t>
      </w:r>
      <w:r w:rsidR="00871D16" w:rsidRPr="00DF4342" w:rsidDel="009E09DD">
        <w:rPr>
          <w:noProof/>
          <w:lang w:eastAsia="en-IE"/>
        </w:rPr>
        <w:t xml:space="preserve">. The development of such a </w:t>
      </w:r>
      <w:r w:rsidR="00871D16" w:rsidRPr="00E77EFC" w:rsidDel="009E09DD">
        <w:rPr>
          <w:noProof/>
          <w:lang w:eastAsia="en-IE"/>
        </w:rPr>
        <w:t xml:space="preserve">scheme </w:t>
      </w:r>
      <w:r w:rsidR="00871D16" w:rsidRPr="00E77EFC">
        <w:rPr>
          <w:noProof/>
          <w:lang w:eastAsia="en-IE"/>
        </w:rPr>
        <w:t>will</w:t>
      </w:r>
      <w:r w:rsidR="00871D16" w:rsidRPr="00DF4342">
        <w:rPr>
          <w:noProof/>
          <w:lang w:eastAsia="en-IE"/>
        </w:rPr>
        <w:t xml:space="preserve"> </w:t>
      </w:r>
      <w:r w:rsidR="00871D16" w:rsidRPr="00DF4342" w:rsidDel="009E09DD">
        <w:rPr>
          <w:noProof/>
          <w:lang w:eastAsia="en-IE"/>
        </w:rPr>
        <w:t xml:space="preserve">benefit from the adoption of implementing acts </w:t>
      </w:r>
      <w:r w:rsidR="00871D16">
        <w:rPr>
          <w:noProof/>
          <w:lang w:eastAsia="en-IE"/>
        </w:rPr>
        <w:t xml:space="preserve">on the </w:t>
      </w:r>
      <w:r w:rsidR="00871D16" w:rsidRPr="007F347F">
        <w:rPr>
          <w:noProof/>
          <w:lang w:eastAsia="en-IE"/>
        </w:rPr>
        <w:t>technical and methodological as well as sectoral requirements concerning the cybersecurity risk-management measures</w:t>
      </w:r>
      <w:r w:rsidR="00871D16">
        <w:rPr>
          <w:noProof/>
          <w:lang w:eastAsia="en-IE"/>
        </w:rPr>
        <w:t xml:space="preserve"> </w:t>
      </w:r>
      <w:r w:rsidR="00871D16" w:rsidRPr="00DF4342" w:rsidDel="009E09DD">
        <w:rPr>
          <w:noProof/>
          <w:lang w:eastAsia="en-IE"/>
        </w:rPr>
        <w:t xml:space="preserve">under </w:t>
      </w:r>
      <w:r w:rsidR="00871D16" w:rsidRPr="00CE6E22">
        <w:rPr>
          <w:noProof/>
          <w:lang w:eastAsia="en-IE"/>
        </w:rPr>
        <w:t>Directive (EU) 2022/2555</w:t>
      </w:r>
      <w:r w:rsidR="00B07B98">
        <w:rPr>
          <w:noProof/>
          <w:lang w:eastAsia="en-IE"/>
        </w:rPr>
        <w:t xml:space="preserve"> </w:t>
      </w:r>
      <w:r w:rsidR="00871D16" w:rsidRPr="00DF4342" w:rsidDel="009E09DD">
        <w:rPr>
          <w:noProof/>
          <w:lang w:eastAsia="en-IE"/>
        </w:rPr>
        <w:t>which are based on maximum harmonization</w:t>
      </w:r>
      <w:r w:rsidR="00871D16" w:rsidRPr="00DF4342">
        <w:rPr>
          <w:noProof/>
          <w:lang w:eastAsia="en-IE"/>
        </w:rPr>
        <w:t>.</w:t>
      </w:r>
    </w:p>
    <w:p w14:paraId="0D2C4EC7" w14:textId="5D6C764C" w:rsidR="00871D16" w:rsidRDefault="005A4C49" w:rsidP="005A4C49">
      <w:pPr>
        <w:pStyle w:val="ManualConsidrant"/>
        <w:rPr>
          <w:noProof/>
        </w:rPr>
      </w:pPr>
      <w:r w:rsidRPr="005A4C49">
        <w:rPr>
          <w:noProof/>
        </w:rPr>
        <w:t>(8)</w:t>
      </w:r>
      <w:r w:rsidRPr="005A4C49">
        <w:rPr>
          <w:noProof/>
        </w:rPr>
        <w:tab/>
      </w:r>
      <w:r w:rsidR="00871D16">
        <w:rPr>
          <w:noProof/>
        </w:rPr>
        <w:t>Given the continuously increasing reliance of</w:t>
      </w:r>
      <w:r w:rsidR="00E55540">
        <w:rPr>
          <w:noProof/>
        </w:rPr>
        <w:t xml:space="preserve"> </w:t>
      </w:r>
      <w:r w:rsidR="00871D16">
        <w:rPr>
          <w:noProof/>
        </w:rPr>
        <w:t>our societ</w:t>
      </w:r>
      <w:r w:rsidR="00E55540">
        <w:rPr>
          <w:noProof/>
        </w:rPr>
        <w:t xml:space="preserve">y </w:t>
      </w:r>
      <w:r w:rsidR="00871D16">
        <w:rPr>
          <w:noProof/>
        </w:rPr>
        <w:t xml:space="preserve">and </w:t>
      </w:r>
      <w:r w:rsidR="00E55540">
        <w:rPr>
          <w:noProof/>
        </w:rPr>
        <w:t>the</w:t>
      </w:r>
      <w:r w:rsidR="00871D16">
        <w:rPr>
          <w:noProof/>
        </w:rPr>
        <w:t xml:space="preserve"> economy on digital technologies, it is necessary to take mitigation measures against the quantum threat. The possibility of ‘harvest now - decrypt later attacks’, likely occurring already now, and the future risks induced by quantum attacks on forging signatures, as well as the planned deprecation of certain algorithm implementations and full disallowance of current public-key cryptographic algorithms, </w:t>
      </w:r>
      <w:r w:rsidR="00CF10EB" w:rsidRPr="00340B07">
        <w:rPr>
          <w:noProof/>
        </w:rPr>
        <w:t>increase</w:t>
      </w:r>
      <w:r w:rsidR="00CF10EB" w:rsidRPr="00CF10EB">
        <w:rPr>
          <w:noProof/>
        </w:rPr>
        <w:t xml:space="preserve"> </w:t>
      </w:r>
      <w:r w:rsidR="00871D16" w:rsidRPr="00CF10EB">
        <w:rPr>
          <w:noProof/>
        </w:rPr>
        <w:t>the urgency of</w:t>
      </w:r>
      <w:r w:rsidR="00871D16">
        <w:rPr>
          <w:noProof/>
        </w:rPr>
        <w:t xml:space="preserve"> initiating actions for the migration to post-quantum cryptography (PQC). Therefore, Member States should be required to adopt policies for the migration to PQC as part of their national cybersecurity </w:t>
      </w:r>
      <w:r w:rsidR="00871D16" w:rsidDel="00FD18CA">
        <w:rPr>
          <w:noProof/>
        </w:rPr>
        <w:t>strategy</w:t>
      </w:r>
      <w:r w:rsidR="003802AD">
        <w:rPr>
          <w:noProof/>
        </w:rPr>
        <w:t>.</w:t>
      </w:r>
      <w:r w:rsidR="00871D16">
        <w:rPr>
          <w:noProof/>
        </w:rPr>
        <w:t xml:space="preserve"> Such policies should facilitate the acceleration of strategic planning and the creation of support measures and tools to assess the exposure of cryptographic assets to the risks posed by quantum computers. Further, they should assist in creating a migration plan and in testing the roll-out of PQC in digital applications and networks, while simultaneously fostering the emergence and uptake of </w:t>
      </w:r>
      <w:r w:rsidR="00871D16" w:rsidRPr="00D234DD">
        <w:rPr>
          <w:noProof/>
        </w:rPr>
        <w:t>formally verified</w:t>
      </w:r>
      <w:r w:rsidR="00871D16" w:rsidRPr="000F71D1">
        <w:rPr>
          <w:noProof/>
        </w:rPr>
        <w:t xml:space="preserve"> and </w:t>
      </w:r>
      <w:r w:rsidR="00871D16" w:rsidRPr="00D234DD">
        <w:rPr>
          <w:noProof/>
        </w:rPr>
        <w:t>evaluated</w:t>
      </w:r>
      <w:r w:rsidR="00871D16">
        <w:rPr>
          <w:noProof/>
        </w:rPr>
        <w:t xml:space="preserve"> European PQC solutions adhering to compliance frameworks in products and services</w:t>
      </w:r>
      <w:r w:rsidR="00871D16" w:rsidRPr="00DF4342">
        <w:rPr>
          <w:noProof/>
        </w:rPr>
        <w:t>.</w:t>
      </w:r>
      <w:r w:rsidR="00871D16">
        <w:rPr>
          <w:noProof/>
        </w:rPr>
        <w:t xml:space="preserve"> Th</w:t>
      </w:r>
      <w:r w:rsidR="00A84721">
        <w:rPr>
          <w:noProof/>
        </w:rPr>
        <w:t>os</w:t>
      </w:r>
      <w:r w:rsidR="00871D16">
        <w:rPr>
          <w:noProof/>
        </w:rPr>
        <w:t xml:space="preserve">e policies should align with the milestones set out in Union legal acts and Union policies as well </w:t>
      </w:r>
      <w:r w:rsidR="00A84721">
        <w:rPr>
          <w:noProof/>
        </w:rPr>
        <w:t xml:space="preserve">as </w:t>
      </w:r>
      <w:r w:rsidR="00871D16">
        <w:rPr>
          <w:noProof/>
        </w:rPr>
        <w:t xml:space="preserve">documents adopted by the NIS Cooperation Group, in particular the Coordinated Implementation Roadmap for the transition to PQC, adopted by the NIS Cooperation Group in June 2025, thus achieving the migration to PQC by 2030 for critical use cases and by 2035 for medium and low level use cases. </w:t>
      </w:r>
    </w:p>
    <w:p w14:paraId="77D6D4A6" w14:textId="59884FDB" w:rsidR="00871D16" w:rsidRDefault="005A4C49" w:rsidP="005A4C49">
      <w:pPr>
        <w:pStyle w:val="ManualConsidrant"/>
        <w:rPr>
          <w:noProof/>
        </w:rPr>
      </w:pPr>
      <w:r w:rsidRPr="005A4C49">
        <w:rPr>
          <w:noProof/>
        </w:rPr>
        <w:t>(9)</w:t>
      </w:r>
      <w:r w:rsidRPr="005A4C49">
        <w:rPr>
          <w:noProof/>
        </w:rPr>
        <w:tab/>
      </w:r>
      <w:r w:rsidR="00871D16">
        <w:rPr>
          <w:noProof/>
          <w:lang w:eastAsia="de-DE"/>
        </w:rPr>
        <w:t>Pursuant to Article 21(2), point (d), of Directive (EU) 2022/2555, essential and important entities are to ensure an appropriate level of security in their supply chain</w:t>
      </w:r>
      <w:r w:rsidR="004658DF">
        <w:rPr>
          <w:noProof/>
          <w:lang w:eastAsia="de-DE"/>
        </w:rPr>
        <w:t>. I</w:t>
      </w:r>
      <w:r w:rsidR="00871D16">
        <w:rPr>
          <w:noProof/>
          <w:lang w:eastAsia="de-DE"/>
        </w:rPr>
        <w:t>n practice</w:t>
      </w:r>
      <w:r w:rsidR="004658DF">
        <w:rPr>
          <w:noProof/>
          <w:lang w:eastAsia="de-DE"/>
        </w:rPr>
        <w:t>, that obligation</w:t>
      </w:r>
      <w:r w:rsidR="00871D16">
        <w:rPr>
          <w:noProof/>
          <w:lang w:eastAsia="de-DE"/>
        </w:rPr>
        <w:t xml:space="preserve"> has led many entities to request extensive information from their suppliers through heterogeneous questionnaires, formats, and processes. While such requests aim to support due diligence and risk management, they may also create a significant administrative burden for suppliers to essential and important entities, particularly when similar information must be provided repeatedly in divergent forms. To alleviate </w:t>
      </w:r>
      <w:r w:rsidR="00F067B1">
        <w:rPr>
          <w:noProof/>
          <w:lang w:eastAsia="de-DE"/>
        </w:rPr>
        <w:t>that</w:t>
      </w:r>
      <w:r w:rsidR="00871D16">
        <w:rPr>
          <w:noProof/>
          <w:lang w:eastAsia="de-DE"/>
        </w:rPr>
        <w:t xml:space="preserve"> burden and promote a consistent, proportionate and efficient approach to supply chain security assessments, the Commission should develop guidelines to recommend an appropriate level of detail, structure, and format for such information requests. Such guidelines should facilitate harmonisation, reduce unnecessary duplication, and support both entities and their suppliers in complying effectively with their obligations under Directive (EU) 2022/2555.</w:t>
      </w:r>
    </w:p>
    <w:p w14:paraId="07A8D287" w14:textId="30AC355F" w:rsidR="00871D16" w:rsidRDefault="005A4C49" w:rsidP="005A4C49">
      <w:pPr>
        <w:pStyle w:val="ManualConsidrant"/>
        <w:rPr>
          <w:noProof/>
        </w:rPr>
      </w:pPr>
      <w:r w:rsidRPr="005A4C49">
        <w:rPr>
          <w:noProof/>
        </w:rPr>
        <w:t>(10)</w:t>
      </w:r>
      <w:r w:rsidRPr="005A4C49">
        <w:rPr>
          <w:noProof/>
        </w:rPr>
        <w:tab/>
      </w:r>
      <w:r w:rsidR="00871D16">
        <w:rPr>
          <w:noProof/>
        </w:rPr>
        <w:t xml:space="preserve">Ransomware attacks in which malware encrypts data and systems and demands a ransom payment for release remain one of the prime threats to essential and important entities. Harmonising and improving the collection of data on ransomware attacks from affected essential and important entities </w:t>
      </w:r>
      <w:r w:rsidR="00807E37">
        <w:rPr>
          <w:noProof/>
        </w:rPr>
        <w:t xml:space="preserve">would </w:t>
      </w:r>
      <w:r w:rsidR="00871D16">
        <w:rPr>
          <w:noProof/>
        </w:rPr>
        <w:t xml:space="preserve">provide insights to </w:t>
      </w:r>
      <w:r w:rsidR="00331778" w:rsidRPr="00331778">
        <w:rPr>
          <w:noProof/>
        </w:rPr>
        <w:t>computer security incident response teams (</w:t>
      </w:r>
      <w:r w:rsidR="00871D16">
        <w:rPr>
          <w:noProof/>
        </w:rPr>
        <w:t>CSIRTs</w:t>
      </w:r>
      <w:r w:rsidR="00331778">
        <w:rPr>
          <w:noProof/>
        </w:rPr>
        <w:t>)</w:t>
      </w:r>
      <w:r w:rsidR="00871D16">
        <w:rPr>
          <w:noProof/>
        </w:rPr>
        <w:t xml:space="preserve"> and national authorities</w:t>
      </w:r>
      <w:r w:rsidR="006A50BA">
        <w:rPr>
          <w:noProof/>
        </w:rPr>
        <w:t xml:space="preserve"> enabling</w:t>
      </w:r>
      <w:r w:rsidR="00871D16">
        <w:rPr>
          <w:noProof/>
        </w:rPr>
        <w:t xml:space="preserve"> them to ensure that future ransomware interventions are appropriate and effective, </w:t>
      </w:r>
      <w:r w:rsidR="003E4BEC">
        <w:rPr>
          <w:noProof/>
        </w:rPr>
        <w:t xml:space="preserve">to </w:t>
      </w:r>
      <w:r w:rsidR="00871D16">
        <w:rPr>
          <w:noProof/>
        </w:rPr>
        <w:t xml:space="preserve">support entities in growing their resilience and preventing future attacks, and </w:t>
      </w:r>
      <w:r w:rsidR="003E4BEC">
        <w:rPr>
          <w:noProof/>
        </w:rPr>
        <w:t xml:space="preserve">to </w:t>
      </w:r>
      <w:r w:rsidR="00871D16">
        <w:rPr>
          <w:noProof/>
        </w:rPr>
        <w:t xml:space="preserve">compile the intelligence and evidence that law enforcement agencies need to disrupt and dismantle ransomware gangs and sanction their operatives. </w:t>
      </w:r>
      <w:r w:rsidR="00DA3634">
        <w:rPr>
          <w:noProof/>
        </w:rPr>
        <w:t>Given</w:t>
      </w:r>
      <w:r w:rsidR="00871D16" w:rsidRPr="005C10A7">
        <w:rPr>
          <w:noProof/>
        </w:rPr>
        <w:t xml:space="preserve"> the potentially sensitive nature of </w:t>
      </w:r>
      <w:r w:rsidR="00871D16">
        <w:rPr>
          <w:noProof/>
        </w:rPr>
        <w:t xml:space="preserve">information </w:t>
      </w:r>
      <w:r w:rsidR="00C75711">
        <w:rPr>
          <w:noProof/>
        </w:rPr>
        <w:t>to</w:t>
      </w:r>
      <w:r w:rsidR="00E65781">
        <w:rPr>
          <w:noProof/>
        </w:rPr>
        <w:t xml:space="preserve"> be </w:t>
      </w:r>
      <w:r w:rsidR="00871D16" w:rsidRPr="005C10A7">
        <w:rPr>
          <w:noProof/>
        </w:rPr>
        <w:t>shared</w:t>
      </w:r>
      <w:r w:rsidR="00871D16">
        <w:rPr>
          <w:noProof/>
        </w:rPr>
        <w:t xml:space="preserve"> regarding ransomware attacks, in particular </w:t>
      </w:r>
      <w:r w:rsidR="009A2D0C">
        <w:rPr>
          <w:noProof/>
        </w:rPr>
        <w:t xml:space="preserve">whether </w:t>
      </w:r>
      <w:r w:rsidR="00871D16">
        <w:rPr>
          <w:noProof/>
        </w:rPr>
        <w:t xml:space="preserve">an </w:t>
      </w:r>
      <w:r w:rsidR="00871D16" w:rsidRPr="003A464C">
        <w:rPr>
          <w:noProof/>
        </w:rPr>
        <w:t>entity has paid a ransom</w:t>
      </w:r>
      <w:r w:rsidR="00871D16">
        <w:rPr>
          <w:noProof/>
        </w:rPr>
        <w:t xml:space="preserve">, </w:t>
      </w:r>
      <w:r w:rsidR="009A2D0C">
        <w:rPr>
          <w:noProof/>
        </w:rPr>
        <w:t xml:space="preserve">and if so, </w:t>
      </w:r>
      <w:r w:rsidR="00871D16">
        <w:rPr>
          <w:noProof/>
        </w:rPr>
        <w:t xml:space="preserve">what amount </w:t>
      </w:r>
      <w:r w:rsidR="00871D16" w:rsidRPr="003A464C">
        <w:rPr>
          <w:noProof/>
        </w:rPr>
        <w:t xml:space="preserve">and </w:t>
      </w:r>
      <w:r w:rsidR="00871D16">
        <w:rPr>
          <w:noProof/>
        </w:rPr>
        <w:t>to whom, such information should only be submitted to CSIRTs or, where applicable, competent authorities upon their request. For the purpose of such information exchange, e</w:t>
      </w:r>
      <w:r w:rsidR="00871D16" w:rsidRPr="00F803DA">
        <w:rPr>
          <w:noProof/>
        </w:rPr>
        <w:t xml:space="preserve">ssential and important </w:t>
      </w:r>
      <w:r w:rsidR="00871D16" w:rsidRPr="00F84EA5">
        <w:rPr>
          <w:noProof/>
        </w:rPr>
        <w:t xml:space="preserve">entities are </w:t>
      </w:r>
      <w:r w:rsidR="00871D16" w:rsidRPr="00F803DA">
        <w:rPr>
          <w:noProof/>
        </w:rPr>
        <w:t xml:space="preserve">encouraged to appoint a person that acts as </w:t>
      </w:r>
      <w:r w:rsidR="00871D16">
        <w:rPr>
          <w:noProof/>
        </w:rPr>
        <w:t xml:space="preserve">a </w:t>
      </w:r>
      <w:r w:rsidR="00871D16" w:rsidRPr="00F803DA">
        <w:rPr>
          <w:noProof/>
        </w:rPr>
        <w:t xml:space="preserve">point of contact and </w:t>
      </w:r>
      <w:r w:rsidR="00871D16">
        <w:rPr>
          <w:noProof/>
        </w:rPr>
        <w:t>ensures</w:t>
      </w:r>
      <w:r w:rsidR="00871D16" w:rsidRPr="00F803DA">
        <w:rPr>
          <w:noProof/>
        </w:rPr>
        <w:t xml:space="preserve"> </w:t>
      </w:r>
      <w:r w:rsidR="00871D16" w:rsidRPr="005C2B68">
        <w:rPr>
          <w:noProof/>
        </w:rPr>
        <w:t xml:space="preserve">the confidentiality and trustworthiness </w:t>
      </w:r>
      <w:r w:rsidR="00871D16">
        <w:rPr>
          <w:noProof/>
        </w:rPr>
        <w:t>of the information exchange. In the context of the International Counter Ransomware Initiative, the Union has endorsed a non-binding international policy statement whereby relevant institutions under the authority of the participating national governments should not pay ransomware extortion demands.</w:t>
      </w:r>
    </w:p>
    <w:p w14:paraId="72A14002" w14:textId="0A887990" w:rsidR="00871D16" w:rsidRDefault="005A4C49" w:rsidP="005A4C49">
      <w:pPr>
        <w:pStyle w:val="ManualConsidrant"/>
        <w:rPr>
          <w:noProof/>
        </w:rPr>
      </w:pPr>
      <w:r w:rsidRPr="005A4C49">
        <w:rPr>
          <w:noProof/>
        </w:rPr>
        <w:t>(11)</w:t>
      </w:r>
      <w:r w:rsidRPr="005A4C49">
        <w:rPr>
          <w:noProof/>
        </w:rPr>
        <w:tab/>
      </w:r>
      <w:r w:rsidR="00871D16">
        <w:rPr>
          <w:noProof/>
        </w:rPr>
        <w:t xml:space="preserve">Complying with the obligations to report relevant information about ransomware incidents should not result in the imposition of any additional obligations under Directive (EU) 2022/2555 to which the entity would not have been subject, had it not reported the information. To this effect, within the limits of their national legal order, Member States should address possible risks </w:t>
      </w:r>
      <w:r w:rsidR="00871D16" w:rsidRPr="00F84EA5">
        <w:rPr>
          <w:noProof/>
        </w:rPr>
        <w:t>arising</w:t>
      </w:r>
      <w:r w:rsidR="00871D16">
        <w:rPr>
          <w:noProof/>
        </w:rPr>
        <w:t xml:space="preserve"> from increased liability </w:t>
      </w:r>
      <w:r w:rsidR="00F07ABA">
        <w:rPr>
          <w:noProof/>
        </w:rPr>
        <w:t xml:space="preserve">linked to </w:t>
      </w:r>
      <w:r w:rsidR="00871D16">
        <w:rPr>
          <w:noProof/>
        </w:rPr>
        <w:t xml:space="preserve">the reporting of relevant information about ransomware incidents. </w:t>
      </w:r>
    </w:p>
    <w:p w14:paraId="2F218B0F" w14:textId="528D1C6E" w:rsidR="007A6A86" w:rsidRPr="00E85A74" w:rsidRDefault="005A4C49" w:rsidP="005A4C49">
      <w:pPr>
        <w:pStyle w:val="ManualConsidrant"/>
        <w:rPr>
          <w:noProof/>
        </w:rPr>
      </w:pPr>
      <w:r w:rsidRPr="005A4C49">
        <w:rPr>
          <w:noProof/>
        </w:rPr>
        <w:t>(12)</w:t>
      </w:r>
      <w:r w:rsidRPr="005A4C49">
        <w:rPr>
          <w:noProof/>
        </w:rPr>
        <w:tab/>
      </w:r>
      <w:r w:rsidR="00871D16">
        <w:rPr>
          <w:noProof/>
        </w:rPr>
        <w:t xml:space="preserve">Given the cross-border dimension of many essential and important entities across the internal market and the need to ensure coherence and promote convergence and efficiency in relation to supervisory approaches, ENISA should support Member States in carrying out mutual assistance for essential and important entities which provide services in more than one Member State or which provide services in one or more Member States and have their network and information systems located in one or more other Member States. For that purpose, Member States should submit </w:t>
      </w:r>
      <w:r w:rsidR="006873CB">
        <w:rPr>
          <w:noProof/>
        </w:rPr>
        <w:t>additional information</w:t>
      </w:r>
      <w:r w:rsidR="00871D16">
        <w:rPr>
          <w:noProof/>
        </w:rPr>
        <w:t xml:space="preserve"> to the registry of entities maintained by ENISA. Based on the information contained in the registry of essential and important entities, ENISA should conduct a comprehensive analysis on cross-border cybersecurity risks relating to essential and important entities. The analysis should be based on a methodology developed together with the Commission and the NIS Cooperation Group. That methodology could take into account the degree to which essential and important entities deploy their services on a wide cross-border basis, rely on cross-border services, are exposed to a supply chain concentration risk, can be identified as a source of supply chain concentration risk, are exposed to incidents that could have significant disruptive effects to cross-border services, or rely on network and information systems for the provision of their services that are located across different Member States and outside the Union. Based on the risk analysis report, ENISA should recommend to the relevant competent authorities to set up joint examination teams to support the supervision of entities with a higher degree of risk for the smooth functioning of the internal market in case of incidents and assist the competent authorities in the execution of joint supervisory actions upon their request.</w:t>
      </w:r>
    </w:p>
    <w:p w14:paraId="34E07B84" w14:textId="2FC92494" w:rsidR="000450D1" w:rsidRDefault="005A4C49" w:rsidP="005A4C49">
      <w:pPr>
        <w:pStyle w:val="ManualConsidrant"/>
        <w:rPr>
          <w:noProof/>
        </w:rPr>
      </w:pPr>
      <w:r w:rsidRPr="005A4C49">
        <w:rPr>
          <w:noProof/>
        </w:rPr>
        <w:t>(13)</w:t>
      </w:r>
      <w:r w:rsidRPr="005A4C49">
        <w:rPr>
          <w:noProof/>
        </w:rPr>
        <w:tab/>
      </w:r>
      <w:r w:rsidR="00684CFA" w:rsidRPr="00684CFA">
        <w:rPr>
          <w:noProof/>
        </w:rPr>
        <w:t xml:space="preserve">Since the objective of this Directive, namely to </w:t>
      </w:r>
      <w:r w:rsidR="00E15726">
        <w:rPr>
          <w:noProof/>
        </w:rPr>
        <w:t xml:space="preserve">simplify the implementation of </w:t>
      </w:r>
      <w:r w:rsidR="00AA35CC">
        <w:rPr>
          <w:noProof/>
        </w:rPr>
        <w:t xml:space="preserve">measures </w:t>
      </w:r>
      <w:r w:rsidR="00AE211F">
        <w:rPr>
          <w:noProof/>
        </w:rPr>
        <w:t xml:space="preserve">for </w:t>
      </w:r>
      <w:r w:rsidR="00684CFA" w:rsidRPr="00684CFA">
        <w:rPr>
          <w:noProof/>
        </w:rPr>
        <w:t>a high common level of cybersecurity across the Union, cannot be sufficiently achieved by the Member States but can rather, by reason of the effects of the action,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that objective</w:t>
      </w:r>
      <w:r w:rsidR="000450D1">
        <w:rPr>
          <w:noProof/>
        </w:rPr>
        <w:t>.</w:t>
      </w:r>
    </w:p>
    <w:p w14:paraId="22EF5238" w14:textId="577E9FE6" w:rsidR="002D317B" w:rsidRDefault="005A4C49" w:rsidP="005A4C49">
      <w:pPr>
        <w:pStyle w:val="ManualConsidrant"/>
        <w:rPr>
          <w:noProof/>
        </w:rPr>
      </w:pPr>
      <w:r w:rsidRPr="005A4C49">
        <w:rPr>
          <w:noProof/>
        </w:rPr>
        <w:t>(14)</w:t>
      </w:r>
      <w:r w:rsidRPr="005A4C49">
        <w:rPr>
          <w:noProof/>
        </w:rPr>
        <w:tab/>
      </w:r>
      <w:r w:rsidR="000450D1" w:rsidRPr="00190A0C">
        <w:rPr>
          <w:noProof/>
        </w:rPr>
        <w:t>The European Data Protection Supervisor and the European Data Protection Board were consulted in accordance with Article 42(2) of Regulation (EU) 2018/1725</w:t>
      </w:r>
      <w:r w:rsidR="00FD38F4">
        <w:rPr>
          <w:noProof/>
        </w:rPr>
        <w:t xml:space="preserve"> of the European Parliament and of the Council</w:t>
      </w:r>
      <w:r w:rsidR="0046066A">
        <w:rPr>
          <w:rStyle w:val="FootnoteReference"/>
          <w:noProof/>
        </w:rPr>
        <w:footnoteReference w:id="22"/>
      </w:r>
      <w:r w:rsidR="000450D1" w:rsidRPr="00190A0C">
        <w:rPr>
          <w:noProof/>
        </w:rPr>
        <w:t xml:space="preserve"> and delivered a joint opi</w:t>
      </w:r>
      <w:r w:rsidR="000450D1" w:rsidRPr="00E46D03">
        <w:rPr>
          <w:noProof/>
        </w:rPr>
        <w:t>nion [</w:t>
      </w:r>
      <w:r w:rsidR="000450D1" w:rsidRPr="00DD1D17">
        <w:rPr>
          <w:noProof/>
        </w:rPr>
        <w:t>date</w:t>
      </w:r>
      <w:r w:rsidR="000450D1" w:rsidRPr="00E46D03">
        <w:rPr>
          <w:noProof/>
        </w:rPr>
        <w:t>],</w:t>
      </w:r>
    </w:p>
    <w:p w14:paraId="5231EAF6" w14:textId="77777777" w:rsidR="002D317B" w:rsidRDefault="000809AC">
      <w:pPr>
        <w:pStyle w:val="Formuledadoption"/>
        <w:rPr>
          <w:noProof/>
        </w:rPr>
      </w:pPr>
      <w:r>
        <w:rPr>
          <w:noProof/>
        </w:rPr>
        <w:t>HAVE ADOPTED THIS DIRECTIVE:</w:t>
      </w:r>
    </w:p>
    <w:p w14:paraId="600FB72E" w14:textId="77777777" w:rsidR="007A6A86" w:rsidRPr="00E65904" w:rsidRDefault="000809AC" w:rsidP="007A6A86">
      <w:pPr>
        <w:pStyle w:val="Titrearticle"/>
        <w:rPr>
          <w:b/>
          <w:i w:val="0"/>
          <w:noProof/>
        </w:rPr>
      </w:pPr>
      <w:r>
        <w:rPr>
          <w:noProof/>
        </w:rPr>
        <w:t>Article 1</w:t>
      </w:r>
      <w:r w:rsidR="00E47213">
        <w:rPr>
          <w:noProof/>
        </w:rPr>
        <w:br/>
      </w:r>
      <w:r w:rsidR="007A6A86" w:rsidRPr="00E65904">
        <w:rPr>
          <w:b/>
          <w:i w:val="0"/>
          <w:noProof/>
          <w:lang w:val="en-IE"/>
        </w:rPr>
        <w:t>Amendments to Directive (EU) 2022/2555</w:t>
      </w:r>
    </w:p>
    <w:p w14:paraId="55F35B6B" w14:textId="77777777" w:rsidR="0056357D" w:rsidRPr="0056357D" w:rsidRDefault="0056357D" w:rsidP="0056357D">
      <w:pPr>
        <w:spacing w:line="360" w:lineRule="auto"/>
        <w:rPr>
          <w:noProof/>
        </w:rPr>
      </w:pPr>
      <w:r w:rsidRPr="0056357D">
        <w:rPr>
          <w:noProof/>
        </w:rPr>
        <w:t xml:space="preserve">Directive (EU) 2022/2555 is amended as follows: </w:t>
      </w:r>
    </w:p>
    <w:p w14:paraId="7406ED70" w14:textId="254B5EC0" w:rsidR="0056357D" w:rsidRPr="0056357D" w:rsidRDefault="005A4C49" w:rsidP="005A4C49">
      <w:pPr>
        <w:pStyle w:val="Point0"/>
        <w:rPr>
          <w:noProof/>
        </w:rPr>
      </w:pPr>
      <w:r w:rsidRPr="005A4C49">
        <w:rPr>
          <w:noProof/>
        </w:rPr>
        <w:t>(1)</w:t>
      </w:r>
      <w:r w:rsidRPr="005A4C49">
        <w:rPr>
          <w:noProof/>
        </w:rPr>
        <w:tab/>
      </w:r>
      <w:r w:rsidR="0056357D" w:rsidRPr="0056357D">
        <w:rPr>
          <w:noProof/>
        </w:rPr>
        <w:t>Article 2 is amended as follows:</w:t>
      </w:r>
    </w:p>
    <w:p w14:paraId="48CFCC29" w14:textId="03CE8830" w:rsidR="0056357D" w:rsidRPr="0056357D" w:rsidRDefault="005A4C49" w:rsidP="005A4C49">
      <w:pPr>
        <w:pStyle w:val="Point1"/>
        <w:rPr>
          <w:noProof/>
        </w:rPr>
      </w:pPr>
      <w:r w:rsidRPr="005A4C49">
        <w:rPr>
          <w:noProof/>
        </w:rPr>
        <w:t>(a)</w:t>
      </w:r>
      <w:r w:rsidRPr="005A4C49">
        <w:rPr>
          <w:noProof/>
        </w:rPr>
        <w:tab/>
      </w:r>
      <w:r w:rsidR="00122727">
        <w:rPr>
          <w:noProof/>
        </w:rPr>
        <w:t>i</w:t>
      </w:r>
      <w:r w:rsidR="00810670">
        <w:rPr>
          <w:noProof/>
        </w:rPr>
        <w:t xml:space="preserve">n </w:t>
      </w:r>
      <w:r w:rsidR="0056357D" w:rsidRPr="0056357D">
        <w:rPr>
          <w:noProof/>
        </w:rPr>
        <w:t xml:space="preserve">paragraph 2, point (a) is amended as follows: </w:t>
      </w:r>
    </w:p>
    <w:p w14:paraId="66D81F14" w14:textId="77777777" w:rsidR="0056357D" w:rsidRPr="0056357D" w:rsidRDefault="00E47213" w:rsidP="00E47213">
      <w:pPr>
        <w:pStyle w:val="Text2"/>
        <w:rPr>
          <w:noProof/>
        </w:rPr>
      </w:pPr>
      <w:r>
        <w:rPr>
          <w:noProof/>
        </w:rPr>
        <w:t xml:space="preserve">(i) </w:t>
      </w:r>
      <w:r w:rsidR="0056357D" w:rsidRPr="0056357D">
        <w:rPr>
          <w:noProof/>
        </w:rPr>
        <w:t xml:space="preserve">point (iii) is replaced by the following: </w:t>
      </w:r>
    </w:p>
    <w:p w14:paraId="0C2D2879" w14:textId="77777777" w:rsidR="0056357D" w:rsidRPr="0056357D" w:rsidRDefault="0056357D" w:rsidP="00E47213">
      <w:pPr>
        <w:pStyle w:val="Text3"/>
        <w:rPr>
          <w:noProof/>
        </w:rPr>
      </w:pPr>
      <w:r w:rsidRPr="0056357D">
        <w:rPr>
          <w:noProof/>
        </w:rPr>
        <w:t>‘(iii) ‘top-level domain name registries;’;</w:t>
      </w:r>
    </w:p>
    <w:p w14:paraId="3B765424" w14:textId="77777777" w:rsidR="0056357D" w:rsidRPr="0056357D" w:rsidRDefault="00320C55" w:rsidP="00E47213">
      <w:pPr>
        <w:pStyle w:val="Text2"/>
        <w:rPr>
          <w:noProof/>
        </w:rPr>
      </w:pPr>
      <w:r>
        <w:rPr>
          <w:noProof/>
        </w:rPr>
        <w:tab/>
      </w:r>
      <w:r w:rsidR="0056357D" w:rsidRPr="0056357D">
        <w:rPr>
          <w:noProof/>
        </w:rPr>
        <w:t>(ii) the following points (iv) and (v) are added:</w:t>
      </w:r>
    </w:p>
    <w:p w14:paraId="4586CD08" w14:textId="77777777" w:rsidR="0056357D" w:rsidRPr="0056357D" w:rsidRDefault="0056357D" w:rsidP="00E47213">
      <w:pPr>
        <w:pStyle w:val="Text3"/>
        <w:rPr>
          <w:noProof/>
        </w:rPr>
      </w:pPr>
      <w:r w:rsidRPr="0056357D">
        <w:rPr>
          <w:noProof/>
        </w:rPr>
        <w:t xml:space="preserve">‘(iv) providers of European Digital Identity Wallets </w:t>
      </w:r>
      <w:r w:rsidR="0035438C">
        <w:rPr>
          <w:noProof/>
        </w:rPr>
        <w:t>as provided in</w:t>
      </w:r>
      <w:r w:rsidRPr="0056357D">
        <w:rPr>
          <w:noProof/>
        </w:rPr>
        <w:t xml:space="preserve"> in Regulation (EU) No 910/2014;</w:t>
      </w:r>
    </w:p>
    <w:p w14:paraId="5F749195" w14:textId="77777777" w:rsidR="00240314" w:rsidRDefault="0056357D" w:rsidP="00E47213">
      <w:pPr>
        <w:pStyle w:val="Text3"/>
        <w:rPr>
          <w:noProof/>
        </w:rPr>
      </w:pPr>
      <w:r w:rsidRPr="0056357D">
        <w:rPr>
          <w:noProof/>
        </w:rPr>
        <w:t xml:space="preserve">(v) providers of European Business Wallets established in accordance with </w:t>
      </w:r>
      <w:r w:rsidR="008C377C">
        <w:rPr>
          <w:noProof/>
        </w:rPr>
        <w:t xml:space="preserve">Regulation (EU) </w:t>
      </w:r>
      <w:r w:rsidRPr="0056357D">
        <w:rPr>
          <w:noProof/>
        </w:rPr>
        <w:t>[…]</w:t>
      </w:r>
      <w:r w:rsidR="006E0475">
        <w:rPr>
          <w:noProof/>
        </w:rPr>
        <w:t>*</w:t>
      </w:r>
      <w:r w:rsidRPr="0056357D">
        <w:rPr>
          <w:noProof/>
        </w:rPr>
        <w:t>.</w:t>
      </w:r>
    </w:p>
    <w:p w14:paraId="1601EDA1" w14:textId="77777777" w:rsidR="00974507" w:rsidRDefault="00974507" w:rsidP="00E47213">
      <w:pPr>
        <w:pStyle w:val="Text3"/>
        <w:rPr>
          <w:noProof/>
        </w:rPr>
      </w:pPr>
      <w:r>
        <w:rPr>
          <w:noProof/>
        </w:rPr>
        <w:t>_______</w:t>
      </w:r>
    </w:p>
    <w:p w14:paraId="6305ED90" w14:textId="77777777" w:rsidR="0056357D" w:rsidRPr="0056357D" w:rsidRDefault="00974507" w:rsidP="00E47213">
      <w:pPr>
        <w:pStyle w:val="Text3"/>
        <w:rPr>
          <w:noProof/>
        </w:rPr>
      </w:pPr>
      <w:r>
        <w:rPr>
          <w:noProof/>
        </w:rPr>
        <w:t xml:space="preserve">* </w:t>
      </w:r>
      <w:r w:rsidRPr="0056357D">
        <w:rPr>
          <w:noProof/>
          <w:lang w:eastAsia="en-IE"/>
        </w:rPr>
        <w:t>’Regulation (EU) […]</w:t>
      </w:r>
      <w:r>
        <w:rPr>
          <w:noProof/>
          <w:lang w:eastAsia="en-IE"/>
        </w:rPr>
        <w:t xml:space="preserve"> </w:t>
      </w:r>
      <w:r w:rsidR="003A75D0">
        <w:rPr>
          <w:noProof/>
          <w:lang w:eastAsia="en-IE"/>
        </w:rPr>
        <w:t>[</w:t>
      </w:r>
      <w:r w:rsidR="003A75D0" w:rsidRPr="003A75D0">
        <w:rPr>
          <w:noProof/>
          <w:lang w:eastAsia="en-IE"/>
        </w:rPr>
        <w:t>Proposal for a Regulation on the establishment of European Business Wallets</w:t>
      </w:r>
      <w:r w:rsidR="000E54FD">
        <w:rPr>
          <w:noProof/>
          <w:lang w:eastAsia="en-IE"/>
        </w:rPr>
        <w:t>].</w:t>
      </w:r>
      <w:r w:rsidR="0056357D" w:rsidRPr="0056357D">
        <w:rPr>
          <w:noProof/>
        </w:rPr>
        <w:t>’;</w:t>
      </w:r>
    </w:p>
    <w:p w14:paraId="7577905D" w14:textId="620F6625" w:rsidR="0056357D" w:rsidRPr="0056357D" w:rsidRDefault="005A4C49" w:rsidP="005A4C49">
      <w:pPr>
        <w:pStyle w:val="Point1"/>
        <w:rPr>
          <w:noProof/>
          <w:lang w:eastAsia="en-IE"/>
        </w:rPr>
      </w:pPr>
      <w:r w:rsidRPr="005A4C49">
        <w:rPr>
          <w:noProof/>
        </w:rPr>
        <w:t>(b)</w:t>
      </w:r>
      <w:r w:rsidRPr="005A4C49">
        <w:rPr>
          <w:noProof/>
        </w:rPr>
        <w:tab/>
      </w:r>
      <w:r w:rsidR="0056357D" w:rsidRPr="0056357D">
        <w:rPr>
          <w:noProof/>
        </w:rPr>
        <w:t>t</w:t>
      </w:r>
      <w:r w:rsidR="0056357D" w:rsidRPr="0056357D">
        <w:rPr>
          <w:noProof/>
          <w:lang w:eastAsia="en-IE"/>
        </w:rPr>
        <w:t xml:space="preserve">he following paragraph 3a is inserted: </w:t>
      </w:r>
    </w:p>
    <w:p w14:paraId="06EA44F0" w14:textId="77777777" w:rsidR="000E54FD" w:rsidRDefault="0056357D" w:rsidP="00E47213">
      <w:pPr>
        <w:pStyle w:val="Text2"/>
        <w:rPr>
          <w:noProof/>
          <w:lang w:eastAsia="en-IE"/>
        </w:rPr>
      </w:pPr>
      <w:r w:rsidRPr="0056357D">
        <w:rPr>
          <w:noProof/>
          <w:lang w:eastAsia="en-IE"/>
        </w:rPr>
        <w:t xml:space="preserve">‘3a. Regardless of their size, this Directive applies to entities identified as owners, managers </w:t>
      </w:r>
      <w:r w:rsidRPr="0056357D" w:rsidDel="008E6E52">
        <w:rPr>
          <w:noProof/>
          <w:lang w:eastAsia="en-IE"/>
        </w:rPr>
        <w:t>and</w:t>
      </w:r>
      <w:r w:rsidRPr="0056357D">
        <w:rPr>
          <w:noProof/>
          <w:lang w:eastAsia="en-IE"/>
        </w:rPr>
        <w:t xml:space="preserve"> operators of strategic dual-use infrastructure under Regulation (EU) […]*</w:t>
      </w:r>
      <w:r w:rsidR="00440012">
        <w:rPr>
          <w:noProof/>
          <w:lang w:eastAsia="en-IE"/>
        </w:rPr>
        <w:t>*</w:t>
      </w:r>
      <w:r w:rsidR="000E54FD">
        <w:rPr>
          <w:noProof/>
          <w:lang w:eastAsia="en-IE"/>
        </w:rPr>
        <w:t>.</w:t>
      </w:r>
    </w:p>
    <w:p w14:paraId="6463561F" w14:textId="77777777" w:rsidR="0056357D" w:rsidRPr="0056357D" w:rsidRDefault="000E54FD" w:rsidP="00E47213">
      <w:pPr>
        <w:pStyle w:val="Text2"/>
        <w:rPr>
          <w:noProof/>
          <w:lang w:eastAsia="en-IE"/>
        </w:rPr>
      </w:pPr>
      <w:r>
        <w:rPr>
          <w:noProof/>
          <w:lang w:eastAsia="en-IE"/>
        </w:rPr>
        <w:t>_________</w:t>
      </w:r>
      <w:r w:rsidR="0056357D" w:rsidRPr="0056357D">
        <w:rPr>
          <w:noProof/>
          <w:lang w:eastAsia="en-IE"/>
        </w:rPr>
        <w:t xml:space="preserve"> </w:t>
      </w:r>
    </w:p>
    <w:p w14:paraId="51EBC02C" w14:textId="77777777" w:rsidR="0056357D" w:rsidRPr="0056357D" w:rsidRDefault="0056357D" w:rsidP="00E47213">
      <w:pPr>
        <w:pStyle w:val="Text2"/>
        <w:rPr>
          <w:noProof/>
          <w:lang w:eastAsia="en-IE"/>
        </w:rPr>
      </w:pPr>
      <w:r w:rsidRPr="0056357D">
        <w:rPr>
          <w:noProof/>
          <w:lang w:eastAsia="en-IE"/>
        </w:rPr>
        <w:t>*</w:t>
      </w:r>
      <w:r w:rsidR="00440012">
        <w:rPr>
          <w:noProof/>
          <w:lang w:eastAsia="en-IE"/>
        </w:rPr>
        <w:t>*</w:t>
      </w:r>
      <w:r w:rsidRPr="0056357D">
        <w:rPr>
          <w:noProof/>
          <w:lang w:eastAsia="en-IE"/>
        </w:rPr>
        <w:t xml:space="preserve"> ’Regulation (EU) […] [Proposal for a Regulation of the European Parliament and of the Council on establishing a framework of measures to facilitate the transport of military equipment, goods and personal across the Union.]</w:t>
      </w:r>
      <w:r w:rsidR="00CE4FE7">
        <w:rPr>
          <w:noProof/>
          <w:lang w:eastAsia="en-IE"/>
        </w:rPr>
        <w:t>.’</w:t>
      </w:r>
      <w:r w:rsidRPr="0056357D">
        <w:rPr>
          <w:noProof/>
          <w:lang w:eastAsia="en-IE"/>
        </w:rPr>
        <w:t>;</w:t>
      </w:r>
    </w:p>
    <w:p w14:paraId="5C383AD0" w14:textId="0EAEC6DB" w:rsidR="0056357D" w:rsidRPr="0056357D" w:rsidRDefault="005A4C49" w:rsidP="005A4C49">
      <w:pPr>
        <w:pStyle w:val="Point0"/>
        <w:rPr>
          <w:noProof/>
          <w:lang w:eastAsia="en-IE"/>
        </w:rPr>
      </w:pPr>
      <w:r w:rsidRPr="005A4C49">
        <w:rPr>
          <w:noProof/>
        </w:rPr>
        <w:t>(2)</w:t>
      </w:r>
      <w:r w:rsidRPr="005A4C49">
        <w:rPr>
          <w:noProof/>
        </w:rPr>
        <w:tab/>
      </w:r>
      <w:r w:rsidR="0056357D" w:rsidRPr="0056357D">
        <w:rPr>
          <w:noProof/>
          <w:lang w:eastAsia="en-IE"/>
        </w:rPr>
        <w:t xml:space="preserve">Article 3 is amended as follows: </w:t>
      </w:r>
    </w:p>
    <w:p w14:paraId="74352DCD" w14:textId="71BA2F20" w:rsidR="0056357D" w:rsidRPr="0056357D" w:rsidRDefault="005A4C49" w:rsidP="005A4C49">
      <w:pPr>
        <w:pStyle w:val="Point1"/>
        <w:rPr>
          <w:noProof/>
          <w:lang w:eastAsia="en-IE"/>
        </w:rPr>
      </w:pPr>
      <w:r w:rsidRPr="005A4C49">
        <w:rPr>
          <w:noProof/>
        </w:rPr>
        <w:t>(a)</w:t>
      </w:r>
      <w:r w:rsidRPr="005A4C49">
        <w:rPr>
          <w:noProof/>
        </w:rPr>
        <w:tab/>
      </w:r>
      <w:r w:rsidR="0056357D" w:rsidRPr="0056357D">
        <w:rPr>
          <w:noProof/>
          <w:lang w:eastAsia="en-IE"/>
        </w:rPr>
        <w:t>paragraph 1 is amended as follows:</w:t>
      </w:r>
    </w:p>
    <w:p w14:paraId="372B156C" w14:textId="7FACCB78" w:rsidR="0056357D" w:rsidRPr="0056357D" w:rsidRDefault="0056357D" w:rsidP="00E47213">
      <w:pPr>
        <w:pStyle w:val="Text2"/>
        <w:rPr>
          <w:rFonts w:eastAsia="Times New Roman"/>
          <w:noProof/>
          <w:lang w:eastAsia="en-IE"/>
        </w:rPr>
      </w:pPr>
      <w:r w:rsidRPr="0056357D">
        <w:rPr>
          <w:noProof/>
        </w:rPr>
        <w:t>(i) points (a) and (b) are replaced by the following:</w:t>
      </w:r>
    </w:p>
    <w:p w14:paraId="0AE1A522" w14:textId="77777777" w:rsidR="0056357D" w:rsidRPr="00F663D9" w:rsidRDefault="0056357D" w:rsidP="00E47213">
      <w:pPr>
        <w:pStyle w:val="Text3"/>
        <w:rPr>
          <w:rFonts w:eastAsia="Times New Roman"/>
          <w:noProof/>
          <w:lang w:eastAsia="en-IE"/>
        </w:rPr>
      </w:pPr>
      <w:r w:rsidRPr="0056357D">
        <w:rPr>
          <w:noProof/>
        </w:rPr>
        <w:t>‘(a) entities of a type referred to in Annex I which exceed the ceilings for small mid-cap enterprises;</w:t>
      </w:r>
    </w:p>
    <w:p w14:paraId="0D88B51D" w14:textId="77777777" w:rsidR="0056357D" w:rsidRPr="0056357D" w:rsidRDefault="0056357D" w:rsidP="00E47213">
      <w:pPr>
        <w:pStyle w:val="Text3"/>
        <w:rPr>
          <w:noProof/>
        </w:rPr>
      </w:pPr>
      <w:r w:rsidRPr="0056357D">
        <w:rPr>
          <w:noProof/>
        </w:rPr>
        <w:t xml:space="preserve">‘(b) qualified trust service providers, providers of European Digital Identity Wallets, providers of European Business Wallets and top-level domain name registries, regardless of their size;’; </w:t>
      </w:r>
    </w:p>
    <w:p w14:paraId="5098D002" w14:textId="77777777" w:rsidR="0056357D" w:rsidRPr="0056357D" w:rsidRDefault="00461CF0" w:rsidP="00461CF0">
      <w:pPr>
        <w:pStyle w:val="Text2"/>
        <w:rPr>
          <w:noProof/>
        </w:rPr>
      </w:pPr>
      <w:r>
        <w:rPr>
          <w:noProof/>
        </w:rPr>
        <w:t xml:space="preserve">(ii) </w:t>
      </w:r>
      <w:r w:rsidR="0056357D" w:rsidRPr="0056357D">
        <w:rPr>
          <w:noProof/>
        </w:rPr>
        <w:t xml:space="preserve">the following point (h) is added: </w:t>
      </w:r>
    </w:p>
    <w:p w14:paraId="1170B898" w14:textId="77777777" w:rsidR="0056357D" w:rsidRPr="0056357D" w:rsidRDefault="0056357D" w:rsidP="00461CF0">
      <w:pPr>
        <w:pStyle w:val="Text3"/>
        <w:rPr>
          <w:noProof/>
        </w:rPr>
      </w:pPr>
      <w:r w:rsidRPr="0056357D">
        <w:rPr>
          <w:noProof/>
        </w:rPr>
        <w:t xml:space="preserve">‘(h) entities identified as </w:t>
      </w:r>
      <w:r w:rsidR="00424F31" w:rsidRPr="00424F31">
        <w:rPr>
          <w:noProof/>
        </w:rPr>
        <w:t xml:space="preserve">owners, </w:t>
      </w:r>
      <w:r w:rsidRPr="0056357D">
        <w:rPr>
          <w:noProof/>
        </w:rPr>
        <w:t>managers and operators of strategic dual-use infrastructure under Regulation (EU) […] [Proposal for a Regulation of the European Parliament and of the Council on establishing a framework of measures to facilitate the transport of military equipment, goods and personal across the Union].</w:t>
      </w:r>
      <w:r w:rsidRPr="0056357D" w:rsidDel="00C17D65">
        <w:rPr>
          <w:noProof/>
        </w:rPr>
        <w:t>’</w:t>
      </w:r>
      <w:r w:rsidR="005F205D">
        <w:rPr>
          <w:noProof/>
        </w:rPr>
        <w:t>;</w:t>
      </w:r>
    </w:p>
    <w:p w14:paraId="2C6646DB" w14:textId="6BD1FBEA" w:rsidR="0056357D" w:rsidRPr="0056357D" w:rsidRDefault="005A4C49" w:rsidP="005A4C49">
      <w:pPr>
        <w:pStyle w:val="Point1"/>
        <w:rPr>
          <w:noProof/>
        </w:rPr>
      </w:pPr>
      <w:r w:rsidRPr="005A4C49">
        <w:rPr>
          <w:noProof/>
        </w:rPr>
        <w:t>(b)</w:t>
      </w:r>
      <w:r w:rsidRPr="005A4C49">
        <w:rPr>
          <w:noProof/>
        </w:rPr>
        <w:tab/>
      </w:r>
      <w:r w:rsidR="0056357D" w:rsidRPr="0056357D">
        <w:rPr>
          <w:noProof/>
        </w:rPr>
        <w:t xml:space="preserve">in paragraph 4, </w:t>
      </w:r>
      <w:r w:rsidR="00BB0A91">
        <w:rPr>
          <w:noProof/>
        </w:rPr>
        <w:t xml:space="preserve">the </w:t>
      </w:r>
      <w:r w:rsidR="0056357D" w:rsidRPr="0056357D">
        <w:rPr>
          <w:noProof/>
        </w:rPr>
        <w:t>first subparagraph is replaced by the following:</w:t>
      </w:r>
    </w:p>
    <w:p w14:paraId="6AB91CC4" w14:textId="77777777" w:rsidR="0056357D" w:rsidRPr="0056357D" w:rsidRDefault="0056357D" w:rsidP="00E47213">
      <w:pPr>
        <w:pStyle w:val="Text2"/>
        <w:rPr>
          <w:noProof/>
        </w:rPr>
      </w:pPr>
      <w:r w:rsidRPr="0056357D">
        <w:rPr>
          <w:noProof/>
        </w:rPr>
        <w:t>‘For the purpose of establishing the list referred to in paragraph 3, Member States shall require the entities referred to in that paragraph to submit at least the following information to the competent authorities:</w:t>
      </w:r>
    </w:p>
    <w:p w14:paraId="5A9189E8" w14:textId="77777777" w:rsidR="0056357D" w:rsidRPr="0056357D" w:rsidRDefault="0056357D" w:rsidP="00E47213">
      <w:pPr>
        <w:pStyle w:val="Text2"/>
        <w:rPr>
          <w:noProof/>
        </w:rPr>
      </w:pPr>
      <w:r w:rsidRPr="0056357D">
        <w:rPr>
          <w:noProof/>
        </w:rPr>
        <w:t>(a) the name of the entity;</w:t>
      </w:r>
    </w:p>
    <w:p w14:paraId="1C64690B" w14:textId="77777777" w:rsidR="0056357D" w:rsidRPr="0056357D" w:rsidRDefault="0056357D" w:rsidP="00E47213">
      <w:pPr>
        <w:pStyle w:val="Text2"/>
        <w:rPr>
          <w:noProof/>
        </w:rPr>
      </w:pPr>
      <w:r w:rsidRPr="0056357D">
        <w:rPr>
          <w:noProof/>
        </w:rPr>
        <w:t>(b) the relevant sector, subsector and type of entity referred to in Annex I or II, where applicable;</w:t>
      </w:r>
    </w:p>
    <w:p w14:paraId="531E83B7" w14:textId="77777777" w:rsidR="0056357D" w:rsidRPr="0056357D" w:rsidRDefault="0056357D" w:rsidP="00E47213">
      <w:pPr>
        <w:pStyle w:val="Text2"/>
        <w:rPr>
          <w:noProof/>
        </w:rPr>
      </w:pPr>
      <w:r w:rsidRPr="0056357D">
        <w:rPr>
          <w:noProof/>
        </w:rPr>
        <w:t>(c) the address of the entity or, where applicable, the address of the entity’s main establishment and its other legal establishments in the Union or, if not established in the Union, of its representative designated pursuant to Article 26(3);</w:t>
      </w:r>
    </w:p>
    <w:p w14:paraId="54AFF093" w14:textId="77777777" w:rsidR="0056357D" w:rsidRPr="0056357D" w:rsidRDefault="0056357D" w:rsidP="00E47213">
      <w:pPr>
        <w:pStyle w:val="Text2"/>
        <w:rPr>
          <w:noProof/>
        </w:rPr>
      </w:pPr>
      <w:r w:rsidRPr="0056357D">
        <w:rPr>
          <w:noProof/>
        </w:rPr>
        <w:t>(d) up-to-date contact details, including email addresses, telephone numbers, the unique identifier and digital addresses of the European Business Wallet of the entity, where applicable, and its representative designated pursuant to Article 26(3), where applicable;</w:t>
      </w:r>
    </w:p>
    <w:p w14:paraId="7CAD2339" w14:textId="77777777" w:rsidR="0056357D" w:rsidRPr="0056357D" w:rsidRDefault="0056357D" w:rsidP="00E47213">
      <w:pPr>
        <w:pStyle w:val="Text2"/>
        <w:rPr>
          <w:noProof/>
        </w:rPr>
      </w:pPr>
      <w:r w:rsidRPr="0056357D">
        <w:rPr>
          <w:noProof/>
        </w:rPr>
        <w:t xml:space="preserve">(e) the Member States where the entity provides services; </w:t>
      </w:r>
    </w:p>
    <w:p w14:paraId="192D2A29" w14:textId="77777777" w:rsidR="0056357D" w:rsidRPr="0056357D" w:rsidRDefault="0056357D" w:rsidP="00E47213">
      <w:pPr>
        <w:pStyle w:val="Text2"/>
        <w:rPr>
          <w:noProof/>
        </w:rPr>
      </w:pPr>
      <w:r w:rsidRPr="0056357D">
        <w:rPr>
          <w:noProof/>
        </w:rPr>
        <w:t>(f) the entity’s IP ranges.’;</w:t>
      </w:r>
    </w:p>
    <w:p w14:paraId="74B72276" w14:textId="1229E20E" w:rsidR="0056357D" w:rsidRPr="0056357D" w:rsidRDefault="005A4C49" w:rsidP="005A4C49">
      <w:pPr>
        <w:pStyle w:val="Point0"/>
        <w:rPr>
          <w:noProof/>
        </w:rPr>
      </w:pPr>
      <w:r w:rsidRPr="005A4C49">
        <w:rPr>
          <w:noProof/>
        </w:rPr>
        <w:t>(3)</w:t>
      </w:r>
      <w:r w:rsidRPr="005A4C49">
        <w:rPr>
          <w:noProof/>
        </w:rPr>
        <w:tab/>
      </w:r>
      <w:r w:rsidR="0056357D" w:rsidRPr="0056357D">
        <w:rPr>
          <w:noProof/>
        </w:rPr>
        <w:t xml:space="preserve">Article 5 is replaced by the following: </w:t>
      </w:r>
    </w:p>
    <w:p w14:paraId="30B1F238" w14:textId="77777777" w:rsidR="0056357D" w:rsidRPr="00340B07" w:rsidRDefault="0056357D" w:rsidP="00340B07">
      <w:pPr>
        <w:pStyle w:val="Text1"/>
        <w:jc w:val="center"/>
        <w:rPr>
          <w:i/>
          <w:iCs/>
          <w:noProof/>
        </w:rPr>
      </w:pPr>
      <w:r w:rsidRPr="0056357D">
        <w:rPr>
          <w:noProof/>
        </w:rPr>
        <w:t>‘</w:t>
      </w:r>
      <w:r w:rsidRPr="00340B07">
        <w:rPr>
          <w:i/>
          <w:iCs/>
          <w:noProof/>
        </w:rPr>
        <w:t>Article 5</w:t>
      </w:r>
    </w:p>
    <w:p w14:paraId="35A610CE" w14:textId="77777777" w:rsidR="00D5312D" w:rsidRPr="00340B07" w:rsidRDefault="00D5312D" w:rsidP="00340B07">
      <w:pPr>
        <w:pStyle w:val="Text1"/>
        <w:jc w:val="center"/>
        <w:rPr>
          <w:b/>
          <w:bCs/>
          <w:i/>
          <w:iCs/>
          <w:noProof/>
        </w:rPr>
      </w:pPr>
      <w:r w:rsidRPr="00340B07">
        <w:rPr>
          <w:b/>
          <w:bCs/>
          <w:i/>
          <w:iCs/>
          <w:noProof/>
        </w:rPr>
        <w:t>Minimum harmonisation</w:t>
      </w:r>
    </w:p>
    <w:p w14:paraId="3EDF8D19" w14:textId="77777777" w:rsidR="0056357D" w:rsidRPr="0056357D" w:rsidRDefault="0056357D" w:rsidP="00E47213">
      <w:pPr>
        <w:pStyle w:val="Text1"/>
        <w:rPr>
          <w:noProof/>
        </w:rPr>
      </w:pPr>
      <w:r w:rsidRPr="0056357D">
        <w:rPr>
          <w:noProof/>
        </w:rPr>
        <w:t>Without prejudice to Article 21(</w:t>
      </w:r>
      <w:r w:rsidRPr="00F663D9">
        <w:rPr>
          <w:noProof/>
        </w:rPr>
        <w:t>5</w:t>
      </w:r>
      <w:r w:rsidRPr="0056357D">
        <w:rPr>
          <w:noProof/>
        </w:rPr>
        <w:t xml:space="preserve">), </w:t>
      </w:r>
      <w:r w:rsidR="00102602">
        <w:rPr>
          <w:noProof/>
        </w:rPr>
        <w:t>fifth</w:t>
      </w:r>
      <w:r w:rsidR="00102602" w:rsidRPr="0056357D">
        <w:rPr>
          <w:noProof/>
        </w:rPr>
        <w:t xml:space="preserve"> </w:t>
      </w:r>
      <w:r w:rsidRPr="0056357D">
        <w:rPr>
          <w:noProof/>
        </w:rPr>
        <w:t xml:space="preserve">subparagraph, </w:t>
      </w:r>
      <w:r w:rsidR="009E3B70">
        <w:rPr>
          <w:noProof/>
        </w:rPr>
        <w:t>t</w:t>
      </w:r>
      <w:r w:rsidR="009E3B70" w:rsidRPr="009E3B70">
        <w:rPr>
          <w:noProof/>
        </w:rPr>
        <w:t>his Directive shall not preclude Member States from adopting or maintaining provisions ensuring a higher level of cybersecurity, provided that such provisions are consistent with Member States’ obligations laid down in Union law</w:t>
      </w:r>
      <w:r w:rsidRPr="0056357D">
        <w:rPr>
          <w:noProof/>
        </w:rPr>
        <w:t>.’</w:t>
      </w:r>
      <w:r w:rsidR="00E12066">
        <w:rPr>
          <w:noProof/>
        </w:rPr>
        <w:t>;</w:t>
      </w:r>
    </w:p>
    <w:p w14:paraId="2134BEE4" w14:textId="66E2497B" w:rsidR="0056357D" w:rsidRPr="0056357D" w:rsidRDefault="005A4C49" w:rsidP="005A4C49">
      <w:pPr>
        <w:pStyle w:val="Point0"/>
        <w:rPr>
          <w:noProof/>
        </w:rPr>
      </w:pPr>
      <w:r w:rsidRPr="005A4C49">
        <w:rPr>
          <w:noProof/>
        </w:rPr>
        <w:t>(4)</w:t>
      </w:r>
      <w:r w:rsidRPr="005A4C49">
        <w:rPr>
          <w:noProof/>
        </w:rPr>
        <w:tab/>
      </w:r>
      <w:r w:rsidR="0056357D" w:rsidRPr="0056357D">
        <w:rPr>
          <w:noProof/>
        </w:rPr>
        <w:t xml:space="preserve">in Article 6, </w:t>
      </w:r>
    </w:p>
    <w:p w14:paraId="7F8BFD40" w14:textId="77777777" w:rsidR="0056357D" w:rsidRPr="0056357D" w:rsidRDefault="0056357D" w:rsidP="007C6F21">
      <w:pPr>
        <w:pStyle w:val="Text2"/>
        <w:rPr>
          <w:noProof/>
        </w:rPr>
      </w:pPr>
      <w:r w:rsidRPr="0056357D">
        <w:rPr>
          <w:noProof/>
        </w:rPr>
        <w:t>the following points</w:t>
      </w:r>
      <w:r w:rsidR="003969F6">
        <w:rPr>
          <w:noProof/>
        </w:rPr>
        <w:t xml:space="preserve"> (42) and (43)</w:t>
      </w:r>
      <w:r w:rsidRPr="0056357D">
        <w:rPr>
          <w:noProof/>
        </w:rPr>
        <w:t xml:space="preserve"> are added:</w:t>
      </w:r>
    </w:p>
    <w:p w14:paraId="387F8AF1" w14:textId="77777777" w:rsidR="0056357D" w:rsidRPr="00340B07" w:rsidRDefault="0056357D" w:rsidP="00E47213">
      <w:pPr>
        <w:pStyle w:val="Text2"/>
        <w:rPr>
          <w:noProof/>
        </w:rPr>
      </w:pPr>
      <w:r w:rsidRPr="0056357D">
        <w:rPr>
          <w:noProof/>
        </w:rPr>
        <w:t>‘(42) ’small mid-cap enterprise’ means a small mid-cap enterprise as defined in the Annex to Commission Recommendation (EU) 2025/1099</w:t>
      </w:r>
      <w:r w:rsidR="00AF323C">
        <w:rPr>
          <w:noProof/>
        </w:rPr>
        <w:t>*</w:t>
      </w:r>
      <w:r w:rsidR="00440012">
        <w:rPr>
          <w:noProof/>
        </w:rPr>
        <w:t>**</w:t>
      </w:r>
      <w:r w:rsidR="00C85ED8">
        <w:rPr>
          <w:noProof/>
        </w:rPr>
        <w:t>;</w:t>
      </w:r>
    </w:p>
    <w:p w14:paraId="100221C9" w14:textId="77777777" w:rsidR="004856FC" w:rsidRDefault="0056357D" w:rsidP="00E47213">
      <w:pPr>
        <w:pStyle w:val="Text2"/>
        <w:rPr>
          <w:noProof/>
        </w:rPr>
      </w:pPr>
      <w:r w:rsidRPr="0056357D">
        <w:rPr>
          <w:noProof/>
        </w:rPr>
        <w:t>(43) ‘</w:t>
      </w:r>
      <w:r w:rsidRPr="00F663D9">
        <w:rPr>
          <w:noProof/>
        </w:rPr>
        <w:t>submarine data transmission infrastructure’ means submarine cables transmitting data, the related infrastructure and other facilities or elements associated with data transmission.</w:t>
      </w:r>
    </w:p>
    <w:p w14:paraId="3CD6D484" w14:textId="77777777" w:rsidR="004856FC" w:rsidRDefault="004856FC" w:rsidP="00E47213">
      <w:pPr>
        <w:pStyle w:val="Text2"/>
        <w:rPr>
          <w:noProof/>
        </w:rPr>
      </w:pPr>
      <w:r>
        <w:rPr>
          <w:noProof/>
        </w:rPr>
        <w:t>__________</w:t>
      </w:r>
    </w:p>
    <w:p w14:paraId="18A3A425" w14:textId="77777777" w:rsidR="0056357D" w:rsidRPr="0056357D" w:rsidRDefault="004856FC" w:rsidP="00E47213">
      <w:pPr>
        <w:pStyle w:val="Text2"/>
        <w:rPr>
          <w:noProof/>
        </w:rPr>
      </w:pPr>
      <w:r>
        <w:rPr>
          <w:noProof/>
        </w:rPr>
        <w:t>*</w:t>
      </w:r>
      <w:r w:rsidR="00440012">
        <w:rPr>
          <w:noProof/>
        </w:rPr>
        <w:t>**</w:t>
      </w:r>
      <w:r w:rsidRPr="004307D8">
        <w:rPr>
          <w:noProof/>
        </w:rPr>
        <w:t xml:space="preserve"> </w:t>
      </w:r>
      <w:r>
        <w:rPr>
          <w:noProof/>
        </w:rPr>
        <w:t xml:space="preserve">Commission Recommendation </w:t>
      </w:r>
      <w:r w:rsidRPr="00117570">
        <w:rPr>
          <w:noProof/>
        </w:rPr>
        <w:t>(EU) 2025/1099</w:t>
      </w:r>
      <w:r>
        <w:rPr>
          <w:noProof/>
        </w:rPr>
        <w:t xml:space="preserve"> of 21 May 2025 on the definition of small mid-cap enterprises (</w:t>
      </w:r>
      <w:r w:rsidRPr="00693E63">
        <w:rPr>
          <w:noProof/>
        </w:rPr>
        <w:t>OJ L, 2025/1099, 28.5.2025, ELI: http://data.europa.eu/eli/reco/2025/1099/oj</w:t>
      </w:r>
      <w:r>
        <w:rPr>
          <w:noProof/>
        </w:rPr>
        <w:t>).</w:t>
      </w:r>
      <w:r w:rsidR="0056357D" w:rsidRPr="0056357D">
        <w:rPr>
          <w:noProof/>
        </w:rPr>
        <w:t>’</w:t>
      </w:r>
      <w:r w:rsidR="006F098C">
        <w:rPr>
          <w:noProof/>
        </w:rPr>
        <w:t>;</w:t>
      </w:r>
    </w:p>
    <w:p w14:paraId="58DCF143" w14:textId="3B87E17D" w:rsidR="0056357D" w:rsidRPr="0056357D" w:rsidRDefault="005A4C49" w:rsidP="005A4C49">
      <w:pPr>
        <w:pStyle w:val="Point0"/>
        <w:rPr>
          <w:noProof/>
        </w:rPr>
      </w:pPr>
      <w:r w:rsidRPr="005A4C49">
        <w:rPr>
          <w:noProof/>
        </w:rPr>
        <w:t>(5)</w:t>
      </w:r>
      <w:r w:rsidRPr="005A4C49">
        <w:rPr>
          <w:noProof/>
        </w:rPr>
        <w:tab/>
      </w:r>
      <w:r w:rsidR="0056357D" w:rsidRPr="0056357D">
        <w:rPr>
          <w:noProof/>
        </w:rPr>
        <w:t>in Article 7(2), the following point (k) is added:</w:t>
      </w:r>
    </w:p>
    <w:p w14:paraId="2F207EAB" w14:textId="77777777" w:rsidR="0056357D" w:rsidRPr="0056357D" w:rsidRDefault="0056357D" w:rsidP="00E47213">
      <w:pPr>
        <w:pStyle w:val="Text1"/>
        <w:rPr>
          <w:noProof/>
        </w:rPr>
      </w:pPr>
      <w:r w:rsidRPr="0056357D">
        <w:rPr>
          <w:noProof/>
        </w:rPr>
        <w:t>‘(k) for the transition to post-quantum cryptography, taking into account the transition timelines and relevant requirements set out in applicable Union legal acts and policies.’;</w:t>
      </w:r>
    </w:p>
    <w:p w14:paraId="0CA82C1C" w14:textId="3CEF1866" w:rsidR="0056357D" w:rsidRPr="00E47213" w:rsidRDefault="005A4C49" w:rsidP="005A4C49">
      <w:pPr>
        <w:pStyle w:val="Point0"/>
        <w:rPr>
          <w:noProof/>
        </w:rPr>
      </w:pPr>
      <w:r w:rsidRPr="005A4C49">
        <w:rPr>
          <w:noProof/>
        </w:rPr>
        <w:t>(6)</w:t>
      </w:r>
      <w:r w:rsidRPr="005A4C49">
        <w:rPr>
          <w:noProof/>
        </w:rPr>
        <w:tab/>
      </w:r>
      <w:r w:rsidR="0056357D" w:rsidRPr="00E47213">
        <w:rPr>
          <w:noProof/>
        </w:rPr>
        <w:t xml:space="preserve">in Article 15(2), the first sentence is replaced by the following: </w:t>
      </w:r>
    </w:p>
    <w:p w14:paraId="2AB0D450" w14:textId="77777777" w:rsidR="0056357D" w:rsidRPr="0056357D" w:rsidRDefault="0056357D" w:rsidP="00E47213">
      <w:pPr>
        <w:pStyle w:val="Text1"/>
        <w:rPr>
          <w:noProof/>
        </w:rPr>
      </w:pPr>
      <w:r w:rsidRPr="00F663D9">
        <w:rPr>
          <w:noProof/>
        </w:rPr>
        <w:t>‘The CSIRTs network shall be composed of representatives of the CSIRTs designated or established pursuant to Article 10, the computer emergency response team for the Union’s institutions, bodies and agencies (CERT-EU) and ENISA</w:t>
      </w:r>
      <w:r w:rsidRPr="00F663D9">
        <w:rPr>
          <w:i/>
          <w:noProof/>
        </w:rPr>
        <w:t>.</w:t>
      </w:r>
      <w:r w:rsidRPr="00F663D9">
        <w:rPr>
          <w:noProof/>
        </w:rPr>
        <w:t>’;</w:t>
      </w:r>
      <w:r w:rsidRPr="0056357D">
        <w:rPr>
          <w:noProof/>
        </w:rPr>
        <w:t xml:space="preserve"> </w:t>
      </w:r>
    </w:p>
    <w:p w14:paraId="5CCDC5FF" w14:textId="257CB9C2" w:rsidR="0056357D" w:rsidRPr="0056357D" w:rsidRDefault="005A4C49" w:rsidP="005A4C49">
      <w:pPr>
        <w:pStyle w:val="Point0"/>
        <w:rPr>
          <w:noProof/>
        </w:rPr>
      </w:pPr>
      <w:r w:rsidRPr="005A4C49">
        <w:rPr>
          <w:noProof/>
        </w:rPr>
        <w:t>(7)</w:t>
      </w:r>
      <w:r w:rsidRPr="005A4C49">
        <w:rPr>
          <w:noProof/>
        </w:rPr>
        <w:tab/>
      </w:r>
      <w:r w:rsidR="0056357D" w:rsidRPr="0056357D">
        <w:rPr>
          <w:noProof/>
        </w:rPr>
        <w:t>Article 21</w:t>
      </w:r>
      <w:r w:rsidR="009A3EEF">
        <w:rPr>
          <w:noProof/>
        </w:rPr>
        <w:t>(5)</w:t>
      </w:r>
      <w:r w:rsidR="0056357D" w:rsidRPr="0056357D">
        <w:rPr>
          <w:noProof/>
        </w:rPr>
        <w:t xml:space="preserve"> is amended as follows: </w:t>
      </w:r>
    </w:p>
    <w:p w14:paraId="768C3E56" w14:textId="3046C192" w:rsidR="00AE56A7" w:rsidRDefault="005A4C49" w:rsidP="005A4C49">
      <w:pPr>
        <w:pStyle w:val="Point1"/>
        <w:rPr>
          <w:noProof/>
        </w:rPr>
      </w:pPr>
      <w:r w:rsidRPr="005A4C49">
        <w:rPr>
          <w:noProof/>
        </w:rPr>
        <w:t>(a)</w:t>
      </w:r>
      <w:r w:rsidRPr="005A4C49">
        <w:rPr>
          <w:noProof/>
        </w:rPr>
        <w:tab/>
      </w:r>
      <w:r w:rsidR="00AE56A7">
        <w:rPr>
          <w:noProof/>
        </w:rPr>
        <w:t xml:space="preserve">the second subparagraph is </w:t>
      </w:r>
      <w:r w:rsidR="00AE56A7" w:rsidRPr="00AE56A7">
        <w:rPr>
          <w:noProof/>
        </w:rPr>
        <w:t>replaced by the following</w:t>
      </w:r>
      <w:r w:rsidR="00AE56A7">
        <w:rPr>
          <w:noProof/>
        </w:rPr>
        <w:t>:</w:t>
      </w:r>
    </w:p>
    <w:p w14:paraId="7D4055F6" w14:textId="77777777" w:rsidR="0056357D" w:rsidRPr="0056357D" w:rsidRDefault="0056357D" w:rsidP="009A3EEF">
      <w:pPr>
        <w:pStyle w:val="Text2"/>
        <w:rPr>
          <w:noProof/>
        </w:rPr>
      </w:pPr>
      <w:r w:rsidRPr="0056357D">
        <w:rPr>
          <w:noProof/>
        </w:rPr>
        <w:t xml:space="preserve">‘The Commission </w:t>
      </w:r>
      <w:r w:rsidRPr="008F35AA">
        <w:rPr>
          <w:noProof/>
        </w:rPr>
        <w:t>may</w:t>
      </w:r>
      <w:r w:rsidRPr="0056357D">
        <w:rPr>
          <w:noProof/>
        </w:rPr>
        <w:t xml:space="preserve"> adopt implementing acts laying down the technical and the methodological requirements, as well as sectoral requirements, as necessary, of the measures referred to in paragraph 2 with regard to essential and important entities other than those referred to in the first subparagraph of this paragraph. The Commission shall regularly assess whether implementing acts referred to in this subparagraph </w:t>
      </w:r>
      <w:r w:rsidRPr="008F35AA">
        <w:rPr>
          <w:noProof/>
        </w:rPr>
        <w:t>shall</w:t>
      </w:r>
      <w:r w:rsidRPr="0056357D">
        <w:rPr>
          <w:noProof/>
        </w:rPr>
        <w:t xml:space="preserve"> be adopted for specific sectors or types of entities to improve the functioning of the internal market. When preparing such assessments, the Commission shall focus in particular on the cross-border nature of sectors or types of entities and shall carry out an open, transparent and inclusive consultation process with relevant stakeholders and Member States.’;</w:t>
      </w:r>
    </w:p>
    <w:p w14:paraId="282EADCA" w14:textId="5AD17372" w:rsidR="0056357D" w:rsidRPr="0056357D" w:rsidRDefault="005A4C49" w:rsidP="005A4C49">
      <w:pPr>
        <w:pStyle w:val="Point1"/>
        <w:rPr>
          <w:noProof/>
        </w:rPr>
      </w:pPr>
      <w:r w:rsidRPr="005A4C49">
        <w:rPr>
          <w:noProof/>
        </w:rPr>
        <w:t>(b)</w:t>
      </w:r>
      <w:r w:rsidRPr="005A4C49">
        <w:rPr>
          <w:noProof/>
        </w:rPr>
        <w:tab/>
      </w:r>
      <w:r w:rsidR="0056357D" w:rsidRPr="0056357D">
        <w:rPr>
          <w:noProof/>
        </w:rPr>
        <w:t xml:space="preserve">the following </w:t>
      </w:r>
      <w:r w:rsidR="005947D0">
        <w:rPr>
          <w:noProof/>
        </w:rPr>
        <w:t xml:space="preserve">fifth </w:t>
      </w:r>
      <w:r w:rsidR="0056357D" w:rsidRPr="0056357D">
        <w:rPr>
          <w:noProof/>
        </w:rPr>
        <w:t xml:space="preserve">subparagraph is </w:t>
      </w:r>
      <w:r w:rsidR="00115679">
        <w:rPr>
          <w:noProof/>
        </w:rPr>
        <w:t>added</w:t>
      </w:r>
      <w:r w:rsidR="0056357D" w:rsidRPr="0056357D">
        <w:rPr>
          <w:noProof/>
        </w:rPr>
        <w:t xml:space="preserve">: </w:t>
      </w:r>
    </w:p>
    <w:p w14:paraId="21CDD5C2" w14:textId="77777777" w:rsidR="0056357D" w:rsidRPr="0056357D" w:rsidRDefault="0056357D" w:rsidP="009A3EEF">
      <w:pPr>
        <w:pStyle w:val="Text2"/>
        <w:rPr>
          <w:noProof/>
        </w:rPr>
      </w:pPr>
      <w:r w:rsidRPr="0056357D">
        <w:rPr>
          <w:noProof/>
        </w:rPr>
        <w:t>‘Where the Commission adopts implementing acts referred to in the first and second subparagraphs of this paragraph, Member States shall not impose any further technical</w:t>
      </w:r>
      <w:r w:rsidR="008F35AA">
        <w:rPr>
          <w:noProof/>
        </w:rPr>
        <w:t>,</w:t>
      </w:r>
      <w:r w:rsidRPr="0056357D">
        <w:rPr>
          <w:noProof/>
        </w:rPr>
        <w:t xml:space="preserve"> methodological </w:t>
      </w:r>
      <w:r w:rsidR="008F35AA">
        <w:rPr>
          <w:noProof/>
        </w:rPr>
        <w:t xml:space="preserve">or sectoral </w:t>
      </w:r>
      <w:r w:rsidRPr="0056357D">
        <w:rPr>
          <w:noProof/>
        </w:rPr>
        <w:t>requirements of the measures referred to in Article 21(2) of Directive (EU) 2022/2555 on the entities in scope of those implementing acts.’;</w:t>
      </w:r>
    </w:p>
    <w:p w14:paraId="708E2FDE" w14:textId="3895830E" w:rsidR="0056357D" w:rsidRPr="0056357D" w:rsidRDefault="005A4C49" w:rsidP="005A4C49">
      <w:pPr>
        <w:pStyle w:val="Point0"/>
        <w:rPr>
          <w:noProof/>
        </w:rPr>
      </w:pPr>
      <w:r w:rsidRPr="005A4C49">
        <w:rPr>
          <w:noProof/>
        </w:rPr>
        <w:t>(8)</w:t>
      </w:r>
      <w:r w:rsidRPr="005A4C49">
        <w:rPr>
          <w:noProof/>
        </w:rPr>
        <w:tab/>
      </w:r>
      <w:r w:rsidR="0056357D" w:rsidRPr="0056357D">
        <w:rPr>
          <w:noProof/>
        </w:rPr>
        <w:t>in Article 23</w:t>
      </w:r>
      <w:r w:rsidR="00A552EB">
        <w:rPr>
          <w:noProof/>
        </w:rPr>
        <w:t>,</w:t>
      </w:r>
      <w:r w:rsidR="0056357D" w:rsidRPr="0056357D">
        <w:rPr>
          <w:noProof/>
        </w:rPr>
        <w:t xml:space="preserve"> the following paragraphs 12 and 13 are added: </w:t>
      </w:r>
    </w:p>
    <w:p w14:paraId="19CF40ED" w14:textId="77777777" w:rsidR="0056357D" w:rsidRPr="0056357D" w:rsidRDefault="0056357D" w:rsidP="00E47213">
      <w:pPr>
        <w:pStyle w:val="Text1"/>
        <w:rPr>
          <w:noProof/>
        </w:rPr>
      </w:pPr>
      <w:r w:rsidRPr="0056357D">
        <w:rPr>
          <w:noProof/>
        </w:rPr>
        <w:t xml:space="preserve">‘12. When adopting an implementing act pursuant to paragraph 11, first subparagraph, the Commission shall include requirements that the following information as regards ransomware attacks is submitted pursuant to paragraph 1: </w:t>
      </w:r>
    </w:p>
    <w:p w14:paraId="3EFA7F84" w14:textId="6CC0B967" w:rsidR="0056357D" w:rsidRPr="0056357D" w:rsidRDefault="005A4C49" w:rsidP="005A4C49">
      <w:pPr>
        <w:pStyle w:val="Point2"/>
        <w:rPr>
          <w:noProof/>
        </w:rPr>
      </w:pPr>
      <w:r w:rsidRPr="005A4C49">
        <w:rPr>
          <w:noProof/>
        </w:rPr>
        <w:t>(a)</w:t>
      </w:r>
      <w:r w:rsidRPr="005A4C49">
        <w:rPr>
          <w:noProof/>
        </w:rPr>
        <w:tab/>
      </w:r>
      <w:r w:rsidR="0056357D" w:rsidRPr="0056357D">
        <w:rPr>
          <w:noProof/>
        </w:rPr>
        <w:t xml:space="preserve">whether the entity detected a ransomware attack; </w:t>
      </w:r>
    </w:p>
    <w:p w14:paraId="2AFAC65E" w14:textId="6A0C164F" w:rsidR="0056357D" w:rsidRPr="0056357D" w:rsidRDefault="005A4C49" w:rsidP="005A4C49">
      <w:pPr>
        <w:pStyle w:val="Point2"/>
        <w:rPr>
          <w:noProof/>
        </w:rPr>
      </w:pPr>
      <w:r w:rsidRPr="005A4C49">
        <w:rPr>
          <w:noProof/>
        </w:rPr>
        <w:t>(b)</w:t>
      </w:r>
      <w:r w:rsidRPr="005A4C49">
        <w:rPr>
          <w:noProof/>
        </w:rPr>
        <w:tab/>
      </w:r>
      <w:r w:rsidR="0056357D" w:rsidRPr="0056357D">
        <w:rPr>
          <w:noProof/>
        </w:rPr>
        <w:t>the attack vector of the ransomware attack;</w:t>
      </w:r>
    </w:p>
    <w:p w14:paraId="7198CEB3" w14:textId="628D83F4" w:rsidR="0056357D" w:rsidRPr="00F663D9" w:rsidRDefault="005A4C49" w:rsidP="005A4C49">
      <w:pPr>
        <w:pStyle w:val="Point2"/>
        <w:rPr>
          <w:noProof/>
        </w:rPr>
      </w:pPr>
      <w:r w:rsidRPr="005A4C49">
        <w:rPr>
          <w:noProof/>
        </w:rPr>
        <w:t>(c)</w:t>
      </w:r>
      <w:r w:rsidRPr="005A4C49">
        <w:rPr>
          <w:noProof/>
        </w:rPr>
        <w:tab/>
      </w:r>
      <w:r w:rsidR="0056357D" w:rsidRPr="0056357D">
        <w:rPr>
          <w:noProof/>
        </w:rPr>
        <w:t xml:space="preserve"> whether mitigation measures have been implemented. </w:t>
      </w:r>
    </w:p>
    <w:p w14:paraId="0E3E9EF8" w14:textId="77777777" w:rsidR="0056357D" w:rsidRPr="0056357D" w:rsidRDefault="0056357D" w:rsidP="00E47213">
      <w:pPr>
        <w:pStyle w:val="Text1"/>
        <w:rPr>
          <w:noProof/>
        </w:rPr>
      </w:pPr>
      <w:r w:rsidRPr="0056357D">
        <w:rPr>
          <w:noProof/>
        </w:rPr>
        <w:t xml:space="preserve">13. Member States shall ensure that in case of a significant incident caused by a ransomware attack, the entities concerned </w:t>
      </w:r>
      <w:r w:rsidR="00A36381">
        <w:rPr>
          <w:noProof/>
        </w:rPr>
        <w:t>inform</w:t>
      </w:r>
      <w:r w:rsidRPr="0056357D">
        <w:rPr>
          <w:noProof/>
        </w:rPr>
        <w:t>, upon request of the CSIRT or, where applicable, the competent authority via a communication channel provided by the CSIRT or, where applicable, the competent authority:</w:t>
      </w:r>
    </w:p>
    <w:p w14:paraId="13653FFA" w14:textId="70B81F16" w:rsidR="0056357D" w:rsidRPr="0056357D" w:rsidRDefault="005A4C49" w:rsidP="005A4C49">
      <w:pPr>
        <w:pStyle w:val="Point2"/>
        <w:rPr>
          <w:noProof/>
        </w:rPr>
      </w:pPr>
      <w:r w:rsidRPr="005A4C49">
        <w:rPr>
          <w:noProof/>
        </w:rPr>
        <w:t>(a)</w:t>
      </w:r>
      <w:r w:rsidRPr="005A4C49">
        <w:rPr>
          <w:noProof/>
        </w:rPr>
        <w:tab/>
      </w:r>
      <w:r w:rsidR="0056357D" w:rsidRPr="0056357D">
        <w:rPr>
          <w:noProof/>
        </w:rPr>
        <w:t>if the entity has received a ransom demand and, where applicable, by whom;</w:t>
      </w:r>
    </w:p>
    <w:p w14:paraId="2E540FEC" w14:textId="5339EFFA" w:rsidR="0056357D" w:rsidRPr="0056357D" w:rsidRDefault="005A4C49" w:rsidP="005A4C49">
      <w:pPr>
        <w:pStyle w:val="Point2"/>
        <w:rPr>
          <w:noProof/>
        </w:rPr>
      </w:pPr>
      <w:r w:rsidRPr="005A4C49">
        <w:rPr>
          <w:noProof/>
        </w:rPr>
        <w:t>(b)</w:t>
      </w:r>
      <w:r w:rsidRPr="005A4C49">
        <w:rPr>
          <w:noProof/>
        </w:rPr>
        <w:tab/>
      </w:r>
      <w:r w:rsidR="0056357D" w:rsidRPr="0056357D">
        <w:rPr>
          <w:noProof/>
        </w:rPr>
        <w:t xml:space="preserve">if a ransom was paid and if yes, what amount in what means of payment and to which recipient or receiving end, including the crypto-asset and crypto-asset service provider, where applicable.’; </w:t>
      </w:r>
    </w:p>
    <w:p w14:paraId="69F389C1" w14:textId="14E2934F" w:rsidR="0056357D" w:rsidRPr="0056357D" w:rsidRDefault="005A4C49" w:rsidP="005A4C49">
      <w:pPr>
        <w:pStyle w:val="Point0"/>
        <w:rPr>
          <w:noProof/>
        </w:rPr>
      </w:pPr>
      <w:r w:rsidRPr="005A4C49">
        <w:rPr>
          <w:noProof/>
        </w:rPr>
        <w:t>(9)</w:t>
      </w:r>
      <w:r w:rsidRPr="005A4C49">
        <w:rPr>
          <w:noProof/>
        </w:rPr>
        <w:tab/>
      </w:r>
      <w:r w:rsidR="0056357D" w:rsidRPr="0056357D">
        <w:rPr>
          <w:noProof/>
        </w:rPr>
        <w:t>in Article 24, the following paragraphs 4</w:t>
      </w:r>
      <w:r w:rsidR="00243147">
        <w:rPr>
          <w:noProof/>
        </w:rPr>
        <w:t xml:space="preserve">, </w:t>
      </w:r>
      <w:r w:rsidR="0056357D" w:rsidRPr="0056357D">
        <w:rPr>
          <w:noProof/>
        </w:rPr>
        <w:t xml:space="preserve">5 </w:t>
      </w:r>
      <w:r w:rsidR="00243147">
        <w:rPr>
          <w:noProof/>
        </w:rPr>
        <w:t xml:space="preserve">and 6 </w:t>
      </w:r>
      <w:r w:rsidR="0056357D" w:rsidRPr="0056357D">
        <w:rPr>
          <w:noProof/>
        </w:rPr>
        <w:t xml:space="preserve">are added: </w:t>
      </w:r>
    </w:p>
    <w:p w14:paraId="3EF893B8" w14:textId="77777777" w:rsidR="0056357D" w:rsidRPr="00E46D03" w:rsidRDefault="0056357D" w:rsidP="00E47213">
      <w:pPr>
        <w:pStyle w:val="Text1"/>
        <w:rPr>
          <w:noProof/>
        </w:rPr>
      </w:pPr>
      <w:r w:rsidRPr="0056357D">
        <w:rPr>
          <w:noProof/>
        </w:rPr>
        <w:t xml:space="preserve">‘4. In order to demonstrate compliance with Article 21, Member States may require </w:t>
      </w:r>
      <w:r w:rsidRPr="00E46D03">
        <w:rPr>
          <w:noProof/>
        </w:rPr>
        <w:t xml:space="preserve">essential and important entities to obtain a certificate on the cyber posture under a European cybersecurity certification scheme adopted pursuant to Article 75 of </w:t>
      </w:r>
      <w:r w:rsidRPr="00DD1D17">
        <w:rPr>
          <w:noProof/>
        </w:rPr>
        <w:t>Regulation (EU) XXX/XXX</w:t>
      </w:r>
      <w:r w:rsidR="0027235D" w:rsidRPr="00DD1D17">
        <w:rPr>
          <w:noProof/>
        </w:rPr>
        <w:t xml:space="preserve"> </w:t>
      </w:r>
      <w:r w:rsidRPr="00DD1D17">
        <w:rPr>
          <w:noProof/>
        </w:rPr>
        <w:t>*</w:t>
      </w:r>
      <w:r w:rsidR="00440012" w:rsidRPr="00DD1D17">
        <w:rPr>
          <w:noProof/>
        </w:rPr>
        <w:t>***</w:t>
      </w:r>
      <w:r w:rsidRPr="00DD1D17">
        <w:rPr>
          <w:noProof/>
        </w:rPr>
        <w:t xml:space="preserve"> [Proposal for CSA2</w:t>
      </w:r>
      <w:r w:rsidRPr="00E46D03">
        <w:rPr>
          <w:noProof/>
        </w:rPr>
        <w:t>].</w:t>
      </w:r>
    </w:p>
    <w:p w14:paraId="6147D52E" w14:textId="1AB18316" w:rsidR="0056357D" w:rsidRPr="00E46D03" w:rsidRDefault="0056357D" w:rsidP="00E47213">
      <w:pPr>
        <w:pStyle w:val="Text1"/>
        <w:rPr>
          <w:noProof/>
        </w:rPr>
      </w:pPr>
      <w:r w:rsidRPr="00E46D03">
        <w:rPr>
          <w:noProof/>
        </w:rPr>
        <w:t xml:space="preserve">5. Where the cyber posture of an essential or important entity is certified under a European cybersecurity certification scheme adopted pursuant to Article </w:t>
      </w:r>
      <w:r>
        <w:rPr>
          <w:noProof/>
        </w:rPr>
        <w:t>74</w:t>
      </w:r>
      <w:r w:rsidRPr="00E46D03">
        <w:rPr>
          <w:noProof/>
        </w:rPr>
        <w:t xml:space="preserve"> of Regulation (EU) </w:t>
      </w:r>
      <w:r>
        <w:rPr>
          <w:noProof/>
        </w:rPr>
        <w:t>XXX/XXX**** [Proposal for CSA2]</w:t>
      </w:r>
      <w:r w:rsidRPr="00E46D03">
        <w:rPr>
          <w:noProof/>
        </w:rPr>
        <w:t xml:space="preserve"> and where the certificate demonstrates compliance with the requirements </w:t>
      </w:r>
      <w:r w:rsidR="00A54143" w:rsidRPr="00E46D03">
        <w:rPr>
          <w:noProof/>
        </w:rPr>
        <w:t xml:space="preserve">laid down in </w:t>
      </w:r>
      <w:r w:rsidRPr="00E46D03">
        <w:rPr>
          <w:noProof/>
        </w:rPr>
        <w:t>an implementing act adopted pursuant to Article 21(5) of this Directive or national law transposing Article 21(1) and (2) of this Directive, competent authorities shall not subject the entity to additional measures pursuant to Article 32(2), point (b), or Article 33(2), point (b), as applicable with regard to the requirements covered by the certificate.</w:t>
      </w:r>
    </w:p>
    <w:p w14:paraId="1BCA2FA9" w14:textId="77777777" w:rsidR="0056357D" w:rsidRPr="00E46D03" w:rsidRDefault="0056357D" w:rsidP="00E47213">
      <w:pPr>
        <w:pStyle w:val="Text1"/>
        <w:rPr>
          <w:noProof/>
        </w:rPr>
      </w:pPr>
      <w:r w:rsidRPr="00E46D03">
        <w:rPr>
          <w:noProof/>
        </w:rPr>
        <w:t>6. A certification pursuant to paragraph 4 shall not affect the responsibility of the essential or important entity to comply with this Directive.</w:t>
      </w:r>
    </w:p>
    <w:p w14:paraId="36933A17" w14:textId="77777777" w:rsidR="0051140C" w:rsidRPr="00E46D03" w:rsidRDefault="0051140C" w:rsidP="00E47213">
      <w:pPr>
        <w:pStyle w:val="Text1"/>
        <w:rPr>
          <w:noProof/>
        </w:rPr>
      </w:pPr>
      <w:r w:rsidRPr="00E46D03">
        <w:rPr>
          <w:noProof/>
        </w:rPr>
        <w:t>_____________</w:t>
      </w:r>
    </w:p>
    <w:p w14:paraId="49285A13" w14:textId="77777777" w:rsidR="0056357D" w:rsidRPr="00E46D03" w:rsidRDefault="0056357D" w:rsidP="00E47213">
      <w:pPr>
        <w:pStyle w:val="Text1"/>
        <w:rPr>
          <w:noProof/>
        </w:rPr>
      </w:pPr>
      <w:r w:rsidRPr="00E46D03">
        <w:rPr>
          <w:noProof/>
        </w:rPr>
        <w:t>*</w:t>
      </w:r>
      <w:r w:rsidR="00440012" w:rsidRPr="00E46D03">
        <w:rPr>
          <w:noProof/>
        </w:rPr>
        <w:t>***</w:t>
      </w:r>
      <w:r w:rsidRPr="00E46D03">
        <w:rPr>
          <w:noProof/>
        </w:rPr>
        <w:t xml:space="preserve"> </w:t>
      </w:r>
      <w:r w:rsidRPr="00DD1D17">
        <w:rPr>
          <w:noProof/>
        </w:rPr>
        <w:t>Regulation (EU) XXX/XXX [Proposal for CSA2</w:t>
      </w:r>
      <w:r w:rsidRPr="00E46D03">
        <w:rPr>
          <w:noProof/>
        </w:rPr>
        <w:t>]’;</w:t>
      </w:r>
    </w:p>
    <w:p w14:paraId="2C145CF3" w14:textId="7779C0B3" w:rsidR="0056357D" w:rsidRPr="0056357D" w:rsidRDefault="005A4C49" w:rsidP="005A4C49">
      <w:pPr>
        <w:pStyle w:val="Point0"/>
        <w:rPr>
          <w:noProof/>
        </w:rPr>
      </w:pPr>
      <w:r w:rsidRPr="005A4C49">
        <w:rPr>
          <w:noProof/>
        </w:rPr>
        <w:t>(10)</w:t>
      </w:r>
      <w:r w:rsidRPr="005A4C49">
        <w:rPr>
          <w:noProof/>
        </w:rPr>
        <w:tab/>
      </w:r>
      <w:r w:rsidR="0056357D" w:rsidRPr="00E46D03">
        <w:rPr>
          <w:noProof/>
        </w:rPr>
        <w:t>Article 26 is amended as follows</w:t>
      </w:r>
      <w:r w:rsidR="0056357D" w:rsidRPr="0056357D">
        <w:rPr>
          <w:noProof/>
        </w:rPr>
        <w:t>:</w:t>
      </w:r>
    </w:p>
    <w:p w14:paraId="243EAC26" w14:textId="22C84131" w:rsidR="0056357D" w:rsidRPr="0056357D" w:rsidRDefault="005A4C49" w:rsidP="005A4C49">
      <w:pPr>
        <w:pStyle w:val="Point1"/>
        <w:rPr>
          <w:noProof/>
        </w:rPr>
      </w:pPr>
      <w:r w:rsidRPr="005A4C49">
        <w:rPr>
          <w:noProof/>
        </w:rPr>
        <w:t>(a)</w:t>
      </w:r>
      <w:r w:rsidRPr="005A4C49">
        <w:rPr>
          <w:noProof/>
        </w:rPr>
        <w:tab/>
      </w:r>
      <w:r w:rsidR="0056357D" w:rsidRPr="0056357D">
        <w:rPr>
          <w:noProof/>
        </w:rPr>
        <w:t xml:space="preserve">in paragraph 1, the following point (d) is added: </w:t>
      </w:r>
    </w:p>
    <w:p w14:paraId="135EE76D" w14:textId="77777777" w:rsidR="00890D64" w:rsidRDefault="0056357D" w:rsidP="00E47213">
      <w:pPr>
        <w:pStyle w:val="Text2"/>
        <w:rPr>
          <w:noProof/>
        </w:rPr>
      </w:pPr>
      <w:r w:rsidRPr="0056357D">
        <w:rPr>
          <w:noProof/>
        </w:rPr>
        <w:t xml:space="preserve">‘(d) air carriers, which shall be considered to fall under the jurisdiction of the Member State whose competent licensing authority granted the operating licence to the entity pursuant to Regulation (EC) No 1008/2008 </w:t>
      </w:r>
      <w:r w:rsidRPr="0056357D">
        <w:rPr>
          <w:noProof/>
          <w:lang w:val="en-IE"/>
        </w:rPr>
        <w:t>of the European Parliament and of the Council</w:t>
      </w:r>
      <w:r w:rsidR="00890D64">
        <w:rPr>
          <w:noProof/>
          <w:lang w:val="en-IE"/>
        </w:rPr>
        <w:t>*</w:t>
      </w:r>
      <w:r w:rsidR="00440012">
        <w:rPr>
          <w:noProof/>
          <w:lang w:val="en-IE"/>
        </w:rPr>
        <w:t>****</w:t>
      </w:r>
      <w:r w:rsidRPr="0056357D">
        <w:rPr>
          <w:noProof/>
        </w:rPr>
        <w:t>, or, where the operating licence or equivalent has not been granted in accordance with that Regulation, they shall be considered to fall under the jurisdiction of the Member State in which they have their main establishment in the Union under paragraph 2.</w:t>
      </w:r>
    </w:p>
    <w:p w14:paraId="3AE10E39" w14:textId="77777777" w:rsidR="00440012" w:rsidRDefault="00440012" w:rsidP="00E47213">
      <w:pPr>
        <w:pStyle w:val="Text2"/>
        <w:rPr>
          <w:noProof/>
        </w:rPr>
      </w:pPr>
      <w:r>
        <w:rPr>
          <w:noProof/>
        </w:rPr>
        <w:t>______________</w:t>
      </w:r>
    </w:p>
    <w:p w14:paraId="66EB8170" w14:textId="77777777" w:rsidR="0056357D" w:rsidRPr="0056357D" w:rsidRDefault="00440012" w:rsidP="00E47213">
      <w:pPr>
        <w:pStyle w:val="Text2"/>
        <w:rPr>
          <w:noProof/>
        </w:rPr>
      </w:pPr>
      <w:r>
        <w:rPr>
          <w:noProof/>
          <w:lang w:val="en-IE"/>
        </w:rPr>
        <w:t xml:space="preserve">***** </w:t>
      </w:r>
      <w:r w:rsidRPr="00440012">
        <w:rPr>
          <w:noProof/>
        </w:rPr>
        <w:t>Regulation (EC) No 1008/2008 of the European Parliament and of the Council of 24 September 2008 on common rules for the operation of air services in the Community (Recast) (OJ L 293, 31.10.2008, p. 3, ELI: http://data.europa.eu/eli/reg/2008/1008/oj)</w:t>
      </w:r>
      <w:r w:rsidR="0056357D" w:rsidRPr="0056357D">
        <w:rPr>
          <w:noProof/>
        </w:rPr>
        <w:t xml:space="preserve">’; </w:t>
      </w:r>
    </w:p>
    <w:p w14:paraId="73D192A1" w14:textId="7BE53251" w:rsidR="0056357D" w:rsidRPr="0056357D" w:rsidRDefault="005A4C49" w:rsidP="005A4C49">
      <w:pPr>
        <w:pStyle w:val="Point1"/>
        <w:rPr>
          <w:noProof/>
        </w:rPr>
      </w:pPr>
      <w:r w:rsidRPr="005A4C49">
        <w:rPr>
          <w:noProof/>
        </w:rPr>
        <w:t>(b)</w:t>
      </w:r>
      <w:r w:rsidRPr="005A4C49">
        <w:rPr>
          <w:noProof/>
        </w:rPr>
        <w:tab/>
      </w:r>
      <w:r w:rsidR="0056357D" w:rsidRPr="0056357D">
        <w:rPr>
          <w:noProof/>
        </w:rPr>
        <w:t xml:space="preserve">paragraph 3 is replaced </w:t>
      </w:r>
      <w:r w:rsidR="0050096F">
        <w:rPr>
          <w:noProof/>
        </w:rPr>
        <w:t>by</w:t>
      </w:r>
      <w:r w:rsidR="0050096F" w:rsidRPr="0056357D">
        <w:rPr>
          <w:noProof/>
        </w:rPr>
        <w:t xml:space="preserve"> </w:t>
      </w:r>
      <w:r w:rsidR="0056357D" w:rsidRPr="0056357D">
        <w:rPr>
          <w:noProof/>
        </w:rPr>
        <w:t xml:space="preserve">the following: </w:t>
      </w:r>
    </w:p>
    <w:p w14:paraId="49F32EBD" w14:textId="77777777" w:rsidR="0056357D" w:rsidRPr="0056357D" w:rsidRDefault="0056357D" w:rsidP="00E47213">
      <w:pPr>
        <w:pStyle w:val="Text2"/>
        <w:rPr>
          <w:noProof/>
        </w:rPr>
      </w:pPr>
      <w:r w:rsidRPr="0056357D">
        <w:rPr>
          <w:noProof/>
        </w:rPr>
        <w:t>‘</w:t>
      </w:r>
      <w:r w:rsidR="0050096F">
        <w:rPr>
          <w:noProof/>
        </w:rPr>
        <w:t xml:space="preserve">3. </w:t>
      </w:r>
      <w:r w:rsidRPr="0056357D">
        <w:rPr>
          <w:noProof/>
        </w:rPr>
        <w:t xml:space="preserve">If an essential or important entity is not established in the Union but offers services within the Union, it shall designate a representative in the Union. The representative shall be established in one of those Member States where the services are offered. Such an entity shall be considered to fall under the jurisdiction of the Member State where the representative is established. </w:t>
      </w:r>
      <w:r w:rsidRPr="00F663D9">
        <w:rPr>
          <w:noProof/>
        </w:rPr>
        <w:t>Where such an entity is an entity as referred to in paragraph 1, point (a), it shall be considered to fall under the jurisdiction of the Member State in which it provides its services</w:t>
      </w:r>
      <w:r w:rsidRPr="0056357D">
        <w:rPr>
          <w:noProof/>
        </w:rPr>
        <w:t xml:space="preserve">. In the absence of a representative in the Union designated under this paragraph, any Member State in which the entity provides services may take legal actions against the entity for the infringement of this Directive.’; </w:t>
      </w:r>
    </w:p>
    <w:p w14:paraId="1154D311" w14:textId="44333781" w:rsidR="0056357D" w:rsidRPr="0056357D" w:rsidRDefault="005A4C49" w:rsidP="005A4C49">
      <w:pPr>
        <w:pStyle w:val="Point0"/>
        <w:rPr>
          <w:noProof/>
        </w:rPr>
      </w:pPr>
      <w:r w:rsidRPr="005A4C49">
        <w:rPr>
          <w:noProof/>
        </w:rPr>
        <w:t>(11)</w:t>
      </w:r>
      <w:r w:rsidRPr="005A4C49">
        <w:rPr>
          <w:noProof/>
        </w:rPr>
        <w:tab/>
      </w:r>
      <w:r w:rsidR="0056357D" w:rsidRPr="0056357D">
        <w:rPr>
          <w:noProof/>
        </w:rPr>
        <w:t>Article 27 is amended as follows:</w:t>
      </w:r>
    </w:p>
    <w:p w14:paraId="7E31F4CF" w14:textId="35B036CD" w:rsidR="0056357D" w:rsidRPr="0056357D" w:rsidRDefault="005A4C49" w:rsidP="005A4C49">
      <w:pPr>
        <w:pStyle w:val="Point1"/>
        <w:rPr>
          <w:noProof/>
        </w:rPr>
      </w:pPr>
      <w:r w:rsidRPr="005A4C49">
        <w:rPr>
          <w:noProof/>
        </w:rPr>
        <w:t>(a)</w:t>
      </w:r>
      <w:r w:rsidRPr="005A4C49">
        <w:rPr>
          <w:noProof/>
        </w:rPr>
        <w:tab/>
      </w:r>
      <w:r w:rsidR="0056357D" w:rsidRPr="0056357D">
        <w:rPr>
          <w:noProof/>
        </w:rPr>
        <w:t xml:space="preserve">paragraph 1 is replaced by the following: </w:t>
      </w:r>
    </w:p>
    <w:p w14:paraId="5D89ADE5" w14:textId="0BF2AC40" w:rsidR="0056357D" w:rsidRPr="0056357D" w:rsidRDefault="0056357D" w:rsidP="00E47213">
      <w:pPr>
        <w:pStyle w:val="Text2"/>
        <w:rPr>
          <w:noProof/>
        </w:rPr>
      </w:pPr>
      <w:r w:rsidRPr="0056357D">
        <w:rPr>
          <w:noProof/>
        </w:rPr>
        <w:t>‘1. ENISA shall create and maintain a registry of essential and important entities as well as entities providing domain name registration services, on the basis of the information received from the single points of contact in accordance with paragraph 4. Upon request, ENISA shall allow the competent authorities access to information concerning DNS service providers, TLD name registries, entities providing domain name registration services, cloud computing service providers, data centre service providers, content delivery network providers, managed service providers, managed security service providers, as well as providers of online marketplaces, of online search engines and of social networking services platforms</w:t>
      </w:r>
      <w:r>
        <w:rPr>
          <w:noProof/>
        </w:rPr>
        <w:t xml:space="preserve"> and air carriers</w:t>
      </w:r>
      <w:r w:rsidRPr="0056357D">
        <w:rPr>
          <w:noProof/>
        </w:rPr>
        <w:t xml:space="preserve"> stored in that registry, while ensuring that the confidentiality of information is protected where applicable.’;</w:t>
      </w:r>
    </w:p>
    <w:p w14:paraId="05E11E69" w14:textId="246444CD" w:rsidR="0056357D" w:rsidRPr="0056357D" w:rsidRDefault="005A4C49" w:rsidP="005A4C49">
      <w:pPr>
        <w:pStyle w:val="Point1"/>
        <w:rPr>
          <w:noProof/>
        </w:rPr>
      </w:pPr>
      <w:r w:rsidRPr="005A4C49">
        <w:rPr>
          <w:noProof/>
        </w:rPr>
        <w:t>(b)</w:t>
      </w:r>
      <w:r w:rsidRPr="005A4C49">
        <w:rPr>
          <w:noProof/>
        </w:rPr>
        <w:tab/>
      </w:r>
      <w:r w:rsidR="0056357D" w:rsidRPr="0056357D">
        <w:rPr>
          <w:noProof/>
        </w:rPr>
        <w:t>paragraph 2 is deleted;</w:t>
      </w:r>
    </w:p>
    <w:p w14:paraId="28584B0F" w14:textId="36277FF2" w:rsidR="0056357D" w:rsidRPr="0056357D" w:rsidRDefault="005A4C49" w:rsidP="005A4C49">
      <w:pPr>
        <w:pStyle w:val="Point1"/>
        <w:rPr>
          <w:noProof/>
        </w:rPr>
      </w:pPr>
      <w:r w:rsidRPr="005A4C49">
        <w:rPr>
          <w:noProof/>
        </w:rPr>
        <w:t>(c)</w:t>
      </w:r>
      <w:r w:rsidRPr="005A4C49">
        <w:rPr>
          <w:noProof/>
        </w:rPr>
        <w:tab/>
      </w:r>
      <w:r w:rsidR="0056357D" w:rsidRPr="0056357D">
        <w:rPr>
          <w:noProof/>
        </w:rPr>
        <w:t>paragraphs 3, 4 and 5 are replaced by the following:</w:t>
      </w:r>
    </w:p>
    <w:p w14:paraId="5E4438AB" w14:textId="79CCADF2" w:rsidR="0056357D" w:rsidRPr="0056357D" w:rsidRDefault="0056357D" w:rsidP="00E47213">
      <w:pPr>
        <w:pStyle w:val="Text2"/>
        <w:rPr>
          <w:noProof/>
        </w:rPr>
      </w:pPr>
      <w:r w:rsidRPr="0056357D">
        <w:rPr>
          <w:noProof/>
        </w:rPr>
        <w:t xml:space="preserve">‘3. Member States shall ensure that the essential and important entities notify the competent authority about any changes to the information they submitted under Article 3(4) without delay and in any event within </w:t>
      </w:r>
      <w:r>
        <w:rPr>
          <w:noProof/>
        </w:rPr>
        <w:t>two weeks</w:t>
      </w:r>
      <w:r w:rsidRPr="0056357D">
        <w:rPr>
          <w:noProof/>
        </w:rPr>
        <w:t xml:space="preserve"> of the date of the change.</w:t>
      </w:r>
    </w:p>
    <w:p w14:paraId="7A3ED720" w14:textId="77777777" w:rsidR="0056357D" w:rsidRPr="0056357D" w:rsidRDefault="0056357D" w:rsidP="00E47213">
      <w:pPr>
        <w:pStyle w:val="Text2"/>
        <w:rPr>
          <w:noProof/>
        </w:rPr>
      </w:pPr>
      <w:r w:rsidRPr="0056357D">
        <w:rPr>
          <w:noProof/>
        </w:rPr>
        <w:t>4. Upon receipt of the information referred to in Article 3(4), the single point of contact of the Member State concerned shall, without undue delay, forward it to ENISA.</w:t>
      </w:r>
    </w:p>
    <w:p w14:paraId="57CFF31D" w14:textId="77777777" w:rsidR="0056357D" w:rsidRPr="0056357D" w:rsidRDefault="0056357D" w:rsidP="00E47213">
      <w:pPr>
        <w:pStyle w:val="Text2"/>
        <w:rPr>
          <w:noProof/>
        </w:rPr>
      </w:pPr>
      <w:r w:rsidRPr="0056357D">
        <w:rPr>
          <w:noProof/>
        </w:rPr>
        <w:t>5. Where applicable, the information referred to in Article 3(4), first subparagraph, shall be submitted through the national mechanism referred to in Article 3(4), fourth subparagraph.’;</w:t>
      </w:r>
    </w:p>
    <w:p w14:paraId="5FAE8F8D" w14:textId="1455AF01" w:rsidR="0056357D" w:rsidRPr="0056357D" w:rsidRDefault="005A4C49" w:rsidP="005A4C49">
      <w:pPr>
        <w:pStyle w:val="Point0"/>
        <w:rPr>
          <w:noProof/>
        </w:rPr>
      </w:pPr>
      <w:r w:rsidRPr="005A4C49">
        <w:rPr>
          <w:noProof/>
        </w:rPr>
        <w:t>(12)</w:t>
      </w:r>
      <w:r w:rsidRPr="005A4C49">
        <w:rPr>
          <w:noProof/>
        </w:rPr>
        <w:tab/>
      </w:r>
      <w:r w:rsidR="0056357D" w:rsidRPr="0056357D">
        <w:rPr>
          <w:noProof/>
        </w:rPr>
        <w:t>the following Article 37a is inserted:</w:t>
      </w:r>
    </w:p>
    <w:p w14:paraId="46C60344" w14:textId="77777777" w:rsidR="0056357D" w:rsidRPr="0056357D" w:rsidRDefault="0056357D" w:rsidP="00E47213">
      <w:pPr>
        <w:pStyle w:val="Text1"/>
        <w:jc w:val="center"/>
        <w:rPr>
          <w:i/>
          <w:iCs/>
          <w:noProof/>
        </w:rPr>
      </w:pPr>
      <w:r w:rsidRPr="0056357D">
        <w:rPr>
          <w:noProof/>
        </w:rPr>
        <w:t>‘Article 37a</w:t>
      </w:r>
    </w:p>
    <w:p w14:paraId="357828E3" w14:textId="77777777" w:rsidR="0056357D" w:rsidRPr="00E47213" w:rsidRDefault="0056357D" w:rsidP="00E47213">
      <w:pPr>
        <w:pStyle w:val="Text1"/>
        <w:jc w:val="center"/>
        <w:rPr>
          <w:i/>
          <w:iCs/>
          <w:noProof/>
        </w:rPr>
      </w:pPr>
      <w:r w:rsidRPr="00E47213">
        <w:rPr>
          <w:i/>
          <w:iCs/>
          <w:noProof/>
        </w:rPr>
        <w:t>ENISA’s role in mutual assistance</w:t>
      </w:r>
    </w:p>
    <w:p w14:paraId="5DC5567E" w14:textId="77777777" w:rsidR="0056357D" w:rsidRPr="0056357D" w:rsidRDefault="0056357D" w:rsidP="00E47213">
      <w:pPr>
        <w:pStyle w:val="Text1"/>
        <w:rPr>
          <w:noProof/>
        </w:rPr>
      </w:pPr>
      <w:r w:rsidRPr="0056357D">
        <w:rPr>
          <w:noProof/>
        </w:rPr>
        <w:t xml:space="preserve">1. ENISA shall assist Member States in carrying out mutual assistance within the meaning of Article 37 and help facilitate such cooperation processes for essential and important entities that provide services in more than one Member State or that provide services in one or more Member States and have their network and information systems located in one or more other Member States. </w:t>
      </w:r>
    </w:p>
    <w:p w14:paraId="76940B4B" w14:textId="77777777" w:rsidR="0056357D" w:rsidRPr="0056357D" w:rsidRDefault="0056357D" w:rsidP="00E47213">
      <w:pPr>
        <w:pStyle w:val="Text1"/>
        <w:rPr>
          <w:rFonts w:asciiTheme="minorHAnsi" w:hAnsiTheme="minorHAnsi" w:cstheme="minorBidi"/>
          <w:noProof/>
          <w:sz w:val="22"/>
        </w:rPr>
      </w:pPr>
      <w:r w:rsidRPr="0056357D">
        <w:rPr>
          <w:noProof/>
        </w:rPr>
        <w:t xml:space="preserve">2. For the purposes set out in paragraph 1, by … [15 months after the entry into force of this Regulation], ENISA shall conduct a comprehensive analysis of cross-border cybersecurity risks relating to essential and important entities that provide services in more than one Member State or that provide services in one or more Member States and have their network and information systems located in one or more other Member States. The analysis shall evaluate the extent of possible cross-border and internal market consequences of incidents affecting such essential and important entities. For the purpose of this analysis, ENISA shall, in cooperation with the Commission and the Cooperation Group, develop a methodology. </w:t>
      </w:r>
      <w:r w:rsidRPr="00F663D9">
        <w:rPr>
          <w:noProof/>
          <w:lang w:val="en-IE"/>
        </w:rPr>
        <w:t>Based on the analysis, ENISA shall draw up a</w:t>
      </w:r>
      <w:r w:rsidRPr="0056357D">
        <w:rPr>
          <w:noProof/>
        </w:rPr>
        <w:t xml:space="preserve"> comprehensive cross-border cybersecurity risk assessment report, which shall be updated annually.</w:t>
      </w:r>
      <w:r w:rsidRPr="0056357D">
        <w:rPr>
          <w:rFonts w:asciiTheme="minorHAnsi" w:hAnsiTheme="minorHAnsi" w:cstheme="minorBidi"/>
          <w:noProof/>
          <w:sz w:val="22"/>
        </w:rPr>
        <w:t xml:space="preserve"> </w:t>
      </w:r>
    </w:p>
    <w:p w14:paraId="28822F30" w14:textId="77777777" w:rsidR="0056357D" w:rsidRPr="0056357D" w:rsidRDefault="0056357D" w:rsidP="00E47213">
      <w:pPr>
        <w:pStyle w:val="Text1"/>
        <w:rPr>
          <w:noProof/>
        </w:rPr>
      </w:pPr>
      <w:r w:rsidRPr="0056357D">
        <w:rPr>
          <w:noProof/>
        </w:rPr>
        <w:t>3. Based on the comprehensive cross-border cybersecurity risk assessment report, ENISA shall:</w:t>
      </w:r>
    </w:p>
    <w:p w14:paraId="2559107E" w14:textId="1663F90A" w:rsidR="0056357D" w:rsidRPr="0056357D" w:rsidRDefault="005A4C49" w:rsidP="005A4C49">
      <w:pPr>
        <w:pStyle w:val="Point1"/>
        <w:rPr>
          <w:noProof/>
        </w:rPr>
      </w:pPr>
      <w:r w:rsidRPr="005A4C49">
        <w:rPr>
          <w:noProof/>
        </w:rPr>
        <w:t>(a)</w:t>
      </w:r>
      <w:r w:rsidRPr="005A4C49">
        <w:rPr>
          <w:noProof/>
        </w:rPr>
        <w:tab/>
      </w:r>
      <w:r w:rsidR="0056357D" w:rsidRPr="0056357D">
        <w:rPr>
          <w:noProof/>
        </w:rPr>
        <w:t>where appropriate, recommend the relevant competent authorities to set up joint examination teams to support the supervision of specific entities;</w:t>
      </w:r>
    </w:p>
    <w:p w14:paraId="64DA7342" w14:textId="7D2F307C" w:rsidR="0056357D" w:rsidRPr="0056357D" w:rsidRDefault="005A4C49" w:rsidP="005A4C49">
      <w:pPr>
        <w:pStyle w:val="Point1"/>
        <w:rPr>
          <w:noProof/>
        </w:rPr>
      </w:pPr>
      <w:r w:rsidRPr="005A4C49">
        <w:rPr>
          <w:noProof/>
        </w:rPr>
        <w:t>(b)</w:t>
      </w:r>
      <w:r w:rsidRPr="005A4C49">
        <w:rPr>
          <w:noProof/>
        </w:rPr>
        <w:tab/>
      </w:r>
      <w:r w:rsidR="0056357D" w:rsidRPr="0056357D">
        <w:rPr>
          <w:noProof/>
        </w:rPr>
        <w:t>develop guidelines for joint supervisory actions;</w:t>
      </w:r>
    </w:p>
    <w:p w14:paraId="2B84A1BD" w14:textId="1EB76876" w:rsidR="0056357D" w:rsidRPr="0056357D" w:rsidRDefault="005A4C49" w:rsidP="005A4C49">
      <w:pPr>
        <w:pStyle w:val="Point1"/>
        <w:rPr>
          <w:noProof/>
        </w:rPr>
      </w:pPr>
      <w:r w:rsidRPr="005A4C49">
        <w:rPr>
          <w:noProof/>
        </w:rPr>
        <w:t>(c)</w:t>
      </w:r>
      <w:r w:rsidRPr="005A4C49">
        <w:rPr>
          <w:noProof/>
        </w:rPr>
        <w:tab/>
      </w:r>
      <w:r w:rsidR="0056357D" w:rsidRPr="0056357D">
        <w:rPr>
          <w:noProof/>
        </w:rPr>
        <w:t>at the request of the competent authorities of the Member States concerned, establish practical arrangements for the execution of joint supervisory actions;</w:t>
      </w:r>
    </w:p>
    <w:p w14:paraId="1A3DA5AE" w14:textId="6B57B493" w:rsidR="0056357D" w:rsidRPr="0056357D" w:rsidRDefault="005A4C49" w:rsidP="005A4C49">
      <w:pPr>
        <w:pStyle w:val="Point1"/>
        <w:rPr>
          <w:noProof/>
        </w:rPr>
      </w:pPr>
      <w:r w:rsidRPr="005A4C49">
        <w:rPr>
          <w:noProof/>
        </w:rPr>
        <w:t>(d)</w:t>
      </w:r>
      <w:r w:rsidRPr="005A4C49">
        <w:rPr>
          <w:noProof/>
        </w:rPr>
        <w:tab/>
      </w:r>
      <w:r w:rsidR="0056357D" w:rsidRPr="0056357D">
        <w:rPr>
          <w:noProof/>
        </w:rPr>
        <w:t xml:space="preserve">at the request of the competent authorities of the Member States concerned and subject and proportionate to its own resources, participate in joint supervisory actions; </w:t>
      </w:r>
    </w:p>
    <w:p w14:paraId="4A09CBC4" w14:textId="318F8E6D" w:rsidR="0056357D" w:rsidRPr="0056357D" w:rsidRDefault="005A4C49" w:rsidP="005A4C49">
      <w:pPr>
        <w:pStyle w:val="Point1"/>
        <w:rPr>
          <w:noProof/>
        </w:rPr>
      </w:pPr>
      <w:r w:rsidRPr="005A4C49">
        <w:rPr>
          <w:noProof/>
        </w:rPr>
        <w:t>(e)</w:t>
      </w:r>
      <w:r w:rsidRPr="005A4C49">
        <w:rPr>
          <w:noProof/>
        </w:rPr>
        <w:tab/>
      </w:r>
      <w:r w:rsidR="0056357D" w:rsidRPr="0056357D">
        <w:rPr>
          <w:noProof/>
        </w:rPr>
        <w:t xml:space="preserve">at the request of the competent authorities of the Member States concerned, assist in the assessment of an essential or an important entity’s level of implementation of the cybersecurity risk-management measures laid down in Article 21. </w:t>
      </w:r>
    </w:p>
    <w:p w14:paraId="74DB09F2" w14:textId="77777777" w:rsidR="0056357D" w:rsidRPr="0056357D" w:rsidRDefault="0056357D" w:rsidP="00E47213">
      <w:pPr>
        <w:pStyle w:val="Text1"/>
        <w:rPr>
          <w:noProof/>
        </w:rPr>
      </w:pPr>
      <w:r w:rsidRPr="0056357D">
        <w:rPr>
          <w:noProof/>
        </w:rPr>
        <w:t xml:space="preserve">4. For the purpose of paragraph 3, point (e), </w:t>
      </w:r>
      <w:r w:rsidR="006A50DE">
        <w:rPr>
          <w:noProof/>
        </w:rPr>
        <w:t xml:space="preserve">of this Article </w:t>
      </w:r>
      <w:r w:rsidRPr="0056357D">
        <w:rPr>
          <w:noProof/>
        </w:rPr>
        <w:t>the competent authorities of the Member States concerned shall, where available, provide to ENISA a list of cybersecurity-risk management measures taken by the essential or important entity in accordance with Article 21, a list of supervisory or enforcement actions carried out, as well as the relevant documentation including evidence of implementation of cybersecurity policies, such as the results of security audits, that the competent authorities have undertaken pursuant to Articles 32 and 33 in respect of that entity.</w:t>
      </w:r>
    </w:p>
    <w:p w14:paraId="121990C3" w14:textId="77777777" w:rsidR="007A6A86" w:rsidRDefault="0056357D" w:rsidP="00DA5C80">
      <w:pPr>
        <w:pStyle w:val="Text1"/>
        <w:rPr>
          <w:noProof/>
        </w:rPr>
      </w:pPr>
      <w:r w:rsidRPr="0056357D">
        <w:rPr>
          <w:noProof/>
        </w:rPr>
        <w:t>5. Where a Member State receives mutual assistance as referred to in Article 37(1), first subparagraph, point (c), the single point of contact shall inform ENISA that mutual assistance took place. Where applicable, the single point of contact shall state which cross-border incident as referred to in Article 23(6) was connected to the case of mutual assistance.’</w:t>
      </w:r>
    </w:p>
    <w:p w14:paraId="79D34873" w14:textId="4BD12544" w:rsidR="007F3C08" w:rsidRDefault="005A4C49" w:rsidP="005A4C49">
      <w:pPr>
        <w:pStyle w:val="Point0"/>
        <w:rPr>
          <w:noProof/>
        </w:rPr>
      </w:pPr>
      <w:r w:rsidRPr="005A4C49">
        <w:rPr>
          <w:noProof/>
        </w:rPr>
        <w:t>(13)</w:t>
      </w:r>
      <w:r w:rsidRPr="005A4C49">
        <w:rPr>
          <w:noProof/>
        </w:rPr>
        <w:tab/>
      </w:r>
      <w:r w:rsidR="007F3C08">
        <w:rPr>
          <w:noProof/>
        </w:rPr>
        <w:t xml:space="preserve">Annexes I and II </w:t>
      </w:r>
      <w:r w:rsidR="007F3C08" w:rsidRPr="007F3C08">
        <w:rPr>
          <w:noProof/>
          <w:lang w:val="en-IE"/>
        </w:rPr>
        <w:t xml:space="preserve">are amended in accordance with </w:t>
      </w:r>
      <w:r w:rsidR="00423906">
        <w:rPr>
          <w:noProof/>
          <w:lang w:val="en-IE"/>
        </w:rPr>
        <w:t xml:space="preserve">the </w:t>
      </w:r>
      <w:r w:rsidR="007F3C08" w:rsidRPr="007F3C08">
        <w:rPr>
          <w:noProof/>
          <w:lang w:val="en-IE"/>
        </w:rPr>
        <w:t>Annex to this Directive.</w:t>
      </w:r>
    </w:p>
    <w:p w14:paraId="398F6C26" w14:textId="77777777" w:rsidR="002D317B" w:rsidRDefault="007A6A86" w:rsidP="00DA5C80">
      <w:pPr>
        <w:pStyle w:val="Titrearticle"/>
        <w:rPr>
          <w:noProof/>
        </w:rPr>
      </w:pPr>
      <w:r w:rsidRPr="00F663D9">
        <w:rPr>
          <w:noProof/>
        </w:rPr>
        <w:t xml:space="preserve">Article </w:t>
      </w:r>
      <w:r w:rsidR="00332353" w:rsidRPr="00332353">
        <w:rPr>
          <w:iCs/>
          <w:noProof/>
        </w:rPr>
        <w:t>2</w:t>
      </w:r>
      <w:r w:rsidR="00DA5C80">
        <w:rPr>
          <w:iCs/>
          <w:noProof/>
        </w:rPr>
        <w:br/>
      </w:r>
      <w:r w:rsidR="000809AC" w:rsidRPr="00DA5C80">
        <w:rPr>
          <w:b/>
          <w:i w:val="0"/>
          <w:iCs/>
          <w:noProof/>
        </w:rPr>
        <w:t>Transposition</w:t>
      </w:r>
    </w:p>
    <w:p w14:paraId="4E34B7C2" w14:textId="58EB0950" w:rsidR="00EF5821" w:rsidRDefault="005A4C49" w:rsidP="005A4C49">
      <w:pPr>
        <w:pStyle w:val="ManualNumPar1"/>
        <w:rPr>
          <w:noProof/>
        </w:rPr>
      </w:pPr>
      <w:r w:rsidRPr="005A4C49">
        <w:rPr>
          <w:noProof/>
        </w:rPr>
        <w:t>1.</w:t>
      </w:r>
      <w:r w:rsidRPr="005A4C49">
        <w:rPr>
          <w:noProof/>
        </w:rPr>
        <w:tab/>
      </w:r>
      <w:r w:rsidR="003E230E">
        <w:rPr>
          <w:noProof/>
        </w:rPr>
        <w:t xml:space="preserve">By </w:t>
      </w:r>
      <w:r w:rsidR="00EF5821">
        <w:rPr>
          <w:noProof/>
        </w:rPr>
        <w:t xml:space="preserve">… </w:t>
      </w:r>
      <w:r w:rsidR="003E230E">
        <w:rPr>
          <w:noProof/>
        </w:rPr>
        <w:t>[12 months after entry into force of this Directive], Member States shall adopt and publish the measures necessary to comply with this Directive. They shall immediately inform the Commission thereof.</w:t>
      </w:r>
    </w:p>
    <w:p w14:paraId="577A7207" w14:textId="77777777" w:rsidR="00EF5821" w:rsidRPr="00EF5821" w:rsidRDefault="003E230E" w:rsidP="00DA5C80">
      <w:pPr>
        <w:pStyle w:val="Text1"/>
        <w:rPr>
          <w:noProof/>
        </w:rPr>
      </w:pPr>
      <w:r>
        <w:rPr>
          <w:noProof/>
        </w:rPr>
        <w:t xml:space="preserve">They shall apply those measures from </w:t>
      </w:r>
      <w:r w:rsidR="00EF5821">
        <w:rPr>
          <w:noProof/>
        </w:rPr>
        <w:t>… [</w:t>
      </w:r>
      <w:r w:rsidR="00EF5821" w:rsidRPr="00EF5821">
        <w:rPr>
          <w:noProof/>
        </w:rPr>
        <w:t>one day after the date referred to in the first subparagraph]</w:t>
      </w:r>
      <w:r>
        <w:rPr>
          <w:noProof/>
        </w:rPr>
        <w:t>.</w:t>
      </w:r>
    </w:p>
    <w:p w14:paraId="0F756D9B" w14:textId="1D4E1E3F" w:rsidR="002D317B" w:rsidRDefault="005A4C49" w:rsidP="005A4C49">
      <w:pPr>
        <w:pStyle w:val="ManualNumPar1"/>
        <w:rPr>
          <w:noProof/>
        </w:rPr>
      </w:pPr>
      <w:r w:rsidRPr="005A4C49">
        <w:rPr>
          <w:noProof/>
        </w:rPr>
        <w:t>2.</w:t>
      </w:r>
      <w:r w:rsidRPr="005A4C49">
        <w:rPr>
          <w:noProof/>
        </w:rPr>
        <w:tab/>
      </w:r>
      <w:r w:rsidR="001905EC" w:rsidRPr="001905EC">
        <w:rPr>
          <w:noProof/>
        </w:rPr>
        <w:t>When Member States adopt the measures referred to in paragraph 1, they shall contain a reference to this Directive or shall be accompanied by such reference on the occasion of their official publication. The methods of making such reference shall be laid down by Member States.</w:t>
      </w:r>
    </w:p>
    <w:p w14:paraId="26FA9ED7" w14:textId="77777777" w:rsidR="002D317B" w:rsidRDefault="000809AC" w:rsidP="00DA5C80">
      <w:pPr>
        <w:pStyle w:val="Titrearticle"/>
        <w:rPr>
          <w:noProof/>
        </w:rPr>
      </w:pPr>
      <w:r w:rsidRPr="00332353">
        <w:rPr>
          <w:noProof/>
        </w:rPr>
        <w:t xml:space="preserve">Article </w:t>
      </w:r>
      <w:r w:rsidR="00332353" w:rsidRPr="00F663D9">
        <w:rPr>
          <w:noProof/>
        </w:rPr>
        <w:t>3</w:t>
      </w:r>
      <w:r w:rsidR="00DA5C80">
        <w:rPr>
          <w:noProof/>
        </w:rPr>
        <w:br/>
      </w:r>
      <w:r w:rsidRPr="00DA5C80">
        <w:rPr>
          <w:b/>
          <w:i w:val="0"/>
          <w:iCs/>
          <w:noProof/>
        </w:rPr>
        <w:t>Entry into force</w:t>
      </w:r>
    </w:p>
    <w:p w14:paraId="77AC552D" w14:textId="77777777" w:rsidR="002D317B" w:rsidRDefault="000809AC">
      <w:pPr>
        <w:rPr>
          <w:noProof/>
        </w:rPr>
      </w:pPr>
      <w:r>
        <w:rPr>
          <w:noProof/>
        </w:rPr>
        <w:t xml:space="preserve">This Directive shall enter into force on the </w:t>
      </w:r>
      <w:r w:rsidR="003F3B57">
        <w:rPr>
          <w:noProof/>
        </w:rPr>
        <w:t xml:space="preserve">twentieth </w:t>
      </w:r>
      <w:r>
        <w:rPr>
          <w:noProof/>
        </w:rPr>
        <w:t>day following that of its publication in the</w:t>
      </w:r>
      <w:r w:rsidR="003F3B57">
        <w:rPr>
          <w:noProof/>
        </w:rPr>
        <w:t xml:space="preserve"> </w:t>
      </w:r>
      <w:r>
        <w:rPr>
          <w:i/>
          <w:noProof/>
        </w:rPr>
        <w:t>Official Journal of the European Union</w:t>
      </w:r>
      <w:r>
        <w:rPr>
          <w:noProof/>
        </w:rPr>
        <w:t>.</w:t>
      </w:r>
    </w:p>
    <w:p w14:paraId="294C8C98" w14:textId="77777777" w:rsidR="002D317B" w:rsidRDefault="000809AC" w:rsidP="0088643A">
      <w:pPr>
        <w:pStyle w:val="Titrearticle"/>
        <w:rPr>
          <w:noProof/>
        </w:rPr>
      </w:pPr>
      <w:r>
        <w:rPr>
          <w:noProof/>
        </w:rPr>
        <w:t xml:space="preserve">Article </w:t>
      </w:r>
      <w:r w:rsidR="00332353">
        <w:rPr>
          <w:noProof/>
        </w:rPr>
        <w:t>4</w:t>
      </w:r>
      <w:r w:rsidR="00DA5C80">
        <w:rPr>
          <w:noProof/>
        </w:rPr>
        <w:br/>
      </w:r>
      <w:r w:rsidRPr="00DA5C80">
        <w:rPr>
          <w:b/>
          <w:i w:val="0"/>
          <w:iCs/>
          <w:noProof/>
        </w:rPr>
        <w:t>Addressees</w:t>
      </w:r>
    </w:p>
    <w:p w14:paraId="78BA76C3" w14:textId="77777777" w:rsidR="002D317B" w:rsidRDefault="000809AC">
      <w:pPr>
        <w:rPr>
          <w:noProof/>
        </w:rPr>
      </w:pPr>
      <w:r>
        <w:rPr>
          <w:noProof/>
        </w:rPr>
        <w:t>This Directive is addressed to the Member States.</w:t>
      </w:r>
    </w:p>
    <w:p w14:paraId="246B04FD" w14:textId="337380EA" w:rsidR="002D317B" w:rsidRDefault="00D75EFE" w:rsidP="0088643A">
      <w:pPr>
        <w:pStyle w:val="Fait"/>
        <w:rPr>
          <w:noProof/>
        </w:rPr>
      </w:pPr>
      <w:r>
        <w:rPr>
          <w:noProof/>
        </w:rPr>
        <w:t>Done at Strasbourg,</w:t>
      </w:r>
    </w:p>
    <w:p w14:paraId="38AB11FC" w14:textId="77777777" w:rsidR="002D317B" w:rsidRDefault="000809AC" w:rsidP="0088643A">
      <w:pPr>
        <w:pStyle w:val="Institutionquisigne"/>
        <w:rPr>
          <w:noProof/>
        </w:rPr>
      </w:pPr>
      <w:r>
        <w:rPr>
          <w:noProof/>
        </w:rPr>
        <w:t>For the European Parliament</w:t>
      </w:r>
      <w:r>
        <w:rPr>
          <w:noProof/>
        </w:rPr>
        <w:tab/>
        <w:t>For the Council</w:t>
      </w:r>
    </w:p>
    <w:p w14:paraId="15DDD39B" w14:textId="77777777" w:rsidR="002D317B" w:rsidRDefault="000809AC" w:rsidP="0088643A">
      <w:pPr>
        <w:pStyle w:val="Personnequisigne"/>
        <w:keepNext/>
        <w:rPr>
          <w:noProof/>
        </w:rPr>
      </w:pPr>
      <w:r>
        <w:rPr>
          <w:noProof/>
        </w:rPr>
        <w:t>The President</w:t>
      </w:r>
      <w:r>
        <w:rPr>
          <w:noProof/>
        </w:rPr>
        <w:tab/>
        <w:t>The President</w:t>
      </w:r>
    </w:p>
    <w:p w14:paraId="7A0B99BA" w14:textId="77777777" w:rsidR="002D317B" w:rsidRDefault="000809AC">
      <w:pPr>
        <w:pStyle w:val="Personnequisigne"/>
        <w:rPr>
          <w:noProof/>
        </w:rPr>
      </w:pPr>
      <w:r>
        <w:rPr>
          <w:noProof/>
        </w:rPr>
        <w:t>[...]</w:t>
      </w:r>
      <w:r>
        <w:rPr>
          <w:noProof/>
        </w:rPr>
        <w:tab/>
        <w:t>[...]</w:t>
      </w:r>
    </w:p>
    <w:sectPr w:rsidR="002D317B" w:rsidSect="00924944">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592E6" w14:textId="77777777" w:rsidR="00927E8B" w:rsidRDefault="00927E8B" w:rsidP="000E6520">
      <w:pPr>
        <w:spacing w:before="0" w:after="0"/>
      </w:pPr>
      <w:r>
        <w:separator/>
      </w:r>
    </w:p>
  </w:endnote>
  <w:endnote w:type="continuationSeparator" w:id="0">
    <w:p w14:paraId="5BB1E889" w14:textId="77777777" w:rsidR="00927E8B" w:rsidRDefault="00927E8B" w:rsidP="000E6520">
      <w:pPr>
        <w:spacing w:before="0" w:after="0"/>
      </w:pPr>
      <w:r>
        <w:continuationSeparator/>
      </w:r>
    </w:p>
  </w:endnote>
  <w:endnote w:type="continuationNotice" w:id="1">
    <w:p w14:paraId="5E6180A3" w14:textId="77777777" w:rsidR="00927E8B" w:rsidRDefault="00927E8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857DB" w14:textId="03566378" w:rsidR="00924944" w:rsidRPr="00924944" w:rsidRDefault="00924944" w:rsidP="00924944">
    <w:pPr>
      <w:pStyle w:val="Footer"/>
      <w:rPr>
        <w:rFonts w:ascii="Arial" w:hAnsi="Arial" w:cs="Arial"/>
        <w:b/>
        <w:sz w:val="48"/>
      </w:rPr>
    </w:pPr>
    <w:r w:rsidRPr="00924944">
      <w:rPr>
        <w:rFonts w:ascii="Arial" w:hAnsi="Arial" w:cs="Arial"/>
        <w:b/>
        <w:sz w:val="48"/>
      </w:rPr>
      <w:t>EN</w:t>
    </w:r>
    <w:r w:rsidRPr="00924944">
      <w:rPr>
        <w:rFonts w:ascii="Arial" w:hAnsi="Arial" w:cs="Arial"/>
        <w:b/>
        <w:sz w:val="48"/>
      </w:rPr>
      <w:tab/>
    </w:r>
    <w:r w:rsidRPr="00924944">
      <w:rPr>
        <w:rFonts w:ascii="Arial" w:hAnsi="Arial" w:cs="Arial"/>
        <w:b/>
        <w:sz w:val="48"/>
      </w:rPr>
      <w:tab/>
    </w:r>
    <w:r w:rsidRPr="00924944">
      <w:tab/>
    </w:r>
    <w:r w:rsidRPr="0092494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9AF02" w14:textId="51113DBA" w:rsidR="00924944" w:rsidRPr="00924944" w:rsidRDefault="00924944" w:rsidP="00924944">
    <w:pPr>
      <w:pStyle w:val="Footer"/>
      <w:rPr>
        <w:rFonts w:ascii="Arial" w:hAnsi="Arial" w:cs="Arial"/>
        <w:b/>
        <w:sz w:val="48"/>
      </w:rPr>
    </w:pPr>
    <w:r w:rsidRPr="00924944">
      <w:rPr>
        <w:rFonts w:ascii="Arial" w:hAnsi="Arial" w:cs="Arial"/>
        <w:b/>
        <w:sz w:val="48"/>
      </w:rPr>
      <w:t>EN</w:t>
    </w:r>
    <w:r w:rsidRPr="00924944">
      <w:rPr>
        <w:rFonts w:ascii="Arial" w:hAnsi="Arial" w:cs="Arial"/>
        <w:b/>
        <w:sz w:val="48"/>
      </w:rPr>
      <w:tab/>
    </w:r>
    <w:r w:rsidRPr="00924944">
      <w:rPr>
        <w:rFonts w:ascii="Arial" w:hAnsi="Arial" w:cs="Arial"/>
        <w:b/>
        <w:sz w:val="48"/>
      </w:rPr>
      <w:tab/>
    </w:r>
    <w:r w:rsidRPr="00924944">
      <w:tab/>
    </w:r>
    <w:r w:rsidRPr="0092494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FA0B8" w14:textId="77777777" w:rsidR="00924944" w:rsidRDefault="009249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FE03B" w14:textId="46F24F9B" w:rsidR="00924944" w:rsidRPr="00924944" w:rsidRDefault="00924944" w:rsidP="00924944">
    <w:pPr>
      <w:pStyle w:val="Footer"/>
      <w:rPr>
        <w:rFonts w:ascii="Arial" w:hAnsi="Arial" w:cs="Arial"/>
        <w:b/>
        <w:sz w:val="48"/>
      </w:rPr>
    </w:pPr>
    <w:r w:rsidRPr="00924944">
      <w:rPr>
        <w:rFonts w:ascii="Arial" w:hAnsi="Arial" w:cs="Arial"/>
        <w:b/>
        <w:sz w:val="48"/>
      </w:rPr>
      <w:t>EN</w:t>
    </w:r>
    <w:r w:rsidRPr="00924944">
      <w:rPr>
        <w:rFonts w:ascii="Arial" w:hAnsi="Arial" w:cs="Arial"/>
        <w:b/>
        <w:sz w:val="48"/>
      </w:rPr>
      <w:tab/>
    </w:r>
    <w:r>
      <w:fldChar w:fldCharType="begin"/>
    </w:r>
    <w:r>
      <w:instrText xml:space="preserve"> PAGE  \* MERGEFORMAT </w:instrText>
    </w:r>
    <w:r>
      <w:fldChar w:fldCharType="separate"/>
    </w:r>
    <w:r w:rsidR="0088643A">
      <w:rPr>
        <w:noProof/>
      </w:rPr>
      <w:t>16</w:t>
    </w:r>
    <w:r>
      <w:fldChar w:fldCharType="end"/>
    </w:r>
    <w:r>
      <w:tab/>
    </w:r>
    <w:r w:rsidRPr="00924944">
      <w:tab/>
    </w:r>
    <w:r w:rsidRPr="0092494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B2BF8" w14:textId="77777777" w:rsidR="00924944" w:rsidRDefault="00924944" w:rsidP="00924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86087" w14:textId="77777777" w:rsidR="00927E8B" w:rsidRDefault="00927E8B" w:rsidP="000E6520">
      <w:pPr>
        <w:spacing w:before="0" w:after="0"/>
      </w:pPr>
      <w:r>
        <w:separator/>
      </w:r>
    </w:p>
  </w:footnote>
  <w:footnote w:type="continuationSeparator" w:id="0">
    <w:p w14:paraId="0BDEAF20" w14:textId="77777777" w:rsidR="00927E8B" w:rsidRDefault="00927E8B" w:rsidP="000E6520">
      <w:pPr>
        <w:spacing w:before="0" w:after="0"/>
      </w:pPr>
      <w:r>
        <w:continuationSeparator/>
      </w:r>
    </w:p>
  </w:footnote>
  <w:footnote w:type="continuationNotice" w:id="1">
    <w:p w14:paraId="515EF77D" w14:textId="77777777" w:rsidR="00927E8B" w:rsidRDefault="00927E8B">
      <w:pPr>
        <w:spacing w:before="0" w:after="0"/>
      </w:pPr>
    </w:p>
  </w:footnote>
  <w:footnote w:id="2">
    <w:p w14:paraId="7CE98BBC" w14:textId="77777777" w:rsidR="6C5F9DDC" w:rsidRDefault="6C5F9DDC" w:rsidP="00F663D9">
      <w:pPr>
        <w:pStyle w:val="FootnoteText"/>
      </w:pPr>
      <w:r w:rsidRPr="009E7540">
        <w:rPr>
          <w:rStyle w:val="FootnoteReference"/>
        </w:rPr>
        <w:footnoteRef/>
      </w:r>
      <w:r w:rsidR="009E7540">
        <w:tab/>
      </w:r>
      <w:r w:rsidRPr="6C5F9DDC">
        <w:rPr>
          <w:rFonts w:eastAsia="Times New Roman"/>
          <w:color w:val="000000" w:themeColor="text1"/>
        </w:rPr>
        <w:t>ENISA, ENISA Threat Landscape 2025.</w:t>
      </w:r>
    </w:p>
  </w:footnote>
  <w:footnote w:id="3">
    <w:p w14:paraId="26A2A069" w14:textId="77777777" w:rsidR="003A2B25" w:rsidRPr="00124010" w:rsidRDefault="003A2B25" w:rsidP="003A2B25">
      <w:pPr>
        <w:pStyle w:val="FootnoteText"/>
      </w:pPr>
      <w:r w:rsidRPr="00643D1E">
        <w:rPr>
          <w:rStyle w:val="FootnoteReference"/>
        </w:rPr>
        <w:footnoteRef/>
      </w:r>
      <w:r>
        <w:tab/>
      </w:r>
      <w:r w:rsidRPr="00202F41">
        <w:t>JOIN/2025/130 final.</w:t>
      </w:r>
    </w:p>
  </w:footnote>
  <w:footnote w:id="4">
    <w:p w14:paraId="47F0B263" w14:textId="77777777" w:rsidR="003A2B25" w:rsidRPr="00202F41" w:rsidRDefault="003A2B25" w:rsidP="003A2B25">
      <w:pPr>
        <w:pStyle w:val="FootnoteText"/>
      </w:pPr>
      <w:r w:rsidRPr="00643D1E">
        <w:rPr>
          <w:rStyle w:val="FootnoteReference"/>
        </w:rPr>
        <w:footnoteRef/>
      </w:r>
      <w:r>
        <w:tab/>
      </w:r>
      <w:r w:rsidRPr="00202F41">
        <w:t>COM/2025/148 final.</w:t>
      </w:r>
    </w:p>
  </w:footnote>
  <w:footnote w:id="5">
    <w:p w14:paraId="77F85C6C" w14:textId="77777777" w:rsidR="009C1ED9" w:rsidRDefault="009C1ED9" w:rsidP="009C1ED9">
      <w:pPr>
        <w:pStyle w:val="FootnoteText"/>
      </w:pPr>
      <w:r w:rsidRPr="009E7540">
        <w:rPr>
          <w:rStyle w:val="FootnoteReference"/>
        </w:rPr>
        <w:footnoteRef/>
      </w:r>
      <w:r w:rsidR="009E7540">
        <w:tab/>
      </w:r>
      <w:r>
        <w:t>JOIN(2025) 977 final.</w:t>
      </w:r>
    </w:p>
  </w:footnote>
  <w:footnote w:id="6">
    <w:p w14:paraId="0DFEA0FC" w14:textId="77777777" w:rsidR="00E61413" w:rsidRPr="00237670" w:rsidRDefault="00E61413" w:rsidP="00E61413">
      <w:pPr>
        <w:pStyle w:val="FootnoteText"/>
        <w:jc w:val="left"/>
        <w:rPr>
          <w:sz w:val="18"/>
          <w:szCs w:val="18"/>
          <w:lang w:val="cs-CZ"/>
        </w:rPr>
      </w:pPr>
      <w:r w:rsidRPr="00643D1E">
        <w:rPr>
          <w:rStyle w:val="FootnoteReference"/>
        </w:rPr>
        <w:footnoteRef/>
      </w:r>
      <w:r>
        <w:rPr>
          <w:sz w:val="18"/>
          <w:szCs w:val="18"/>
        </w:rPr>
        <w:tab/>
      </w:r>
      <w:r w:rsidRPr="00237670">
        <w:rPr>
          <w:sz w:val="18"/>
          <w:szCs w:val="18"/>
        </w:rPr>
        <w:t>European Commission, The future of European Competitiveness,</w:t>
      </w:r>
      <w:r>
        <w:rPr>
          <w:sz w:val="18"/>
          <w:szCs w:val="18"/>
        </w:rPr>
        <w:t xml:space="preserve"> </w:t>
      </w:r>
      <w:hyperlink r:id="rId1" w:history="1">
        <w:r w:rsidRPr="00951954">
          <w:rPr>
            <w:rStyle w:val="Hyperlink"/>
            <w:sz w:val="18"/>
            <w:szCs w:val="18"/>
          </w:rPr>
          <w:t>https://commission.europa.eu/document/download/97e481fd-2dc3-412d-be4c-f152a8232961_en?filename=The%20future%20of%20European%20competitiveness%20_%20A%20competitiveness%20strategy%20for%20Europe.pdf</w:t>
        </w:r>
      </w:hyperlink>
      <w:r>
        <w:rPr>
          <w:sz w:val="18"/>
          <w:szCs w:val="18"/>
        </w:rPr>
        <w:t>.</w:t>
      </w:r>
    </w:p>
  </w:footnote>
  <w:footnote w:id="7">
    <w:p w14:paraId="7C729FDC" w14:textId="77777777" w:rsidR="00BC696E" w:rsidRDefault="00BC696E">
      <w:pPr>
        <w:pStyle w:val="FootnoteText"/>
      </w:pPr>
      <w:r w:rsidRPr="009E7540">
        <w:rPr>
          <w:rStyle w:val="FootnoteReference"/>
        </w:rPr>
        <w:footnoteRef/>
      </w:r>
      <w:r w:rsidR="009E7540">
        <w:tab/>
      </w:r>
      <w:r w:rsidRPr="00BC696E">
        <w:t>COM(2025) 47 final.</w:t>
      </w:r>
    </w:p>
  </w:footnote>
  <w:footnote w:id="8">
    <w:p w14:paraId="546BC397" w14:textId="77777777" w:rsidR="00C00F14" w:rsidRPr="00D44F7B" w:rsidRDefault="00C00F14" w:rsidP="00C00F14">
      <w:pPr>
        <w:pStyle w:val="FootnoteText"/>
        <w:rPr>
          <w:sz w:val="18"/>
          <w:szCs w:val="18"/>
          <w:lang w:val="en-IE"/>
        </w:rPr>
      </w:pPr>
      <w:r w:rsidRPr="00643D1E">
        <w:rPr>
          <w:rStyle w:val="FootnoteReference"/>
        </w:rPr>
        <w:footnoteRef/>
      </w:r>
      <w:r>
        <w:rPr>
          <w:rFonts w:eastAsia="Times New Roman"/>
          <w:sz w:val="18"/>
          <w:szCs w:val="18"/>
        </w:rPr>
        <w:tab/>
      </w:r>
      <w:r w:rsidRPr="00412E1F">
        <w:rPr>
          <w:rFonts w:eastAsia="Times New Roman"/>
        </w:rPr>
        <w:t>COM/2025/66 final.</w:t>
      </w:r>
    </w:p>
  </w:footnote>
  <w:footnote w:id="9">
    <w:p w14:paraId="453B5DAF" w14:textId="77777777" w:rsidR="00C00F14" w:rsidRPr="00F663D9" w:rsidRDefault="00C00F14" w:rsidP="00C00F14">
      <w:pPr>
        <w:pStyle w:val="FootnoteText"/>
        <w:rPr>
          <w:lang w:val="en-IE"/>
        </w:rPr>
      </w:pPr>
      <w:r w:rsidRPr="009E7540">
        <w:rPr>
          <w:rStyle w:val="FootnoteReference"/>
        </w:rPr>
        <w:footnoteRef/>
      </w:r>
      <w:r w:rsidR="009E7540">
        <w:tab/>
      </w:r>
      <w:r w:rsidRPr="00E706B7">
        <w:t>COM(2025) 10 final</w:t>
      </w:r>
      <w:r>
        <w:t>.</w:t>
      </w:r>
    </w:p>
  </w:footnote>
  <w:footnote w:id="10">
    <w:p w14:paraId="1185D6A6" w14:textId="77777777" w:rsidR="00C00F14" w:rsidRPr="00D44F7B" w:rsidRDefault="00C00F14" w:rsidP="00C00F14">
      <w:pPr>
        <w:pStyle w:val="FootnoteText"/>
        <w:rPr>
          <w:sz w:val="18"/>
          <w:szCs w:val="18"/>
          <w:lang w:val="en-IE"/>
        </w:rPr>
      </w:pPr>
      <w:r w:rsidRPr="00643D1E">
        <w:rPr>
          <w:rStyle w:val="FootnoteReference"/>
        </w:rPr>
        <w:footnoteRef/>
      </w:r>
      <w:r>
        <w:rPr>
          <w:rFonts w:eastAsia="Times New Roman"/>
          <w:sz w:val="18"/>
          <w:szCs w:val="18"/>
        </w:rPr>
        <w:tab/>
      </w:r>
      <w:r w:rsidRPr="00D44F7B">
        <w:rPr>
          <w:rFonts w:eastAsia="Times New Roman"/>
          <w:sz w:val="18"/>
          <w:szCs w:val="18"/>
        </w:rPr>
        <w:t>COM(2023) 207 final.</w:t>
      </w:r>
    </w:p>
  </w:footnote>
  <w:footnote w:id="11">
    <w:p w14:paraId="56884A23" w14:textId="77777777" w:rsidR="00BB08E4" w:rsidRPr="00412E1F" w:rsidRDefault="00BB08E4" w:rsidP="00BB08E4">
      <w:pPr>
        <w:pStyle w:val="FootnoteText"/>
        <w:rPr>
          <w:lang w:val="en-IE"/>
        </w:rPr>
      </w:pPr>
      <w:r w:rsidRPr="009E7540">
        <w:rPr>
          <w:rStyle w:val="FootnoteReference"/>
        </w:rPr>
        <w:footnoteRef/>
      </w:r>
      <w:r w:rsidR="009E7540">
        <w:tab/>
      </w:r>
      <w:r>
        <w:t xml:space="preserve">Commission Implementing Regulation (EU) 2023/203 and Commission Delegated Regulation (EU) 2022/1645. </w:t>
      </w:r>
    </w:p>
  </w:footnote>
  <w:footnote w:id="12">
    <w:p w14:paraId="45910485" w14:textId="7F94210F" w:rsidR="00145050" w:rsidRPr="00B76F74" w:rsidRDefault="00145050">
      <w:pPr>
        <w:pStyle w:val="FootnoteText"/>
        <w:rPr>
          <w:lang w:val="en-US"/>
        </w:rPr>
      </w:pPr>
      <w:r w:rsidRPr="009E7540">
        <w:rPr>
          <w:rStyle w:val="FootnoteReference"/>
        </w:rPr>
        <w:footnoteRef/>
      </w:r>
      <w:r w:rsidR="009E7540">
        <w:tab/>
      </w:r>
      <w:r w:rsidRPr="00145050">
        <w:t>COM/2025/838 final</w:t>
      </w:r>
      <w:r w:rsidR="009813F9">
        <w:t>.</w:t>
      </w:r>
    </w:p>
  </w:footnote>
  <w:footnote w:id="13">
    <w:p w14:paraId="2892050A" w14:textId="77777777" w:rsidR="004B5A0D" w:rsidRPr="00583DE4" w:rsidRDefault="004B5A0D" w:rsidP="004B5A0D">
      <w:pPr>
        <w:pStyle w:val="FootnoteText"/>
      </w:pPr>
      <w:r>
        <w:rPr>
          <w:rStyle w:val="FootnoteReference"/>
        </w:rPr>
        <w:footnoteRef/>
      </w:r>
      <w:r>
        <w:t xml:space="preserve"> </w:t>
      </w:r>
      <w:r>
        <w:tab/>
      </w:r>
      <w:r w:rsidRPr="009813F9">
        <w:t>COM/2025/335 final</w:t>
      </w:r>
      <w:r>
        <w:t>.</w:t>
      </w:r>
    </w:p>
  </w:footnote>
  <w:footnote w:id="14">
    <w:p w14:paraId="67673A0E" w14:textId="77777777" w:rsidR="009E7540" w:rsidRPr="009E7540" w:rsidRDefault="009E7540">
      <w:pPr>
        <w:pStyle w:val="FootnoteText"/>
        <w:rPr>
          <w:lang w:val="en-IE"/>
        </w:rPr>
      </w:pPr>
      <w:r>
        <w:rPr>
          <w:rStyle w:val="FootnoteReference"/>
        </w:rPr>
        <w:footnoteRef/>
      </w:r>
      <w:r>
        <w:rPr>
          <w:lang w:val="en-IE"/>
        </w:rPr>
        <w:tab/>
      </w:r>
      <w:r>
        <w:t>OJ C [...], [...], p. [...]</w:t>
      </w:r>
    </w:p>
  </w:footnote>
  <w:footnote w:id="15">
    <w:p w14:paraId="7E2B1FD2" w14:textId="77777777" w:rsidR="009E7540" w:rsidRPr="009E7540" w:rsidRDefault="009E7540">
      <w:pPr>
        <w:pStyle w:val="FootnoteText"/>
        <w:rPr>
          <w:lang w:val="en-IE"/>
        </w:rPr>
      </w:pPr>
      <w:r>
        <w:rPr>
          <w:rStyle w:val="FootnoteReference"/>
        </w:rPr>
        <w:footnoteRef/>
      </w:r>
      <w:r>
        <w:rPr>
          <w:lang w:val="en-IE"/>
        </w:rPr>
        <w:tab/>
      </w:r>
      <w:r>
        <w:t>OJ C [...], [...], p. [...]</w:t>
      </w:r>
    </w:p>
  </w:footnote>
  <w:footnote w:id="16">
    <w:p w14:paraId="5770BB57" w14:textId="77777777" w:rsidR="00032FB7" w:rsidRPr="00340B07" w:rsidRDefault="00032FB7">
      <w:pPr>
        <w:pStyle w:val="FootnoteText"/>
        <w:rPr>
          <w:lang w:val="en-IE"/>
        </w:rPr>
      </w:pPr>
      <w:r w:rsidRPr="007C6F21">
        <w:rPr>
          <w:rStyle w:val="FootnoteReference"/>
        </w:rPr>
        <w:footnoteRef/>
      </w:r>
      <w:r w:rsidR="007C6F21">
        <w:tab/>
      </w:r>
      <w:r w:rsidR="001702A9" w:rsidRPr="001702A9">
        <w:rPr>
          <w:lang w:val="en-IE"/>
        </w:rPr>
        <w:t>Directive (EU) 2022/2555 of the European Parliament and of the Council of 14 December 2022 on measures for a high common level of cybersecurity across the Union, amending Regulation (EU) No 910/2014 and Directive (EU) 2018/1972, and repealing Directive (EU) 2016/1148 (NIS 2 Directive)</w:t>
      </w:r>
      <w:r w:rsidR="00EA382A">
        <w:rPr>
          <w:lang w:val="en-IE"/>
        </w:rPr>
        <w:t xml:space="preserve"> (</w:t>
      </w:r>
      <w:r w:rsidR="00EA382A" w:rsidRPr="00EA382A">
        <w:rPr>
          <w:lang w:val="en-IE"/>
        </w:rPr>
        <w:t>OJ L 333, 27.12.2022, p. 80</w:t>
      </w:r>
      <w:r w:rsidR="00EA382A">
        <w:rPr>
          <w:lang w:val="en-IE"/>
        </w:rPr>
        <w:t xml:space="preserve">, </w:t>
      </w:r>
      <w:r w:rsidR="00EA382A" w:rsidRPr="00EA382A">
        <w:rPr>
          <w:lang w:val="en-IE"/>
        </w:rPr>
        <w:t>ELI: http://data.europa.eu/eli/dir/2022/2555/oj</w:t>
      </w:r>
      <w:r w:rsidR="00EA382A">
        <w:rPr>
          <w:lang w:val="en-IE"/>
        </w:rPr>
        <w:t>).</w:t>
      </w:r>
    </w:p>
  </w:footnote>
  <w:footnote w:id="17">
    <w:p w14:paraId="1ACFE2C8" w14:textId="77777777" w:rsidR="009E7540" w:rsidRPr="009E7540" w:rsidRDefault="009E7540">
      <w:pPr>
        <w:pStyle w:val="FootnoteText"/>
        <w:rPr>
          <w:lang w:val="en-IE"/>
        </w:rPr>
      </w:pPr>
      <w:r>
        <w:rPr>
          <w:rStyle w:val="FootnoteReference"/>
        </w:rPr>
        <w:footnoteRef/>
      </w:r>
      <w:r>
        <w:rPr>
          <w:lang w:val="en-IE"/>
        </w:rPr>
        <w:tab/>
      </w:r>
      <w:r>
        <w:t>Commission Recommendation (EU) 2025/1099 of 21 May 2025 on the definition of small mid-cap enterprises (OJ L, 2025/1099, 28.5.2025, ELI: http://data.europa.eu/eli/reco/2025/1099/oj).</w:t>
      </w:r>
    </w:p>
  </w:footnote>
  <w:footnote w:id="18">
    <w:p w14:paraId="343BD4E5" w14:textId="77777777" w:rsidR="00871D16" w:rsidRPr="00DA68E1" w:rsidRDefault="00871D16" w:rsidP="00871D16">
      <w:pPr>
        <w:pStyle w:val="FootnoteText"/>
      </w:pPr>
      <w:r w:rsidRPr="009E7540">
        <w:rPr>
          <w:rStyle w:val="FootnoteReference"/>
        </w:rPr>
        <w:footnoteRef/>
      </w:r>
      <w:r w:rsidR="009E7540">
        <w:tab/>
      </w:r>
      <w:r>
        <w:t>Commission Recommendation 2003/361/EC of 6 May 2003 concerning the definition of micro, small and medium-sized enterprises (</w:t>
      </w:r>
      <w:r w:rsidRPr="00DA68E1">
        <w:t>OJ L 124, 20.5.2003, p. 36</w:t>
      </w:r>
      <w:r>
        <w:rPr>
          <w:lang w:val="en-IE"/>
        </w:rPr>
        <w:t xml:space="preserve">, </w:t>
      </w:r>
      <w:r w:rsidRPr="00DA68E1">
        <w:t>ELI: http://data.europa.eu/eli/reco/2003/361/oj</w:t>
      </w:r>
      <w:r>
        <w:t>).</w:t>
      </w:r>
    </w:p>
  </w:footnote>
  <w:footnote w:id="19">
    <w:p w14:paraId="76631E8B" w14:textId="77777777" w:rsidR="00871D16" w:rsidRPr="00B84806" w:rsidRDefault="00871D16" w:rsidP="00871D16">
      <w:pPr>
        <w:pStyle w:val="FootnoteText"/>
      </w:pPr>
      <w:r w:rsidRPr="009E7540">
        <w:rPr>
          <w:rStyle w:val="FootnoteReference"/>
        </w:rPr>
        <w:footnoteRef/>
      </w:r>
      <w:r w:rsidR="009E7540">
        <w:tab/>
      </w:r>
      <w:r>
        <w:t>Directive (EU) 2019/944 of 5 June 2019 on common rules for the internal market for electricity and amending Directive 2012/27/EU (</w:t>
      </w:r>
      <w:r w:rsidRPr="00DA68E1">
        <w:t>OJ L 158, 14.6.2019, p. 125</w:t>
      </w:r>
      <w:r>
        <w:rPr>
          <w:lang w:val="en-IE"/>
        </w:rPr>
        <w:t xml:space="preserve">; </w:t>
      </w:r>
      <w:r>
        <w:t>ELI: http://data.europa.eu/eli/dir/2019/944/oj</w:t>
      </w:r>
      <w:r w:rsidR="004C55CC">
        <w:t>).</w:t>
      </w:r>
    </w:p>
  </w:footnote>
  <w:footnote w:id="20">
    <w:p w14:paraId="5397B407" w14:textId="77777777" w:rsidR="000633CC" w:rsidRPr="00340B07" w:rsidRDefault="000633CC">
      <w:pPr>
        <w:pStyle w:val="FootnoteText"/>
        <w:rPr>
          <w:lang w:val="en-IE"/>
        </w:rPr>
      </w:pPr>
      <w:r w:rsidRPr="007C6F21">
        <w:rPr>
          <w:rStyle w:val="FootnoteReference"/>
        </w:rPr>
        <w:footnoteRef/>
      </w:r>
      <w:r w:rsidR="007C6F21">
        <w:tab/>
      </w:r>
      <w:r w:rsidR="006A3451" w:rsidRPr="00340B07">
        <w:t>Regulation (EU) No 910/2014 of the European Parliament and of the Council of 23 July 2014 on electronic identification and trust services for electronic transactions in the internal market and repealing Directive 1999/93/EC</w:t>
      </w:r>
      <w:r w:rsidR="006A3451">
        <w:t xml:space="preserve"> (</w:t>
      </w:r>
      <w:r w:rsidR="00E6418C" w:rsidRPr="00340B07">
        <w:t>OJ L 257, 28.8.2014, p. 73</w:t>
      </w:r>
      <w:r w:rsidR="00E6418C">
        <w:t xml:space="preserve">, ELI: </w:t>
      </w:r>
      <w:r w:rsidR="00F64BAD" w:rsidRPr="00F64BAD">
        <w:t>http://data.europa.eu/eli/reg/2014/910/oj</w:t>
      </w:r>
      <w:r w:rsidR="00F64BAD">
        <w:t>).</w:t>
      </w:r>
    </w:p>
  </w:footnote>
  <w:footnote w:id="21">
    <w:p w14:paraId="7DE2625B" w14:textId="77777777" w:rsidR="00E77EFC" w:rsidRPr="00E77EFC" w:rsidRDefault="00E77EFC">
      <w:pPr>
        <w:pStyle w:val="FootnoteText"/>
      </w:pPr>
      <w:r w:rsidRPr="007C6F21">
        <w:rPr>
          <w:rStyle w:val="FootnoteReference"/>
        </w:rPr>
        <w:footnoteRef/>
      </w:r>
      <w:r w:rsidR="007C6F21">
        <w:tab/>
      </w:r>
      <w:r w:rsidRPr="00E77EFC">
        <w:t>COM(2025) 838 final</w:t>
      </w:r>
    </w:p>
  </w:footnote>
  <w:footnote w:id="22">
    <w:p w14:paraId="70E439E3" w14:textId="77777777" w:rsidR="0046066A" w:rsidRDefault="0046066A" w:rsidP="0046066A">
      <w:pPr>
        <w:pStyle w:val="FootnoteText"/>
      </w:pPr>
      <w:r w:rsidRPr="007C6F21">
        <w:rPr>
          <w:rStyle w:val="FootnoteReference"/>
        </w:rPr>
        <w:footnoteRef/>
      </w:r>
      <w:r w:rsidR="007C6F21">
        <w:tab/>
      </w:r>
      <w: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r w:rsidRPr="00340B07">
        <w:rPr>
          <w:lang w:val="en-IE"/>
        </w:rPr>
        <w:t>OJ L 295, 21.11.2018, p. 39</w:t>
      </w:r>
      <w:r w:rsidR="00FD38F4">
        <w:rPr>
          <w:lang w:val="en-IE"/>
        </w:rPr>
        <w:t xml:space="preserve">, </w:t>
      </w:r>
      <w:r>
        <w:t>ELI: http://data.europa.eu/eli/reg/2018/1725/oj</w:t>
      </w:r>
      <w:r w:rsidR="00FD38F4">
        <w:t>).</w:t>
      </w:r>
    </w:p>
    <w:p w14:paraId="7E8DAAFA" w14:textId="77777777" w:rsidR="0046066A" w:rsidRPr="00340B07" w:rsidRDefault="0046066A">
      <w:pPr>
        <w:pStyle w:val="FootnoteText"/>
        <w:rPr>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BB307" w14:textId="77777777" w:rsidR="00924944" w:rsidRDefault="00924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0E270" w14:textId="77777777" w:rsidR="00924944" w:rsidRDefault="009249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896AF1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B9AE09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D1AFF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5F2FCB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9"/>
  </w:num>
  <w:num w:numId="18">
    <w:abstractNumId w:val="18"/>
  </w:num>
  <w:num w:numId="19">
    <w:abstractNumId w:val="7"/>
  </w:num>
  <w:num w:numId="20">
    <w:abstractNumId w:val="10"/>
  </w:num>
  <w:num w:numId="21">
    <w:abstractNumId w:val="11"/>
  </w:num>
  <w:num w:numId="22">
    <w:abstractNumId w:val="5"/>
  </w:num>
  <w:num w:numId="23">
    <w:abstractNumId w:val="17"/>
  </w:num>
  <w:num w:numId="24">
    <w:abstractNumId w:val="4"/>
  </w:num>
  <w:num w:numId="25">
    <w:abstractNumId w:val="12"/>
  </w:num>
  <w:num w:numId="26">
    <w:abstractNumId w:val="14"/>
  </w:num>
  <w:num w:numId="27">
    <w:abstractNumId w:val="15"/>
  </w:num>
  <w:num w:numId="28">
    <w:abstractNumId w:val="6"/>
  </w:num>
  <w:num w:numId="29">
    <w:abstractNumId w:val="13"/>
  </w:num>
  <w:num w:numId="30">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1-13 14:47: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KN_IMPORT" w:val="20250820"/>
    <w:docVar w:name="LW_CORRIGENDUM" w:val="&lt;UNUSED&gt;"/>
    <w:docVar w:name="LW_COVERPAGE_EXISTS" w:val="True"/>
    <w:docVar w:name="LW_COVERPAGE_GUID" w:val="111BAC81-09CB-478E-B230-F0525481F8E8"/>
    <w:docVar w:name="LW_COVERPAGE_TYPE" w:val="1"/>
    <w:docVar w:name="LW_CROSSREFERENCE" w:val="{SWD(2026) 11-12}_x000a_{SEC(2026) 11}"/>
    <w:docVar w:name="LW_DocType" w:val="COM"/>
    <w:docVar w:name="LW_EMISSION" w:val="20.1.2026"/>
    <w:docVar w:name="LW_EMISSION_ISODATE" w:val="2026-01-20"/>
    <w:docVar w:name="LW_EMISSION_LOCATION" w:val="STR"/>
    <w:docVar w:name="LW_EMISSION_PREFIX" w:val="Strasbourg, "/>
    <w:docVar w:name="LW_EMISSION_SUFFIX" w:val=" "/>
    <w:docVar w:name="LW_ID_DOCSIGNATURE" w:val="SJ-024"/>
    <w:docVar w:name="LW_ID_DOCSTRUCTURE" w:val="COM/PL/ORG"/>
    <w:docVar w:name="LW_ID_DOCTYPE" w:val="SJ-024"/>
    <w:docVar w:name="LW_ID_STATUT" w:val="SJ-024"/>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12"/>
    <w:docVar w:name="LW_REF.II.NEW.CP_YEAR" w:val="2026"/>
    <w:docVar w:name="LW_REF.INST.NEW" w:val="COM"/>
    <w:docVar w:name="LW_REF.INST.NEW_ADOPTED" w:val="final"/>
    <w:docVar w:name="LW_REF.INST.NEW_TEXT" w:val="(2026) 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Directive (EU) 2022/2555 as regards simplification measures and alignment with the [Proposal for the Cybersecurity Act 2]"/>
    <w:docVar w:name="LW_TYPE.DOC.CP" w:val="DIRECTIVE OF THE EUROPEAN PARLIAMENT AND OF THE COUNCIL"/>
    <w:docVar w:name="LwApiVersions" w:val="LW4CoDe 1.24.5.0; LW 9.2, Build 20251112"/>
  </w:docVars>
  <w:rsids>
    <w:rsidRoot w:val="0029533F"/>
    <w:rsid w:val="000000A5"/>
    <w:rsid w:val="0000074D"/>
    <w:rsid w:val="00000D18"/>
    <w:rsid w:val="00001023"/>
    <w:rsid w:val="0000124E"/>
    <w:rsid w:val="00001892"/>
    <w:rsid w:val="00001CC4"/>
    <w:rsid w:val="00001F70"/>
    <w:rsid w:val="000020C3"/>
    <w:rsid w:val="0000215F"/>
    <w:rsid w:val="0000244F"/>
    <w:rsid w:val="00002E32"/>
    <w:rsid w:val="00002E7A"/>
    <w:rsid w:val="00002EC5"/>
    <w:rsid w:val="0000329C"/>
    <w:rsid w:val="00003DB0"/>
    <w:rsid w:val="0000439C"/>
    <w:rsid w:val="00004A38"/>
    <w:rsid w:val="00005769"/>
    <w:rsid w:val="000057BD"/>
    <w:rsid w:val="00005E3E"/>
    <w:rsid w:val="00006779"/>
    <w:rsid w:val="00006B12"/>
    <w:rsid w:val="00007320"/>
    <w:rsid w:val="000106D1"/>
    <w:rsid w:val="00010873"/>
    <w:rsid w:val="00010926"/>
    <w:rsid w:val="00010CAB"/>
    <w:rsid w:val="00010CBA"/>
    <w:rsid w:val="000119C4"/>
    <w:rsid w:val="000120E1"/>
    <w:rsid w:val="0001226C"/>
    <w:rsid w:val="00012992"/>
    <w:rsid w:val="00012AC3"/>
    <w:rsid w:val="000134A1"/>
    <w:rsid w:val="00013638"/>
    <w:rsid w:val="00013839"/>
    <w:rsid w:val="00014028"/>
    <w:rsid w:val="00014110"/>
    <w:rsid w:val="00014680"/>
    <w:rsid w:val="00014AFA"/>
    <w:rsid w:val="000159D6"/>
    <w:rsid w:val="00015CD3"/>
    <w:rsid w:val="00016754"/>
    <w:rsid w:val="00016ECC"/>
    <w:rsid w:val="000177E7"/>
    <w:rsid w:val="00017D42"/>
    <w:rsid w:val="000204E8"/>
    <w:rsid w:val="000227F0"/>
    <w:rsid w:val="00022B10"/>
    <w:rsid w:val="00023BB4"/>
    <w:rsid w:val="00023C04"/>
    <w:rsid w:val="00023D08"/>
    <w:rsid w:val="00023F0E"/>
    <w:rsid w:val="00024238"/>
    <w:rsid w:val="0002494F"/>
    <w:rsid w:val="00025413"/>
    <w:rsid w:val="000254CA"/>
    <w:rsid w:val="000269B9"/>
    <w:rsid w:val="00027864"/>
    <w:rsid w:val="00030310"/>
    <w:rsid w:val="00031963"/>
    <w:rsid w:val="00032936"/>
    <w:rsid w:val="00032A9A"/>
    <w:rsid w:val="00032F61"/>
    <w:rsid w:val="00032FB7"/>
    <w:rsid w:val="00033A87"/>
    <w:rsid w:val="00033AA2"/>
    <w:rsid w:val="000341C2"/>
    <w:rsid w:val="0003698F"/>
    <w:rsid w:val="00040310"/>
    <w:rsid w:val="00040F68"/>
    <w:rsid w:val="000417A4"/>
    <w:rsid w:val="00043178"/>
    <w:rsid w:val="000437D4"/>
    <w:rsid w:val="0004394C"/>
    <w:rsid w:val="00043F99"/>
    <w:rsid w:val="000441D1"/>
    <w:rsid w:val="000442DC"/>
    <w:rsid w:val="0004490F"/>
    <w:rsid w:val="00044A8E"/>
    <w:rsid w:val="000450D1"/>
    <w:rsid w:val="00045A61"/>
    <w:rsid w:val="00046127"/>
    <w:rsid w:val="00046C3D"/>
    <w:rsid w:val="00047117"/>
    <w:rsid w:val="000475C1"/>
    <w:rsid w:val="00047DD3"/>
    <w:rsid w:val="000500D7"/>
    <w:rsid w:val="0005055F"/>
    <w:rsid w:val="0005061B"/>
    <w:rsid w:val="00050829"/>
    <w:rsid w:val="00050FF0"/>
    <w:rsid w:val="0005106D"/>
    <w:rsid w:val="000511BC"/>
    <w:rsid w:val="000513E2"/>
    <w:rsid w:val="000518FE"/>
    <w:rsid w:val="00052597"/>
    <w:rsid w:val="000531F6"/>
    <w:rsid w:val="0005337B"/>
    <w:rsid w:val="000535BE"/>
    <w:rsid w:val="000537FC"/>
    <w:rsid w:val="00054B6C"/>
    <w:rsid w:val="00055A3D"/>
    <w:rsid w:val="00055DC1"/>
    <w:rsid w:val="00055F5C"/>
    <w:rsid w:val="000560B3"/>
    <w:rsid w:val="0005658E"/>
    <w:rsid w:val="00057FB2"/>
    <w:rsid w:val="0006158A"/>
    <w:rsid w:val="0006209B"/>
    <w:rsid w:val="00062ADA"/>
    <w:rsid w:val="000632C8"/>
    <w:rsid w:val="000633CC"/>
    <w:rsid w:val="000642CF"/>
    <w:rsid w:val="0006441A"/>
    <w:rsid w:val="00065B16"/>
    <w:rsid w:val="000662EA"/>
    <w:rsid w:val="00066F8D"/>
    <w:rsid w:val="00067027"/>
    <w:rsid w:val="000673E5"/>
    <w:rsid w:val="00070786"/>
    <w:rsid w:val="00070DD2"/>
    <w:rsid w:val="00070EAA"/>
    <w:rsid w:val="00071740"/>
    <w:rsid w:val="00071E49"/>
    <w:rsid w:val="0007284C"/>
    <w:rsid w:val="00072EA8"/>
    <w:rsid w:val="00073964"/>
    <w:rsid w:val="00073F88"/>
    <w:rsid w:val="000741B5"/>
    <w:rsid w:val="0007477A"/>
    <w:rsid w:val="000748B7"/>
    <w:rsid w:val="00074BD8"/>
    <w:rsid w:val="00075D91"/>
    <w:rsid w:val="0007673B"/>
    <w:rsid w:val="0007683B"/>
    <w:rsid w:val="00076CAE"/>
    <w:rsid w:val="0007705E"/>
    <w:rsid w:val="000809AC"/>
    <w:rsid w:val="00080BFC"/>
    <w:rsid w:val="0008187A"/>
    <w:rsid w:val="000822F3"/>
    <w:rsid w:val="0008273E"/>
    <w:rsid w:val="00083915"/>
    <w:rsid w:val="00083CBE"/>
    <w:rsid w:val="0008468F"/>
    <w:rsid w:val="00084D96"/>
    <w:rsid w:val="000868D6"/>
    <w:rsid w:val="00087FEB"/>
    <w:rsid w:val="00087FEC"/>
    <w:rsid w:val="000904E2"/>
    <w:rsid w:val="0009094C"/>
    <w:rsid w:val="00090A23"/>
    <w:rsid w:val="0009108C"/>
    <w:rsid w:val="00091182"/>
    <w:rsid w:val="000914F1"/>
    <w:rsid w:val="00091781"/>
    <w:rsid w:val="0009185F"/>
    <w:rsid w:val="000920AC"/>
    <w:rsid w:val="0009216D"/>
    <w:rsid w:val="00093198"/>
    <w:rsid w:val="0009336C"/>
    <w:rsid w:val="000940E5"/>
    <w:rsid w:val="00094206"/>
    <w:rsid w:val="000942D5"/>
    <w:rsid w:val="00094AEC"/>
    <w:rsid w:val="00094D1B"/>
    <w:rsid w:val="00096785"/>
    <w:rsid w:val="00096A0B"/>
    <w:rsid w:val="000973F5"/>
    <w:rsid w:val="00097E2F"/>
    <w:rsid w:val="000A06F5"/>
    <w:rsid w:val="000A07C3"/>
    <w:rsid w:val="000A091A"/>
    <w:rsid w:val="000A0DC5"/>
    <w:rsid w:val="000A1067"/>
    <w:rsid w:val="000A15C0"/>
    <w:rsid w:val="000A1988"/>
    <w:rsid w:val="000A25FE"/>
    <w:rsid w:val="000A2C50"/>
    <w:rsid w:val="000A31B7"/>
    <w:rsid w:val="000A33DB"/>
    <w:rsid w:val="000A393C"/>
    <w:rsid w:val="000A3EDF"/>
    <w:rsid w:val="000A49F1"/>
    <w:rsid w:val="000A4F94"/>
    <w:rsid w:val="000A56DD"/>
    <w:rsid w:val="000A5852"/>
    <w:rsid w:val="000A5B86"/>
    <w:rsid w:val="000A7244"/>
    <w:rsid w:val="000A7A88"/>
    <w:rsid w:val="000A7AC6"/>
    <w:rsid w:val="000B1338"/>
    <w:rsid w:val="000B169D"/>
    <w:rsid w:val="000B16F9"/>
    <w:rsid w:val="000B1A14"/>
    <w:rsid w:val="000B624F"/>
    <w:rsid w:val="000B6328"/>
    <w:rsid w:val="000B63A5"/>
    <w:rsid w:val="000B690A"/>
    <w:rsid w:val="000B690E"/>
    <w:rsid w:val="000B7066"/>
    <w:rsid w:val="000B7204"/>
    <w:rsid w:val="000B735D"/>
    <w:rsid w:val="000B7470"/>
    <w:rsid w:val="000B752B"/>
    <w:rsid w:val="000B7541"/>
    <w:rsid w:val="000B758C"/>
    <w:rsid w:val="000C0145"/>
    <w:rsid w:val="000C03D4"/>
    <w:rsid w:val="000C0735"/>
    <w:rsid w:val="000C0C20"/>
    <w:rsid w:val="000C1249"/>
    <w:rsid w:val="000C1FFB"/>
    <w:rsid w:val="000C4271"/>
    <w:rsid w:val="000C4438"/>
    <w:rsid w:val="000C45B2"/>
    <w:rsid w:val="000C4725"/>
    <w:rsid w:val="000C506D"/>
    <w:rsid w:val="000C5C95"/>
    <w:rsid w:val="000C67FB"/>
    <w:rsid w:val="000C795A"/>
    <w:rsid w:val="000D08F6"/>
    <w:rsid w:val="000D176A"/>
    <w:rsid w:val="000D1C51"/>
    <w:rsid w:val="000D2533"/>
    <w:rsid w:val="000D2D91"/>
    <w:rsid w:val="000D3090"/>
    <w:rsid w:val="000D30C7"/>
    <w:rsid w:val="000D3375"/>
    <w:rsid w:val="000D3762"/>
    <w:rsid w:val="000D3915"/>
    <w:rsid w:val="000D3E5B"/>
    <w:rsid w:val="000D4AE0"/>
    <w:rsid w:val="000D512D"/>
    <w:rsid w:val="000D54A8"/>
    <w:rsid w:val="000D5953"/>
    <w:rsid w:val="000D645B"/>
    <w:rsid w:val="000D66C1"/>
    <w:rsid w:val="000D6A29"/>
    <w:rsid w:val="000D6D53"/>
    <w:rsid w:val="000D6EC8"/>
    <w:rsid w:val="000D6F0F"/>
    <w:rsid w:val="000D71FB"/>
    <w:rsid w:val="000D78FB"/>
    <w:rsid w:val="000D7DE6"/>
    <w:rsid w:val="000E013B"/>
    <w:rsid w:val="000E1F35"/>
    <w:rsid w:val="000E2034"/>
    <w:rsid w:val="000E2394"/>
    <w:rsid w:val="000E2537"/>
    <w:rsid w:val="000E2A62"/>
    <w:rsid w:val="000E2F60"/>
    <w:rsid w:val="000E437C"/>
    <w:rsid w:val="000E4986"/>
    <w:rsid w:val="000E49E3"/>
    <w:rsid w:val="000E5439"/>
    <w:rsid w:val="000E54FD"/>
    <w:rsid w:val="000E5A2D"/>
    <w:rsid w:val="000E60B4"/>
    <w:rsid w:val="000E6520"/>
    <w:rsid w:val="000E660C"/>
    <w:rsid w:val="000E6E3E"/>
    <w:rsid w:val="000E70C2"/>
    <w:rsid w:val="000E7794"/>
    <w:rsid w:val="000E7860"/>
    <w:rsid w:val="000E79D3"/>
    <w:rsid w:val="000E7A5B"/>
    <w:rsid w:val="000F1292"/>
    <w:rsid w:val="000F379F"/>
    <w:rsid w:val="000F4954"/>
    <w:rsid w:val="000F4A69"/>
    <w:rsid w:val="000F5807"/>
    <w:rsid w:val="000F6733"/>
    <w:rsid w:val="000F7111"/>
    <w:rsid w:val="000F7175"/>
    <w:rsid w:val="000F771E"/>
    <w:rsid w:val="00100DB5"/>
    <w:rsid w:val="0010176A"/>
    <w:rsid w:val="00101CC8"/>
    <w:rsid w:val="00101D34"/>
    <w:rsid w:val="0010213F"/>
    <w:rsid w:val="001025E8"/>
    <w:rsid w:val="00102602"/>
    <w:rsid w:val="0010341E"/>
    <w:rsid w:val="001041D3"/>
    <w:rsid w:val="00104334"/>
    <w:rsid w:val="00104413"/>
    <w:rsid w:val="001044CE"/>
    <w:rsid w:val="00105229"/>
    <w:rsid w:val="00105F37"/>
    <w:rsid w:val="00106021"/>
    <w:rsid w:val="00106387"/>
    <w:rsid w:val="001065F5"/>
    <w:rsid w:val="00106B7B"/>
    <w:rsid w:val="00106BB1"/>
    <w:rsid w:val="00106EEA"/>
    <w:rsid w:val="00107B62"/>
    <w:rsid w:val="00110673"/>
    <w:rsid w:val="0011067E"/>
    <w:rsid w:val="001118DD"/>
    <w:rsid w:val="001120FD"/>
    <w:rsid w:val="0011238B"/>
    <w:rsid w:val="0011250E"/>
    <w:rsid w:val="00112E3B"/>
    <w:rsid w:val="0011303C"/>
    <w:rsid w:val="00113FB5"/>
    <w:rsid w:val="0011469B"/>
    <w:rsid w:val="001146CB"/>
    <w:rsid w:val="001154EE"/>
    <w:rsid w:val="001155E4"/>
    <w:rsid w:val="00115679"/>
    <w:rsid w:val="00115CFD"/>
    <w:rsid w:val="00115EAF"/>
    <w:rsid w:val="001162A4"/>
    <w:rsid w:val="00116BCE"/>
    <w:rsid w:val="00116C5B"/>
    <w:rsid w:val="0011715C"/>
    <w:rsid w:val="00117AD2"/>
    <w:rsid w:val="001207B2"/>
    <w:rsid w:val="00120A9A"/>
    <w:rsid w:val="00120F6D"/>
    <w:rsid w:val="0012197D"/>
    <w:rsid w:val="001219C9"/>
    <w:rsid w:val="0012205E"/>
    <w:rsid w:val="0012222B"/>
    <w:rsid w:val="00122727"/>
    <w:rsid w:val="00122896"/>
    <w:rsid w:val="00122907"/>
    <w:rsid w:val="001229CD"/>
    <w:rsid w:val="00122CC2"/>
    <w:rsid w:val="00122E2F"/>
    <w:rsid w:val="00123058"/>
    <w:rsid w:val="0012342C"/>
    <w:rsid w:val="00123824"/>
    <w:rsid w:val="001238EF"/>
    <w:rsid w:val="00123C09"/>
    <w:rsid w:val="00123D76"/>
    <w:rsid w:val="001242A6"/>
    <w:rsid w:val="00124725"/>
    <w:rsid w:val="001253B0"/>
    <w:rsid w:val="00125BB2"/>
    <w:rsid w:val="00126A95"/>
    <w:rsid w:val="00126CAA"/>
    <w:rsid w:val="001274E2"/>
    <w:rsid w:val="001279D8"/>
    <w:rsid w:val="001301A0"/>
    <w:rsid w:val="001310AE"/>
    <w:rsid w:val="00131D0C"/>
    <w:rsid w:val="0013225E"/>
    <w:rsid w:val="00132A49"/>
    <w:rsid w:val="001333C3"/>
    <w:rsid w:val="00133D16"/>
    <w:rsid w:val="00133FF6"/>
    <w:rsid w:val="00134AD1"/>
    <w:rsid w:val="0013514B"/>
    <w:rsid w:val="0013570F"/>
    <w:rsid w:val="00136BCE"/>
    <w:rsid w:val="0013733E"/>
    <w:rsid w:val="0013734D"/>
    <w:rsid w:val="001374D9"/>
    <w:rsid w:val="00137BCE"/>
    <w:rsid w:val="00137E33"/>
    <w:rsid w:val="00137E96"/>
    <w:rsid w:val="001400D3"/>
    <w:rsid w:val="0014068A"/>
    <w:rsid w:val="00141373"/>
    <w:rsid w:val="0014237A"/>
    <w:rsid w:val="001424FC"/>
    <w:rsid w:val="00142C8B"/>
    <w:rsid w:val="00143618"/>
    <w:rsid w:val="001439B0"/>
    <w:rsid w:val="001441E6"/>
    <w:rsid w:val="00144843"/>
    <w:rsid w:val="00145050"/>
    <w:rsid w:val="00145688"/>
    <w:rsid w:val="0014581E"/>
    <w:rsid w:val="0014682E"/>
    <w:rsid w:val="001472D7"/>
    <w:rsid w:val="00147730"/>
    <w:rsid w:val="001505D6"/>
    <w:rsid w:val="00150BC5"/>
    <w:rsid w:val="00150CF0"/>
    <w:rsid w:val="00150DCA"/>
    <w:rsid w:val="00151006"/>
    <w:rsid w:val="00151D08"/>
    <w:rsid w:val="00152AC7"/>
    <w:rsid w:val="00152ED7"/>
    <w:rsid w:val="00152F24"/>
    <w:rsid w:val="0015434A"/>
    <w:rsid w:val="00154BA6"/>
    <w:rsid w:val="00154D02"/>
    <w:rsid w:val="001556F8"/>
    <w:rsid w:val="001557BA"/>
    <w:rsid w:val="00155DE8"/>
    <w:rsid w:val="001562C8"/>
    <w:rsid w:val="00156AE5"/>
    <w:rsid w:val="00156B16"/>
    <w:rsid w:val="00157172"/>
    <w:rsid w:val="0016194F"/>
    <w:rsid w:val="00161ECF"/>
    <w:rsid w:val="00162786"/>
    <w:rsid w:val="00162B39"/>
    <w:rsid w:val="00163A5E"/>
    <w:rsid w:val="00163F9F"/>
    <w:rsid w:val="0016549A"/>
    <w:rsid w:val="00165BD2"/>
    <w:rsid w:val="00165D1C"/>
    <w:rsid w:val="00166396"/>
    <w:rsid w:val="0016690F"/>
    <w:rsid w:val="00167338"/>
    <w:rsid w:val="001673A1"/>
    <w:rsid w:val="001673CA"/>
    <w:rsid w:val="00167AEF"/>
    <w:rsid w:val="00167AF5"/>
    <w:rsid w:val="00167CD6"/>
    <w:rsid w:val="0017016D"/>
    <w:rsid w:val="001702A9"/>
    <w:rsid w:val="0017033B"/>
    <w:rsid w:val="0017090E"/>
    <w:rsid w:val="00170B95"/>
    <w:rsid w:val="00170BBF"/>
    <w:rsid w:val="00171841"/>
    <w:rsid w:val="00171BCB"/>
    <w:rsid w:val="00172265"/>
    <w:rsid w:val="001725F1"/>
    <w:rsid w:val="001726CB"/>
    <w:rsid w:val="0017272E"/>
    <w:rsid w:val="001727DE"/>
    <w:rsid w:val="001734B1"/>
    <w:rsid w:val="0017410E"/>
    <w:rsid w:val="001743B5"/>
    <w:rsid w:val="00174645"/>
    <w:rsid w:val="001747A6"/>
    <w:rsid w:val="00174B65"/>
    <w:rsid w:val="00174C91"/>
    <w:rsid w:val="00174F2B"/>
    <w:rsid w:val="00174F55"/>
    <w:rsid w:val="00175C04"/>
    <w:rsid w:val="00175FFF"/>
    <w:rsid w:val="00176479"/>
    <w:rsid w:val="00177B2B"/>
    <w:rsid w:val="00177E91"/>
    <w:rsid w:val="00180590"/>
    <w:rsid w:val="001812DC"/>
    <w:rsid w:val="00181515"/>
    <w:rsid w:val="0018211B"/>
    <w:rsid w:val="0018283B"/>
    <w:rsid w:val="00183C3C"/>
    <w:rsid w:val="00183F32"/>
    <w:rsid w:val="001842BC"/>
    <w:rsid w:val="00184677"/>
    <w:rsid w:val="001850F8"/>
    <w:rsid w:val="0018514C"/>
    <w:rsid w:val="00185606"/>
    <w:rsid w:val="001857E4"/>
    <w:rsid w:val="001866A9"/>
    <w:rsid w:val="00186C58"/>
    <w:rsid w:val="00186F14"/>
    <w:rsid w:val="0018752B"/>
    <w:rsid w:val="00187C90"/>
    <w:rsid w:val="00187F0E"/>
    <w:rsid w:val="001905EC"/>
    <w:rsid w:val="00190D2E"/>
    <w:rsid w:val="00191041"/>
    <w:rsid w:val="001915DF"/>
    <w:rsid w:val="0019167B"/>
    <w:rsid w:val="00191E1E"/>
    <w:rsid w:val="001923AE"/>
    <w:rsid w:val="00192DA6"/>
    <w:rsid w:val="00192DCC"/>
    <w:rsid w:val="00193086"/>
    <w:rsid w:val="001930E4"/>
    <w:rsid w:val="0019314D"/>
    <w:rsid w:val="00193793"/>
    <w:rsid w:val="00193FBA"/>
    <w:rsid w:val="00194086"/>
    <w:rsid w:val="0019466B"/>
    <w:rsid w:val="00194931"/>
    <w:rsid w:val="0019526C"/>
    <w:rsid w:val="00196267"/>
    <w:rsid w:val="0019627A"/>
    <w:rsid w:val="001969FC"/>
    <w:rsid w:val="0019743B"/>
    <w:rsid w:val="00197613"/>
    <w:rsid w:val="001976E9"/>
    <w:rsid w:val="00197C70"/>
    <w:rsid w:val="001A03E3"/>
    <w:rsid w:val="001A04A8"/>
    <w:rsid w:val="001A0F0C"/>
    <w:rsid w:val="001A134D"/>
    <w:rsid w:val="001A17F8"/>
    <w:rsid w:val="001A1AC2"/>
    <w:rsid w:val="001A1B6B"/>
    <w:rsid w:val="001A2732"/>
    <w:rsid w:val="001A302F"/>
    <w:rsid w:val="001A31E5"/>
    <w:rsid w:val="001A35F1"/>
    <w:rsid w:val="001A4347"/>
    <w:rsid w:val="001A49C6"/>
    <w:rsid w:val="001A4AAC"/>
    <w:rsid w:val="001A5099"/>
    <w:rsid w:val="001A6D87"/>
    <w:rsid w:val="001A718C"/>
    <w:rsid w:val="001B037A"/>
    <w:rsid w:val="001B0AA8"/>
    <w:rsid w:val="001B0F11"/>
    <w:rsid w:val="001B1734"/>
    <w:rsid w:val="001B175B"/>
    <w:rsid w:val="001B191D"/>
    <w:rsid w:val="001B1CC7"/>
    <w:rsid w:val="001B247E"/>
    <w:rsid w:val="001B2503"/>
    <w:rsid w:val="001B2674"/>
    <w:rsid w:val="001B352D"/>
    <w:rsid w:val="001B3712"/>
    <w:rsid w:val="001B37A1"/>
    <w:rsid w:val="001B39A9"/>
    <w:rsid w:val="001B3D59"/>
    <w:rsid w:val="001B40AB"/>
    <w:rsid w:val="001B40DC"/>
    <w:rsid w:val="001B45EC"/>
    <w:rsid w:val="001B4995"/>
    <w:rsid w:val="001B4D7C"/>
    <w:rsid w:val="001B5DC9"/>
    <w:rsid w:val="001B645B"/>
    <w:rsid w:val="001B68A3"/>
    <w:rsid w:val="001B695A"/>
    <w:rsid w:val="001B71F7"/>
    <w:rsid w:val="001B7444"/>
    <w:rsid w:val="001B7772"/>
    <w:rsid w:val="001C02DD"/>
    <w:rsid w:val="001C0C7A"/>
    <w:rsid w:val="001C11C0"/>
    <w:rsid w:val="001C21F4"/>
    <w:rsid w:val="001C289B"/>
    <w:rsid w:val="001C3019"/>
    <w:rsid w:val="001C360A"/>
    <w:rsid w:val="001C47FB"/>
    <w:rsid w:val="001C5048"/>
    <w:rsid w:val="001C5791"/>
    <w:rsid w:val="001C585F"/>
    <w:rsid w:val="001C5BB3"/>
    <w:rsid w:val="001C5D0F"/>
    <w:rsid w:val="001C72BC"/>
    <w:rsid w:val="001C78BA"/>
    <w:rsid w:val="001D0B3D"/>
    <w:rsid w:val="001D128A"/>
    <w:rsid w:val="001D1B1F"/>
    <w:rsid w:val="001D1BA8"/>
    <w:rsid w:val="001D1D87"/>
    <w:rsid w:val="001D1F0D"/>
    <w:rsid w:val="001D2B3D"/>
    <w:rsid w:val="001D2BE2"/>
    <w:rsid w:val="001D32DF"/>
    <w:rsid w:val="001D3302"/>
    <w:rsid w:val="001D33A9"/>
    <w:rsid w:val="001D370D"/>
    <w:rsid w:val="001D3B01"/>
    <w:rsid w:val="001D3C56"/>
    <w:rsid w:val="001D576F"/>
    <w:rsid w:val="001D5C3B"/>
    <w:rsid w:val="001D5EE7"/>
    <w:rsid w:val="001D6F8A"/>
    <w:rsid w:val="001D74C3"/>
    <w:rsid w:val="001D76D9"/>
    <w:rsid w:val="001D798E"/>
    <w:rsid w:val="001E025F"/>
    <w:rsid w:val="001E047A"/>
    <w:rsid w:val="001E05AA"/>
    <w:rsid w:val="001E0668"/>
    <w:rsid w:val="001E0825"/>
    <w:rsid w:val="001E1226"/>
    <w:rsid w:val="001E1420"/>
    <w:rsid w:val="001E154C"/>
    <w:rsid w:val="001E18F9"/>
    <w:rsid w:val="001E1A87"/>
    <w:rsid w:val="001E2EB7"/>
    <w:rsid w:val="001E3A4D"/>
    <w:rsid w:val="001E3EC7"/>
    <w:rsid w:val="001E40D9"/>
    <w:rsid w:val="001E437C"/>
    <w:rsid w:val="001E4671"/>
    <w:rsid w:val="001E48D3"/>
    <w:rsid w:val="001E48FC"/>
    <w:rsid w:val="001E4EB5"/>
    <w:rsid w:val="001E50E7"/>
    <w:rsid w:val="001E5206"/>
    <w:rsid w:val="001E56AD"/>
    <w:rsid w:val="001E76C5"/>
    <w:rsid w:val="001F017D"/>
    <w:rsid w:val="001F0A14"/>
    <w:rsid w:val="001F0F51"/>
    <w:rsid w:val="001F0FD9"/>
    <w:rsid w:val="001F1147"/>
    <w:rsid w:val="001F2617"/>
    <w:rsid w:val="001F2A1E"/>
    <w:rsid w:val="001F2E18"/>
    <w:rsid w:val="001F338C"/>
    <w:rsid w:val="001F407B"/>
    <w:rsid w:val="001F46B1"/>
    <w:rsid w:val="001F47D2"/>
    <w:rsid w:val="001F4DDA"/>
    <w:rsid w:val="001F50F7"/>
    <w:rsid w:val="001F5F78"/>
    <w:rsid w:val="001F6B2B"/>
    <w:rsid w:val="001F6B7E"/>
    <w:rsid w:val="001F75DD"/>
    <w:rsid w:val="002005C1"/>
    <w:rsid w:val="00200892"/>
    <w:rsid w:val="00201028"/>
    <w:rsid w:val="00201161"/>
    <w:rsid w:val="002015E5"/>
    <w:rsid w:val="0020233E"/>
    <w:rsid w:val="0020300C"/>
    <w:rsid w:val="002030C4"/>
    <w:rsid w:val="00203A28"/>
    <w:rsid w:val="00204841"/>
    <w:rsid w:val="00205425"/>
    <w:rsid w:val="00205795"/>
    <w:rsid w:val="00205BE1"/>
    <w:rsid w:val="00206533"/>
    <w:rsid w:val="002067E5"/>
    <w:rsid w:val="0020685A"/>
    <w:rsid w:val="00206C68"/>
    <w:rsid w:val="00206F79"/>
    <w:rsid w:val="002073B5"/>
    <w:rsid w:val="002075D1"/>
    <w:rsid w:val="00210460"/>
    <w:rsid w:val="002107D3"/>
    <w:rsid w:val="00211F98"/>
    <w:rsid w:val="00212B1F"/>
    <w:rsid w:val="002138B0"/>
    <w:rsid w:val="00214E6A"/>
    <w:rsid w:val="00214F8F"/>
    <w:rsid w:val="00215C8F"/>
    <w:rsid w:val="00215D22"/>
    <w:rsid w:val="00216912"/>
    <w:rsid w:val="00221779"/>
    <w:rsid w:val="0022209F"/>
    <w:rsid w:val="002228C6"/>
    <w:rsid w:val="00222E29"/>
    <w:rsid w:val="0022338E"/>
    <w:rsid w:val="002238B7"/>
    <w:rsid w:val="00223A71"/>
    <w:rsid w:val="00223C46"/>
    <w:rsid w:val="00223FBD"/>
    <w:rsid w:val="0022509D"/>
    <w:rsid w:val="00225605"/>
    <w:rsid w:val="00226082"/>
    <w:rsid w:val="002262B7"/>
    <w:rsid w:val="00226377"/>
    <w:rsid w:val="002269EC"/>
    <w:rsid w:val="00226ADA"/>
    <w:rsid w:val="00226E15"/>
    <w:rsid w:val="00226FB8"/>
    <w:rsid w:val="002274E1"/>
    <w:rsid w:val="00227608"/>
    <w:rsid w:val="00227ABE"/>
    <w:rsid w:val="00227BF8"/>
    <w:rsid w:val="00227C1A"/>
    <w:rsid w:val="00230923"/>
    <w:rsid w:val="00230D24"/>
    <w:rsid w:val="00230F1B"/>
    <w:rsid w:val="002310A6"/>
    <w:rsid w:val="00231808"/>
    <w:rsid w:val="002318FA"/>
    <w:rsid w:val="002325D2"/>
    <w:rsid w:val="002326C4"/>
    <w:rsid w:val="00232815"/>
    <w:rsid w:val="00232A22"/>
    <w:rsid w:val="00232AEE"/>
    <w:rsid w:val="00233DC7"/>
    <w:rsid w:val="00235CC9"/>
    <w:rsid w:val="00237421"/>
    <w:rsid w:val="00237EED"/>
    <w:rsid w:val="0024015D"/>
    <w:rsid w:val="00240314"/>
    <w:rsid w:val="0024066D"/>
    <w:rsid w:val="0024128C"/>
    <w:rsid w:val="002418AF"/>
    <w:rsid w:val="00242ACD"/>
    <w:rsid w:val="00242C0A"/>
    <w:rsid w:val="00242F8D"/>
    <w:rsid w:val="00243009"/>
    <w:rsid w:val="00243147"/>
    <w:rsid w:val="00243557"/>
    <w:rsid w:val="00244204"/>
    <w:rsid w:val="00244902"/>
    <w:rsid w:val="002449B9"/>
    <w:rsid w:val="00244C6B"/>
    <w:rsid w:val="00245A07"/>
    <w:rsid w:val="00245B63"/>
    <w:rsid w:val="00245C27"/>
    <w:rsid w:val="00245F24"/>
    <w:rsid w:val="002462EB"/>
    <w:rsid w:val="002467C7"/>
    <w:rsid w:val="00247037"/>
    <w:rsid w:val="0024745D"/>
    <w:rsid w:val="00247507"/>
    <w:rsid w:val="00247779"/>
    <w:rsid w:val="00247B68"/>
    <w:rsid w:val="00250B1A"/>
    <w:rsid w:val="00250B99"/>
    <w:rsid w:val="00250BB5"/>
    <w:rsid w:val="00250D25"/>
    <w:rsid w:val="002515FC"/>
    <w:rsid w:val="002516E3"/>
    <w:rsid w:val="00251C9D"/>
    <w:rsid w:val="00253A84"/>
    <w:rsid w:val="00253CAF"/>
    <w:rsid w:val="00253E78"/>
    <w:rsid w:val="00254651"/>
    <w:rsid w:val="00254E26"/>
    <w:rsid w:val="00254F7B"/>
    <w:rsid w:val="00255DAD"/>
    <w:rsid w:val="002566A0"/>
    <w:rsid w:val="00256723"/>
    <w:rsid w:val="00256FE6"/>
    <w:rsid w:val="002575F0"/>
    <w:rsid w:val="00257B16"/>
    <w:rsid w:val="00260AC8"/>
    <w:rsid w:val="0026239D"/>
    <w:rsid w:val="0026256A"/>
    <w:rsid w:val="002625EC"/>
    <w:rsid w:val="002641CB"/>
    <w:rsid w:val="002642F3"/>
    <w:rsid w:val="00264ACA"/>
    <w:rsid w:val="002659D0"/>
    <w:rsid w:val="00265A9E"/>
    <w:rsid w:val="00265B04"/>
    <w:rsid w:val="00265CFE"/>
    <w:rsid w:val="002664CA"/>
    <w:rsid w:val="002665B1"/>
    <w:rsid w:val="00266BB0"/>
    <w:rsid w:val="00266E9E"/>
    <w:rsid w:val="0026752E"/>
    <w:rsid w:val="0026775A"/>
    <w:rsid w:val="00267A68"/>
    <w:rsid w:val="00267B93"/>
    <w:rsid w:val="002708FC"/>
    <w:rsid w:val="002709E9"/>
    <w:rsid w:val="0027157D"/>
    <w:rsid w:val="002715C3"/>
    <w:rsid w:val="0027172B"/>
    <w:rsid w:val="00271C55"/>
    <w:rsid w:val="0027216C"/>
    <w:rsid w:val="0027235D"/>
    <w:rsid w:val="00272739"/>
    <w:rsid w:val="0027289B"/>
    <w:rsid w:val="0027326A"/>
    <w:rsid w:val="00273364"/>
    <w:rsid w:val="0027336C"/>
    <w:rsid w:val="002745EF"/>
    <w:rsid w:val="00275511"/>
    <w:rsid w:val="00275636"/>
    <w:rsid w:val="00276685"/>
    <w:rsid w:val="00276917"/>
    <w:rsid w:val="002774E0"/>
    <w:rsid w:val="0027761C"/>
    <w:rsid w:val="00277834"/>
    <w:rsid w:val="002800F9"/>
    <w:rsid w:val="00280208"/>
    <w:rsid w:val="0028039E"/>
    <w:rsid w:val="00281121"/>
    <w:rsid w:val="002811A5"/>
    <w:rsid w:val="00281D04"/>
    <w:rsid w:val="00281E5F"/>
    <w:rsid w:val="00282696"/>
    <w:rsid w:val="00282BBB"/>
    <w:rsid w:val="00282C13"/>
    <w:rsid w:val="00282C68"/>
    <w:rsid w:val="00282FEC"/>
    <w:rsid w:val="002834DD"/>
    <w:rsid w:val="00283C75"/>
    <w:rsid w:val="00283ED7"/>
    <w:rsid w:val="00284B55"/>
    <w:rsid w:val="00284D2F"/>
    <w:rsid w:val="00285BEE"/>
    <w:rsid w:val="00285E9A"/>
    <w:rsid w:val="00286296"/>
    <w:rsid w:val="00286551"/>
    <w:rsid w:val="00286B99"/>
    <w:rsid w:val="00286BAF"/>
    <w:rsid w:val="00286D13"/>
    <w:rsid w:val="0028719E"/>
    <w:rsid w:val="00287428"/>
    <w:rsid w:val="0029007B"/>
    <w:rsid w:val="00290248"/>
    <w:rsid w:val="002905A9"/>
    <w:rsid w:val="002908D0"/>
    <w:rsid w:val="00290A28"/>
    <w:rsid w:val="00291380"/>
    <w:rsid w:val="002913DB"/>
    <w:rsid w:val="00291483"/>
    <w:rsid w:val="00291491"/>
    <w:rsid w:val="00291528"/>
    <w:rsid w:val="00292808"/>
    <w:rsid w:val="00292B34"/>
    <w:rsid w:val="00293597"/>
    <w:rsid w:val="002936A3"/>
    <w:rsid w:val="00293B67"/>
    <w:rsid w:val="00293C8F"/>
    <w:rsid w:val="00293D9A"/>
    <w:rsid w:val="002947C0"/>
    <w:rsid w:val="0029533F"/>
    <w:rsid w:val="00295F5E"/>
    <w:rsid w:val="002961A8"/>
    <w:rsid w:val="00296D4E"/>
    <w:rsid w:val="002975B7"/>
    <w:rsid w:val="00297789"/>
    <w:rsid w:val="002A01C2"/>
    <w:rsid w:val="002A1065"/>
    <w:rsid w:val="002A18A7"/>
    <w:rsid w:val="002A29B7"/>
    <w:rsid w:val="002A31DD"/>
    <w:rsid w:val="002A3403"/>
    <w:rsid w:val="002A3D61"/>
    <w:rsid w:val="002A4022"/>
    <w:rsid w:val="002A423B"/>
    <w:rsid w:val="002A4AFF"/>
    <w:rsid w:val="002A4EB5"/>
    <w:rsid w:val="002A5656"/>
    <w:rsid w:val="002A597F"/>
    <w:rsid w:val="002A5BD2"/>
    <w:rsid w:val="002A6672"/>
    <w:rsid w:val="002A6CF8"/>
    <w:rsid w:val="002A6E1F"/>
    <w:rsid w:val="002A7361"/>
    <w:rsid w:val="002A7790"/>
    <w:rsid w:val="002B03A9"/>
    <w:rsid w:val="002B0B0C"/>
    <w:rsid w:val="002B0E0E"/>
    <w:rsid w:val="002B0F69"/>
    <w:rsid w:val="002B13DA"/>
    <w:rsid w:val="002B1B52"/>
    <w:rsid w:val="002B1C4F"/>
    <w:rsid w:val="002B1D50"/>
    <w:rsid w:val="002B224F"/>
    <w:rsid w:val="002B2BC8"/>
    <w:rsid w:val="002B2CFD"/>
    <w:rsid w:val="002B30AF"/>
    <w:rsid w:val="002B30BD"/>
    <w:rsid w:val="002B3651"/>
    <w:rsid w:val="002B3908"/>
    <w:rsid w:val="002B5040"/>
    <w:rsid w:val="002B50D7"/>
    <w:rsid w:val="002B514D"/>
    <w:rsid w:val="002B528E"/>
    <w:rsid w:val="002B5463"/>
    <w:rsid w:val="002B59C9"/>
    <w:rsid w:val="002B5ADF"/>
    <w:rsid w:val="002B5C5B"/>
    <w:rsid w:val="002B5DF4"/>
    <w:rsid w:val="002B7023"/>
    <w:rsid w:val="002B74CD"/>
    <w:rsid w:val="002B758F"/>
    <w:rsid w:val="002B79F3"/>
    <w:rsid w:val="002C01F5"/>
    <w:rsid w:val="002C087A"/>
    <w:rsid w:val="002C12F4"/>
    <w:rsid w:val="002C146E"/>
    <w:rsid w:val="002C1537"/>
    <w:rsid w:val="002C1677"/>
    <w:rsid w:val="002C167B"/>
    <w:rsid w:val="002C1731"/>
    <w:rsid w:val="002C1757"/>
    <w:rsid w:val="002C1ACC"/>
    <w:rsid w:val="002C1D0A"/>
    <w:rsid w:val="002C2A3B"/>
    <w:rsid w:val="002C3081"/>
    <w:rsid w:val="002C3928"/>
    <w:rsid w:val="002C4170"/>
    <w:rsid w:val="002C41D7"/>
    <w:rsid w:val="002C460E"/>
    <w:rsid w:val="002C4793"/>
    <w:rsid w:val="002C4B1D"/>
    <w:rsid w:val="002C4C3E"/>
    <w:rsid w:val="002C60C9"/>
    <w:rsid w:val="002C6BB4"/>
    <w:rsid w:val="002C6C47"/>
    <w:rsid w:val="002C7073"/>
    <w:rsid w:val="002C75E2"/>
    <w:rsid w:val="002D086D"/>
    <w:rsid w:val="002D1E39"/>
    <w:rsid w:val="002D222B"/>
    <w:rsid w:val="002D2293"/>
    <w:rsid w:val="002D2440"/>
    <w:rsid w:val="002D2B49"/>
    <w:rsid w:val="002D3007"/>
    <w:rsid w:val="002D3036"/>
    <w:rsid w:val="002D317B"/>
    <w:rsid w:val="002D400D"/>
    <w:rsid w:val="002D40BA"/>
    <w:rsid w:val="002D54BD"/>
    <w:rsid w:val="002D577C"/>
    <w:rsid w:val="002D6561"/>
    <w:rsid w:val="002D799B"/>
    <w:rsid w:val="002E07BE"/>
    <w:rsid w:val="002E0822"/>
    <w:rsid w:val="002E15C5"/>
    <w:rsid w:val="002E18E4"/>
    <w:rsid w:val="002E1D5E"/>
    <w:rsid w:val="002E1F9B"/>
    <w:rsid w:val="002E2C67"/>
    <w:rsid w:val="002E38AC"/>
    <w:rsid w:val="002E3B0D"/>
    <w:rsid w:val="002E5700"/>
    <w:rsid w:val="002E5CB7"/>
    <w:rsid w:val="002E68CC"/>
    <w:rsid w:val="002E715F"/>
    <w:rsid w:val="002E756D"/>
    <w:rsid w:val="002E76BF"/>
    <w:rsid w:val="002E79B6"/>
    <w:rsid w:val="002E7FD9"/>
    <w:rsid w:val="002F0503"/>
    <w:rsid w:val="002F0ABE"/>
    <w:rsid w:val="002F123E"/>
    <w:rsid w:val="002F2212"/>
    <w:rsid w:val="002F3106"/>
    <w:rsid w:val="002F3446"/>
    <w:rsid w:val="002F3510"/>
    <w:rsid w:val="002F3625"/>
    <w:rsid w:val="002F38D7"/>
    <w:rsid w:val="002F3B74"/>
    <w:rsid w:val="002F4434"/>
    <w:rsid w:val="002F5193"/>
    <w:rsid w:val="002F51B8"/>
    <w:rsid w:val="002F5C58"/>
    <w:rsid w:val="002F6202"/>
    <w:rsid w:val="002F675D"/>
    <w:rsid w:val="002F6E24"/>
    <w:rsid w:val="002F6E28"/>
    <w:rsid w:val="002F70FE"/>
    <w:rsid w:val="002F726F"/>
    <w:rsid w:val="002F73B1"/>
    <w:rsid w:val="002F777F"/>
    <w:rsid w:val="002F78F1"/>
    <w:rsid w:val="002F7943"/>
    <w:rsid w:val="003013C8"/>
    <w:rsid w:val="003018AC"/>
    <w:rsid w:val="00301E9E"/>
    <w:rsid w:val="00302D57"/>
    <w:rsid w:val="00304700"/>
    <w:rsid w:val="00306A88"/>
    <w:rsid w:val="003072BC"/>
    <w:rsid w:val="0031000B"/>
    <w:rsid w:val="00310C2D"/>
    <w:rsid w:val="00310E34"/>
    <w:rsid w:val="00310E4C"/>
    <w:rsid w:val="00310EF1"/>
    <w:rsid w:val="00311344"/>
    <w:rsid w:val="00312AD6"/>
    <w:rsid w:val="00312DC3"/>
    <w:rsid w:val="00312ED2"/>
    <w:rsid w:val="0031482D"/>
    <w:rsid w:val="00314A97"/>
    <w:rsid w:val="00314BA7"/>
    <w:rsid w:val="00314FB6"/>
    <w:rsid w:val="0031548D"/>
    <w:rsid w:val="003161E5"/>
    <w:rsid w:val="003162DB"/>
    <w:rsid w:val="00316913"/>
    <w:rsid w:val="00317352"/>
    <w:rsid w:val="003202EB"/>
    <w:rsid w:val="00320A7F"/>
    <w:rsid w:val="00320C55"/>
    <w:rsid w:val="00320F70"/>
    <w:rsid w:val="00321BE4"/>
    <w:rsid w:val="00321D6C"/>
    <w:rsid w:val="00321ED3"/>
    <w:rsid w:val="003222C9"/>
    <w:rsid w:val="00322860"/>
    <w:rsid w:val="00323160"/>
    <w:rsid w:val="00324A02"/>
    <w:rsid w:val="00324A96"/>
    <w:rsid w:val="00324B17"/>
    <w:rsid w:val="00325C5A"/>
    <w:rsid w:val="00325CD2"/>
    <w:rsid w:val="00326AF2"/>
    <w:rsid w:val="00326B94"/>
    <w:rsid w:val="003270F5"/>
    <w:rsid w:val="00327526"/>
    <w:rsid w:val="00327684"/>
    <w:rsid w:val="003278F2"/>
    <w:rsid w:val="00327D6D"/>
    <w:rsid w:val="0033029B"/>
    <w:rsid w:val="00330542"/>
    <w:rsid w:val="00330E18"/>
    <w:rsid w:val="003316CB"/>
    <w:rsid w:val="00331778"/>
    <w:rsid w:val="00332160"/>
    <w:rsid w:val="00332353"/>
    <w:rsid w:val="00332B7C"/>
    <w:rsid w:val="0033344A"/>
    <w:rsid w:val="0033348E"/>
    <w:rsid w:val="00333874"/>
    <w:rsid w:val="00333D2D"/>
    <w:rsid w:val="00335A54"/>
    <w:rsid w:val="00335DEA"/>
    <w:rsid w:val="0033624B"/>
    <w:rsid w:val="00336DC6"/>
    <w:rsid w:val="00336F7E"/>
    <w:rsid w:val="00336FC8"/>
    <w:rsid w:val="0033744D"/>
    <w:rsid w:val="00337991"/>
    <w:rsid w:val="003403D1"/>
    <w:rsid w:val="00340534"/>
    <w:rsid w:val="00340B07"/>
    <w:rsid w:val="00340FC3"/>
    <w:rsid w:val="0034144C"/>
    <w:rsid w:val="0034171D"/>
    <w:rsid w:val="00341DED"/>
    <w:rsid w:val="00343A3D"/>
    <w:rsid w:val="003446B6"/>
    <w:rsid w:val="00344D2F"/>
    <w:rsid w:val="00345FFA"/>
    <w:rsid w:val="003470B2"/>
    <w:rsid w:val="00347239"/>
    <w:rsid w:val="0034741C"/>
    <w:rsid w:val="00347555"/>
    <w:rsid w:val="003477C3"/>
    <w:rsid w:val="00347FA6"/>
    <w:rsid w:val="00350642"/>
    <w:rsid w:val="00350A05"/>
    <w:rsid w:val="003510E2"/>
    <w:rsid w:val="0035184B"/>
    <w:rsid w:val="00351951"/>
    <w:rsid w:val="00351973"/>
    <w:rsid w:val="00352332"/>
    <w:rsid w:val="00353147"/>
    <w:rsid w:val="0035438C"/>
    <w:rsid w:val="00354781"/>
    <w:rsid w:val="003547CC"/>
    <w:rsid w:val="00354F5E"/>
    <w:rsid w:val="0035515E"/>
    <w:rsid w:val="0035534B"/>
    <w:rsid w:val="00355448"/>
    <w:rsid w:val="00355559"/>
    <w:rsid w:val="003559E3"/>
    <w:rsid w:val="00355CBE"/>
    <w:rsid w:val="0035611B"/>
    <w:rsid w:val="003564C4"/>
    <w:rsid w:val="003569AB"/>
    <w:rsid w:val="00357AE7"/>
    <w:rsid w:val="0035C293"/>
    <w:rsid w:val="003604BB"/>
    <w:rsid w:val="00360B35"/>
    <w:rsid w:val="00360BAF"/>
    <w:rsid w:val="00360D08"/>
    <w:rsid w:val="00361285"/>
    <w:rsid w:val="00361962"/>
    <w:rsid w:val="00362320"/>
    <w:rsid w:val="003624EC"/>
    <w:rsid w:val="0036257D"/>
    <w:rsid w:val="0036341D"/>
    <w:rsid w:val="00363F92"/>
    <w:rsid w:val="003643A8"/>
    <w:rsid w:val="00365424"/>
    <w:rsid w:val="00365787"/>
    <w:rsid w:val="003659D7"/>
    <w:rsid w:val="00365BFE"/>
    <w:rsid w:val="00365D75"/>
    <w:rsid w:val="00366154"/>
    <w:rsid w:val="0036645B"/>
    <w:rsid w:val="00366702"/>
    <w:rsid w:val="0036672E"/>
    <w:rsid w:val="0036767A"/>
    <w:rsid w:val="003677B6"/>
    <w:rsid w:val="00367A07"/>
    <w:rsid w:val="00370B59"/>
    <w:rsid w:val="00370BE0"/>
    <w:rsid w:val="00370DB5"/>
    <w:rsid w:val="0037157E"/>
    <w:rsid w:val="00372DD1"/>
    <w:rsid w:val="0037451E"/>
    <w:rsid w:val="00374FA0"/>
    <w:rsid w:val="0037552E"/>
    <w:rsid w:val="00375C35"/>
    <w:rsid w:val="00375F08"/>
    <w:rsid w:val="00377292"/>
    <w:rsid w:val="00377891"/>
    <w:rsid w:val="00377C95"/>
    <w:rsid w:val="003802AD"/>
    <w:rsid w:val="003805B1"/>
    <w:rsid w:val="0038097D"/>
    <w:rsid w:val="00380A1C"/>
    <w:rsid w:val="00380DB2"/>
    <w:rsid w:val="00381666"/>
    <w:rsid w:val="003816AD"/>
    <w:rsid w:val="003819AE"/>
    <w:rsid w:val="00381B66"/>
    <w:rsid w:val="003825D5"/>
    <w:rsid w:val="00383726"/>
    <w:rsid w:val="00383900"/>
    <w:rsid w:val="003839D0"/>
    <w:rsid w:val="00383B5E"/>
    <w:rsid w:val="00384295"/>
    <w:rsid w:val="00385AC5"/>
    <w:rsid w:val="003863A9"/>
    <w:rsid w:val="003875A7"/>
    <w:rsid w:val="0039040A"/>
    <w:rsid w:val="003905A8"/>
    <w:rsid w:val="00390AB6"/>
    <w:rsid w:val="0039105D"/>
    <w:rsid w:val="00391AB6"/>
    <w:rsid w:val="00391B45"/>
    <w:rsid w:val="00391C06"/>
    <w:rsid w:val="00392009"/>
    <w:rsid w:val="003920BD"/>
    <w:rsid w:val="003923DB"/>
    <w:rsid w:val="003925F0"/>
    <w:rsid w:val="00393898"/>
    <w:rsid w:val="00393A5B"/>
    <w:rsid w:val="0039467B"/>
    <w:rsid w:val="003948D4"/>
    <w:rsid w:val="00395092"/>
    <w:rsid w:val="0039579A"/>
    <w:rsid w:val="00395DC7"/>
    <w:rsid w:val="00395ED6"/>
    <w:rsid w:val="003969F6"/>
    <w:rsid w:val="003976C4"/>
    <w:rsid w:val="003976E4"/>
    <w:rsid w:val="00397882"/>
    <w:rsid w:val="003A0596"/>
    <w:rsid w:val="003A22E1"/>
    <w:rsid w:val="003A254E"/>
    <w:rsid w:val="003A29B0"/>
    <w:rsid w:val="003A2B25"/>
    <w:rsid w:val="003A3B05"/>
    <w:rsid w:val="003A4000"/>
    <w:rsid w:val="003A4C36"/>
    <w:rsid w:val="003A4C3E"/>
    <w:rsid w:val="003A52D9"/>
    <w:rsid w:val="003A539F"/>
    <w:rsid w:val="003A5737"/>
    <w:rsid w:val="003A5B63"/>
    <w:rsid w:val="003A60D2"/>
    <w:rsid w:val="003A64E4"/>
    <w:rsid w:val="003A65FD"/>
    <w:rsid w:val="003A6B31"/>
    <w:rsid w:val="003A6B6A"/>
    <w:rsid w:val="003A712A"/>
    <w:rsid w:val="003A75D0"/>
    <w:rsid w:val="003A7635"/>
    <w:rsid w:val="003A7A24"/>
    <w:rsid w:val="003A7BC1"/>
    <w:rsid w:val="003B0035"/>
    <w:rsid w:val="003B038C"/>
    <w:rsid w:val="003B2344"/>
    <w:rsid w:val="003B3399"/>
    <w:rsid w:val="003B45F9"/>
    <w:rsid w:val="003B4613"/>
    <w:rsid w:val="003B5665"/>
    <w:rsid w:val="003B5CB2"/>
    <w:rsid w:val="003C0202"/>
    <w:rsid w:val="003C0741"/>
    <w:rsid w:val="003C079B"/>
    <w:rsid w:val="003C07C7"/>
    <w:rsid w:val="003C196E"/>
    <w:rsid w:val="003C29F9"/>
    <w:rsid w:val="003C2E0C"/>
    <w:rsid w:val="003C3EAA"/>
    <w:rsid w:val="003C46B7"/>
    <w:rsid w:val="003C5D32"/>
    <w:rsid w:val="003C6356"/>
    <w:rsid w:val="003C6534"/>
    <w:rsid w:val="003C669A"/>
    <w:rsid w:val="003C6737"/>
    <w:rsid w:val="003D079A"/>
    <w:rsid w:val="003D0EAD"/>
    <w:rsid w:val="003D1140"/>
    <w:rsid w:val="003D262D"/>
    <w:rsid w:val="003D3085"/>
    <w:rsid w:val="003D338F"/>
    <w:rsid w:val="003D3977"/>
    <w:rsid w:val="003D42B6"/>
    <w:rsid w:val="003D4C68"/>
    <w:rsid w:val="003D4D47"/>
    <w:rsid w:val="003D4FE2"/>
    <w:rsid w:val="003D516F"/>
    <w:rsid w:val="003D548F"/>
    <w:rsid w:val="003D5A5A"/>
    <w:rsid w:val="003D5E7E"/>
    <w:rsid w:val="003D61DE"/>
    <w:rsid w:val="003D6BAE"/>
    <w:rsid w:val="003D6F93"/>
    <w:rsid w:val="003E0098"/>
    <w:rsid w:val="003E230E"/>
    <w:rsid w:val="003E2383"/>
    <w:rsid w:val="003E2B2D"/>
    <w:rsid w:val="003E2E04"/>
    <w:rsid w:val="003E2F47"/>
    <w:rsid w:val="003E3745"/>
    <w:rsid w:val="003E3F40"/>
    <w:rsid w:val="003E42CB"/>
    <w:rsid w:val="003E44A9"/>
    <w:rsid w:val="003E4BEC"/>
    <w:rsid w:val="003E5CB6"/>
    <w:rsid w:val="003E5E0B"/>
    <w:rsid w:val="003E73A8"/>
    <w:rsid w:val="003E7780"/>
    <w:rsid w:val="003ED0DF"/>
    <w:rsid w:val="003F0120"/>
    <w:rsid w:val="003F0B53"/>
    <w:rsid w:val="003F0E3C"/>
    <w:rsid w:val="003F1D9B"/>
    <w:rsid w:val="003F2011"/>
    <w:rsid w:val="003F2584"/>
    <w:rsid w:val="003F2698"/>
    <w:rsid w:val="003F353E"/>
    <w:rsid w:val="003F3561"/>
    <w:rsid w:val="003F3B57"/>
    <w:rsid w:val="003F3BA1"/>
    <w:rsid w:val="003F4949"/>
    <w:rsid w:val="003F5934"/>
    <w:rsid w:val="003F5C71"/>
    <w:rsid w:val="003F64AE"/>
    <w:rsid w:val="003F66F7"/>
    <w:rsid w:val="003F6886"/>
    <w:rsid w:val="003F6A62"/>
    <w:rsid w:val="003F6AF7"/>
    <w:rsid w:val="003F7210"/>
    <w:rsid w:val="003F74E6"/>
    <w:rsid w:val="003F760D"/>
    <w:rsid w:val="003F76B7"/>
    <w:rsid w:val="003F7975"/>
    <w:rsid w:val="003F7E01"/>
    <w:rsid w:val="00401427"/>
    <w:rsid w:val="00401810"/>
    <w:rsid w:val="004023FE"/>
    <w:rsid w:val="00403E07"/>
    <w:rsid w:val="00404373"/>
    <w:rsid w:val="00405578"/>
    <w:rsid w:val="00405735"/>
    <w:rsid w:val="00405CE5"/>
    <w:rsid w:val="004063A6"/>
    <w:rsid w:val="004063B7"/>
    <w:rsid w:val="004065A7"/>
    <w:rsid w:val="0040694C"/>
    <w:rsid w:val="00406F1E"/>
    <w:rsid w:val="00406F29"/>
    <w:rsid w:val="0040735B"/>
    <w:rsid w:val="0040748D"/>
    <w:rsid w:val="00407709"/>
    <w:rsid w:val="0040786D"/>
    <w:rsid w:val="00407E6B"/>
    <w:rsid w:val="00410560"/>
    <w:rsid w:val="0041092F"/>
    <w:rsid w:val="004111C8"/>
    <w:rsid w:val="004112EE"/>
    <w:rsid w:val="004129FD"/>
    <w:rsid w:val="00412BB9"/>
    <w:rsid w:val="0041373F"/>
    <w:rsid w:val="00413B8B"/>
    <w:rsid w:val="00413D97"/>
    <w:rsid w:val="00414B03"/>
    <w:rsid w:val="00414C32"/>
    <w:rsid w:val="00414F03"/>
    <w:rsid w:val="00415161"/>
    <w:rsid w:val="00415D2E"/>
    <w:rsid w:val="00416D5A"/>
    <w:rsid w:val="00416D82"/>
    <w:rsid w:val="00416DF3"/>
    <w:rsid w:val="00417585"/>
    <w:rsid w:val="00420280"/>
    <w:rsid w:val="004205BE"/>
    <w:rsid w:val="00420A0A"/>
    <w:rsid w:val="004210C8"/>
    <w:rsid w:val="004214B5"/>
    <w:rsid w:val="004214E2"/>
    <w:rsid w:val="00421828"/>
    <w:rsid w:val="00421A40"/>
    <w:rsid w:val="00421EF8"/>
    <w:rsid w:val="004220B5"/>
    <w:rsid w:val="00422BC8"/>
    <w:rsid w:val="00422C17"/>
    <w:rsid w:val="00422E9C"/>
    <w:rsid w:val="004232B7"/>
    <w:rsid w:val="0042376F"/>
    <w:rsid w:val="00423777"/>
    <w:rsid w:val="00423819"/>
    <w:rsid w:val="00423906"/>
    <w:rsid w:val="00424F31"/>
    <w:rsid w:val="004250DE"/>
    <w:rsid w:val="00425A79"/>
    <w:rsid w:val="0042605F"/>
    <w:rsid w:val="0042648E"/>
    <w:rsid w:val="004264B7"/>
    <w:rsid w:val="0042743F"/>
    <w:rsid w:val="00427C45"/>
    <w:rsid w:val="00430169"/>
    <w:rsid w:val="00430BA4"/>
    <w:rsid w:val="00431610"/>
    <w:rsid w:val="0043196D"/>
    <w:rsid w:val="00431D47"/>
    <w:rsid w:val="00432316"/>
    <w:rsid w:val="00432684"/>
    <w:rsid w:val="004338FC"/>
    <w:rsid w:val="00433999"/>
    <w:rsid w:val="00433AD5"/>
    <w:rsid w:val="00434331"/>
    <w:rsid w:val="0043546C"/>
    <w:rsid w:val="00435925"/>
    <w:rsid w:val="00435BB6"/>
    <w:rsid w:val="00435C23"/>
    <w:rsid w:val="00435EAF"/>
    <w:rsid w:val="00435F04"/>
    <w:rsid w:val="00436A82"/>
    <w:rsid w:val="00437011"/>
    <w:rsid w:val="00437098"/>
    <w:rsid w:val="004375F8"/>
    <w:rsid w:val="00440012"/>
    <w:rsid w:val="004401FC"/>
    <w:rsid w:val="00440359"/>
    <w:rsid w:val="004405F9"/>
    <w:rsid w:val="00440964"/>
    <w:rsid w:val="00440BA5"/>
    <w:rsid w:val="004412E4"/>
    <w:rsid w:val="00442266"/>
    <w:rsid w:val="004422E2"/>
    <w:rsid w:val="0044298A"/>
    <w:rsid w:val="0044420F"/>
    <w:rsid w:val="004443D6"/>
    <w:rsid w:val="00444860"/>
    <w:rsid w:val="0044486A"/>
    <w:rsid w:val="004448A3"/>
    <w:rsid w:val="00444D87"/>
    <w:rsid w:val="00445286"/>
    <w:rsid w:val="004454A9"/>
    <w:rsid w:val="004458CA"/>
    <w:rsid w:val="00445C53"/>
    <w:rsid w:val="00445DDE"/>
    <w:rsid w:val="0044663E"/>
    <w:rsid w:val="00450922"/>
    <w:rsid w:val="00450D3A"/>
    <w:rsid w:val="00451046"/>
    <w:rsid w:val="0045143B"/>
    <w:rsid w:val="00451504"/>
    <w:rsid w:val="004528CD"/>
    <w:rsid w:val="00453C48"/>
    <w:rsid w:val="00454B8D"/>
    <w:rsid w:val="00455A78"/>
    <w:rsid w:val="004567D8"/>
    <w:rsid w:val="00456ED5"/>
    <w:rsid w:val="00457053"/>
    <w:rsid w:val="00460442"/>
    <w:rsid w:val="0046066A"/>
    <w:rsid w:val="00460A04"/>
    <w:rsid w:val="00460D46"/>
    <w:rsid w:val="0046121F"/>
    <w:rsid w:val="00461261"/>
    <w:rsid w:val="00461629"/>
    <w:rsid w:val="00461891"/>
    <w:rsid w:val="00461C2B"/>
    <w:rsid w:val="00461CF0"/>
    <w:rsid w:val="00461ED9"/>
    <w:rsid w:val="00462989"/>
    <w:rsid w:val="0046380C"/>
    <w:rsid w:val="00464BBA"/>
    <w:rsid w:val="00464CA3"/>
    <w:rsid w:val="0046573A"/>
    <w:rsid w:val="004658DF"/>
    <w:rsid w:val="00465C22"/>
    <w:rsid w:val="00466484"/>
    <w:rsid w:val="0046663D"/>
    <w:rsid w:val="004675F2"/>
    <w:rsid w:val="00467AC4"/>
    <w:rsid w:val="00467E86"/>
    <w:rsid w:val="00470363"/>
    <w:rsid w:val="00470626"/>
    <w:rsid w:val="00470EF4"/>
    <w:rsid w:val="0047164F"/>
    <w:rsid w:val="00471D4D"/>
    <w:rsid w:val="004725BD"/>
    <w:rsid w:val="004728DB"/>
    <w:rsid w:val="00473A92"/>
    <w:rsid w:val="00473F75"/>
    <w:rsid w:val="004742B2"/>
    <w:rsid w:val="00474C4A"/>
    <w:rsid w:val="00474E7D"/>
    <w:rsid w:val="00475557"/>
    <w:rsid w:val="00475662"/>
    <w:rsid w:val="0047575E"/>
    <w:rsid w:val="0047664B"/>
    <w:rsid w:val="004772A9"/>
    <w:rsid w:val="00477C55"/>
    <w:rsid w:val="00480452"/>
    <w:rsid w:val="00480653"/>
    <w:rsid w:val="00481D6A"/>
    <w:rsid w:val="0048216D"/>
    <w:rsid w:val="004841A5"/>
    <w:rsid w:val="004842D2"/>
    <w:rsid w:val="004843FE"/>
    <w:rsid w:val="004845B2"/>
    <w:rsid w:val="004856FC"/>
    <w:rsid w:val="00485996"/>
    <w:rsid w:val="00485C90"/>
    <w:rsid w:val="004867C7"/>
    <w:rsid w:val="00486D03"/>
    <w:rsid w:val="00487601"/>
    <w:rsid w:val="00487632"/>
    <w:rsid w:val="004877A9"/>
    <w:rsid w:val="00487DBA"/>
    <w:rsid w:val="0049008F"/>
    <w:rsid w:val="004900F3"/>
    <w:rsid w:val="0049108F"/>
    <w:rsid w:val="00491372"/>
    <w:rsid w:val="00491D32"/>
    <w:rsid w:val="00492EE2"/>
    <w:rsid w:val="004936D2"/>
    <w:rsid w:val="004937A0"/>
    <w:rsid w:val="00493E0B"/>
    <w:rsid w:val="0049508B"/>
    <w:rsid w:val="0049549B"/>
    <w:rsid w:val="00495C61"/>
    <w:rsid w:val="00495DB8"/>
    <w:rsid w:val="00495EEE"/>
    <w:rsid w:val="00496A48"/>
    <w:rsid w:val="00497DB8"/>
    <w:rsid w:val="004A084C"/>
    <w:rsid w:val="004A1A6B"/>
    <w:rsid w:val="004A1AC0"/>
    <w:rsid w:val="004A21A6"/>
    <w:rsid w:val="004A32D5"/>
    <w:rsid w:val="004A416A"/>
    <w:rsid w:val="004A4E6F"/>
    <w:rsid w:val="004A5210"/>
    <w:rsid w:val="004A588F"/>
    <w:rsid w:val="004A5EC7"/>
    <w:rsid w:val="004A621E"/>
    <w:rsid w:val="004A631C"/>
    <w:rsid w:val="004A7AC7"/>
    <w:rsid w:val="004A7AD3"/>
    <w:rsid w:val="004A7FD1"/>
    <w:rsid w:val="004B274D"/>
    <w:rsid w:val="004B3926"/>
    <w:rsid w:val="004B3E61"/>
    <w:rsid w:val="004B4190"/>
    <w:rsid w:val="004B421B"/>
    <w:rsid w:val="004B4241"/>
    <w:rsid w:val="004B443E"/>
    <w:rsid w:val="004B509F"/>
    <w:rsid w:val="004B56E9"/>
    <w:rsid w:val="004B5A0D"/>
    <w:rsid w:val="004B5A3C"/>
    <w:rsid w:val="004B5B2C"/>
    <w:rsid w:val="004B5D3B"/>
    <w:rsid w:val="004B7007"/>
    <w:rsid w:val="004B70C2"/>
    <w:rsid w:val="004B7955"/>
    <w:rsid w:val="004C0555"/>
    <w:rsid w:val="004C0765"/>
    <w:rsid w:val="004C100A"/>
    <w:rsid w:val="004C101E"/>
    <w:rsid w:val="004C1B35"/>
    <w:rsid w:val="004C2126"/>
    <w:rsid w:val="004C2804"/>
    <w:rsid w:val="004C293D"/>
    <w:rsid w:val="004C2A39"/>
    <w:rsid w:val="004C2FB3"/>
    <w:rsid w:val="004C31D2"/>
    <w:rsid w:val="004C32DD"/>
    <w:rsid w:val="004C35DB"/>
    <w:rsid w:val="004C3D81"/>
    <w:rsid w:val="004C3ECA"/>
    <w:rsid w:val="004C4317"/>
    <w:rsid w:val="004C4909"/>
    <w:rsid w:val="004C55CC"/>
    <w:rsid w:val="004C5839"/>
    <w:rsid w:val="004C5EE1"/>
    <w:rsid w:val="004C6836"/>
    <w:rsid w:val="004C7102"/>
    <w:rsid w:val="004C7E7A"/>
    <w:rsid w:val="004C7F21"/>
    <w:rsid w:val="004D05B2"/>
    <w:rsid w:val="004D137D"/>
    <w:rsid w:val="004D1AFB"/>
    <w:rsid w:val="004D2798"/>
    <w:rsid w:val="004D2A17"/>
    <w:rsid w:val="004D3223"/>
    <w:rsid w:val="004D368C"/>
    <w:rsid w:val="004D5534"/>
    <w:rsid w:val="004D5BE0"/>
    <w:rsid w:val="004D65CD"/>
    <w:rsid w:val="004D6B2D"/>
    <w:rsid w:val="004D78D8"/>
    <w:rsid w:val="004D7FC1"/>
    <w:rsid w:val="004E0DB1"/>
    <w:rsid w:val="004E10D2"/>
    <w:rsid w:val="004E1B28"/>
    <w:rsid w:val="004E1D71"/>
    <w:rsid w:val="004E20FB"/>
    <w:rsid w:val="004E2A37"/>
    <w:rsid w:val="004E3173"/>
    <w:rsid w:val="004E3705"/>
    <w:rsid w:val="004E3A18"/>
    <w:rsid w:val="004E3C50"/>
    <w:rsid w:val="004E3E69"/>
    <w:rsid w:val="004E4CE0"/>
    <w:rsid w:val="004E4DFC"/>
    <w:rsid w:val="004E50EC"/>
    <w:rsid w:val="004E6247"/>
    <w:rsid w:val="004E6D35"/>
    <w:rsid w:val="004E77BF"/>
    <w:rsid w:val="004E7DB7"/>
    <w:rsid w:val="004F003C"/>
    <w:rsid w:val="004F014B"/>
    <w:rsid w:val="004F0916"/>
    <w:rsid w:val="004F112F"/>
    <w:rsid w:val="004F15AA"/>
    <w:rsid w:val="004F1642"/>
    <w:rsid w:val="004F1AF1"/>
    <w:rsid w:val="004F1D60"/>
    <w:rsid w:val="004F22E9"/>
    <w:rsid w:val="004F2D13"/>
    <w:rsid w:val="004F43DC"/>
    <w:rsid w:val="004F446A"/>
    <w:rsid w:val="004F45C5"/>
    <w:rsid w:val="004F4EE1"/>
    <w:rsid w:val="004F5B5B"/>
    <w:rsid w:val="004F605D"/>
    <w:rsid w:val="004F621F"/>
    <w:rsid w:val="004F68D2"/>
    <w:rsid w:val="004F6B2B"/>
    <w:rsid w:val="004F7691"/>
    <w:rsid w:val="004F7C0E"/>
    <w:rsid w:val="004F7E6D"/>
    <w:rsid w:val="0050096F"/>
    <w:rsid w:val="005019D7"/>
    <w:rsid w:val="0050226E"/>
    <w:rsid w:val="0050251A"/>
    <w:rsid w:val="00502A93"/>
    <w:rsid w:val="00502BDF"/>
    <w:rsid w:val="00502C45"/>
    <w:rsid w:val="0050326B"/>
    <w:rsid w:val="0050425F"/>
    <w:rsid w:val="0050445C"/>
    <w:rsid w:val="00504A27"/>
    <w:rsid w:val="005050C5"/>
    <w:rsid w:val="00505C47"/>
    <w:rsid w:val="00505E19"/>
    <w:rsid w:val="00506289"/>
    <w:rsid w:val="00506585"/>
    <w:rsid w:val="005068CF"/>
    <w:rsid w:val="005071FE"/>
    <w:rsid w:val="00510157"/>
    <w:rsid w:val="00510388"/>
    <w:rsid w:val="0051078A"/>
    <w:rsid w:val="005110FD"/>
    <w:rsid w:val="0051140C"/>
    <w:rsid w:val="00511BDB"/>
    <w:rsid w:val="00511DFF"/>
    <w:rsid w:val="00512154"/>
    <w:rsid w:val="00512467"/>
    <w:rsid w:val="005128C6"/>
    <w:rsid w:val="00512E43"/>
    <w:rsid w:val="00513014"/>
    <w:rsid w:val="00513506"/>
    <w:rsid w:val="00513926"/>
    <w:rsid w:val="00514E12"/>
    <w:rsid w:val="00514E76"/>
    <w:rsid w:val="0051513E"/>
    <w:rsid w:val="00515188"/>
    <w:rsid w:val="00515793"/>
    <w:rsid w:val="00515D8F"/>
    <w:rsid w:val="0051622F"/>
    <w:rsid w:val="0051637E"/>
    <w:rsid w:val="00516428"/>
    <w:rsid w:val="0051656A"/>
    <w:rsid w:val="00517185"/>
    <w:rsid w:val="00517F3E"/>
    <w:rsid w:val="00520B8B"/>
    <w:rsid w:val="00520F18"/>
    <w:rsid w:val="00521EE4"/>
    <w:rsid w:val="00522A5D"/>
    <w:rsid w:val="00523C16"/>
    <w:rsid w:val="00523E18"/>
    <w:rsid w:val="00524266"/>
    <w:rsid w:val="00524332"/>
    <w:rsid w:val="00524971"/>
    <w:rsid w:val="00524B2F"/>
    <w:rsid w:val="0052502E"/>
    <w:rsid w:val="005252A3"/>
    <w:rsid w:val="005253EF"/>
    <w:rsid w:val="00525DC4"/>
    <w:rsid w:val="005260F8"/>
    <w:rsid w:val="0052638A"/>
    <w:rsid w:val="00526FC4"/>
    <w:rsid w:val="00527116"/>
    <w:rsid w:val="00527E4E"/>
    <w:rsid w:val="005304E7"/>
    <w:rsid w:val="005308B1"/>
    <w:rsid w:val="00531534"/>
    <w:rsid w:val="00531D82"/>
    <w:rsid w:val="005320EE"/>
    <w:rsid w:val="005321C8"/>
    <w:rsid w:val="005329A4"/>
    <w:rsid w:val="00532A86"/>
    <w:rsid w:val="00533E13"/>
    <w:rsid w:val="00534773"/>
    <w:rsid w:val="00534B15"/>
    <w:rsid w:val="00534E1E"/>
    <w:rsid w:val="00534F8E"/>
    <w:rsid w:val="005350CB"/>
    <w:rsid w:val="00535BEB"/>
    <w:rsid w:val="0053668A"/>
    <w:rsid w:val="00540153"/>
    <w:rsid w:val="005410B3"/>
    <w:rsid w:val="00541122"/>
    <w:rsid w:val="00543353"/>
    <w:rsid w:val="00543EA3"/>
    <w:rsid w:val="005441C7"/>
    <w:rsid w:val="00544293"/>
    <w:rsid w:val="0054479B"/>
    <w:rsid w:val="005447F1"/>
    <w:rsid w:val="005449DA"/>
    <w:rsid w:val="00544C54"/>
    <w:rsid w:val="00544E3F"/>
    <w:rsid w:val="0054540A"/>
    <w:rsid w:val="00546788"/>
    <w:rsid w:val="005467E6"/>
    <w:rsid w:val="0054706F"/>
    <w:rsid w:val="0055135D"/>
    <w:rsid w:val="0055215B"/>
    <w:rsid w:val="005527D5"/>
    <w:rsid w:val="0055373D"/>
    <w:rsid w:val="00553EA1"/>
    <w:rsid w:val="00554388"/>
    <w:rsid w:val="005547EB"/>
    <w:rsid w:val="00554B81"/>
    <w:rsid w:val="00554FE1"/>
    <w:rsid w:val="005551BF"/>
    <w:rsid w:val="00555538"/>
    <w:rsid w:val="00555D11"/>
    <w:rsid w:val="005568D6"/>
    <w:rsid w:val="00556AA7"/>
    <w:rsid w:val="00556C7D"/>
    <w:rsid w:val="00557702"/>
    <w:rsid w:val="00557775"/>
    <w:rsid w:val="00557B3D"/>
    <w:rsid w:val="00557C30"/>
    <w:rsid w:val="0056059D"/>
    <w:rsid w:val="00561452"/>
    <w:rsid w:val="00562335"/>
    <w:rsid w:val="00562A50"/>
    <w:rsid w:val="005632BE"/>
    <w:rsid w:val="0056357D"/>
    <w:rsid w:val="005636C5"/>
    <w:rsid w:val="0056455E"/>
    <w:rsid w:val="00564A0D"/>
    <w:rsid w:val="005653A3"/>
    <w:rsid w:val="0056653E"/>
    <w:rsid w:val="0056671A"/>
    <w:rsid w:val="0056672E"/>
    <w:rsid w:val="00566892"/>
    <w:rsid w:val="005673AC"/>
    <w:rsid w:val="00567CCD"/>
    <w:rsid w:val="00567F15"/>
    <w:rsid w:val="00570A12"/>
    <w:rsid w:val="005713B8"/>
    <w:rsid w:val="00571752"/>
    <w:rsid w:val="00571A1D"/>
    <w:rsid w:val="00571AE3"/>
    <w:rsid w:val="00571C58"/>
    <w:rsid w:val="0057274E"/>
    <w:rsid w:val="0057323E"/>
    <w:rsid w:val="0057354E"/>
    <w:rsid w:val="00573CF1"/>
    <w:rsid w:val="00574252"/>
    <w:rsid w:val="005742F3"/>
    <w:rsid w:val="00574753"/>
    <w:rsid w:val="005755DA"/>
    <w:rsid w:val="00575771"/>
    <w:rsid w:val="00576131"/>
    <w:rsid w:val="00577274"/>
    <w:rsid w:val="005776E2"/>
    <w:rsid w:val="00577879"/>
    <w:rsid w:val="00577D90"/>
    <w:rsid w:val="00577DF1"/>
    <w:rsid w:val="005802D4"/>
    <w:rsid w:val="00581C38"/>
    <w:rsid w:val="00581CFC"/>
    <w:rsid w:val="00581D90"/>
    <w:rsid w:val="00582261"/>
    <w:rsid w:val="0058337F"/>
    <w:rsid w:val="00583682"/>
    <w:rsid w:val="00583831"/>
    <w:rsid w:val="00583D15"/>
    <w:rsid w:val="00583DE4"/>
    <w:rsid w:val="005841C0"/>
    <w:rsid w:val="005842BA"/>
    <w:rsid w:val="005845C4"/>
    <w:rsid w:val="00584C43"/>
    <w:rsid w:val="0058562A"/>
    <w:rsid w:val="00586583"/>
    <w:rsid w:val="0058787E"/>
    <w:rsid w:val="005902A7"/>
    <w:rsid w:val="005905B7"/>
    <w:rsid w:val="00590CBE"/>
    <w:rsid w:val="0059119C"/>
    <w:rsid w:val="0059147F"/>
    <w:rsid w:val="00591A60"/>
    <w:rsid w:val="00591AD7"/>
    <w:rsid w:val="00592096"/>
    <w:rsid w:val="0059246A"/>
    <w:rsid w:val="0059292B"/>
    <w:rsid w:val="00592AA8"/>
    <w:rsid w:val="00592EDA"/>
    <w:rsid w:val="0059382B"/>
    <w:rsid w:val="00594444"/>
    <w:rsid w:val="005947D0"/>
    <w:rsid w:val="005947EF"/>
    <w:rsid w:val="00595344"/>
    <w:rsid w:val="00597154"/>
    <w:rsid w:val="005A03B0"/>
    <w:rsid w:val="005A08BD"/>
    <w:rsid w:val="005A09EF"/>
    <w:rsid w:val="005A1162"/>
    <w:rsid w:val="005A131D"/>
    <w:rsid w:val="005A186E"/>
    <w:rsid w:val="005A25B2"/>
    <w:rsid w:val="005A26BA"/>
    <w:rsid w:val="005A26D3"/>
    <w:rsid w:val="005A2991"/>
    <w:rsid w:val="005A2CD8"/>
    <w:rsid w:val="005A2F1A"/>
    <w:rsid w:val="005A3006"/>
    <w:rsid w:val="005A367B"/>
    <w:rsid w:val="005A3812"/>
    <w:rsid w:val="005A3836"/>
    <w:rsid w:val="005A3FB7"/>
    <w:rsid w:val="005A4AF0"/>
    <w:rsid w:val="005A4C49"/>
    <w:rsid w:val="005A572B"/>
    <w:rsid w:val="005A5C76"/>
    <w:rsid w:val="005A616A"/>
    <w:rsid w:val="005A678E"/>
    <w:rsid w:val="005A682B"/>
    <w:rsid w:val="005A6AE1"/>
    <w:rsid w:val="005A707B"/>
    <w:rsid w:val="005A77AF"/>
    <w:rsid w:val="005A77DF"/>
    <w:rsid w:val="005A7938"/>
    <w:rsid w:val="005A7FD1"/>
    <w:rsid w:val="005B08E3"/>
    <w:rsid w:val="005B0DE5"/>
    <w:rsid w:val="005B1002"/>
    <w:rsid w:val="005B13B5"/>
    <w:rsid w:val="005B1B1A"/>
    <w:rsid w:val="005B1DA3"/>
    <w:rsid w:val="005B1EB6"/>
    <w:rsid w:val="005B20F8"/>
    <w:rsid w:val="005B2701"/>
    <w:rsid w:val="005B2817"/>
    <w:rsid w:val="005B3B1B"/>
    <w:rsid w:val="005B3E6C"/>
    <w:rsid w:val="005B4121"/>
    <w:rsid w:val="005B4B0E"/>
    <w:rsid w:val="005B4BE3"/>
    <w:rsid w:val="005B4CB0"/>
    <w:rsid w:val="005B55F2"/>
    <w:rsid w:val="005B57AB"/>
    <w:rsid w:val="005B5A39"/>
    <w:rsid w:val="005B5B8D"/>
    <w:rsid w:val="005B69FF"/>
    <w:rsid w:val="005B6E32"/>
    <w:rsid w:val="005B7313"/>
    <w:rsid w:val="005B733C"/>
    <w:rsid w:val="005B742A"/>
    <w:rsid w:val="005B75D3"/>
    <w:rsid w:val="005B7BBF"/>
    <w:rsid w:val="005C01D2"/>
    <w:rsid w:val="005C0AB2"/>
    <w:rsid w:val="005C142B"/>
    <w:rsid w:val="005C1A2B"/>
    <w:rsid w:val="005C26FA"/>
    <w:rsid w:val="005C29D5"/>
    <w:rsid w:val="005C2BD4"/>
    <w:rsid w:val="005C33CE"/>
    <w:rsid w:val="005C353B"/>
    <w:rsid w:val="005C355C"/>
    <w:rsid w:val="005C3F40"/>
    <w:rsid w:val="005C3F97"/>
    <w:rsid w:val="005C47C0"/>
    <w:rsid w:val="005C4CA2"/>
    <w:rsid w:val="005C51AD"/>
    <w:rsid w:val="005C5202"/>
    <w:rsid w:val="005C5656"/>
    <w:rsid w:val="005C6781"/>
    <w:rsid w:val="005C6922"/>
    <w:rsid w:val="005C6FC5"/>
    <w:rsid w:val="005C740C"/>
    <w:rsid w:val="005C7556"/>
    <w:rsid w:val="005D03F4"/>
    <w:rsid w:val="005D04E3"/>
    <w:rsid w:val="005D0A6E"/>
    <w:rsid w:val="005D0E97"/>
    <w:rsid w:val="005D1CE7"/>
    <w:rsid w:val="005D1F90"/>
    <w:rsid w:val="005D21D6"/>
    <w:rsid w:val="005D2A4F"/>
    <w:rsid w:val="005D3148"/>
    <w:rsid w:val="005D342B"/>
    <w:rsid w:val="005D37E4"/>
    <w:rsid w:val="005D39FC"/>
    <w:rsid w:val="005D3ADA"/>
    <w:rsid w:val="005D3CAD"/>
    <w:rsid w:val="005D4126"/>
    <w:rsid w:val="005D615B"/>
    <w:rsid w:val="005D73B2"/>
    <w:rsid w:val="005E03AD"/>
    <w:rsid w:val="005E051D"/>
    <w:rsid w:val="005E0565"/>
    <w:rsid w:val="005E0780"/>
    <w:rsid w:val="005E12F1"/>
    <w:rsid w:val="005E1A0B"/>
    <w:rsid w:val="005E1E40"/>
    <w:rsid w:val="005E2441"/>
    <w:rsid w:val="005E3C1B"/>
    <w:rsid w:val="005E419A"/>
    <w:rsid w:val="005E4BD9"/>
    <w:rsid w:val="005E4D84"/>
    <w:rsid w:val="005E524B"/>
    <w:rsid w:val="005E53DB"/>
    <w:rsid w:val="005E5404"/>
    <w:rsid w:val="005E56C1"/>
    <w:rsid w:val="005E5D75"/>
    <w:rsid w:val="005E67C0"/>
    <w:rsid w:val="005E7253"/>
    <w:rsid w:val="005E7D70"/>
    <w:rsid w:val="005E7DAC"/>
    <w:rsid w:val="005E7F7C"/>
    <w:rsid w:val="005F05E7"/>
    <w:rsid w:val="005F061A"/>
    <w:rsid w:val="005F08DC"/>
    <w:rsid w:val="005F153B"/>
    <w:rsid w:val="005F1689"/>
    <w:rsid w:val="005F1900"/>
    <w:rsid w:val="005F205D"/>
    <w:rsid w:val="005F216B"/>
    <w:rsid w:val="005F384D"/>
    <w:rsid w:val="005F3BEE"/>
    <w:rsid w:val="005F3DDD"/>
    <w:rsid w:val="005F41C1"/>
    <w:rsid w:val="005F506A"/>
    <w:rsid w:val="005F5DD8"/>
    <w:rsid w:val="005F5E4D"/>
    <w:rsid w:val="005F6771"/>
    <w:rsid w:val="005F6E7C"/>
    <w:rsid w:val="005F73BC"/>
    <w:rsid w:val="006010EE"/>
    <w:rsid w:val="00601173"/>
    <w:rsid w:val="0060148C"/>
    <w:rsid w:val="00601FE6"/>
    <w:rsid w:val="00601FFE"/>
    <w:rsid w:val="006022D1"/>
    <w:rsid w:val="006024ED"/>
    <w:rsid w:val="0060270E"/>
    <w:rsid w:val="006027D1"/>
    <w:rsid w:val="00602B3C"/>
    <w:rsid w:val="00603F26"/>
    <w:rsid w:val="00604038"/>
    <w:rsid w:val="0060467D"/>
    <w:rsid w:val="00604691"/>
    <w:rsid w:val="006048C3"/>
    <w:rsid w:val="00604949"/>
    <w:rsid w:val="00604E91"/>
    <w:rsid w:val="00604F52"/>
    <w:rsid w:val="0060528D"/>
    <w:rsid w:val="006065C6"/>
    <w:rsid w:val="00606BBB"/>
    <w:rsid w:val="006077AB"/>
    <w:rsid w:val="006100D9"/>
    <w:rsid w:val="006101F2"/>
    <w:rsid w:val="00610442"/>
    <w:rsid w:val="00610D1F"/>
    <w:rsid w:val="0061130D"/>
    <w:rsid w:val="00611ED3"/>
    <w:rsid w:val="00611FE3"/>
    <w:rsid w:val="00612363"/>
    <w:rsid w:val="00612DFB"/>
    <w:rsid w:val="00612EEC"/>
    <w:rsid w:val="00613569"/>
    <w:rsid w:val="00614670"/>
    <w:rsid w:val="00614DBA"/>
    <w:rsid w:val="00614E73"/>
    <w:rsid w:val="00615440"/>
    <w:rsid w:val="00615929"/>
    <w:rsid w:val="00616091"/>
    <w:rsid w:val="0062032E"/>
    <w:rsid w:val="006208D1"/>
    <w:rsid w:val="00620E2A"/>
    <w:rsid w:val="006210D4"/>
    <w:rsid w:val="00621113"/>
    <w:rsid w:val="006211FD"/>
    <w:rsid w:val="00621781"/>
    <w:rsid w:val="00621FED"/>
    <w:rsid w:val="00622A4A"/>
    <w:rsid w:val="00622B6F"/>
    <w:rsid w:val="0062354A"/>
    <w:rsid w:val="00623936"/>
    <w:rsid w:val="006241D3"/>
    <w:rsid w:val="00624360"/>
    <w:rsid w:val="00624C3F"/>
    <w:rsid w:val="006250D6"/>
    <w:rsid w:val="0062541C"/>
    <w:rsid w:val="00625694"/>
    <w:rsid w:val="006256D1"/>
    <w:rsid w:val="00625AB4"/>
    <w:rsid w:val="00625C25"/>
    <w:rsid w:val="00625DAA"/>
    <w:rsid w:val="006264F6"/>
    <w:rsid w:val="00627175"/>
    <w:rsid w:val="006278D8"/>
    <w:rsid w:val="006304C0"/>
    <w:rsid w:val="00630C90"/>
    <w:rsid w:val="00630CBC"/>
    <w:rsid w:val="00631670"/>
    <w:rsid w:val="00632B42"/>
    <w:rsid w:val="00632FBD"/>
    <w:rsid w:val="00633688"/>
    <w:rsid w:val="00634F92"/>
    <w:rsid w:val="006350E9"/>
    <w:rsid w:val="00635FAC"/>
    <w:rsid w:val="0063613A"/>
    <w:rsid w:val="006366C2"/>
    <w:rsid w:val="00636D3E"/>
    <w:rsid w:val="00636E33"/>
    <w:rsid w:val="0063757E"/>
    <w:rsid w:val="006378CA"/>
    <w:rsid w:val="00637AF7"/>
    <w:rsid w:val="00640E7B"/>
    <w:rsid w:val="006412C3"/>
    <w:rsid w:val="00641A99"/>
    <w:rsid w:val="0064273F"/>
    <w:rsid w:val="00642D66"/>
    <w:rsid w:val="00642E9B"/>
    <w:rsid w:val="00643178"/>
    <w:rsid w:val="006437F9"/>
    <w:rsid w:val="00643D57"/>
    <w:rsid w:val="006443BD"/>
    <w:rsid w:val="0064638A"/>
    <w:rsid w:val="00646579"/>
    <w:rsid w:val="00646993"/>
    <w:rsid w:val="00647063"/>
    <w:rsid w:val="00647AA8"/>
    <w:rsid w:val="00650BAD"/>
    <w:rsid w:val="00650D3A"/>
    <w:rsid w:val="00651488"/>
    <w:rsid w:val="00651C67"/>
    <w:rsid w:val="00652302"/>
    <w:rsid w:val="0065237D"/>
    <w:rsid w:val="00652878"/>
    <w:rsid w:val="006528C0"/>
    <w:rsid w:val="006539A4"/>
    <w:rsid w:val="0065415F"/>
    <w:rsid w:val="006544A5"/>
    <w:rsid w:val="00654871"/>
    <w:rsid w:val="00654AA7"/>
    <w:rsid w:val="00657333"/>
    <w:rsid w:val="00657507"/>
    <w:rsid w:val="00657CA3"/>
    <w:rsid w:val="006602D0"/>
    <w:rsid w:val="006604FD"/>
    <w:rsid w:val="00660E12"/>
    <w:rsid w:val="006613F9"/>
    <w:rsid w:val="0066170D"/>
    <w:rsid w:val="006622B9"/>
    <w:rsid w:val="00662D01"/>
    <w:rsid w:val="00663A39"/>
    <w:rsid w:val="00665275"/>
    <w:rsid w:val="00665883"/>
    <w:rsid w:val="006665F7"/>
    <w:rsid w:val="0066674A"/>
    <w:rsid w:val="006667AD"/>
    <w:rsid w:val="00666F8C"/>
    <w:rsid w:val="00667167"/>
    <w:rsid w:val="0067054D"/>
    <w:rsid w:val="00670B1D"/>
    <w:rsid w:val="006718BA"/>
    <w:rsid w:val="006718C5"/>
    <w:rsid w:val="00671D1B"/>
    <w:rsid w:val="0067233C"/>
    <w:rsid w:val="00673173"/>
    <w:rsid w:val="0067385A"/>
    <w:rsid w:val="0067452A"/>
    <w:rsid w:val="00674EBB"/>
    <w:rsid w:val="00675393"/>
    <w:rsid w:val="0067672E"/>
    <w:rsid w:val="00677D55"/>
    <w:rsid w:val="006810D6"/>
    <w:rsid w:val="00681204"/>
    <w:rsid w:val="00681DCF"/>
    <w:rsid w:val="00681E12"/>
    <w:rsid w:val="0068269D"/>
    <w:rsid w:val="006837EF"/>
    <w:rsid w:val="00684767"/>
    <w:rsid w:val="00684CF5"/>
    <w:rsid w:val="00684CFA"/>
    <w:rsid w:val="006857C1"/>
    <w:rsid w:val="00685929"/>
    <w:rsid w:val="00685DF8"/>
    <w:rsid w:val="006873CB"/>
    <w:rsid w:val="0068740B"/>
    <w:rsid w:val="00687865"/>
    <w:rsid w:val="00687CEE"/>
    <w:rsid w:val="00687FF1"/>
    <w:rsid w:val="00690651"/>
    <w:rsid w:val="00690E80"/>
    <w:rsid w:val="006911D0"/>
    <w:rsid w:val="006918C9"/>
    <w:rsid w:val="006919BC"/>
    <w:rsid w:val="00691A6C"/>
    <w:rsid w:val="00692A21"/>
    <w:rsid w:val="00692AA0"/>
    <w:rsid w:val="00693E35"/>
    <w:rsid w:val="0069434F"/>
    <w:rsid w:val="006948FA"/>
    <w:rsid w:val="00694969"/>
    <w:rsid w:val="00696069"/>
    <w:rsid w:val="00696172"/>
    <w:rsid w:val="00696D07"/>
    <w:rsid w:val="00696F6B"/>
    <w:rsid w:val="00697732"/>
    <w:rsid w:val="00697807"/>
    <w:rsid w:val="00697D5B"/>
    <w:rsid w:val="006A1316"/>
    <w:rsid w:val="006A192E"/>
    <w:rsid w:val="006A19B0"/>
    <w:rsid w:val="006A27B3"/>
    <w:rsid w:val="006A288B"/>
    <w:rsid w:val="006A2D97"/>
    <w:rsid w:val="006A3204"/>
    <w:rsid w:val="006A3451"/>
    <w:rsid w:val="006A50BA"/>
    <w:rsid w:val="006A50DE"/>
    <w:rsid w:val="006A5419"/>
    <w:rsid w:val="006A6255"/>
    <w:rsid w:val="006A6AD2"/>
    <w:rsid w:val="006A710E"/>
    <w:rsid w:val="006A7EA6"/>
    <w:rsid w:val="006B02D4"/>
    <w:rsid w:val="006B0336"/>
    <w:rsid w:val="006B0AF2"/>
    <w:rsid w:val="006B111D"/>
    <w:rsid w:val="006B183A"/>
    <w:rsid w:val="006B1951"/>
    <w:rsid w:val="006B2530"/>
    <w:rsid w:val="006B2909"/>
    <w:rsid w:val="006B2B25"/>
    <w:rsid w:val="006B2D60"/>
    <w:rsid w:val="006B3864"/>
    <w:rsid w:val="006B3A59"/>
    <w:rsid w:val="006B445F"/>
    <w:rsid w:val="006B631F"/>
    <w:rsid w:val="006B6A60"/>
    <w:rsid w:val="006B7569"/>
    <w:rsid w:val="006B75D0"/>
    <w:rsid w:val="006B772D"/>
    <w:rsid w:val="006C03BA"/>
    <w:rsid w:val="006C07C3"/>
    <w:rsid w:val="006C0F7B"/>
    <w:rsid w:val="006C10BF"/>
    <w:rsid w:val="006C1349"/>
    <w:rsid w:val="006C17F1"/>
    <w:rsid w:val="006C2D91"/>
    <w:rsid w:val="006C3C48"/>
    <w:rsid w:val="006C5031"/>
    <w:rsid w:val="006C5638"/>
    <w:rsid w:val="006C5696"/>
    <w:rsid w:val="006C5BE3"/>
    <w:rsid w:val="006C61C5"/>
    <w:rsid w:val="006C6B9B"/>
    <w:rsid w:val="006C7645"/>
    <w:rsid w:val="006D00AA"/>
    <w:rsid w:val="006D0B35"/>
    <w:rsid w:val="006D173A"/>
    <w:rsid w:val="006D1DD3"/>
    <w:rsid w:val="006D2DFE"/>
    <w:rsid w:val="006D35D2"/>
    <w:rsid w:val="006D3909"/>
    <w:rsid w:val="006D3A35"/>
    <w:rsid w:val="006D5135"/>
    <w:rsid w:val="006D6B9D"/>
    <w:rsid w:val="006D6E7D"/>
    <w:rsid w:val="006D70E9"/>
    <w:rsid w:val="006D7654"/>
    <w:rsid w:val="006E0475"/>
    <w:rsid w:val="006E07B1"/>
    <w:rsid w:val="006E09AD"/>
    <w:rsid w:val="006E0F99"/>
    <w:rsid w:val="006E1C36"/>
    <w:rsid w:val="006E1F1F"/>
    <w:rsid w:val="006E1FBC"/>
    <w:rsid w:val="006E2216"/>
    <w:rsid w:val="006E2395"/>
    <w:rsid w:val="006E2947"/>
    <w:rsid w:val="006E3790"/>
    <w:rsid w:val="006E37A6"/>
    <w:rsid w:val="006E4001"/>
    <w:rsid w:val="006E6055"/>
    <w:rsid w:val="006E6AE2"/>
    <w:rsid w:val="006E71D5"/>
    <w:rsid w:val="006E756A"/>
    <w:rsid w:val="006F098C"/>
    <w:rsid w:val="006F1BA3"/>
    <w:rsid w:val="006F1E0F"/>
    <w:rsid w:val="006F205A"/>
    <w:rsid w:val="006F2F00"/>
    <w:rsid w:val="006F3B7F"/>
    <w:rsid w:val="006F400D"/>
    <w:rsid w:val="006F4134"/>
    <w:rsid w:val="006F4269"/>
    <w:rsid w:val="006F4864"/>
    <w:rsid w:val="006F4FD7"/>
    <w:rsid w:val="006F501B"/>
    <w:rsid w:val="006F5636"/>
    <w:rsid w:val="006F5CEB"/>
    <w:rsid w:val="006F6688"/>
    <w:rsid w:val="006F6C87"/>
    <w:rsid w:val="006F747B"/>
    <w:rsid w:val="00700948"/>
    <w:rsid w:val="00700AC3"/>
    <w:rsid w:val="00700FD3"/>
    <w:rsid w:val="007010B6"/>
    <w:rsid w:val="00701531"/>
    <w:rsid w:val="007016AD"/>
    <w:rsid w:val="00701C9A"/>
    <w:rsid w:val="00701F24"/>
    <w:rsid w:val="00702941"/>
    <w:rsid w:val="0070330D"/>
    <w:rsid w:val="007035C5"/>
    <w:rsid w:val="00703723"/>
    <w:rsid w:val="00704DC3"/>
    <w:rsid w:val="00704FD2"/>
    <w:rsid w:val="007052BD"/>
    <w:rsid w:val="00705A54"/>
    <w:rsid w:val="00705BA9"/>
    <w:rsid w:val="007061F9"/>
    <w:rsid w:val="00706682"/>
    <w:rsid w:val="0070775B"/>
    <w:rsid w:val="00707DA5"/>
    <w:rsid w:val="0071023F"/>
    <w:rsid w:val="00710657"/>
    <w:rsid w:val="00710A8C"/>
    <w:rsid w:val="007129D5"/>
    <w:rsid w:val="00712DD5"/>
    <w:rsid w:val="00712FF4"/>
    <w:rsid w:val="00713C2F"/>
    <w:rsid w:val="00713DEC"/>
    <w:rsid w:val="00714AA9"/>
    <w:rsid w:val="00715442"/>
    <w:rsid w:val="00715768"/>
    <w:rsid w:val="0071584B"/>
    <w:rsid w:val="00715C75"/>
    <w:rsid w:val="00715E85"/>
    <w:rsid w:val="007176D0"/>
    <w:rsid w:val="00717905"/>
    <w:rsid w:val="00717B7C"/>
    <w:rsid w:val="00717C41"/>
    <w:rsid w:val="00717C9F"/>
    <w:rsid w:val="007201F1"/>
    <w:rsid w:val="00720633"/>
    <w:rsid w:val="00720666"/>
    <w:rsid w:val="007216B6"/>
    <w:rsid w:val="00721741"/>
    <w:rsid w:val="00721AFE"/>
    <w:rsid w:val="00721E49"/>
    <w:rsid w:val="00721ECC"/>
    <w:rsid w:val="0072370D"/>
    <w:rsid w:val="0072382D"/>
    <w:rsid w:val="00723E5F"/>
    <w:rsid w:val="00723EC4"/>
    <w:rsid w:val="00724040"/>
    <w:rsid w:val="00724819"/>
    <w:rsid w:val="00724E28"/>
    <w:rsid w:val="007257B9"/>
    <w:rsid w:val="00726D6D"/>
    <w:rsid w:val="00727961"/>
    <w:rsid w:val="007310CD"/>
    <w:rsid w:val="00731257"/>
    <w:rsid w:val="007315DD"/>
    <w:rsid w:val="00731C54"/>
    <w:rsid w:val="00731F26"/>
    <w:rsid w:val="00731FA3"/>
    <w:rsid w:val="007321E0"/>
    <w:rsid w:val="00732C83"/>
    <w:rsid w:val="00732D8F"/>
    <w:rsid w:val="007332CC"/>
    <w:rsid w:val="007340B7"/>
    <w:rsid w:val="00735368"/>
    <w:rsid w:val="00735F16"/>
    <w:rsid w:val="00736416"/>
    <w:rsid w:val="0073693B"/>
    <w:rsid w:val="00736A6A"/>
    <w:rsid w:val="00736BC7"/>
    <w:rsid w:val="0074002D"/>
    <w:rsid w:val="007405B9"/>
    <w:rsid w:val="0074075B"/>
    <w:rsid w:val="00740ED7"/>
    <w:rsid w:val="00741037"/>
    <w:rsid w:val="007422D9"/>
    <w:rsid w:val="00742C7C"/>
    <w:rsid w:val="00743C08"/>
    <w:rsid w:val="0074444A"/>
    <w:rsid w:val="00744FCB"/>
    <w:rsid w:val="007453BB"/>
    <w:rsid w:val="0074541C"/>
    <w:rsid w:val="00745EBF"/>
    <w:rsid w:val="00746D09"/>
    <w:rsid w:val="00747096"/>
    <w:rsid w:val="007471BF"/>
    <w:rsid w:val="0074725D"/>
    <w:rsid w:val="007478CD"/>
    <w:rsid w:val="00747CD3"/>
    <w:rsid w:val="0075008A"/>
    <w:rsid w:val="0075076C"/>
    <w:rsid w:val="00751036"/>
    <w:rsid w:val="007512C1"/>
    <w:rsid w:val="0075191A"/>
    <w:rsid w:val="0075250B"/>
    <w:rsid w:val="00752A14"/>
    <w:rsid w:val="00753BB6"/>
    <w:rsid w:val="00753EFB"/>
    <w:rsid w:val="007547A4"/>
    <w:rsid w:val="007548B6"/>
    <w:rsid w:val="00754F6F"/>
    <w:rsid w:val="00755BDD"/>
    <w:rsid w:val="00756912"/>
    <w:rsid w:val="00757B4E"/>
    <w:rsid w:val="00757E3F"/>
    <w:rsid w:val="0076008A"/>
    <w:rsid w:val="00760297"/>
    <w:rsid w:val="00760308"/>
    <w:rsid w:val="00760DEE"/>
    <w:rsid w:val="007612F2"/>
    <w:rsid w:val="00761717"/>
    <w:rsid w:val="00761831"/>
    <w:rsid w:val="00762BA2"/>
    <w:rsid w:val="007640C3"/>
    <w:rsid w:val="0076413A"/>
    <w:rsid w:val="00764FF0"/>
    <w:rsid w:val="00765113"/>
    <w:rsid w:val="0076573B"/>
    <w:rsid w:val="00765911"/>
    <w:rsid w:val="0076593B"/>
    <w:rsid w:val="00766404"/>
    <w:rsid w:val="00767FF4"/>
    <w:rsid w:val="00770DBA"/>
    <w:rsid w:val="00770E9C"/>
    <w:rsid w:val="00771CE6"/>
    <w:rsid w:val="0077274D"/>
    <w:rsid w:val="007728CA"/>
    <w:rsid w:val="0077299F"/>
    <w:rsid w:val="00773331"/>
    <w:rsid w:val="00773346"/>
    <w:rsid w:val="00774BE2"/>
    <w:rsid w:val="007752A8"/>
    <w:rsid w:val="00776353"/>
    <w:rsid w:val="00776E1A"/>
    <w:rsid w:val="00777250"/>
    <w:rsid w:val="007773CA"/>
    <w:rsid w:val="007774B7"/>
    <w:rsid w:val="007779E6"/>
    <w:rsid w:val="007800A1"/>
    <w:rsid w:val="00781574"/>
    <w:rsid w:val="007815F1"/>
    <w:rsid w:val="007819B1"/>
    <w:rsid w:val="0078258B"/>
    <w:rsid w:val="0078298E"/>
    <w:rsid w:val="007835E4"/>
    <w:rsid w:val="00785756"/>
    <w:rsid w:val="00785B9A"/>
    <w:rsid w:val="00786E67"/>
    <w:rsid w:val="00787D4C"/>
    <w:rsid w:val="00790D31"/>
    <w:rsid w:val="00792A8B"/>
    <w:rsid w:val="00792F94"/>
    <w:rsid w:val="00793299"/>
    <w:rsid w:val="007932EF"/>
    <w:rsid w:val="00793F0F"/>
    <w:rsid w:val="00794266"/>
    <w:rsid w:val="0079461D"/>
    <w:rsid w:val="00794A1F"/>
    <w:rsid w:val="00794B6D"/>
    <w:rsid w:val="00794D01"/>
    <w:rsid w:val="00795C49"/>
    <w:rsid w:val="00796A03"/>
    <w:rsid w:val="00796DBB"/>
    <w:rsid w:val="00797AEB"/>
    <w:rsid w:val="00797F36"/>
    <w:rsid w:val="007A0787"/>
    <w:rsid w:val="007A1204"/>
    <w:rsid w:val="007A2F1F"/>
    <w:rsid w:val="007A31ED"/>
    <w:rsid w:val="007A32BB"/>
    <w:rsid w:val="007A3D2C"/>
    <w:rsid w:val="007A461E"/>
    <w:rsid w:val="007A4FCF"/>
    <w:rsid w:val="007A59AB"/>
    <w:rsid w:val="007A5F6C"/>
    <w:rsid w:val="007A645A"/>
    <w:rsid w:val="007A6A86"/>
    <w:rsid w:val="007A77D3"/>
    <w:rsid w:val="007B0354"/>
    <w:rsid w:val="007B089A"/>
    <w:rsid w:val="007B0C6F"/>
    <w:rsid w:val="007B0F51"/>
    <w:rsid w:val="007B1074"/>
    <w:rsid w:val="007B1F15"/>
    <w:rsid w:val="007B22D4"/>
    <w:rsid w:val="007B2B0C"/>
    <w:rsid w:val="007B32FF"/>
    <w:rsid w:val="007B367F"/>
    <w:rsid w:val="007B3957"/>
    <w:rsid w:val="007B3BFC"/>
    <w:rsid w:val="007B3DD7"/>
    <w:rsid w:val="007B4295"/>
    <w:rsid w:val="007B46E2"/>
    <w:rsid w:val="007B532E"/>
    <w:rsid w:val="007B55C4"/>
    <w:rsid w:val="007B560C"/>
    <w:rsid w:val="007B57E3"/>
    <w:rsid w:val="007B5A3E"/>
    <w:rsid w:val="007B5B75"/>
    <w:rsid w:val="007B5D28"/>
    <w:rsid w:val="007B6A1A"/>
    <w:rsid w:val="007B6FDF"/>
    <w:rsid w:val="007B705E"/>
    <w:rsid w:val="007B718C"/>
    <w:rsid w:val="007B72AE"/>
    <w:rsid w:val="007B7664"/>
    <w:rsid w:val="007C07C6"/>
    <w:rsid w:val="007C08B4"/>
    <w:rsid w:val="007C1268"/>
    <w:rsid w:val="007C126D"/>
    <w:rsid w:val="007C1B6C"/>
    <w:rsid w:val="007C20A2"/>
    <w:rsid w:val="007C27A1"/>
    <w:rsid w:val="007C3794"/>
    <w:rsid w:val="007C3C80"/>
    <w:rsid w:val="007C5F78"/>
    <w:rsid w:val="007C5FE8"/>
    <w:rsid w:val="007C69A7"/>
    <w:rsid w:val="007C6D4E"/>
    <w:rsid w:val="007C6DBB"/>
    <w:rsid w:val="007C6F21"/>
    <w:rsid w:val="007C71D2"/>
    <w:rsid w:val="007D0E30"/>
    <w:rsid w:val="007D0F08"/>
    <w:rsid w:val="007D1123"/>
    <w:rsid w:val="007D13A6"/>
    <w:rsid w:val="007D1B61"/>
    <w:rsid w:val="007D2BBA"/>
    <w:rsid w:val="007D2D12"/>
    <w:rsid w:val="007D3ABA"/>
    <w:rsid w:val="007D3ABF"/>
    <w:rsid w:val="007D3FB4"/>
    <w:rsid w:val="007D46DE"/>
    <w:rsid w:val="007D50F7"/>
    <w:rsid w:val="007D56D1"/>
    <w:rsid w:val="007D5850"/>
    <w:rsid w:val="007D5B72"/>
    <w:rsid w:val="007D5E46"/>
    <w:rsid w:val="007D6335"/>
    <w:rsid w:val="007D6373"/>
    <w:rsid w:val="007D6667"/>
    <w:rsid w:val="007D6CC4"/>
    <w:rsid w:val="007D6D1B"/>
    <w:rsid w:val="007D76C4"/>
    <w:rsid w:val="007D7755"/>
    <w:rsid w:val="007E05B0"/>
    <w:rsid w:val="007E0B7D"/>
    <w:rsid w:val="007E0DBF"/>
    <w:rsid w:val="007E13BD"/>
    <w:rsid w:val="007E16B8"/>
    <w:rsid w:val="007E3121"/>
    <w:rsid w:val="007E420E"/>
    <w:rsid w:val="007E42EC"/>
    <w:rsid w:val="007E4865"/>
    <w:rsid w:val="007E5634"/>
    <w:rsid w:val="007E5974"/>
    <w:rsid w:val="007E5D5C"/>
    <w:rsid w:val="007E5E1A"/>
    <w:rsid w:val="007E607A"/>
    <w:rsid w:val="007E6146"/>
    <w:rsid w:val="007E6674"/>
    <w:rsid w:val="007E6955"/>
    <w:rsid w:val="007E7F3A"/>
    <w:rsid w:val="007F03B5"/>
    <w:rsid w:val="007F0C15"/>
    <w:rsid w:val="007F0C40"/>
    <w:rsid w:val="007F14C2"/>
    <w:rsid w:val="007F1543"/>
    <w:rsid w:val="007F1F82"/>
    <w:rsid w:val="007F2012"/>
    <w:rsid w:val="007F2053"/>
    <w:rsid w:val="007F24B1"/>
    <w:rsid w:val="007F2CD8"/>
    <w:rsid w:val="007F2EB4"/>
    <w:rsid w:val="007F32C3"/>
    <w:rsid w:val="007F37D6"/>
    <w:rsid w:val="007F3C08"/>
    <w:rsid w:val="007F3E33"/>
    <w:rsid w:val="007F487E"/>
    <w:rsid w:val="007F531C"/>
    <w:rsid w:val="007F56ED"/>
    <w:rsid w:val="007F6011"/>
    <w:rsid w:val="007F60FF"/>
    <w:rsid w:val="007F6202"/>
    <w:rsid w:val="007F6529"/>
    <w:rsid w:val="007F679A"/>
    <w:rsid w:val="007F6EB9"/>
    <w:rsid w:val="007F752C"/>
    <w:rsid w:val="007F7FB4"/>
    <w:rsid w:val="00800A92"/>
    <w:rsid w:val="008017F7"/>
    <w:rsid w:val="00801DCC"/>
    <w:rsid w:val="00801DDC"/>
    <w:rsid w:val="00802667"/>
    <w:rsid w:val="008028A2"/>
    <w:rsid w:val="00802C5F"/>
    <w:rsid w:val="00802F07"/>
    <w:rsid w:val="00803499"/>
    <w:rsid w:val="0080375B"/>
    <w:rsid w:val="00803BCD"/>
    <w:rsid w:val="00803DA1"/>
    <w:rsid w:val="0080649C"/>
    <w:rsid w:val="00807E37"/>
    <w:rsid w:val="0081006D"/>
    <w:rsid w:val="00810670"/>
    <w:rsid w:val="0081091A"/>
    <w:rsid w:val="008109E3"/>
    <w:rsid w:val="00810A1E"/>
    <w:rsid w:val="00810FAF"/>
    <w:rsid w:val="0081265A"/>
    <w:rsid w:val="00813B5C"/>
    <w:rsid w:val="00813FAC"/>
    <w:rsid w:val="008142ED"/>
    <w:rsid w:val="00814747"/>
    <w:rsid w:val="008147CC"/>
    <w:rsid w:val="00814B6D"/>
    <w:rsid w:val="00814D03"/>
    <w:rsid w:val="00814E7B"/>
    <w:rsid w:val="008154AC"/>
    <w:rsid w:val="00815F35"/>
    <w:rsid w:val="00817680"/>
    <w:rsid w:val="0081785F"/>
    <w:rsid w:val="00817970"/>
    <w:rsid w:val="008179FA"/>
    <w:rsid w:val="00817C31"/>
    <w:rsid w:val="00817CE3"/>
    <w:rsid w:val="008207F6"/>
    <w:rsid w:val="00821DE0"/>
    <w:rsid w:val="0082205B"/>
    <w:rsid w:val="00822694"/>
    <w:rsid w:val="008227B4"/>
    <w:rsid w:val="00823410"/>
    <w:rsid w:val="0082469E"/>
    <w:rsid w:val="008246F7"/>
    <w:rsid w:val="00824844"/>
    <w:rsid w:val="00824F7C"/>
    <w:rsid w:val="00825E1A"/>
    <w:rsid w:val="00825E55"/>
    <w:rsid w:val="00825F4A"/>
    <w:rsid w:val="0082607C"/>
    <w:rsid w:val="00826451"/>
    <w:rsid w:val="008264FA"/>
    <w:rsid w:val="0082693F"/>
    <w:rsid w:val="00827DB5"/>
    <w:rsid w:val="00827DEA"/>
    <w:rsid w:val="0083035E"/>
    <w:rsid w:val="00830449"/>
    <w:rsid w:val="008307B7"/>
    <w:rsid w:val="00830B74"/>
    <w:rsid w:val="00830F50"/>
    <w:rsid w:val="008312E0"/>
    <w:rsid w:val="008320DD"/>
    <w:rsid w:val="008329A7"/>
    <w:rsid w:val="008330EF"/>
    <w:rsid w:val="00833AB5"/>
    <w:rsid w:val="00833E55"/>
    <w:rsid w:val="00833FC3"/>
    <w:rsid w:val="008340A9"/>
    <w:rsid w:val="008341A5"/>
    <w:rsid w:val="0083472E"/>
    <w:rsid w:val="008349EF"/>
    <w:rsid w:val="00836AAE"/>
    <w:rsid w:val="008378DD"/>
    <w:rsid w:val="00840F48"/>
    <w:rsid w:val="008410CC"/>
    <w:rsid w:val="00841499"/>
    <w:rsid w:val="00841BB5"/>
    <w:rsid w:val="00841E25"/>
    <w:rsid w:val="00841FD3"/>
    <w:rsid w:val="00842027"/>
    <w:rsid w:val="00842FDD"/>
    <w:rsid w:val="00844051"/>
    <w:rsid w:val="00844BBE"/>
    <w:rsid w:val="00844E5C"/>
    <w:rsid w:val="00844FD3"/>
    <w:rsid w:val="00845A7C"/>
    <w:rsid w:val="008460E5"/>
    <w:rsid w:val="00846304"/>
    <w:rsid w:val="0084689B"/>
    <w:rsid w:val="00847CB2"/>
    <w:rsid w:val="00847D74"/>
    <w:rsid w:val="00847EF2"/>
    <w:rsid w:val="00850A57"/>
    <w:rsid w:val="00850E6D"/>
    <w:rsid w:val="008516D5"/>
    <w:rsid w:val="0085298E"/>
    <w:rsid w:val="00852BC9"/>
    <w:rsid w:val="00852E8D"/>
    <w:rsid w:val="00853734"/>
    <w:rsid w:val="00854144"/>
    <w:rsid w:val="008548EA"/>
    <w:rsid w:val="0085498A"/>
    <w:rsid w:val="00854DE6"/>
    <w:rsid w:val="008552AE"/>
    <w:rsid w:val="00856920"/>
    <w:rsid w:val="00856C82"/>
    <w:rsid w:val="00857619"/>
    <w:rsid w:val="00857CF7"/>
    <w:rsid w:val="00857DD9"/>
    <w:rsid w:val="0086133A"/>
    <w:rsid w:val="00862062"/>
    <w:rsid w:val="008625B7"/>
    <w:rsid w:val="008638F2"/>
    <w:rsid w:val="00863CE7"/>
    <w:rsid w:val="00863F52"/>
    <w:rsid w:val="00864164"/>
    <w:rsid w:val="00864B8D"/>
    <w:rsid w:val="008659DD"/>
    <w:rsid w:val="00865B7E"/>
    <w:rsid w:val="00865CC0"/>
    <w:rsid w:val="00865FCF"/>
    <w:rsid w:val="008660BB"/>
    <w:rsid w:val="008662FC"/>
    <w:rsid w:val="0086662D"/>
    <w:rsid w:val="008666A2"/>
    <w:rsid w:val="0086688B"/>
    <w:rsid w:val="00866CD9"/>
    <w:rsid w:val="00867248"/>
    <w:rsid w:val="008676E5"/>
    <w:rsid w:val="00867EEB"/>
    <w:rsid w:val="00867F1C"/>
    <w:rsid w:val="008700C5"/>
    <w:rsid w:val="008708B5"/>
    <w:rsid w:val="00870CF1"/>
    <w:rsid w:val="00871D16"/>
    <w:rsid w:val="00871E4F"/>
    <w:rsid w:val="008726CB"/>
    <w:rsid w:val="00872AC5"/>
    <w:rsid w:val="00873061"/>
    <w:rsid w:val="00873CB9"/>
    <w:rsid w:val="0087404D"/>
    <w:rsid w:val="00874977"/>
    <w:rsid w:val="00874D22"/>
    <w:rsid w:val="00875128"/>
    <w:rsid w:val="00875172"/>
    <w:rsid w:val="00875A55"/>
    <w:rsid w:val="0087672D"/>
    <w:rsid w:val="00877844"/>
    <w:rsid w:val="008800F3"/>
    <w:rsid w:val="00880EDC"/>
    <w:rsid w:val="00880FB3"/>
    <w:rsid w:val="00881417"/>
    <w:rsid w:val="0088158E"/>
    <w:rsid w:val="00881AB7"/>
    <w:rsid w:val="00881E80"/>
    <w:rsid w:val="00881F53"/>
    <w:rsid w:val="00881F8C"/>
    <w:rsid w:val="0088218E"/>
    <w:rsid w:val="008826CE"/>
    <w:rsid w:val="0088306A"/>
    <w:rsid w:val="00883590"/>
    <w:rsid w:val="00883923"/>
    <w:rsid w:val="00883A8D"/>
    <w:rsid w:val="00883AD7"/>
    <w:rsid w:val="00884029"/>
    <w:rsid w:val="00884096"/>
    <w:rsid w:val="0088457A"/>
    <w:rsid w:val="0088575F"/>
    <w:rsid w:val="00885B34"/>
    <w:rsid w:val="00886196"/>
    <w:rsid w:val="0088643A"/>
    <w:rsid w:val="008864A9"/>
    <w:rsid w:val="008869D3"/>
    <w:rsid w:val="00886EF0"/>
    <w:rsid w:val="00886F6D"/>
    <w:rsid w:val="008878E4"/>
    <w:rsid w:val="00887A46"/>
    <w:rsid w:val="00887F16"/>
    <w:rsid w:val="008904DD"/>
    <w:rsid w:val="00890651"/>
    <w:rsid w:val="00890D64"/>
    <w:rsid w:val="008915AA"/>
    <w:rsid w:val="0089246E"/>
    <w:rsid w:val="00892A4B"/>
    <w:rsid w:val="00892E49"/>
    <w:rsid w:val="00892E99"/>
    <w:rsid w:val="00893259"/>
    <w:rsid w:val="00893294"/>
    <w:rsid w:val="00893374"/>
    <w:rsid w:val="0089368D"/>
    <w:rsid w:val="00893D59"/>
    <w:rsid w:val="00893FB0"/>
    <w:rsid w:val="0089406C"/>
    <w:rsid w:val="00894CFC"/>
    <w:rsid w:val="00894E62"/>
    <w:rsid w:val="00895609"/>
    <w:rsid w:val="00895F68"/>
    <w:rsid w:val="0089663F"/>
    <w:rsid w:val="00897665"/>
    <w:rsid w:val="00897666"/>
    <w:rsid w:val="008A05D8"/>
    <w:rsid w:val="008A1274"/>
    <w:rsid w:val="008A1983"/>
    <w:rsid w:val="008A261D"/>
    <w:rsid w:val="008A2914"/>
    <w:rsid w:val="008A342C"/>
    <w:rsid w:val="008A39C5"/>
    <w:rsid w:val="008A471A"/>
    <w:rsid w:val="008A4DED"/>
    <w:rsid w:val="008A6DC4"/>
    <w:rsid w:val="008A708E"/>
    <w:rsid w:val="008B0DB0"/>
    <w:rsid w:val="008B1963"/>
    <w:rsid w:val="008B2180"/>
    <w:rsid w:val="008B30E9"/>
    <w:rsid w:val="008B39CD"/>
    <w:rsid w:val="008B45B5"/>
    <w:rsid w:val="008B4CE3"/>
    <w:rsid w:val="008B5128"/>
    <w:rsid w:val="008B59A9"/>
    <w:rsid w:val="008B5BAC"/>
    <w:rsid w:val="008B5E3B"/>
    <w:rsid w:val="008B62C2"/>
    <w:rsid w:val="008B6E69"/>
    <w:rsid w:val="008B76B3"/>
    <w:rsid w:val="008B7D25"/>
    <w:rsid w:val="008C0132"/>
    <w:rsid w:val="008C0263"/>
    <w:rsid w:val="008C152B"/>
    <w:rsid w:val="008C1EEE"/>
    <w:rsid w:val="008C22FB"/>
    <w:rsid w:val="008C2329"/>
    <w:rsid w:val="008C26AE"/>
    <w:rsid w:val="008C2762"/>
    <w:rsid w:val="008C2C03"/>
    <w:rsid w:val="008C3439"/>
    <w:rsid w:val="008C3586"/>
    <w:rsid w:val="008C377C"/>
    <w:rsid w:val="008C3D1C"/>
    <w:rsid w:val="008C3E89"/>
    <w:rsid w:val="008C457C"/>
    <w:rsid w:val="008C507E"/>
    <w:rsid w:val="008C644E"/>
    <w:rsid w:val="008C6865"/>
    <w:rsid w:val="008C742D"/>
    <w:rsid w:val="008C7439"/>
    <w:rsid w:val="008C77FE"/>
    <w:rsid w:val="008D016F"/>
    <w:rsid w:val="008D0349"/>
    <w:rsid w:val="008D0363"/>
    <w:rsid w:val="008D1AFF"/>
    <w:rsid w:val="008D26B5"/>
    <w:rsid w:val="008D272B"/>
    <w:rsid w:val="008D2A79"/>
    <w:rsid w:val="008D2E50"/>
    <w:rsid w:val="008D3A84"/>
    <w:rsid w:val="008D47A9"/>
    <w:rsid w:val="008D4C2C"/>
    <w:rsid w:val="008D5245"/>
    <w:rsid w:val="008D537B"/>
    <w:rsid w:val="008D5771"/>
    <w:rsid w:val="008D6689"/>
    <w:rsid w:val="008D71B6"/>
    <w:rsid w:val="008D78DF"/>
    <w:rsid w:val="008D7909"/>
    <w:rsid w:val="008D7CAE"/>
    <w:rsid w:val="008E0671"/>
    <w:rsid w:val="008E0726"/>
    <w:rsid w:val="008E1586"/>
    <w:rsid w:val="008E330F"/>
    <w:rsid w:val="008E34C2"/>
    <w:rsid w:val="008E398B"/>
    <w:rsid w:val="008E3FF7"/>
    <w:rsid w:val="008E465C"/>
    <w:rsid w:val="008E4D8E"/>
    <w:rsid w:val="008E55D4"/>
    <w:rsid w:val="008E5FCC"/>
    <w:rsid w:val="008E6907"/>
    <w:rsid w:val="008E69DB"/>
    <w:rsid w:val="008E6E52"/>
    <w:rsid w:val="008E724C"/>
    <w:rsid w:val="008E76D0"/>
    <w:rsid w:val="008E7B68"/>
    <w:rsid w:val="008E7C9A"/>
    <w:rsid w:val="008E7FEA"/>
    <w:rsid w:val="008F02B8"/>
    <w:rsid w:val="008F112B"/>
    <w:rsid w:val="008F1238"/>
    <w:rsid w:val="008F1458"/>
    <w:rsid w:val="008F239E"/>
    <w:rsid w:val="008F2886"/>
    <w:rsid w:val="008F2AE3"/>
    <w:rsid w:val="008F2F2A"/>
    <w:rsid w:val="008F35AA"/>
    <w:rsid w:val="008F4FF0"/>
    <w:rsid w:val="008F5062"/>
    <w:rsid w:val="008F5103"/>
    <w:rsid w:val="008F7E7F"/>
    <w:rsid w:val="008F7FD7"/>
    <w:rsid w:val="0090019B"/>
    <w:rsid w:val="00900A5B"/>
    <w:rsid w:val="00900ED5"/>
    <w:rsid w:val="00901D9A"/>
    <w:rsid w:val="00901E38"/>
    <w:rsid w:val="00901EE4"/>
    <w:rsid w:val="009027FE"/>
    <w:rsid w:val="00903303"/>
    <w:rsid w:val="00903FE9"/>
    <w:rsid w:val="00904308"/>
    <w:rsid w:val="00904C7E"/>
    <w:rsid w:val="00904CAF"/>
    <w:rsid w:val="0090512D"/>
    <w:rsid w:val="0090516E"/>
    <w:rsid w:val="00905178"/>
    <w:rsid w:val="00905D08"/>
    <w:rsid w:val="00906273"/>
    <w:rsid w:val="009062AC"/>
    <w:rsid w:val="00906E2A"/>
    <w:rsid w:val="00907B95"/>
    <w:rsid w:val="00907BA1"/>
    <w:rsid w:val="00907BD5"/>
    <w:rsid w:val="00910375"/>
    <w:rsid w:val="0091074F"/>
    <w:rsid w:val="009107B8"/>
    <w:rsid w:val="00910980"/>
    <w:rsid w:val="009116E3"/>
    <w:rsid w:val="009124A7"/>
    <w:rsid w:val="00913046"/>
    <w:rsid w:val="00914247"/>
    <w:rsid w:val="00914446"/>
    <w:rsid w:val="009144FB"/>
    <w:rsid w:val="00914A3D"/>
    <w:rsid w:val="00914C7D"/>
    <w:rsid w:val="00914E32"/>
    <w:rsid w:val="00915787"/>
    <w:rsid w:val="00917776"/>
    <w:rsid w:val="00917A1C"/>
    <w:rsid w:val="0092022F"/>
    <w:rsid w:val="009206D1"/>
    <w:rsid w:val="00922932"/>
    <w:rsid w:val="00923F1F"/>
    <w:rsid w:val="00924930"/>
    <w:rsid w:val="00924944"/>
    <w:rsid w:val="00924A7E"/>
    <w:rsid w:val="00924CCF"/>
    <w:rsid w:val="00925909"/>
    <w:rsid w:val="00925930"/>
    <w:rsid w:val="00925EA0"/>
    <w:rsid w:val="00926460"/>
    <w:rsid w:val="009270B8"/>
    <w:rsid w:val="00927A1F"/>
    <w:rsid w:val="00927D34"/>
    <w:rsid w:val="00927DE3"/>
    <w:rsid w:val="00927E8B"/>
    <w:rsid w:val="00930521"/>
    <w:rsid w:val="00930BE6"/>
    <w:rsid w:val="00930C6A"/>
    <w:rsid w:val="00931381"/>
    <w:rsid w:val="00931672"/>
    <w:rsid w:val="00931EA1"/>
    <w:rsid w:val="0093209C"/>
    <w:rsid w:val="009321A6"/>
    <w:rsid w:val="009329BA"/>
    <w:rsid w:val="00932C2D"/>
    <w:rsid w:val="00933C93"/>
    <w:rsid w:val="00934495"/>
    <w:rsid w:val="009346A7"/>
    <w:rsid w:val="00934BFB"/>
    <w:rsid w:val="0093576E"/>
    <w:rsid w:val="009357B5"/>
    <w:rsid w:val="00935934"/>
    <w:rsid w:val="00935DC6"/>
    <w:rsid w:val="00935EFA"/>
    <w:rsid w:val="009362C7"/>
    <w:rsid w:val="00936363"/>
    <w:rsid w:val="009368BD"/>
    <w:rsid w:val="00936A0A"/>
    <w:rsid w:val="00936DD3"/>
    <w:rsid w:val="009372AB"/>
    <w:rsid w:val="009372EC"/>
    <w:rsid w:val="00937688"/>
    <w:rsid w:val="009379C3"/>
    <w:rsid w:val="00937B04"/>
    <w:rsid w:val="00940DBC"/>
    <w:rsid w:val="009415BE"/>
    <w:rsid w:val="0094162C"/>
    <w:rsid w:val="009427B2"/>
    <w:rsid w:val="00942D47"/>
    <w:rsid w:val="00943E1B"/>
    <w:rsid w:val="009440E8"/>
    <w:rsid w:val="00944260"/>
    <w:rsid w:val="009449EA"/>
    <w:rsid w:val="00944B56"/>
    <w:rsid w:val="0094571E"/>
    <w:rsid w:val="00945CC1"/>
    <w:rsid w:val="009467D1"/>
    <w:rsid w:val="009469F7"/>
    <w:rsid w:val="009475DB"/>
    <w:rsid w:val="0094767B"/>
    <w:rsid w:val="009479B2"/>
    <w:rsid w:val="00947BFC"/>
    <w:rsid w:val="00947EA0"/>
    <w:rsid w:val="0095021E"/>
    <w:rsid w:val="009503F1"/>
    <w:rsid w:val="00950A24"/>
    <w:rsid w:val="00950D07"/>
    <w:rsid w:val="0095124A"/>
    <w:rsid w:val="00951357"/>
    <w:rsid w:val="00951C44"/>
    <w:rsid w:val="00951F25"/>
    <w:rsid w:val="00951F85"/>
    <w:rsid w:val="009521AA"/>
    <w:rsid w:val="00952239"/>
    <w:rsid w:val="0095232E"/>
    <w:rsid w:val="009526B9"/>
    <w:rsid w:val="00954310"/>
    <w:rsid w:val="0095495E"/>
    <w:rsid w:val="00954AC4"/>
    <w:rsid w:val="00955B89"/>
    <w:rsid w:val="009562DB"/>
    <w:rsid w:val="00957A01"/>
    <w:rsid w:val="00957EC6"/>
    <w:rsid w:val="009601D2"/>
    <w:rsid w:val="00960D6D"/>
    <w:rsid w:val="00960F2C"/>
    <w:rsid w:val="00961D01"/>
    <w:rsid w:val="00961E9E"/>
    <w:rsid w:val="00962271"/>
    <w:rsid w:val="009625E8"/>
    <w:rsid w:val="00962717"/>
    <w:rsid w:val="00962BE7"/>
    <w:rsid w:val="00963358"/>
    <w:rsid w:val="009634F7"/>
    <w:rsid w:val="009636DA"/>
    <w:rsid w:val="009644DA"/>
    <w:rsid w:val="009652DE"/>
    <w:rsid w:val="0096553F"/>
    <w:rsid w:val="0096564C"/>
    <w:rsid w:val="009658EF"/>
    <w:rsid w:val="0096625E"/>
    <w:rsid w:val="00966622"/>
    <w:rsid w:val="00967209"/>
    <w:rsid w:val="009706D7"/>
    <w:rsid w:val="00970EA6"/>
    <w:rsid w:val="009714E8"/>
    <w:rsid w:val="009715E5"/>
    <w:rsid w:val="009718D4"/>
    <w:rsid w:val="00971A81"/>
    <w:rsid w:val="00972A8A"/>
    <w:rsid w:val="009743FA"/>
    <w:rsid w:val="00974507"/>
    <w:rsid w:val="00974540"/>
    <w:rsid w:val="00974895"/>
    <w:rsid w:val="00974EAC"/>
    <w:rsid w:val="0097609E"/>
    <w:rsid w:val="00976216"/>
    <w:rsid w:val="00977064"/>
    <w:rsid w:val="00977D2C"/>
    <w:rsid w:val="00980999"/>
    <w:rsid w:val="009809C1"/>
    <w:rsid w:val="00980CC8"/>
    <w:rsid w:val="009813F9"/>
    <w:rsid w:val="009815A5"/>
    <w:rsid w:val="00981D6D"/>
    <w:rsid w:val="00982306"/>
    <w:rsid w:val="009824F1"/>
    <w:rsid w:val="009825BE"/>
    <w:rsid w:val="00982D32"/>
    <w:rsid w:val="00983F08"/>
    <w:rsid w:val="00983FD1"/>
    <w:rsid w:val="0098445D"/>
    <w:rsid w:val="00985155"/>
    <w:rsid w:val="009852D3"/>
    <w:rsid w:val="0098548C"/>
    <w:rsid w:val="00985A2A"/>
    <w:rsid w:val="00985C8D"/>
    <w:rsid w:val="009876F4"/>
    <w:rsid w:val="009877C3"/>
    <w:rsid w:val="0099006B"/>
    <w:rsid w:val="009909C1"/>
    <w:rsid w:val="00990C41"/>
    <w:rsid w:val="00991083"/>
    <w:rsid w:val="009911E2"/>
    <w:rsid w:val="00992765"/>
    <w:rsid w:val="00992E33"/>
    <w:rsid w:val="00993F86"/>
    <w:rsid w:val="00994708"/>
    <w:rsid w:val="0099480C"/>
    <w:rsid w:val="009956E7"/>
    <w:rsid w:val="009958CF"/>
    <w:rsid w:val="00995BF8"/>
    <w:rsid w:val="00995CA4"/>
    <w:rsid w:val="009960E1"/>
    <w:rsid w:val="009965CE"/>
    <w:rsid w:val="009966C7"/>
    <w:rsid w:val="00996AD0"/>
    <w:rsid w:val="00997395"/>
    <w:rsid w:val="009973C0"/>
    <w:rsid w:val="009978B9"/>
    <w:rsid w:val="00997AEF"/>
    <w:rsid w:val="009A0324"/>
    <w:rsid w:val="009A0421"/>
    <w:rsid w:val="009A2D0C"/>
    <w:rsid w:val="009A30BF"/>
    <w:rsid w:val="009A3568"/>
    <w:rsid w:val="009A3EEF"/>
    <w:rsid w:val="009A41A4"/>
    <w:rsid w:val="009A448A"/>
    <w:rsid w:val="009A5367"/>
    <w:rsid w:val="009A697F"/>
    <w:rsid w:val="009A6BCE"/>
    <w:rsid w:val="009B013B"/>
    <w:rsid w:val="009B02EF"/>
    <w:rsid w:val="009B0482"/>
    <w:rsid w:val="009B0A6B"/>
    <w:rsid w:val="009B0BBF"/>
    <w:rsid w:val="009B0F3D"/>
    <w:rsid w:val="009B11F0"/>
    <w:rsid w:val="009B1A89"/>
    <w:rsid w:val="009B1FC8"/>
    <w:rsid w:val="009B2CCF"/>
    <w:rsid w:val="009B325B"/>
    <w:rsid w:val="009B3651"/>
    <w:rsid w:val="009B3ECD"/>
    <w:rsid w:val="009B4148"/>
    <w:rsid w:val="009B4290"/>
    <w:rsid w:val="009B468D"/>
    <w:rsid w:val="009B5976"/>
    <w:rsid w:val="009B5B42"/>
    <w:rsid w:val="009B6A33"/>
    <w:rsid w:val="009C0347"/>
    <w:rsid w:val="009C0DD2"/>
    <w:rsid w:val="009C1045"/>
    <w:rsid w:val="009C1401"/>
    <w:rsid w:val="009C1418"/>
    <w:rsid w:val="009C1ED9"/>
    <w:rsid w:val="009C24DE"/>
    <w:rsid w:val="009C2BA1"/>
    <w:rsid w:val="009C30F8"/>
    <w:rsid w:val="009C4183"/>
    <w:rsid w:val="009C42F2"/>
    <w:rsid w:val="009C557F"/>
    <w:rsid w:val="009C560B"/>
    <w:rsid w:val="009C5644"/>
    <w:rsid w:val="009C6B0C"/>
    <w:rsid w:val="009C6EB6"/>
    <w:rsid w:val="009C7863"/>
    <w:rsid w:val="009D01AD"/>
    <w:rsid w:val="009D036F"/>
    <w:rsid w:val="009D0620"/>
    <w:rsid w:val="009D0F38"/>
    <w:rsid w:val="009D19DA"/>
    <w:rsid w:val="009D19FC"/>
    <w:rsid w:val="009D22E8"/>
    <w:rsid w:val="009D326D"/>
    <w:rsid w:val="009D3685"/>
    <w:rsid w:val="009D397A"/>
    <w:rsid w:val="009D3C6A"/>
    <w:rsid w:val="009D4581"/>
    <w:rsid w:val="009D4CDA"/>
    <w:rsid w:val="009D4FC1"/>
    <w:rsid w:val="009D57D3"/>
    <w:rsid w:val="009D58B0"/>
    <w:rsid w:val="009D66FF"/>
    <w:rsid w:val="009D6976"/>
    <w:rsid w:val="009D7B2A"/>
    <w:rsid w:val="009D7B81"/>
    <w:rsid w:val="009E0BA2"/>
    <w:rsid w:val="009E0EC9"/>
    <w:rsid w:val="009E1163"/>
    <w:rsid w:val="009E1733"/>
    <w:rsid w:val="009E20C0"/>
    <w:rsid w:val="009E2854"/>
    <w:rsid w:val="009E2A84"/>
    <w:rsid w:val="009E2CE3"/>
    <w:rsid w:val="009E3B70"/>
    <w:rsid w:val="009E4B4B"/>
    <w:rsid w:val="009E4E6C"/>
    <w:rsid w:val="009E523D"/>
    <w:rsid w:val="009E5475"/>
    <w:rsid w:val="009E5F47"/>
    <w:rsid w:val="009E70F6"/>
    <w:rsid w:val="009E71AC"/>
    <w:rsid w:val="009E71CB"/>
    <w:rsid w:val="009E7540"/>
    <w:rsid w:val="009E7B0F"/>
    <w:rsid w:val="009F0A0A"/>
    <w:rsid w:val="009F0BAE"/>
    <w:rsid w:val="009F1FA8"/>
    <w:rsid w:val="009F2347"/>
    <w:rsid w:val="009F2480"/>
    <w:rsid w:val="009F27FD"/>
    <w:rsid w:val="009F28AD"/>
    <w:rsid w:val="009F3160"/>
    <w:rsid w:val="009F3365"/>
    <w:rsid w:val="009F388D"/>
    <w:rsid w:val="009F507D"/>
    <w:rsid w:val="009F528A"/>
    <w:rsid w:val="009F5D9E"/>
    <w:rsid w:val="009F5DA0"/>
    <w:rsid w:val="009F72FE"/>
    <w:rsid w:val="009F7DF8"/>
    <w:rsid w:val="00A0099E"/>
    <w:rsid w:val="00A010C9"/>
    <w:rsid w:val="00A01712"/>
    <w:rsid w:val="00A01C19"/>
    <w:rsid w:val="00A024E9"/>
    <w:rsid w:val="00A0288A"/>
    <w:rsid w:val="00A0305B"/>
    <w:rsid w:val="00A03D67"/>
    <w:rsid w:val="00A03D78"/>
    <w:rsid w:val="00A03F03"/>
    <w:rsid w:val="00A045AF"/>
    <w:rsid w:val="00A0483B"/>
    <w:rsid w:val="00A049ED"/>
    <w:rsid w:val="00A05659"/>
    <w:rsid w:val="00A0609F"/>
    <w:rsid w:val="00A0696A"/>
    <w:rsid w:val="00A076A1"/>
    <w:rsid w:val="00A078E2"/>
    <w:rsid w:val="00A10C02"/>
    <w:rsid w:val="00A10E37"/>
    <w:rsid w:val="00A11FA5"/>
    <w:rsid w:val="00A1212D"/>
    <w:rsid w:val="00A12250"/>
    <w:rsid w:val="00A12A21"/>
    <w:rsid w:val="00A12E1E"/>
    <w:rsid w:val="00A13750"/>
    <w:rsid w:val="00A13B8D"/>
    <w:rsid w:val="00A13F1C"/>
    <w:rsid w:val="00A13F8C"/>
    <w:rsid w:val="00A142C4"/>
    <w:rsid w:val="00A142C9"/>
    <w:rsid w:val="00A15B14"/>
    <w:rsid w:val="00A15D0A"/>
    <w:rsid w:val="00A15DF7"/>
    <w:rsid w:val="00A16202"/>
    <w:rsid w:val="00A16872"/>
    <w:rsid w:val="00A16B96"/>
    <w:rsid w:val="00A179D3"/>
    <w:rsid w:val="00A20857"/>
    <w:rsid w:val="00A20BB5"/>
    <w:rsid w:val="00A20E55"/>
    <w:rsid w:val="00A210A9"/>
    <w:rsid w:val="00A2160A"/>
    <w:rsid w:val="00A2162C"/>
    <w:rsid w:val="00A21920"/>
    <w:rsid w:val="00A21B25"/>
    <w:rsid w:val="00A22479"/>
    <w:rsid w:val="00A23EE9"/>
    <w:rsid w:val="00A2406E"/>
    <w:rsid w:val="00A241EC"/>
    <w:rsid w:val="00A25521"/>
    <w:rsid w:val="00A2572B"/>
    <w:rsid w:val="00A2578A"/>
    <w:rsid w:val="00A27074"/>
    <w:rsid w:val="00A270D9"/>
    <w:rsid w:val="00A272D5"/>
    <w:rsid w:val="00A27F0D"/>
    <w:rsid w:val="00A31968"/>
    <w:rsid w:val="00A31B55"/>
    <w:rsid w:val="00A338FA"/>
    <w:rsid w:val="00A33E50"/>
    <w:rsid w:val="00A34367"/>
    <w:rsid w:val="00A3582F"/>
    <w:rsid w:val="00A35D94"/>
    <w:rsid w:val="00A35FEE"/>
    <w:rsid w:val="00A36381"/>
    <w:rsid w:val="00A371FA"/>
    <w:rsid w:val="00A3747A"/>
    <w:rsid w:val="00A376FF"/>
    <w:rsid w:val="00A37878"/>
    <w:rsid w:val="00A37B40"/>
    <w:rsid w:val="00A37C9D"/>
    <w:rsid w:val="00A37CA0"/>
    <w:rsid w:val="00A3EDBA"/>
    <w:rsid w:val="00A407D8"/>
    <w:rsid w:val="00A408C6"/>
    <w:rsid w:val="00A40E86"/>
    <w:rsid w:val="00A40FD4"/>
    <w:rsid w:val="00A414CB"/>
    <w:rsid w:val="00A419CC"/>
    <w:rsid w:val="00A41CF0"/>
    <w:rsid w:val="00A4209F"/>
    <w:rsid w:val="00A42CB9"/>
    <w:rsid w:val="00A4308F"/>
    <w:rsid w:val="00A4343D"/>
    <w:rsid w:val="00A43D94"/>
    <w:rsid w:val="00A43DA7"/>
    <w:rsid w:val="00A43E55"/>
    <w:rsid w:val="00A45343"/>
    <w:rsid w:val="00A45EB8"/>
    <w:rsid w:val="00A45EC2"/>
    <w:rsid w:val="00A45F61"/>
    <w:rsid w:val="00A468C9"/>
    <w:rsid w:val="00A46970"/>
    <w:rsid w:val="00A46C9D"/>
    <w:rsid w:val="00A472C0"/>
    <w:rsid w:val="00A5015C"/>
    <w:rsid w:val="00A501D6"/>
    <w:rsid w:val="00A5041B"/>
    <w:rsid w:val="00A505AA"/>
    <w:rsid w:val="00A50B7B"/>
    <w:rsid w:val="00A50D84"/>
    <w:rsid w:val="00A51C08"/>
    <w:rsid w:val="00A51FC8"/>
    <w:rsid w:val="00A525DD"/>
    <w:rsid w:val="00A52BA8"/>
    <w:rsid w:val="00A52C97"/>
    <w:rsid w:val="00A52E58"/>
    <w:rsid w:val="00A53113"/>
    <w:rsid w:val="00A54143"/>
    <w:rsid w:val="00A552EB"/>
    <w:rsid w:val="00A55477"/>
    <w:rsid w:val="00A55503"/>
    <w:rsid w:val="00A55539"/>
    <w:rsid w:val="00A556DC"/>
    <w:rsid w:val="00A55F67"/>
    <w:rsid w:val="00A560A0"/>
    <w:rsid w:val="00A562B8"/>
    <w:rsid w:val="00A563EE"/>
    <w:rsid w:val="00A56A14"/>
    <w:rsid w:val="00A56B43"/>
    <w:rsid w:val="00A56FA5"/>
    <w:rsid w:val="00A57F74"/>
    <w:rsid w:val="00A60940"/>
    <w:rsid w:val="00A60E7E"/>
    <w:rsid w:val="00A61D03"/>
    <w:rsid w:val="00A62622"/>
    <w:rsid w:val="00A626BE"/>
    <w:rsid w:val="00A62B61"/>
    <w:rsid w:val="00A62F2A"/>
    <w:rsid w:val="00A62F68"/>
    <w:rsid w:val="00A63324"/>
    <w:rsid w:val="00A6346C"/>
    <w:rsid w:val="00A635A9"/>
    <w:rsid w:val="00A63651"/>
    <w:rsid w:val="00A63FC4"/>
    <w:rsid w:val="00A646C2"/>
    <w:rsid w:val="00A64816"/>
    <w:rsid w:val="00A648BF"/>
    <w:rsid w:val="00A64F97"/>
    <w:rsid w:val="00A66A0E"/>
    <w:rsid w:val="00A66A62"/>
    <w:rsid w:val="00A6731B"/>
    <w:rsid w:val="00A6733C"/>
    <w:rsid w:val="00A674D6"/>
    <w:rsid w:val="00A67AB9"/>
    <w:rsid w:val="00A70592"/>
    <w:rsid w:val="00A710C1"/>
    <w:rsid w:val="00A7121A"/>
    <w:rsid w:val="00A71FE4"/>
    <w:rsid w:val="00A72382"/>
    <w:rsid w:val="00A72489"/>
    <w:rsid w:val="00A72F73"/>
    <w:rsid w:val="00A737E4"/>
    <w:rsid w:val="00A73FD7"/>
    <w:rsid w:val="00A74115"/>
    <w:rsid w:val="00A74FCE"/>
    <w:rsid w:val="00A7506F"/>
    <w:rsid w:val="00A7512A"/>
    <w:rsid w:val="00A7514B"/>
    <w:rsid w:val="00A75D8E"/>
    <w:rsid w:val="00A7658C"/>
    <w:rsid w:val="00A76BF3"/>
    <w:rsid w:val="00A77112"/>
    <w:rsid w:val="00A7720A"/>
    <w:rsid w:val="00A77218"/>
    <w:rsid w:val="00A7738C"/>
    <w:rsid w:val="00A77CC9"/>
    <w:rsid w:val="00A800FA"/>
    <w:rsid w:val="00A8060C"/>
    <w:rsid w:val="00A8161A"/>
    <w:rsid w:val="00A822CE"/>
    <w:rsid w:val="00A82B75"/>
    <w:rsid w:val="00A82EE5"/>
    <w:rsid w:val="00A82F9B"/>
    <w:rsid w:val="00A834AF"/>
    <w:rsid w:val="00A83FEB"/>
    <w:rsid w:val="00A8411D"/>
    <w:rsid w:val="00A846A8"/>
    <w:rsid w:val="00A84721"/>
    <w:rsid w:val="00A84B72"/>
    <w:rsid w:val="00A84DFF"/>
    <w:rsid w:val="00A856E0"/>
    <w:rsid w:val="00A85F31"/>
    <w:rsid w:val="00A86CDC"/>
    <w:rsid w:val="00A8741D"/>
    <w:rsid w:val="00A87A36"/>
    <w:rsid w:val="00A90AAD"/>
    <w:rsid w:val="00A9162C"/>
    <w:rsid w:val="00A91F01"/>
    <w:rsid w:val="00A92143"/>
    <w:rsid w:val="00A9230E"/>
    <w:rsid w:val="00A923B5"/>
    <w:rsid w:val="00A934F5"/>
    <w:rsid w:val="00A93F8F"/>
    <w:rsid w:val="00A93FA0"/>
    <w:rsid w:val="00A94269"/>
    <w:rsid w:val="00A949D4"/>
    <w:rsid w:val="00A953F0"/>
    <w:rsid w:val="00A95853"/>
    <w:rsid w:val="00A958E3"/>
    <w:rsid w:val="00A95C07"/>
    <w:rsid w:val="00A96035"/>
    <w:rsid w:val="00A96533"/>
    <w:rsid w:val="00A96606"/>
    <w:rsid w:val="00A96B6D"/>
    <w:rsid w:val="00A96F8E"/>
    <w:rsid w:val="00A9750B"/>
    <w:rsid w:val="00A975A5"/>
    <w:rsid w:val="00A979BA"/>
    <w:rsid w:val="00AA03ED"/>
    <w:rsid w:val="00AA04CA"/>
    <w:rsid w:val="00AA070B"/>
    <w:rsid w:val="00AA0786"/>
    <w:rsid w:val="00AA0AD7"/>
    <w:rsid w:val="00AA0BF7"/>
    <w:rsid w:val="00AA10AD"/>
    <w:rsid w:val="00AA1A1A"/>
    <w:rsid w:val="00AA1DD7"/>
    <w:rsid w:val="00AA20EA"/>
    <w:rsid w:val="00AA26DE"/>
    <w:rsid w:val="00AA2B5E"/>
    <w:rsid w:val="00AA2F7F"/>
    <w:rsid w:val="00AA32DB"/>
    <w:rsid w:val="00AA35CC"/>
    <w:rsid w:val="00AA3A93"/>
    <w:rsid w:val="00AA3C0A"/>
    <w:rsid w:val="00AA5308"/>
    <w:rsid w:val="00AA5B99"/>
    <w:rsid w:val="00AA6047"/>
    <w:rsid w:val="00AA6347"/>
    <w:rsid w:val="00AA6866"/>
    <w:rsid w:val="00AA78EF"/>
    <w:rsid w:val="00AA7C20"/>
    <w:rsid w:val="00AA7D24"/>
    <w:rsid w:val="00AA7D8B"/>
    <w:rsid w:val="00AA7F0F"/>
    <w:rsid w:val="00AB0D43"/>
    <w:rsid w:val="00AB1D8A"/>
    <w:rsid w:val="00AB22FB"/>
    <w:rsid w:val="00AB297F"/>
    <w:rsid w:val="00AB324C"/>
    <w:rsid w:val="00AB42FA"/>
    <w:rsid w:val="00AB4522"/>
    <w:rsid w:val="00AB4D8C"/>
    <w:rsid w:val="00AB4E97"/>
    <w:rsid w:val="00AB5A58"/>
    <w:rsid w:val="00AB697E"/>
    <w:rsid w:val="00AB6BE9"/>
    <w:rsid w:val="00AB6C61"/>
    <w:rsid w:val="00AB6F45"/>
    <w:rsid w:val="00AB6FED"/>
    <w:rsid w:val="00AB7111"/>
    <w:rsid w:val="00AB71CC"/>
    <w:rsid w:val="00AB7A08"/>
    <w:rsid w:val="00AB7E1C"/>
    <w:rsid w:val="00AB7EA7"/>
    <w:rsid w:val="00AC0499"/>
    <w:rsid w:val="00AC1773"/>
    <w:rsid w:val="00AC28E3"/>
    <w:rsid w:val="00AC2E2E"/>
    <w:rsid w:val="00AC3475"/>
    <w:rsid w:val="00AC448E"/>
    <w:rsid w:val="00AC58D6"/>
    <w:rsid w:val="00AC5CF7"/>
    <w:rsid w:val="00AC5E2A"/>
    <w:rsid w:val="00AC72C0"/>
    <w:rsid w:val="00AC77DE"/>
    <w:rsid w:val="00AD07A9"/>
    <w:rsid w:val="00AD096E"/>
    <w:rsid w:val="00AD0DA7"/>
    <w:rsid w:val="00AD1501"/>
    <w:rsid w:val="00AD1CC4"/>
    <w:rsid w:val="00AD1D75"/>
    <w:rsid w:val="00AD207C"/>
    <w:rsid w:val="00AD2902"/>
    <w:rsid w:val="00AD2CD7"/>
    <w:rsid w:val="00AD3FD7"/>
    <w:rsid w:val="00AD5CD6"/>
    <w:rsid w:val="00AD61EA"/>
    <w:rsid w:val="00AD6A40"/>
    <w:rsid w:val="00AD754B"/>
    <w:rsid w:val="00AD781D"/>
    <w:rsid w:val="00AD7A63"/>
    <w:rsid w:val="00AE0B02"/>
    <w:rsid w:val="00AE0D4D"/>
    <w:rsid w:val="00AE1887"/>
    <w:rsid w:val="00AE1F99"/>
    <w:rsid w:val="00AE211F"/>
    <w:rsid w:val="00AE2675"/>
    <w:rsid w:val="00AE27A0"/>
    <w:rsid w:val="00AE2B07"/>
    <w:rsid w:val="00AE2E74"/>
    <w:rsid w:val="00AE3322"/>
    <w:rsid w:val="00AE3666"/>
    <w:rsid w:val="00AE44BA"/>
    <w:rsid w:val="00AE44D4"/>
    <w:rsid w:val="00AE4566"/>
    <w:rsid w:val="00AE49FF"/>
    <w:rsid w:val="00AE4C92"/>
    <w:rsid w:val="00AE56A7"/>
    <w:rsid w:val="00AE6AFE"/>
    <w:rsid w:val="00AE7056"/>
    <w:rsid w:val="00AE77D2"/>
    <w:rsid w:val="00AE7AD9"/>
    <w:rsid w:val="00AF006C"/>
    <w:rsid w:val="00AF0AB7"/>
    <w:rsid w:val="00AF1170"/>
    <w:rsid w:val="00AF1FF8"/>
    <w:rsid w:val="00AF323C"/>
    <w:rsid w:val="00AF32C1"/>
    <w:rsid w:val="00AF3E1A"/>
    <w:rsid w:val="00AF3F45"/>
    <w:rsid w:val="00AF408E"/>
    <w:rsid w:val="00AF4992"/>
    <w:rsid w:val="00AF4D1C"/>
    <w:rsid w:val="00AF51EC"/>
    <w:rsid w:val="00AF67D3"/>
    <w:rsid w:val="00AF6A15"/>
    <w:rsid w:val="00AF6AD9"/>
    <w:rsid w:val="00B0074C"/>
    <w:rsid w:val="00B00DA5"/>
    <w:rsid w:val="00B014EC"/>
    <w:rsid w:val="00B0237E"/>
    <w:rsid w:val="00B02939"/>
    <w:rsid w:val="00B02B3B"/>
    <w:rsid w:val="00B0332E"/>
    <w:rsid w:val="00B03A87"/>
    <w:rsid w:val="00B03A8D"/>
    <w:rsid w:val="00B03B91"/>
    <w:rsid w:val="00B03DF0"/>
    <w:rsid w:val="00B04A41"/>
    <w:rsid w:val="00B04E34"/>
    <w:rsid w:val="00B056D2"/>
    <w:rsid w:val="00B057DC"/>
    <w:rsid w:val="00B058FB"/>
    <w:rsid w:val="00B06785"/>
    <w:rsid w:val="00B06DBB"/>
    <w:rsid w:val="00B0741C"/>
    <w:rsid w:val="00B07B98"/>
    <w:rsid w:val="00B07D8E"/>
    <w:rsid w:val="00B107EA"/>
    <w:rsid w:val="00B107F2"/>
    <w:rsid w:val="00B114F0"/>
    <w:rsid w:val="00B1171C"/>
    <w:rsid w:val="00B13142"/>
    <w:rsid w:val="00B14873"/>
    <w:rsid w:val="00B14891"/>
    <w:rsid w:val="00B14AD1"/>
    <w:rsid w:val="00B14CBE"/>
    <w:rsid w:val="00B15946"/>
    <w:rsid w:val="00B15CEF"/>
    <w:rsid w:val="00B15FE1"/>
    <w:rsid w:val="00B16055"/>
    <w:rsid w:val="00B16E8B"/>
    <w:rsid w:val="00B178CC"/>
    <w:rsid w:val="00B178FF"/>
    <w:rsid w:val="00B17CB4"/>
    <w:rsid w:val="00B2039C"/>
    <w:rsid w:val="00B21425"/>
    <w:rsid w:val="00B2151D"/>
    <w:rsid w:val="00B215DC"/>
    <w:rsid w:val="00B219E5"/>
    <w:rsid w:val="00B21A8C"/>
    <w:rsid w:val="00B22563"/>
    <w:rsid w:val="00B229A4"/>
    <w:rsid w:val="00B23C21"/>
    <w:rsid w:val="00B24646"/>
    <w:rsid w:val="00B24F3C"/>
    <w:rsid w:val="00B253A5"/>
    <w:rsid w:val="00B25E25"/>
    <w:rsid w:val="00B26688"/>
    <w:rsid w:val="00B26914"/>
    <w:rsid w:val="00B26C0E"/>
    <w:rsid w:val="00B275A2"/>
    <w:rsid w:val="00B27960"/>
    <w:rsid w:val="00B27F31"/>
    <w:rsid w:val="00B30E68"/>
    <w:rsid w:val="00B30FF4"/>
    <w:rsid w:val="00B32B89"/>
    <w:rsid w:val="00B32F04"/>
    <w:rsid w:val="00B33208"/>
    <w:rsid w:val="00B338C4"/>
    <w:rsid w:val="00B34068"/>
    <w:rsid w:val="00B35417"/>
    <w:rsid w:val="00B357C8"/>
    <w:rsid w:val="00B358F4"/>
    <w:rsid w:val="00B35943"/>
    <w:rsid w:val="00B35A2E"/>
    <w:rsid w:val="00B3649A"/>
    <w:rsid w:val="00B37A9E"/>
    <w:rsid w:val="00B37F30"/>
    <w:rsid w:val="00B41709"/>
    <w:rsid w:val="00B41A47"/>
    <w:rsid w:val="00B41DF7"/>
    <w:rsid w:val="00B426BE"/>
    <w:rsid w:val="00B42A28"/>
    <w:rsid w:val="00B42ABD"/>
    <w:rsid w:val="00B42C88"/>
    <w:rsid w:val="00B43552"/>
    <w:rsid w:val="00B439D1"/>
    <w:rsid w:val="00B43EBB"/>
    <w:rsid w:val="00B44229"/>
    <w:rsid w:val="00B44BCC"/>
    <w:rsid w:val="00B44DE0"/>
    <w:rsid w:val="00B45003"/>
    <w:rsid w:val="00B45027"/>
    <w:rsid w:val="00B45BA2"/>
    <w:rsid w:val="00B45D60"/>
    <w:rsid w:val="00B46574"/>
    <w:rsid w:val="00B46BBF"/>
    <w:rsid w:val="00B46DA1"/>
    <w:rsid w:val="00B46DA4"/>
    <w:rsid w:val="00B4774D"/>
    <w:rsid w:val="00B51CC0"/>
    <w:rsid w:val="00B51CED"/>
    <w:rsid w:val="00B51DE2"/>
    <w:rsid w:val="00B528EE"/>
    <w:rsid w:val="00B53389"/>
    <w:rsid w:val="00B5366B"/>
    <w:rsid w:val="00B53D46"/>
    <w:rsid w:val="00B545E1"/>
    <w:rsid w:val="00B54BEA"/>
    <w:rsid w:val="00B54DC1"/>
    <w:rsid w:val="00B54FB3"/>
    <w:rsid w:val="00B5563F"/>
    <w:rsid w:val="00B561E6"/>
    <w:rsid w:val="00B57B1B"/>
    <w:rsid w:val="00B6009A"/>
    <w:rsid w:val="00B60257"/>
    <w:rsid w:val="00B602D1"/>
    <w:rsid w:val="00B603F1"/>
    <w:rsid w:val="00B61109"/>
    <w:rsid w:val="00B61691"/>
    <w:rsid w:val="00B6208A"/>
    <w:rsid w:val="00B626C0"/>
    <w:rsid w:val="00B638AC"/>
    <w:rsid w:val="00B63FD5"/>
    <w:rsid w:val="00B6417E"/>
    <w:rsid w:val="00B64347"/>
    <w:rsid w:val="00B65B52"/>
    <w:rsid w:val="00B66090"/>
    <w:rsid w:val="00B66379"/>
    <w:rsid w:val="00B66B3D"/>
    <w:rsid w:val="00B67B4D"/>
    <w:rsid w:val="00B71CAB"/>
    <w:rsid w:val="00B71F62"/>
    <w:rsid w:val="00B7201A"/>
    <w:rsid w:val="00B73B01"/>
    <w:rsid w:val="00B73BC1"/>
    <w:rsid w:val="00B740E8"/>
    <w:rsid w:val="00B7435F"/>
    <w:rsid w:val="00B74898"/>
    <w:rsid w:val="00B74949"/>
    <w:rsid w:val="00B7511F"/>
    <w:rsid w:val="00B75FE2"/>
    <w:rsid w:val="00B7609E"/>
    <w:rsid w:val="00B76F74"/>
    <w:rsid w:val="00B777DA"/>
    <w:rsid w:val="00B77EC7"/>
    <w:rsid w:val="00B80536"/>
    <w:rsid w:val="00B806EB"/>
    <w:rsid w:val="00B80BC0"/>
    <w:rsid w:val="00B80DF6"/>
    <w:rsid w:val="00B80E4E"/>
    <w:rsid w:val="00B81FBB"/>
    <w:rsid w:val="00B82CAD"/>
    <w:rsid w:val="00B83809"/>
    <w:rsid w:val="00B83E08"/>
    <w:rsid w:val="00B84212"/>
    <w:rsid w:val="00B84493"/>
    <w:rsid w:val="00B84BCC"/>
    <w:rsid w:val="00B85009"/>
    <w:rsid w:val="00B85653"/>
    <w:rsid w:val="00B858C7"/>
    <w:rsid w:val="00B8617E"/>
    <w:rsid w:val="00B868D5"/>
    <w:rsid w:val="00B86D78"/>
    <w:rsid w:val="00B86F0D"/>
    <w:rsid w:val="00B87B4D"/>
    <w:rsid w:val="00B90A41"/>
    <w:rsid w:val="00B90A4C"/>
    <w:rsid w:val="00B90D3B"/>
    <w:rsid w:val="00B91A8F"/>
    <w:rsid w:val="00B91C63"/>
    <w:rsid w:val="00B91D34"/>
    <w:rsid w:val="00B935FA"/>
    <w:rsid w:val="00B937CC"/>
    <w:rsid w:val="00B93A10"/>
    <w:rsid w:val="00B94141"/>
    <w:rsid w:val="00B94501"/>
    <w:rsid w:val="00B94596"/>
    <w:rsid w:val="00B9466D"/>
    <w:rsid w:val="00B9473D"/>
    <w:rsid w:val="00B94924"/>
    <w:rsid w:val="00B94DCF"/>
    <w:rsid w:val="00B95058"/>
    <w:rsid w:val="00B95399"/>
    <w:rsid w:val="00B95540"/>
    <w:rsid w:val="00B95A9E"/>
    <w:rsid w:val="00B96500"/>
    <w:rsid w:val="00B96BC3"/>
    <w:rsid w:val="00B972DE"/>
    <w:rsid w:val="00B974FB"/>
    <w:rsid w:val="00B97584"/>
    <w:rsid w:val="00B97AC4"/>
    <w:rsid w:val="00BA0E75"/>
    <w:rsid w:val="00BA20BC"/>
    <w:rsid w:val="00BA2885"/>
    <w:rsid w:val="00BA3316"/>
    <w:rsid w:val="00BA3ADB"/>
    <w:rsid w:val="00BA4975"/>
    <w:rsid w:val="00BA49C2"/>
    <w:rsid w:val="00BA4DC2"/>
    <w:rsid w:val="00BA4E06"/>
    <w:rsid w:val="00BA52BC"/>
    <w:rsid w:val="00BA59C0"/>
    <w:rsid w:val="00BA5CDE"/>
    <w:rsid w:val="00BA64E5"/>
    <w:rsid w:val="00BA66AF"/>
    <w:rsid w:val="00BA67B0"/>
    <w:rsid w:val="00BA6BCF"/>
    <w:rsid w:val="00BA709B"/>
    <w:rsid w:val="00BA72BA"/>
    <w:rsid w:val="00BA7704"/>
    <w:rsid w:val="00BA77FF"/>
    <w:rsid w:val="00BA7828"/>
    <w:rsid w:val="00BB08E4"/>
    <w:rsid w:val="00BB0A91"/>
    <w:rsid w:val="00BB1638"/>
    <w:rsid w:val="00BB17BC"/>
    <w:rsid w:val="00BB299E"/>
    <w:rsid w:val="00BB3100"/>
    <w:rsid w:val="00BB33AF"/>
    <w:rsid w:val="00BB34CF"/>
    <w:rsid w:val="00BB36DD"/>
    <w:rsid w:val="00BB3B85"/>
    <w:rsid w:val="00BB3F07"/>
    <w:rsid w:val="00BB4131"/>
    <w:rsid w:val="00BB44C9"/>
    <w:rsid w:val="00BB4B0A"/>
    <w:rsid w:val="00BB4D02"/>
    <w:rsid w:val="00BB57C8"/>
    <w:rsid w:val="00BB5F75"/>
    <w:rsid w:val="00BB6219"/>
    <w:rsid w:val="00BB72EC"/>
    <w:rsid w:val="00BB799D"/>
    <w:rsid w:val="00BB7B98"/>
    <w:rsid w:val="00BB7BFD"/>
    <w:rsid w:val="00BB7DE5"/>
    <w:rsid w:val="00BC0031"/>
    <w:rsid w:val="00BC15BA"/>
    <w:rsid w:val="00BC1D27"/>
    <w:rsid w:val="00BC1FF0"/>
    <w:rsid w:val="00BC25E0"/>
    <w:rsid w:val="00BC2B4E"/>
    <w:rsid w:val="00BC3057"/>
    <w:rsid w:val="00BC39D2"/>
    <w:rsid w:val="00BC46F5"/>
    <w:rsid w:val="00BC479D"/>
    <w:rsid w:val="00BC4A3D"/>
    <w:rsid w:val="00BC507B"/>
    <w:rsid w:val="00BC533F"/>
    <w:rsid w:val="00BC6737"/>
    <w:rsid w:val="00BC696E"/>
    <w:rsid w:val="00BC69C9"/>
    <w:rsid w:val="00BC7AC9"/>
    <w:rsid w:val="00BC7FA4"/>
    <w:rsid w:val="00BD03CF"/>
    <w:rsid w:val="00BD0B91"/>
    <w:rsid w:val="00BD1170"/>
    <w:rsid w:val="00BD1EEE"/>
    <w:rsid w:val="00BD2539"/>
    <w:rsid w:val="00BD2ABF"/>
    <w:rsid w:val="00BD3F4A"/>
    <w:rsid w:val="00BD4128"/>
    <w:rsid w:val="00BD4FA1"/>
    <w:rsid w:val="00BD5730"/>
    <w:rsid w:val="00BD6E07"/>
    <w:rsid w:val="00BD7C87"/>
    <w:rsid w:val="00BD7F4C"/>
    <w:rsid w:val="00BE024D"/>
    <w:rsid w:val="00BE10C0"/>
    <w:rsid w:val="00BE10CE"/>
    <w:rsid w:val="00BE166C"/>
    <w:rsid w:val="00BE2035"/>
    <w:rsid w:val="00BE2442"/>
    <w:rsid w:val="00BE2731"/>
    <w:rsid w:val="00BE2A57"/>
    <w:rsid w:val="00BE2CC3"/>
    <w:rsid w:val="00BE30B7"/>
    <w:rsid w:val="00BE32D1"/>
    <w:rsid w:val="00BE32DC"/>
    <w:rsid w:val="00BE349B"/>
    <w:rsid w:val="00BE3B40"/>
    <w:rsid w:val="00BE40FE"/>
    <w:rsid w:val="00BE4CF2"/>
    <w:rsid w:val="00BE4E6D"/>
    <w:rsid w:val="00BE52FE"/>
    <w:rsid w:val="00BE639C"/>
    <w:rsid w:val="00BE6EAA"/>
    <w:rsid w:val="00BE7712"/>
    <w:rsid w:val="00BF061A"/>
    <w:rsid w:val="00BF0A6E"/>
    <w:rsid w:val="00BF0B37"/>
    <w:rsid w:val="00BF0CD5"/>
    <w:rsid w:val="00BF1260"/>
    <w:rsid w:val="00BF14F6"/>
    <w:rsid w:val="00BF1A0C"/>
    <w:rsid w:val="00BF1CB3"/>
    <w:rsid w:val="00BF2C84"/>
    <w:rsid w:val="00BF307B"/>
    <w:rsid w:val="00BF31D5"/>
    <w:rsid w:val="00BF4254"/>
    <w:rsid w:val="00BF4D37"/>
    <w:rsid w:val="00BF506E"/>
    <w:rsid w:val="00BF53C2"/>
    <w:rsid w:val="00BF5845"/>
    <w:rsid w:val="00BF58F8"/>
    <w:rsid w:val="00BF5AB2"/>
    <w:rsid w:val="00BF5BDB"/>
    <w:rsid w:val="00BF6C83"/>
    <w:rsid w:val="00BF7258"/>
    <w:rsid w:val="00BF7BDD"/>
    <w:rsid w:val="00C00F14"/>
    <w:rsid w:val="00C00F99"/>
    <w:rsid w:val="00C01B11"/>
    <w:rsid w:val="00C01BEB"/>
    <w:rsid w:val="00C031D1"/>
    <w:rsid w:val="00C039EF"/>
    <w:rsid w:val="00C03E18"/>
    <w:rsid w:val="00C0565F"/>
    <w:rsid w:val="00C05834"/>
    <w:rsid w:val="00C05D7D"/>
    <w:rsid w:val="00C05DD0"/>
    <w:rsid w:val="00C05EC1"/>
    <w:rsid w:val="00C0650C"/>
    <w:rsid w:val="00C066DF"/>
    <w:rsid w:val="00C076CB"/>
    <w:rsid w:val="00C079B2"/>
    <w:rsid w:val="00C10156"/>
    <w:rsid w:val="00C10AE8"/>
    <w:rsid w:val="00C10BF2"/>
    <w:rsid w:val="00C10E6F"/>
    <w:rsid w:val="00C10F3F"/>
    <w:rsid w:val="00C1170E"/>
    <w:rsid w:val="00C12301"/>
    <w:rsid w:val="00C127A0"/>
    <w:rsid w:val="00C12A1A"/>
    <w:rsid w:val="00C12BEE"/>
    <w:rsid w:val="00C13D98"/>
    <w:rsid w:val="00C13E99"/>
    <w:rsid w:val="00C13EB5"/>
    <w:rsid w:val="00C144F7"/>
    <w:rsid w:val="00C15258"/>
    <w:rsid w:val="00C1577A"/>
    <w:rsid w:val="00C15EE4"/>
    <w:rsid w:val="00C15FFD"/>
    <w:rsid w:val="00C1605A"/>
    <w:rsid w:val="00C161AB"/>
    <w:rsid w:val="00C1677B"/>
    <w:rsid w:val="00C168D9"/>
    <w:rsid w:val="00C16CBF"/>
    <w:rsid w:val="00C16F57"/>
    <w:rsid w:val="00C178B9"/>
    <w:rsid w:val="00C17E4C"/>
    <w:rsid w:val="00C1E314"/>
    <w:rsid w:val="00C2024D"/>
    <w:rsid w:val="00C2029C"/>
    <w:rsid w:val="00C21170"/>
    <w:rsid w:val="00C22081"/>
    <w:rsid w:val="00C22472"/>
    <w:rsid w:val="00C23601"/>
    <w:rsid w:val="00C23F4F"/>
    <w:rsid w:val="00C25073"/>
    <w:rsid w:val="00C25A43"/>
    <w:rsid w:val="00C26331"/>
    <w:rsid w:val="00C26672"/>
    <w:rsid w:val="00C26B00"/>
    <w:rsid w:val="00C27048"/>
    <w:rsid w:val="00C2797D"/>
    <w:rsid w:val="00C27C54"/>
    <w:rsid w:val="00C307B7"/>
    <w:rsid w:val="00C30C0A"/>
    <w:rsid w:val="00C30DC5"/>
    <w:rsid w:val="00C30EF6"/>
    <w:rsid w:val="00C31AAD"/>
    <w:rsid w:val="00C31D9A"/>
    <w:rsid w:val="00C31FD2"/>
    <w:rsid w:val="00C32057"/>
    <w:rsid w:val="00C3242D"/>
    <w:rsid w:val="00C33693"/>
    <w:rsid w:val="00C33E55"/>
    <w:rsid w:val="00C34735"/>
    <w:rsid w:val="00C34DC6"/>
    <w:rsid w:val="00C35347"/>
    <w:rsid w:val="00C35541"/>
    <w:rsid w:val="00C357A3"/>
    <w:rsid w:val="00C35FFC"/>
    <w:rsid w:val="00C367A6"/>
    <w:rsid w:val="00C3719F"/>
    <w:rsid w:val="00C372E9"/>
    <w:rsid w:val="00C3730E"/>
    <w:rsid w:val="00C37EB7"/>
    <w:rsid w:val="00C37ED3"/>
    <w:rsid w:val="00C40D0C"/>
    <w:rsid w:val="00C4130F"/>
    <w:rsid w:val="00C414F4"/>
    <w:rsid w:val="00C41D4D"/>
    <w:rsid w:val="00C42934"/>
    <w:rsid w:val="00C429F0"/>
    <w:rsid w:val="00C42C2F"/>
    <w:rsid w:val="00C42FEA"/>
    <w:rsid w:val="00C43342"/>
    <w:rsid w:val="00C43549"/>
    <w:rsid w:val="00C4375C"/>
    <w:rsid w:val="00C444BB"/>
    <w:rsid w:val="00C44686"/>
    <w:rsid w:val="00C447A9"/>
    <w:rsid w:val="00C44CBD"/>
    <w:rsid w:val="00C452A3"/>
    <w:rsid w:val="00C4569A"/>
    <w:rsid w:val="00C45C3B"/>
    <w:rsid w:val="00C463C0"/>
    <w:rsid w:val="00C46D8B"/>
    <w:rsid w:val="00C472F6"/>
    <w:rsid w:val="00C47620"/>
    <w:rsid w:val="00C50285"/>
    <w:rsid w:val="00C50378"/>
    <w:rsid w:val="00C50DDC"/>
    <w:rsid w:val="00C51513"/>
    <w:rsid w:val="00C51996"/>
    <w:rsid w:val="00C53544"/>
    <w:rsid w:val="00C53584"/>
    <w:rsid w:val="00C53799"/>
    <w:rsid w:val="00C539B9"/>
    <w:rsid w:val="00C53D1D"/>
    <w:rsid w:val="00C53EF9"/>
    <w:rsid w:val="00C5403B"/>
    <w:rsid w:val="00C54277"/>
    <w:rsid w:val="00C543E9"/>
    <w:rsid w:val="00C5486B"/>
    <w:rsid w:val="00C56510"/>
    <w:rsid w:val="00C56FCB"/>
    <w:rsid w:val="00C600F0"/>
    <w:rsid w:val="00C602AF"/>
    <w:rsid w:val="00C60D0E"/>
    <w:rsid w:val="00C60E2E"/>
    <w:rsid w:val="00C61100"/>
    <w:rsid w:val="00C61346"/>
    <w:rsid w:val="00C61553"/>
    <w:rsid w:val="00C616D9"/>
    <w:rsid w:val="00C61A50"/>
    <w:rsid w:val="00C61AAF"/>
    <w:rsid w:val="00C61C77"/>
    <w:rsid w:val="00C61D34"/>
    <w:rsid w:val="00C61EA2"/>
    <w:rsid w:val="00C629AE"/>
    <w:rsid w:val="00C62BC5"/>
    <w:rsid w:val="00C63283"/>
    <w:rsid w:val="00C63A06"/>
    <w:rsid w:val="00C6463D"/>
    <w:rsid w:val="00C64C6B"/>
    <w:rsid w:val="00C66340"/>
    <w:rsid w:val="00C664E2"/>
    <w:rsid w:val="00C6688E"/>
    <w:rsid w:val="00C67938"/>
    <w:rsid w:val="00C67C90"/>
    <w:rsid w:val="00C67DCB"/>
    <w:rsid w:val="00C70372"/>
    <w:rsid w:val="00C70418"/>
    <w:rsid w:val="00C7109E"/>
    <w:rsid w:val="00C71DF2"/>
    <w:rsid w:val="00C720AD"/>
    <w:rsid w:val="00C72B27"/>
    <w:rsid w:val="00C73FC0"/>
    <w:rsid w:val="00C7410F"/>
    <w:rsid w:val="00C74C89"/>
    <w:rsid w:val="00C750F7"/>
    <w:rsid w:val="00C7537F"/>
    <w:rsid w:val="00C756AC"/>
    <w:rsid w:val="00C75711"/>
    <w:rsid w:val="00C76AEA"/>
    <w:rsid w:val="00C76BBE"/>
    <w:rsid w:val="00C76DE1"/>
    <w:rsid w:val="00C76E20"/>
    <w:rsid w:val="00C76FDC"/>
    <w:rsid w:val="00C77304"/>
    <w:rsid w:val="00C77A45"/>
    <w:rsid w:val="00C80C13"/>
    <w:rsid w:val="00C810F9"/>
    <w:rsid w:val="00C81298"/>
    <w:rsid w:val="00C81B05"/>
    <w:rsid w:val="00C81BCE"/>
    <w:rsid w:val="00C8204F"/>
    <w:rsid w:val="00C826ED"/>
    <w:rsid w:val="00C8374C"/>
    <w:rsid w:val="00C83C74"/>
    <w:rsid w:val="00C85A71"/>
    <w:rsid w:val="00C85ED8"/>
    <w:rsid w:val="00C877CC"/>
    <w:rsid w:val="00C87886"/>
    <w:rsid w:val="00C87EF7"/>
    <w:rsid w:val="00C87F33"/>
    <w:rsid w:val="00C90C0C"/>
    <w:rsid w:val="00C90F55"/>
    <w:rsid w:val="00C9108F"/>
    <w:rsid w:val="00C917CC"/>
    <w:rsid w:val="00C91B3C"/>
    <w:rsid w:val="00C92722"/>
    <w:rsid w:val="00C927E0"/>
    <w:rsid w:val="00C928AE"/>
    <w:rsid w:val="00C92E23"/>
    <w:rsid w:val="00C92F83"/>
    <w:rsid w:val="00C936EF"/>
    <w:rsid w:val="00C93A22"/>
    <w:rsid w:val="00C94535"/>
    <w:rsid w:val="00C94687"/>
    <w:rsid w:val="00C94F8D"/>
    <w:rsid w:val="00C95AEE"/>
    <w:rsid w:val="00C966F5"/>
    <w:rsid w:val="00C96B97"/>
    <w:rsid w:val="00C97785"/>
    <w:rsid w:val="00C97BCD"/>
    <w:rsid w:val="00C97FC5"/>
    <w:rsid w:val="00CA008A"/>
    <w:rsid w:val="00CA0398"/>
    <w:rsid w:val="00CA079C"/>
    <w:rsid w:val="00CA1BD1"/>
    <w:rsid w:val="00CA1D78"/>
    <w:rsid w:val="00CA2677"/>
    <w:rsid w:val="00CA380E"/>
    <w:rsid w:val="00CA384E"/>
    <w:rsid w:val="00CA3AC9"/>
    <w:rsid w:val="00CA3C88"/>
    <w:rsid w:val="00CA451E"/>
    <w:rsid w:val="00CA4714"/>
    <w:rsid w:val="00CA4D11"/>
    <w:rsid w:val="00CA516A"/>
    <w:rsid w:val="00CA5A0B"/>
    <w:rsid w:val="00CA5C17"/>
    <w:rsid w:val="00CA6603"/>
    <w:rsid w:val="00CA6E14"/>
    <w:rsid w:val="00CA6E6D"/>
    <w:rsid w:val="00CA79E8"/>
    <w:rsid w:val="00CA7EF7"/>
    <w:rsid w:val="00CA7FF0"/>
    <w:rsid w:val="00CB020A"/>
    <w:rsid w:val="00CB02E9"/>
    <w:rsid w:val="00CB0BDB"/>
    <w:rsid w:val="00CB1751"/>
    <w:rsid w:val="00CB1789"/>
    <w:rsid w:val="00CB252B"/>
    <w:rsid w:val="00CB3BC0"/>
    <w:rsid w:val="00CB49CC"/>
    <w:rsid w:val="00CB5154"/>
    <w:rsid w:val="00CB561E"/>
    <w:rsid w:val="00CB6AFB"/>
    <w:rsid w:val="00CB6EF9"/>
    <w:rsid w:val="00CB7074"/>
    <w:rsid w:val="00CB7187"/>
    <w:rsid w:val="00CB7DA4"/>
    <w:rsid w:val="00CC001A"/>
    <w:rsid w:val="00CC0256"/>
    <w:rsid w:val="00CC0A3E"/>
    <w:rsid w:val="00CC1349"/>
    <w:rsid w:val="00CC1568"/>
    <w:rsid w:val="00CC1C5C"/>
    <w:rsid w:val="00CC1CF1"/>
    <w:rsid w:val="00CC251F"/>
    <w:rsid w:val="00CC254E"/>
    <w:rsid w:val="00CC2DC5"/>
    <w:rsid w:val="00CC3504"/>
    <w:rsid w:val="00CC3B86"/>
    <w:rsid w:val="00CC4F51"/>
    <w:rsid w:val="00CC53CD"/>
    <w:rsid w:val="00CC5E67"/>
    <w:rsid w:val="00CC6EED"/>
    <w:rsid w:val="00CC739D"/>
    <w:rsid w:val="00CC7C6A"/>
    <w:rsid w:val="00CC7EBB"/>
    <w:rsid w:val="00CD0227"/>
    <w:rsid w:val="00CD0896"/>
    <w:rsid w:val="00CD0989"/>
    <w:rsid w:val="00CD0BCF"/>
    <w:rsid w:val="00CD15A3"/>
    <w:rsid w:val="00CD192A"/>
    <w:rsid w:val="00CD1B20"/>
    <w:rsid w:val="00CD2964"/>
    <w:rsid w:val="00CD2FD8"/>
    <w:rsid w:val="00CD33AC"/>
    <w:rsid w:val="00CD33D8"/>
    <w:rsid w:val="00CD3DE2"/>
    <w:rsid w:val="00CD472E"/>
    <w:rsid w:val="00CD4DE9"/>
    <w:rsid w:val="00CD4F39"/>
    <w:rsid w:val="00CD52CB"/>
    <w:rsid w:val="00CD60C6"/>
    <w:rsid w:val="00CD6926"/>
    <w:rsid w:val="00CD6CA9"/>
    <w:rsid w:val="00CD7230"/>
    <w:rsid w:val="00CE0337"/>
    <w:rsid w:val="00CE043C"/>
    <w:rsid w:val="00CE04AA"/>
    <w:rsid w:val="00CE062A"/>
    <w:rsid w:val="00CE08B8"/>
    <w:rsid w:val="00CE08D7"/>
    <w:rsid w:val="00CE0EA6"/>
    <w:rsid w:val="00CE150E"/>
    <w:rsid w:val="00CE21F6"/>
    <w:rsid w:val="00CE2CE7"/>
    <w:rsid w:val="00CE321A"/>
    <w:rsid w:val="00CE3A7D"/>
    <w:rsid w:val="00CE4FE7"/>
    <w:rsid w:val="00CE5022"/>
    <w:rsid w:val="00CE52AB"/>
    <w:rsid w:val="00CE539E"/>
    <w:rsid w:val="00CE56B2"/>
    <w:rsid w:val="00CE5735"/>
    <w:rsid w:val="00CE5BCC"/>
    <w:rsid w:val="00CE5DF5"/>
    <w:rsid w:val="00CE65CA"/>
    <w:rsid w:val="00CE6652"/>
    <w:rsid w:val="00CE6AEF"/>
    <w:rsid w:val="00CE6EF3"/>
    <w:rsid w:val="00CE6F6E"/>
    <w:rsid w:val="00CE75AC"/>
    <w:rsid w:val="00CE7E4B"/>
    <w:rsid w:val="00CE7EC2"/>
    <w:rsid w:val="00CF01C8"/>
    <w:rsid w:val="00CF0AED"/>
    <w:rsid w:val="00CF0B5B"/>
    <w:rsid w:val="00CF0BC8"/>
    <w:rsid w:val="00CF0C1D"/>
    <w:rsid w:val="00CF104D"/>
    <w:rsid w:val="00CF10EB"/>
    <w:rsid w:val="00CF14EE"/>
    <w:rsid w:val="00CF1C86"/>
    <w:rsid w:val="00CF3AE3"/>
    <w:rsid w:val="00CF4C01"/>
    <w:rsid w:val="00CF5F95"/>
    <w:rsid w:val="00CF7940"/>
    <w:rsid w:val="00D01DDB"/>
    <w:rsid w:val="00D02BF2"/>
    <w:rsid w:val="00D02F9D"/>
    <w:rsid w:val="00D03E60"/>
    <w:rsid w:val="00D0416D"/>
    <w:rsid w:val="00D04CDE"/>
    <w:rsid w:val="00D055FA"/>
    <w:rsid w:val="00D05607"/>
    <w:rsid w:val="00D06EF8"/>
    <w:rsid w:val="00D0746D"/>
    <w:rsid w:val="00D07707"/>
    <w:rsid w:val="00D07F53"/>
    <w:rsid w:val="00D106E3"/>
    <w:rsid w:val="00D1082D"/>
    <w:rsid w:val="00D10C3D"/>
    <w:rsid w:val="00D10F54"/>
    <w:rsid w:val="00D12FFC"/>
    <w:rsid w:val="00D13389"/>
    <w:rsid w:val="00D137D0"/>
    <w:rsid w:val="00D14F03"/>
    <w:rsid w:val="00D1551B"/>
    <w:rsid w:val="00D15DC2"/>
    <w:rsid w:val="00D1622F"/>
    <w:rsid w:val="00D164B0"/>
    <w:rsid w:val="00D1693D"/>
    <w:rsid w:val="00D20381"/>
    <w:rsid w:val="00D2090B"/>
    <w:rsid w:val="00D2096D"/>
    <w:rsid w:val="00D211F9"/>
    <w:rsid w:val="00D21AAE"/>
    <w:rsid w:val="00D22222"/>
    <w:rsid w:val="00D22614"/>
    <w:rsid w:val="00D22954"/>
    <w:rsid w:val="00D22D51"/>
    <w:rsid w:val="00D23314"/>
    <w:rsid w:val="00D23368"/>
    <w:rsid w:val="00D24F84"/>
    <w:rsid w:val="00D25245"/>
    <w:rsid w:val="00D25858"/>
    <w:rsid w:val="00D26612"/>
    <w:rsid w:val="00D26E77"/>
    <w:rsid w:val="00D271B4"/>
    <w:rsid w:val="00D27BCF"/>
    <w:rsid w:val="00D30237"/>
    <w:rsid w:val="00D302FF"/>
    <w:rsid w:val="00D32A30"/>
    <w:rsid w:val="00D32F4B"/>
    <w:rsid w:val="00D3325F"/>
    <w:rsid w:val="00D33308"/>
    <w:rsid w:val="00D34755"/>
    <w:rsid w:val="00D34BAF"/>
    <w:rsid w:val="00D34E2A"/>
    <w:rsid w:val="00D35A83"/>
    <w:rsid w:val="00D36482"/>
    <w:rsid w:val="00D377BA"/>
    <w:rsid w:val="00D37970"/>
    <w:rsid w:val="00D37AD3"/>
    <w:rsid w:val="00D37F90"/>
    <w:rsid w:val="00D4009C"/>
    <w:rsid w:val="00D401C7"/>
    <w:rsid w:val="00D40402"/>
    <w:rsid w:val="00D408C1"/>
    <w:rsid w:val="00D4099F"/>
    <w:rsid w:val="00D40D02"/>
    <w:rsid w:val="00D40D04"/>
    <w:rsid w:val="00D41334"/>
    <w:rsid w:val="00D41F76"/>
    <w:rsid w:val="00D43563"/>
    <w:rsid w:val="00D43FCF"/>
    <w:rsid w:val="00D44009"/>
    <w:rsid w:val="00D44240"/>
    <w:rsid w:val="00D44AE3"/>
    <w:rsid w:val="00D44B50"/>
    <w:rsid w:val="00D4500B"/>
    <w:rsid w:val="00D4505D"/>
    <w:rsid w:val="00D451F7"/>
    <w:rsid w:val="00D45498"/>
    <w:rsid w:val="00D458F3"/>
    <w:rsid w:val="00D462C2"/>
    <w:rsid w:val="00D464A5"/>
    <w:rsid w:val="00D47F52"/>
    <w:rsid w:val="00D509F7"/>
    <w:rsid w:val="00D50A5A"/>
    <w:rsid w:val="00D52063"/>
    <w:rsid w:val="00D52A2F"/>
    <w:rsid w:val="00D5312D"/>
    <w:rsid w:val="00D531E7"/>
    <w:rsid w:val="00D5348B"/>
    <w:rsid w:val="00D54534"/>
    <w:rsid w:val="00D5498D"/>
    <w:rsid w:val="00D54B1A"/>
    <w:rsid w:val="00D54B6A"/>
    <w:rsid w:val="00D54C95"/>
    <w:rsid w:val="00D54CE8"/>
    <w:rsid w:val="00D55179"/>
    <w:rsid w:val="00D55202"/>
    <w:rsid w:val="00D55326"/>
    <w:rsid w:val="00D555BE"/>
    <w:rsid w:val="00D559CD"/>
    <w:rsid w:val="00D55C9E"/>
    <w:rsid w:val="00D55D17"/>
    <w:rsid w:val="00D56147"/>
    <w:rsid w:val="00D5688A"/>
    <w:rsid w:val="00D56F23"/>
    <w:rsid w:val="00D605F3"/>
    <w:rsid w:val="00D60BDD"/>
    <w:rsid w:val="00D60E26"/>
    <w:rsid w:val="00D61202"/>
    <w:rsid w:val="00D612E4"/>
    <w:rsid w:val="00D6131F"/>
    <w:rsid w:val="00D61431"/>
    <w:rsid w:val="00D616F4"/>
    <w:rsid w:val="00D6189B"/>
    <w:rsid w:val="00D61C49"/>
    <w:rsid w:val="00D61D8A"/>
    <w:rsid w:val="00D63F40"/>
    <w:rsid w:val="00D648D8"/>
    <w:rsid w:val="00D6547E"/>
    <w:rsid w:val="00D659A7"/>
    <w:rsid w:val="00D65DD8"/>
    <w:rsid w:val="00D662A5"/>
    <w:rsid w:val="00D666F9"/>
    <w:rsid w:val="00D66EF6"/>
    <w:rsid w:val="00D675CD"/>
    <w:rsid w:val="00D6771D"/>
    <w:rsid w:val="00D67A8A"/>
    <w:rsid w:val="00D70E3A"/>
    <w:rsid w:val="00D71297"/>
    <w:rsid w:val="00D71B4D"/>
    <w:rsid w:val="00D725AE"/>
    <w:rsid w:val="00D7265A"/>
    <w:rsid w:val="00D726F4"/>
    <w:rsid w:val="00D7276E"/>
    <w:rsid w:val="00D72818"/>
    <w:rsid w:val="00D7298B"/>
    <w:rsid w:val="00D7460C"/>
    <w:rsid w:val="00D7466B"/>
    <w:rsid w:val="00D74C5A"/>
    <w:rsid w:val="00D74FD1"/>
    <w:rsid w:val="00D75251"/>
    <w:rsid w:val="00D7565F"/>
    <w:rsid w:val="00D758DE"/>
    <w:rsid w:val="00D75C1F"/>
    <w:rsid w:val="00D75EFE"/>
    <w:rsid w:val="00D75F9F"/>
    <w:rsid w:val="00D75FB8"/>
    <w:rsid w:val="00D77AD4"/>
    <w:rsid w:val="00D77F52"/>
    <w:rsid w:val="00D81087"/>
    <w:rsid w:val="00D817E1"/>
    <w:rsid w:val="00D819C2"/>
    <w:rsid w:val="00D81B7F"/>
    <w:rsid w:val="00D81C66"/>
    <w:rsid w:val="00D81C7C"/>
    <w:rsid w:val="00D81CC0"/>
    <w:rsid w:val="00D82059"/>
    <w:rsid w:val="00D82304"/>
    <w:rsid w:val="00D8298B"/>
    <w:rsid w:val="00D8409D"/>
    <w:rsid w:val="00D842CD"/>
    <w:rsid w:val="00D847FB"/>
    <w:rsid w:val="00D852A6"/>
    <w:rsid w:val="00D85D3A"/>
    <w:rsid w:val="00D861B7"/>
    <w:rsid w:val="00D86B77"/>
    <w:rsid w:val="00D8731B"/>
    <w:rsid w:val="00D87411"/>
    <w:rsid w:val="00D8758F"/>
    <w:rsid w:val="00D87B5A"/>
    <w:rsid w:val="00D906BE"/>
    <w:rsid w:val="00D91DFF"/>
    <w:rsid w:val="00D926B9"/>
    <w:rsid w:val="00D9271C"/>
    <w:rsid w:val="00D92BF3"/>
    <w:rsid w:val="00D93134"/>
    <w:rsid w:val="00D93F8E"/>
    <w:rsid w:val="00D9468C"/>
    <w:rsid w:val="00D9585E"/>
    <w:rsid w:val="00D9597E"/>
    <w:rsid w:val="00D95ED7"/>
    <w:rsid w:val="00D9609C"/>
    <w:rsid w:val="00D96F44"/>
    <w:rsid w:val="00D97422"/>
    <w:rsid w:val="00DA06DB"/>
    <w:rsid w:val="00DA08F4"/>
    <w:rsid w:val="00DA0D04"/>
    <w:rsid w:val="00DA1A08"/>
    <w:rsid w:val="00DA1A58"/>
    <w:rsid w:val="00DA1AB6"/>
    <w:rsid w:val="00DA1F30"/>
    <w:rsid w:val="00DA24CB"/>
    <w:rsid w:val="00DA25BE"/>
    <w:rsid w:val="00DA2A8A"/>
    <w:rsid w:val="00DA3634"/>
    <w:rsid w:val="00DA3DAD"/>
    <w:rsid w:val="00DA4429"/>
    <w:rsid w:val="00DA465A"/>
    <w:rsid w:val="00DA5612"/>
    <w:rsid w:val="00DA5C52"/>
    <w:rsid w:val="00DA5C80"/>
    <w:rsid w:val="00DA660A"/>
    <w:rsid w:val="00DA6BFE"/>
    <w:rsid w:val="00DA73C1"/>
    <w:rsid w:val="00DA7EF8"/>
    <w:rsid w:val="00DB0282"/>
    <w:rsid w:val="00DB0775"/>
    <w:rsid w:val="00DB07D4"/>
    <w:rsid w:val="00DB2A01"/>
    <w:rsid w:val="00DB3191"/>
    <w:rsid w:val="00DB37FF"/>
    <w:rsid w:val="00DB3A04"/>
    <w:rsid w:val="00DB43BC"/>
    <w:rsid w:val="00DB4DF6"/>
    <w:rsid w:val="00DB6383"/>
    <w:rsid w:val="00DB65CA"/>
    <w:rsid w:val="00DB6C7D"/>
    <w:rsid w:val="00DB7634"/>
    <w:rsid w:val="00DB779A"/>
    <w:rsid w:val="00DB7951"/>
    <w:rsid w:val="00DB7F3C"/>
    <w:rsid w:val="00DC02AF"/>
    <w:rsid w:val="00DC2662"/>
    <w:rsid w:val="00DC2E66"/>
    <w:rsid w:val="00DC30C7"/>
    <w:rsid w:val="00DC317A"/>
    <w:rsid w:val="00DC36CD"/>
    <w:rsid w:val="00DC37D7"/>
    <w:rsid w:val="00DC3BBE"/>
    <w:rsid w:val="00DC40F6"/>
    <w:rsid w:val="00DC449E"/>
    <w:rsid w:val="00DC5449"/>
    <w:rsid w:val="00DC6EC4"/>
    <w:rsid w:val="00DC703A"/>
    <w:rsid w:val="00DD0567"/>
    <w:rsid w:val="00DD084D"/>
    <w:rsid w:val="00DD0B8D"/>
    <w:rsid w:val="00DD0D3E"/>
    <w:rsid w:val="00DD15E4"/>
    <w:rsid w:val="00DD17F3"/>
    <w:rsid w:val="00DD197F"/>
    <w:rsid w:val="00DD1A8F"/>
    <w:rsid w:val="00DD1D17"/>
    <w:rsid w:val="00DD2148"/>
    <w:rsid w:val="00DD293F"/>
    <w:rsid w:val="00DD2F4B"/>
    <w:rsid w:val="00DD3227"/>
    <w:rsid w:val="00DD3A83"/>
    <w:rsid w:val="00DD591A"/>
    <w:rsid w:val="00DD5E0E"/>
    <w:rsid w:val="00DD6672"/>
    <w:rsid w:val="00DD6DAA"/>
    <w:rsid w:val="00DD6DFD"/>
    <w:rsid w:val="00DD719B"/>
    <w:rsid w:val="00DD75C6"/>
    <w:rsid w:val="00DD76D0"/>
    <w:rsid w:val="00DD7961"/>
    <w:rsid w:val="00DD8498"/>
    <w:rsid w:val="00DE0D5B"/>
    <w:rsid w:val="00DE1855"/>
    <w:rsid w:val="00DE1A89"/>
    <w:rsid w:val="00DE1D0C"/>
    <w:rsid w:val="00DE1E65"/>
    <w:rsid w:val="00DE2794"/>
    <w:rsid w:val="00DE32FD"/>
    <w:rsid w:val="00DE3496"/>
    <w:rsid w:val="00DE3D03"/>
    <w:rsid w:val="00DE3FDF"/>
    <w:rsid w:val="00DE49A2"/>
    <w:rsid w:val="00DE5062"/>
    <w:rsid w:val="00DE5152"/>
    <w:rsid w:val="00DE5591"/>
    <w:rsid w:val="00DE55D6"/>
    <w:rsid w:val="00DE6536"/>
    <w:rsid w:val="00DE677E"/>
    <w:rsid w:val="00DE682B"/>
    <w:rsid w:val="00DE6834"/>
    <w:rsid w:val="00DE6EE0"/>
    <w:rsid w:val="00DE71DE"/>
    <w:rsid w:val="00DF02E2"/>
    <w:rsid w:val="00DF0FD6"/>
    <w:rsid w:val="00DF11B6"/>
    <w:rsid w:val="00DF1B6B"/>
    <w:rsid w:val="00DF28FB"/>
    <w:rsid w:val="00DF316E"/>
    <w:rsid w:val="00DF3AD7"/>
    <w:rsid w:val="00DF41E0"/>
    <w:rsid w:val="00DF447B"/>
    <w:rsid w:val="00DF451E"/>
    <w:rsid w:val="00DF4AC3"/>
    <w:rsid w:val="00DF4E6E"/>
    <w:rsid w:val="00DF4F8D"/>
    <w:rsid w:val="00DF5157"/>
    <w:rsid w:val="00DF5813"/>
    <w:rsid w:val="00DF584D"/>
    <w:rsid w:val="00DF5E95"/>
    <w:rsid w:val="00DF632A"/>
    <w:rsid w:val="00DF6386"/>
    <w:rsid w:val="00DF680F"/>
    <w:rsid w:val="00DF7891"/>
    <w:rsid w:val="00DF7B32"/>
    <w:rsid w:val="00E00341"/>
    <w:rsid w:val="00E00342"/>
    <w:rsid w:val="00E005AD"/>
    <w:rsid w:val="00E0164E"/>
    <w:rsid w:val="00E019B2"/>
    <w:rsid w:val="00E01AB9"/>
    <w:rsid w:val="00E01D16"/>
    <w:rsid w:val="00E0219D"/>
    <w:rsid w:val="00E0296C"/>
    <w:rsid w:val="00E029D3"/>
    <w:rsid w:val="00E03155"/>
    <w:rsid w:val="00E03A79"/>
    <w:rsid w:val="00E03BC7"/>
    <w:rsid w:val="00E0412E"/>
    <w:rsid w:val="00E04208"/>
    <w:rsid w:val="00E0436F"/>
    <w:rsid w:val="00E04472"/>
    <w:rsid w:val="00E051B1"/>
    <w:rsid w:val="00E053F9"/>
    <w:rsid w:val="00E05703"/>
    <w:rsid w:val="00E05AA7"/>
    <w:rsid w:val="00E05F32"/>
    <w:rsid w:val="00E06D81"/>
    <w:rsid w:val="00E075CB"/>
    <w:rsid w:val="00E10089"/>
    <w:rsid w:val="00E10DB2"/>
    <w:rsid w:val="00E10E13"/>
    <w:rsid w:val="00E11B92"/>
    <w:rsid w:val="00E12066"/>
    <w:rsid w:val="00E12CAA"/>
    <w:rsid w:val="00E12FD3"/>
    <w:rsid w:val="00E1340F"/>
    <w:rsid w:val="00E1361B"/>
    <w:rsid w:val="00E141B3"/>
    <w:rsid w:val="00E14B88"/>
    <w:rsid w:val="00E1548F"/>
    <w:rsid w:val="00E155AF"/>
    <w:rsid w:val="00E15726"/>
    <w:rsid w:val="00E15CD2"/>
    <w:rsid w:val="00E16081"/>
    <w:rsid w:val="00E160B9"/>
    <w:rsid w:val="00E1618C"/>
    <w:rsid w:val="00E1664C"/>
    <w:rsid w:val="00E16778"/>
    <w:rsid w:val="00E16B6E"/>
    <w:rsid w:val="00E17FB8"/>
    <w:rsid w:val="00E20688"/>
    <w:rsid w:val="00E2078E"/>
    <w:rsid w:val="00E20C94"/>
    <w:rsid w:val="00E21AD2"/>
    <w:rsid w:val="00E21B5B"/>
    <w:rsid w:val="00E22270"/>
    <w:rsid w:val="00E2240C"/>
    <w:rsid w:val="00E229EA"/>
    <w:rsid w:val="00E22B89"/>
    <w:rsid w:val="00E22CB1"/>
    <w:rsid w:val="00E22CD9"/>
    <w:rsid w:val="00E23B3F"/>
    <w:rsid w:val="00E2416C"/>
    <w:rsid w:val="00E242CB"/>
    <w:rsid w:val="00E24906"/>
    <w:rsid w:val="00E2588F"/>
    <w:rsid w:val="00E263DF"/>
    <w:rsid w:val="00E26AD5"/>
    <w:rsid w:val="00E26FAF"/>
    <w:rsid w:val="00E271DE"/>
    <w:rsid w:val="00E273EC"/>
    <w:rsid w:val="00E274E0"/>
    <w:rsid w:val="00E27B29"/>
    <w:rsid w:val="00E3059D"/>
    <w:rsid w:val="00E30674"/>
    <w:rsid w:val="00E30C8A"/>
    <w:rsid w:val="00E30D9C"/>
    <w:rsid w:val="00E314EB"/>
    <w:rsid w:val="00E31B64"/>
    <w:rsid w:val="00E322E4"/>
    <w:rsid w:val="00E3237E"/>
    <w:rsid w:val="00E32B12"/>
    <w:rsid w:val="00E34079"/>
    <w:rsid w:val="00E3491C"/>
    <w:rsid w:val="00E35511"/>
    <w:rsid w:val="00E35BB9"/>
    <w:rsid w:val="00E360C8"/>
    <w:rsid w:val="00E36155"/>
    <w:rsid w:val="00E369DF"/>
    <w:rsid w:val="00E3737B"/>
    <w:rsid w:val="00E37D34"/>
    <w:rsid w:val="00E40885"/>
    <w:rsid w:val="00E40997"/>
    <w:rsid w:val="00E40C2D"/>
    <w:rsid w:val="00E40E79"/>
    <w:rsid w:val="00E40F24"/>
    <w:rsid w:val="00E4150C"/>
    <w:rsid w:val="00E41EFC"/>
    <w:rsid w:val="00E42F41"/>
    <w:rsid w:val="00E440BD"/>
    <w:rsid w:val="00E44AC5"/>
    <w:rsid w:val="00E44AD2"/>
    <w:rsid w:val="00E45426"/>
    <w:rsid w:val="00E454D0"/>
    <w:rsid w:val="00E468A8"/>
    <w:rsid w:val="00E46A57"/>
    <w:rsid w:val="00E46D03"/>
    <w:rsid w:val="00E46DBD"/>
    <w:rsid w:val="00E47213"/>
    <w:rsid w:val="00E47346"/>
    <w:rsid w:val="00E474DC"/>
    <w:rsid w:val="00E47B39"/>
    <w:rsid w:val="00E507DD"/>
    <w:rsid w:val="00E5226C"/>
    <w:rsid w:val="00E53EE5"/>
    <w:rsid w:val="00E544F5"/>
    <w:rsid w:val="00E54975"/>
    <w:rsid w:val="00E54C8A"/>
    <w:rsid w:val="00E54CE0"/>
    <w:rsid w:val="00E54D7E"/>
    <w:rsid w:val="00E55540"/>
    <w:rsid w:val="00E556CC"/>
    <w:rsid w:val="00E56014"/>
    <w:rsid w:val="00E5616A"/>
    <w:rsid w:val="00E563A0"/>
    <w:rsid w:val="00E5678C"/>
    <w:rsid w:val="00E56C5C"/>
    <w:rsid w:val="00E56F0F"/>
    <w:rsid w:val="00E57677"/>
    <w:rsid w:val="00E57A4A"/>
    <w:rsid w:val="00E57D77"/>
    <w:rsid w:val="00E57F64"/>
    <w:rsid w:val="00E606AE"/>
    <w:rsid w:val="00E60B08"/>
    <w:rsid w:val="00E60F44"/>
    <w:rsid w:val="00E610BC"/>
    <w:rsid w:val="00E61413"/>
    <w:rsid w:val="00E617F1"/>
    <w:rsid w:val="00E61A7A"/>
    <w:rsid w:val="00E61E50"/>
    <w:rsid w:val="00E6418C"/>
    <w:rsid w:val="00E6460B"/>
    <w:rsid w:val="00E64B1B"/>
    <w:rsid w:val="00E64B21"/>
    <w:rsid w:val="00E64E20"/>
    <w:rsid w:val="00E64F9D"/>
    <w:rsid w:val="00E6515F"/>
    <w:rsid w:val="00E653B1"/>
    <w:rsid w:val="00E65781"/>
    <w:rsid w:val="00E65904"/>
    <w:rsid w:val="00E65AF0"/>
    <w:rsid w:val="00E664ED"/>
    <w:rsid w:val="00E66AF1"/>
    <w:rsid w:val="00E67C37"/>
    <w:rsid w:val="00E701C3"/>
    <w:rsid w:val="00E70ACE"/>
    <w:rsid w:val="00E70DF6"/>
    <w:rsid w:val="00E7187E"/>
    <w:rsid w:val="00E7189B"/>
    <w:rsid w:val="00E72029"/>
    <w:rsid w:val="00E722C9"/>
    <w:rsid w:val="00E72765"/>
    <w:rsid w:val="00E72852"/>
    <w:rsid w:val="00E7314A"/>
    <w:rsid w:val="00E73D9E"/>
    <w:rsid w:val="00E73DA1"/>
    <w:rsid w:val="00E740ED"/>
    <w:rsid w:val="00E7414C"/>
    <w:rsid w:val="00E747FA"/>
    <w:rsid w:val="00E74BB9"/>
    <w:rsid w:val="00E74C1A"/>
    <w:rsid w:val="00E74D46"/>
    <w:rsid w:val="00E75B5F"/>
    <w:rsid w:val="00E75D4D"/>
    <w:rsid w:val="00E766F2"/>
    <w:rsid w:val="00E76C0A"/>
    <w:rsid w:val="00E77EFC"/>
    <w:rsid w:val="00E80347"/>
    <w:rsid w:val="00E8034F"/>
    <w:rsid w:val="00E81035"/>
    <w:rsid w:val="00E81F32"/>
    <w:rsid w:val="00E8244A"/>
    <w:rsid w:val="00E82A7C"/>
    <w:rsid w:val="00E82AC7"/>
    <w:rsid w:val="00E83AE0"/>
    <w:rsid w:val="00E83F7D"/>
    <w:rsid w:val="00E84346"/>
    <w:rsid w:val="00E84681"/>
    <w:rsid w:val="00E84D04"/>
    <w:rsid w:val="00E85370"/>
    <w:rsid w:val="00E855B4"/>
    <w:rsid w:val="00E857A3"/>
    <w:rsid w:val="00E858D3"/>
    <w:rsid w:val="00E85A74"/>
    <w:rsid w:val="00E86F1E"/>
    <w:rsid w:val="00E873D5"/>
    <w:rsid w:val="00E875B6"/>
    <w:rsid w:val="00E87F71"/>
    <w:rsid w:val="00E904F5"/>
    <w:rsid w:val="00E905CE"/>
    <w:rsid w:val="00E91EA6"/>
    <w:rsid w:val="00E922A1"/>
    <w:rsid w:val="00E92F21"/>
    <w:rsid w:val="00E9349E"/>
    <w:rsid w:val="00E934B5"/>
    <w:rsid w:val="00E94CAE"/>
    <w:rsid w:val="00E9517C"/>
    <w:rsid w:val="00E95D10"/>
    <w:rsid w:val="00E95D6D"/>
    <w:rsid w:val="00E9744C"/>
    <w:rsid w:val="00E97B92"/>
    <w:rsid w:val="00EA00AF"/>
    <w:rsid w:val="00EA04DA"/>
    <w:rsid w:val="00EA0A9A"/>
    <w:rsid w:val="00EA0B7D"/>
    <w:rsid w:val="00EA0FB2"/>
    <w:rsid w:val="00EA1208"/>
    <w:rsid w:val="00EA12D6"/>
    <w:rsid w:val="00EA1554"/>
    <w:rsid w:val="00EA268C"/>
    <w:rsid w:val="00EA2FB8"/>
    <w:rsid w:val="00EA330D"/>
    <w:rsid w:val="00EA375F"/>
    <w:rsid w:val="00EA382A"/>
    <w:rsid w:val="00EA41B0"/>
    <w:rsid w:val="00EA443A"/>
    <w:rsid w:val="00EA485D"/>
    <w:rsid w:val="00EA511B"/>
    <w:rsid w:val="00EA5181"/>
    <w:rsid w:val="00EA6918"/>
    <w:rsid w:val="00EA6958"/>
    <w:rsid w:val="00EA6D8E"/>
    <w:rsid w:val="00EA76D6"/>
    <w:rsid w:val="00EB09DF"/>
    <w:rsid w:val="00EB0EA5"/>
    <w:rsid w:val="00EB0F0E"/>
    <w:rsid w:val="00EB10CE"/>
    <w:rsid w:val="00EB18B9"/>
    <w:rsid w:val="00EB1C7F"/>
    <w:rsid w:val="00EB232F"/>
    <w:rsid w:val="00EB2980"/>
    <w:rsid w:val="00EB31C1"/>
    <w:rsid w:val="00EB34D9"/>
    <w:rsid w:val="00EB3DA3"/>
    <w:rsid w:val="00EB3F4F"/>
    <w:rsid w:val="00EB43EB"/>
    <w:rsid w:val="00EB445C"/>
    <w:rsid w:val="00EB4AF5"/>
    <w:rsid w:val="00EB5CB6"/>
    <w:rsid w:val="00EB6074"/>
    <w:rsid w:val="00EB66F9"/>
    <w:rsid w:val="00EB7A21"/>
    <w:rsid w:val="00EC00BF"/>
    <w:rsid w:val="00EC00E2"/>
    <w:rsid w:val="00EC081A"/>
    <w:rsid w:val="00EC0A9A"/>
    <w:rsid w:val="00EC0C91"/>
    <w:rsid w:val="00EC1824"/>
    <w:rsid w:val="00EC1BE4"/>
    <w:rsid w:val="00EC32C4"/>
    <w:rsid w:val="00EC3C45"/>
    <w:rsid w:val="00EC3F02"/>
    <w:rsid w:val="00EC4698"/>
    <w:rsid w:val="00EC5977"/>
    <w:rsid w:val="00EC5E97"/>
    <w:rsid w:val="00EC7556"/>
    <w:rsid w:val="00EC7760"/>
    <w:rsid w:val="00EC7CB5"/>
    <w:rsid w:val="00ED0095"/>
    <w:rsid w:val="00ED00C3"/>
    <w:rsid w:val="00ED0240"/>
    <w:rsid w:val="00ED032D"/>
    <w:rsid w:val="00ED0861"/>
    <w:rsid w:val="00ED1220"/>
    <w:rsid w:val="00ED1568"/>
    <w:rsid w:val="00ED1714"/>
    <w:rsid w:val="00ED1D4E"/>
    <w:rsid w:val="00ED24B9"/>
    <w:rsid w:val="00ED25B1"/>
    <w:rsid w:val="00ED5458"/>
    <w:rsid w:val="00ED55AF"/>
    <w:rsid w:val="00ED579D"/>
    <w:rsid w:val="00ED5DB1"/>
    <w:rsid w:val="00ED5E26"/>
    <w:rsid w:val="00ED6787"/>
    <w:rsid w:val="00ED6F1B"/>
    <w:rsid w:val="00ED7046"/>
    <w:rsid w:val="00EE020D"/>
    <w:rsid w:val="00EE07F4"/>
    <w:rsid w:val="00EE0A21"/>
    <w:rsid w:val="00EE0BA0"/>
    <w:rsid w:val="00EE1164"/>
    <w:rsid w:val="00EE1354"/>
    <w:rsid w:val="00EE1DBD"/>
    <w:rsid w:val="00EE1F2A"/>
    <w:rsid w:val="00EE3105"/>
    <w:rsid w:val="00EE3223"/>
    <w:rsid w:val="00EE436D"/>
    <w:rsid w:val="00EE483B"/>
    <w:rsid w:val="00EE4CBE"/>
    <w:rsid w:val="00EE5C90"/>
    <w:rsid w:val="00EE5F12"/>
    <w:rsid w:val="00EE62B6"/>
    <w:rsid w:val="00EE6488"/>
    <w:rsid w:val="00EE6EAD"/>
    <w:rsid w:val="00EE73BC"/>
    <w:rsid w:val="00EE7585"/>
    <w:rsid w:val="00EE7A18"/>
    <w:rsid w:val="00EF00FD"/>
    <w:rsid w:val="00EF0BB2"/>
    <w:rsid w:val="00EF11A3"/>
    <w:rsid w:val="00EF25C7"/>
    <w:rsid w:val="00EF2BC2"/>
    <w:rsid w:val="00EF4835"/>
    <w:rsid w:val="00EF5821"/>
    <w:rsid w:val="00EF5EA3"/>
    <w:rsid w:val="00EF703F"/>
    <w:rsid w:val="00EF786A"/>
    <w:rsid w:val="00EF78A5"/>
    <w:rsid w:val="00EF7D82"/>
    <w:rsid w:val="00EF7E09"/>
    <w:rsid w:val="00EF7F23"/>
    <w:rsid w:val="00F0090D"/>
    <w:rsid w:val="00F00C7B"/>
    <w:rsid w:val="00F00FB4"/>
    <w:rsid w:val="00F01A48"/>
    <w:rsid w:val="00F022C3"/>
    <w:rsid w:val="00F0253E"/>
    <w:rsid w:val="00F02613"/>
    <w:rsid w:val="00F02BF3"/>
    <w:rsid w:val="00F02DFA"/>
    <w:rsid w:val="00F03B02"/>
    <w:rsid w:val="00F03BC4"/>
    <w:rsid w:val="00F03E52"/>
    <w:rsid w:val="00F04512"/>
    <w:rsid w:val="00F04606"/>
    <w:rsid w:val="00F04695"/>
    <w:rsid w:val="00F04AAA"/>
    <w:rsid w:val="00F04FED"/>
    <w:rsid w:val="00F06555"/>
    <w:rsid w:val="00F067B1"/>
    <w:rsid w:val="00F06C8A"/>
    <w:rsid w:val="00F07574"/>
    <w:rsid w:val="00F0798F"/>
    <w:rsid w:val="00F07A77"/>
    <w:rsid w:val="00F07ABA"/>
    <w:rsid w:val="00F07C13"/>
    <w:rsid w:val="00F10068"/>
    <w:rsid w:val="00F10284"/>
    <w:rsid w:val="00F106C7"/>
    <w:rsid w:val="00F10C92"/>
    <w:rsid w:val="00F11E31"/>
    <w:rsid w:val="00F12214"/>
    <w:rsid w:val="00F122A4"/>
    <w:rsid w:val="00F1255C"/>
    <w:rsid w:val="00F127EE"/>
    <w:rsid w:val="00F130D2"/>
    <w:rsid w:val="00F13369"/>
    <w:rsid w:val="00F13F0C"/>
    <w:rsid w:val="00F1435F"/>
    <w:rsid w:val="00F145E9"/>
    <w:rsid w:val="00F14894"/>
    <w:rsid w:val="00F149A8"/>
    <w:rsid w:val="00F14A00"/>
    <w:rsid w:val="00F14F0B"/>
    <w:rsid w:val="00F15BEA"/>
    <w:rsid w:val="00F15ED1"/>
    <w:rsid w:val="00F164EC"/>
    <w:rsid w:val="00F1701E"/>
    <w:rsid w:val="00F172E9"/>
    <w:rsid w:val="00F17350"/>
    <w:rsid w:val="00F206AA"/>
    <w:rsid w:val="00F20A6B"/>
    <w:rsid w:val="00F20ACE"/>
    <w:rsid w:val="00F2107B"/>
    <w:rsid w:val="00F210D6"/>
    <w:rsid w:val="00F21375"/>
    <w:rsid w:val="00F21873"/>
    <w:rsid w:val="00F2192A"/>
    <w:rsid w:val="00F21BFD"/>
    <w:rsid w:val="00F22071"/>
    <w:rsid w:val="00F23188"/>
    <w:rsid w:val="00F2325D"/>
    <w:rsid w:val="00F2342F"/>
    <w:rsid w:val="00F23437"/>
    <w:rsid w:val="00F23E88"/>
    <w:rsid w:val="00F23F2F"/>
    <w:rsid w:val="00F2486B"/>
    <w:rsid w:val="00F248C4"/>
    <w:rsid w:val="00F2498C"/>
    <w:rsid w:val="00F24DC6"/>
    <w:rsid w:val="00F24E1E"/>
    <w:rsid w:val="00F2538C"/>
    <w:rsid w:val="00F25466"/>
    <w:rsid w:val="00F25835"/>
    <w:rsid w:val="00F259F2"/>
    <w:rsid w:val="00F25DF1"/>
    <w:rsid w:val="00F25FBF"/>
    <w:rsid w:val="00F263FD"/>
    <w:rsid w:val="00F27013"/>
    <w:rsid w:val="00F27C80"/>
    <w:rsid w:val="00F27E18"/>
    <w:rsid w:val="00F306B9"/>
    <w:rsid w:val="00F31D01"/>
    <w:rsid w:val="00F3274A"/>
    <w:rsid w:val="00F32E73"/>
    <w:rsid w:val="00F33617"/>
    <w:rsid w:val="00F33788"/>
    <w:rsid w:val="00F3474E"/>
    <w:rsid w:val="00F3480F"/>
    <w:rsid w:val="00F3514B"/>
    <w:rsid w:val="00F354DE"/>
    <w:rsid w:val="00F3561B"/>
    <w:rsid w:val="00F3566A"/>
    <w:rsid w:val="00F35A87"/>
    <w:rsid w:val="00F35F12"/>
    <w:rsid w:val="00F36C5F"/>
    <w:rsid w:val="00F3763E"/>
    <w:rsid w:val="00F37A4B"/>
    <w:rsid w:val="00F37CB1"/>
    <w:rsid w:val="00F400B6"/>
    <w:rsid w:val="00F401EB"/>
    <w:rsid w:val="00F404A4"/>
    <w:rsid w:val="00F41A92"/>
    <w:rsid w:val="00F41E5B"/>
    <w:rsid w:val="00F42256"/>
    <w:rsid w:val="00F42DC1"/>
    <w:rsid w:val="00F440CE"/>
    <w:rsid w:val="00F44BD9"/>
    <w:rsid w:val="00F44EA3"/>
    <w:rsid w:val="00F45035"/>
    <w:rsid w:val="00F46107"/>
    <w:rsid w:val="00F46A4C"/>
    <w:rsid w:val="00F46D53"/>
    <w:rsid w:val="00F479C0"/>
    <w:rsid w:val="00F47F53"/>
    <w:rsid w:val="00F50118"/>
    <w:rsid w:val="00F52810"/>
    <w:rsid w:val="00F52CF8"/>
    <w:rsid w:val="00F52FBA"/>
    <w:rsid w:val="00F537B9"/>
    <w:rsid w:val="00F53828"/>
    <w:rsid w:val="00F53B7C"/>
    <w:rsid w:val="00F55629"/>
    <w:rsid w:val="00F55793"/>
    <w:rsid w:val="00F55BBE"/>
    <w:rsid w:val="00F5676D"/>
    <w:rsid w:val="00F56B17"/>
    <w:rsid w:val="00F57139"/>
    <w:rsid w:val="00F5721D"/>
    <w:rsid w:val="00F57A8C"/>
    <w:rsid w:val="00F57B2B"/>
    <w:rsid w:val="00F607F2"/>
    <w:rsid w:val="00F608D3"/>
    <w:rsid w:val="00F619A9"/>
    <w:rsid w:val="00F61B65"/>
    <w:rsid w:val="00F61CDF"/>
    <w:rsid w:val="00F622E4"/>
    <w:rsid w:val="00F62841"/>
    <w:rsid w:val="00F62A0C"/>
    <w:rsid w:val="00F62E68"/>
    <w:rsid w:val="00F63115"/>
    <w:rsid w:val="00F63270"/>
    <w:rsid w:val="00F63BE9"/>
    <w:rsid w:val="00F6455D"/>
    <w:rsid w:val="00F64BAD"/>
    <w:rsid w:val="00F6515B"/>
    <w:rsid w:val="00F662D1"/>
    <w:rsid w:val="00F663D9"/>
    <w:rsid w:val="00F66438"/>
    <w:rsid w:val="00F6678B"/>
    <w:rsid w:val="00F66F42"/>
    <w:rsid w:val="00F67399"/>
    <w:rsid w:val="00F703E5"/>
    <w:rsid w:val="00F70E69"/>
    <w:rsid w:val="00F714D3"/>
    <w:rsid w:val="00F71581"/>
    <w:rsid w:val="00F71DDA"/>
    <w:rsid w:val="00F72042"/>
    <w:rsid w:val="00F72884"/>
    <w:rsid w:val="00F73021"/>
    <w:rsid w:val="00F73635"/>
    <w:rsid w:val="00F74A05"/>
    <w:rsid w:val="00F761A3"/>
    <w:rsid w:val="00F76C84"/>
    <w:rsid w:val="00F770F5"/>
    <w:rsid w:val="00F771A6"/>
    <w:rsid w:val="00F777EB"/>
    <w:rsid w:val="00F8098F"/>
    <w:rsid w:val="00F81412"/>
    <w:rsid w:val="00F81461"/>
    <w:rsid w:val="00F82145"/>
    <w:rsid w:val="00F823A6"/>
    <w:rsid w:val="00F82764"/>
    <w:rsid w:val="00F83221"/>
    <w:rsid w:val="00F83518"/>
    <w:rsid w:val="00F842CE"/>
    <w:rsid w:val="00F84B93"/>
    <w:rsid w:val="00F84EA5"/>
    <w:rsid w:val="00F8564E"/>
    <w:rsid w:val="00F868C3"/>
    <w:rsid w:val="00F869D0"/>
    <w:rsid w:val="00F8772B"/>
    <w:rsid w:val="00F8789C"/>
    <w:rsid w:val="00F879E6"/>
    <w:rsid w:val="00F87ADB"/>
    <w:rsid w:val="00F90106"/>
    <w:rsid w:val="00F90300"/>
    <w:rsid w:val="00F907AF"/>
    <w:rsid w:val="00F90AFA"/>
    <w:rsid w:val="00F90C2C"/>
    <w:rsid w:val="00F90D6B"/>
    <w:rsid w:val="00F91F95"/>
    <w:rsid w:val="00F92263"/>
    <w:rsid w:val="00F924FA"/>
    <w:rsid w:val="00F92870"/>
    <w:rsid w:val="00F92C20"/>
    <w:rsid w:val="00F92EBF"/>
    <w:rsid w:val="00F93E5E"/>
    <w:rsid w:val="00F94F07"/>
    <w:rsid w:val="00F9590C"/>
    <w:rsid w:val="00F9632B"/>
    <w:rsid w:val="00F972D4"/>
    <w:rsid w:val="00F97C67"/>
    <w:rsid w:val="00F97F47"/>
    <w:rsid w:val="00FA1FFB"/>
    <w:rsid w:val="00FA2396"/>
    <w:rsid w:val="00FA2432"/>
    <w:rsid w:val="00FA24D1"/>
    <w:rsid w:val="00FA2ECB"/>
    <w:rsid w:val="00FA30E3"/>
    <w:rsid w:val="00FA3584"/>
    <w:rsid w:val="00FA3EF4"/>
    <w:rsid w:val="00FA4447"/>
    <w:rsid w:val="00FA532E"/>
    <w:rsid w:val="00FA5F95"/>
    <w:rsid w:val="00FA7833"/>
    <w:rsid w:val="00FA7E70"/>
    <w:rsid w:val="00FB0406"/>
    <w:rsid w:val="00FB096A"/>
    <w:rsid w:val="00FB0A58"/>
    <w:rsid w:val="00FB0EB2"/>
    <w:rsid w:val="00FB14E0"/>
    <w:rsid w:val="00FB190D"/>
    <w:rsid w:val="00FB1F67"/>
    <w:rsid w:val="00FB2289"/>
    <w:rsid w:val="00FB2853"/>
    <w:rsid w:val="00FB2BD7"/>
    <w:rsid w:val="00FB31F8"/>
    <w:rsid w:val="00FB3E02"/>
    <w:rsid w:val="00FB4046"/>
    <w:rsid w:val="00FB45AB"/>
    <w:rsid w:val="00FB484D"/>
    <w:rsid w:val="00FB4C75"/>
    <w:rsid w:val="00FB522F"/>
    <w:rsid w:val="00FB5763"/>
    <w:rsid w:val="00FB645C"/>
    <w:rsid w:val="00FB6B71"/>
    <w:rsid w:val="00FB6DD2"/>
    <w:rsid w:val="00FB7239"/>
    <w:rsid w:val="00FB7794"/>
    <w:rsid w:val="00FC1F70"/>
    <w:rsid w:val="00FC218B"/>
    <w:rsid w:val="00FC2D33"/>
    <w:rsid w:val="00FC36D5"/>
    <w:rsid w:val="00FC38F8"/>
    <w:rsid w:val="00FC5485"/>
    <w:rsid w:val="00FC56BC"/>
    <w:rsid w:val="00FC5B07"/>
    <w:rsid w:val="00FC5BDB"/>
    <w:rsid w:val="00FC69A0"/>
    <w:rsid w:val="00FC6A98"/>
    <w:rsid w:val="00FC7D8C"/>
    <w:rsid w:val="00FC7E5D"/>
    <w:rsid w:val="00FC7ECC"/>
    <w:rsid w:val="00FD004E"/>
    <w:rsid w:val="00FD071E"/>
    <w:rsid w:val="00FD0D59"/>
    <w:rsid w:val="00FD19FD"/>
    <w:rsid w:val="00FD2086"/>
    <w:rsid w:val="00FD26A2"/>
    <w:rsid w:val="00FD31F8"/>
    <w:rsid w:val="00FD38F4"/>
    <w:rsid w:val="00FD5FDF"/>
    <w:rsid w:val="00FD6D04"/>
    <w:rsid w:val="00FD7589"/>
    <w:rsid w:val="00FD7CBB"/>
    <w:rsid w:val="00FE012B"/>
    <w:rsid w:val="00FE15AB"/>
    <w:rsid w:val="00FE26E5"/>
    <w:rsid w:val="00FE323B"/>
    <w:rsid w:val="00FE34AE"/>
    <w:rsid w:val="00FE38AF"/>
    <w:rsid w:val="00FE3F2F"/>
    <w:rsid w:val="00FE4942"/>
    <w:rsid w:val="00FE5CA0"/>
    <w:rsid w:val="00FE61CA"/>
    <w:rsid w:val="00FE6AC5"/>
    <w:rsid w:val="00FE7DC8"/>
    <w:rsid w:val="00FF043B"/>
    <w:rsid w:val="00FF15B4"/>
    <w:rsid w:val="00FF1875"/>
    <w:rsid w:val="00FF20DF"/>
    <w:rsid w:val="00FF2D78"/>
    <w:rsid w:val="00FF2EA1"/>
    <w:rsid w:val="00FF2FCB"/>
    <w:rsid w:val="00FF3185"/>
    <w:rsid w:val="00FF3691"/>
    <w:rsid w:val="00FF3744"/>
    <w:rsid w:val="00FF37E4"/>
    <w:rsid w:val="00FF3851"/>
    <w:rsid w:val="00FF388F"/>
    <w:rsid w:val="00FF5058"/>
    <w:rsid w:val="00FF5603"/>
    <w:rsid w:val="00FF5771"/>
    <w:rsid w:val="00FF5B6F"/>
    <w:rsid w:val="00FF5EEC"/>
    <w:rsid w:val="00FF5F78"/>
    <w:rsid w:val="00FF6E07"/>
    <w:rsid w:val="00FF78F7"/>
    <w:rsid w:val="01192D00"/>
    <w:rsid w:val="011A8F69"/>
    <w:rsid w:val="0142777E"/>
    <w:rsid w:val="0167FDDF"/>
    <w:rsid w:val="01A83B60"/>
    <w:rsid w:val="01B0F776"/>
    <w:rsid w:val="01B1FAA2"/>
    <w:rsid w:val="01B854A3"/>
    <w:rsid w:val="01C5A8E6"/>
    <w:rsid w:val="0207E4BB"/>
    <w:rsid w:val="02268514"/>
    <w:rsid w:val="022F7C6A"/>
    <w:rsid w:val="0233F262"/>
    <w:rsid w:val="0238C49F"/>
    <w:rsid w:val="024A708A"/>
    <w:rsid w:val="0254A3CE"/>
    <w:rsid w:val="02A8FAF5"/>
    <w:rsid w:val="02B5D133"/>
    <w:rsid w:val="02D34DC5"/>
    <w:rsid w:val="02DE335A"/>
    <w:rsid w:val="03A95D2B"/>
    <w:rsid w:val="0424BA62"/>
    <w:rsid w:val="0442855D"/>
    <w:rsid w:val="04C44832"/>
    <w:rsid w:val="04D1E83A"/>
    <w:rsid w:val="04D4E498"/>
    <w:rsid w:val="04FA0A66"/>
    <w:rsid w:val="04FA74B6"/>
    <w:rsid w:val="05B43D46"/>
    <w:rsid w:val="05E0EC95"/>
    <w:rsid w:val="05EA0554"/>
    <w:rsid w:val="0667F62E"/>
    <w:rsid w:val="067A9E50"/>
    <w:rsid w:val="06BCECDB"/>
    <w:rsid w:val="06E5C243"/>
    <w:rsid w:val="070FCC6D"/>
    <w:rsid w:val="0711C1D8"/>
    <w:rsid w:val="072D5823"/>
    <w:rsid w:val="076E3E92"/>
    <w:rsid w:val="0805E9A4"/>
    <w:rsid w:val="081336F5"/>
    <w:rsid w:val="089B1624"/>
    <w:rsid w:val="08CE46F0"/>
    <w:rsid w:val="08DB58D9"/>
    <w:rsid w:val="095B6714"/>
    <w:rsid w:val="0980BD5E"/>
    <w:rsid w:val="099701BC"/>
    <w:rsid w:val="09AD5872"/>
    <w:rsid w:val="0A1D1F67"/>
    <w:rsid w:val="0A30AE46"/>
    <w:rsid w:val="0AA1AC87"/>
    <w:rsid w:val="0AB3DF8B"/>
    <w:rsid w:val="0AD9FAD0"/>
    <w:rsid w:val="0B1AF22E"/>
    <w:rsid w:val="0B25B70B"/>
    <w:rsid w:val="0B9547D3"/>
    <w:rsid w:val="0BDD8E80"/>
    <w:rsid w:val="0BE9CC42"/>
    <w:rsid w:val="0BEF101C"/>
    <w:rsid w:val="0BF7F992"/>
    <w:rsid w:val="0CD4E521"/>
    <w:rsid w:val="0CDE3F3C"/>
    <w:rsid w:val="0D0DAE75"/>
    <w:rsid w:val="0D170619"/>
    <w:rsid w:val="0D2CB797"/>
    <w:rsid w:val="0D3A3C7A"/>
    <w:rsid w:val="0D43BE1F"/>
    <w:rsid w:val="0DCE77C4"/>
    <w:rsid w:val="0DD17875"/>
    <w:rsid w:val="0DD405BA"/>
    <w:rsid w:val="0DF0E403"/>
    <w:rsid w:val="0E2FAF07"/>
    <w:rsid w:val="0E7AC100"/>
    <w:rsid w:val="0E84BB66"/>
    <w:rsid w:val="0ED6987D"/>
    <w:rsid w:val="0F536A60"/>
    <w:rsid w:val="0F73230D"/>
    <w:rsid w:val="0FAA880D"/>
    <w:rsid w:val="103D089B"/>
    <w:rsid w:val="1050E0B1"/>
    <w:rsid w:val="105927D0"/>
    <w:rsid w:val="10695514"/>
    <w:rsid w:val="1077F306"/>
    <w:rsid w:val="107FD571"/>
    <w:rsid w:val="1082F41C"/>
    <w:rsid w:val="10E4D590"/>
    <w:rsid w:val="10EF4A0C"/>
    <w:rsid w:val="10FE8B76"/>
    <w:rsid w:val="116A8F32"/>
    <w:rsid w:val="118725DB"/>
    <w:rsid w:val="119595AE"/>
    <w:rsid w:val="11A7A5CA"/>
    <w:rsid w:val="11ADABF9"/>
    <w:rsid w:val="12220C3A"/>
    <w:rsid w:val="1222C609"/>
    <w:rsid w:val="123F3EBB"/>
    <w:rsid w:val="123FB6EA"/>
    <w:rsid w:val="1243833D"/>
    <w:rsid w:val="12490889"/>
    <w:rsid w:val="124BFF1B"/>
    <w:rsid w:val="12586DF3"/>
    <w:rsid w:val="125E6700"/>
    <w:rsid w:val="1278DC58"/>
    <w:rsid w:val="12BFA53D"/>
    <w:rsid w:val="12D07496"/>
    <w:rsid w:val="12DC7BFA"/>
    <w:rsid w:val="12FBD9AE"/>
    <w:rsid w:val="13216F5C"/>
    <w:rsid w:val="13368F68"/>
    <w:rsid w:val="135199A6"/>
    <w:rsid w:val="13768D3E"/>
    <w:rsid w:val="13EE1B7F"/>
    <w:rsid w:val="140E1931"/>
    <w:rsid w:val="140FA659"/>
    <w:rsid w:val="141BC90E"/>
    <w:rsid w:val="14792015"/>
    <w:rsid w:val="149182D1"/>
    <w:rsid w:val="15241CF5"/>
    <w:rsid w:val="152699A0"/>
    <w:rsid w:val="153D2026"/>
    <w:rsid w:val="1568B89B"/>
    <w:rsid w:val="1597F8B2"/>
    <w:rsid w:val="15A92E43"/>
    <w:rsid w:val="15ED7799"/>
    <w:rsid w:val="160B2B16"/>
    <w:rsid w:val="160FC4EF"/>
    <w:rsid w:val="16279E9C"/>
    <w:rsid w:val="163C5C8E"/>
    <w:rsid w:val="167CC967"/>
    <w:rsid w:val="1680E585"/>
    <w:rsid w:val="16926A79"/>
    <w:rsid w:val="16DEDFC8"/>
    <w:rsid w:val="1701A2B1"/>
    <w:rsid w:val="170CCE27"/>
    <w:rsid w:val="173ACF05"/>
    <w:rsid w:val="1779820E"/>
    <w:rsid w:val="17897899"/>
    <w:rsid w:val="17C8D893"/>
    <w:rsid w:val="1826385A"/>
    <w:rsid w:val="184805C1"/>
    <w:rsid w:val="186362AD"/>
    <w:rsid w:val="1878EF39"/>
    <w:rsid w:val="187FEC00"/>
    <w:rsid w:val="18839060"/>
    <w:rsid w:val="189848C6"/>
    <w:rsid w:val="191A0D39"/>
    <w:rsid w:val="19439AC9"/>
    <w:rsid w:val="19B137CC"/>
    <w:rsid w:val="19CB9484"/>
    <w:rsid w:val="19CEBB4F"/>
    <w:rsid w:val="1A20CA18"/>
    <w:rsid w:val="1A488B97"/>
    <w:rsid w:val="1A6C3DEE"/>
    <w:rsid w:val="1B191382"/>
    <w:rsid w:val="1B9346F7"/>
    <w:rsid w:val="1B986F10"/>
    <w:rsid w:val="1C25AF2E"/>
    <w:rsid w:val="1C28E134"/>
    <w:rsid w:val="1C8A6F5B"/>
    <w:rsid w:val="1CCE0C60"/>
    <w:rsid w:val="1CE617E4"/>
    <w:rsid w:val="1CFCD427"/>
    <w:rsid w:val="1D608CEB"/>
    <w:rsid w:val="1D802185"/>
    <w:rsid w:val="1DEA4CB4"/>
    <w:rsid w:val="1E335F19"/>
    <w:rsid w:val="1E529CAF"/>
    <w:rsid w:val="1E6D19A7"/>
    <w:rsid w:val="1F22B2A1"/>
    <w:rsid w:val="1F49354F"/>
    <w:rsid w:val="1F4DED09"/>
    <w:rsid w:val="1FBE5248"/>
    <w:rsid w:val="1FC125CB"/>
    <w:rsid w:val="20223ACA"/>
    <w:rsid w:val="20482F0A"/>
    <w:rsid w:val="205E03CD"/>
    <w:rsid w:val="20629B1C"/>
    <w:rsid w:val="2062C710"/>
    <w:rsid w:val="206BD96F"/>
    <w:rsid w:val="20838ABA"/>
    <w:rsid w:val="20B69BAB"/>
    <w:rsid w:val="20E26016"/>
    <w:rsid w:val="211DF32A"/>
    <w:rsid w:val="21BDF6E3"/>
    <w:rsid w:val="224E0CE8"/>
    <w:rsid w:val="225B53A2"/>
    <w:rsid w:val="2262EA3B"/>
    <w:rsid w:val="230E1ECC"/>
    <w:rsid w:val="234A061A"/>
    <w:rsid w:val="2370ED95"/>
    <w:rsid w:val="238A2C64"/>
    <w:rsid w:val="23932256"/>
    <w:rsid w:val="240A35BA"/>
    <w:rsid w:val="240ABE9C"/>
    <w:rsid w:val="24316428"/>
    <w:rsid w:val="24370C5D"/>
    <w:rsid w:val="244D4B58"/>
    <w:rsid w:val="2460B5CA"/>
    <w:rsid w:val="249A4C94"/>
    <w:rsid w:val="249FB363"/>
    <w:rsid w:val="24C2FCC9"/>
    <w:rsid w:val="253A8A1C"/>
    <w:rsid w:val="25485D64"/>
    <w:rsid w:val="258F512F"/>
    <w:rsid w:val="25A8AFF4"/>
    <w:rsid w:val="25B7B4BF"/>
    <w:rsid w:val="25C18D52"/>
    <w:rsid w:val="25FE94F5"/>
    <w:rsid w:val="2615CA91"/>
    <w:rsid w:val="262D5DDA"/>
    <w:rsid w:val="2684BEBA"/>
    <w:rsid w:val="26CAC182"/>
    <w:rsid w:val="2700B1E4"/>
    <w:rsid w:val="270E4B47"/>
    <w:rsid w:val="2723D9DA"/>
    <w:rsid w:val="27A2CE30"/>
    <w:rsid w:val="27C3FCFE"/>
    <w:rsid w:val="27CB7C6E"/>
    <w:rsid w:val="28384B27"/>
    <w:rsid w:val="28496486"/>
    <w:rsid w:val="28500DB5"/>
    <w:rsid w:val="28B249E5"/>
    <w:rsid w:val="290AEA5D"/>
    <w:rsid w:val="2930BE22"/>
    <w:rsid w:val="293E3C82"/>
    <w:rsid w:val="297A4814"/>
    <w:rsid w:val="29B347E9"/>
    <w:rsid w:val="29F0319B"/>
    <w:rsid w:val="2A0BF131"/>
    <w:rsid w:val="2A0DFF4B"/>
    <w:rsid w:val="2A490C4C"/>
    <w:rsid w:val="2AA8B11C"/>
    <w:rsid w:val="2B16104A"/>
    <w:rsid w:val="2B3955A0"/>
    <w:rsid w:val="2B9723EA"/>
    <w:rsid w:val="2BAD0B47"/>
    <w:rsid w:val="2BB7C4C4"/>
    <w:rsid w:val="2BC63061"/>
    <w:rsid w:val="2BF8600B"/>
    <w:rsid w:val="2C254D99"/>
    <w:rsid w:val="2C3A3FAF"/>
    <w:rsid w:val="2C80533C"/>
    <w:rsid w:val="2C9085ED"/>
    <w:rsid w:val="2CE5D74A"/>
    <w:rsid w:val="2CE99738"/>
    <w:rsid w:val="2CEF750B"/>
    <w:rsid w:val="2D0CB175"/>
    <w:rsid w:val="2D49217D"/>
    <w:rsid w:val="2D6960B7"/>
    <w:rsid w:val="2D8B286C"/>
    <w:rsid w:val="2DA3C9B5"/>
    <w:rsid w:val="2DD837F1"/>
    <w:rsid w:val="2DD954E4"/>
    <w:rsid w:val="2DDC4F34"/>
    <w:rsid w:val="2DE5A739"/>
    <w:rsid w:val="2DFBBE45"/>
    <w:rsid w:val="2E95B096"/>
    <w:rsid w:val="2E9D182C"/>
    <w:rsid w:val="2F495828"/>
    <w:rsid w:val="2F8A6C3A"/>
    <w:rsid w:val="2FAEFD0F"/>
    <w:rsid w:val="30015EA8"/>
    <w:rsid w:val="30ADA588"/>
    <w:rsid w:val="30B98508"/>
    <w:rsid w:val="30FFF077"/>
    <w:rsid w:val="3124CBA8"/>
    <w:rsid w:val="3142C98C"/>
    <w:rsid w:val="31AC9054"/>
    <w:rsid w:val="31BC5FDC"/>
    <w:rsid w:val="31CCBDDD"/>
    <w:rsid w:val="3225E687"/>
    <w:rsid w:val="32818A63"/>
    <w:rsid w:val="328BF9CB"/>
    <w:rsid w:val="32A391DB"/>
    <w:rsid w:val="32B45206"/>
    <w:rsid w:val="32C8DF68"/>
    <w:rsid w:val="32E15B36"/>
    <w:rsid w:val="32EDD02D"/>
    <w:rsid w:val="333DA537"/>
    <w:rsid w:val="3349C892"/>
    <w:rsid w:val="3357E991"/>
    <w:rsid w:val="336D6011"/>
    <w:rsid w:val="33834618"/>
    <w:rsid w:val="338CB6E5"/>
    <w:rsid w:val="33A24778"/>
    <w:rsid w:val="33CAB75C"/>
    <w:rsid w:val="34082495"/>
    <w:rsid w:val="340CBD6D"/>
    <w:rsid w:val="341350D3"/>
    <w:rsid w:val="3457DB19"/>
    <w:rsid w:val="345F52A8"/>
    <w:rsid w:val="34997C2A"/>
    <w:rsid w:val="35BDC220"/>
    <w:rsid w:val="36736C59"/>
    <w:rsid w:val="369CD0C4"/>
    <w:rsid w:val="36C88F66"/>
    <w:rsid w:val="37041D00"/>
    <w:rsid w:val="371BA403"/>
    <w:rsid w:val="372974F6"/>
    <w:rsid w:val="37E89005"/>
    <w:rsid w:val="37F37AB5"/>
    <w:rsid w:val="382801F0"/>
    <w:rsid w:val="3858484F"/>
    <w:rsid w:val="3885C951"/>
    <w:rsid w:val="389FE211"/>
    <w:rsid w:val="38B2DF85"/>
    <w:rsid w:val="38D5B004"/>
    <w:rsid w:val="38F621F9"/>
    <w:rsid w:val="3922BF20"/>
    <w:rsid w:val="3968FDF6"/>
    <w:rsid w:val="3997260E"/>
    <w:rsid w:val="39ABF00D"/>
    <w:rsid w:val="3A383686"/>
    <w:rsid w:val="3A539E25"/>
    <w:rsid w:val="3A591FCD"/>
    <w:rsid w:val="3A9694A0"/>
    <w:rsid w:val="3B1CC792"/>
    <w:rsid w:val="3B2AC021"/>
    <w:rsid w:val="3B34F5C4"/>
    <w:rsid w:val="3B816C20"/>
    <w:rsid w:val="3BF3FB99"/>
    <w:rsid w:val="3BFEC291"/>
    <w:rsid w:val="3C09D013"/>
    <w:rsid w:val="3C0D241F"/>
    <w:rsid w:val="3C253A8D"/>
    <w:rsid w:val="3C5574B4"/>
    <w:rsid w:val="3C6B8568"/>
    <w:rsid w:val="3C789760"/>
    <w:rsid w:val="3C9212E7"/>
    <w:rsid w:val="3CEAA057"/>
    <w:rsid w:val="3D001978"/>
    <w:rsid w:val="3D127ED0"/>
    <w:rsid w:val="3D5EAC78"/>
    <w:rsid w:val="3D676937"/>
    <w:rsid w:val="3D74AC29"/>
    <w:rsid w:val="3D9A2205"/>
    <w:rsid w:val="3DB2487E"/>
    <w:rsid w:val="3DBA0617"/>
    <w:rsid w:val="3DC63B63"/>
    <w:rsid w:val="3DFCACAE"/>
    <w:rsid w:val="3E2AA2FA"/>
    <w:rsid w:val="3E577309"/>
    <w:rsid w:val="3E597556"/>
    <w:rsid w:val="3E72222D"/>
    <w:rsid w:val="3EB96C43"/>
    <w:rsid w:val="3EC37DE0"/>
    <w:rsid w:val="3F34C759"/>
    <w:rsid w:val="3F417BFF"/>
    <w:rsid w:val="3F7BC924"/>
    <w:rsid w:val="3FEC3012"/>
    <w:rsid w:val="40C22F5D"/>
    <w:rsid w:val="40C8D995"/>
    <w:rsid w:val="40EEFD8A"/>
    <w:rsid w:val="40F0C3BD"/>
    <w:rsid w:val="40FFE670"/>
    <w:rsid w:val="41184DCA"/>
    <w:rsid w:val="41553745"/>
    <w:rsid w:val="4191903B"/>
    <w:rsid w:val="41A20D9A"/>
    <w:rsid w:val="41AE311C"/>
    <w:rsid w:val="41C1323A"/>
    <w:rsid w:val="41D24F94"/>
    <w:rsid w:val="41EA1FFD"/>
    <w:rsid w:val="41FF82DC"/>
    <w:rsid w:val="4233DB28"/>
    <w:rsid w:val="4234AB1D"/>
    <w:rsid w:val="42451B4D"/>
    <w:rsid w:val="4268CEED"/>
    <w:rsid w:val="426BE7AB"/>
    <w:rsid w:val="42D73B8E"/>
    <w:rsid w:val="42FE3C02"/>
    <w:rsid w:val="435E0C03"/>
    <w:rsid w:val="43B4D517"/>
    <w:rsid w:val="43F3F22F"/>
    <w:rsid w:val="43FF4D36"/>
    <w:rsid w:val="4415D27D"/>
    <w:rsid w:val="44504128"/>
    <w:rsid w:val="4466F046"/>
    <w:rsid w:val="449828A1"/>
    <w:rsid w:val="44C75874"/>
    <w:rsid w:val="44CEA47D"/>
    <w:rsid w:val="44FF5048"/>
    <w:rsid w:val="450DCAB0"/>
    <w:rsid w:val="45221B12"/>
    <w:rsid w:val="45509D33"/>
    <w:rsid w:val="4566EBC2"/>
    <w:rsid w:val="4580D5F5"/>
    <w:rsid w:val="45A3EC05"/>
    <w:rsid w:val="45E87CDE"/>
    <w:rsid w:val="461C7B91"/>
    <w:rsid w:val="4638B08E"/>
    <w:rsid w:val="463C28FE"/>
    <w:rsid w:val="46468892"/>
    <w:rsid w:val="4649E734"/>
    <w:rsid w:val="46508343"/>
    <w:rsid w:val="46A84D93"/>
    <w:rsid w:val="46C81AA5"/>
    <w:rsid w:val="46D34D10"/>
    <w:rsid w:val="474F3C4C"/>
    <w:rsid w:val="47925139"/>
    <w:rsid w:val="47B942A5"/>
    <w:rsid w:val="47EC9701"/>
    <w:rsid w:val="47ECC049"/>
    <w:rsid w:val="481E1993"/>
    <w:rsid w:val="48291F9E"/>
    <w:rsid w:val="48670BF2"/>
    <w:rsid w:val="48ACC96F"/>
    <w:rsid w:val="48BDAA86"/>
    <w:rsid w:val="48E9CDC4"/>
    <w:rsid w:val="48FBBA28"/>
    <w:rsid w:val="490881ED"/>
    <w:rsid w:val="4958C464"/>
    <w:rsid w:val="496F4595"/>
    <w:rsid w:val="49FBD939"/>
    <w:rsid w:val="4A0A8E65"/>
    <w:rsid w:val="4A19A2E5"/>
    <w:rsid w:val="4A3544E0"/>
    <w:rsid w:val="4A76392E"/>
    <w:rsid w:val="4AFE97DD"/>
    <w:rsid w:val="4B0C0141"/>
    <w:rsid w:val="4B32E41E"/>
    <w:rsid w:val="4B583D0A"/>
    <w:rsid w:val="4B8D763C"/>
    <w:rsid w:val="4BEEBE21"/>
    <w:rsid w:val="4C170A8E"/>
    <w:rsid w:val="4C3301EB"/>
    <w:rsid w:val="4C3DE5E2"/>
    <w:rsid w:val="4C793860"/>
    <w:rsid w:val="4C8426E0"/>
    <w:rsid w:val="4CA45DF1"/>
    <w:rsid w:val="4CB1ED5F"/>
    <w:rsid w:val="4CC736DC"/>
    <w:rsid w:val="4D8C04EB"/>
    <w:rsid w:val="4D91A0B5"/>
    <w:rsid w:val="4DA7131C"/>
    <w:rsid w:val="4DAD1366"/>
    <w:rsid w:val="4DDEC389"/>
    <w:rsid w:val="4DEF0EBC"/>
    <w:rsid w:val="4E79BF8A"/>
    <w:rsid w:val="4E9970A1"/>
    <w:rsid w:val="4E9A4D74"/>
    <w:rsid w:val="4EA4FCC7"/>
    <w:rsid w:val="4EF59E06"/>
    <w:rsid w:val="4EFA9C6E"/>
    <w:rsid w:val="4F2451B9"/>
    <w:rsid w:val="4F6E2672"/>
    <w:rsid w:val="4F955F8B"/>
    <w:rsid w:val="4FAC3E6C"/>
    <w:rsid w:val="4FB29B1A"/>
    <w:rsid w:val="4FF22BE6"/>
    <w:rsid w:val="4FFF1C58"/>
    <w:rsid w:val="5052045E"/>
    <w:rsid w:val="50535C03"/>
    <w:rsid w:val="505BA881"/>
    <w:rsid w:val="50AD154F"/>
    <w:rsid w:val="50F21C5F"/>
    <w:rsid w:val="50FE55F1"/>
    <w:rsid w:val="510AA1BB"/>
    <w:rsid w:val="5132D8CD"/>
    <w:rsid w:val="5175F1E8"/>
    <w:rsid w:val="51F1D898"/>
    <w:rsid w:val="52024033"/>
    <w:rsid w:val="521D94BE"/>
    <w:rsid w:val="52630C0D"/>
    <w:rsid w:val="527E4D67"/>
    <w:rsid w:val="5299ADCD"/>
    <w:rsid w:val="532C08CD"/>
    <w:rsid w:val="5341FD8D"/>
    <w:rsid w:val="5354864C"/>
    <w:rsid w:val="537AEEDB"/>
    <w:rsid w:val="53AC855C"/>
    <w:rsid w:val="53DBF326"/>
    <w:rsid w:val="53F0E45C"/>
    <w:rsid w:val="54124EFE"/>
    <w:rsid w:val="54128FCD"/>
    <w:rsid w:val="542AD2F6"/>
    <w:rsid w:val="543D6071"/>
    <w:rsid w:val="54810B65"/>
    <w:rsid w:val="54C086D9"/>
    <w:rsid w:val="54C5E784"/>
    <w:rsid w:val="54F14331"/>
    <w:rsid w:val="556B4EE2"/>
    <w:rsid w:val="557335A1"/>
    <w:rsid w:val="55D81C7D"/>
    <w:rsid w:val="55ECDE73"/>
    <w:rsid w:val="55FA8835"/>
    <w:rsid w:val="562B156C"/>
    <w:rsid w:val="5630C980"/>
    <w:rsid w:val="564DA305"/>
    <w:rsid w:val="56EA9830"/>
    <w:rsid w:val="56FB123F"/>
    <w:rsid w:val="57014126"/>
    <w:rsid w:val="570D527B"/>
    <w:rsid w:val="571ACCA1"/>
    <w:rsid w:val="573CB00E"/>
    <w:rsid w:val="57988967"/>
    <w:rsid w:val="57AE0A29"/>
    <w:rsid w:val="57B889B7"/>
    <w:rsid w:val="57BF0124"/>
    <w:rsid w:val="57C0BFD1"/>
    <w:rsid w:val="57E1FF96"/>
    <w:rsid w:val="57FE5487"/>
    <w:rsid w:val="582CB9AD"/>
    <w:rsid w:val="58F8FB18"/>
    <w:rsid w:val="5900CF30"/>
    <w:rsid w:val="59384912"/>
    <w:rsid w:val="594924F8"/>
    <w:rsid w:val="59C58585"/>
    <w:rsid w:val="59D080BD"/>
    <w:rsid w:val="59D4AAE2"/>
    <w:rsid w:val="5A19630B"/>
    <w:rsid w:val="5A2DF118"/>
    <w:rsid w:val="5A32E0A5"/>
    <w:rsid w:val="5A417E0C"/>
    <w:rsid w:val="5A567148"/>
    <w:rsid w:val="5A596361"/>
    <w:rsid w:val="5AAD1C9F"/>
    <w:rsid w:val="5AE2A5CA"/>
    <w:rsid w:val="5B17D5B1"/>
    <w:rsid w:val="5B251EAD"/>
    <w:rsid w:val="5B2E0346"/>
    <w:rsid w:val="5B4354FE"/>
    <w:rsid w:val="5B53BF7A"/>
    <w:rsid w:val="5B72BB6D"/>
    <w:rsid w:val="5B8FE0B8"/>
    <w:rsid w:val="5BA39E4A"/>
    <w:rsid w:val="5BFDFC2D"/>
    <w:rsid w:val="5C3785D9"/>
    <w:rsid w:val="5C4BDDE6"/>
    <w:rsid w:val="5C606324"/>
    <w:rsid w:val="5C6FE994"/>
    <w:rsid w:val="5C80430F"/>
    <w:rsid w:val="5C9C3F20"/>
    <w:rsid w:val="5CA54FD3"/>
    <w:rsid w:val="5CE74BF2"/>
    <w:rsid w:val="5D3ACDD7"/>
    <w:rsid w:val="5D509872"/>
    <w:rsid w:val="5D6DDAEB"/>
    <w:rsid w:val="5D76C6F3"/>
    <w:rsid w:val="5D97F81B"/>
    <w:rsid w:val="5DA7F9DC"/>
    <w:rsid w:val="5DAE8BE1"/>
    <w:rsid w:val="5DE7CAFF"/>
    <w:rsid w:val="5E046022"/>
    <w:rsid w:val="5E08ED74"/>
    <w:rsid w:val="5E794E8C"/>
    <w:rsid w:val="5EA23CAF"/>
    <w:rsid w:val="5EBC2285"/>
    <w:rsid w:val="5EC70763"/>
    <w:rsid w:val="5EF04493"/>
    <w:rsid w:val="5F0F36BA"/>
    <w:rsid w:val="5F13507B"/>
    <w:rsid w:val="5F1C796C"/>
    <w:rsid w:val="5F263C76"/>
    <w:rsid w:val="5F4271A2"/>
    <w:rsid w:val="5F769500"/>
    <w:rsid w:val="5FA65783"/>
    <w:rsid w:val="5FBD2121"/>
    <w:rsid w:val="5FCF6DE9"/>
    <w:rsid w:val="60080EEC"/>
    <w:rsid w:val="6033115F"/>
    <w:rsid w:val="6043DAB3"/>
    <w:rsid w:val="6046E5C8"/>
    <w:rsid w:val="6050FEB0"/>
    <w:rsid w:val="60B4AAB1"/>
    <w:rsid w:val="60B5D9A4"/>
    <w:rsid w:val="60C9A241"/>
    <w:rsid w:val="60ED5ABD"/>
    <w:rsid w:val="61344C62"/>
    <w:rsid w:val="6137148C"/>
    <w:rsid w:val="6188794A"/>
    <w:rsid w:val="61BA5527"/>
    <w:rsid w:val="6210DC24"/>
    <w:rsid w:val="622BA8D9"/>
    <w:rsid w:val="6251FB57"/>
    <w:rsid w:val="626C1808"/>
    <w:rsid w:val="6308BA9F"/>
    <w:rsid w:val="630B932A"/>
    <w:rsid w:val="63440E12"/>
    <w:rsid w:val="63A3AE50"/>
    <w:rsid w:val="63F27B82"/>
    <w:rsid w:val="63FB44D6"/>
    <w:rsid w:val="64027C41"/>
    <w:rsid w:val="6451A2EA"/>
    <w:rsid w:val="6461D3DA"/>
    <w:rsid w:val="64620542"/>
    <w:rsid w:val="64993DA4"/>
    <w:rsid w:val="64BDB955"/>
    <w:rsid w:val="64D2CABB"/>
    <w:rsid w:val="64F41EDC"/>
    <w:rsid w:val="64FF2BB7"/>
    <w:rsid w:val="650073E2"/>
    <w:rsid w:val="65075E88"/>
    <w:rsid w:val="6507F246"/>
    <w:rsid w:val="6568FAF5"/>
    <w:rsid w:val="657661C8"/>
    <w:rsid w:val="6607D43D"/>
    <w:rsid w:val="6635F90C"/>
    <w:rsid w:val="66A21E5E"/>
    <w:rsid w:val="66AE383E"/>
    <w:rsid w:val="66E3DDBF"/>
    <w:rsid w:val="66E821C5"/>
    <w:rsid w:val="66EBE55C"/>
    <w:rsid w:val="66F4708E"/>
    <w:rsid w:val="67115303"/>
    <w:rsid w:val="6759483A"/>
    <w:rsid w:val="677497FA"/>
    <w:rsid w:val="6791E518"/>
    <w:rsid w:val="67F88F56"/>
    <w:rsid w:val="6828373D"/>
    <w:rsid w:val="68441AC7"/>
    <w:rsid w:val="686518DC"/>
    <w:rsid w:val="686A3E0A"/>
    <w:rsid w:val="68730AFC"/>
    <w:rsid w:val="6884A9AE"/>
    <w:rsid w:val="688749B2"/>
    <w:rsid w:val="68B86ED0"/>
    <w:rsid w:val="68ED2052"/>
    <w:rsid w:val="68F4A0C6"/>
    <w:rsid w:val="698C74B4"/>
    <w:rsid w:val="699CC4D9"/>
    <w:rsid w:val="69B49953"/>
    <w:rsid w:val="69C5EFE4"/>
    <w:rsid w:val="69C6010B"/>
    <w:rsid w:val="69C7BFF0"/>
    <w:rsid w:val="69E9FFFF"/>
    <w:rsid w:val="69EE2AD9"/>
    <w:rsid w:val="6A0201E4"/>
    <w:rsid w:val="6A172285"/>
    <w:rsid w:val="6A3283DA"/>
    <w:rsid w:val="6A79C9DD"/>
    <w:rsid w:val="6A8B4C70"/>
    <w:rsid w:val="6A8CE285"/>
    <w:rsid w:val="6AEE2874"/>
    <w:rsid w:val="6AFB69E8"/>
    <w:rsid w:val="6B3929AB"/>
    <w:rsid w:val="6B449FE5"/>
    <w:rsid w:val="6BC41566"/>
    <w:rsid w:val="6BDE36BF"/>
    <w:rsid w:val="6BE64B2F"/>
    <w:rsid w:val="6C04EF67"/>
    <w:rsid w:val="6C1FC2C5"/>
    <w:rsid w:val="6C2A23FA"/>
    <w:rsid w:val="6C3F5524"/>
    <w:rsid w:val="6C4FAAD9"/>
    <w:rsid w:val="6C5F9DDC"/>
    <w:rsid w:val="6D058C33"/>
    <w:rsid w:val="6D616193"/>
    <w:rsid w:val="6D656C0E"/>
    <w:rsid w:val="6D8283A6"/>
    <w:rsid w:val="6DC2097B"/>
    <w:rsid w:val="6DD97EC6"/>
    <w:rsid w:val="6DEB1C38"/>
    <w:rsid w:val="6DF462A3"/>
    <w:rsid w:val="6E276F3A"/>
    <w:rsid w:val="6E4AC975"/>
    <w:rsid w:val="6E54DED1"/>
    <w:rsid w:val="6E94ACB2"/>
    <w:rsid w:val="6E9DC74B"/>
    <w:rsid w:val="6EA29B24"/>
    <w:rsid w:val="6EBDBEB3"/>
    <w:rsid w:val="6EE7AB1E"/>
    <w:rsid w:val="6F59C0C5"/>
    <w:rsid w:val="6F639645"/>
    <w:rsid w:val="6F87A4B1"/>
    <w:rsid w:val="6FD4A0C5"/>
    <w:rsid w:val="6FE0AEDF"/>
    <w:rsid w:val="700D80D9"/>
    <w:rsid w:val="703E0A4B"/>
    <w:rsid w:val="70490B0F"/>
    <w:rsid w:val="706BC5EA"/>
    <w:rsid w:val="708BBBFA"/>
    <w:rsid w:val="70E19308"/>
    <w:rsid w:val="70F0D45F"/>
    <w:rsid w:val="70F397DB"/>
    <w:rsid w:val="711D724F"/>
    <w:rsid w:val="7159E2BC"/>
    <w:rsid w:val="7171B808"/>
    <w:rsid w:val="71F7AC2A"/>
    <w:rsid w:val="72810355"/>
    <w:rsid w:val="72AED925"/>
    <w:rsid w:val="72E5C1F9"/>
    <w:rsid w:val="73073526"/>
    <w:rsid w:val="731E1417"/>
    <w:rsid w:val="7343BFB2"/>
    <w:rsid w:val="734B7CD9"/>
    <w:rsid w:val="73704E3A"/>
    <w:rsid w:val="73A65B60"/>
    <w:rsid w:val="73AEA453"/>
    <w:rsid w:val="73BD4563"/>
    <w:rsid w:val="73D5A927"/>
    <w:rsid w:val="74097105"/>
    <w:rsid w:val="748173CA"/>
    <w:rsid w:val="74E3C632"/>
    <w:rsid w:val="74E75304"/>
    <w:rsid w:val="74F334A1"/>
    <w:rsid w:val="753B873C"/>
    <w:rsid w:val="75FC5C86"/>
    <w:rsid w:val="760ABAD3"/>
    <w:rsid w:val="762F5C4B"/>
    <w:rsid w:val="7636850F"/>
    <w:rsid w:val="76D585EA"/>
    <w:rsid w:val="76DF8A44"/>
    <w:rsid w:val="76F05B17"/>
    <w:rsid w:val="770A0C09"/>
    <w:rsid w:val="771B51F1"/>
    <w:rsid w:val="7730548C"/>
    <w:rsid w:val="7741534F"/>
    <w:rsid w:val="7742E0F2"/>
    <w:rsid w:val="77446BE1"/>
    <w:rsid w:val="776F2ECD"/>
    <w:rsid w:val="7799A32D"/>
    <w:rsid w:val="77A9483E"/>
    <w:rsid w:val="77FAF58F"/>
    <w:rsid w:val="780BD5BB"/>
    <w:rsid w:val="784F5A71"/>
    <w:rsid w:val="785463A0"/>
    <w:rsid w:val="78B70274"/>
    <w:rsid w:val="78D6FEA8"/>
    <w:rsid w:val="78E22A10"/>
    <w:rsid w:val="78E35A12"/>
    <w:rsid w:val="79282A04"/>
    <w:rsid w:val="79324C39"/>
    <w:rsid w:val="796F14E1"/>
    <w:rsid w:val="7980689F"/>
    <w:rsid w:val="79BC6E81"/>
    <w:rsid w:val="79CE8141"/>
    <w:rsid w:val="79ED8BF1"/>
    <w:rsid w:val="79F09EC9"/>
    <w:rsid w:val="79F0E7D6"/>
    <w:rsid w:val="7A58874F"/>
    <w:rsid w:val="7A7552EC"/>
    <w:rsid w:val="7A97E68F"/>
    <w:rsid w:val="7AB7438B"/>
    <w:rsid w:val="7AC106FE"/>
    <w:rsid w:val="7AC15B3F"/>
    <w:rsid w:val="7AFAF4BB"/>
    <w:rsid w:val="7AFB811F"/>
    <w:rsid w:val="7B1607C2"/>
    <w:rsid w:val="7B207F0C"/>
    <w:rsid w:val="7B6F0B2D"/>
    <w:rsid w:val="7B8F8BEF"/>
    <w:rsid w:val="7BDC0194"/>
    <w:rsid w:val="7C161B50"/>
    <w:rsid w:val="7C165FE3"/>
    <w:rsid w:val="7C360BD6"/>
    <w:rsid w:val="7C454F36"/>
    <w:rsid w:val="7C55A80A"/>
    <w:rsid w:val="7C6B10E9"/>
    <w:rsid w:val="7CA08456"/>
    <w:rsid w:val="7CAA149D"/>
    <w:rsid w:val="7CB3BB7C"/>
    <w:rsid w:val="7D225BEB"/>
    <w:rsid w:val="7DA933B9"/>
    <w:rsid w:val="7DB94FD2"/>
    <w:rsid w:val="7E00C75C"/>
    <w:rsid w:val="7E32BA63"/>
    <w:rsid w:val="7E40D1A4"/>
    <w:rsid w:val="7ED3EA1F"/>
    <w:rsid w:val="7EFCA2F5"/>
    <w:rsid w:val="7F2CE384"/>
    <w:rsid w:val="7F66DB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1E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uiPriority w:val="99"/>
    <w:rsid w:val="005A08BD"/>
    <w:rPr>
      <w:color w:val="0000FF"/>
      <w:u w:val="single"/>
    </w:rPr>
  </w:style>
  <w:style w:type="character" w:customStyle="1" w:styleId="normaltextrun">
    <w:name w:val="normaltextrun"/>
    <w:basedOn w:val="DefaultParagraphFont"/>
    <w:rsid w:val="005A08BD"/>
  </w:style>
  <w:style w:type="character" w:customStyle="1" w:styleId="eop">
    <w:name w:val="eop"/>
    <w:basedOn w:val="DefaultParagraphFont"/>
    <w:rsid w:val="005A08BD"/>
  </w:style>
  <w:style w:type="paragraph" w:customStyle="1" w:styleId="CharCharChar1">
    <w:name w:val="Char Char Char1"/>
    <w:basedOn w:val="Normal"/>
    <w:link w:val="FootnoteReference"/>
    <w:uiPriority w:val="99"/>
    <w:rsid w:val="005A08BD"/>
    <w:pPr>
      <w:spacing w:before="0" w:after="160" w:line="240" w:lineRule="exact"/>
    </w:pPr>
    <w:rPr>
      <w:rFonts w:asciiTheme="minorHAnsi" w:hAnsiTheme="minorHAnsi" w:cstheme="minorBidi"/>
      <w:sz w:val="22"/>
      <w:vertAlign w:val="superscript"/>
      <w:lang w:val="en-US"/>
    </w:rPr>
  </w:style>
  <w:style w:type="paragraph" w:styleId="ListBullet">
    <w:name w:val="List Bullet"/>
    <w:basedOn w:val="Normal"/>
    <w:uiPriority w:val="99"/>
    <w:semiHidden/>
    <w:unhideWhenUsed/>
    <w:rsid w:val="00E84D04"/>
    <w:pPr>
      <w:numPr>
        <w:numId w:val="2"/>
      </w:numPr>
      <w:contextualSpacing/>
    </w:pPr>
  </w:style>
  <w:style w:type="paragraph" w:styleId="ListBullet2">
    <w:name w:val="List Bullet 2"/>
    <w:basedOn w:val="Normal"/>
    <w:uiPriority w:val="99"/>
    <w:semiHidden/>
    <w:unhideWhenUsed/>
    <w:rsid w:val="00E84D04"/>
    <w:pPr>
      <w:numPr>
        <w:numId w:val="3"/>
      </w:numPr>
      <w:contextualSpacing/>
    </w:pPr>
  </w:style>
  <w:style w:type="paragraph" w:styleId="ListBullet3">
    <w:name w:val="List Bullet 3"/>
    <w:basedOn w:val="Normal"/>
    <w:uiPriority w:val="99"/>
    <w:semiHidden/>
    <w:unhideWhenUsed/>
    <w:rsid w:val="00E84D04"/>
    <w:pPr>
      <w:numPr>
        <w:numId w:val="4"/>
      </w:numPr>
      <w:contextualSpacing/>
    </w:pPr>
  </w:style>
  <w:style w:type="paragraph" w:styleId="ListBullet4">
    <w:name w:val="List Bullet 4"/>
    <w:basedOn w:val="Normal"/>
    <w:uiPriority w:val="99"/>
    <w:semiHidden/>
    <w:unhideWhenUsed/>
    <w:rsid w:val="00E84D04"/>
    <w:pPr>
      <w:numPr>
        <w:numId w:val="5"/>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unhideWhenUsed/>
    <w:rPr>
      <w:sz w:val="16"/>
      <w:szCs w:val="16"/>
    </w:rPr>
  </w:style>
  <w:style w:type="paragraph" w:styleId="ListParagraph">
    <w:name w:val="List Paragraph"/>
    <w:basedOn w:val="Normal"/>
    <w:uiPriority w:val="34"/>
    <w:qFormat/>
    <w:rsid w:val="008A6DC4"/>
    <w:pPr>
      <w:ind w:left="720"/>
      <w:contextualSpacing/>
    </w:pPr>
  </w:style>
  <w:style w:type="paragraph" w:styleId="Revision">
    <w:name w:val="Revision"/>
    <w:hidden/>
    <w:uiPriority w:val="99"/>
    <w:semiHidden/>
    <w:rsid w:val="00F63115"/>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7F6011"/>
    <w:rPr>
      <w:b/>
      <w:bCs/>
    </w:rPr>
  </w:style>
  <w:style w:type="character" w:customStyle="1" w:styleId="CommentSubjectChar">
    <w:name w:val="Comment Subject Char"/>
    <w:basedOn w:val="CommentTextChar"/>
    <w:link w:val="CommentSubject"/>
    <w:uiPriority w:val="99"/>
    <w:semiHidden/>
    <w:rsid w:val="007F6011"/>
    <w:rPr>
      <w:rFonts w:ascii="Times New Roman" w:hAnsi="Times New Roman" w:cs="Times New Roman"/>
      <w:b/>
      <w:bCs/>
      <w:sz w:val="20"/>
      <w:szCs w:val="20"/>
      <w:lang w:val="en-GB"/>
    </w:rPr>
  </w:style>
  <w:style w:type="character" w:customStyle="1" w:styleId="Mention">
    <w:name w:val="Mention"/>
    <w:basedOn w:val="DefaultParagraphFont"/>
    <w:uiPriority w:val="99"/>
    <w:unhideWhenUsed/>
    <w:rsid w:val="00B35417"/>
    <w:rPr>
      <w:color w:val="2B579A"/>
      <w:shd w:val="clear" w:color="auto" w:fill="E1DFDD"/>
    </w:rPr>
  </w:style>
  <w:style w:type="paragraph" w:customStyle="1" w:styleId="LegalNumPar">
    <w:name w:val="LegalNumPar"/>
    <w:basedOn w:val="Normal"/>
    <w:uiPriority w:val="1"/>
    <w:qFormat/>
    <w:rsid w:val="0055135D"/>
    <w:pPr>
      <w:numPr>
        <w:ilvl w:val="1"/>
        <w:numId w:val="6"/>
      </w:numPr>
      <w:spacing w:line="360" w:lineRule="auto"/>
    </w:pPr>
    <w:rPr>
      <w:rFonts w:eastAsia="Times New Roman"/>
      <w:lang w:eastAsia="en-GB"/>
    </w:rPr>
  </w:style>
  <w:style w:type="table" w:customStyle="1" w:styleId="TableGrid1">
    <w:name w:val="Table Grid1"/>
    <w:basedOn w:val="TableNormal"/>
    <w:next w:val="TableGrid"/>
    <w:uiPriority w:val="39"/>
    <w:rsid w:val="0055135D"/>
    <w:pPr>
      <w:spacing w:before="120" w:after="120" w:line="240" w:lineRule="auto"/>
      <w:jc w:val="both"/>
    </w:pPr>
    <w:rPr>
      <w:rFonts w:ascii="Times New Roman" w:eastAsia="Times New Roman" w:hAnsi="Times New Roman" w:cs="Times New Roman"/>
      <w:sz w:val="20"/>
      <w:szCs w:val="20"/>
      <w:lang w:val="en-IE" w:eastAsia="en-IE"/>
    </w:rPr>
    <w:tblPr/>
  </w:style>
  <w:style w:type="table" w:styleId="TableGrid">
    <w:name w:val="Table Grid"/>
    <w:basedOn w:val="TableNormal"/>
    <w:uiPriority w:val="59"/>
    <w:rsid w:val="005513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3E7780"/>
    <w:rPr>
      <w:color w:val="605E5C"/>
      <w:shd w:val="clear" w:color="auto" w:fill="E1DFDD"/>
    </w:rPr>
  </w:style>
  <w:style w:type="paragraph" w:styleId="EndnoteText">
    <w:name w:val="endnote text"/>
    <w:basedOn w:val="Normal"/>
    <w:link w:val="EndnoteTextChar"/>
    <w:uiPriority w:val="99"/>
    <w:semiHidden/>
    <w:unhideWhenUsed/>
    <w:rsid w:val="00E77EFC"/>
    <w:pPr>
      <w:spacing w:before="0" w:after="0"/>
    </w:pPr>
    <w:rPr>
      <w:sz w:val="20"/>
      <w:szCs w:val="20"/>
    </w:rPr>
  </w:style>
  <w:style w:type="character" w:customStyle="1" w:styleId="EndnoteTextChar">
    <w:name w:val="Endnote Text Char"/>
    <w:basedOn w:val="DefaultParagraphFont"/>
    <w:link w:val="EndnoteText"/>
    <w:uiPriority w:val="99"/>
    <w:semiHidden/>
    <w:rsid w:val="00E77EFC"/>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E77EFC"/>
    <w:rPr>
      <w:vertAlign w:val="superscript"/>
    </w:rPr>
  </w:style>
  <w:style w:type="character" w:customStyle="1" w:styleId="HeaderChar">
    <w:name w:val="Header Char"/>
    <w:basedOn w:val="DefaultParagraphFont"/>
    <w:link w:val="Header"/>
    <w:uiPriority w:val="99"/>
    <w:rsid w:val="00924944"/>
    <w:rPr>
      <w:rFonts w:ascii="Times New Roman" w:hAnsi="Times New Roman" w:cs="Times New Roman"/>
      <w:sz w:val="24"/>
      <w:lang w:val="en-GB"/>
    </w:rPr>
  </w:style>
  <w:style w:type="character" w:customStyle="1" w:styleId="FooterChar">
    <w:name w:val="Footer Char"/>
    <w:basedOn w:val="DefaultParagraphFont"/>
    <w:link w:val="Footer"/>
    <w:uiPriority w:val="99"/>
    <w:rsid w:val="0092494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92494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24944"/>
    <w:pPr>
      <w:spacing w:before="0"/>
      <w:jc w:val="right"/>
    </w:pPr>
    <w:rPr>
      <w:sz w:val="28"/>
    </w:rPr>
  </w:style>
  <w:style w:type="paragraph" w:customStyle="1" w:styleId="FooterSensitivity">
    <w:name w:val="Footer Sensitivity"/>
    <w:basedOn w:val="Normal"/>
    <w:rsid w:val="0092494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Tiret5">
    <w:name w:val="Tiret 5"/>
    <w:basedOn w:val="Point5"/>
    <w:pPr>
      <w:numPr>
        <w:numId w:val="2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2"/>
      </w:numPr>
    </w:pPr>
  </w:style>
  <w:style w:type="paragraph" w:customStyle="1" w:styleId="NumPar2">
    <w:name w:val="NumPar 2"/>
    <w:basedOn w:val="Normal"/>
    <w:next w:val="Text1"/>
    <w:pPr>
      <w:numPr>
        <w:ilvl w:val="1"/>
        <w:numId w:val="22"/>
      </w:numPr>
    </w:pPr>
  </w:style>
  <w:style w:type="paragraph" w:customStyle="1" w:styleId="NumPar3">
    <w:name w:val="NumPar 3"/>
    <w:basedOn w:val="Normal"/>
    <w:next w:val="Text1"/>
    <w:pPr>
      <w:numPr>
        <w:ilvl w:val="2"/>
        <w:numId w:val="22"/>
      </w:numPr>
    </w:pPr>
  </w:style>
  <w:style w:type="paragraph" w:customStyle="1" w:styleId="NumPar4">
    <w:name w:val="NumPar 4"/>
    <w:basedOn w:val="Normal"/>
    <w:next w:val="Text1"/>
    <w:pPr>
      <w:numPr>
        <w:ilvl w:val="3"/>
        <w:numId w:val="22"/>
      </w:numPr>
    </w:pPr>
  </w:style>
  <w:style w:type="paragraph" w:customStyle="1" w:styleId="NumPar5">
    <w:name w:val="NumPar 5"/>
    <w:basedOn w:val="Normal"/>
    <w:next w:val="Text2"/>
    <w:pPr>
      <w:numPr>
        <w:ilvl w:val="4"/>
        <w:numId w:val="22"/>
      </w:numPr>
    </w:pPr>
  </w:style>
  <w:style w:type="paragraph" w:customStyle="1" w:styleId="NumPar6">
    <w:name w:val="NumPar 6"/>
    <w:basedOn w:val="Normal"/>
    <w:next w:val="Text2"/>
    <w:pPr>
      <w:numPr>
        <w:ilvl w:val="5"/>
        <w:numId w:val="22"/>
      </w:numPr>
    </w:pPr>
  </w:style>
  <w:style w:type="paragraph" w:customStyle="1" w:styleId="NumPar7">
    <w:name w:val="NumPar 7"/>
    <w:basedOn w:val="Normal"/>
    <w:next w:val="Text2"/>
    <w:pPr>
      <w:numPr>
        <w:ilvl w:val="6"/>
        <w:numId w:val="2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4"/>
      </w:numPr>
    </w:pPr>
  </w:style>
  <w:style w:type="paragraph" w:customStyle="1" w:styleId="Point1number">
    <w:name w:val="Point 1 (number)"/>
    <w:basedOn w:val="Normal"/>
    <w:pPr>
      <w:numPr>
        <w:ilvl w:val="2"/>
        <w:numId w:val="24"/>
      </w:numPr>
    </w:pPr>
  </w:style>
  <w:style w:type="paragraph" w:customStyle="1" w:styleId="Point2number">
    <w:name w:val="Point 2 (number)"/>
    <w:basedOn w:val="Normal"/>
    <w:pPr>
      <w:numPr>
        <w:ilvl w:val="4"/>
        <w:numId w:val="24"/>
      </w:numPr>
    </w:pPr>
  </w:style>
  <w:style w:type="paragraph" w:customStyle="1" w:styleId="Point3number">
    <w:name w:val="Point 3 (number)"/>
    <w:basedOn w:val="Normal"/>
    <w:pPr>
      <w:numPr>
        <w:ilvl w:val="6"/>
        <w:numId w:val="24"/>
      </w:numPr>
    </w:pPr>
  </w:style>
  <w:style w:type="paragraph" w:customStyle="1" w:styleId="Point0letter">
    <w:name w:val="Point 0 (letter)"/>
    <w:basedOn w:val="Normal"/>
    <w:pPr>
      <w:numPr>
        <w:ilvl w:val="1"/>
        <w:numId w:val="24"/>
      </w:numPr>
    </w:pPr>
  </w:style>
  <w:style w:type="paragraph" w:customStyle="1" w:styleId="Point1letter">
    <w:name w:val="Point 1 (letter)"/>
    <w:basedOn w:val="Normal"/>
    <w:pPr>
      <w:numPr>
        <w:ilvl w:val="3"/>
        <w:numId w:val="24"/>
      </w:numPr>
    </w:pPr>
  </w:style>
  <w:style w:type="paragraph" w:customStyle="1" w:styleId="Point2letter">
    <w:name w:val="Point 2 (letter)"/>
    <w:basedOn w:val="Normal"/>
    <w:pPr>
      <w:numPr>
        <w:ilvl w:val="5"/>
        <w:numId w:val="24"/>
      </w:numPr>
    </w:pPr>
  </w:style>
  <w:style w:type="paragraph" w:customStyle="1" w:styleId="Point3letter">
    <w:name w:val="Point 3 (letter)"/>
    <w:basedOn w:val="Normal"/>
    <w:pPr>
      <w:numPr>
        <w:ilvl w:val="7"/>
        <w:numId w:val="24"/>
      </w:numPr>
    </w:pPr>
  </w:style>
  <w:style w:type="paragraph" w:customStyle="1" w:styleId="Point4letter">
    <w:name w:val="Point 4 (letter)"/>
    <w:basedOn w:val="Normal"/>
    <w:pPr>
      <w:numPr>
        <w:ilvl w:val="8"/>
        <w:numId w:val="24"/>
      </w:numPr>
    </w:pPr>
  </w:style>
  <w:style w:type="paragraph" w:customStyle="1" w:styleId="Bullet0">
    <w:name w:val="Bullet 0"/>
    <w:basedOn w:val="Normal"/>
    <w:pPr>
      <w:numPr>
        <w:numId w:val="25"/>
      </w:numPr>
    </w:pPr>
  </w:style>
  <w:style w:type="paragraph" w:customStyle="1" w:styleId="Bullet1">
    <w:name w:val="Bullet 1"/>
    <w:basedOn w:val="Normal"/>
    <w:pPr>
      <w:numPr>
        <w:numId w:val="26"/>
      </w:numPr>
    </w:pPr>
  </w:style>
  <w:style w:type="paragraph" w:customStyle="1" w:styleId="Bullet2">
    <w:name w:val="Bullet 2"/>
    <w:basedOn w:val="Normal"/>
    <w:pPr>
      <w:numPr>
        <w:numId w:val="27"/>
      </w:numPr>
    </w:pPr>
  </w:style>
  <w:style w:type="paragraph" w:customStyle="1" w:styleId="Bullet3">
    <w:name w:val="Bullet 3"/>
    <w:basedOn w:val="Normal"/>
    <w:pPr>
      <w:numPr>
        <w:numId w:val="28"/>
      </w:numPr>
    </w:pPr>
  </w:style>
  <w:style w:type="paragraph" w:customStyle="1" w:styleId="Bullet4">
    <w:name w:val="Bullet 4"/>
    <w:basedOn w:val="Normal"/>
    <w:pPr>
      <w:numPr>
        <w:numId w:val="2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24944"/>
    <w:pPr>
      <w:tabs>
        <w:tab w:val="center" w:pos="4535"/>
        <w:tab w:val="right" w:pos="9071"/>
      </w:tabs>
      <w:spacing w:before="0"/>
    </w:pPr>
  </w:style>
  <w:style w:type="paragraph" w:customStyle="1" w:styleId="HeaderLandscape">
    <w:name w:val="HeaderLandscape"/>
    <w:basedOn w:val="Normal"/>
    <w:rsid w:val="00924944"/>
    <w:pPr>
      <w:tabs>
        <w:tab w:val="center" w:pos="7285"/>
        <w:tab w:val="right" w:pos="14003"/>
      </w:tabs>
      <w:spacing w:before="0"/>
    </w:pPr>
  </w:style>
  <w:style w:type="paragraph" w:styleId="Footer">
    <w:name w:val="footer"/>
    <w:basedOn w:val="Normal"/>
    <w:link w:val="FooterChar"/>
    <w:uiPriority w:val="99"/>
    <w:unhideWhenUsed/>
    <w:rsid w:val="0092494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2494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6885">
      <w:bodyDiv w:val="1"/>
      <w:marLeft w:val="0"/>
      <w:marRight w:val="0"/>
      <w:marTop w:val="0"/>
      <w:marBottom w:val="0"/>
      <w:divBdr>
        <w:top w:val="none" w:sz="0" w:space="0" w:color="auto"/>
        <w:left w:val="none" w:sz="0" w:space="0" w:color="auto"/>
        <w:bottom w:val="none" w:sz="0" w:space="0" w:color="auto"/>
        <w:right w:val="none" w:sz="0" w:space="0" w:color="auto"/>
      </w:divBdr>
      <w:divsChild>
        <w:div w:id="515847452">
          <w:marLeft w:val="0"/>
          <w:marRight w:val="0"/>
          <w:marTop w:val="0"/>
          <w:marBottom w:val="0"/>
          <w:divBdr>
            <w:top w:val="none" w:sz="0" w:space="0" w:color="auto"/>
            <w:left w:val="none" w:sz="0" w:space="0" w:color="auto"/>
            <w:bottom w:val="none" w:sz="0" w:space="0" w:color="auto"/>
            <w:right w:val="none" w:sz="0" w:space="0" w:color="auto"/>
          </w:divBdr>
          <w:divsChild>
            <w:div w:id="71554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3256">
      <w:bodyDiv w:val="1"/>
      <w:marLeft w:val="0"/>
      <w:marRight w:val="0"/>
      <w:marTop w:val="0"/>
      <w:marBottom w:val="0"/>
      <w:divBdr>
        <w:top w:val="none" w:sz="0" w:space="0" w:color="auto"/>
        <w:left w:val="none" w:sz="0" w:space="0" w:color="auto"/>
        <w:bottom w:val="none" w:sz="0" w:space="0" w:color="auto"/>
        <w:right w:val="none" w:sz="0" w:space="0" w:color="auto"/>
      </w:divBdr>
    </w:div>
    <w:div w:id="59711770">
      <w:bodyDiv w:val="1"/>
      <w:marLeft w:val="0"/>
      <w:marRight w:val="0"/>
      <w:marTop w:val="0"/>
      <w:marBottom w:val="0"/>
      <w:divBdr>
        <w:top w:val="none" w:sz="0" w:space="0" w:color="auto"/>
        <w:left w:val="none" w:sz="0" w:space="0" w:color="auto"/>
        <w:bottom w:val="none" w:sz="0" w:space="0" w:color="auto"/>
        <w:right w:val="none" w:sz="0" w:space="0" w:color="auto"/>
      </w:divBdr>
      <w:divsChild>
        <w:div w:id="2066759934">
          <w:marLeft w:val="0"/>
          <w:marRight w:val="0"/>
          <w:marTop w:val="0"/>
          <w:marBottom w:val="0"/>
          <w:divBdr>
            <w:top w:val="none" w:sz="0" w:space="0" w:color="auto"/>
            <w:left w:val="none" w:sz="0" w:space="0" w:color="auto"/>
            <w:bottom w:val="none" w:sz="0" w:space="0" w:color="auto"/>
            <w:right w:val="none" w:sz="0" w:space="0" w:color="auto"/>
          </w:divBdr>
          <w:divsChild>
            <w:div w:id="95506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88486">
      <w:bodyDiv w:val="1"/>
      <w:marLeft w:val="0"/>
      <w:marRight w:val="0"/>
      <w:marTop w:val="0"/>
      <w:marBottom w:val="0"/>
      <w:divBdr>
        <w:top w:val="none" w:sz="0" w:space="0" w:color="auto"/>
        <w:left w:val="none" w:sz="0" w:space="0" w:color="auto"/>
        <w:bottom w:val="none" w:sz="0" w:space="0" w:color="auto"/>
        <w:right w:val="none" w:sz="0" w:space="0" w:color="auto"/>
      </w:divBdr>
    </w:div>
    <w:div w:id="356656995">
      <w:bodyDiv w:val="1"/>
      <w:marLeft w:val="0"/>
      <w:marRight w:val="0"/>
      <w:marTop w:val="0"/>
      <w:marBottom w:val="0"/>
      <w:divBdr>
        <w:top w:val="none" w:sz="0" w:space="0" w:color="auto"/>
        <w:left w:val="none" w:sz="0" w:space="0" w:color="auto"/>
        <w:bottom w:val="none" w:sz="0" w:space="0" w:color="auto"/>
        <w:right w:val="none" w:sz="0" w:space="0" w:color="auto"/>
      </w:divBdr>
    </w:div>
    <w:div w:id="675571483">
      <w:bodyDiv w:val="1"/>
      <w:marLeft w:val="0"/>
      <w:marRight w:val="0"/>
      <w:marTop w:val="0"/>
      <w:marBottom w:val="0"/>
      <w:divBdr>
        <w:top w:val="none" w:sz="0" w:space="0" w:color="auto"/>
        <w:left w:val="none" w:sz="0" w:space="0" w:color="auto"/>
        <w:bottom w:val="none" w:sz="0" w:space="0" w:color="auto"/>
        <w:right w:val="none" w:sz="0" w:space="0" w:color="auto"/>
      </w:divBdr>
    </w:div>
    <w:div w:id="996568232">
      <w:bodyDiv w:val="1"/>
      <w:marLeft w:val="0"/>
      <w:marRight w:val="0"/>
      <w:marTop w:val="0"/>
      <w:marBottom w:val="0"/>
      <w:divBdr>
        <w:top w:val="none" w:sz="0" w:space="0" w:color="auto"/>
        <w:left w:val="none" w:sz="0" w:space="0" w:color="auto"/>
        <w:bottom w:val="none" w:sz="0" w:space="0" w:color="auto"/>
        <w:right w:val="none" w:sz="0" w:space="0" w:color="auto"/>
      </w:divBdr>
    </w:div>
    <w:div w:id="1083842334">
      <w:bodyDiv w:val="1"/>
      <w:marLeft w:val="0"/>
      <w:marRight w:val="0"/>
      <w:marTop w:val="0"/>
      <w:marBottom w:val="0"/>
      <w:divBdr>
        <w:top w:val="none" w:sz="0" w:space="0" w:color="auto"/>
        <w:left w:val="none" w:sz="0" w:space="0" w:color="auto"/>
        <w:bottom w:val="none" w:sz="0" w:space="0" w:color="auto"/>
        <w:right w:val="none" w:sz="0" w:space="0" w:color="auto"/>
      </w:divBdr>
    </w:div>
    <w:div w:id="1646545891">
      <w:bodyDiv w:val="1"/>
      <w:marLeft w:val="0"/>
      <w:marRight w:val="0"/>
      <w:marTop w:val="0"/>
      <w:marBottom w:val="0"/>
      <w:divBdr>
        <w:top w:val="none" w:sz="0" w:space="0" w:color="auto"/>
        <w:left w:val="none" w:sz="0" w:space="0" w:color="auto"/>
        <w:bottom w:val="none" w:sz="0" w:space="0" w:color="auto"/>
        <w:right w:val="none" w:sz="0" w:space="0" w:color="auto"/>
      </w:divBdr>
    </w:div>
    <w:div w:id="1718429210">
      <w:bodyDiv w:val="1"/>
      <w:marLeft w:val="0"/>
      <w:marRight w:val="0"/>
      <w:marTop w:val="0"/>
      <w:marBottom w:val="0"/>
      <w:divBdr>
        <w:top w:val="none" w:sz="0" w:space="0" w:color="auto"/>
        <w:left w:val="none" w:sz="0" w:space="0" w:color="auto"/>
        <w:bottom w:val="none" w:sz="0" w:space="0" w:color="auto"/>
        <w:right w:val="none" w:sz="0" w:space="0" w:color="auto"/>
      </w:divBdr>
      <w:divsChild>
        <w:div w:id="1419904251">
          <w:marLeft w:val="0"/>
          <w:marRight w:val="0"/>
          <w:marTop w:val="0"/>
          <w:marBottom w:val="0"/>
          <w:divBdr>
            <w:top w:val="none" w:sz="0" w:space="0" w:color="auto"/>
            <w:left w:val="none" w:sz="0" w:space="0" w:color="auto"/>
            <w:bottom w:val="none" w:sz="0" w:space="0" w:color="auto"/>
            <w:right w:val="none" w:sz="0" w:space="0" w:color="auto"/>
          </w:divBdr>
        </w:div>
      </w:divsChild>
    </w:div>
    <w:div w:id="1944532675">
      <w:bodyDiv w:val="1"/>
      <w:marLeft w:val="0"/>
      <w:marRight w:val="0"/>
      <w:marTop w:val="0"/>
      <w:marBottom w:val="0"/>
      <w:divBdr>
        <w:top w:val="none" w:sz="0" w:space="0" w:color="auto"/>
        <w:left w:val="none" w:sz="0" w:space="0" w:color="auto"/>
        <w:bottom w:val="none" w:sz="0" w:space="0" w:color="auto"/>
        <w:right w:val="none" w:sz="0" w:space="0" w:color="auto"/>
      </w:divBdr>
      <w:divsChild>
        <w:div w:id="564802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32B0B-62D8-4F57-A343-5BBD03BF8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6807</Words>
  <Characters>38800</Characters>
  <Application>Microsoft Office Word</Application>
  <DocSecurity>0</DocSecurity>
  <Lines>323</Lines>
  <Paragraphs>91</Paragraphs>
  <ScaleCrop>false</ScaleCrop>
  <Manager/>
  <Company/>
  <LinksUpToDate>false</LinksUpToDate>
  <CharactersWithSpaces>45516</CharactersWithSpaces>
  <SharedDoc>false</SharedDoc>
  <HLinks>
    <vt:vector size="6" baseType="variant">
      <vt:variant>
        <vt:i4>7798889</vt:i4>
      </vt:variant>
      <vt:variant>
        <vt:i4>0</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2026-01-18T15:53:00Z</dcterms:created>
  <dcterms:modified xsi:type="dcterms:W3CDTF">2026-01-19T18:10:00Z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QCStatus">
    <vt:lpwstr>Yellow (DQC version 03)</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2026-01-18T10:35:56Z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4287d01e-1b72-4ac1-8509-223763535211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ategory">
    <vt:lpwstr>COM/PL/ORG</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SJ-024</vt:lpwstr>
  </property>
</Properties>
</file>