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99A672" w14:textId="14F6AB3C" w:rsidR="00B744CB" w:rsidRDefault="009A7DCB" w:rsidP="009A7DCB">
      <w:pPr>
        <w:pStyle w:val="Pagedecouverture"/>
        <w:rPr>
          <w:noProof/>
        </w:rPr>
      </w:pPr>
      <w:r>
        <w:rPr>
          <w:noProof/>
        </w:rPr>
        <w:pict w14:anchorId="1BFC6F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CCCE963-4311-4BF9-A9DC-5360C53F44C2" style="width:455.25pt;height:368.25pt">
            <v:imagedata r:id="rId10" o:title=""/>
          </v:shape>
        </w:pict>
      </w:r>
    </w:p>
    <w:p w14:paraId="569334B6" w14:textId="77777777" w:rsidR="00B744CB" w:rsidRDefault="00B744CB" w:rsidP="00B744CB">
      <w:pPr>
        <w:rPr>
          <w:noProof/>
        </w:rPr>
        <w:sectPr w:rsidR="00B744CB" w:rsidSect="009A7DCB">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685A0707" w14:textId="7631312D" w:rsidR="00B744CB" w:rsidRDefault="007E5B83" w:rsidP="007E5B83">
      <w:pPr>
        <w:pStyle w:val="Annexetitre"/>
        <w:rPr>
          <w:noProof/>
        </w:rPr>
      </w:pPr>
      <w:bookmarkStart w:id="0" w:name="_GoBack"/>
      <w:bookmarkEnd w:id="0"/>
      <w:r w:rsidRPr="007E5B83">
        <w:rPr>
          <w:noProof/>
        </w:rPr>
        <w:lastRenderedPageBreak/>
        <w:t>ANNEX</w:t>
      </w:r>
    </w:p>
    <w:p w14:paraId="7DBFDA10" w14:textId="77777777" w:rsidR="00B744CB" w:rsidRDefault="00B744CB" w:rsidP="00B744CB">
      <w:pPr>
        <w:jc w:val="center"/>
        <w:rPr>
          <w:rFonts w:eastAsia="Times New Roman"/>
          <w:b/>
          <w:noProof/>
          <w:color w:val="000000" w:themeColor="text1"/>
          <w:szCs w:val="24"/>
          <w:lang w:val="en-IE"/>
        </w:rPr>
      </w:pPr>
      <w:r w:rsidRPr="00F663D9">
        <w:rPr>
          <w:rFonts w:eastAsia="Times New Roman"/>
          <w:b/>
          <w:noProof/>
          <w:color w:val="000000" w:themeColor="text1"/>
          <w:szCs w:val="24"/>
          <w:lang w:val="en-IE"/>
        </w:rPr>
        <w:t>AMENDMENTS TO ANNEXES I AND II TO DIRECTIVE (EU) 2022/2555</w:t>
      </w:r>
    </w:p>
    <w:p w14:paraId="3FCAB2DA" w14:textId="229FDD5F" w:rsidR="00B744CB" w:rsidRPr="0004366C" w:rsidRDefault="00B744CB" w:rsidP="00922EA8">
      <w:pPr>
        <w:pStyle w:val="NumPar1"/>
        <w:numPr>
          <w:ilvl w:val="0"/>
          <w:numId w:val="5"/>
        </w:numPr>
        <w:rPr>
          <w:noProof/>
        </w:rPr>
      </w:pPr>
      <w:r w:rsidRPr="0004366C">
        <w:rPr>
          <w:noProof/>
        </w:rPr>
        <w:t>Annex I is amended as follows:</w:t>
      </w:r>
    </w:p>
    <w:p w14:paraId="5E3C23DE" w14:textId="1B491AFC" w:rsidR="00B744CB" w:rsidRPr="00B71CAB" w:rsidRDefault="00B744CB" w:rsidP="00922EA8">
      <w:pPr>
        <w:pStyle w:val="Point1letter"/>
        <w:numPr>
          <w:ilvl w:val="3"/>
          <w:numId w:val="6"/>
        </w:numPr>
        <w:rPr>
          <w:noProof/>
        </w:rPr>
      </w:pPr>
      <w:r w:rsidRPr="00B71CAB">
        <w:rPr>
          <w:noProof/>
        </w:rPr>
        <w:t xml:space="preserve">in point 1(a), the fourth </w:t>
      </w:r>
      <w:r w:rsidRPr="00B71CAB">
        <w:rPr>
          <w:noProof/>
          <w:lang w:val="en-IE"/>
        </w:rPr>
        <w:t>indent</w:t>
      </w:r>
      <w:r w:rsidR="00C25CE3">
        <w:rPr>
          <w:noProof/>
          <w:lang w:val="en-IE"/>
        </w:rPr>
        <w:t xml:space="preserve"> in the third column</w:t>
      </w:r>
      <w:r w:rsidRPr="00B71CAB">
        <w:rPr>
          <w:noProof/>
        </w:rPr>
        <w:t xml:space="preserve"> is replaced by the following:</w:t>
      </w:r>
    </w:p>
    <w:p w14:paraId="4C28D60C" w14:textId="77777777" w:rsidR="00F57213" w:rsidRDefault="00B744CB" w:rsidP="00F57213">
      <w:pPr>
        <w:pStyle w:val="Text2"/>
        <w:rPr>
          <w:noProof/>
        </w:rPr>
      </w:pPr>
      <w:r w:rsidRPr="00B71CAB">
        <w:rPr>
          <w:noProof/>
        </w:rPr>
        <w:t>‘—Producers as defined in Article 2, point (38), of Directive (EU) 2019/944 of the European Parliament and of the Council</w:t>
      </w:r>
      <w:r w:rsidR="00EA72DF">
        <w:rPr>
          <w:noProof/>
        </w:rPr>
        <w:t>*</w:t>
      </w:r>
      <w:r w:rsidRPr="00B71CAB">
        <w:rPr>
          <w:noProof/>
        </w:rPr>
        <w:t>, excluding producers whose total generation capacity does not exceed 1 MW</w:t>
      </w:r>
    </w:p>
    <w:p w14:paraId="35F0E308" w14:textId="118BE1AB" w:rsidR="00F57213" w:rsidRDefault="00F57213" w:rsidP="00F57213">
      <w:pPr>
        <w:pStyle w:val="Text2"/>
        <w:rPr>
          <w:noProof/>
        </w:rPr>
      </w:pPr>
      <w:r>
        <w:rPr>
          <w:noProof/>
        </w:rPr>
        <w:t>__________</w:t>
      </w:r>
    </w:p>
    <w:p w14:paraId="4438F136" w14:textId="7854114E" w:rsidR="00B744CB" w:rsidRPr="00B71CAB" w:rsidRDefault="00992B00" w:rsidP="00F57213">
      <w:pPr>
        <w:pStyle w:val="Text2"/>
        <w:rPr>
          <w:noProof/>
        </w:rPr>
      </w:pPr>
      <w:r>
        <w:rPr>
          <w:noProof/>
        </w:rPr>
        <w:t>*</w:t>
      </w:r>
      <w:r w:rsidR="00EA72DF" w:rsidRPr="00EA72DF">
        <w:rPr>
          <w:noProof/>
        </w:rPr>
        <w:t>Directive (EU) 2019/944 of the European Parliament and of the Council of 5 June 2019 on common rules for the internal market for electricity and amending Directive 2012/27/EU (OJ L 158, 14.6.2019, p. 125</w:t>
      </w:r>
      <w:r w:rsidR="00EA72DF">
        <w:rPr>
          <w:noProof/>
        </w:rPr>
        <w:t xml:space="preserve">, </w:t>
      </w:r>
      <w:r w:rsidR="00EA72DF" w:rsidRPr="00C06393">
        <w:rPr>
          <w:noProof/>
        </w:rPr>
        <w:t xml:space="preserve">ELI: </w:t>
      </w:r>
      <w:hyperlink r:id="rId17" w:tooltip="Gives access to this document through its ELI URI." w:history="1">
        <w:r w:rsidR="00C06393" w:rsidRPr="00F57213">
          <w:rPr>
            <w:rStyle w:val="Hyperlink"/>
            <w:noProof/>
          </w:rPr>
          <w:t>http://data.europa.eu/eli/dir/2019/944/oj</w:t>
        </w:r>
      </w:hyperlink>
      <w:r w:rsidR="00EA72DF" w:rsidRPr="00C06393">
        <w:rPr>
          <w:noProof/>
        </w:rPr>
        <w:t>.).</w:t>
      </w:r>
      <w:r w:rsidR="00B744CB" w:rsidRPr="00C06393">
        <w:rPr>
          <w:noProof/>
        </w:rPr>
        <w:t>’;</w:t>
      </w:r>
    </w:p>
    <w:p w14:paraId="3343D04C" w14:textId="77777777" w:rsidR="00F57213" w:rsidRDefault="00735765" w:rsidP="00F57213">
      <w:pPr>
        <w:pStyle w:val="Point1letter"/>
        <w:rPr>
          <w:noProof/>
        </w:rPr>
      </w:pPr>
      <w:r>
        <w:rPr>
          <w:noProof/>
        </w:rPr>
        <w:t xml:space="preserve">in </w:t>
      </w:r>
      <w:r w:rsidR="00B744CB" w:rsidRPr="00B71CAB">
        <w:rPr>
          <w:noProof/>
        </w:rPr>
        <w:t>point 1(e)</w:t>
      </w:r>
      <w:r>
        <w:rPr>
          <w:noProof/>
        </w:rPr>
        <w:t>,</w:t>
      </w:r>
      <w:r w:rsidR="00DB6627">
        <w:rPr>
          <w:noProof/>
        </w:rPr>
        <w:t xml:space="preserve"> the text in</w:t>
      </w:r>
      <w:r>
        <w:rPr>
          <w:noProof/>
        </w:rPr>
        <w:t xml:space="preserve"> the third column</w:t>
      </w:r>
      <w:r w:rsidR="00B744CB" w:rsidRPr="00B71CAB">
        <w:rPr>
          <w:noProof/>
        </w:rPr>
        <w:t xml:space="preserve"> is </w:t>
      </w:r>
      <w:r w:rsidR="00DB6627">
        <w:rPr>
          <w:noProof/>
        </w:rPr>
        <w:t>replaced by the fol</w:t>
      </w:r>
      <w:r w:rsidR="00664E52">
        <w:rPr>
          <w:noProof/>
        </w:rPr>
        <w:t>lo</w:t>
      </w:r>
      <w:r w:rsidR="00DB6627">
        <w:rPr>
          <w:noProof/>
        </w:rPr>
        <w:t>wing</w:t>
      </w:r>
      <w:r w:rsidR="00B744CB" w:rsidRPr="00B71CAB">
        <w:rPr>
          <w:noProof/>
        </w:rPr>
        <w:t>:</w:t>
      </w:r>
    </w:p>
    <w:p w14:paraId="2865FA11" w14:textId="0580A4ED" w:rsidR="00B744CB" w:rsidRDefault="00B744CB" w:rsidP="0004366C">
      <w:pPr>
        <w:pStyle w:val="Text2"/>
        <w:rPr>
          <w:noProof/>
        </w:rPr>
      </w:pPr>
      <w:r w:rsidRPr="00B71CAB">
        <w:rPr>
          <w:noProof/>
        </w:rPr>
        <w:t>‘— Hydrogen undertakings as defined in Article 2, point (14) of Directive (EU) 2024/1788 of the European Parliament and of the Council</w:t>
      </w:r>
      <w:r w:rsidR="006C1459">
        <w:rPr>
          <w:noProof/>
        </w:rPr>
        <w:t>*</w:t>
      </w:r>
      <w:r w:rsidRPr="00B71CAB">
        <w:rPr>
          <w:noProof/>
        </w:rPr>
        <w:t>* which carry out the function of ‘production’ for commercial purposes;</w:t>
      </w:r>
    </w:p>
    <w:p w14:paraId="4341915B" w14:textId="53669645" w:rsidR="00B744CB" w:rsidRPr="0004366C" w:rsidRDefault="0004366C" w:rsidP="0004366C">
      <w:pPr>
        <w:pStyle w:val="Text2"/>
        <w:rPr>
          <w:rFonts w:eastAsia="Times New Roman"/>
          <w:noProof/>
          <w:color w:val="000000" w:themeColor="text1"/>
          <w:szCs w:val="24"/>
        </w:rPr>
      </w:pPr>
      <w:r w:rsidRPr="00B71CAB">
        <w:rPr>
          <w:noProof/>
        </w:rPr>
        <w:t xml:space="preserve">— </w:t>
      </w:r>
      <w:r w:rsidR="00B744CB" w:rsidRPr="00B71CAB">
        <w:rPr>
          <w:noProof/>
        </w:rPr>
        <w:t xml:space="preserve">Hydrogen storage operators as defined in Article 2, point (6) of Directive (EU) 2024/1788 </w:t>
      </w:r>
    </w:p>
    <w:p w14:paraId="61CCD5FC" w14:textId="77777777" w:rsidR="00DB6627" w:rsidRDefault="00B744CB" w:rsidP="0004366C">
      <w:pPr>
        <w:pStyle w:val="Text2"/>
        <w:rPr>
          <w:noProof/>
        </w:rPr>
      </w:pPr>
      <w:r w:rsidRPr="00B71CAB">
        <w:rPr>
          <w:noProof/>
        </w:rPr>
        <w:t>— Hydrogen transmission network operators as defined in Article 2, point (26) of Directive (EU) 2024/1788’</w:t>
      </w:r>
    </w:p>
    <w:p w14:paraId="7A339B15" w14:textId="77777777" w:rsidR="00DB6627" w:rsidRPr="00B71CAB" w:rsidRDefault="00DB6627" w:rsidP="00DB6627">
      <w:pPr>
        <w:pStyle w:val="Text2"/>
        <w:rPr>
          <w:noProof/>
        </w:rPr>
      </w:pPr>
      <w:r>
        <w:rPr>
          <w:noProof/>
        </w:rPr>
        <w:t>__________</w:t>
      </w:r>
    </w:p>
    <w:p w14:paraId="457223C1" w14:textId="35FDA316" w:rsidR="00B744CB" w:rsidRPr="00B71CAB" w:rsidRDefault="006C1459" w:rsidP="0004366C">
      <w:pPr>
        <w:pStyle w:val="Text2"/>
        <w:rPr>
          <w:noProof/>
        </w:rPr>
      </w:pPr>
      <w:r>
        <w:rPr>
          <w:noProof/>
        </w:rPr>
        <w:t>*</w:t>
      </w:r>
      <w:r w:rsidR="00DB6627" w:rsidRPr="00B71CAB">
        <w:rPr>
          <w:noProof/>
        </w:rPr>
        <w:t>* Directive (EU) 2024/1788 of the European Parliament and of the Council of 13 June 2024 on common rules for the internal markets for renewable gas, natural gas and hydrogen, amending Directive (EU) 2023/1791 and repealing Directive 2009/73/EC (OJ L, 2024/1788, 15.7.2024, ELI: http://data.europa.eu/eli/dir/2024/1788/oj)</w:t>
      </w:r>
      <w:r w:rsidR="00B744CB" w:rsidRPr="00B71CAB">
        <w:rPr>
          <w:noProof/>
        </w:rPr>
        <w:t>;</w:t>
      </w:r>
    </w:p>
    <w:p w14:paraId="46D278D5" w14:textId="4FBDEAEE" w:rsidR="00B744CB" w:rsidRPr="00B71CAB" w:rsidRDefault="00B744CB" w:rsidP="0004366C">
      <w:pPr>
        <w:pStyle w:val="Point1letter"/>
        <w:rPr>
          <w:noProof/>
        </w:rPr>
      </w:pPr>
      <w:r w:rsidRPr="00B71CAB">
        <w:rPr>
          <w:noProof/>
        </w:rPr>
        <w:t>in point 2(d), the second indent</w:t>
      </w:r>
      <w:r w:rsidR="00735765">
        <w:rPr>
          <w:noProof/>
        </w:rPr>
        <w:t xml:space="preserve"> </w:t>
      </w:r>
      <w:r w:rsidR="00735765">
        <w:rPr>
          <w:noProof/>
          <w:lang w:val="en-IE"/>
        </w:rPr>
        <w:t>in the third column</w:t>
      </w:r>
      <w:r w:rsidRPr="00B71CAB">
        <w:rPr>
          <w:noProof/>
        </w:rPr>
        <w:t xml:space="preserve"> is replaced by the following:</w:t>
      </w:r>
    </w:p>
    <w:p w14:paraId="1988580A" w14:textId="0F4CF6E5" w:rsidR="00677342" w:rsidRDefault="00B744CB" w:rsidP="0004366C">
      <w:pPr>
        <w:pStyle w:val="Text2"/>
        <w:rPr>
          <w:noProof/>
        </w:rPr>
      </w:pPr>
      <w:r w:rsidRPr="00B71CAB">
        <w:rPr>
          <w:noProof/>
        </w:rPr>
        <w:t>‘—</w:t>
      </w:r>
      <w:r w:rsidR="00F57213">
        <w:rPr>
          <w:noProof/>
        </w:rPr>
        <w:t xml:space="preserve"> </w:t>
      </w:r>
      <w:r w:rsidRPr="00B71CAB">
        <w:rPr>
          <w:noProof/>
        </w:rPr>
        <w:t>Intelligent Transport Systems service providers as defined in Article 4, point (5) of Directive 2010/40/EU of the European Parliament and of the Council</w:t>
      </w:r>
      <w:r w:rsidR="00677342">
        <w:rPr>
          <w:noProof/>
        </w:rPr>
        <w:t>*</w:t>
      </w:r>
      <w:r w:rsidR="006C1459">
        <w:rPr>
          <w:noProof/>
        </w:rPr>
        <w:t>**</w:t>
      </w:r>
    </w:p>
    <w:p w14:paraId="468040AA" w14:textId="77777777" w:rsidR="00677342" w:rsidRDefault="00677342" w:rsidP="0004366C">
      <w:pPr>
        <w:pStyle w:val="Text2"/>
        <w:rPr>
          <w:noProof/>
        </w:rPr>
      </w:pPr>
      <w:r>
        <w:rPr>
          <w:noProof/>
        </w:rPr>
        <w:t>__________</w:t>
      </w:r>
    </w:p>
    <w:p w14:paraId="1372556E" w14:textId="4E7F25B1" w:rsidR="00B744CB" w:rsidRPr="00B71CAB" w:rsidRDefault="006C1459" w:rsidP="0004366C">
      <w:pPr>
        <w:pStyle w:val="Text2"/>
        <w:rPr>
          <w:noProof/>
        </w:rPr>
      </w:pPr>
      <w:r>
        <w:rPr>
          <w:noProof/>
        </w:rPr>
        <w:t>**</w:t>
      </w:r>
      <w:r w:rsidR="00CF2F8A">
        <w:rPr>
          <w:noProof/>
        </w:rPr>
        <w:t xml:space="preserve">* </w:t>
      </w:r>
      <w:r w:rsidR="00CF2F8A" w:rsidRPr="00CF2F8A">
        <w:rPr>
          <w:noProof/>
        </w:rPr>
        <w:t>Directive 2010/40/EU of the European Parliament and of the Council of 7 July 2010 on the framework for the deployment of Intelligent Transport Systems in the field of road transport and for interfaces with other modes of transport (OJ L 207, 6.8.2010, p. 1</w:t>
      </w:r>
      <w:r w:rsidR="009073C4">
        <w:rPr>
          <w:noProof/>
        </w:rPr>
        <w:t xml:space="preserve">, </w:t>
      </w:r>
      <w:r w:rsidR="009073C4" w:rsidRPr="00C06393">
        <w:rPr>
          <w:noProof/>
        </w:rPr>
        <w:t xml:space="preserve">ELI: </w:t>
      </w:r>
      <w:hyperlink r:id="rId18" w:tooltip="Gives access to this document through its ELI URI." w:history="1">
        <w:r w:rsidR="00C06393" w:rsidRPr="00F57213">
          <w:rPr>
            <w:rStyle w:val="Hyperlink"/>
            <w:noProof/>
          </w:rPr>
          <w:t>http://data.europa.eu/eli/dir/2010/40/oj</w:t>
        </w:r>
      </w:hyperlink>
      <w:r w:rsidR="00C06393" w:rsidRPr="00F57213">
        <w:rPr>
          <w:noProof/>
        </w:rPr>
        <w:t xml:space="preserve"> </w:t>
      </w:r>
      <w:r w:rsidR="00CF2F8A" w:rsidRPr="00C06393">
        <w:rPr>
          <w:noProof/>
        </w:rPr>
        <w:t>).</w:t>
      </w:r>
      <w:r w:rsidR="00B744CB" w:rsidRPr="00B71CAB">
        <w:rPr>
          <w:noProof/>
        </w:rPr>
        <w:t>’;</w:t>
      </w:r>
    </w:p>
    <w:p w14:paraId="24440C78" w14:textId="37F673E6" w:rsidR="00B744CB" w:rsidRPr="00B71CAB" w:rsidRDefault="00A47CD4" w:rsidP="0004366C">
      <w:pPr>
        <w:pStyle w:val="Point1letter"/>
        <w:rPr>
          <w:noProof/>
        </w:rPr>
      </w:pPr>
      <w:r>
        <w:rPr>
          <w:noProof/>
        </w:rPr>
        <w:t>i</w:t>
      </w:r>
      <w:r w:rsidR="00B744CB" w:rsidRPr="00B71CAB">
        <w:rPr>
          <w:noProof/>
        </w:rPr>
        <w:t xml:space="preserve">n point 5, the first indent </w:t>
      </w:r>
      <w:r w:rsidR="00735765">
        <w:rPr>
          <w:noProof/>
          <w:lang w:val="en-IE"/>
        </w:rPr>
        <w:t>in the third column</w:t>
      </w:r>
      <w:r w:rsidR="00735765" w:rsidRPr="00B71CAB">
        <w:rPr>
          <w:noProof/>
        </w:rPr>
        <w:t xml:space="preserve"> </w:t>
      </w:r>
      <w:r w:rsidR="00B744CB" w:rsidRPr="00B71CAB">
        <w:rPr>
          <w:noProof/>
        </w:rPr>
        <w:t>is replaced by the following:</w:t>
      </w:r>
    </w:p>
    <w:p w14:paraId="3588F88A" w14:textId="16A86F2F" w:rsidR="009073C4" w:rsidRDefault="00B744CB" w:rsidP="0004366C">
      <w:pPr>
        <w:pStyle w:val="Text2"/>
        <w:rPr>
          <w:noProof/>
        </w:rPr>
      </w:pPr>
      <w:r w:rsidRPr="00B71CAB">
        <w:rPr>
          <w:noProof/>
        </w:rPr>
        <w:t>‘—</w:t>
      </w:r>
      <w:r w:rsidR="00F57213">
        <w:rPr>
          <w:noProof/>
        </w:rPr>
        <w:t xml:space="preserve"> </w:t>
      </w:r>
      <w:r w:rsidRPr="00B71CAB">
        <w:rPr>
          <w:noProof/>
        </w:rPr>
        <w:t>Healthcare providers as defined in Article 3, point (g), of Directive 2011/24/EU of the European Parliament and of the Council</w:t>
      </w:r>
      <w:r w:rsidR="00A47CD4">
        <w:rPr>
          <w:noProof/>
        </w:rPr>
        <w:t>*</w:t>
      </w:r>
      <w:r w:rsidR="006C1459">
        <w:rPr>
          <w:noProof/>
        </w:rPr>
        <w:t>***</w:t>
      </w:r>
      <w:r w:rsidRPr="00B71CAB">
        <w:rPr>
          <w:noProof/>
        </w:rPr>
        <w:t>, excluding providers of services to which Directive 2011/24/EU does not apply pursuant to its Article 1(3)</w:t>
      </w:r>
      <w:r w:rsidR="00A47CD4">
        <w:rPr>
          <w:noProof/>
        </w:rPr>
        <w:t>,</w:t>
      </w:r>
      <w:r w:rsidRPr="00B71CAB">
        <w:rPr>
          <w:noProof/>
        </w:rPr>
        <w:t xml:space="preserve"> point (a)’</w:t>
      </w:r>
    </w:p>
    <w:p w14:paraId="2E577D69" w14:textId="77777777" w:rsidR="009073C4" w:rsidRDefault="009073C4" w:rsidP="0004366C">
      <w:pPr>
        <w:pStyle w:val="Text2"/>
        <w:rPr>
          <w:noProof/>
        </w:rPr>
      </w:pPr>
      <w:r>
        <w:rPr>
          <w:noProof/>
        </w:rPr>
        <w:t>__________</w:t>
      </w:r>
    </w:p>
    <w:p w14:paraId="619F1136" w14:textId="61AC6A86" w:rsidR="00B744CB" w:rsidRPr="00B71CAB" w:rsidRDefault="009073C4" w:rsidP="0004366C">
      <w:pPr>
        <w:pStyle w:val="Text2"/>
        <w:rPr>
          <w:noProof/>
        </w:rPr>
      </w:pPr>
      <w:r>
        <w:rPr>
          <w:noProof/>
        </w:rPr>
        <w:lastRenderedPageBreak/>
        <w:t>*</w:t>
      </w:r>
      <w:r w:rsidR="006C1459">
        <w:rPr>
          <w:noProof/>
        </w:rPr>
        <w:t>***</w:t>
      </w:r>
      <w:r w:rsidRPr="009073C4">
        <w:rPr>
          <w:noProof/>
        </w:rPr>
        <w:t>Directive 2011/24/EU of the European Parliament and of the Council of 9 March 2011 on the application of patients’ rights in cross-border healthcare (OJ L 88, 4.4.2011, p</w:t>
      </w:r>
      <w:r w:rsidRPr="00C06393">
        <w:rPr>
          <w:noProof/>
        </w:rPr>
        <w:t>. 45, ELI:</w:t>
      </w:r>
      <w:r w:rsidR="00C06393" w:rsidRPr="00F57213">
        <w:rPr>
          <w:noProof/>
        </w:rPr>
        <w:t xml:space="preserve"> </w:t>
      </w:r>
      <w:hyperlink r:id="rId19" w:tooltip="Gives access to this document through its ELI URI." w:history="1">
        <w:r w:rsidR="00C06393" w:rsidRPr="00F57213">
          <w:rPr>
            <w:rStyle w:val="Hyperlink"/>
            <w:noProof/>
          </w:rPr>
          <w:t>http://data.europa.eu/eli/dir/2011/24/oj</w:t>
        </w:r>
      </w:hyperlink>
      <w:r w:rsidRPr="00C06393">
        <w:rPr>
          <w:noProof/>
        </w:rPr>
        <w:t>).</w:t>
      </w:r>
      <w:r w:rsidR="00B744CB" w:rsidRPr="00C06393">
        <w:rPr>
          <w:noProof/>
        </w:rPr>
        <w:t>;</w:t>
      </w:r>
      <w:r w:rsidR="00B744CB" w:rsidRPr="00B71CAB">
        <w:rPr>
          <w:noProof/>
        </w:rPr>
        <w:t xml:space="preserve"> </w:t>
      </w:r>
    </w:p>
    <w:p w14:paraId="2E64389C" w14:textId="0BC73D83" w:rsidR="00B744CB" w:rsidRPr="00B71CAB" w:rsidRDefault="00B744CB" w:rsidP="0004366C">
      <w:pPr>
        <w:pStyle w:val="Point1letter"/>
        <w:rPr>
          <w:noProof/>
        </w:rPr>
      </w:pPr>
      <w:r w:rsidRPr="00B71CAB">
        <w:rPr>
          <w:noProof/>
        </w:rPr>
        <w:t xml:space="preserve">in point 8, </w:t>
      </w:r>
      <w:r w:rsidR="00735765">
        <w:rPr>
          <w:noProof/>
          <w:lang w:val="en-IE"/>
        </w:rPr>
        <w:t>the third column</w:t>
      </w:r>
      <w:r w:rsidR="008773E1">
        <w:rPr>
          <w:noProof/>
          <w:lang w:val="en-IE"/>
        </w:rPr>
        <w:t>,</w:t>
      </w:r>
      <w:r w:rsidR="00735765" w:rsidRPr="00B71CAB">
        <w:rPr>
          <w:noProof/>
        </w:rPr>
        <w:t xml:space="preserve"> </w:t>
      </w:r>
      <w:r w:rsidRPr="00B71CAB">
        <w:rPr>
          <w:noProof/>
        </w:rPr>
        <w:t>the following indents are added:</w:t>
      </w:r>
    </w:p>
    <w:p w14:paraId="55DC730A" w14:textId="1039B59A" w:rsidR="00B744CB" w:rsidRPr="00B71CAB" w:rsidRDefault="00B744CB" w:rsidP="0004366C">
      <w:pPr>
        <w:pStyle w:val="Text2"/>
        <w:rPr>
          <w:noProof/>
        </w:rPr>
      </w:pPr>
      <w:r w:rsidRPr="00B71CAB">
        <w:rPr>
          <w:noProof/>
        </w:rPr>
        <w:t xml:space="preserve">‘— Providers of European Digital Identity Wallets pursuant to Article 5a(2) of Regulation (EU) </w:t>
      </w:r>
      <w:r w:rsidR="00953194">
        <w:rPr>
          <w:noProof/>
        </w:rPr>
        <w:t xml:space="preserve">No </w:t>
      </w:r>
      <w:r w:rsidRPr="00B71CAB">
        <w:rPr>
          <w:noProof/>
        </w:rPr>
        <w:t xml:space="preserve">910/2014 </w:t>
      </w:r>
    </w:p>
    <w:p w14:paraId="05363395" w14:textId="0F65CA7A" w:rsidR="00B744CB" w:rsidRPr="00B71CAB" w:rsidRDefault="00B744CB" w:rsidP="0004366C">
      <w:pPr>
        <w:pStyle w:val="Text2"/>
        <w:rPr>
          <w:noProof/>
        </w:rPr>
      </w:pPr>
      <w:r w:rsidRPr="00B71CAB">
        <w:rPr>
          <w:noProof/>
        </w:rPr>
        <w:t>— Providers of European Business Wallets pursuant to</w:t>
      </w:r>
      <w:r w:rsidR="00D90BE8">
        <w:rPr>
          <w:noProof/>
        </w:rPr>
        <w:t xml:space="preserve"> Regulation (EU) […]</w:t>
      </w:r>
      <w:r w:rsidRPr="00B71CAB">
        <w:rPr>
          <w:noProof/>
        </w:rPr>
        <w:t xml:space="preserve"> [OJ to insert reference to the Regulation of the European Parliament and of the Council establishing the European Business Wallets]</w:t>
      </w:r>
    </w:p>
    <w:p w14:paraId="0B6592A8" w14:textId="7BE1B753" w:rsidR="00B744CB" w:rsidRPr="00B71CAB" w:rsidRDefault="00B744CB" w:rsidP="0004366C">
      <w:pPr>
        <w:pStyle w:val="Text2"/>
        <w:rPr>
          <w:noProof/>
        </w:rPr>
      </w:pPr>
      <w:r w:rsidRPr="00B71CAB">
        <w:rPr>
          <w:noProof/>
        </w:rPr>
        <w:t>— Operators of submarine data transmission infrastructure where they are not covered as another type of entity’;</w:t>
      </w:r>
    </w:p>
    <w:p w14:paraId="52B7DAFF" w14:textId="69A46DC9" w:rsidR="00B744CB" w:rsidRPr="00B71CAB" w:rsidRDefault="00FE7C75" w:rsidP="0004366C">
      <w:pPr>
        <w:pStyle w:val="NumPar1"/>
        <w:rPr>
          <w:noProof/>
        </w:rPr>
      </w:pPr>
      <w:r>
        <w:rPr>
          <w:noProof/>
        </w:rPr>
        <w:t xml:space="preserve">in </w:t>
      </w:r>
      <w:r w:rsidR="00B744CB" w:rsidRPr="00B71CAB">
        <w:rPr>
          <w:noProof/>
        </w:rPr>
        <w:t>Annex II</w:t>
      </w:r>
      <w:r w:rsidR="0095030E">
        <w:rPr>
          <w:noProof/>
        </w:rPr>
        <w:t>, point 3 is amended as follows:</w:t>
      </w:r>
    </w:p>
    <w:p w14:paraId="725949AB" w14:textId="63FAC84F" w:rsidR="00B744CB" w:rsidRPr="00B71CAB" w:rsidRDefault="00B744CB" w:rsidP="00922EA8">
      <w:pPr>
        <w:pStyle w:val="Point1letter"/>
        <w:numPr>
          <w:ilvl w:val="3"/>
          <w:numId w:val="11"/>
        </w:numPr>
        <w:rPr>
          <w:noProof/>
        </w:rPr>
      </w:pPr>
      <w:r w:rsidRPr="00B71CAB">
        <w:rPr>
          <w:noProof/>
        </w:rPr>
        <w:t>the text in the first column is replaced by the following:</w:t>
      </w:r>
    </w:p>
    <w:p w14:paraId="666C0793" w14:textId="77777777" w:rsidR="00B744CB" w:rsidRPr="00B71CAB" w:rsidRDefault="00B744CB" w:rsidP="0004366C">
      <w:pPr>
        <w:pStyle w:val="Text2"/>
        <w:rPr>
          <w:noProof/>
        </w:rPr>
      </w:pPr>
      <w:r w:rsidRPr="00B71CAB">
        <w:rPr>
          <w:noProof/>
        </w:rPr>
        <w:t>‘3. Manufacture and production of chemicals’;</w:t>
      </w:r>
    </w:p>
    <w:p w14:paraId="596B8651" w14:textId="7BDC4329" w:rsidR="00B744CB" w:rsidRPr="00B71CAB" w:rsidRDefault="00B744CB" w:rsidP="0004366C">
      <w:pPr>
        <w:pStyle w:val="Point1letter"/>
        <w:rPr>
          <w:noProof/>
        </w:rPr>
      </w:pPr>
      <w:r w:rsidRPr="00B71CAB">
        <w:rPr>
          <w:noProof/>
        </w:rPr>
        <w:t>the text in the third column is replaced by the following:</w:t>
      </w:r>
    </w:p>
    <w:p w14:paraId="0D0CAB31" w14:textId="1664175F" w:rsidR="00B744CB" w:rsidRPr="00B71CAB" w:rsidRDefault="00B744CB" w:rsidP="0004366C">
      <w:pPr>
        <w:pStyle w:val="Text2"/>
        <w:rPr>
          <w:noProof/>
        </w:rPr>
      </w:pPr>
      <w:r w:rsidRPr="00B71CAB">
        <w:rPr>
          <w:noProof/>
        </w:rPr>
        <w:t>‘— Undertakings carrying out the manufacture of substances, as referred to in Article 3, point (9)</w:t>
      </w:r>
      <w:r w:rsidR="00953194">
        <w:rPr>
          <w:noProof/>
        </w:rPr>
        <w:t>,</w:t>
      </w:r>
      <w:r w:rsidRPr="00B71CAB">
        <w:rPr>
          <w:noProof/>
        </w:rPr>
        <w:t xml:space="preserve"> of Regulation (EC) No 1907/2006 of the European Parliament and of the Council*</w:t>
      </w:r>
      <w:r w:rsidR="006C1459">
        <w:rPr>
          <w:noProof/>
        </w:rPr>
        <w:t>****</w:t>
      </w:r>
      <w:r w:rsidRPr="00B71CAB">
        <w:rPr>
          <w:noProof/>
        </w:rPr>
        <w:t>, where the undertaking is subject to the general obligation to register substances on their own or in mixtures pursuant to Article 6 of Regulation (EC) No 1907/2006</w:t>
      </w:r>
    </w:p>
    <w:p w14:paraId="3A104181" w14:textId="2B55C766" w:rsidR="00B744CB" w:rsidRDefault="00B744CB" w:rsidP="0004366C">
      <w:pPr>
        <w:pStyle w:val="Text2"/>
        <w:rPr>
          <w:noProof/>
        </w:rPr>
      </w:pPr>
      <w:r w:rsidRPr="00B71CAB">
        <w:rPr>
          <w:noProof/>
        </w:rPr>
        <w:t>— Undertakings carrying out the production of articles, as defined in Article 3, point (3) of Regulation (EC) No 1907/2006, from substances or mixtures, where the undertaking is subject to the obligation to notify substances in articles pursuant to Article 7(2) of Regulation (EC) No 1907/2006’</w:t>
      </w:r>
    </w:p>
    <w:p w14:paraId="537F8676" w14:textId="391CC34F" w:rsidR="0070450E" w:rsidRPr="00B71CAB" w:rsidRDefault="0070450E" w:rsidP="0004366C">
      <w:pPr>
        <w:pStyle w:val="Text2"/>
        <w:rPr>
          <w:noProof/>
        </w:rPr>
      </w:pPr>
      <w:r>
        <w:rPr>
          <w:noProof/>
        </w:rPr>
        <w:t>_________</w:t>
      </w:r>
    </w:p>
    <w:p w14:paraId="60CC7A5F" w14:textId="17BC86F2" w:rsidR="00905D22" w:rsidRPr="00B744CB" w:rsidRDefault="00B744CB" w:rsidP="0004366C">
      <w:pPr>
        <w:pStyle w:val="Text2"/>
        <w:rPr>
          <w:noProof/>
        </w:rPr>
      </w:pPr>
      <w:r w:rsidRPr="00B71CAB">
        <w:rPr>
          <w:noProof/>
        </w:rPr>
        <w:t>*</w:t>
      </w:r>
      <w:r w:rsidR="006C1459">
        <w:rPr>
          <w:noProof/>
        </w:rPr>
        <w:t>****</w:t>
      </w:r>
      <w:r w:rsidRPr="00B71CAB">
        <w:rPr>
          <w:noProof/>
        </w:rPr>
        <w:t xml:space="preserve"> Regulation (EC) No 1907/2006 of the European Parliament and of the Council of 18 December 2006 concerning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 1, ELI: http://data.europa.eu/eli/reg/2006/1907/oj)</w:t>
      </w:r>
      <w:r w:rsidRPr="00F663D9">
        <w:rPr>
          <w:noProof/>
        </w:rPr>
        <w:t>.</w:t>
      </w:r>
      <w:r w:rsidR="0070450E">
        <w:rPr>
          <w:noProof/>
        </w:rPr>
        <w:t>’</w:t>
      </w:r>
    </w:p>
    <w:sectPr w:rsidR="00905D22" w:rsidRPr="00B744CB" w:rsidSect="009A7DCB">
      <w:headerReference w:type="even" r:id="rId20"/>
      <w:footerReference w:type="even" r:id="rId21"/>
      <w:footerReference w:type="default" r:id="rId22"/>
      <w:headerReference w:type="first" r:id="rId23"/>
      <w:footerReference w:type="first" r:id="rId2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6AA056" w14:textId="77777777" w:rsidR="003F691C" w:rsidRDefault="003F691C" w:rsidP="00B744CB">
      <w:pPr>
        <w:spacing w:before="0" w:after="0"/>
      </w:pPr>
      <w:r>
        <w:separator/>
      </w:r>
    </w:p>
  </w:endnote>
  <w:endnote w:type="continuationSeparator" w:id="0">
    <w:p w14:paraId="28D5AC2F" w14:textId="77777777" w:rsidR="003F691C" w:rsidRDefault="003F691C" w:rsidP="00B744C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0B6B5" w14:textId="70232F7D" w:rsidR="009A7DCB" w:rsidRPr="009A7DCB" w:rsidRDefault="009A7DCB" w:rsidP="009A7DCB">
    <w:pPr>
      <w:pStyle w:val="Footer"/>
      <w:rPr>
        <w:rFonts w:ascii="Arial" w:hAnsi="Arial" w:cs="Arial"/>
        <w:b/>
        <w:sz w:val="48"/>
      </w:rPr>
    </w:pPr>
    <w:r w:rsidRPr="009A7DCB">
      <w:rPr>
        <w:rFonts w:ascii="Arial" w:hAnsi="Arial" w:cs="Arial"/>
        <w:b/>
        <w:sz w:val="48"/>
      </w:rPr>
      <w:t>EN</w:t>
    </w:r>
    <w:r w:rsidRPr="009A7DCB">
      <w:rPr>
        <w:rFonts w:ascii="Arial" w:hAnsi="Arial" w:cs="Arial"/>
        <w:b/>
        <w:sz w:val="48"/>
      </w:rPr>
      <w:tab/>
    </w:r>
    <w:r w:rsidRPr="009A7DCB">
      <w:rPr>
        <w:rFonts w:ascii="Arial" w:hAnsi="Arial" w:cs="Arial"/>
        <w:b/>
        <w:sz w:val="48"/>
      </w:rPr>
      <w:tab/>
    </w:r>
    <w:r w:rsidRPr="009A7DCB">
      <w:tab/>
    </w:r>
    <w:r w:rsidRPr="009A7DC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D2EDC" w14:textId="425C489C" w:rsidR="009A7DCB" w:rsidRPr="009A7DCB" w:rsidRDefault="009A7DCB" w:rsidP="009A7DCB">
    <w:pPr>
      <w:pStyle w:val="Footer"/>
      <w:rPr>
        <w:rFonts w:ascii="Arial" w:hAnsi="Arial" w:cs="Arial"/>
        <w:b/>
        <w:sz w:val="48"/>
      </w:rPr>
    </w:pPr>
    <w:r w:rsidRPr="009A7DCB">
      <w:rPr>
        <w:rFonts w:ascii="Arial" w:hAnsi="Arial" w:cs="Arial"/>
        <w:b/>
        <w:sz w:val="48"/>
      </w:rPr>
      <w:t>EN</w:t>
    </w:r>
    <w:r w:rsidRPr="009A7DCB">
      <w:rPr>
        <w:rFonts w:ascii="Arial" w:hAnsi="Arial" w:cs="Arial"/>
        <w:b/>
        <w:sz w:val="48"/>
      </w:rPr>
      <w:tab/>
    </w:r>
    <w:r w:rsidRPr="009A7DCB">
      <w:rPr>
        <w:rFonts w:ascii="Arial" w:hAnsi="Arial" w:cs="Arial"/>
        <w:b/>
        <w:sz w:val="48"/>
      </w:rPr>
      <w:tab/>
    </w:r>
    <w:r w:rsidRPr="009A7DCB">
      <w:tab/>
    </w:r>
    <w:r w:rsidRPr="009A7DC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43F63" w14:textId="77777777" w:rsidR="009A7DCB" w:rsidRPr="009A7DCB" w:rsidRDefault="009A7DCB" w:rsidP="009A7D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DF9FF" w14:textId="77777777" w:rsidR="009A7DCB" w:rsidRDefault="009A7D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712FD" w14:textId="72A9C6FD" w:rsidR="009A7DCB" w:rsidRPr="009A7DCB" w:rsidRDefault="009A7DCB" w:rsidP="009A7DCB">
    <w:pPr>
      <w:pStyle w:val="Footer"/>
      <w:rPr>
        <w:rFonts w:ascii="Arial" w:hAnsi="Arial" w:cs="Arial"/>
        <w:b/>
        <w:sz w:val="48"/>
      </w:rPr>
    </w:pPr>
    <w:r w:rsidRPr="009A7DCB">
      <w:rPr>
        <w:rFonts w:ascii="Arial" w:hAnsi="Arial" w:cs="Arial"/>
        <w:b/>
        <w:sz w:val="48"/>
      </w:rPr>
      <w:t>EN</w:t>
    </w:r>
    <w:r w:rsidRPr="009A7DCB">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9A7DCB">
      <w:tab/>
    </w:r>
    <w:r w:rsidRPr="009A7DCB">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9A397" w14:textId="77777777" w:rsidR="009A7DCB" w:rsidRDefault="009A7DCB" w:rsidP="009A7D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2D0271" w14:textId="77777777" w:rsidR="003F691C" w:rsidRDefault="003F691C" w:rsidP="00B744CB">
      <w:pPr>
        <w:spacing w:before="0" w:after="0"/>
      </w:pPr>
      <w:r>
        <w:separator/>
      </w:r>
    </w:p>
  </w:footnote>
  <w:footnote w:type="continuationSeparator" w:id="0">
    <w:p w14:paraId="5ADA527D" w14:textId="77777777" w:rsidR="003F691C" w:rsidRDefault="003F691C" w:rsidP="00B744C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4C740" w14:textId="77777777" w:rsidR="009A7DCB" w:rsidRPr="009A7DCB" w:rsidRDefault="009A7DCB" w:rsidP="009A7D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14032" w14:textId="77777777" w:rsidR="009A7DCB" w:rsidRPr="009A7DCB" w:rsidRDefault="009A7DCB" w:rsidP="009A7D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B951B" w14:textId="77777777" w:rsidR="009A7DCB" w:rsidRPr="009A7DCB" w:rsidRDefault="009A7DCB" w:rsidP="009A7D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00BF0" w14:textId="77777777" w:rsidR="009A7DCB" w:rsidRDefault="009A7D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8D141" w14:textId="77777777" w:rsidR="009A7DCB" w:rsidRDefault="009A7D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F9A9C2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952D95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9180CA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846BB8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1B609C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90AB44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AC8DC6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790420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1"/>
  </w:num>
  <w:num w:numId="10">
    <w:abstractNumId w:val="0"/>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2"/>
  </w:num>
  <w:num w:numId="14">
    <w:abstractNumId w:val="21"/>
  </w:num>
  <w:num w:numId="15">
    <w:abstractNumId w:val="11"/>
  </w:num>
  <w:num w:numId="16">
    <w:abstractNumId w:val="13"/>
  </w:num>
  <w:num w:numId="17">
    <w:abstractNumId w:val="14"/>
  </w:num>
  <w:num w:numId="18">
    <w:abstractNumId w:val="9"/>
  </w:num>
  <w:num w:numId="19">
    <w:abstractNumId w:val="20"/>
  </w:num>
  <w:num w:numId="20">
    <w:abstractNumId w:val="8"/>
  </w:num>
  <w:num w:numId="21">
    <w:abstractNumId w:val="15"/>
  </w:num>
  <w:num w:numId="22">
    <w:abstractNumId w:val="17"/>
  </w:num>
  <w:num w:numId="23">
    <w:abstractNumId w:val="18"/>
  </w:num>
  <w:num w:numId="24">
    <w:abstractNumId w:val="10"/>
  </w:num>
  <w:num w:numId="25">
    <w:abstractNumId w:val="16"/>
  </w:num>
  <w:num w:numId="26">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3 14:44: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0CCCE963-4311-4BF9-A9DC-5360C53F44C2"/>
    <w:docVar w:name="LW_COVERPAGE_TYPE" w:val="1"/>
    <w:docVar w:name="LW_CreatedUtc" w:val="2026-01-06T14:59:28.4331101Z"/>
    <w:docVar w:name="LW_CROSSREFERENCE" w:val="&lt;UNUSED&gt;"/>
    <w:docVar w:name="LW_DocType" w:val="ANNEX"/>
    <w:docVar w:name="LW_EMISSION" w:val="20.1.2026"/>
    <w:docVar w:name="LW_EMISSION_ISODATE" w:val="2026-01-20"/>
    <w:docVar w:name="LW_EMISSION_LOCATION" w:val="STR"/>
    <w:docVar w:name="LW_EMISSION_PREFIX" w:val="Strasbourg,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mending Directive (EU) 2022/2555 as regards simplification measures and alignment with the [Proposal for the Cybersecurity Act 2]"/>
    <w:docVar w:name="LW_OBJETACTEPRINCIPAL.CP" w:val="amending Directive (EU) 2022/2555 as regards simplification measures and alignment with the [Proposal for the Cybersecurity Act 2]"/>
    <w:docVar w:name="LW_PART_NBR" w:val="1"/>
    <w:docVar w:name="LW_PART_NBR_TOTAL" w:val="1"/>
    <w:docVar w:name="LW_REF.INST.NEW" w:val="COM"/>
    <w:docVar w:name="LW_REF.INST.NEW_ADOPTED" w:val="final"/>
    <w:docVar w:name="LW_REF.INST.NEW_TEXT" w:val="(2026) 1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DIRECTIVE OF THE EUROPEAN PARLIAMENT AND OF THE COUNCIL"/>
    <w:docVar w:name="LW_TYPEACTEPRINCIPAL.CP" w:val="PROPOSAL FOR A DIRECTIVE OF THE EUROPEAN PARLIAMENT AND OF THE COUNCIL"/>
    <w:docVar w:name="LwApiVersions" w:val="LW4CoDe 1.24.5.0; LW 9.2, Build 20251112"/>
  </w:docVars>
  <w:rsids>
    <w:rsidRoot w:val="00B744CB"/>
    <w:rsid w:val="0004366C"/>
    <w:rsid w:val="0007673B"/>
    <w:rsid w:val="00087DE7"/>
    <w:rsid w:val="00165C23"/>
    <w:rsid w:val="00165C4F"/>
    <w:rsid w:val="00174B65"/>
    <w:rsid w:val="001852AE"/>
    <w:rsid w:val="0019211F"/>
    <w:rsid w:val="001C4531"/>
    <w:rsid w:val="001F343E"/>
    <w:rsid w:val="001F56F3"/>
    <w:rsid w:val="00224F3F"/>
    <w:rsid w:val="0026251E"/>
    <w:rsid w:val="00283002"/>
    <w:rsid w:val="002F7176"/>
    <w:rsid w:val="00327B96"/>
    <w:rsid w:val="00341956"/>
    <w:rsid w:val="00343129"/>
    <w:rsid w:val="00365424"/>
    <w:rsid w:val="00387B33"/>
    <w:rsid w:val="003E06CD"/>
    <w:rsid w:val="003F2A7C"/>
    <w:rsid w:val="003F5CEF"/>
    <w:rsid w:val="003F691C"/>
    <w:rsid w:val="00453F6C"/>
    <w:rsid w:val="004638C2"/>
    <w:rsid w:val="00492EB7"/>
    <w:rsid w:val="004A0484"/>
    <w:rsid w:val="00542A20"/>
    <w:rsid w:val="005450C3"/>
    <w:rsid w:val="005453BF"/>
    <w:rsid w:val="005D3148"/>
    <w:rsid w:val="005E03AD"/>
    <w:rsid w:val="00622E69"/>
    <w:rsid w:val="00626670"/>
    <w:rsid w:val="00626E37"/>
    <w:rsid w:val="00662880"/>
    <w:rsid w:val="00662E8B"/>
    <w:rsid w:val="00664E52"/>
    <w:rsid w:val="00675C6A"/>
    <w:rsid w:val="00677342"/>
    <w:rsid w:val="006A2723"/>
    <w:rsid w:val="006A6BCB"/>
    <w:rsid w:val="006C1459"/>
    <w:rsid w:val="00700370"/>
    <w:rsid w:val="0070450E"/>
    <w:rsid w:val="00735765"/>
    <w:rsid w:val="00741D1F"/>
    <w:rsid w:val="00773346"/>
    <w:rsid w:val="007B6F09"/>
    <w:rsid w:val="007C39B8"/>
    <w:rsid w:val="007E5B83"/>
    <w:rsid w:val="007F7C22"/>
    <w:rsid w:val="008147CC"/>
    <w:rsid w:val="00822003"/>
    <w:rsid w:val="00844E12"/>
    <w:rsid w:val="008508E7"/>
    <w:rsid w:val="008773E1"/>
    <w:rsid w:val="008C49C8"/>
    <w:rsid w:val="008C6674"/>
    <w:rsid w:val="008D6398"/>
    <w:rsid w:val="008E4013"/>
    <w:rsid w:val="00905D22"/>
    <w:rsid w:val="009073C4"/>
    <w:rsid w:val="009142F1"/>
    <w:rsid w:val="00922EA8"/>
    <w:rsid w:val="0095030E"/>
    <w:rsid w:val="00953194"/>
    <w:rsid w:val="009535FF"/>
    <w:rsid w:val="00992B00"/>
    <w:rsid w:val="009A7DCB"/>
    <w:rsid w:val="009B302B"/>
    <w:rsid w:val="00A12A21"/>
    <w:rsid w:val="00A1596C"/>
    <w:rsid w:val="00A357E9"/>
    <w:rsid w:val="00A47CD4"/>
    <w:rsid w:val="00A562E8"/>
    <w:rsid w:val="00A6243B"/>
    <w:rsid w:val="00A71F6D"/>
    <w:rsid w:val="00AB1652"/>
    <w:rsid w:val="00AC568E"/>
    <w:rsid w:val="00B678BB"/>
    <w:rsid w:val="00B744CB"/>
    <w:rsid w:val="00BA4F3C"/>
    <w:rsid w:val="00BB30BC"/>
    <w:rsid w:val="00BB66DD"/>
    <w:rsid w:val="00BC46F5"/>
    <w:rsid w:val="00BD705C"/>
    <w:rsid w:val="00C06393"/>
    <w:rsid w:val="00C063BC"/>
    <w:rsid w:val="00C25CE3"/>
    <w:rsid w:val="00C35F4F"/>
    <w:rsid w:val="00C51318"/>
    <w:rsid w:val="00C723D8"/>
    <w:rsid w:val="00C902D2"/>
    <w:rsid w:val="00C953CA"/>
    <w:rsid w:val="00CB40F7"/>
    <w:rsid w:val="00CC1610"/>
    <w:rsid w:val="00CC1707"/>
    <w:rsid w:val="00CF2F8A"/>
    <w:rsid w:val="00D0341E"/>
    <w:rsid w:val="00D14711"/>
    <w:rsid w:val="00D2084E"/>
    <w:rsid w:val="00D328C4"/>
    <w:rsid w:val="00D33986"/>
    <w:rsid w:val="00D41F97"/>
    <w:rsid w:val="00D90BE8"/>
    <w:rsid w:val="00D963AA"/>
    <w:rsid w:val="00DB6627"/>
    <w:rsid w:val="00DB6FFE"/>
    <w:rsid w:val="00E359C4"/>
    <w:rsid w:val="00E411F8"/>
    <w:rsid w:val="00E61040"/>
    <w:rsid w:val="00EA72DF"/>
    <w:rsid w:val="00ED53EA"/>
    <w:rsid w:val="00EF0C1D"/>
    <w:rsid w:val="00F2013C"/>
    <w:rsid w:val="00F243E2"/>
    <w:rsid w:val="00F57213"/>
    <w:rsid w:val="00F7024E"/>
    <w:rsid w:val="00F82260"/>
    <w:rsid w:val="00FE7C75"/>
    <w:rsid w:val="00FF2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184F0BE"/>
  <w15:docId w15:val="{22DDDE71-8327-44DF-9152-3D0379C5B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366C"/>
    <w:pPr>
      <w:ind w:left="720"/>
      <w:contextualSpacing/>
    </w:pPr>
  </w:style>
  <w:style w:type="paragraph" w:styleId="Caption">
    <w:name w:val="caption"/>
    <w:basedOn w:val="Normal"/>
    <w:next w:val="Normal"/>
    <w:uiPriority w:val="35"/>
    <w:semiHidden/>
    <w:unhideWhenUsed/>
    <w:qFormat/>
    <w:rsid w:val="00A1596C"/>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1596C"/>
    <w:pPr>
      <w:spacing w:after="0"/>
    </w:pPr>
  </w:style>
  <w:style w:type="paragraph" w:styleId="ListBullet">
    <w:name w:val="List Bullet"/>
    <w:basedOn w:val="Normal"/>
    <w:uiPriority w:val="99"/>
    <w:semiHidden/>
    <w:unhideWhenUsed/>
    <w:rsid w:val="00A1596C"/>
    <w:pPr>
      <w:numPr>
        <w:numId w:val="1"/>
      </w:numPr>
      <w:contextualSpacing/>
    </w:pPr>
  </w:style>
  <w:style w:type="paragraph" w:styleId="ListBullet2">
    <w:name w:val="List Bullet 2"/>
    <w:basedOn w:val="Normal"/>
    <w:uiPriority w:val="99"/>
    <w:semiHidden/>
    <w:unhideWhenUsed/>
    <w:rsid w:val="00A1596C"/>
    <w:pPr>
      <w:numPr>
        <w:numId w:val="2"/>
      </w:numPr>
      <w:contextualSpacing/>
    </w:pPr>
  </w:style>
  <w:style w:type="paragraph" w:styleId="ListBullet3">
    <w:name w:val="List Bullet 3"/>
    <w:basedOn w:val="Normal"/>
    <w:uiPriority w:val="99"/>
    <w:semiHidden/>
    <w:unhideWhenUsed/>
    <w:rsid w:val="00A1596C"/>
    <w:pPr>
      <w:numPr>
        <w:numId w:val="3"/>
      </w:numPr>
      <w:contextualSpacing/>
    </w:pPr>
  </w:style>
  <w:style w:type="paragraph" w:styleId="ListBullet4">
    <w:name w:val="List Bullet 4"/>
    <w:basedOn w:val="Normal"/>
    <w:uiPriority w:val="99"/>
    <w:semiHidden/>
    <w:unhideWhenUsed/>
    <w:rsid w:val="00A1596C"/>
    <w:pPr>
      <w:numPr>
        <w:numId w:val="4"/>
      </w:numPr>
      <w:contextualSpacing/>
    </w:pPr>
  </w:style>
  <w:style w:type="paragraph" w:styleId="ListNumber">
    <w:name w:val="List Number"/>
    <w:basedOn w:val="Normal"/>
    <w:uiPriority w:val="99"/>
    <w:semiHidden/>
    <w:unhideWhenUsed/>
    <w:rsid w:val="00A1596C"/>
    <w:pPr>
      <w:numPr>
        <w:numId w:val="7"/>
      </w:numPr>
      <w:contextualSpacing/>
    </w:pPr>
  </w:style>
  <w:style w:type="paragraph" w:styleId="ListNumber2">
    <w:name w:val="List Number 2"/>
    <w:basedOn w:val="Normal"/>
    <w:uiPriority w:val="99"/>
    <w:semiHidden/>
    <w:unhideWhenUsed/>
    <w:rsid w:val="00A1596C"/>
    <w:pPr>
      <w:numPr>
        <w:numId w:val="8"/>
      </w:numPr>
      <w:contextualSpacing/>
    </w:pPr>
  </w:style>
  <w:style w:type="paragraph" w:styleId="ListNumber3">
    <w:name w:val="List Number 3"/>
    <w:basedOn w:val="Normal"/>
    <w:uiPriority w:val="99"/>
    <w:semiHidden/>
    <w:unhideWhenUsed/>
    <w:rsid w:val="00A1596C"/>
    <w:pPr>
      <w:numPr>
        <w:numId w:val="9"/>
      </w:numPr>
      <w:contextualSpacing/>
    </w:pPr>
  </w:style>
  <w:style w:type="paragraph" w:styleId="ListNumber4">
    <w:name w:val="List Number 4"/>
    <w:basedOn w:val="Normal"/>
    <w:uiPriority w:val="99"/>
    <w:semiHidden/>
    <w:unhideWhenUsed/>
    <w:rsid w:val="00A1596C"/>
    <w:pPr>
      <w:numPr>
        <w:numId w:val="10"/>
      </w:numPr>
      <w:contextualSpacing/>
    </w:pPr>
  </w:style>
  <w:style w:type="paragraph" w:styleId="Revision">
    <w:name w:val="Revision"/>
    <w:hidden/>
    <w:uiPriority w:val="99"/>
    <w:semiHidden/>
    <w:rsid w:val="00EA72DF"/>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C35F4F"/>
    <w:rPr>
      <w:sz w:val="16"/>
      <w:szCs w:val="16"/>
    </w:rPr>
  </w:style>
  <w:style w:type="paragraph" w:styleId="CommentText">
    <w:name w:val="annotation text"/>
    <w:basedOn w:val="Normal"/>
    <w:link w:val="CommentTextChar"/>
    <w:uiPriority w:val="99"/>
    <w:unhideWhenUsed/>
    <w:rsid w:val="00C35F4F"/>
    <w:rPr>
      <w:sz w:val="20"/>
      <w:szCs w:val="20"/>
    </w:rPr>
  </w:style>
  <w:style w:type="character" w:customStyle="1" w:styleId="CommentTextChar">
    <w:name w:val="Comment Text Char"/>
    <w:basedOn w:val="DefaultParagraphFont"/>
    <w:link w:val="CommentText"/>
    <w:uiPriority w:val="99"/>
    <w:rsid w:val="00C35F4F"/>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35F4F"/>
    <w:rPr>
      <w:b/>
      <w:bCs/>
    </w:rPr>
  </w:style>
  <w:style w:type="character" w:customStyle="1" w:styleId="CommentSubjectChar">
    <w:name w:val="Comment Subject Char"/>
    <w:basedOn w:val="CommentTextChar"/>
    <w:link w:val="CommentSubject"/>
    <w:uiPriority w:val="99"/>
    <w:semiHidden/>
    <w:rsid w:val="00C35F4F"/>
    <w:rPr>
      <w:rFonts w:ascii="Times New Roman" w:hAnsi="Times New Roman" w:cs="Times New Roman"/>
      <w:b/>
      <w:bCs/>
      <w:sz w:val="20"/>
      <w:szCs w:val="20"/>
      <w:lang w:val="en-GB"/>
    </w:rPr>
  </w:style>
  <w:style w:type="character" w:styleId="Hyperlink">
    <w:name w:val="Hyperlink"/>
    <w:basedOn w:val="DefaultParagraphFont"/>
    <w:uiPriority w:val="99"/>
    <w:unhideWhenUsed/>
    <w:rsid w:val="00C06393"/>
    <w:rPr>
      <w:color w:val="0000FF" w:themeColor="hyperlink"/>
      <w:u w:val="single"/>
    </w:rPr>
  </w:style>
  <w:style w:type="character" w:customStyle="1" w:styleId="UnresolvedMention">
    <w:name w:val="Unresolved Mention"/>
    <w:basedOn w:val="DefaultParagraphFont"/>
    <w:uiPriority w:val="99"/>
    <w:semiHidden/>
    <w:unhideWhenUsed/>
    <w:rsid w:val="00C06393"/>
    <w:rPr>
      <w:color w:val="605E5C"/>
      <w:shd w:val="clear" w:color="auto" w:fill="E1DFDD"/>
    </w:rPr>
  </w:style>
  <w:style w:type="character" w:customStyle="1" w:styleId="HeaderChar">
    <w:name w:val="Header Char"/>
    <w:basedOn w:val="DefaultParagraphFont"/>
    <w:link w:val="Header"/>
    <w:uiPriority w:val="99"/>
    <w:rsid w:val="009A7DCB"/>
    <w:rPr>
      <w:rFonts w:ascii="Times New Roman" w:hAnsi="Times New Roman" w:cs="Times New Roman"/>
      <w:sz w:val="24"/>
      <w:lang w:val="en-GB"/>
    </w:rPr>
  </w:style>
  <w:style w:type="character" w:customStyle="1" w:styleId="FooterChar">
    <w:name w:val="Footer Char"/>
    <w:basedOn w:val="DefaultParagraphFont"/>
    <w:link w:val="Footer"/>
    <w:uiPriority w:val="99"/>
    <w:rsid w:val="009A7DCB"/>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A7DC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A7DCB"/>
    <w:pPr>
      <w:spacing w:before="0"/>
      <w:jc w:val="right"/>
    </w:pPr>
    <w:rPr>
      <w:sz w:val="28"/>
    </w:rPr>
  </w:style>
  <w:style w:type="paragraph" w:customStyle="1" w:styleId="FooterSensitivity">
    <w:name w:val="Footer Sensitivity"/>
    <w:basedOn w:val="Normal"/>
    <w:rsid w:val="009A7DC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Tiret5">
    <w:name w:val="Tiret 5"/>
    <w:basedOn w:val="Point5"/>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NumPar5">
    <w:name w:val="NumPar 5"/>
    <w:basedOn w:val="Normal"/>
    <w:next w:val="Text2"/>
    <w:pPr>
      <w:numPr>
        <w:ilvl w:val="4"/>
        <w:numId w:val="18"/>
      </w:numPr>
    </w:pPr>
  </w:style>
  <w:style w:type="paragraph" w:customStyle="1" w:styleId="NumPar6">
    <w:name w:val="NumPar 6"/>
    <w:basedOn w:val="Normal"/>
    <w:next w:val="Text2"/>
    <w:pPr>
      <w:numPr>
        <w:ilvl w:val="5"/>
        <w:numId w:val="18"/>
      </w:numPr>
    </w:pPr>
  </w:style>
  <w:style w:type="paragraph" w:customStyle="1" w:styleId="NumPar7">
    <w:name w:val="NumPar 7"/>
    <w:basedOn w:val="Normal"/>
    <w:next w:val="Text2"/>
    <w:pPr>
      <w:numPr>
        <w:ilvl w:val="6"/>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9A7DCB"/>
    <w:pPr>
      <w:tabs>
        <w:tab w:val="center" w:pos="4535"/>
        <w:tab w:val="right" w:pos="9071"/>
      </w:tabs>
      <w:spacing w:before="0"/>
    </w:pPr>
  </w:style>
  <w:style w:type="paragraph" w:customStyle="1" w:styleId="HeaderLandscape">
    <w:name w:val="HeaderLandscape"/>
    <w:basedOn w:val="Normal"/>
    <w:rsid w:val="009A7DCB"/>
    <w:pPr>
      <w:tabs>
        <w:tab w:val="center" w:pos="7285"/>
        <w:tab w:val="right" w:pos="14003"/>
      </w:tabs>
      <w:spacing w:before="0"/>
    </w:pPr>
  </w:style>
  <w:style w:type="paragraph" w:styleId="Footer">
    <w:name w:val="footer"/>
    <w:basedOn w:val="Normal"/>
    <w:link w:val="FooterChar"/>
    <w:uiPriority w:val="99"/>
    <w:unhideWhenUsed/>
    <w:rsid w:val="009A7DC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A7DC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data.europa.eu/eli/dir/2010/40/oj"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data.europa.eu/eli/dir/2019/944/oj"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5.xml"/><Relationship Id="rId10" Type="http://schemas.openxmlformats.org/officeDocument/2006/relationships/image" Target="media/image1.emf"/><Relationship Id="rId19" Type="http://schemas.openxmlformats.org/officeDocument/2006/relationships/hyperlink" Target="http://data.europa.eu/eli/dir/2011/24/oj"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E4C256644B1F4B85DA68459515BD43" ma:contentTypeVersion="14" ma:contentTypeDescription="Create a new document." ma:contentTypeScope="" ma:versionID="f223542554cb0ce4cf2bbe13cdab2243">
  <xsd:schema xmlns:xsd="http://www.w3.org/2001/XMLSchema" xmlns:xs="http://www.w3.org/2001/XMLSchema" xmlns:p="http://schemas.microsoft.com/office/2006/metadata/properties" xmlns:ns2="38bff204-815c-433e-ac1e-0e2c1d11bbad" xmlns:ns3="7058b7d0-6f54-43d0-ac9b-f95b90dfb0dc" xmlns:ns4="f195b89a-6091-4440-adbd-c71fa697943d" targetNamespace="http://schemas.microsoft.com/office/2006/metadata/properties" ma:root="true" ma:fieldsID="16cea3280056aef03efa5ea375640a73" ns2:_="" ns3:_="" ns4:_="">
    <xsd:import namespace="38bff204-815c-433e-ac1e-0e2c1d11bbad"/>
    <xsd:import namespace="7058b7d0-6f54-43d0-ac9b-f95b90dfb0dc"/>
    <xsd:import namespace="f195b89a-6091-4440-adbd-c71fa69794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ff204-815c-433e-ac1e-0e2c1d11b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95b89a-6091-4440-adbd-c71fa697943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6daf7f1-67a6-42f7-a497-dd2ed39ddeb6}" ma:internalName="TaxCatchAll" ma:showField="CatchAllData" ma:web="f195b89a-6091-4440-adbd-c71fa69794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195b89a-6091-4440-adbd-c71fa697943d" xsi:nil="true"/>
    <lcf76f155ced4ddcb4097134ff3c332f xmlns="38bff204-815c-433e-ac1e-0e2c1d11bbad">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872C17-67AA-4F8F-82B7-C9B806C42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bff204-815c-433e-ac1e-0e2c1d11bbad"/>
    <ds:schemaRef ds:uri="7058b7d0-6f54-43d0-ac9b-f95b90dfb0dc"/>
    <ds:schemaRef ds:uri="f195b89a-6091-4440-adbd-c71fa6979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629AC5-52EB-40DF-B63C-78F65A7D6E07}">
  <ds:schemaRefs>
    <ds:schemaRef ds:uri="http://schemas.microsoft.com/office/2006/metadata/properties"/>
    <ds:schemaRef ds:uri="http://schemas.microsoft.com/office/infopath/2007/PartnerControls"/>
    <ds:schemaRef ds:uri="f195b89a-6091-4440-adbd-c71fa697943d"/>
    <ds:schemaRef ds:uri="38bff204-815c-433e-ac1e-0e2c1d11bbad"/>
  </ds:schemaRefs>
</ds:datastoreItem>
</file>

<file path=customXml/itemProps3.xml><?xml version="1.0" encoding="utf-8"?>
<ds:datastoreItem xmlns:ds="http://schemas.openxmlformats.org/officeDocument/2006/customXml" ds:itemID="{80D9D43E-CB48-454C-9529-0408CC16A6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0</TotalTime>
  <Pages>3</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cp:lastPrinted>2026-01-13T17:25:00Z</cp:lastPrinted>
  <dcterms:created xsi:type="dcterms:W3CDTF">2026-01-18T16:08:00Z</dcterms:created>
  <dcterms:modified xsi:type="dcterms:W3CDTF">2026-01-19T18:07:00Z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2026-01-06T15:07:38Z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96e97cef-be26-41ad-8442-6f3dcd92fabc</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0x010100DAE4C256644B1F4B85DA68459515BD43</vt:lpwstr>
  </property>
  <property fmtid="{D5CDD505-2E9C-101B-9397-08002B2CF9AE}" pid="22" name="MediaServiceImageTags">
    <vt:lpwstr/>
  </property>
  <property fmtid="{D5CDD505-2E9C-101B-9397-08002B2CF9AE}" pid="23" name="DQCStatus">
    <vt:lpwstr>Yellow (DQC version 03)</vt:lpwstr>
  </property>
</Properties>
</file>