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99A672" w14:textId="5D4B103B" w:rsidR="00B744CB" w:rsidRPr="003752DF" w:rsidRDefault="00CA5E8C" w:rsidP="00CA5E8C">
      <w:pPr>
        <w:pStyle w:val="Pagedecouverture"/>
        <w:rPr>
          <w:noProof/>
        </w:rPr>
      </w:pPr>
      <w:r>
        <w:rPr>
          <w:noProof/>
        </w:rPr>
        <w:pict w14:anchorId="26F388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4C6E31BC-2BFA-4CBF-8D01-74CDD4C9B301" style="width:455.25pt;height:368.25pt">
            <v:imagedata r:id="rId10" o:title=""/>
          </v:shape>
        </w:pict>
      </w:r>
    </w:p>
    <w:p w14:paraId="569334B6" w14:textId="77777777" w:rsidR="00B744CB" w:rsidRPr="003752DF" w:rsidRDefault="00B744CB" w:rsidP="00B744CB">
      <w:pPr>
        <w:rPr>
          <w:noProof/>
        </w:rPr>
        <w:sectPr w:rsidR="00B744CB" w:rsidRPr="003752DF" w:rsidSect="00CA5E8C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7" w:h="16839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685A0707" w14:textId="7631312D" w:rsidR="00B744CB" w:rsidRPr="003752DF" w:rsidRDefault="007E5B83" w:rsidP="007E5B83">
      <w:pPr>
        <w:pStyle w:val="Annexetitre"/>
        <w:rPr>
          <w:noProof/>
        </w:rPr>
      </w:pPr>
      <w:bookmarkStart w:id="0" w:name="_GoBack"/>
      <w:bookmarkEnd w:id="0"/>
      <w:r w:rsidRPr="003752DF">
        <w:rPr>
          <w:noProof/>
        </w:rPr>
        <w:lastRenderedPageBreak/>
        <w:t>ANEXĂ</w:t>
      </w:r>
    </w:p>
    <w:p w14:paraId="7DBFDA10" w14:textId="77777777" w:rsidR="00B744CB" w:rsidRPr="003752DF" w:rsidRDefault="00B744CB" w:rsidP="00B744CB">
      <w:pPr>
        <w:jc w:val="center"/>
        <w:rPr>
          <w:rFonts w:eastAsia="Times New Roman"/>
          <w:b/>
          <w:noProof/>
          <w:color w:val="000000" w:themeColor="text1"/>
          <w:szCs w:val="24"/>
        </w:rPr>
      </w:pPr>
      <w:r w:rsidRPr="003752DF">
        <w:rPr>
          <w:b/>
          <w:noProof/>
          <w:color w:val="000000" w:themeColor="text1"/>
        </w:rPr>
        <w:t>MODIFICĂRI ALE ANEXELOR I ȘI II LA DIRECTIVA (UE) 2022/2555</w:t>
      </w:r>
    </w:p>
    <w:p w14:paraId="3FCAB2DA" w14:textId="229FDD5F" w:rsidR="00B744CB" w:rsidRPr="003752DF" w:rsidRDefault="00B744CB" w:rsidP="00922EA8">
      <w:pPr>
        <w:pStyle w:val="NumPar1"/>
        <w:numPr>
          <w:ilvl w:val="0"/>
          <w:numId w:val="5"/>
        </w:numPr>
        <w:rPr>
          <w:noProof/>
        </w:rPr>
      </w:pPr>
      <w:r w:rsidRPr="003752DF">
        <w:rPr>
          <w:noProof/>
        </w:rPr>
        <w:t>Anexa I se modifică după cum urmează:</w:t>
      </w:r>
    </w:p>
    <w:p w14:paraId="5E3C23DE" w14:textId="10C3935D" w:rsidR="00B744CB" w:rsidRPr="003752DF" w:rsidRDefault="00B744CB" w:rsidP="00922EA8">
      <w:pPr>
        <w:pStyle w:val="Point1letter"/>
        <w:numPr>
          <w:ilvl w:val="3"/>
          <w:numId w:val="6"/>
        </w:numPr>
        <w:rPr>
          <w:noProof/>
        </w:rPr>
      </w:pPr>
      <w:r w:rsidRPr="003752DF">
        <w:rPr>
          <w:noProof/>
        </w:rPr>
        <w:t>la punctul 1 litera (a), textul de la</w:t>
      </w:r>
      <w:r w:rsidR="004B15A8">
        <w:rPr>
          <w:noProof/>
        </w:rPr>
        <w:t xml:space="preserve"> </w:t>
      </w:r>
      <w:r w:rsidRPr="003752DF">
        <w:rPr>
          <w:noProof/>
        </w:rPr>
        <w:t>a patra liniuță din a treia coloană se înlocuiește cu următorul text:</w:t>
      </w:r>
    </w:p>
    <w:p w14:paraId="4C28D60C" w14:textId="23F9E7C5" w:rsidR="00F57213" w:rsidRPr="003752DF" w:rsidRDefault="00B744CB" w:rsidP="00F57213">
      <w:pPr>
        <w:pStyle w:val="Text2"/>
        <w:rPr>
          <w:noProof/>
        </w:rPr>
      </w:pPr>
      <w:r w:rsidRPr="003752DF">
        <w:rPr>
          <w:noProof/>
        </w:rPr>
        <w:t>„— Producătorii, astfel cum sunt definiți la articolul 2 punctul 38 din Directiva</w:t>
      </w:r>
      <w:r w:rsidR="004B15A8">
        <w:rPr>
          <w:noProof/>
        </w:rPr>
        <w:t> </w:t>
      </w:r>
      <w:r w:rsidRPr="003752DF">
        <w:rPr>
          <w:noProof/>
        </w:rPr>
        <w:t>(UE) 2019/944 a Parlamentului European și a Consiliului*, cu excepția producătorilor a căror capacitate totală de producție nu depășește 1 MW</w:t>
      </w:r>
    </w:p>
    <w:p w14:paraId="35F0E308" w14:textId="118BE1AB" w:rsidR="00F57213" w:rsidRPr="003752DF" w:rsidRDefault="00F57213" w:rsidP="00F57213">
      <w:pPr>
        <w:pStyle w:val="Text2"/>
        <w:rPr>
          <w:noProof/>
        </w:rPr>
      </w:pPr>
      <w:r w:rsidRPr="003752DF">
        <w:rPr>
          <w:noProof/>
        </w:rPr>
        <w:t>__________</w:t>
      </w:r>
    </w:p>
    <w:p w14:paraId="4438F136" w14:textId="0D4F6539" w:rsidR="00B744CB" w:rsidRPr="003752DF" w:rsidRDefault="00992B00" w:rsidP="00F57213">
      <w:pPr>
        <w:pStyle w:val="Text2"/>
        <w:rPr>
          <w:noProof/>
        </w:rPr>
      </w:pPr>
      <w:r w:rsidRPr="003752DF">
        <w:rPr>
          <w:noProof/>
        </w:rPr>
        <w:t>*Directiva (UE) 2019/944 a Parlamentului European și a Consiliului din 5</w:t>
      </w:r>
      <w:r w:rsidR="004B15A8">
        <w:rPr>
          <w:noProof/>
        </w:rPr>
        <w:t> </w:t>
      </w:r>
      <w:r w:rsidRPr="003752DF">
        <w:rPr>
          <w:noProof/>
        </w:rPr>
        <w:t xml:space="preserve">iunie 2019 privind normele comune pentru piața internă de energie electrică și de modificare a Directivei 2012/27/UE (JO L 158, 14.6.2019, p. 125, ELI: </w:t>
      </w:r>
      <w:hyperlink r:id="rId17" w:tooltip="Oferă acces la acest document prin intermediul identificatorului său uniform de resurse ELI." w:history="1">
        <w:r w:rsidRPr="003752DF">
          <w:rPr>
            <w:rStyle w:val="Hyperlink"/>
            <w:noProof/>
          </w:rPr>
          <w:t>http://data.europa.eu/eli/dir/2019/944/oj</w:t>
        </w:r>
      </w:hyperlink>
      <w:r w:rsidRPr="003752DF">
        <w:rPr>
          <w:noProof/>
        </w:rPr>
        <w:t>.).”;</w:t>
      </w:r>
    </w:p>
    <w:p w14:paraId="3343D04C" w14:textId="5E7BC67C" w:rsidR="00F57213" w:rsidRPr="003752DF" w:rsidRDefault="00735765" w:rsidP="00F57213">
      <w:pPr>
        <w:pStyle w:val="Point1letter"/>
        <w:rPr>
          <w:noProof/>
        </w:rPr>
      </w:pPr>
      <w:r w:rsidRPr="003752DF">
        <w:rPr>
          <w:noProof/>
        </w:rPr>
        <w:t>la punctul 1 litera (e), textul din a treia coloană</w:t>
      </w:r>
      <w:r w:rsidR="004B15A8">
        <w:rPr>
          <w:noProof/>
        </w:rPr>
        <w:t xml:space="preserve"> </w:t>
      </w:r>
      <w:r w:rsidRPr="003752DF">
        <w:rPr>
          <w:noProof/>
        </w:rPr>
        <w:t>se înlocuiește cu următorul text:</w:t>
      </w:r>
    </w:p>
    <w:p w14:paraId="2865FA11" w14:textId="0580A4ED" w:rsidR="00B744CB" w:rsidRPr="003752DF" w:rsidRDefault="00B744CB" w:rsidP="0004366C">
      <w:pPr>
        <w:pStyle w:val="Text2"/>
        <w:rPr>
          <w:noProof/>
        </w:rPr>
      </w:pPr>
      <w:r w:rsidRPr="003752DF">
        <w:rPr>
          <w:noProof/>
        </w:rPr>
        <w:t>„— Întreprinderile din sectorul hidrogenului, astfel cum sunt definite la articolul 2 punctul 14 din Directiva (UE) 2024/1788 a Parlamentului European și a Consiliului**, care îndeplinesc funcția de „producție” în scopuri comerciale</w:t>
      </w:r>
    </w:p>
    <w:p w14:paraId="4341915B" w14:textId="53669645" w:rsidR="00B744CB" w:rsidRPr="003752DF" w:rsidRDefault="0004366C" w:rsidP="0004366C">
      <w:pPr>
        <w:pStyle w:val="Text2"/>
        <w:rPr>
          <w:rFonts w:eastAsia="Times New Roman"/>
          <w:noProof/>
          <w:color w:val="000000" w:themeColor="text1"/>
          <w:szCs w:val="24"/>
        </w:rPr>
      </w:pPr>
      <w:r w:rsidRPr="003752DF">
        <w:rPr>
          <w:noProof/>
        </w:rPr>
        <w:t xml:space="preserve">— Operatorii de înmagazinare a hidrogenului, astfel cum sunt definiți la articolul 2 punctul 6 din Directiva (UE) 2024/1788 </w:t>
      </w:r>
    </w:p>
    <w:p w14:paraId="61CCD5FC" w14:textId="77777777" w:rsidR="00DB6627" w:rsidRPr="003752DF" w:rsidRDefault="00B744CB" w:rsidP="0004366C">
      <w:pPr>
        <w:pStyle w:val="Text2"/>
        <w:rPr>
          <w:noProof/>
        </w:rPr>
      </w:pPr>
      <w:r w:rsidRPr="003752DF">
        <w:rPr>
          <w:noProof/>
        </w:rPr>
        <w:t>— Operatorii de rețele de transport de hidrogen, astfel cum sunt definiți la articolul 2 punctul 26 din Directiva (UE) 2024/1788</w:t>
      </w:r>
    </w:p>
    <w:p w14:paraId="7A339B15" w14:textId="77777777" w:rsidR="00DB6627" w:rsidRPr="003752DF" w:rsidRDefault="00DB6627" w:rsidP="00DB6627">
      <w:pPr>
        <w:pStyle w:val="Text2"/>
        <w:rPr>
          <w:noProof/>
        </w:rPr>
      </w:pPr>
      <w:r w:rsidRPr="003752DF">
        <w:rPr>
          <w:noProof/>
        </w:rPr>
        <w:t>__________</w:t>
      </w:r>
    </w:p>
    <w:p w14:paraId="457223C1" w14:textId="37CB9C59" w:rsidR="00B744CB" w:rsidRPr="003752DF" w:rsidRDefault="006C1459" w:rsidP="0004366C">
      <w:pPr>
        <w:pStyle w:val="Text2"/>
        <w:rPr>
          <w:noProof/>
        </w:rPr>
      </w:pPr>
      <w:r w:rsidRPr="003752DF">
        <w:rPr>
          <w:noProof/>
        </w:rPr>
        <w:t>** Directiva (UE) 2024/1788 a Parlamentului European și a Consiliului din 13 iunie 2024 privind normele comune pentru piețele interne în sectorul gazelor din surse regenerabile, al gazelor naturale și al hidrogenului, de modificare a Directivei (UE) 2023/1791 și de abrogare a</w:t>
      </w:r>
      <w:r w:rsidR="004B15A8">
        <w:rPr>
          <w:noProof/>
        </w:rPr>
        <w:t xml:space="preserve"> </w:t>
      </w:r>
      <w:r w:rsidRPr="003752DF">
        <w:rPr>
          <w:noProof/>
        </w:rPr>
        <w:t>Directivei</w:t>
      </w:r>
      <w:r w:rsidR="004B15A8">
        <w:rPr>
          <w:noProof/>
        </w:rPr>
        <w:t> </w:t>
      </w:r>
      <w:r w:rsidRPr="003752DF">
        <w:rPr>
          <w:noProof/>
        </w:rPr>
        <w:t>2009/73/CE (JO L, 2024/1788, 15.7.2024, ELI: http://data.europa.eu/eli/dir/2024/1788/oj);”</w:t>
      </w:r>
    </w:p>
    <w:p w14:paraId="46D278D5" w14:textId="6AF3DA81" w:rsidR="00B744CB" w:rsidRPr="003752DF" w:rsidRDefault="00B744CB" w:rsidP="0004366C">
      <w:pPr>
        <w:pStyle w:val="Point1letter"/>
        <w:rPr>
          <w:noProof/>
        </w:rPr>
      </w:pPr>
      <w:r w:rsidRPr="003752DF">
        <w:rPr>
          <w:noProof/>
        </w:rPr>
        <w:t>la punctul 2 litera (d), textul</w:t>
      </w:r>
      <w:r w:rsidR="004B15A8">
        <w:rPr>
          <w:noProof/>
        </w:rPr>
        <w:t xml:space="preserve"> </w:t>
      </w:r>
      <w:r w:rsidRPr="003752DF">
        <w:rPr>
          <w:noProof/>
        </w:rPr>
        <w:t>de la a doua liniuță din a treia coloană se înlocuiește cu următorul text:</w:t>
      </w:r>
    </w:p>
    <w:p w14:paraId="1988580A" w14:textId="5C4A4F72" w:rsidR="00677342" w:rsidRPr="003752DF" w:rsidRDefault="00B744CB" w:rsidP="0004366C">
      <w:pPr>
        <w:pStyle w:val="Text2"/>
        <w:rPr>
          <w:noProof/>
        </w:rPr>
      </w:pPr>
      <w:r w:rsidRPr="003752DF">
        <w:rPr>
          <w:noProof/>
        </w:rPr>
        <w:t>„— Furnizorii de servicii pentru sisteme de transport inteligente, astfel cum sunt definiți la articolul 4 punctul 5 din Directiva 2010/40/UE a Parlamentului</w:t>
      </w:r>
      <w:r w:rsidR="004B15A8">
        <w:rPr>
          <w:noProof/>
        </w:rPr>
        <w:t> </w:t>
      </w:r>
      <w:r w:rsidRPr="003752DF">
        <w:rPr>
          <w:noProof/>
        </w:rPr>
        <w:t>European și a Consiliului***</w:t>
      </w:r>
    </w:p>
    <w:p w14:paraId="468040AA" w14:textId="77777777" w:rsidR="00677342" w:rsidRPr="003752DF" w:rsidRDefault="00677342" w:rsidP="0004366C">
      <w:pPr>
        <w:pStyle w:val="Text2"/>
        <w:rPr>
          <w:noProof/>
        </w:rPr>
      </w:pPr>
      <w:r w:rsidRPr="003752DF">
        <w:rPr>
          <w:noProof/>
        </w:rPr>
        <w:t>__________</w:t>
      </w:r>
    </w:p>
    <w:p w14:paraId="1372556E" w14:textId="2EE3F232" w:rsidR="00B744CB" w:rsidRPr="003752DF" w:rsidRDefault="006C1459" w:rsidP="0004366C">
      <w:pPr>
        <w:pStyle w:val="Text2"/>
        <w:rPr>
          <w:noProof/>
        </w:rPr>
      </w:pPr>
      <w:r w:rsidRPr="003752DF">
        <w:rPr>
          <w:noProof/>
        </w:rPr>
        <w:t>*** Directiva 2010/40/UE a Parlamentului European și a Consiliului din 7 iulie</w:t>
      </w:r>
      <w:r w:rsidR="004B15A8">
        <w:rPr>
          <w:noProof/>
        </w:rPr>
        <w:t> </w:t>
      </w:r>
      <w:r w:rsidRPr="003752DF">
        <w:rPr>
          <w:noProof/>
        </w:rPr>
        <w:t xml:space="preserve">2010 privind cadrul pentru implementarea sistemelor de transport inteligente în domeniul transportului rutier și pentru interfețele cu alte moduri de transport (JO L 207, 6.8.2010, p. 1, ELI: </w:t>
      </w:r>
      <w:hyperlink r:id="rId18" w:tooltip="Oferă acces la acest document prin intermediul identificatorului său uniform de resurse ELI." w:history="1">
        <w:r w:rsidRPr="003752DF">
          <w:rPr>
            <w:rStyle w:val="Hyperlink"/>
            <w:noProof/>
          </w:rPr>
          <w:t>http://data.europa.eu/eli/dir/2010/40/oj</w:t>
        </w:r>
      </w:hyperlink>
      <w:r w:rsidRPr="003752DF">
        <w:rPr>
          <w:noProof/>
        </w:rPr>
        <w:t xml:space="preserve"> ).”;</w:t>
      </w:r>
    </w:p>
    <w:p w14:paraId="24440C78" w14:textId="67D1DFFF" w:rsidR="00B744CB" w:rsidRPr="003752DF" w:rsidRDefault="00A47CD4" w:rsidP="0004366C">
      <w:pPr>
        <w:pStyle w:val="Point1letter"/>
        <w:rPr>
          <w:noProof/>
        </w:rPr>
      </w:pPr>
      <w:r w:rsidRPr="003752DF">
        <w:rPr>
          <w:noProof/>
        </w:rPr>
        <w:t>la punctul 5, textul de la prima liniuță din</w:t>
      </w:r>
      <w:r w:rsidR="004B15A8">
        <w:rPr>
          <w:noProof/>
        </w:rPr>
        <w:t xml:space="preserve"> </w:t>
      </w:r>
      <w:r w:rsidRPr="003752DF">
        <w:rPr>
          <w:noProof/>
        </w:rPr>
        <w:t>a treia coloană se înlocuiește cu următorul text:</w:t>
      </w:r>
    </w:p>
    <w:p w14:paraId="3588F88A" w14:textId="16A86F2F" w:rsidR="009073C4" w:rsidRPr="003752DF" w:rsidRDefault="00B744CB" w:rsidP="0004366C">
      <w:pPr>
        <w:pStyle w:val="Text2"/>
        <w:rPr>
          <w:noProof/>
        </w:rPr>
      </w:pPr>
      <w:r w:rsidRPr="003752DF">
        <w:rPr>
          <w:noProof/>
        </w:rPr>
        <w:lastRenderedPageBreak/>
        <w:t>„— Furnizorii de servicii medicale, astfel cum sunt definiți la articolul 3 litera (g) din Directiva 2011/24/UE a Parlamentului European și a Consiliului****, cu excepția furnizorilor de servicii cărora nu li se aplică Directiva 2011/24/UE în temeiul articolului 1 alineatul (3) litera (a)</w:t>
      </w:r>
    </w:p>
    <w:p w14:paraId="2E577D69" w14:textId="77777777" w:rsidR="009073C4" w:rsidRPr="003752DF" w:rsidRDefault="009073C4" w:rsidP="0004366C">
      <w:pPr>
        <w:pStyle w:val="Text2"/>
        <w:rPr>
          <w:noProof/>
        </w:rPr>
      </w:pPr>
      <w:r w:rsidRPr="003752DF">
        <w:rPr>
          <w:noProof/>
        </w:rPr>
        <w:t>__________</w:t>
      </w:r>
    </w:p>
    <w:p w14:paraId="619F1136" w14:textId="61AC6A86" w:rsidR="00B744CB" w:rsidRPr="003752DF" w:rsidRDefault="009073C4" w:rsidP="0004366C">
      <w:pPr>
        <w:pStyle w:val="Text2"/>
        <w:rPr>
          <w:noProof/>
        </w:rPr>
      </w:pPr>
      <w:r w:rsidRPr="003752DF">
        <w:rPr>
          <w:noProof/>
        </w:rPr>
        <w:t xml:space="preserve">****Directiva 2011/24/UE a Parlamentului European și a Consiliului din 9 martie 2011 privind aplicarea drepturilor pacienților în cadrul asistenței medicale transfrontaliere (JO L 88, 4.4.2011, p. 45, ELI: </w:t>
      </w:r>
      <w:hyperlink r:id="rId19" w:tooltip="Oferă acces la acest document prin intermediul identificatorului său uniform de resurse ELI." w:history="1">
        <w:r w:rsidRPr="003752DF">
          <w:rPr>
            <w:rStyle w:val="Hyperlink"/>
            <w:noProof/>
          </w:rPr>
          <w:t>http://data.europa.eu/eli/dir/2011/24/oj</w:t>
        </w:r>
      </w:hyperlink>
      <w:r w:rsidRPr="003752DF">
        <w:rPr>
          <w:noProof/>
        </w:rPr>
        <w:t xml:space="preserve">).”; </w:t>
      </w:r>
    </w:p>
    <w:p w14:paraId="2E64389C" w14:textId="0BC73D83" w:rsidR="00B744CB" w:rsidRPr="003752DF" w:rsidRDefault="00B744CB" w:rsidP="0004366C">
      <w:pPr>
        <w:pStyle w:val="Point1letter"/>
        <w:rPr>
          <w:noProof/>
        </w:rPr>
      </w:pPr>
      <w:r w:rsidRPr="003752DF">
        <w:rPr>
          <w:noProof/>
        </w:rPr>
        <w:t>la punctul 8, a treia coloană, se adaugă următoarele liniuțe:</w:t>
      </w:r>
    </w:p>
    <w:p w14:paraId="55DC730A" w14:textId="1039B59A" w:rsidR="00B744CB" w:rsidRPr="003752DF" w:rsidRDefault="00B744CB" w:rsidP="0004366C">
      <w:pPr>
        <w:pStyle w:val="Text2"/>
        <w:rPr>
          <w:noProof/>
        </w:rPr>
      </w:pPr>
      <w:r w:rsidRPr="003752DF">
        <w:rPr>
          <w:noProof/>
        </w:rPr>
        <w:t xml:space="preserve">„— Furnizorii de portofele europene pentru identitatea digitală, în temeiul articolului 5a alineatul (2) din Regulamentul (UE) nr. 910/2014 </w:t>
      </w:r>
    </w:p>
    <w:p w14:paraId="05363395" w14:textId="0F65CA7A" w:rsidR="00B744CB" w:rsidRPr="003752DF" w:rsidRDefault="00B744CB" w:rsidP="0004366C">
      <w:pPr>
        <w:pStyle w:val="Text2"/>
        <w:rPr>
          <w:noProof/>
        </w:rPr>
      </w:pPr>
      <w:r w:rsidRPr="003752DF">
        <w:rPr>
          <w:noProof/>
        </w:rPr>
        <w:t>— Furnizorii de portofele europene pentru întreprinderi în temeiul Regulamentului (UE) [...] [JO: a se introduce trimiterea la Regulamentul Parlamentului European și al Consiliului de instituire a portofelelor europene pentru întreprinderi]</w:t>
      </w:r>
    </w:p>
    <w:p w14:paraId="0B6592A8" w14:textId="7BE1B753" w:rsidR="00B744CB" w:rsidRPr="003752DF" w:rsidRDefault="00B744CB" w:rsidP="0004366C">
      <w:pPr>
        <w:pStyle w:val="Text2"/>
        <w:rPr>
          <w:noProof/>
        </w:rPr>
      </w:pPr>
      <w:r w:rsidRPr="003752DF">
        <w:rPr>
          <w:noProof/>
        </w:rPr>
        <w:t>— Operatorii de infrastructuri submarine de transmisie a datelor, în cazul în care aceștia nu se încadrează într-un alt tip de entitate”.</w:t>
      </w:r>
    </w:p>
    <w:p w14:paraId="52B7DAFF" w14:textId="69A46DC9" w:rsidR="00B744CB" w:rsidRPr="003752DF" w:rsidRDefault="00FE7C75" w:rsidP="0004366C">
      <w:pPr>
        <w:pStyle w:val="NumPar1"/>
        <w:rPr>
          <w:noProof/>
        </w:rPr>
      </w:pPr>
      <w:r w:rsidRPr="003752DF">
        <w:rPr>
          <w:noProof/>
        </w:rPr>
        <w:t>În anexa II, punctul 3 se modifică după cum urmează:</w:t>
      </w:r>
    </w:p>
    <w:p w14:paraId="725949AB" w14:textId="63FAC84F" w:rsidR="00B744CB" w:rsidRPr="003752DF" w:rsidRDefault="00B744CB" w:rsidP="00922EA8">
      <w:pPr>
        <w:pStyle w:val="Point1letter"/>
        <w:numPr>
          <w:ilvl w:val="3"/>
          <w:numId w:val="11"/>
        </w:numPr>
        <w:rPr>
          <w:noProof/>
        </w:rPr>
      </w:pPr>
      <w:r w:rsidRPr="003752DF">
        <w:rPr>
          <w:noProof/>
        </w:rPr>
        <w:t>textul din prima coloană se înlocuiește cu următorul text:</w:t>
      </w:r>
    </w:p>
    <w:p w14:paraId="666C0793" w14:textId="77777777" w:rsidR="00B744CB" w:rsidRPr="003752DF" w:rsidRDefault="00B744CB" w:rsidP="0004366C">
      <w:pPr>
        <w:pStyle w:val="Text2"/>
        <w:rPr>
          <w:noProof/>
        </w:rPr>
      </w:pPr>
      <w:r w:rsidRPr="003752DF">
        <w:rPr>
          <w:noProof/>
        </w:rPr>
        <w:t>„(3) Fabricarea și producția de substanțe chimice”;</w:t>
      </w:r>
    </w:p>
    <w:p w14:paraId="596B8651" w14:textId="7BDC4329" w:rsidR="00B744CB" w:rsidRPr="003752DF" w:rsidRDefault="00B744CB" w:rsidP="0004366C">
      <w:pPr>
        <w:pStyle w:val="Point1letter"/>
        <w:rPr>
          <w:noProof/>
        </w:rPr>
      </w:pPr>
      <w:r w:rsidRPr="003752DF">
        <w:rPr>
          <w:noProof/>
        </w:rPr>
        <w:t>textul din a treia coloană se înlocuiește cu următorul text:</w:t>
      </w:r>
    </w:p>
    <w:p w14:paraId="0D0CAB31" w14:textId="68B612A3" w:rsidR="00B744CB" w:rsidRPr="003752DF" w:rsidRDefault="00B744CB" w:rsidP="0004366C">
      <w:pPr>
        <w:pStyle w:val="Text2"/>
        <w:rPr>
          <w:noProof/>
        </w:rPr>
      </w:pPr>
      <w:r w:rsidRPr="003752DF">
        <w:rPr>
          <w:noProof/>
        </w:rPr>
        <w:t>„— Întreprinderile care produc</w:t>
      </w:r>
      <w:r w:rsidR="004B15A8">
        <w:rPr>
          <w:noProof/>
        </w:rPr>
        <w:t xml:space="preserve"> </w:t>
      </w:r>
      <w:r w:rsidRPr="003752DF">
        <w:rPr>
          <w:noProof/>
        </w:rPr>
        <w:t>substanțe, astfel cum se menționează la articolul 3 punctul 9 din Regulamentul (CE) nr. 1907/2006 al Parlamentului European și al Consiliului*****, în cazul în care întreprinderea este supusă obligației generale de înregistrare a substanțelor ca atare sau în amestecuri în temeiul articolului 6 din Regulamentul (CE) nr. 1907/2006</w:t>
      </w:r>
    </w:p>
    <w:p w14:paraId="3A104181" w14:textId="2B55C766" w:rsidR="00B744CB" w:rsidRPr="003752DF" w:rsidRDefault="00B744CB" w:rsidP="0004366C">
      <w:pPr>
        <w:pStyle w:val="Text2"/>
        <w:rPr>
          <w:noProof/>
        </w:rPr>
      </w:pPr>
      <w:r w:rsidRPr="003752DF">
        <w:rPr>
          <w:noProof/>
        </w:rPr>
        <w:t>— Întreprinderile care desfășoară activități de fabricare de articole, astfel cum sunt definite aceste activități la articolul 3 punctul 3 din Regulamentul (CE) nr. 1907/2006, din substanțe sau amestecuri, în cazul în care întreprinderea este supusă obligației de notificare a substanțelor din articole în temeiul articolului 7 alineatul (2) din Regulamentul (CE) nr. 1907/2006</w:t>
      </w:r>
    </w:p>
    <w:p w14:paraId="537F8676" w14:textId="391CC34F" w:rsidR="0070450E" w:rsidRPr="003752DF" w:rsidRDefault="0070450E" w:rsidP="0004366C">
      <w:pPr>
        <w:pStyle w:val="Text2"/>
        <w:rPr>
          <w:noProof/>
        </w:rPr>
      </w:pPr>
      <w:r w:rsidRPr="003752DF">
        <w:rPr>
          <w:noProof/>
        </w:rPr>
        <w:t>_________</w:t>
      </w:r>
    </w:p>
    <w:p w14:paraId="60CC7A5F" w14:textId="17BC86F2" w:rsidR="00905D22" w:rsidRPr="003752DF" w:rsidRDefault="00B744CB" w:rsidP="0004366C">
      <w:pPr>
        <w:pStyle w:val="Text2"/>
        <w:rPr>
          <w:noProof/>
        </w:rPr>
      </w:pPr>
      <w:r w:rsidRPr="003752DF">
        <w:rPr>
          <w:noProof/>
        </w:rPr>
        <w:t>***** Regulamentul (CE) nr. 1907/2006 al Parlamentului European și al Consiliului din 18 decembrie 2006 privind înregistrarea, evaluarea, autorizarea și restricționarea substanțelor chimice (REACH), de înființare a Agenției Europene pentru Produse Chimice, de modificare a Directivei 1999/45/CE și de abrogare a Regulamentului (CEE) nr. 793/93 al Consiliului și a Regulamentului (CE) nr. 1488/94 al Comisiei, precum și a Directivei 76/769/CEE a Consiliului și a Directivelor 91/155/CEE, 93/67/CEE, 93/105/CE și 2000/21/CE ale Comisiei (JO L 396, 30.12.2006, p. 1, ELI: http://data.europa.eu/eli/reg/2006/1907/oj).”</w:t>
      </w:r>
    </w:p>
    <w:sectPr w:rsidR="00905D22" w:rsidRPr="003752DF" w:rsidSect="00CA5E8C">
      <w:headerReference w:type="even" r:id="rId20"/>
      <w:footerReference w:type="even" r:id="rId21"/>
      <w:footerReference w:type="default" r:id="rId22"/>
      <w:headerReference w:type="first" r:id="rId23"/>
      <w:footerReference w:type="first" r:id="rId24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B25442" w14:textId="77777777" w:rsidR="00AC568E" w:rsidRDefault="00AC568E" w:rsidP="00B744CB">
      <w:pPr>
        <w:spacing w:before="0" w:after="0"/>
      </w:pPr>
      <w:r>
        <w:separator/>
      </w:r>
    </w:p>
  </w:endnote>
  <w:endnote w:type="continuationSeparator" w:id="0">
    <w:p w14:paraId="2B4EFC9B" w14:textId="77777777" w:rsidR="00AC568E" w:rsidRDefault="00AC568E" w:rsidP="00B744C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7B344" w14:textId="35FD028C" w:rsidR="00CA5E8C" w:rsidRPr="00CA5E8C" w:rsidRDefault="00CA5E8C" w:rsidP="00CA5E8C">
    <w:pPr>
      <w:pStyle w:val="Footer"/>
      <w:rPr>
        <w:rFonts w:ascii="Arial" w:hAnsi="Arial" w:cs="Arial"/>
        <w:b/>
        <w:sz w:val="48"/>
      </w:rPr>
    </w:pPr>
    <w:r w:rsidRPr="00CA5E8C">
      <w:rPr>
        <w:rFonts w:ascii="Arial" w:hAnsi="Arial" w:cs="Arial"/>
        <w:b/>
        <w:sz w:val="48"/>
      </w:rPr>
      <w:t>RO</w:t>
    </w:r>
    <w:r w:rsidRPr="00CA5E8C">
      <w:rPr>
        <w:rFonts w:ascii="Arial" w:hAnsi="Arial" w:cs="Arial"/>
        <w:b/>
        <w:sz w:val="48"/>
      </w:rPr>
      <w:tab/>
    </w:r>
    <w:r w:rsidRPr="00CA5E8C">
      <w:rPr>
        <w:rFonts w:ascii="Arial" w:hAnsi="Arial" w:cs="Arial"/>
        <w:b/>
        <w:sz w:val="48"/>
      </w:rPr>
      <w:tab/>
    </w:r>
    <w:r w:rsidRPr="00CA5E8C">
      <w:tab/>
    </w:r>
    <w:r w:rsidRPr="00CA5E8C">
      <w:rPr>
        <w:rFonts w:ascii="Arial" w:hAnsi="Arial" w:cs="Arial"/>
        <w:b/>
        <w:sz w:val="48"/>
      </w:rPr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60484F" w14:textId="072E6B78" w:rsidR="00CA5E8C" w:rsidRPr="00CA5E8C" w:rsidRDefault="00CA5E8C" w:rsidP="00CA5E8C">
    <w:pPr>
      <w:pStyle w:val="Footer"/>
      <w:rPr>
        <w:rFonts w:ascii="Arial" w:hAnsi="Arial" w:cs="Arial"/>
        <w:b/>
        <w:sz w:val="48"/>
      </w:rPr>
    </w:pPr>
    <w:r w:rsidRPr="00CA5E8C">
      <w:rPr>
        <w:rFonts w:ascii="Arial" w:hAnsi="Arial" w:cs="Arial"/>
        <w:b/>
        <w:sz w:val="48"/>
      </w:rPr>
      <w:t>RO</w:t>
    </w:r>
    <w:r w:rsidRPr="00CA5E8C">
      <w:rPr>
        <w:rFonts w:ascii="Arial" w:hAnsi="Arial" w:cs="Arial"/>
        <w:b/>
        <w:sz w:val="48"/>
      </w:rPr>
      <w:tab/>
    </w:r>
    <w:r w:rsidRPr="00CA5E8C">
      <w:rPr>
        <w:rFonts w:ascii="Arial" w:hAnsi="Arial" w:cs="Arial"/>
        <w:b/>
        <w:sz w:val="48"/>
      </w:rPr>
      <w:tab/>
    </w:r>
    <w:r w:rsidRPr="00CA5E8C">
      <w:tab/>
    </w:r>
    <w:r w:rsidRPr="00CA5E8C">
      <w:rPr>
        <w:rFonts w:ascii="Arial" w:hAnsi="Arial" w:cs="Arial"/>
        <w:b/>
        <w:sz w:val="48"/>
      </w:rPr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E73AD5" w14:textId="77777777" w:rsidR="00CA5E8C" w:rsidRPr="00CA5E8C" w:rsidRDefault="00CA5E8C" w:rsidP="00CA5E8C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22F7E6" w14:textId="77777777" w:rsidR="00CA5E8C" w:rsidRDefault="00CA5E8C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791B89" w14:textId="53499EAA" w:rsidR="00CA5E8C" w:rsidRPr="00CA5E8C" w:rsidRDefault="00CA5E8C" w:rsidP="00CA5E8C">
    <w:pPr>
      <w:pStyle w:val="Footer"/>
      <w:rPr>
        <w:rFonts w:ascii="Arial" w:hAnsi="Arial" w:cs="Arial"/>
        <w:b/>
        <w:sz w:val="48"/>
      </w:rPr>
    </w:pPr>
    <w:r w:rsidRPr="00CA5E8C">
      <w:rPr>
        <w:rFonts w:ascii="Arial" w:hAnsi="Arial" w:cs="Arial"/>
        <w:b/>
        <w:sz w:val="48"/>
      </w:rPr>
      <w:t>RO</w:t>
    </w:r>
    <w:r w:rsidRPr="00CA5E8C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 w:rsidR="00754A19">
      <w:rPr>
        <w:noProof/>
      </w:rPr>
      <w:t>2</w:t>
    </w:r>
    <w:r>
      <w:fldChar w:fldCharType="end"/>
    </w:r>
    <w:r>
      <w:tab/>
    </w:r>
    <w:r w:rsidRPr="00CA5E8C">
      <w:tab/>
    </w:r>
    <w:r w:rsidRPr="00CA5E8C">
      <w:rPr>
        <w:rFonts w:ascii="Arial" w:hAnsi="Arial" w:cs="Arial"/>
        <w:b/>
        <w:sz w:val="48"/>
      </w:rPr>
      <w:t>RO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167C0F" w14:textId="77777777" w:rsidR="00CA5E8C" w:rsidRDefault="00CA5E8C" w:rsidP="00CA5E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043D33" w14:textId="77777777" w:rsidR="00AC568E" w:rsidRDefault="00AC568E" w:rsidP="00B744CB">
      <w:pPr>
        <w:spacing w:before="0" w:after="0"/>
      </w:pPr>
      <w:r>
        <w:separator/>
      </w:r>
    </w:p>
  </w:footnote>
  <w:footnote w:type="continuationSeparator" w:id="0">
    <w:p w14:paraId="73B46646" w14:textId="77777777" w:rsidR="00AC568E" w:rsidRDefault="00AC568E" w:rsidP="00B744CB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235EE9" w14:textId="77777777" w:rsidR="00CA5E8C" w:rsidRPr="00CA5E8C" w:rsidRDefault="00CA5E8C" w:rsidP="00CA5E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EA66A6" w14:textId="77777777" w:rsidR="00CA5E8C" w:rsidRPr="00CA5E8C" w:rsidRDefault="00CA5E8C" w:rsidP="00CA5E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067C59" w14:textId="77777777" w:rsidR="00CA5E8C" w:rsidRPr="00CA5E8C" w:rsidRDefault="00CA5E8C" w:rsidP="00CA5E8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8A3CFE" w14:textId="77777777" w:rsidR="00CA5E8C" w:rsidRDefault="00CA5E8C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8B2A93" w14:textId="77777777" w:rsidR="00CA5E8C" w:rsidRDefault="00CA5E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1F9A9C2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7952D9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19180CA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6846BB8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01B609C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990AB4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DAC8DC6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879042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7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8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0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2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1"/>
  </w:num>
  <w:num w:numId="10">
    <w:abstractNumId w:val="0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12"/>
  </w:num>
  <w:num w:numId="14">
    <w:abstractNumId w:val="21"/>
  </w:num>
  <w:num w:numId="15">
    <w:abstractNumId w:val="11"/>
  </w:num>
  <w:num w:numId="16">
    <w:abstractNumId w:val="13"/>
  </w:num>
  <w:num w:numId="17">
    <w:abstractNumId w:val="14"/>
  </w:num>
  <w:num w:numId="18">
    <w:abstractNumId w:val="9"/>
  </w:num>
  <w:num w:numId="19">
    <w:abstractNumId w:val="20"/>
  </w:num>
  <w:num w:numId="20">
    <w:abstractNumId w:val="8"/>
  </w:num>
  <w:num w:numId="21">
    <w:abstractNumId w:val="15"/>
  </w:num>
  <w:num w:numId="22">
    <w:abstractNumId w:val="17"/>
  </w:num>
  <w:num w:numId="23">
    <w:abstractNumId w:val="18"/>
  </w:num>
  <w:num w:numId="24">
    <w:abstractNumId w:val="10"/>
  </w:num>
  <w:num w:numId="25">
    <w:abstractNumId w:val="16"/>
  </w:num>
  <w:num w:numId="26">
    <w:abstractNumId w:val="2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R_RefLast" w:val="0"/>
    <w:docVar w:name="DQCDateTime" w:val="2026-03-17 10:05:23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ModifiedMarkers" w:val="0;0"/>
    <w:docVar w:name="DQCResult_ModifiedNumbering" w:val="0;0"/>
    <w:docVar w:name="DQCResult_Objects" w:val="0;0"/>
    <w:docVar w:name="DQCResult_StructureCheck" w:val="0;0"/>
    <w:docVar w:name="DQCStatus" w:val="Green"/>
    <w:docVar w:name="DQCVersion" w:val="3"/>
    <w:docVar w:name="DQCWithWarnings" w:val="0"/>
    <w:docVar w:name="LW_ACCOMPAGNANT" w:val="la"/>
    <w:docVar w:name="LW_ACCOMPAGNANT.CP" w:val="la"/>
    <w:docVar w:name="LW_ANNEX_NBR_FIRST" w:val="1"/>
    <w:docVar w:name="LW_ANNEX_NBR_LAST" w:val="1"/>
    <w:docVar w:name="LW_ANNEX_UNIQUE" w:val="1"/>
    <w:docVar w:name="LW_CORRIGENDUM" w:val="&lt;UNUSED&gt;"/>
    <w:docVar w:name="LW_COVERPAGE_EXISTS" w:val="True"/>
    <w:docVar w:name="LW_COVERPAGE_GUID" w:val="4C6E31BC-2BFA-4CBF-8D01-74CDD4C9B301"/>
    <w:docVar w:name="LW_COVERPAGE_TYPE" w:val="1"/>
    <w:docVar w:name="LW_CreatedUtc" w:val="2026-01-06T14:59:28.4331101Z"/>
    <w:docVar w:name="LW_CROSSREFERENCE" w:val="&lt;UNUSED&gt;"/>
    <w:docVar w:name="LW_DocType" w:val="ANNEX"/>
    <w:docVar w:name="LW_EMISSION" w:val="20.1.2026"/>
    <w:docVar w:name="LW_EMISSION_ISODATE" w:val="2026-01-20"/>
    <w:docVar w:name="LW_EMISSION_LOCATION" w:val="STR"/>
    <w:docVar w:name="LW_EMISSION_PREFIX" w:val="Strasbourg, "/>
    <w:docVar w:name="LW_EMISSION_SUFFIX" w:val=" "/>
    <w:docVar w:name="LW_ID_DOCSTRUCTURE" w:val="COM/ANNEX"/>
    <w:docVar w:name="LW_ID_DOCTYPE" w:val="SG-017"/>
    <w:docVar w:name="LW_LANGUE" w:val="RO"/>
    <w:docVar w:name="LW_LEVEL_OF_SENSITIVITY" w:val="Standard treatment"/>
    <w:docVar w:name="LW_NOM.INST" w:val="COMISIA EUROPEAN\u258?"/>
    <w:docVar w:name="LW_NOM.INST_JOINTDOC" w:val="&lt;EMPTY&gt;"/>
    <w:docVar w:name="LW_OBJETACTEPRINCIPAL" w:val="de modificare a Directivei (UE) 2022/2555 în ceea ce prive\u537?te m\u259?surile de simplificare \u537?i alinierea la [Propunerea de regulament privind securitatea cibernetic\u259? 2]"/>
    <w:docVar w:name="LW_OBJETACTEPRINCIPAL.CP" w:val="de modificare a Directivei (UE) 2022/2555 în ceea ce prive\u537?te m\u259?surile de simplificare \u537?i alinierea la [Propunerea de regulament privind securitatea cibernetic\u259? 2]"/>
    <w:docVar w:name="LW_PART_NBR" w:val="1"/>
    <w:docVar w:name="LW_PART_NBR_TOTAL" w:val="1"/>
    <w:docVar w:name="LW_REF.INST.NEW" w:val="COM"/>
    <w:docVar w:name="LW_REF.INST.NEW_ADOPTED" w:val="final"/>
    <w:docVar w:name="LW_REF.INST.NEW_TEXT" w:val="(2026) 13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" w:val="ANEX\u258?"/>
    <w:docVar w:name="LW_TYPE.DOC.CP" w:val="ANEX\u258?"/>
    <w:docVar w:name="LW_TYPEACTEPRINCIPAL" w:val="PROPUNEREA DE DIRECTIV\u258? A PARLAMENTULUI EUROPEAN \u536?I A CONSILIULUI"/>
    <w:docVar w:name="LW_TYPEACTEPRINCIPAL.CP" w:val="PROPUNEREA DE DIRECTIV\u258? A PARLAMENTULUI EUROPEAN \u536?I A CONSILIULUI"/>
    <w:docVar w:name="LwApiVersions" w:val="LW4CoDe 1.24.5.0; LW 9.2, Build 20251112"/>
  </w:docVars>
  <w:rsids>
    <w:rsidRoot w:val="00B744CB"/>
    <w:rsid w:val="0004366C"/>
    <w:rsid w:val="0007673B"/>
    <w:rsid w:val="00087DE7"/>
    <w:rsid w:val="00142734"/>
    <w:rsid w:val="00165C23"/>
    <w:rsid w:val="00165C4F"/>
    <w:rsid w:val="00174B65"/>
    <w:rsid w:val="0019211F"/>
    <w:rsid w:val="001F343E"/>
    <w:rsid w:val="001F56F3"/>
    <w:rsid w:val="00206017"/>
    <w:rsid w:val="0026251E"/>
    <w:rsid w:val="00283002"/>
    <w:rsid w:val="002A46AB"/>
    <w:rsid w:val="002B61A2"/>
    <w:rsid w:val="002F7176"/>
    <w:rsid w:val="00327B96"/>
    <w:rsid w:val="00341956"/>
    <w:rsid w:val="00343129"/>
    <w:rsid w:val="00365424"/>
    <w:rsid w:val="003752DF"/>
    <w:rsid w:val="00387B33"/>
    <w:rsid w:val="003C0965"/>
    <w:rsid w:val="003D29FC"/>
    <w:rsid w:val="003E06CD"/>
    <w:rsid w:val="003F2A7C"/>
    <w:rsid w:val="003F5CEF"/>
    <w:rsid w:val="00453F6C"/>
    <w:rsid w:val="004638C2"/>
    <w:rsid w:val="00491021"/>
    <w:rsid w:val="00492EB7"/>
    <w:rsid w:val="004A0484"/>
    <w:rsid w:val="004B15A8"/>
    <w:rsid w:val="004B6BA7"/>
    <w:rsid w:val="00542A20"/>
    <w:rsid w:val="005450C3"/>
    <w:rsid w:val="005453BF"/>
    <w:rsid w:val="005D3148"/>
    <w:rsid w:val="005E03AD"/>
    <w:rsid w:val="00626E37"/>
    <w:rsid w:val="006344F3"/>
    <w:rsid w:val="00662880"/>
    <w:rsid w:val="00662E8B"/>
    <w:rsid w:val="00664E52"/>
    <w:rsid w:val="00675C6A"/>
    <w:rsid w:val="00677342"/>
    <w:rsid w:val="006A2723"/>
    <w:rsid w:val="006A6BCB"/>
    <w:rsid w:val="006C1459"/>
    <w:rsid w:val="00700370"/>
    <w:rsid w:val="0070450E"/>
    <w:rsid w:val="00735765"/>
    <w:rsid w:val="00750777"/>
    <w:rsid w:val="00754A19"/>
    <w:rsid w:val="00773346"/>
    <w:rsid w:val="007B6F09"/>
    <w:rsid w:val="007C39B8"/>
    <w:rsid w:val="007E5B83"/>
    <w:rsid w:val="008147CC"/>
    <w:rsid w:val="00822003"/>
    <w:rsid w:val="00844E12"/>
    <w:rsid w:val="008508E7"/>
    <w:rsid w:val="008773E1"/>
    <w:rsid w:val="008C49C8"/>
    <w:rsid w:val="008D6398"/>
    <w:rsid w:val="00905D22"/>
    <w:rsid w:val="009073C4"/>
    <w:rsid w:val="009142F1"/>
    <w:rsid w:val="00922EA8"/>
    <w:rsid w:val="0095030E"/>
    <w:rsid w:val="00953194"/>
    <w:rsid w:val="009535FF"/>
    <w:rsid w:val="00992B00"/>
    <w:rsid w:val="009E65A9"/>
    <w:rsid w:val="00A12A21"/>
    <w:rsid w:val="00A12C1F"/>
    <w:rsid w:val="00A1596C"/>
    <w:rsid w:val="00A33E03"/>
    <w:rsid w:val="00A357E9"/>
    <w:rsid w:val="00A47CD4"/>
    <w:rsid w:val="00A562E8"/>
    <w:rsid w:val="00A6243B"/>
    <w:rsid w:val="00A71F6D"/>
    <w:rsid w:val="00AB1652"/>
    <w:rsid w:val="00AC2542"/>
    <w:rsid w:val="00AC568E"/>
    <w:rsid w:val="00B0309C"/>
    <w:rsid w:val="00B744CB"/>
    <w:rsid w:val="00BA4F3C"/>
    <w:rsid w:val="00BB30BC"/>
    <w:rsid w:val="00BB66DD"/>
    <w:rsid w:val="00BC46F5"/>
    <w:rsid w:val="00BD705C"/>
    <w:rsid w:val="00C06393"/>
    <w:rsid w:val="00C063BC"/>
    <w:rsid w:val="00C25CE3"/>
    <w:rsid w:val="00C35F4F"/>
    <w:rsid w:val="00C51318"/>
    <w:rsid w:val="00C723D8"/>
    <w:rsid w:val="00C8017A"/>
    <w:rsid w:val="00C902D2"/>
    <w:rsid w:val="00C953CA"/>
    <w:rsid w:val="00CA3661"/>
    <w:rsid w:val="00CA5E8C"/>
    <w:rsid w:val="00CB40F7"/>
    <w:rsid w:val="00CC1610"/>
    <w:rsid w:val="00CC1707"/>
    <w:rsid w:val="00CF2F8A"/>
    <w:rsid w:val="00CF373A"/>
    <w:rsid w:val="00D0341E"/>
    <w:rsid w:val="00D14711"/>
    <w:rsid w:val="00D2084E"/>
    <w:rsid w:val="00D328C4"/>
    <w:rsid w:val="00D33986"/>
    <w:rsid w:val="00D41F97"/>
    <w:rsid w:val="00D90BE8"/>
    <w:rsid w:val="00DB6627"/>
    <w:rsid w:val="00DB6FFE"/>
    <w:rsid w:val="00DE3BE2"/>
    <w:rsid w:val="00E359C4"/>
    <w:rsid w:val="00E411F8"/>
    <w:rsid w:val="00E61040"/>
    <w:rsid w:val="00EA0C9D"/>
    <w:rsid w:val="00EA72DF"/>
    <w:rsid w:val="00ED53EA"/>
    <w:rsid w:val="00EF0C1D"/>
    <w:rsid w:val="00F2013C"/>
    <w:rsid w:val="00F243E2"/>
    <w:rsid w:val="00F57213"/>
    <w:rsid w:val="00F7024E"/>
    <w:rsid w:val="00F802A0"/>
    <w:rsid w:val="00F82260"/>
    <w:rsid w:val="00FE7C75"/>
    <w:rsid w:val="00FF2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0184F0BE"/>
  <w15:docId w15:val="{22DDDE71-8327-44DF-9152-3D0379C5B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ro-RO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19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19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19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19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19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19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19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366C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A1596C"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A1596C"/>
    <w:pPr>
      <w:spacing w:after="0"/>
    </w:pPr>
  </w:style>
  <w:style w:type="paragraph" w:styleId="ListBullet">
    <w:name w:val="List Bullet"/>
    <w:basedOn w:val="Normal"/>
    <w:uiPriority w:val="99"/>
    <w:semiHidden/>
    <w:unhideWhenUsed/>
    <w:rsid w:val="00A1596C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A1596C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A1596C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A1596C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semiHidden/>
    <w:unhideWhenUsed/>
    <w:rsid w:val="00A1596C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A1596C"/>
    <w:pPr>
      <w:numPr>
        <w:numId w:val="8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A1596C"/>
    <w:pPr>
      <w:numPr>
        <w:numId w:val="9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A1596C"/>
    <w:pPr>
      <w:numPr>
        <w:numId w:val="10"/>
      </w:numPr>
      <w:contextualSpacing/>
    </w:pPr>
  </w:style>
  <w:style w:type="paragraph" w:styleId="Revision">
    <w:name w:val="Revision"/>
    <w:hidden/>
    <w:uiPriority w:val="99"/>
    <w:semiHidden/>
    <w:rsid w:val="00EA72DF"/>
    <w:pPr>
      <w:spacing w:after="0" w:line="240" w:lineRule="auto"/>
    </w:pPr>
    <w:rPr>
      <w:rFonts w:ascii="Times New Roman" w:hAnsi="Times New Roman" w:cs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35F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5F4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5F4F"/>
    <w:rPr>
      <w:rFonts w:ascii="Times New Roman" w:hAnsi="Times New Roman" w:cs="Times New Roman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5F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5F4F"/>
    <w:rPr>
      <w:rFonts w:ascii="Times New Roman" w:hAnsi="Times New Roman" w:cs="Times New Roman"/>
      <w:b/>
      <w:bCs/>
      <w:sz w:val="20"/>
      <w:szCs w:val="20"/>
      <w:lang w:val="ro-RO"/>
    </w:rPr>
  </w:style>
  <w:style w:type="character" w:styleId="Hyperlink">
    <w:name w:val="Hyperlink"/>
    <w:basedOn w:val="DefaultParagraphFont"/>
    <w:uiPriority w:val="99"/>
    <w:unhideWhenUsed/>
    <w:rsid w:val="00C06393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06393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CA5E8C"/>
    <w:rPr>
      <w:rFonts w:ascii="Times New Roman" w:hAnsi="Times New Roman" w:cs="Times New Roman"/>
      <w:sz w:val="24"/>
      <w:lang w:val="ro-RO"/>
    </w:rPr>
  </w:style>
  <w:style w:type="character" w:customStyle="1" w:styleId="FooterChar">
    <w:name w:val="Footer Char"/>
    <w:basedOn w:val="DefaultParagraphFont"/>
    <w:link w:val="Footer"/>
    <w:uiPriority w:val="99"/>
    <w:rsid w:val="00CA5E8C"/>
    <w:rPr>
      <w:rFonts w:ascii="Times New Roman" w:hAnsi="Times New Roman" w:cs="Times New Roman"/>
      <w:sz w:val="24"/>
      <w:lang w:val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lang w:val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  <w:ind w:left="1417" w:hanging="141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rsid w:val="00CA5E8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rsid w:val="00CA5E8C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rsid w:val="00CA5E8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12"/>
      </w:numPr>
    </w:pPr>
  </w:style>
  <w:style w:type="paragraph" w:customStyle="1" w:styleId="Tiret1">
    <w:name w:val="Tiret 1"/>
    <w:basedOn w:val="Point1"/>
    <w:pPr>
      <w:numPr>
        <w:numId w:val="13"/>
      </w:numPr>
    </w:pPr>
  </w:style>
  <w:style w:type="paragraph" w:customStyle="1" w:styleId="Tiret2">
    <w:name w:val="Tiret 2"/>
    <w:basedOn w:val="Point2"/>
    <w:pPr>
      <w:numPr>
        <w:numId w:val="14"/>
      </w:numPr>
    </w:pPr>
  </w:style>
  <w:style w:type="paragraph" w:customStyle="1" w:styleId="Tiret3">
    <w:name w:val="Tiret 3"/>
    <w:basedOn w:val="Point3"/>
    <w:pPr>
      <w:numPr>
        <w:numId w:val="15"/>
      </w:numPr>
    </w:pPr>
  </w:style>
  <w:style w:type="paragraph" w:customStyle="1" w:styleId="Tiret4">
    <w:name w:val="Tiret 4"/>
    <w:basedOn w:val="Point4"/>
    <w:pPr>
      <w:numPr>
        <w:numId w:val="16"/>
      </w:numPr>
    </w:pPr>
  </w:style>
  <w:style w:type="paragraph" w:customStyle="1" w:styleId="Tiret5">
    <w:name w:val="Tiret 5"/>
    <w:basedOn w:val="Point5"/>
    <w:pPr>
      <w:numPr>
        <w:numId w:val="17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18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18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18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18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18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18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18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20"/>
      </w:numPr>
    </w:pPr>
  </w:style>
  <w:style w:type="paragraph" w:customStyle="1" w:styleId="Point1number">
    <w:name w:val="Point 1 (number)"/>
    <w:basedOn w:val="Normal"/>
    <w:pPr>
      <w:numPr>
        <w:ilvl w:val="2"/>
        <w:numId w:val="20"/>
      </w:numPr>
    </w:pPr>
  </w:style>
  <w:style w:type="paragraph" w:customStyle="1" w:styleId="Point2number">
    <w:name w:val="Point 2 (number)"/>
    <w:basedOn w:val="Normal"/>
    <w:pPr>
      <w:numPr>
        <w:ilvl w:val="4"/>
        <w:numId w:val="20"/>
      </w:numPr>
    </w:pPr>
  </w:style>
  <w:style w:type="paragraph" w:customStyle="1" w:styleId="Point3number">
    <w:name w:val="Point 3 (number)"/>
    <w:basedOn w:val="Normal"/>
    <w:pPr>
      <w:numPr>
        <w:ilvl w:val="6"/>
        <w:numId w:val="20"/>
      </w:numPr>
    </w:pPr>
  </w:style>
  <w:style w:type="paragraph" w:customStyle="1" w:styleId="Point0letter">
    <w:name w:val="Point 0 (letter)"/>
    <w:basedOn w:val="Normal"/>
    <w:pPr>
      <w:numPr>
        <w:ilvl w:val="1"/>
        <w:numId w:val="20"/>
      </w:numPr>
    </w:pPr>
  </w:style>
  <w:style w:type="paragraph" w:customStyle="1" w:styleId="Point1letter">
    <w:name w:val="Point 1 (letter)"/>
    <w:basedOn w:val="Normal"/>
    <w:pPr>
      <w:numPr>
        <w:ilvl w:val="3"/>
        <w:numId w:val="20"/>
      </w:numPr>
    </w:pPr>
  </w:style>
  <w:style w:type="paragraph" w:customStyle="1" w:styleId="Point2letter">
    <w:name w:val="Point 2 (letter)"/>
    <w:basedOn w:val="Normal"/>
    <w:pPr>
      <w:numPr>
        <w:ilvl w:val="5"/>
        <w:numId w:val="20"/>
      </w:numPr>
    </w:pPr>
  </w:style>
  <w:style w:type="paragraph" w:customStyle="1" w:styleId="Point3letter">
    <w:name w:val="Point 3 (letter)"/>
    <w:basedOn w:val="Normal"/>
    <w:pPr>
      <w:numPr>
        <w:ilvl w:val="7"/>
        <w:numId w:val="20"/>
      </w:numPr>
    </w:pPr>
  </w:style>
  <w:style w:type="paragraph" w:customStyle="1" w:styleId="Point4letter">
    <w:name w:val="Point 4 (letter)"/>
    <w:basedOn w:val="Normal"/>
    <w:pPr>
      <w:numPr>
        <w:ilvl w:val="8"/>
        <w:numId w:val="20"/>
      </w:numPr>
    </w:pPr>
  </w:style>
  <w:style w:type="paragraph" w:customStyle="1" w:styleId="Bullet0">
    <w:name w:val="Bullet 0"/>
    <w:basedOn w:val="Normal"/>
    <w:pPr>
      <w:numPr>
        <w:numId w:val="21"/>
      </w:numPr>
    </w:pPr>
  </w:style>
  <w:style w:type="paragraph" w:customStyle="1" w:styleId="Bullet1">
    <w:name w:val="Bullet 1"/>
    <w:basedOn w:val="Normal"/>
    <w:pPr>
      <w:numPr>
        <w:numId w:val="22"/>
      </w:numPr>
    </w:pPr>
  </w:style>
  <w:style w:type="paragraph" w:customStyle="1" w:styleId="Bullet2">
    <w:name w:val="Bullet 2"/>
    <w:basedOn w:val="Normal"/>
    <w:pPr>
      <w:numPr>
        <w:numId w:val="23"/>
      </w:numPr>
    </w:pPr>
  </w:style>
  <w:style w:type="paragraph" w:customStyle="1" w:styleId="Bullet3">
    <w:name w:val="Bullet 3"/>
    <w:basedOn w:val="Normal"/>
    <w:pPr>
      <w:numPr>
        <w:numId w:val="24"/>
      </w:numPr>
    </w:pPr>
  </w:style>
  <w:style w:type="paragraph" w:customStyle="1" w:styleId="Bullet4">
    <w:name w:val="Bullet 4"/>
    <w:basedOn w:val="Normal"/>
    <w:pPr>
      <w:numPr>
        <w:numId w:val="25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26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IntrtEEE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0" w:after="24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ypedudocument">
    <w:name w:val="Type du document"/>
    <w:basedOn w:val="Normal"/>
    <w:next w:val="Accompagnant"/>
    <w:pPr>
      <w:spacing w:before="360" w:after="18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A562E8"/>
    <w:pPr>
      <w:spacing w:before="360" w:after="24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IntrtEEE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ypedudocumentPagedecouverture">
    <w:name w:val="Type du document (Page de couverture)"/>
    <w:basedOn w:val="Typedudocument"/>
    <w:next w:val="Accompagnan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E411F8"/>
    <w:pPr>
      <w:spacing w:after="0"/>
    </w:pPr>
  </w:style>
  <w:style w:type="paragraph" w:customStyle="1" w:styleId="Accompagnant">
    <w:name w:val="Accompagnant"/>
    <w:basedOn w:val="Normal"/>
    <w:next w:val="Typeacteprincipal"/>
    <w:pPr>
      <w:spacing w:before="180" w:after="240"/>
      <w:jc w:val="center"/>
    </w:pPr>
    <w:rPr>
      <w:b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Normal"/>
    <w:rsid w:val="00E411F8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Rfrencecroise"/>
    <w:rsid w:val="00E411F8"/>
    <w:pPr>
      <w:spacing w:before="360" w:after="24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CA5E8C"/>
    <w:pPr>
      <w:tabs>
        <w:tab w:val="center" w:pos="4535"/>
        <w:tab w:val="right" w:pos="9071"/>
      </w:tabs>
      <w:spacing w:before="0"/>
    </w:pPr>
  </w:style>
  <w:style w:type="paragraph" w:customStyle="1" w:styleId="HeaderLandscape">
    <w:name w:val="HeaderLandscape"/>
    <w:basedOn w:val="Normal"/>
    <w:rsid w:val="00CA5E8C"/>
    <w:pPr>
      <w:tabs>
        <w:tab w:val="center" w:pos="7285"/>
        <w:tab w:val="right" w:pos="14003"/>
      </w:tabs>
      <w:spacing w:before="0"/>
    </w:pPr>
  </w:style>
  <w:style w:type="paragraph" w:styleId="Footer">
    <w:name w:val="footer"/>
    <w:basedOn w:val="Normal"/>
    <w:link w:val="FooterChar"/>
    <w:uiPriority w:val="99"/>
    <w:unhideWhenUsed/>
    <w:rsid w:val="00CA5E8C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paragraph" w:customStyle="1" w:styleId="FooterLandscape">
    <w:name w:val="FooterLandscape"/>
    <w:basedOn w:val="Normal"/>
    <w:rsid w:val="00CA5E8C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hyperlink" Target="http://data.europa.eu/eli/dir/2010/40/oj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yperlink" Target="http://data.europa.eu/eli/dir/2019/944/oj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footer" Target="footer6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23" Type="http://schemas.openxmlformats.org/officeDocument/2006/relationships/header" Target="header5.xml"/><Relationship Id="rId10" Type="http://schemas.openxmlformats.org/officeDocument/2006/relationships/image" Target="media/image1.emf"/><Relationship Id="rId19" Type="http://schemas.openxmlformats.org/officeDocument/2006/relationships/hyperlink" Target="http://data.europa.eu/eli/dir/2011/24/oj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footer" Target="foot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ANNEX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E4C256644B1F4B85DA68459515BD43" ma:contentTypeVersion="14" ma:contentTypeDescription="Create a new document." ma:contentTypeScope="" ma:versionID="f223542554cb0ce4cf2bbe13cdab2243">
  <xsd:schema xmlns:xsd="http://www.w3.org/2001/XMLSchema" xmlns:xs="http://www.w3.org/2001/XMLSchema" xmlns:p="http://schemas.microsoft.com/office/2006/metadata/properties" xmlns:ns2="38bff204-815c-433e-ac1e-0e2c1d11bbad" xmlns:ns3="7058b7d0-6f54-43d0-ac9b-f95b90dfb0dc" xmlns:ns4="f195b89a-6091-4440-adbd-c71fa697943d" targetNamespace="http://schemas.microsoft.com/office/2006/metadata/properties" ma:root="true" ma:fieldsID="16cea3280056aef03efa5ea375640a73" ns2:_="" ns3:_="" ns4:_="">
    <xsd:import namespace="38bff204-815c-433e-ac1e-0e2c1d11bbad"/>
    <xsd:import namespace="7058b7d0-6f54-43d0-ac9b-f95b90dfb0dc"/>
    <xsd:import namespace="f195b89a-6091-4440-adbd-c71fa69794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bff204-815c-433e-ac1e-0e2c1d11bb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58b7d0-6f54-43d0-ac9b-f95b90dfb0d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5b89a-6091-4440-adbd-c71fa697943d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36daf7f1-67a6-42f7-a497-dd2ed39ddeb6}" ma:internalName="TaxCatchAll" ma:showField="CatchAllData" ma:web="f195b89a-6091-4440-adbd-c71fa6979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95b89a-6091-4440-adbd-c71fa697943d" xsi:nil="true"/>
    <lcf76f155ced4ddcb4097134ff3c332f xmlns="38bff204-815c-433e-ac1e-0e2c1d11bbad">
      <Terms xmlns="http://schemas.microsoft.com/office/infopath/2007/PartnerControls">
        <TermInfo xmlns="http://schemas.microsoft.com/office/infopath/2007/PartnerControls">
          <TermName xmlns="http://schemas.microsoft.com/office/infopath/2007/PartnerControls"/>
          <TermId xmlns="http://schemas.microsoft.com/office/infopath/2007/PartnerControls"/>
        </TermInfo>
      </Terms>
    </lcf76f155ced4ddcb4097134ff3c332f>
  </documentManagement>
</p:properties>
</file>

<file path=customXml/itemProps1.xml><?xml version="1.0" encoding="utf-8"?>
<ds:datastoreItem xmlns:ds="http://schemas.openxmlformats.org/officeDocument/2006/customXml" ds:itemID="{FD872C17-67AA-4F8F-82B7-C9B806C425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bff204-815c-433e-ac1e-0e2c1d11bbad"/>
    <ds:schemaRef ds:uri="7058b7d0-6f54-43d0-ac9b-f95b90dfb0dc"/>
    <ds:schemaRef ds:uri="f195b89a-6091-4440-adbd-c71fa6979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D9D43E-CB48-454C-9529-0408CC16A6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629AC5-52EB-40DF-B63C-78F65A7D6E07}">
  <ds:schemaRefs>
    <ds:schemaRef ds:uri="http://purl.org/dc/dcmitype/"/>
    <ds:schemaRef ds:uri="38bff204-815c-433e-ac1e-0e2c1d11bbad"/>
    <ds:schemaRef ds:uri="http://purl.org/dc/elements/1.1/"/>
    <ds:schemaRef ds:uri="7058b7d0-6f54-43d0-ac9b-f95b90dfb0dc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f195b89a-6091-4440-adbd-c71fa697943d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ANNEX.dotm</Template>
  <TotalTime>38</TotalTime>
  <Pages>3</Pages>
  <Words>834</Words>
  <Characters>4759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27</cp:revision>
  <dcterms:created xsi:type="dcterms:W3CDTF">2026-01-13T13:20:00Z</dcterms:created>
  <dcterms:modified xsi:type="dcterms:W3CDTF">2026-03-17T09:05:00Z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COM/ANNEX</vt:lpwstr>
  </property>
  <property fmtid="{D5CDD505-2E9C-101B-9397-08002B2CF9AE}" pid="3" name="Version">
    <vt:lpwstr>8.0.25.0</vt:lpwstr>
  </property>
  <property fmtid="{D5CDD505-2E9C-101B-9397-08002B2CF9AE}" pid="4" name="Last edited using">
    <vt:lpwstr>LW 9.2, Build 20250828</vt:lpwstr>
  </property>
  <property fmtid="{D5CDD505-2E9C-101B-9397-08002B2CF9AE}" pid="5" name="Created using">
    <vt:lpwstr>LW 9.2, Build 20250828</vt:lpwstr>
  </property>
  <property fmtid="{D5CDD505-2E9C-101B-9397-08002B2CF9AE}" pid="6" name="First annex">
    <vt:lpwstr>1</vt:lpwstr>
  </property>
  <property fmtid="{D5CDD505-2E9C-101B-9397-08002B2CF9AE}" pid="7" name="Last annex">
    <vt:lpwstr>1</vt:lpwstr>
  </property>
  <property fmtid="{D5CDD505-2E9C-101B-9397-08002B2CF9AE}" pid="8" name="Unique annex">
    <vt:lpwstr>1</vt:lpwstr>
  </property>
  <property fmtid="{D5CDD505-2E9C-101B-9397-08002B2CF9AE}" pid="9" name="Part">
    <vt:lpwstr>1</vt:lpwstr>
  </property>
  <property fmtid="{D5CDD505-2E9C-101B-9397-08002B2CF9AE}" pid="10" name="Total parts">
    <vt:lpwstr>1</vt:lpwstr>
  </property>
  <property fmtid="{D5CDD505-2E9C-101B-9397-08002B2CF9AE}" pid="11" name="Level of sensitivity">
    <vt:lpwstr>Standard treatment</vt:lpwstr>
  </property>
  <property fmtid="{D5CDD505-2E9C-101B-9397-08002B2CF9AE}" pid="12" name="LWTemplateID">
    <vt:lpwstr>SG-017</vt:lpwstr>
  </property>
  <property fmtid="{D5CDD505-2E9C-101B-9397-08002B2CF9AE}" pid="13" name="MSIP_Label_6bd9ddd1-4d20-43f6-abfa-fc3c07406f94_Enabled">
    <vt:lpwstr>true</vt:lpwstr>
  </property>
  <property fmtid="{D5CDD505-2E9C-101B-9397-08002B2CF9AE}" pid="14" name="MSIP_Label_6bd9ddd1-4d20-43f6-abfa-fc3c07406f94_SetDate">
    <vt:lpwstr>2026-01-06T15:07:38Z</vt:lpwstr>
  </property>
  <property fmtid="{D5CDD505-2E9C-101B-9397-08002B2CF9AE}" pid="15" name="MSIP_Label_6bd9ddd1-4d20-43f6-abfa-fc3c07406f94_Method">
    <vt:lpwstr>Standard</vt:lpwstr>
  </property>
  <property fmtid="{D5CDD505-2E9C-101B-9397-08002B2CF9AE}" pid="16" name="MSIP_Label_6bd9ddd1-4d20-43f6-abfa-fc3c07406f94_Name">
    <vt:lpwstr>Commission Use</vt:lpwstr>
  </property>
  <property fmtid="{D5CDD505-2E9C-101B-9397-08002B2CF9AE}" pid="17" name="MSIP_Label_6bd9ddd1-4d20-43f6-abfa-fc3c07406f94_SiteId">
    <vt:lpwstr>b24c8b06-522c-46fe-9080-70926f8dddb1</vt:lpwstr>
  </property>
  <property fmtid="{D5CDD505-2E9C-101B-9397-08002B2CF9AE}" pid="18" name="MSIP_Label_6bd9ddd1-4d20-43f6-abfa-fc3c07406f94_ActionId">
    <vt:lpwstr>96e97cef-be26-41ad-8442-6f3dcd92fabc</vt:lpwstr>
  </property>
  <property fmtid="{D5CDD505-2E9C-101B-9397-08002B2CF9AE}" pid="19" name="MSIP_Label_6bd9ddd1-4d20-43f6-abfa-fc3c07406f94_ContentBits">
    <vt:lpwstr>0</vt:lpwstr>
  </property>
  <property fmtid="{D5CDD505-2E9C-101B-9397-08002B2CF9AE}" pid="20" name="MSIP_Label_6bd9ddd1-4d20-43f6-abfa-fc3c07406f94_Tag">
    <vt:lpwstr>10, 3, 0, 1</vt:lpwstr>
  </property>
  <property fmtid="{D5CDD505-2E9C-101B-9397-08002B2CF9AE}" pid="21" name="ContentTypeId">
    <vt:lpwstr>0x010100DAE4C256644B1F4B85DA68459515BD43</vt:lpwstr>
  </property>
  <property fmtid="{D5CDD505-2E9C-101B-9397-08002B2CF9AE}" pid="22" name="MediaServiceImageTags">
    <vt:lpwstr/>
  </property>
  <property fmtid="{D5CDD505-2E9C-101B-9397-08002B2CF9AE}" pid="23" name="DQCStatus">
    <vt:lpwstr>Green (DQC version 03)</vt:lpwstr>
  </property>
</Properties>
</file>