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5C592" w14:textId="0CB75FA6" w:rsidR="004D72F0" w:rsidRPr="004B64C3" w:rsidRDefault="00A35B1B" w:rsidP="00A35B1B">
      <w:pPr>
        <w:pStyle w:val="Pagedecouverture"/>
        <w:rPr>
          <w:noProof/>
        </w:rPr>
      </w:pPr>
      <w:r>
        <w:rPr>
          <w:noProof/>
        </w:rPr>
        <w:pict w14:anchorId="64DCA4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B7EE23-5FAC-40A4-80BE-8EA3B09EB9B5" style="width:455.25pt;height:318pt">
            <v:imagedata r:id="rId11" o:title=""/>
          </v:shape>
        </w:pict>
      </w:r>
    </w:p>
    <w:p w14:paraId="37993327" w14:textId="77777777" w:rsidR="004D72F0" w:rsidRPr="004B64C3" w:rsidRDefault="004D72F0" w:rsidP="004D72F0">
      <w:pPr>
        <w:rPr>
          <w:noProof/>
        </w:rPr>
        <w:sectPr w:rsidR="004D72F0" w:rsidRPr="004B64C3" w:rsidSect="00A35B1B">
          <w:footerReference w:type="even" r:id="rId12"/>
          <w:footerReference w:type="default" r:id="rId13"/>
          <w:pgSz w:w="11907" w:h="16839"/>
          <w:pgMar w:top="1134" w:right="1417" w:bottom="1134" w:left="1417" w:header="709" w:footer="709" w:gutter="0"/>
          <w:pgNumType w:start="0"/>
          <w:cols w:space="720"/>
          <w:docGrid w:linePitch="360"/>
        </w:sectPr>
      </w:pPr>
    </w:p>
    <w:p w14:paraId="0B4C3317" w14:textId="77777777" w:rsidR="004D72F0" w:rsidRPr="004B64C3" w:rsidRDefault="004D72F0">
      <w:pPr>
        <w:pStyle w:val="Exposdesmotifstitre"/>
        <w:rPr>
          <w:noProof/>
        </w:rPr>
      </w:pPr>
      <w:bookmarkStart w:id="0" w:name="_GoBack"/>
      <w:bookmarkEnd w:id="0"/>
      <w:r w:rsidRPr="004B64C3">
        <w:rPr>
          <w:noProof/>
        </w:rPr>
        <w:lastRenderedPageBreak/>
        <w:t>EXPLANATORY MEMORANDUM</w:t>
      </w:r>
    </w:p>
    <w:p w14:paraId="0550BD9E" w14:textId="56F84105" w:rsidR="003770E5" w:rsidRPr="004B64C3" w:rsidRDefault="50B19EC8" w:rsidP="003031B2">
      <w:pPr>
        <w:widowControl w:val="0"/>
        <w:shd w:val="clear" w:color="auto" w:fill="FFFFFF" w:themeFill="background1"/>
        <w:autoSpaceDE w:val="0"/>
        <w:autoSpaceDN w:val="0"/>
        <w:adjustRightInd w:val="0"/>
        <w:spacing w:before="230" w:after="0" w:line="269" w:lineRule="exact"/>
        <w:rPr>
          <w:noProof/>
        </w:rPr>
      </w:pPr>
      <w:r w:rsidRPr="004B64C3">
        <w:rPr>
          <w:noProof/>
        </w:rPr>
        <w:t>With this recommendation, the European Commission invites the Council of the European Union to</w:t>
      </w:r>
      <w:r w:rsidR="006B4054">
        <w:rPr>
          <w:noProof/>
        </w:rPr>
        <w:t>:</w:t>
      </w:r>
      <w:r w:rsidRPr="004B64C3">
        <w:rPr>
          <w:noProof/>
        </w:rPr>
        <w:t xml:space="preserve"> authorise the opening of negotiations for a mutual recognition agreement </w:t>
      </w:r>
      <w:r w:rsidR="0019192C">
        <w:rPr>
          <w:noProof/>
        </w:rPr>
        <w:t>on</w:t>
      </w:r>
      <w:r w:rsidRPr="004B64C3">
        <w:rPr>
          <w:noProof/>
        </w:rPr>
        <w:t xml:space="preserve"> conformity assessment</w:t>
      </w:r>
      <w:r w:rsidR="0019192C">
        <w:rPr>
          <w:noProof/>
        </w:rPr>
        <w:t>s</w:t>
      </w:r>
      <w:r w:rsidRPr="004B64C3">
        <w:rPr>
          <w:noProof/>
        </w:rPr>
        <w:t xml:space="preserve">, certificates and markings between the </w:t>
      </w:r>
      <w:r w:rsidR="79124859" w:rsidRPr="004B64C3">
        <w:rPr>
          <w:noProof/>
        </w:rPr>
        <w:t>European Union</w:t>
      </w:r>
      <w:r w:rsidRPr="004B64C3">
        <w:rPr>
          <w:noProof/>
        </w:rPr>
        <w:t xml:space="preserve"> and the Republic of Korea</w:t>
      </w:r>
      <w:r w:rsidR="006B4054">
        <w:rPr>
          <w:noProof/>
        </w:rPr>
        <w:t>;</w:t>
      </w:r>
      <w:r w:rsidR="006B4054" w:rsidRPr="004B64C3">
        <w:rPr>
          <w:noProof/>
        </w:rPr>
        <w:t xml:space="preserve"> </w:t>
      </w:r>
      <w:r w:rsidRPr="004B64C3">
        <w:rPr>
          <w:noProof/>
        </w:rPr>
        <w:t>nominate the Commission as Union negotiator</w:t>
      </w:r>
      <w:r w:rsidR="006B4054">
        <w:rPr>
          <w:noProof/>
        </w:rPr>
        <w:t>;</w:t>
      </w:r>
      <w:r w:rsidRPr="004B64C3">
        <w:rPr>
          <w:noProof/>
        </w:rPr>
        <w:t xml:space="preserve"> address directives to the negotiator</w:t>
      </w:r>
      <w:r w:rsidR="006B4054">
        <w:rPr>
          <w:noProof/>
        </w:rPr>
        <w:t>;</w:t>
      </w:r>
      <w:r w:rsidRPr="004B64C3">
        <w:rPr>
          <w:noProof/>
        </w:rPr>
        <w:t xml:space="preserve"> and designate a special committee in consultation with which the negotiations must be conducted.</w:t>
      </w:r>
    </w:p>
    <w:p w14:paraId="05871C16" w14:textId="77777777" w:rsidR="004D72F0" w:rsidRPr="004B64C3" w:rsidRDefault="004D72F0">
      <w:pPr>
        <w:pStyle w:val="ManualHeading1"/>
        <w:rPr>
          <w:noProof/>
        </w:rPr>
      </w:pPr>
      <w:r w:rsidRPr="004B64C3">
        <w:rPr>
          <w:noProof/>
        </w:rPr>
        <w:t>1.</w:t>
      </w:r>
      <w:r w:rsidRPr="004B64C3">
        <w:rPr>
          <w:noProof/>
        </w:rPr>
        <w:tab/>
        <w:t>CONTEXT OF THE PROPOSAL</w:t>
      </w:r>
    </w:p>
    <w:p w14:paraId="2B4D289F" w14:textId="77777777" w:rsidR="00612944" w:rsidRPr="004B64C3" w:rsidRDefault="029C162C" w:rsidP="00612944">
      <w:pPr>
        <w:pStyle w:val="ManualHeading2"/>
        <w:rPr>
          <w:rFonts w:eastAsia="Arial Unicode MS"/>
          <w:noProof/>
        </w:rPr>
      </w:pPr>
      <w:r w:rsidRPr="004B64C3">
        <w:rPr>
          <w:rFonts w:eastAsia="Arial Unicode MS"/>
          <w:noProof/>
          <w:color w:val="000000"/>
          <w:bdr w:val="nil"/>
          <w:lang w:eastAsia="en-GB"/>
        </w:rPr>
        <w:t>•</w:t>
      </w:r>
      <w:r w:rsidR="004D72F0" w:rsidRPr="004B64C3">
        <w:rPr>
          <w:rFonts w:eastAsia="Arial Unicode MS"/>
          <w:noProof/>
          <w:color w:val="000000"/>
          <w:u w:color="000000"/>
          <w:bdr w:val="nil"/>
          <w:lang w:eastAsia="en-GB"/>
        </w:rPr>
        <w:tab/>
      </w:r>
      <w:r w:rsidRPr="004B64C3">
        <w:rPr>
          <w:rFonts w:eastAsia="Arial Unicode MS"/>
          <w:noProof/>
        </w:rPr>
        <w:t>Reasons for and objectives of the proposal</w:t>
      </w:r>
    </w:p>
    <w:p w14:paraId="4A1C312E" w14:textId="247ABFBC" w:rsidR="00EB749F" w:rsidRPr="004B64C3" w:rsidRDefault="007A3AF5" w:rsidP="00612944">
      <w:pPr>
        <w:pBdr>
          <w:top w:val="nil"/>
          <w:left w:val="nil"/>
          <w:bottom w:val="nil"/>
          <w:right w:val="nil"/>
          <w:between w:val="nil"/>
          <w:bar w:val="nil"/>
        </w:pBdr>
        <w:spacing w:before="0" w:after="240"/>
        <w:rPr>
          <w:rFonts w:eastAsia="Arial Unicode MS"/>
          <w:noProof/>
        </w:rPr>
      </w:pPr>
      <w:r w:rsidRPr="004B64C3">
        <w:rPr>
          <w:rFonts w:eastAsia="Arial Unicode MS"/>
          <w:noProof/>
        </w:rPr>
        <w:t xml:space="preserve">The EU has concluded </w:t>
      </w:r>
      <w:r w:rsidR="00356951">
        <w:rPr>
          <w:rFonts w:eastAsia="Arial Unicode MS"/>
          <w:noProof/>
        </w:rPr>
        <w:t>m</w:t>
      </w:r>
      <w:r w:rsidRPr="004B64C3">
        <w:rPr>
          <w:rFonts w:eastAsia="Arial Unicode MS"/>
          <w:noProof/>
        </w:rPr>
        <w:t xml:space="preserve">utual </w:t>
      </w:r>
      <w:r w:rsidR="00356951">
        <w:rPr>
          <w:rFonts w:eastAsia="Arial Unicode MS"/>
          <w:noProof/>
        </w:rPr>
        <w:t>r</w:t>
      </w:r>
      <w:r w:rsidRPr="004B64C3">
        <w:rPr>
          <w:rFonts w:eastAsia="Arial Unicode MS"/>
          <w:noProof/>
        </w:rPr>
        <w:t xml:space="preserve">ecognition </w:t>
      </w:r>
      <w:r w:rsidR="00356951">
        <w:rPr>
          <w:rFonts w:eastAsia="Arial Unicode MS"/>
          <w:noProof/>
        </w:rPr>
        <w:t>a</w:t>
      </w:r>
      <w:r w:rsidRPr="004B64C3">
        <w:rPr>
          <w:rFonts w:eastAsia="Arial Unicode MS"/>
          <w:noProof/>
        </w:rPr>
        <w:t xml:space="preserve">greements (MRAs) on conformity assessments with several </w:t>
      </w:r>
      <w:r w:rsidR="00A02975">
        <w:rPr>
          <w:rFonts w:eastAsia="Arial Unicode MS"/>
          <w:noProof/>
        </w:rPr>
        <w:t>non-EU</w:t>
      </w:r>
      <w:r w:rsidR="00A02975" w:rsidRPr="004B64C3">
        <w:rPr>
          <w:rFonts w:eastAsia="Arial Unicode MS"/>
          <w:noProof/>
        </w:rPr>
        <w:t xml:space="preserve"> </w:t>
      </w:r>
      <w:r w:rsidRPr="004B64C3">
        <w:rPr>
          <w:rFonts w:eastAsia="Arial Unicode MS"/>
          <w:noProof/>
        </w:rPr>
        <w:t xml:space="preserve">countries, including Australia, Canada, Israel, Japan, New Zealand, Switzerland, and the United States, whereby each party accepts conformity assessment results </w:t>
      </w:r>
      <w:r w:rsidR="00BC50E6">
        <w:rPr>
          <w:rFonts w:eastAsia="Arial Unicode MS"/>
          <w:noProof/>
        </w:rPr>
        <w:t>produced</w:t>
      </w:r>
      <w:r w:rsidR="00BC50E6" w:rsidRPr="004B64C3">
        <w:rPr>
          <w:rFonts w:eastAsia="Arial Unicode MS"/>
          <w:noProof/>
        </w:rPr>
        <w:t xml:space="preserve"> </w:t>
      </w:r>
      <w:r w:rsidRPr="004B64C3">
        <w:rPr>
          <w:rFonts w:eastAsia="Arial Unicode MS"/>
          <w:noProof/>
        </w:rPr>
        <w:t>by the other</w:t>
      </w:r>
      <w:r w:rsidR="00B10888" w:rsidRPr="004B64C3">
        <w:rPr>
          <w:rFonts w:eastAsia="Arial Unicode MS"/>
          <w:noProof/>
        </w:rPr>
        <w:t>’</w:t>
      </w:r>
      <w:r w:rsidRPr="004B64C3">
        <w:rPr>
          <w:rFonts w:eastAsia="Arial Unicode MS"/>
          <w:noProof/>
        </w:rPr>
        <w:t>s designated bodies to demonstrate compliance with its technical regulations</w:t>
      </w:r>
      <w:r w:rsidR="00A135EA">
        <w:rPr>
          <w:rStyle w:val="FootnoteReference"/>
          <w:rFonts w:eastAsia="Arial Unicode MS"/>
          <w:noProof/>
        </w:rPr>
        <w:footnoteReference w:id="2"/>
      </w:r>
      <w:r w:rsidR="004B64C3" w:rsidRPr="004B64C3">
        <w:rPr>
          <w:rFonts w:eastAsia="Arial Unicode MS"/>
          <w:noProof/>
        </w:rPr>
        <w:t>.</w:t>
      </w:r>
    </w:p>
    <w:p w14:paraId="36978E40" w14:textId="0471AD94" w:rsidR="00612944" w:rsidRPr="004B64C3" w:rsidRDefault="00BE0355" w:rsidP="00612944">
      <w:pPr>
        <w:pBdr>
          <w:top w:val="nil"/>
          <w:left w:val="nil"/>
          <w:bottom w:val="nil"/>
          <w:right w:val="nil"/>
          <w:between w:val="nil"/>
          <w:bar w:val="nil"/>
        </w:pBdr>
        <w:spacing w:before="0" w:after="240"/>
        <w:rPr>
          <w:rFonts w:eastAsia="Arial Unicode MS"/>
          <w:noProof/>
        </w:rPr>
      </w:pPr>
      <w:r>
        <w:rPr>
          <w:rFonts w:eastAsia="Arial Unicode MS"/>
          <w:noProof/>
        </w:rPr>
        <w:t>Under</w:t>
      </w:r>
      <w:r w:rsidR="00612944" w:rsidRPr="004B64C3">
        <w:rPr>
          <w:rFonts w:eastAsia="Arial Unicode MS"/>
          <w:noProof/>
        </w:rPr>
        <w:t xml:space="preserve"> these MRAs, designated conformity assessment bodies (CABs), including laboratories, inspection bodies, and certification entities, are mutually recognised</w:t>
      </w:r>
      <w:r w:rsidR="00312B9B">
        <w:rPr>
          <w:rFonts w:eastAsia="Arial Unicode MS"/>
          <w:noProof/>
        </w:rPr>
        <w:t>.</w:t>
      </w:r>
      <w:r w:rsidR="00312B9B" w:rsidRPr="004B64C3">
        <w:rPr>
          <w:rFonts w:eastAsia="Arial Unicode MS"/>
          <w:noProof/>
        </w:rPr>
        <w:t xml:space="preserve"> </w:t>
      </w:r>
      <w:r w:rsidR="00312B9B">
        <w:rPr>
          <w:rFonts w:eastAsia="Arial Unicode MS"/>
          <w:noProof/>
        </w:rPr>
        <w:t>L</w:t>
      </w:r>
      <w:r w:rsidR="00612944" w:rsidRPr="004B64C3">
        <w:rPr>
          <w:rFonts w:eastAsia="Arial Unicode MS"/>
          <w:noProof/>
        </w:rPr>
        <w:t xml:space="preserve">ists </w:t>
      </w:r>
      <w:r w:rsidR="00312B9B">
        <w:rPr>
          <w:rFonts w:eastAsia="Arial Unicode MS"/>
          <w:noProof/>
        </w:rPr>
        <w:t xml:space="preserve">of these bodies are </w:t>
      </w:r>
      <w:r w:rsidR="00612944" w:rsidRPr="004B64C3">
        <w:rPr>
          <w:rFonts w:eastAsia="Arial Unicode MS"/>
          <w:noProof/>
        </w:rPr>
        <w:t>maintained and</w:t>
      </w:r>
      <w:r w:rsidR="00312B9B">
        <w:rPr>
          <w:rFonts w:eastAsia="Arial Unicode MS"/>
          <w:noProof/>
        </w:rPr>
        <w:t xml:space="preserve"> made </w:t>
      </w:r>
      <w:r w:rsidR="00612944" w:rsidRPr="004B64C3">
        <w:rPr>
          <w:rFonts w:eastAsia="Arial Unicode MS"/>
          <w:noProof/>
        </w:rPr>
        <w:t>accessible via official repositories such as the EU</w:t>
      </w:r>
      <w:r w:rsidR="00B10888" w:rsidRPr="004B64C3">
        <w:rPr>
          <w:rFonts w:eastAsia="Arial Unicode MS"/>
          <w:noProof/>
        </w:rPr>
        <w:t>’</w:t>
      </w:r>
      <w:r w:rsidR="00612944" w:rsidRPr="004B64C3">
        <w:rPr>
          <w:rFonts w:eastAsia="Arial Unicode MS"/>
          <w:noProof/>
        </w:rPr>
        <w:t xml:space="preserve">s NANDO </w:t>
      </w:r>
      <w:r w:rsidRPr="00BE0355">
        <w:rPr>
          <w:rFonts w:eastAsia="Arial Unicode MS"/>
          <w:noProof/>
        </w:rPr>
        <w:t xml:space="preserve">(New Approach Notified and Designated Organisations) </w:t>
      </w:r>
      <w:r w:rsidR="001B405E" w:rsidRPr="004B64C3">
        <w:rPr>
          <w:rFonts w:eastAsia="Arial Unicode MS"/>
          <w:noProof/>
        </w:rPr>
        <w:t xml:space="preserve">database </w:t>
      </w:r>
      <w:r w:rsidR="00612944" w:rsidRPr="004B64C3">
        <w:rPr>
          <w:rFonts w:eastAsia="Arial Unicode MS"/>
          <w:noProof/>
        </w:rPr>
        <w:t>or partner-specific annexes.</w:t>
      </w:r>
    </w:p>
    <w:p w14:paraId="6F38ED3C" w14:textId="1ADE9A24" w:rsidR="0030735D" w:rsidRPr="004B64C3" w:rsidRDefault="73775265" w:rsidP="60A38AAF">
      <w:pPr>
        <w:pBdr>
          <w:top w:val="nil"/>
          <w:left w:val="nil"/>
          <w:bottom w:val="nil"/>
          <w:right w:val="nil"/>
          <w:between w:val="nil"/>
          <w:bar w:val="nil"/>
        </w:pBdr>
        <w:spacing w:before="0" w:after="240"/>
        <w:rPr>
          <w:rFonts w:eastAsia="Arial Unicode MS"/>
          <w:noProof/>
        </w:rPr>
      </w:pPr>
      <w:r w:rsidRPr="004B64C3">
        <w:rPr>
          <w:rFonts w:eastAsia="Arial Unicode MS"/>
          <w:noProof/>
        </w:rPr>
        <w:t xml:space="preserve">An MRA on conformity assessments between the EU and the Republic of Korea would </w:t>
      </w:r>
      <w:r w:rsidR="1FB19B25" w:rsidRPr="004B64C3">
        <w:rPr>
          <w:rFonts w:eastAsia="Arial Unicode MS"/>
          <w:noProof/>
        </w:rPr>
        <w:t xml:space="preserve">facilitate </w:t>
      </w:r>
      <w:r w:rsidRPr="004B64C3">
        <w:rPr>
          <w:rFonts w:eastAsia="Arial Unicode MS"/>
          <w:noProof/>
        </w:rPr>
        <w:t>market access by e</w:t>
      </w:r>
      <w:r w:rsidR="06AE273B" w:rsidRPr="004B64C3">
        <w:rPr>
          <w:rFonts w:eastAsia="Arial Unicode MS"/>
          <w:noProof/>
        </w:rPr>
        <w:t>na</w:t>
      </w:r>
      <w:r w:rsidRPr="004B64C3">
        <w:rPr>
          <w:rFonts w:eastAsia="Arial Unicode MS"/>
          <w:noProof/>
        </w:rPr>
        <w:t xml:space="preserve">bling each party to accept test reports, certificates and </w:t>
      </w:r>
      <w:r w:rsidR="06AE273B" w:rsidRPr="004B64C3">
        <w:rPr>
          <w:rFonts w:eastAsia="Arial Unicode MS"/>
          <w:noProof/>
        </w:rPr>
        <w:t>conformity markings</w:t>
      </w:r>
      <w:r w:rsidRPr="004B64C3">
        <w:rPr>
          <w:rFonts w:eastAsia="Arial Unicode MS"/>
          <w:noProof/>
        </w:rPr>
        <w:t xml:space="preserve"> issued by the other</w:t>
      </w:r>
      <w:r w:rsidR="00B10888" w:rsidRPr="004B64C3">
        <w:rPr>
          <w:rFonts w:eastAsia="Arial Unicode MS"/>
          <w:noProof/>
        </w:rPr>
        <w:t>’</w:t>
      </w:r>
      <w:r w:rsidRPr="004B64C3">
        <w:rPr>
          <w:rFonts w:eastAsia="Arial Unicode MS"/>
          <w:noProof/>
        </w:rPr>
        <w:t xml:space="preserve">s designated CABs for specified sectors, thereby </w:t>
      </w:r>
      <w:r w:rsidR="00857345">
        <w:rPr>
          <w:rFonts w:eastAsia="Arial Unicode MS"/>
          <w:noProof/>
        </w:rPr>
        <w:t>avoiding</w:t>
      </w:r>
      <w:r w:rsidR="00857345" w:rsidRPr="004B64C3">
        <w:rPr>
          <w:rFonts w:eastAsia="Arial Unicode MS"/>
          <w:noProof/>
        </w:rPr>
        <w:t xml:space="preserve"> duplicat</w:t>
      </w:r>
      <w:r w:rsidR="00857345">
        <w:rPr>
          <w:rFonts w:eastAsia="Arial Unicode MS"/>
          <w:noProof/>
        </w:rPr>
        <w:t>ion of</w:t>
      </w:r>
      <w:r w:rsidR="00857345" w:rsidRPr="004B64C3">
        <w:rPr>
          <w:rFonts w:eastAsia="Arial Unicode MS"/>
          <w:noProof/>
        </w:rPr>
        <w:t xml:space="preserve"> </w:t>
      </w:r>
      <w:r w:rsidRPr="004B64C3">
        <w:rPr>
          <w:rFonts w:eastAsia="Arial Unicode MS"/>
          <w:noProof/>
        </w:rPr>
        <w:t>testing and certification procedures.</w:t>
      </w:r>
    </w:p>
    <w:p w14:paraId="75F21BA4" w14:textId="67630720" w:rsidR="00FA2B8B" w:rsidRPr="004B64C3" w:rsidRDefault="00612944" w:rsidP="5016EE7B">
      <w:pPr>
        <w:pBdr>
          <w:top w:val="nil"/>
          <w:left w:val="nil"/>
          <w:bottom w:val="nil"/>
          <w:right w:val="nil"/>
          <w:between w:val="nil"/>
          <w:bar w:val="nil"/>
        </w:pBdr>
        <w:spacing w:before="0" w:after="240"/>
        <w:rPr>
          <w:rFonts w:eastAsia="Arial Unicode MS"/>
          <w:noProof/>
        </w:rPr>
      </w:pPr>
      <w:r w:rsidRPr="004B64C3">
        <w:rPr>
          <w:rFonts w:eastAsia="Arial Unicode MS"/>
          <w:noProof/>
        </w:rPr>
        <w:t xml:space="preserve">MRAs </w:t>
      </w:r>
      <w:r w:rsidR="00693D0A">
        <w:rPr>
          <w:rFonts w:eastAsia="Arial Unicode MS"/>
          <w:noProof/>
        </w:rPr>
        <w:t>help to facilitate trade</w:t>
      </w:r>
      <w:r w:rsidRPr="004B64C3">
        <w:rPr>
          <w:rFonts w:eastAsia="Arial Unicode MS"/>
          <w:noProof/>
        </w:rPr>
        <w:t xml:space="preserve"> by </w:t>
      </w:r>
      <w:r w:rsidR="00693D0A">
        <w:rPr>
          <w:rFonts w:eastAsia="Arial Unicode MS"/>
          <w:noProof/>
        </w:rPr>
        <w:t>reducing</w:t>
      </w:r>
      <w:r w:rsidR="00693D0A" w:rsidRPr="004B64C3">
        <w:rPr>
          <w:rFonts w:eastAsia="Arial Unicode MS"/>
          <w:noProof/>
        </w:rPr>
        <w:t xml:space="preserve"> </w:t>
      </w:r>
      <w:r w:rsidRPr="004B64C3">
        <w:rPr>
          <w:rFonts w:eastAsia="Arial Unicode MS"/>
          <w:noProof/>
        </w:rPr>
        <w:t>non-tariff barriers</w:t>
      </w:r>
      <w:r w:rsidR="001F0C03">
        <w:rPr>
          <w:rFonts w:eastAsia="Arial Unicode MS"/>
          <w:noProof/>
        </w:rPr>
        <w:t>. P</w:t>
      </w:r>
      <w:r w:rsidRPr="004B64C3">
        <w:rPr>
          <w:rFonts w:eastAsia="Arial Unicode MS"/>
          <w:noProof/>
        </w:rPr>
        <w:t xml:space="preserve">arties accept test reports, certificates and </w:t>
      </w:r>
      <w:r w:rsidR="00EB749F" w:rsidRPr="004B64C3">
        <w:rPr>
          <w:rFonts w:eastAsia="Arial Unicode MS"/>
          <w:noProof/>
        </w:rPr>
        <w:t>conformity markings</w:t>
      </w:r>
      <w:r w:rsidRPr="004B64C3">
        <w:rPr>
          <w:rFonts w:eastAsia="Arial Unicode MS"/>
          <w:noProof/>
        </w:rPr>
        <w:t xml:space="preserve"> issued by each other</w:t>
      </w:r>
      <w:r w:rsidR="00B10888" w:rsidRPr="004B64C3">
        <w:rPr>
          <w:rFonts w:eastAsia="Arial Unicode MS"/>
          <w:noProof/>
        </w:rPr>
        <w:t>’</w:t>
      </w:r>
      <w:r w:rsidRPr="004B64C3">
        <w:rPr>
          <w:rFonts w:eastAsia="Arial Unicode MS"/>
          <w:noProof/>
        </w:rPr>
        <w:t xml:space="preserve">s CABs, thereby streamlining customs clearance and reducing procedural delays at borders. Empirical evidence indicates that MRAs </w:t>
      </w:r>
      <w:r w:rsidR="00444166">
        <w:rPr>
          <w:rFonts w:eastAsia="Arial Unicode MS"/>
          <w:noProof/>
        </w:rPr>
        <w:t>boost</w:t>
      </w:r>
      <w:r w:rsidR="00444166" w:rsidRPr="004B64C3">
        <w:rPr>
          <w:rFonts w:eastAsia="Arial Unicode MS"/>
          <w:noProof/>
        </w:rPr>
        <w:t xml:space="preserve"> </w:t>
      </w:r>
      <w:r w:rsidRPr="004B64C3">
        <w:rPr>
          <w:rFonts w:eastAsia="Arial Unicode MS"/>
          <w:noProof/>
        </w:rPr>
        <w:t>export</w:t>
      </w:r>
      <w:r w:rsidR="00444166">
        <w:rPr>
          <w:rFonts w:eastAsia="Arial Unicode MS"/>
          <w:noProof/>
        </w:rPr>
        <w:t>s</w:t>
      </w:r>
      <w:r w:rsidRPr="004B64C3">
        <w:rPr>
          <w:rFonts w:eastAsia="Arial Unicode MS"/>
          <w:noProof/>
        </w:rPr>
        <w:t xml:space="preserve">, </w:t>
      </w:r>
      <w:r w:rsidR="00444166">
        <w:rPr>
          <w:rFonts w:eastAsia="Arial Unicode MS"/>
          <w:noProof/>
        </w:rPr>
        <w:t>increase</w:t>
      </w:r>
      <w:r w:rsidR="00444166" w:rsidRPr="004B64C3">
        <w:rPr>
          <w:rFonts w:eastAsia="Arial Unicode MS"/>
          <w:noProof/>
        </w:rPr>
        <w:t xml:space="preserve"> </w:t>
      </w:r>
      <w:r w:rsidRPr="004B64C3">
        <w:rPr>
          <w:rFonts w:eastAsia="Arial Unicode MS"/>
          <w:noProof/>
        </w:rPr>
        <w:t xml:space="preserve">the number of exporting firms, and </w:t>
      </w:r>
      <w:r w:rsidR="001F0C03">
        <w:rPr>
          <w:rFonts w:eastAsia="Arial Unicode MS"/>
          <w:noProof/>
        </w:rPr>
        <w:t>expand</w:t>
      </w:r>
      <w:r w:rsidR="001F0C03" w:rsidRPr="004B64C3">
        <w:rPr>
          <w:rFonts w:eastAsia="Arial Unicode MS"/>
          <w:noProof/>
        </w:rPr>
        <w:t xml:space="preserve"> </w:t>
      </w:r>
      <w:r w:rsidRPr="004B64C3">
        <w:rPr>
          <w:rFonts w:eastAsia="Arial Unicode MS"/>
          <w:noProof/>
        </w:rPr>
        <w:t xml:space="preserve">product portfolios to partner markets, particularly in sectors representing approximately </w:t>
      </w:r>
      <w:r w:rsidR="00BE0355">
        <w:rPr>
          <w:rFonts w:eastAsia="Arial Unicode MS"/>
          <w:noProof/>
        </w:rPr>
        <w:t>30%</w:t>
      </w:r>
      <w:r w:rsidRPr="004B64C3">
        <w:rPr>
          <w:rFonts w:eastAsia="Arial Unicode MS"/>
          <w:noProof/>
        </w:rPr>
        <w:t xml:space="preserve"> of total EU exports, </w:t>
      </w:r>
      <w:r w:rsidR="00663A5A">
        <w:rPr>
          <w:rFonts w:eastAsia="Arial Unicode MS"/>
          <w:noProof/>
        </w:rPr>
        <w:t>and also</w:t>
      </w:r>
      <w:r w:rsidR="00663A5A" w:rsidRPr="004B64C3">
        <w:rPr>
          <w:rFonts w:eastAsia="Arial Unicode MS"/>
          <w:noProof/>
        </w:rPr>
        <w:t xml:space="preserve"> </w:t>
      </w:r>
      <w:r w:rsidR="00663A5A">
        <w:rPr>
          <w:rFonts w:eastAsia="Arial Unicode MS"/>
          <w:noProof/>
        </w:rPr>
        <w:t>reduce the</w:t>
      </w:r>
      <w:r w:rsidR="00663A5A" w:rsidRPr="004B64C3">
        <w:rPr>
          <w:rFonts w:eastAsia="Arial Unicode MS"/>
          <w:noProof/>
        </w:rPr>
        <w:t xml:space="preserve"> </w:t>
      </w:r>
      <w:r w:rsidRPr="004B64C3">
        <w:rPr>
          <w:rFonts w:eastAsia="Arial Unicode MS"/>
          <w:noProof/>
        </w:rPr>
        <w:t xml:space="preserve">time and </w:t>
      </w:r>
      <w:r w:rsidR="00663A5A">
        <w:rPr>
          <w:rFonts w:eastAsia="Arial Unicode MS"/>
          <w:noProof/>
        </w:rPr>
        <w:t xml:space="preserve">the </w:t>
      </w:r>
      <w:r w:rsidRPr="004B64C3">
        <w:rPr>
          <w:rFonts w:eastAsia="Arial Unicode MS"/>
          <w:noProof/>
        </w:rPr>
        <w:t xml:space="preserve">shipping costs associated with </w:t>
      </w:r>
      <w:r w:rsidR="001F0C03">
        <w:rPr>
          <w:rFonts w:eastAsia="Arial Unicode MS"/>
          <w:noProof/>
        </w:rPr>
        <w:t>duplication of</w:t>
      </w:r>
      <w:r w:rsidR="001F0C03" w:rsidRPr="004B64C3">
        <w:rPr>
          <w:rFonts w:eastAsia="Arial Unicode MS"/>
          <w:noProof/>
        </w:rPr>
        <w:t xml:space="preserve"> </w:t>
      </w:r>
      <w:r w:rsidRPr="004B64C3">
        <w:rPr>
          <w:rFonts w:eastAsia="Arial Unicode MS"/>
          <w:noProof/>
        </w:rPr>
        <w:t>testing</w:t>
      </w:r>
      <w:r w:rsidR="00C02B49" w:rsidRPr="004B64C3">
        <w:rPr>
          <w:rStyle w:val="FootnoteReference"/>
          <w:rFonts w:eastAsia="Arial Unicode MS"/>
          <w:noProof/>
        </w:rPr>
        <w:footnoteReference w:id="3"/>
      </w:r>
      <w:r w:rsidR="004B64C3" w:rsidRPr="004B64C3">
        <w:rPr>
          <w:rFonts w:eastAsia="Arial Unicode MS"/>
          <w:noProof/>
        </w:rPr>
        <w:t>.</w:t>
      </w:r>
    </w:p>
    <w:p w14:paraId="641B64BA" w14:textId="1724106F" w:rsidR="00612944" w:rsidRPr="004B64C3" w:rsidRDefault="00160F78" w:rsidP="5016EE7B">
      <w:pPr>
        <w:pBdr>
          <w:top w:val="nil"/>
          <w:left w:val="nil"/>
          <w:bottom w:val="nil"/>
          <w:right w:val="nil"/>
          <w:between w:val="nil"/>
          <w:bar w:val="nil"/>
        </w:pBdr>
        <w:spacing w:before="0" w:after="240"/>
        <w:rPr>
          <w:rFonts w:eastAsia="Arial Unicode MS"/>
          <w:noProof/>
        </w:rPr>
      </w:pPr>
      <w:r w:rsidRPr="004B64C3">
        <w:rPr>
          <w:rFonts w:eastAsia="Arial Unicode MS"/>
          <w:noProof/>
        </w:rPr>
        <w:lastRenderedPageBreak/>
        <w:t xml:space="preserve">MRAs create cost efficiencies by </w:t>
      </w:r>
      <w:r w:rsidR="00FF0F5C">
        <w:rPr>
          <w:rFonts w:eastAsia="Arial Unicode MS"/>
          <w:noProof/>
        </w:rPr>
        <w:t>allowing companies to rely</w:t>
      </w:r>
      <w:r w:rsidRPr="004B64C3">
        <w:rPr>
          <w:rFonts w:eastAsia="Arial Unicode MS"/>
          <w:noProof/>
        </w:rPr>
        <w:t xml:space="preserve"> on domestic CABs for exports, thereby </w:t>
      </w:r>
      <w:r w:rsidR="00FF0F5C">
        <w:rPr>
          <w:rFonts w:eastAsia="Arial Unicode MS"/>
          <w:noProof/>
        </w:rPr>
        <w:t>easing</w:t>
      </w:r>
      <w:r w:rsidR="00FF0F5C" w:rsidRPr="004B64C3">
        <w:rPr>
          <w:rFonts w:eastAsia="Arial Unicode MS"/>
          <w:noProof/>
        </w:rPr>
        <w:t xml:space="preserve"> </w:t>
      </w:r>
      <w:r w:rsidRPr="004B64C3">
        <w:rPr>
          <w:rFonts w:eastAsia="Arial Unicode MS"/>
          <w:noProof/>
        </w:rPr>
        <w:t xml:space="preserve">the financial burden of </w:t>
      </w:r>
      <w:r w:rsidR="000F7F0B">
        <w:rPr>
          <w:rFonts w:eastAsia="Arial Unicode MS"/>
          <w:noProof/>
        </w:rPr>
        <w:t xml:space="preserve">obtaining </w:t>
      </w:r>
      <w:r w:rsidRPr="004B64C3">
        <w:rPr>
          <w:rFonts w:eastAsia="Arial Unicode MS"/>
          <w:noProof/>
        </w:rPr>
        <w:t>certification</w:t>
      </w:r>
      <w:r w:rsidR="000F7F0B">
        <w:rPr>
          <w:rFonts w:eastAsia="Arial Unicode MS"/>
          <w:noProof/>
        </w:rPr>
        <w:t xml:space="preserve"> in another country.</w:t>
      </w:r>
      <w:r w:rsidRPr="004B64C3">
        <w:rPr>
          <w:rFonts w:eastAsia="Arial Unicode MS"/>
          <w:noProof/>
        </w:rPr>
        <w:t xml:space="preserve"> </w:t>
      </w:r>
      <w:r w:rsidR="000F7F0B">
        <w:rPr>
          <w:rFonts w:eastAsia="Arial Unicode MS"/>
          <w:noProof/>
        </w:rPr>
        <w:t>This</w:t>
      </w:r>
      <w:r w:rsidR="000F7F0B" w:rsidRPr="004B64C3">
        <w:rPr>
          <w:rFonts w:eastAsia="Arial Unicode MS"/>
          <w:noProof/>
        </w:rPr>
        <w:t xml:space="preserve"> </w:t>
      </w:r>
      <w:r w:rsidR="000F7F0B">
        <w:rPr>
          <w:rFonts w:eastAsia="Arial Unicode MS"/>
          <w:noProof/>
        </w:rPr>
        <w:t xml:space="preserve">burden often </w:t>
      </w:r>
      <w:r w:rsidRPr="004B64C3">
        <w:rPr>
          <w:rFonts w:eastAsia="Arial Unicode MS"/>
          <w:noProof/>
        </w:rPr>
        <w:t>disproportionately</w:t>
      </w:r>
      <w:r w:rsidR="26475969" w:rsidRPr="004B64C3">
        <w:rPr>
          <w:rFonts w:eastAsia="Arial Unicode MS"/>
          <w:noProof/>
        </w:rPr>
        <w:t xml:space="preserve"> </w:t>
      </w:r>
      <w:r w:rsidR="00202ACB">
        <w:rPr>
          <w:rFonts w:eastAsia="Arial Unicode MS"/>
          <w:noProof/>
        </w:rPr>
        <w:t>falls</w:t>
      </w:r>
      <w:r w:rsidR="00202ACB" w:rsidRPr="004B64C3">
        <w:rPr>
          <w:rFonts w:eastAsia="Arial Unicode MS"/>
          <w:noProof/>
        </w:rPr>
        <w:t xml:space="preserve"> </w:t>
      </w:r>
      <w:r w:rsidR="26475969" w:rsidRPr="004B64C3">
        <w:rPr>
          <w:rFonts w:eastAsia="Arial Unicode MS"/>
          <w:noProof/>
        </w:rPr>
        <w:t>on</w:t>
      </w:r>
      <w:r w:rsidRPr="004B64C3">
        <w:rPr>
          <w:rFonts w:eastAsia="Arial Unicode MS"/>
          <w:noProof/>
        </w:rPr>
        <w:t xml:space="preserve"> small and medium-sized enterprises (SMEs)</w:t>
      </w:r>
      <w:r w:rsidR="006D5FA1">
        <w:rPr>
          <w:rFonts w:eastAsia="Arial Unicode MS"/>
          <w:noProof/>
        </w:rPr>
        <w:t xml:space="preserve">, which also have to face </w:t>
      </w:r>
      <w:r w:rsidR="00B7059E">
        <w:rPr>
          <w:rFonts w:eastAsia="Arial Unicode MS"/>
          <w:noProof/>
        </w:rPr>
        <w:t>higher</w:t>
      </w:r>
      <w:r w:rsidRPr="004B64C3">
        <w:rPr>
          <w:rFonts w:eastAsia="Arial Unicode MS"/>
          <w:noProof/>
        </w:rPr>
        <w:t xml:space="preserve"> compliance </w:t>
      </w:r>
      <w:r w:rsidR="00B7059E">
        <w:rPr>
          <w:rFonts w:eastAsia="Arial Unicode MS"/>
          <w:noProof/>
        </w:rPr>
        <w:t>costs</w:t>
      </w:r>
      <w:r w:rsidRPr="004B64C3">
        <w:rPr>
          <w:rFonts w:eastAsia="Arial Unicode MS"/>
          <w:noProof/>
        </w:rPr>
        <w:t xml:space="preserve">. </w:t>
      </w:r>
      <w:r w:rsidR="006D5FA1">
        <w:rPr>
          <w:rFonts w:eastAsia="Arial Unicode MS"/>
          <w:noProof/>
        </w:rPr>
        <w:t>MRAs</w:t>
      </w:r>
      <w:r w:rsidRPr="004B64C3">
        <w:rPr>
          <w:rFonts w:eastAsia="Arial Unicode MS"/>
          <w:noProof/>
        </w:rPr>
        <w:t xml:space="preserve"> foster mutual trust in conformity systems </w:t>
      </w:r>
      <w:r w:rsidR="006D5FA1">
        <w:rPr>
          <w:rFonts w:eastAsia="Arial Unicode MS"/>
          <w:noProof/>
        </w:rPr>
        <w:t>and do not require</w:t>
      </w:r>
      <w:r w:rsidRPr="004B64C3">
        <w:rPr>
          <w:rFonts w:eastAsia="Arial Unicode MS"/>
          <w:noProof/>
        </w:rPr>
        <w:t xml:space="preserve"> regulatory harmonisation</w:t>
      </w:r>
      <w:r w:rsidR="006D5FA1">
        <w:rPr>
          <w:rFonts w:eastAsia="Arial Unicode MS"/>
          <w:noProof/>
        </w:rPr>
        <w:t>.</w:t>
      </w:r>
      <w:r w:rsidRPr="004B64C3">
        <w:rPr>
          <w:rFonts w:eastAsia="Arial Unicode MS"/>
          <w:noProof/>
        </w:rPr>
        <w:t xml:space="preserve"> </w:t>
      </w:r>
      <w:r w:rsidR="006D5FA1">
        <w:rPr>
          <w:rFonts w:eastAsia="Arial Unicode MS"/>
          <w:noProof/>
        </w:rPr>
        <w:t xml:space="preserve">They </w:t>
      </w:r>
      <w:r w:rsidR="006D5FA1" w:rsidRPr="004B64C3">
        <w:rPr>
          <w:rFonts w:eastAsia="Arial Unicode MS"/>
          <w:noProof/>
        </w:rPr>
        <w:t>enabl</w:t>
      </w:r>
      <w:r w:rsidR="006D5FA1">
        <w:rPr>
          <w:rFonts w:eastAsia="Arial Unicode MS"/>
          <w:noProof/>
        </w:rPr>
        <w:t>e</w:t>
      </w:r>
      <w:r w:rsidR="006D5FA1" w:rsidRPr="004B64C3">
        <w:rPr>
          <w:rFonts w:eastAsia="Arial Unicode MS"/>
          <w:noProof/>
        </w:rPr>
        <w:t xml:space="preserve"> </w:t>
      </w:r>
      <w:r w:rsidRPr="004B64C3">
        <w:rPr>
          <w:rFonts w:eastAsia="Arial Unicode MS"/>
          <w:noProof/>
        </w:rPr>
        <w:t xml:space="preserve">exporters to </w:t>
      </w:r>
      <w:r w:rsidR="006D5FA1">
        <w:rPr>
          <w:rFonts w:eastAsia="Arial Unicode MS"/>
          <w:noProof/>
        </w:rPr>
        <w:t>follow uniform</w:t>
      </w:r>
      <w:r w:rsidRPr="004B64C3">
        <w:rPr>
          <w:rFonts w:eastAsia="Arial Unicode MS"/>
          <w:noProof/>
        </w:rPr>
        <w:t xml:space="preserve"> testing procedures </w:t>
      </w:r>
      <w:r w:rsidR="00231034">
        <w:rPr>
          <w:rFonts w:eastAsia="Arial Unicode MS"/>
          <w:noProof/>
        </w:rPr>
        <w:t xml:space="preserve">in </w:t>
      </w:r>
      <w:r w:rsidR="00FE2A93">
        <w:rPr>
          <w:rFonts w:eastAsia="Arial Unicode MS"/>
          <w:noProof/>
        </w:rPr>
        <w:t xml:space="preserve">both EU and non-EU </w:t>
      </w:r>
      <w:r w:rsidRPr="004B64C3">
        <w:rPr>
          <w:rFonts w:eastAsia="Arial Unicode MS"/>
          <w:noProof/>
        </w:rPr>
        <w:t>markets</w:t>
      </w:r>
      <w:r w:rsidR="008E24FF">
        <w:rPr>
          <w:rFonts w:eastAsia="Arial Unicode MS"/>
          <w:noProof/>
        </w:rPr>
        <w:t>.</w:t>
      </w:r>
      <w:r w:rsidR="008E24FF" w:rsidRPr="004B64C3">
        <w:rPr>
          <w:rFonts w:eastAsia="Arial Unicode MS"/>
          <w:noProof/>
        </w:rPr>
        <w:t xml:space="preserve"> </w:t>
      </w:r>
      <w:r w:rsidR="008E24FF">
        <w:rPr>
          <w:rFonts w:eastAsia="Arial Unicode MS"/>
          <w:noProof/>
        </w:rPr>
        <w:t>They also</w:t>
      </w:r>
      <w:r w:rsidR="008E24FF" w:rsidRPr="004B64C3">
        <w:rPr>
          <w:rFonts w:eastAsia="Arial Unicode MS"/>
          <w:noProof/>
        </w:rPr>
        <w:t xml:space="preserve"> promot</w:t>
      </w:r>
      <w:r w:rsidR="008E24FF">
        <w:rPr>
          <w:rFonts w:eastAsia="Arial Unicode MS"/>
          <w:noProof/>
        </w:rPr>
        <w:t>e</w:t>
      </w:r>
      <w:r w:rsidR="008E24FF" w:rsidRPr="004B64C3">
        <w:rPr>
          <w:rFonts w:eastAsia="Arial Unicode MS"/>
          <w:noProof/>
        </w:rPr>
        <w:t xml:space="preserve"> </w:t>
      </w:r>
      <w:r w:rsidRPr="004B64C3">
        <w:rPr>
          <w:rFonts w:eastAsia="Arial Unicode MS"/>
          <w:noProof/>
        </w:rPr>
        <w:t>broader market access while preserving sovereign regulatory autonomy.</w:t>
      </w:r>
    </w:p>
    <w:p w14:paraId="09F4210B" w14:textId="54F14A21" w:rsidR="00605546" w:rsidRPr="004B64C3" w:rsidRDefault="00F84F82" w:rsidP="5016EE7B">
      <w:pPr>
        <w:pBdr>
          <w:top w:val="nil"/>
          <w:left w:val="nil"/>
          <w:bottom w:val="nil"/>
          <w:right w:val="nil"/>
          <w:between w:val="nil"/>
          <w:bar w:val="nil"/>
        </w:pBdr>
        <w:spacing w:before="0" w:after="240"/>
        <w:rPr>
          <w:rFonts w:eastAsia="Arial Unicode MS"/>
          <w:noProof/>
        </w:rPr>
      </w:pPr>
      <w:r>
        <w:rPr>
          <w:rFonts w:eastAsia="Arial Unicode MS"/>
          <w:noProof/>
        </w:rPr>
        <w:t xml:space="preserve">The Republic of </w:t>
      </w:r>
      <w:r w:rsidR="00605546" w:rsidRPr="004B64C3">
        <w:rPr>
          <w:rFonts w:eastAsia="Arial Unicode MS"/>
          <w:noProof/>
        </w:rPr>
        <w:t xml:space="preserve">Korea has signed such MRAs with Canada, </w:t>
      </w:r>
      <w:r w:rsidR="00643DF7" w:rsidRPr="004B64C3">
        <w:rPr>
          <w:rFonts w:eastAsia="Arial Unicode MS"/>
          <w:noProof/>
        </w:rPr>
        <w:t>Chile</w:t>
      </w:r>
      <w:r w:rsidR="00643DF7">
        <w:rPr>
          <w:rFonts w:eastAsia="Arial Unicode MS"/>
          <w:noProof/>
        </w:rPr>
        <w:t>,</w:t>
      </w:r>
      <w:r w:rsidR="00643DF7" w:rsidRPr="004B64C3">
        <w:rPr>
          <w:rFonts w:eastAsia="Arial Unicode MS"/>
          <w:noProof/>
        </w:rPr>
        <w:t xml:space="preserve"> Indonesia</w:t>
      </w:r>
      <w:r w:rsidR="00643DF7">
        <w:rPr>
          <w:rFonts w:eastAsia="Arial Unicode MS"/>
          <w:noProof/>
        </w:rPr>
        <w:t>,</w:t>
      </w:r>
      <w:r w:rsidR="00643DF7" w:rsidRPr="004B64C3">
        <w:rPr>
          <w:rFonts w:eastAsia="Arial Unicode MS"/>
          <w:noProof/>
        </w:rPr>
        <w:t xml:space="preserve"> </w:t>
      </w:r>
      <w:r w:rsidR="00605546" w:rsidRPr="004B64C3">
        <w:rPr>
          <w:rFonts w:eastAsia="Arial Unicode MS"/>
          <w:noProof/>
        </w:rPr>
        <w:t xml:space="preserve">the United Kingdom, </w:t>
      </w:r>
      <w:r w:rsidR="00643DF7" w:rsidRPr="004B64C3">
        <w:rPr>
          <w:rFonts w:eastAsia="Arial Unicode MS"/>
          <w:noProof/>
        </w:rPr>
        <w:t>the United States,</w:t>
      </w:r>
      <w:r w:rsidR="00643DF7">
        <w:rPr>
          <w:rFonts w:eastAsia="Arial Unicode MS"/>
          <w:noProof/>
        </w:rPr>
        <w:t xml:space="preserve"> </w:t>
      </w:r>
      <w:r w:rsidR="00643DF7" w:rsidRPr="004B64C3">
        <w:rPr>
          <w:rFonts w:eastAsia="Arial Unicode MS"/>
          <w:noProof/>
        </w:rPr>
        <w:t xml:space="preserve">and </w:t>
      </w:r>
      <w:r w:rsidR="00605546" w:rsidRPr="004B64C3">
        <w:rPr>
          <w:rFonts w:eastAsia="Arial Unicode MS"/>
          <w:noProof/>
        </w:rPr>
        <w:t>Vietna</w:t>
      </w:r>
      <w:r w:rsidR="00643DF7">
        <w:rPr>
          <w:rFonts w:eastAsia="Arial Unicode MS"/>
          <w:noProof/>
        </w:rPr>
        <w:t>m</w:t>
      </w:r>
      <w:r w:rsidR="00605546" w:rsidRPr="004B64C3">
        <w:rPr>
          <w:rFonts w:eastAsia="Arial Unicode MS"/>
          <w:noProof/>
        </w:rPr>
        <w:t xml:space="preserve">. By allowing </w:t>
      </w:r>
      <w:r>
        <w:rPr>
          <w:rFonts w:eastAsia="Arial Unicode MS"/>
          <w:noProof/>
        </w:rPr>
        <w:t xml:space="preserve">South </w:t>
      </w:r>
      <w:r w:rsidR="00605546" w:rsidRPr="004B64C3">
        <w:rPr>
          <w:rFonts w:eastAsia="Arial Unicode MS"/>
          <w:noProof/>
        </w:rPr>
        <w:t xml:space="preserve">Korean companies to rely on test results and certifications issued in partner countries, these agreements help avoid </w:t>
      </w:r>
      <w:r w:rsidR="00106493" w:rsidRPr="004B64C3">
        <w:rPr>
          <w:rFonts w:eastAsia="Arial Unicode MS"/>
          <w:noProof/>
        </w:rPr>
        <w:t>duplicat</w:t>
      </w:r>
      <w:r w:rsidR="00106493">
        <w:rPr>
          <w:rFonts w:eastAsia="Arial Unicode MS"/>
          <w:noProof/>
        </w:rPr>
        <w:t>ion of</w:t>
      </w:r>
      <w:r w:rsidR="00106493" w:rsidRPr="004B64C3">
        <w:rPr>
          <w:rFonts w:eastAsia="Arial Unicode MS"/>
          <w:noProof/>
        </w:rPr>
        <w:t xml:space="preserve"> </w:t>
      </w:r>
      <w:r w:rsidR="00605546" w:rsidRPr="004B64C3">
        <w:rPr>
          <w:rFonts w:eastAsia="Arial Unicode MS"/>
          <w:noProof/>
        </w:rPr>
        <w:t xml:space="preserve">testing and certification </w:t>
      </w:r>
      <w:r w:rsidR="00106493">
        <w:rPr>
          <w:rFonts w:eastAsia="Arial Unicode MS"/>
          <w:noProof/>
        </w:rPr>
        <w:t>procedures</w:t>
      </w:r>
      <w:r w:rsidR="00106493" w:rsidRPr="004B64C3">
        <w:rPr>
          <w:rFonts w:eastAsia="Arial Unicode MS"/>
          <w:noProof/>
        </w:rPr>
        <w:t xml:space="preserve"> </w:t>
      </w:r>
      <w:r w:rsidR="00605546" w:rsidRPr="004B64C3">
        <w:rPr>
          <w:rFonts w:eastAsia="Arial Unicode MS"/>
          <w:noProof/>
        </w:rPr>
        <w:t xml:space="preserve">in </w:t>
      </w:r>
      <w:r>
        <w:rPr>
          <w:rFonts w:eastAsia="Arial Unicode MS"/>
          <w:noProof/>
        </w:rPr>
        <w:t xml:space="preserve">the Republic of </w:t>
      </w:r>
      <w:r w:rsidR="00605546" w:rsidRPr="004B64C3">
        <w:rPr>
          <w:rFonts w:eastAsia="Arial Unicode MS"/>
          <w:noProof/>
        </w:rPr>
        <w:t xml:space="preserve">Korea, </w:t>
      </w:r>
      <w:r w:rsidR="00106493">
        <w:rPr>
          <w:rFonts w:eastAsia="Arial Unicode MS"/>
          <w:noProof/>
        </w:rPr>
        <w:t xml:space="preserve">thus </w:t>
      </w:r>
      <w:r w:rsidR="00605546" w:rsidRPr="004B64C3">
        <w:rPr>
          <w:rFonts w:eastAsia="Arial Unicode MS"/>
          <w:noProof/>
        </w:rPr>
        <w:t xml:space="preserve">significantly reducing time, administrative burden and costs for </w:t>
      </w:r>
      <w:r w:rsidR="00E12E57">
        <w:rPr>
          <w:rFonts w:eastAsia="Arial Unicode MS"/>
          <w:noProof/>
        </w:rPr>
        <w:t xml:space="preserve">South </w:t>
      </w:r>
      <w:r w:rsidR="00605546" w:rsidRPr="004B64C3">
        <w:rPr>
          <w:rFonts w:eastAsia="Arial Unicode MS"/>
          <w:noProof/>
        </w:rPr>
        <w:t xml:space="preserve">Korean exporters. However, since EU companies do not benefit from equivalent MRAs with </w:t>
      </w:r>
      <w:r>
        <w:rPr>
          <w:rFonts w:eastAsia="Arial Unicode MS"/>
          <w:noProof/>
        </w:rPr>
        <w:t xml:space="preserve">the Republic of </w:t>
      </w:r>
      <w:r w:rsidR="00605546" w:rsidRPr="004B64C3">
        <w:rPr>
          <w:rFonts w:eastAsia="Arial Unicode MS"/>
          <w:noProof/>
        </w:rPr>
        <w:t>Korea in many sectors, they often face higher compliance costs, including repeated testing or local certification</w:t>
      </w:r>
      <w:r w:rsidR="008D205D">
        <w:rPr>
          <w:rFonts w:eastAsia="Arial Unicode MS"/>
          <w:noProof/>
        </w:rPr>
        <w:t xml:space="preserve">. As a result, </w:t>
      </w:r>
      <w:r w:rsidR="00605546" w:rsidRPr="004B64C3">
        <w:rPr>
          <w:rFonts w:eastAsia="Arial Unicode MS"/>
          <w:noProof/>
        </w:rPr>
        <w:t xml:space="preserve">EU exporters </w:t>
      </w:r>
      <w:r w:rsidR="008D205D">
        <w:rPr>
          <w:rFonts w:eastAsia="Arial Unicode MS"/>
          <w:noProof/>
        </w:rPr>
        <w:t xml:space="preserve">are placed </w:t>
      </w:r>
      <w:r w:rsidR="00605546" w:rsidRPr="004B64C3">
        <w:rPr>
          <w:rFonts w:eastAsia="Arial Unicode MS"/>
          <w:noProof/>
        </w:rPr>
        <w:t xml:space="preserve">at a competitive disadvantage compared </w:t>
      </w:r>
      <w:r w:rsidR="008D205D">
        <w:rPr>
          <w:rFonts w:eastAsia="Arial Unicode MS"/>
          <w:noProof/>
        </w:rPr>
        <w:t>with</w:t>
      </w:r>
      <w:r w:rsidR="008D205D" w:rsidRPr="004B64C3">
        <w:rPr>
          <w:rFonts w:eastAsia="Arial Unicode MS"/>
          <w:noProof/>
        </w:rPr>
        <w:t xml:space="preserve"> </w:t>
      </w:r>
      <w:r w:rsidR="00605546" w:rsidRPr="004B64C3">
        <w:rPr>
          <w:rFonts w:eastAsia="Arial Unicode MS"/>
          <w:noProof/>
        </w:rPr>
        <w:t xml:space="preserve">firms from countries that have </w:t>
      </w:r>
      <w:r w:rsidR="008D205D">
        <w:rPr>
          <w:rFonts w:eastAsia="Arial Unicode MS"/>
          <w:noProof/>
        </w:rPr>
        <w:t xml:space="preserve">concluded </w:t>
      </w:r>
      <w:r w:rsidR="00605546" w:rsidRPr="004B64C3">
        <w:rPr>
          <w:rFonts w:eastAsia="Arial Unicode MS"/>
          <w:noProof/>
        </w:rPr>
        <w:t>MRAs with</w:t>
      </w:r>
      <w:r w:rsidR="00E12E57" w:rsidRPr="00E12E57">
        <w:rPr>
          <w:rFonts w:eastAsia="Arial Unicode MS"/>
          <w:noProof/>
        </w:rPr>
        <w:t xml:space="preserve"> </w:t>
      </w:r>
      <w:r w:rsidR="00E12E57">
        <w:rPr>
          <w:rFonts w:eastAsia="Arial Unicode MS"/>
          <w:noProof/>
        </w:rPr>
        <w:t>the Republic of</w:t>
      </w:r>
      <w:r w:rsidR="00605546" w:rsidRPr="004B64C3">
        <w:rPr>
          <w:rFonts w:eastAsia="Arial Unicode MS"/>
          <w:noProof/>
        </w:rPr>
        <w:t xml:space="preserve"> Korea, especially in regulated industries like electronics.</w:t>
      </w:r>
    </w:p>
    <w:p w14:paraId="75A464EE" w14:textId="53314448" w:rsidR="004D72F0" w:rsidRPr="004B64C3" w:rsidRDefault="004D72F0">
      <w:pPr>
        <w:pStyle w:val="ManualHeading2"/>
        <w:rPr>
          <w:rFonts w:eastAsia="Arial Unicode MS"/>
          <w:noProof/>
          <w:color w:val="000000"/>
          <w:u w:color="000000"/>
          <w:bdr w:val="nil"/>
          <w:lang w:eastAsia="en-GB"/>
        </w:rPr>
      </w:pPr>
      <w:r w:rsidRPr="004B64C3">
        <w:rPr>
          <w:rFonts w:eastAsia="Arial Unicode MS"/>
          <w:noProof/>
          <w:color w:val="000000"/>
          <w:u w:color="000000"/>
          <w:bdr w:val="nil"/>
          <w:lang w:eastAsia="en-GB"/>
        </w:rPr>
        <w:t>•</w:t>
      </w:r>
      <w:r w:rsidRPr="004B64C3">
        <w:rPr>
          <w:rFonts w:eastAsia="Arial Unicode MS"/>
          <w:noProof/>
          <w:color w:val="000000"/>
          <w:u w:color="000000"/>
          <w:bdr w:val="nil"/>
          <w:lang w:eastAsia="en-GB"/>
        </w:rPr>
        <w:tab/>
      </w:r>
      <w:r w:rsidRPr="004B64C3">
        <w:rPr>
          <w:rFonts w:eastAsia="Arial Unicode MS"/>
          <w:noProof/>
        </w:rPr>
        <w:t xml:space="preserve">Consistency with existing policy provisions in the </w:t>
      </w:r>
      <w:r w:rsidR="00B37426">
        <w:rPr>
          <w:rFonts w:eastAsia="Arial Unicode MS"/>
          <w:noProof/>
        </w:rPr>
        <w:t>relevant domain</w:t>
      </w:r>
    </w:p>
    <w:p w14:paraId="3EC0F8AB" w14:textId="68BF8DA5" w:rsidR="007A3AF5" w:rsidRPr="004B64C3" w:rsidRDefault="79124859" w:rsidP="00660B60">
      <w:pPr>
        <w:pBdr>
          <w:top w:val="nil"/>
          <w:left w:val="nil"/>
          <w:bottom w:val="nil"/>
          <w:right w:val="nil"/>
          <w:between w:val="nil"/>
          <w:bar w:val="nil"/>
        </w:pBdr>
        <w:spacing w:before="0" w:after="240"/>
        <w:rPr>
          <w:rFonts w:eastAsia="Arial Unicode MS"/>
          <w:noProof/>
        </w:rPr>
      </w:pPr>
      <w:r w:rsidRPr="004B64C3">
        <w:rPr>
          <w:noProof/>
        </w:rPr>
        <w:t xml:space="preserve">An MRA </w:t>
      </w:r>
      <w:r w:rsidR="00B54D92">
        <w:rPr>
          <w:noProof/>
        </w:rPr>
        <w:t>on</w:t>
      </w:r>
      <w:r w:rsidRPr="004B64C3">
        <w:rPr>
          <w:noProof/>
        </w:rPr>
        <w:t xml:space="preserve"> conformity assessment</w:t>
      </w:r>
      <w:r w:rsidR="00B54D92">
        <w:rPr>
          <w:noProof/>
        </w:rPr>
        <w:t>s</w:t>
      </w:r>
      <w:r w:rsidRPr="004B64C3">
        <w:rPr>
          <w:noProof/>
        </w:rPr>
        <w:t>, certificates and markings between the EU and the Republic of Korea</w:t>
      </w:r>
      <w:r w:rsidRPr="004B64C3">
        <w:rPr>
          <w:rFonts w:eastAsia="Arial Unicode MS"/>
          <w:noProof/>
        </w:rPr>
        <w:t xml:space="preserve"> </w:t>
      </w:r>
      <w:r w:rsidR="3341583B" w:rsidRPr="004B64C3">
        <w:rPr>
          <w:rFonts w:eastAsia="Arial Unicode MS"/>
          <w:noProof/>
        </w:rPr>
        <w:t>would build on the existing EU-South Korea Free Trade Agreement (FTA), which has already eliminated 98.7% of tariffs</w:t>
      </w:r>
      <w:r w:rsidR="007A3AF5" w:rsidRPr="004B64C3">
        <w:rPr>
          <w:rStyle w:val="FootnoteReference"/>
          <w:rFonts w:eastAsia="Arial Unicode MS"/>
          <w:noProof/>
        </w:rPr>
        <w:footnoteReference w:id="4"/>
      </w:r>
      <w:r w:rsidR="3341583B" w:rsidRPr="004B64C3">
        <w:rPr>
          <w:rFonts w:eastAsia="Arial Unicode MS"/>
          <w:noProof/>
        </w:rPr>
        <w:t xml:space="preserve"> and </w:t>
      </w:r>
      <w:r w:rsidR="00FC6E02">
        <w:rPr>
          <w:rFonts w:eastAsia="Arial Unicode MS"/>
          <w:noProof/>
        </w:rPr>
        <w:t>removed</w:t>
      </w:r>
      <w:r w:rsidR="00FC6E02" w:rsidRPr="004B64C3">
        <w:rPr>
          <w:rFonts w:eastAsia="Arial Unicode MS"/>
          <w:noProof/>
        </w:rPr>
        <w:t xml:space="preserve"> </w:t>
      </w:r>
      <w:r w:rsidR="3341583B" w:rsidRPr="004B64C3">
        <w:rPr>
          <w:rFonts w:eastAsia="Arial Unicode MS"/>
          <w:noProof/>
        </w:rPr>
        <w:t>non-tariff barriers in electronics, pharmaceuticals, motor vehicles, and chemicals, but lacks full mutual recognition of conformity results. Consequently, bilateral trade</w:t>
      </w:r>
      <w:r w:rsidRPr="004B64C3">
        <w:rPr>
          <w:rFonts w:eastAsia="Arial Unicode MS"/>
          <w:noProof/>
        </w:rPr>
        <w:t>, which reached</w:t>
      </w:r>
      <w:r w:rsidR="3341583B" w:rsidRPr="004B64C3">
        <w:rPr>
          <w:rFonts w:eastAsia="Arial Unicode MS"/>
          <w:noProof/>
        </w:rPr>
        <w:t xml:space="preserve"> </w:t>
      </w:r>
      <w:r w:rsidR="00B54D92">
        <w:rPr>
          <w:rFonts w:eastAsia="Arial Unicode MS"/>
          <w:noProof/>
        </w:rPr>
        <w:t>EUR </w:t>
      </w:r>
      <w:r w:rsidR="289C9257" w:rsidRPr="004B64C3">
        <w:rPr>
          <w:noProof/>
        </w:rPr>
        <w:t>123.7</w:t>
      </w:r>
      <w:r w:rsidR="3341583B" w:rsidRPr="004B64C3">
        <w:rPr>
          <w:rFonts w:eastAsia="Arial Unicode MS"/>
          <w:noProof/>
        </w:rPr>
        <w:t xml:space="preserve"> billion in goods in 202</w:t>
      </w:r>
      <w:r w:rsidR="05175C0D" w:rsidRPr="004B64C3">
        <w:rPr>
          <w:rFonts w:eastAsia="Arial Unicode MS"/>
          <w:noProof/>
        </w:rPr>
        <w:t>4</w:t>
      </w:r>
      <w:r w:rsidRPr="004B64C3">
        <w:rPr>
          <w:rFonts w:eastAsia="Arial Unicode MS"/>
          <w:noProof/>
        </w:rPr>
        <w:t>,</w:t>
      </w:r>
      <w:r w:rsidR="3341583B" w:rsidRPr="004B64C3">
        <w:rPr>
          <w:rFonts w:eastAsia="Arial Unicode MS"/>
          <w:noProof/>
        </w:rPr>
        <w:t xml:space="preserve"> would benefit from reduced border delays, harmoni</w:t>
      </w:r>
      <w:r w:rsidR="004B64C3">
        <w:rPr>
          <w:rFonts w:eastAsia="Arial Unicode MS"/>
          <w:noProof/>
        </w:rPr>
        <w:t>s</w:t>
      </w:r>
      <w:r w:rsidR="3341583B" w:rsidRPr="004B64C3">
        <w:rPr>
          <w:rFonts w:eastAsia="Arial Unicode MS"/>
          <w:noProof/>
        </w:rPr>
        <w:t xml:space="preserve">ed documentation, and </w:t>
      </w:r>
      <w:r w:rsidR="00FC6E02">
        <w:rPr>
          <w:rFonts w:eastAsia="Arial Unicode MS"/>
          <w:noProof/>
        </w:rPr>
        <w:t>better</w:t>
      </w:r>
      <w:r w:rsidR="00FC6E02" w:rsidRPr="004B64C3">
        <w:rPr>
          <w:rFonts w:eastAsia="Arial Unicode MS"/>
          <w:noProof/>
        </w:rPr>
        <w:t xml:space="preserve"> </w:t>
      </w:r>
      <w:r w:rsidR="3341583B" w:rsidRPr="004B64C3">
        <w:rPr>
          <w:rFonts w:eastAsia="Arial Unicode MS"/>
          <w:noProof/>
        </w:rPr>
        <w:t xml:space="preserve">supply chain integration, particularly given </w:t>
      </w:r>
      <w:r w:rsidR="00E12E57">
        <w:rPr>
          <w:rFonts w:eastAsia="Arial Unicode MS"/>
          <w:noProof/>
        </w:rPr>
        <w:t>the Republic of</w:t>
      </w:r>
      <w:r w:rsidR="00E12E57" w:rsidRPr="004B64C3">
        <w:rPr>
          <w:rFonts w:eastAsia="Arial Unicode MS"/>
          <w:noProof/>
        </w:rPr>
        <w:t xml:space="preserve"> </w:t>
      </w:r>
      <w:r w:rsidR="3341583B" w:rsidRPr="004B64C3">
        <w:rPr>
          <w:rFonts w:eastAsia="Arial Unicode MS"/>
          <w:noProof/>
        </w:rPr>
        <w:t>Korea</w:t>
      </w:r>
      <w:r w:rsidR="00B10888" w:rsidRPr="004B64C3">
        <w:rPr>
          <w:rFonts w:eastAsia="Arial Unicode MS"/>
          <w:noProof/>
        </w:rPr>
        <w:t>’</w:t>
      </w:r>
      <w:r w:rsidR="3341583B" w:rsidRPr="004B64C3">
        <w:rPr>
          <w:rFonts w:eastAsia="Arial Unicode MS"/>
          <w:noProof/>
        </w:rPr>
        <w:t>s role as the EU</w:t>
      </w:r>
      <w:r w:rsidR="00B10888" w:rsidRPr="004B64C3">
        <w:rPr>
          <w:rFonts w:eastAsia="Arial Unicode MS"/>
          <w:noProof/>
        </w:rPr>
        <w:t>’</w:t>
      </w:r>
      <w:r w:rsidR="3341583B" w:rsidRPr="004B64C3">
        <w:rPr>
          <w:rFonts w:eastAsia="Arial Unicode MS"/>
          <w:noProof/>
        </w:rPr>
        <w:t xml:space="preserve">s eighth-largest </w:t>
      </w:r>
      <w:r w:rsidR="00FC6E02" w:rsidRPr="004B64C3">
        <w:rPr>
          <w:rFonts w:eastAsia="Arial Unicode MS"/>
          <w:noProof/>
        </w:rPr>
        <w:t>export destination</w:t>
      </w:r>
      <w:r w:rsidR="00FC6E02">
        <w:rPr>
          <w:rFonts w:eastAsia="Arial Unicode MS"/>
          <w:noProof/>
        </w:rPr>
        <w:t xml:space="preserve"> for</w:t>
      </w:r>
      <w:r w:rsidR="00FC6E02" w:rsidRPr="004B64C3">
        <w:rPr>
          <w:rFonts w:eastAsia="Arial Unicode MS"/>
          <w:noProof/>
        </w:rPr>
        <w:t xml:space="preserve"> </w:t>
      </w:r>
      <w:r w:rsidR="3341583B" w:rsidRPr="004B64C3">
        <w:rPr>
          <w:rFonts w:eastAsia="Arial Unicode MS"/>
          <w:noProof/>
        </w:rPr>
        <w:t xml:space="preserve">goods </w:t>
      </w:r>
      <w:r w:rsidR="007A3AF5" w:rsidRPr="004B64C3">
        <w:rPr>
          <w:rStyle w:val="FootnoteReference"/>
          <w:rFonts w:eastAsia="Arial Unicode MS"/>
          <w:noProof/>
        </w:rPr>
        <w:footnoteReference w:id="5"/>
      </w:r>
      <w:r w:rsidR="004B64C3" w:rsidRPr="004B64C3">
        <w:rPr>
          <w:rFonts w:eastAsia="Arial Unicode MS"/>
          <w:noProof/>
        </w:rPr>
        <w:t>.</w:t>
      </w:r>
    </w:p>
    <w:p w14:paraId="0C109BDB" w14:textId="1B704B3D" w:rsidR="004D72F0" w:rsidRPr="004B64C3" w:rsidRDefault="004D72F0">
      <w:pPr>
        <w:pStyle w:val="ManualHeading2"/>
        <w:rPr>
          <w:rFonts w:eastAsia="Arial Unicode MS"/>
          <w:noProof/>
        </w:rPr>
      </w:pPr>
      <w:r w:rsidRPr="004B64C3">
        <w:rPr>
          <w:rFonts w:eastAsia="Arial Unicode MS"/>
          <w:noProof/>
          <w:color w:val="000000"/>
          <w:u w:color="000000"/>
          <w:bdr w:val="nil"/>
          <w:lang w:eastAsia="en-GB"/>
        </w:rPr>
        <w:t>•</w:t>
      </w:r>
      <w:r w:rsidRPr="004B64C3">
        <w:rPr>
          <w:rFonts w:eastAsia="Arial Unicode MS"/>
          <w:noProof/>
          <w:color w:val="000000"/>
          <w:u w:color="000000"/>
          <w:bdr w:val="nil"/>
          <w:lang w:eastAsia="en-GB"/>
        </w:rPr>
        <w:tab/>
      </w:r>
      <w:r w:rsidRPr="004B64C3">
        <w:rPr>
          <w:rFonts w:eastAsia="Arial Unicode MS"/>
          <w:noProof/>
        </w:rPr>
        <w:t>Consistency with other Union policies</w:t>
      </w:r>
    </w:p>
    <w:p w14:paraId="7437CAF7" w14:textId="5D9B9E8C" w:rsidR="00547911" w:rsidRPr="004B64C3" w:rsidRDefault="00547911" w:rsidP="00547911">
      <w:pPr>
        <w:pBdr>
          <w:top w:val="nil"/>
          <w:left w:val="nil"/>
          <w:bottom w:val="nil"/>
          <w:right w:val="nil"/>
          <w:between w:val="nil"/>
          <w:bar w:val="nil"/>
        </w:pBdr>
        <w:spacing w:before="0" w:after="240"/>
        <w:rPr>
          <w:noProof/>
        </w:rPr>
      </w:pPr>
      <w:r w:rsidRPr="004B64C3">
        <w:rPr>
          <w:noProof/>
        </w:rPr>
        <w:t>The recommendation is consistent with other Union policies.</w:t>
      </w:r>
    </w:p>
    <w:p w14:paraId="1B725E98" w14:textId="5314B530" w:rsidR="00095CED" w:rsidRPr="004B64C3" w:rsidRDefault="0AE09CAA" w:rsidP="36294051">
      <w:pPr>
        <w:pBdr>
          <w:top w:val="nil"/>
          <w:left w:val="nil"/>
          <w:bottom w:val="nil"/>
          <w:right w:val="nil"/>
          <w:between w:val="nil"/>
          <w:bar w:val="nil"/>
        </w:pBdr>
        <w:spacing w:before="0" w:after="240"/>
        <w:rPr>
          <w:noProof/>
        </w:rPr>
      </w:pPr>
      <w:r w:rsidRPr="004B64C3">
        <w:rPr>
          <w:noProof/>
        </w:rPr>
        <w:t xml:space="preserve">MRAs support the common commercial policy by reducing trade barriers </w:t>
      </w:r>
      <w:r w:rsidR="3DCC632B" w:rsidRPr="004B64C3">
        <w:rPr>
          <w:noProof/>
        </w:rPr>
        <w:t xml:space="preserve">and facilitating market access </w:t>
      </w:r>
      <w:r w:rsidRPr="004B64C3">
        <w:rPr>
          <w:noProof/>
        </w:rPr>
        <w:t>through sector</w:t>
      </w:r>
      <w:r w:rsidR="3DCC632B" w:rsidRPr="004B64C3">
        <w:rPr>
          <w:noProof/>
        </w:rPr>
        <w:t>-</w:t>
      </w:r>
      <w:r w:rsidRPr="004B64C3">
        <w:rPr>
          <w:noProof/>
        </w:rPr>
        <w:t xml:space="preserve">specific bilateral </w:t>
      </w:r>
      <w:r w:rsidR="00B33E6B">
        <w:rPr>
          <w:noProof/>
        </w:rPr>
        <w:t>agreements</w:t>
      </w:r>
      <w:r w:rsidR="00B33E6B" w:rsidRPr="004B64C3">
        <w:rPr>
          <w:noProof/>
        </w:rPr>
        <w:t xml:space="preserve"> </w:t>
      </w:r>
      <w:r w:rsidR="3DCC632B" w:rsidRPr="004B64C3">
        <w:rPr>
          <w:noProof/>
        </w:rPr>
        <w:t xml:space="preserve">with </w:t>
      </w:r>
      <w:r w:rsidR="00AC6B58">
        <w:rPr>
          <w:noProof/>
        </w:rPr>
        <w:t>non-EU</w:t>
      </w:r>
      <w:r w:rsidR="00AC6B58" w:rsidRPr="004B64C3">
        <w:rPr>
          <w:noProof/>
        </w:rPr>
        <w:t xml:space="preserve"> </w:t>
      </w:r>
      <w:r w:rsidR="3DCC632B" w:rsidRPr="004B64C3">
        <w:rPr>
          <w:noProof/>
        </w:rPr>
        <w:t xml:space="preserve">countries that accept equivalent testing </w:t>
      </w:r>
      <w:r w:rsidR="00B33E6B">
        <w:rPr>
          <w:noProof/>
        </w:rPr>
        <w:t>conducted in other countries</w:t>
      </w:r>
      <w:r w:rsidR="00986BFD">
        <w:rPr>
          <w:noProof/>
        </w:rPr>
        <w:t>,</w:t>
      </w:r>
      <w:r w:rsidR="00B33E6B">
        <w:rPr>
          <w:noProof/>
        </w:rPr>
        <w:t xml:space="preserve"> </w:t>
      </w:r>
      <w:r w:rsidR="00986BFD">
        <w:rPr>
          <w:noProof/>
        </w:rPr>
        <w:t>thus avoiding duplication of</w:t>
      </w:r>
      <w:r w:rsidR="3DCC632B" w:rsidRPr="004B64C3">
        <w:rPr>
          <w:noProof/>
        </w:rPr>
        <w:t xml:space="preserve"> assessments. The agreements </w:t>
      </w:r>
      <w:r w:rsidR="005073B4">
        <w:rPr>
          <w:noProof/>
        </w:rPr>
        <w:t>deliberately</w:t>
      </w:r>
      <w:r w:rsidR="005073B4" w:rsidRPr="004B64C3">
        <w:rPr>
          <w:noProof/>
        </w:rPr>
        <w:t xml:space="preserve"> </w:t>
      </w:r>
      <w:r w:rsidR="3DCC632B" w:rsidRPr="004B64C3">
        <w:rPr>
          <w:noProof/>
        </w:rPr>
        <w:t>avoid mandating changes to</w:t>
      </w:r>
      <w:r w:rsidR="00B10888" w:rsidRPr="004B64C3">
        <w:rPr>
          <w:noProof/>
        </w:rPr>
        <w:t xml:space="preserve"> </w:t>
      </w:r>
      <w:r w:rsidR="3DCC632B" w:rsidRPr="004B64C3">
        <w:rPr>
          <w:noProof/>
        </w:rPr>
        <w:t xml:space="preserve">technical </w:t>
      </w:r>
      <w:r w:rsidR="00B10888" w:rsidRPr="004B64C3">
        <w:rPr>
          <w:noProof/>
        </w:rPr>
        <w:t>regulations</w:t>
      </w:r>
      <w:r w:rsidR="3DCC632B" w:rsidRPr="004B64C3">
        <w:rPr>
          <w:noProof/>
        </w:rPr>
        <w:t>, standards or requirements</w:t>
      </w:r>
      <w:r w:rsidR="00F56439">
        <w:rPr>
          <w:noProof/>
        </w:rPr>
        <w:t xml:space="preserve"> of the parties</w:t>
      </w:r>
      <w:r w:rsidR="3DCC632B" w:rsidRPr="004B64C3">
        <w:rPr>
          <w:noProof/>
        </w:rPr>
        <w:t xml:space="preserve">, </w:t>
      </w:r>
      <w:r w:rsidR="00F56439">
        <w:rPr>
          <w:noProof/>
        </w:rPr>
        <w:t xml:space="preserve">thereby </w:t>
      </w:r>
      <w:r w:rsidR="3DCC632B" w:rsidRPr="004B64C3">
        <w:rPr>
          <w:noProof/>
        </w:rPr>
        <w:t>preserving each party</w:t>
      </w:r>
      <w:r w:rsidR="00B10888" w:rsidRPr="004B64C3">
        <w:rPr>
          <w:noProof/>
        </w:rPr>
        <w:t>’</w:t>
      </w:r>
      <w:r w:rsidR="3DCC632B" w:rsidRPr="004B64C3">
        <w:rPr>
          <w:noProof/>
        </w:rPr>
        <w:t>s right to regulate</w:t>
      </w:r>
      <w:r w:rsidR="00DA7822">
        <w:rPr>
          <w:noProof/>
        </w:rPr>
        <w:t xml:space="preserve"> and only allowing</w:t>
      </w:r>
      <w:r w:rsidR="3DCC632B" w:rsidRPr="004B64C3">
        <w:rPr>
          <w:noProof/>
        </w:rPr>
        <w:t xml:space="preserve"> foreign test reports or certificates </w:t>
      </w:r>
      <w:r w:rsidR="0047567E">
        <w:rPr>
          <w:noProof/>
        </w:rPr>
        <w:t xml:space="preserve">to </w:t>
      </w:r>
      <w:r w:rsidR="00DA7822">
        <w:rPr>
          <w:noProof/>
        </w:rPr>
        <w:t>be accepted as proof of</w:t>
      </w:r>
      <w:r w:rsidR="0047567E" w:rsidRPr="004B64C3">
        <w:rPr>
          <w:noProof/>
        </w:rPr>
        <w:t xml:space="preserve"> </w:t>
      </w:r>
      <w:r w:rsidR="3DCC632B" w:rsidRPr="004B64C3">
        <w:rPr>
          <w:noProof/>
        </w:rPr>
        <w:t>compliance.</w:t>
      </w:r>
    </w:p>
    <w:p w14:paraId="0DA3A040" w14:textId="5888F321" w:rsidR="00095CED" w:rsidRPr="004B64C3" w:rsidRDefault="00095CED" w:rsidP="00547911">
      <w:pPr>
        <w:pBdr>
          <w:top w:val="nil"/>
          <w:left w:val="nil"/>
          <w:bottom w:val="nil"/>
          <w:right w:val="nil"/>
          <w:between w:val="nil"/>
          <w:bar w:val="nil"/>
        </w:pBdr>
        <w:spacing w:before="0" w:after="240"/>
        <w:rPr>
          <w:noProof/>
        </w:rPr>
      </w:pPr>
      <w:r w:rsidRPr="004B64C3">
        <w:rPr>
          <w:noProof/>
        </w:rPr>
        <w:t xml:space="preserve">This recommendation </w:t>
      </w:r>
      <w:r w:rsidR="002928B9">
        <w:rPr>
          <w:noProof/>
        </w:rPr>
        <w:t>is also in line</w:t>
      </w:r>
      <w:r w:rsidRPr="004B64C3">
        <w:rPr>
          <w:noProof/>
        </w:rPr>
        <w:t xml:space="preserve"> with the principles of the </w:t>
      </w:r>
      <w:r w:rsidR="006E6364">
        <w:rPr>
          <w:noProof/>
        </w:rPr>
        <w:t>World Trade Organization (</w:t>
      </w:r>
      <w:r w:rsidRPr="004B64C3">
        <w:rPr>
          <w:noProof/>
        </w:rPr>
        <w:t>WTO</w:t>
      </w:r>
      <w:r w:rsidR="006E6364">
        <w:rPr>
          <w:noProof/>
        </w:rPr>
        <w:t>)</w:t>
      </w:r>
      <w:r w:rsidRPr="004B64C3">
        <w:rPr>
          <w:noProof/>
        </w:rPr>
        <w:t xml:space="preserve"> Technical Barriers to Trade </w:t>
      </w:r>
      <w:r w:rsidR="00AB234F">
        <w:rPr>
          <w:noProof/>
        </w:rPr>
        <w:t>A</w:t>
      </w:r>
      <w:r w:rsidRPr="004B64C3">
        <w:rPr>
          <w:noProof/>
        </w:rPr>
        <w:t>greement</w:t>
      </w:r>
      <w:r w:rsidR="002928B9">
        <w:rPr>
          <w:noProof/>
        </w:rPr>
        <w:t xml:space="preserve">, as it </w:t>
      </w:r>
      <w:r w:rsidR="002928B9" w:rsidRPr="004B64C3">
        <w:rPr>
          <w:noProof/>
        </w:rPr>
        <w:t>promot</w:t>
      </w:r>
      <w:r w:rsidR="002928B9">
        <w:rPr>
          <w:noProof/>
        </w:rPr>
        <w:t>es</w:t>
      </w:r>
      <w:r w:rsidR="002928B9" w:rsidRPr="004B64C3">
        <w:rPr>
          <w:noProof/>
        </w:rPr>
        <w:t xml:space="preserve"> </w:t>
      </w:r>
      <w:r w:rsidRPr="004B64C3">
        <w:rPr>
          <w:noProof/>
        </w:rPr>
        <w:t xml:space="preserve">regulatory cooperation on conformity assessment, </w:t>
      </w:r>
      <w:r w:rsidR="002928B9" w:rsidRPr="004B64C3">
        <w:rPr>
          <w:noProof/>
        </w:rPr>
        <w:t>reduc</w:t>
      </w:r>
      <w:r w:rsidR="002928B9">
        <w:rPr>
          <w:noProof/>
        </w:rPr>
        <w:t>es</w:t>
      </w:r>
      <w:r w:rsidR="002928B9" w:rsidRPr="004B64C3">
        <w:rPr>
          <w:noProof/>
        </w:rPr>
        <w:t xml:space="preserve"> </w:t>
      </w:r>
      <w:r w:rsidRPr="004B64C3">
        <w:rPr>
          <w:noProof/>
        </w:rPr>
        <w:t xml:space="preserve">non-tariff barriers </w:t>
      </w:r>
      <w:r w:rsidR="002928B9">
        <w:rPr>
          <w:noProof/>
        </w:rPr>
        <w:t>and</w:t>
      </w:r>
      <w:r w:rsidR="002928B9" w:rsidRPr="004B64C3">
        <w:rPr>
          <w:noProof/>
        </w:rPr>
        <w:t xml:space="preserve"> uphold</w:t>
      </w:r>
      <w:r w:rsidR="002928B9">
        <w:rPr>
          <w:noProof/>
        </w:rPr>
        <w:t>s</w:t>
      </w:r>
      <w:r w:rsidR="002928B9" w:rsidRPr="004B64C3">
        <w:rPr>
          <w:noProof/>
        </w:rPr>
        <w:t xml:space="preserve"> </w:t>
      </w:r>
      <w:r w:rsidRPr="004B64C3">
        <w:rPr>
          <w:noProof/>
        </w:rPr>
        <w:t>essential EU requirements</w:t>
      </w:r>
      <w:r w:rsidR="002928B9">
        <w:rPr>
          <w:noProof/>
        </w:rPr>
        <w:t xml:space="preserve">, such as </w:t>
      </w:r>
      <w:r w:rsidRPr="004B64C3">
        <w:rPr>
          <w:noProof/>
        </w:rPr>
        <w:t>safety and environmental standards.</w:t>
      </w:r>
    </w:p>
    <w:p w14:paraId="59475F1C" w14:textId="6CDF7599" w:rsidR="00EE5191" w:rsidRPr="004B64C3" w:rsidRDefault="00913F67" w:rsidP="64135B3F">
      <w:pPr>
        <w:pBdr>
          <w:top w:val="nil"/>
          <w:left w:val="nil"/>
          <w:bottom w:val="nil"/>
          <w:right w:val="nil"/>
          <w:between w:val="nil"/>
          <w:bar w:val="nil"/>
        </w:pBdr>
        <w:spacing w:before="0" w:after="240"/>
        <w:rPr>
          <w:noProof/>
        </w:rPr>
      </w:pPr>
      <w:r w:rsidRPr="004B64C3">
        <w:rPr>
          <w:noProof/>
        </w:rPr>
        <w:t>Last</w:t>
      </w:r>
      <w:r w:rsidR="0061482C">
        <w:rPr>
          <w:noProof/>
        </w:rPr>
        <w:t>ly</w:t>
      </w:r>
      <w:r w:rsidRPr="004B64C3">
        <w:rPr>
          <w:noProof/>
        </w:rPr>
        <w:t>, conducting MRA negotiations constitutes a strategic action fully aligned with the EU</w:t>
      </w:r>
      <w:r w:rsidR="00B10888" w:rsidRPr="004B64C3">
        <w:rPr>
          <w:noProof/>
        </w:rPr>
        <w:t>’</w:t>
      </w:r>
      <w:r w:rsidRPr="004B64C3">
        <w:rPr>
          <w:noProof/>
        </w:rPr>
        <w:t xml:space="preserve">s priorities to enhance global competitiveness and foster new market opportunities for </w:t>
      </w:r>
      <w:r w:rsidR="00376746">
        <w:rPr>
          <w:noProof/>
        </w:rPr>
        <w:t>EU companies</w:t>
      </w:r>
      <w:r w:rsidRPr="004B64C3">
        <w:rPr>
          <w:noProof/>
        </w:rPr>
        <w:t xml:space="preserve">. In the current international context marked by escalating trade barriers and protectionist measures among key trading partners, MRAs serve to dismantle technical and regulatory obstacles, thus facilitating smoother market access and lowering costs for EU companies. This approach </w:t>
      </w:r>
      <w:r w:rsidR="007B544C">
        <w:rPr>
          <w:noProof/>
        </w:rPr>
        <w:t>is consistent</w:t>
      </w:r>
      <w:r w:rsidR="007B544C" w:rsidRPr="004B64C3">
        <w:rPr>
          <w:noProof/>
        </w:rPr>
        <w:t xml:space="preserve"> </w:t>
      </w:r>
      <w:r w:rsidRPr="004B64C3">
        <w:rPr>
          <w:noProof/>
        </w:rPr>
        <w:t>with the Commission</w:t>
      </w:r>
      <w:r w:rsidR="00B10888" w:rsidRPr="004B64C3">
        <w:rPr>
          <w:noProof/>
        </w:rPr>
        <w:t>’</w:t>
      </w:r>
      <w:r w:rsidRPr="004B64C3">
        <w:rPr>
          <w:noProof/>
        </w:rPr>
        <w:t xml:space="preserve">s </w:t>
      </w:r>
      <w:r w:rsidR="007B544C" w:rsidRPr="004B64C3">
        <w:rPr>
          <w:noProof/>
        </w:rPr>
        <w:t xml:space="preserve">agenda </w:t>
      </w:r>
      <w:r w:rsidR="007B544C">
        <w:rPr>
          <w:noProof/>
        </w:rPr>
        <w:t xml:space="preserve">for </w:t>
      </w:r>
      <w:r w:rsidRPr="004B64C3">
        <w:rPr>
          <w:noProof/>
        </w:rPr>
        <w:t xml:space="preserve">competitiveness. As highlighted in the Draghi </w:t>
      </w:r>
      <w:r w:rsidR="00376746">
        <w:rPr>
          <w:noProof/>
        </w:rPr>
        <w:t>r</w:t>
      </w:r>
      <w:r w:rsidRPr="004B64C3">
        <w:rPr>
          <w:noProof/>
        </w:rPr>
        <w:t xml:space="preserve">eport on EU </w:t>
      </w:r>
      <w:r w:rsidR="00376746">
        <w:rPr>
          <w:noProof/>
        </w:rPr>
        <w:t>c</w:t>
      </w:r>
      <w:r w:rsidRPr="004B64C3">
        <w:rPr>
          <w:noProof/>
        </w:rPr>
        <w:t>ompetitiveness</w:t>
      </w:r>
      <w:r w:rsidR="00B05131" w:rsidRPr="004B64C3">
        <w:rPr>
          <w:noProof/>
        </w:rPr>
        <w:t xml:space="preserve"> and in the Commission</w:t>
      </w:r>
      <w:r w:rsidR="00B10888" w:rsidRPr="004B64C3">
        <w:rPr>
          <w:noProof/>
        </w:rPr>
        <w:t>’</w:t>
      </w:r>
      <w:r w:rsidR="00B05131" w:rsidRPr="004B64C3">
        <w:rPr>
          <w:noProof/>
        </w:rPr>
        <w:t xml:space="preserve">s </w:t>
      </w:r>
      <w:r w:rsidR="00376746">
        <w:rPr>
          <w:noProof/>
        </w:rPr>
        <w:t>C</w:t>
      </w:r>
      <w:r w:rsidR="00A33367" w:rsidRPr="004B64C3">
        <w:rPr>
          <w:noProof/>
        </w:rPr>
        <w:t>ompetitive</w:t>
      </w:r>
      <w:r w:rsidR="003821FF">
        <w:rPr>
          <w:noProof/>
        </w:rPr>
        <w:t>ness</w:t>
      </w:r>
      <w:r w:rsidR="00A33367" w:rsidRPr="004B64C3">
        <w:rPr>
          <w:noProof/>
        </w:rPr>
        <w:t xml:space="preserve"> </w:t>
      </w:r>
      <w:r w:rsidR="00376746">
        <w:rPr>
          <w:noProof/>
        </w:rPr>
        <w:t>C</w:t>
      </w:r>
      <w:r w:rsidR="00A33367" w:rsidRPr="004B64C3">
        <w:rPr>
          <w:noProof/>
        </w:rPr>
        <w:t>ompass</w:t>
      </w:r>
      <w:r w:rsidRPr="004B64C3">
        <w:rPr>
          <w:noProof/>
        </w:rPr>
        <w:t>, overcoming fragmentation and regulatory barriers is crucial for closing the investment and productivity gaps that hamper the EU</w:t>
      </w:r>
      <w:r w:rsidR="00B10888" w:rsidRPr="004B64C3">
        <w:rPr>
          <w:noProof/>
        </w:rPr>
        <w:t>’</w:t>
      </w:r>
      <w:r w:rsidRPr="004B64C3">
        <w:rPr>
          <w:noProof/>
        </w:rPr>
        <w:t xml:space="preserve">s economic growth. </w:t>
      </w:r>
      <w:r w:rsidR="0075010A" w:rsidRPr="004B64C3">
        <w:rPr>
          <w:noProof/>
        </w:rPr>
        <w:t>Draghi</w:t>
      </w:r>
      <w:r w:rsidR="00B10888" w:rsidRPr="004B64C3">
        <w:rPr>
          <w:noProof/>
        </w:rPr>
        <w:t>’</w:t>
      </w:r>
      <w:r w:rsidR="0075010A" w:rsidRPr="004B64C3">
        <w:rPr>
          <w:noProof/>
        </w:rPr>
        <w:t>s report also underscores the importance of strategic and preferential trade agreements to secure critical supply chains and bolster EU competitiveness.</w:t>
      </w:r>
      <w:r w:rsidR="006B683D" w:rsidRPr="004B64C3">
        <w:rPr>
          <w:noProof/>
        </w:rPr>
        <w:t xml:space="preserve"> In this context</w:t>
      </w:r>
      <w:r w:rsidR="0075010A" w:rsidRPr="004B64C3">
        <w:rPr>
          <w:noProof/>
        </w:rPr>
        <w:t xml:space="preserve"> MRAs </w:t>
      </w:r>
      <w:r w:rsidR="006B683D" w:rsidRPr="004B64C3">
        <w:rPr>
          <w:noProof/>
        </w:rPr>
        <w:t>are</w:t>
      </w:r>
      <w:r w:rsidR="0075010A" w:rsidRPr="004B64C3">
        <w:rPr>
          <w:noProof/>
        </w:rPr>
        <w:t xml:space="preserve"> essential tools for facilitating trade and reducing barriers in external markets. </w:t>
      </w:r>
      <w:r w:rsidRPr="004B64C3">
        <w:rPr>
          <w:noProof/>
        </w:rPr>
        <w:t>Therefore, pursuing MRAs aligns strongly with both the EU</w:t>
      </w:r>
      <w:r w:rsidR="00B10888" w:rsidRPr="004B64C3">
        <w:rPr>
          <w:noProof/>
        </w:rPr>
        <w:t>’</w:t>
      </w:r>
      <w:r w:rsidRPr="004B64C3">
        <w:rPr>
          <w:noProof/>
        </w:rPr>
        <w:t>s internal competitiveness objectives and its external trade policy</w:t>
      </w:r>
      <w:r w:rsidR="00E46B4C" w:rsidRPr="004B64C3">
        <w:rPr>
          <w:noProof/>
        </w:rPr>
        <w:t xml:space="preserve"> agenda.</w:t>
      </w:r>
    </w:p>
    <w:p w14:paraId="041CCF42" w14:textId="1284B3D6" w:rsidR="00E176F9" w:rsidRPr="00E176F9" w:rsidRDefault="004D72F0" w:rsidP="00E176F9">
      <w:pPr>
        <w:pStyle w:val="ManualHeading1"/>
        <w:rPr>
          <w:noProof/>
        </w:rPr>
      </w:pPr>
      <w:r w:rsidRPr="004B64C3">
        <w:rPr>
          <w:noProof/>
        </w:rPr>
        <w:t>2.</w:t>
      </w:r>
      <w:r w:rsidRPr="004B64C3">
        <w:rPr>
          <w:noProof/>
        </w:rPr>
        <w:tab/>
        <w:t>LEGAL BASIS, SUBSIDIARITY AND PROPORTIONALITY</w:t>
      </w:r>
    </w:p>
    <w:p w14:paraId="12F2C09B" w14:textId="5E55A79B" w:rsidR="00A408BE" w:rsidRPr="007C56F5" w:rsidRDefault="00670EA5" w:rsidP="00670EA5">
      <w:pPr>
        <w:pStyle w:val="ManualHeading2"/>
        <w:rPr>
          <w:rFonts w:eastAsia="Arial Unicode MS"/>
          <w:noProof/>
          <w:color w:val="000000"/>
          <w:u w:color="000000"/>
          <w:bdr w:val="nil"/>
          <w:lang w:eastAsia="en-GB"/>
        </w:rPr>
      </w:pPr>
      <w:r w:rsidRPr="004B64C3">
        <w:rPr>
          <w:rFonts w:eastAsia="Arial Unicode MS"/>
          <w:noProof/>
          <w:color w:val="000000"/>
          <w:u w:color="000000"/>
          <w:bdr w:val="nil"/>
          <w:lang w:eastAsia="en-GB"/>
        </w:rPr>
        <w:t>•</w:t>
      </w:r>
      <w:r w:rsidRPr="004B64C3">
        <w:rPr>
          <w:rFonts w:eastAsia="Arial Unicode MS"/>
          <w:noProof/>
          <w:color w:val="000000"/>
          <w:u w:color="000000"/>
          <w:bdr w:val="nil"/>
          <w:lang w:eastAsia="en-GB"/>
        </w:rPr>
        <w:tab/>
      </w:r>
      <w:r w:rsidR="00A408BE" w:rsidRPr="007C56F5">
        <w:rPr>
          <w:rFonts w:eastAsia="Arial Unicode MS"/>
          <w:noProof/>
          <w:color w:val="000000"/>
          <w:u w:color="000000"/>
          <w:bdr w:val="nil"/>
          <w:lang w:eastAsia="en-GB"/>
        </w:rPr>
        <w:t>Procedural legal basis </w:t>
      </w:r>
    </w:p>
    <w:p w14:paraId="05D3AB3E" w14:textId="4A27F239" w:rsidR="00A408BE" w:rsidRPr="007C56F5" w:rsidRDefault="00A408BE" w:rsidP="00130629">
      <w:pPr>
        <w:pBdr>
          <w:top w:val="nil"/>
          <w:left w:val="nil"/>
          <w:bottom w:val="nil"/>
          <w:right w:val="nil"/>
          <w:between w:val="nil"/>
          <w:bar w:val="nil"/>
        </w:pBdr>
        <w:spacing w:before="0" w:after="240"/>
        <w:rPr>
          <w:noProof/>
        </w:rPr>
      </w:pPr>
      <w:r w:rsidRPr="007C56F5">
        <w:rPr>
          <w:noProof/>
        </w:rPr>
        <w:t>Article 218(3) of the Treaty on the Functioning of the European Union (TFEU) provides that, where the agreement envisaged does not relate exclusively or principally to the common foreign and security policy, the Commission shall submit recommendations to the Council. The Council shall adopt a decision authorising the opening of the negotiations and nominating the Union negotiator or the head of the Union’s negotiating team.</w:t>
      </w:r>
    </w:p>
    <w:p w14:paraId="245D0E17" w14:textId="77777777" w:rsidR="00A408BE" w:rsidRPr="007C56F5" w:rsidRDefault="00A408BE" w:rsidP="00130629">
      <w:pPr>
        <w:pBdr>
          <w:top w:val="nil"/>
          <w:left w:val="nil"/>
          <w:bottom w:val="nil"/>
          <w:right w:val="nil"/>
          <w:between w:val="nil"/>
          <w:bar w:val="nil"/>
        </w:pBdr>
        <w:spacing w:before="0" w:after="240"/>
        <w:rPr>
          <w:noProof/>
        </w:rPr>
      </w:pPr>
      <w:r w:rsidRPr="007C56F5">
        <w:rPr>
          <w:noProof/>
        </w:rPr>
        <w:t>Article 218(4) TFEU provides that the Council may address negotiating directives to the negotiator and designate a special committee to consult the negotiator. </w:t>
      </w:r>
    </w:p>
    <w:p w14:paraId="20F25469" w14:textId="77777777" w:rsidR="00A408BE" w:rsidRPr="007C56F5" w:rsidRDefault="00A408BE" w:rsidP="00130629">
      <w:pPr>
        <w:pBdr>
          <w:top w:val="nil"/>
          <w:left w:val="nil"/>
          <w:bottom w:val="nil"/>
          <w:right w:val="nil"/>
          <w:between w:val="nil"/>
          <w:bar w:val="nil"/>
        </w:pBdr>
        <w:spacing w:before="0" w:after="240"/>
        <w:rPr>
          <w:noProof/>
        </w:rPr>
      </w:pPr>
      <w:r w:rsidRPr="007C56F5">
        <w:rPr>
          <w:noProof/>
        </w:rPr>
        <w:t>The Commission recommends to open negotiations between the European Union and the Republic of Korea for an international agreement, relating to mutual recognition in relation to conformity assessment, certificates and markings. The Commission is to be nominated as negotiator. </w:t>
      </w:r>
    </w:p>
    <w:p w14:paraId="0B9D01A3" w14:textId="77777777" w:rsidR="00A408BE" w:rsidRPr="007C56F5" w:rsidRDefault="00A408BE" w:rsidP="00130629">
      <w:pPr>
        <w:pBdr>
          <w:top w:val="nil"/>
          <w:left w:val="nil"/>
          <w:bottom w:val="nil"/>
          <w:right w:val="nil"/>
          <w:between w:val="nil"/>
          <w:bar w:val="nil"/>
        </w:pBdr>
        <w:spacing w:before="0" w:after="240"/>
        <w:rPr>
          <w:noProof/>
        </w:rPr>
      </w:pPr>
      <w:r w:rsidRPr="007C56F5">
        <w:rPr>
          <w:noProof/>
        </w:rPr>
        <w:t>The procedural legal basis for the proposed decision to authorise opening of negotiations of the envisaged agreement is Article 218(3) and (4) TFEU. </w:t>
      </w:r>
    </w:p>
    <w:p w14:paraId="21547440" w14:textId="326265E9" w:rsidR="00A408BE" w:rsidRPr="007C56F5" w:rsidRDefault="00670EA5" w:rsidP="00670EA5">
      <w:pPr>
        <w:pStyle w:val="ManualHeading2"/>
        <w:rPr>
          <w:rFonts w:eastAsia="Arial Unicode MS"/>
          <w:noProof/>
          <w:color w:val="000000"/>
          <w:u w:color="000000"/>
          <w:bdr w:val="nil"/>
          <w:lang w:eastAsia="en-GB"/>
        </w:rPr>
      </w:pPr>
      <w:r w:rsidRPr="004B64C3">
        <w:rPr>
          <w:rFonts w:eastAsia="Arial Unicode MS"/>
          <w:noProof/>
          <w:color w:val="000000"/>
          <w:u w:color="000000"/>
          <w:bdr w:val="nil"/>
          <w:lang w:eastAsia="en-GB"/>
        </w:rPr>
        <w:t>•</w:t>
      </w:r>
      <w:r w:rsidRPr="004B64C3">
        <w:rPr>
          <w:rFonts w:eastAsia="Arial Unicode MS"/>
          <w:noProof/>
          <w:color w:val="000000"/>
          <w:u w:color="000000"/>
          <w:bdr w:val="nil"/>
          <w:lang w:eastAsia="en-GB"/>
        </w:rPr>
        <w:tab/>
      </w:r>
      <w:r w:rsidR="00A408BE" w:rsidRPr="007C56F5">
        <w:rPr>
          <w:rFonts w:eastAsia="Arial Unicode MS"/>
          <w:noProof/>
          <w:color w:val="000000"/>
          <w:u w:color="000000"/>
          <w:bdr w:val="nil"/>
          <w:lang w:eastAsia="en-GB"/>
        </w:rPr>
        <w:t>Substantive legal basis </w:t>
      </w:r>
    </w:p>
    <w:p w14:paraId="3FFC9145" w14:textId="1ABD88D3" w:rsidR="00A408BE" w:rsidRPr="007C56F5" w:rsidRDefault="00A408BE" w:rsidP="00130629">
      <w:pPr>
        <w:pBdr>
          <w:top w:val="nil"/>
          <w:left w:val="nil"/>
          <w:bottom w:val="nil"/>
          <w:right w:val="nil"/>
          <w:between w:val="nil"/>
          <w:bar w:val="nil"/>
        </w:pBdr>
        <w:spacing w:before="0" w:after="240"/>
        <w:rPr>
          <w:noProof/>
        </w:rPr>
      </w:pPr>
      <w:r w:rsidRPr="007C56F5">
        <w:rPr>
          <w:noProof/>
        </w:rPr>
        <w:t>The legal basis is Article 207(3) and (4) and Article 218(3) and (4) of the Treaty on the Functioning of the European Union (TFEU).</w:t>
      </w:r>
    </w:p>
    <w:p w14:paraId="6070E05A" w14:textId="77777777" w:rsidR="00A4677B" w:rsidRPr="004B64C3" w:rsidRDefault="00A4677B" w:rsidP="00A4677B">
      <w:pPr>
        <w:pStyle w:val="ManualHeading2"/>
        <w:rPr>
          <w:rFonts w:eastAsia="Arial Unicode MS"/>
          <w:noProof/>
          <w:color w:val="000000"/>
          <w:u w:color="000000"/>
          <w:bdr w:val="nil"/>
          <w:lang w:eastAsia="en-GB"/>
        </w:rPr>
      </w:pPr>
      <w:r w:rsidRPr="004B64C3">
        <w:rPr>
          <w:rFonts w:eastAsia="Arial Unicode MS"/>
          <w:noProof/>
          <w:color w:val="000000"/>
          <w:u w:color="000000"/>
          <w:bdr w:val="nil"/>
          <w:lang w:eastAsia="en-GB"/>
        </w:rPr>
        <w:t>•</w:t>
      </w:r>
      <w:r w:rsidRPr="004B64C3">
        <w:rPr>
          <w:rFonts w:eastAsia="Arial Unicode MS"/>
          <w:noProof/>
          <w:color w:val="000000"/>
          <w:u w:color="000000"/>
          <w:bdr w:val="nil"/>
          <w:lang w:eastAsia="en-GB"/>
        </w:rPr>
        <w:tab/>
        <w:t>The choice of negotiator</w:t>
      </w:r>
    </w:p>
    <w:p w14:paraId="655BD8B3" w14:textId="443BA04D" w:rsidR="00A4677B" w:rsidRPr="004B64C3" w:rsidRDefault="00A4677B" w:rsidP="00AC1722">
      <w:pPr>
        <w:pBdr>
          <w:between w:val="nil"/>
          <w:bar w:val="nil"/>
        </w:pBdr>
        <w:spacing w:before="0" w:after="240"/>
        <w:rPr>
          <w:noProof/>
        </w:rPr>
      </w:pPr>
      <w:r w:rsidRPr="004B64C3">
        <w:rPr>
          <w:noProof/>
        </w:rPr>
        <w:t>Given that the agreement envisaged exclusively covers mat</w:t>
      </w:r>
      <w:r w:rsidR="009A01BD">
        <w:rPr>
          <w:noProof/>
        </w:rPr>
        <w:t>t</w:t>
      </w:r>
      <w:r w:rsidRPr="004B64C3">
        <w:rPr>
          <w:noProof/>
        </w:rPr>
        <w:t>ers other than the common foreign and security policy, the Commission must be designated as the negotiator pursuant to Article</w:t>
      </w:r>
      <w:r w:rsidR="004B64C3">
        <w:rPr>
          <w:noProof/>
        </w:rPr>
        <w:t> </w:t>
      </w:r>
      <w:r w:rsidRPr="004B64C3">
        <w:rPr>
          <w:noProof/>
        </w:rPr>
        <w:t>218(3) TFEU.</w:t>
      </w:r>
    </w:p>
    <w:p w14:paraId="0F953C79" w14:textId="77777777" w:rsidR="00A4677B" w:rsidRPr="004B64C3" w:rsidRDefault="00A4677B" w:rsidP="00A4677B">
      <w:pPr>
        <w:pStyle w:val="ManualHeading2"/>
        <w:rPr>
          <w:rFonts w:eastAsia="Arial Unicode MS"/>
          <w:noProof/>
          <w:color w:val="000000"/>
          <w:u w:color="000000"/>
          <w:bdr w:val="nil"/>
          <w:lang w:eastAsia="en-GB"/>
        </w:rPr>
      </w:pPr>
      <w:r w:rsidRPr="004B64C3">
        <w:rPr>
          <w:rFonts w:eastAsia="Arial Unicode MS"/>
          <w:noProof/>
          <w:color w:val="000000"/>
          <w:u w:color="000000"/>
          <w:bdr w:val="nil"/>
          <w:lang w:eastAsia="en-GB"/>
        </w:rPr>
        <w:t>•</w:t>
      </w:r>
      <w:r w:rsidRPr="004B64C3">
        <w:rPr>
          <w:rFonts w:eastAsia="Arial Unicode MS"/>
          <w:noProof/>
          <w:color w:val="000000"/>
          <w:u w:color="000000"/>
          <w:bdr w:val="nil"/>
          <w:lang w:eastAsia="en-GB"/>
        </w:rPr>
        <w:tab/>
        <w:t>Union competence</w:t>
      </w:r>
    </w:p>
    <w:p w14:paraId="6B3DA195" w14:textId="51FEAFB4" w:rsidR="00977A42" w:rsidRPr="004B64C3" w:rsidRDefault="00A4677B" w:rsidP="00AC1722">
      <w:pPr>
        <w:pBdr>
          <w:between w:val="nil"/>
          <w:bar w:val="nil"/>
        </w:pBdr>
        <w:spacing w:before="0" w:after="240"/>
        <w:rPr>
          <w:noProof/>
        </w:rPr>
      </w:pPr>
      <w:r w:rsidRPr="004B64C3">
        <w:rPr>
          <w:noProof/>
        </w:rPr>
        <w:t xml:space="preserve">This act falls within the </w:t>
      </w:r>
      <w:r w:rsidR="00BE0355">
        <w:rPr>
          <w:noProof/>
        </w:rPr>
        <w:t>c</w:t>
      </w:r>
      <w:r w:rsidR="00BE0355" w:rsidRPr="004B64C3">
        <w:rPr>
          <w:noProof/>
        </w:rPr>
        <w:t xml:space="preserve">ommon </w:t>
      </w:r>
      <w:r w:rsidR="00BE0355">
        <w:rPr>
          <w:noProof/>
        </w:rPr>
        <w:t>c</w:t>
      </w:r>
      <w:r w:rsidR="00BE0355" w:rsidRPr="004B64C3">
        <w:rPr>
          <w:noProof/>
        </w:rPr>
        <w:t xml:space="preserve">ommercial </w:t>
      </w:r>
      <w:r w:rsidR="00BE0355">
        <w:rPr>
          <w:noProof/>
        </w:rPr>
        <w:t>p</w:t>
      </w:r>
      <w:r w:rsidR="00BE0355" w:rsidRPr="004B64C3">
        <w:rPr>
          <w:noProof/>
        </w:rPr>
        <w:t xml:space="preserve">olicy </w:t>
      </w:r>
      <w:r w:rsidRPr="004B64C3">
        <w:rPr>
          <w:noProof/>
        </w:rPr>
        <w:t>under Article</w:t>
      </w:r>
      <w:r w:rsidR="004B64C3">
        <w:rPr>
          <w:noProof/>
        </w:rPr>
        <w:t> </w:t>
      </w:r>
      <w:r w:rsidRPr="004B64C3">
        <w:rPr>
          <w:noProof/>
        </w:rPr>
        <w:t>207 TFEU. It therefore falls within the exclusive competence of the Union in accordance with Article</w:t>
      </w:r>
      <w:r w:rsidR="004B64C3">
        <w:rPr>
          <w:noProof/>
        </w:rPr>
        <w:t> </w:t>
      </w:r>
      <w:r w:rsidRPr="004B64C3">
        <w:rPr>
          <w:noProof/>
        </w:rPr>
        <w:t>3(1) TFEU.</w:t>
      </w:r>
    </w:p>
    <w:p w14:paraId="366CB0BD" w14:textId="32A75F90" w:rsidR="004D72F0" w:rsidRPr="004B64C3" w:rsidRDefault="00FA0181" w:rsidP="00FA0181">
      <w:pPr>
        <w:pStyle w:val="ManualHeading2"/>
        <w:rPr>
          <w:noProof/>
          <w:u w:color="000000"/>
          <w:bdr w:val="nil"/>
          <w:lang w:eastAsia="en-GB"/>
        </w:rPr>
      </w:pPr>
      <w:r w:rsidRPr="004B64C3">
        <w:rPr>
          <w:rFonts w:eastAsia="Arial Unicode MS"/>
          <w:noProof/>
          <w:color w:val="000000"/>
          <w:u w:color="000000"/>
          <w:bdr w:val="nil"/>
          <w:lang w:eastAsia="en-GB"/>
        </w:rPr>
        <w:t>•</w:t>
      </w:r>
      <w:r w:rsidRPr="004B64C3">
        <w:rPr>
          <w:rFonts w:eastAsia="Arial Unicode MS"/>
          <w:noProof/>
          <w:color w:val="000000"/>
          <w:u w:color="000000"/>
          <w:bdr w:val="nil"/>
          <w:lang w:eastAsia="en-GB"/>
        </w:rPr>
        <w:tab/>
      </w:r>
      <w:r w:rsidR="004D72F0" w:rsidRPr="004B64C3">
        <w:rPr>
          <w:noProof/>
          <w:u w:color="000000"/>
          <w:bdr w:val="nil"/>
          <w:lang w:eastAsia="en-GB"/>
        </w:rPr>
        <w:t>Subsidiarity (for non-exclusive competence)</w:t>
      </w:r>
    </w:p>
    <w:p w14:paraId="02C513D0" w14:textId="09C479F4" w:rsidR="00C63910" w:rsidRPr="004B64C3" w:rsidRDefault="00181D64" w:rsidP="00C63910">
      <w:pPr>
        <w:pBdr>
          <w:between w:val="nil"/>
          <w:bar w:val="nil"/>
        </w:pBdr>
        <w:spacing w:before="0" w:after="240"/>
        <w:rPr>
          <w:noProof/>
        </w:rPr>
      </w:pPr>
      <w:r>
        <w:rPr>
          <w:noProof/>
        </w:rPr>
        <w:t>Under</w:t>
      </w:r>
      <w:r w:rsidR="00C63910" w:rsidRPr="004B64C3">
        <w:rPr>
          <w:noProof/>
        </w:rPr>
        <w:t xml:space="preserve"> Article</w:t>
      </w:r>
      <w:r w:rsidR="004B64C3">
        <w:rPr>
          <w:noProof/>
        </w:rPr>
        <w:t> </w:t>
      </w:r>
      <w:r w:rsidR="00C63910" w:rsidRPr="004B64C3">
        <w:rPr>
          <w:noProof/>
        </w:rPr>
        <w:t>5(3) of the T</w:t>
      </w:r>
      <w:r w:rsidR="001403E5">
        <w:rPr>
          <w:noProof/>
        </w:rPr>
        <w:t xml:space="preserve">reaty on </w:t>
      </w:r>
      <w:r w:rsidR="00C63910" w:rsidRPr="004B64C3">
        <w:rPr>
          <w:noProof/>
        </w:rPr>
        <w:t>E</w:t>
      </w:r>
      <w:r w:rsidR="001403E5">
        <w:rPr>
          <w:noProof/>
        </w:rPr>
        <w:t xml:space="preserve">uropean </w:t>
      </w:r>
      <w:r w:rsidR="00C63910" w:rsidRPr="004B64C3">
        <w:rPr>
          <w:noProof/>
        </w:rPr>
        <w:t>U</w:t>
      </w:r>
      <w:r w:rsidR="001403E5">
        <w:rPr>
          <w:noProof/>
        </w:rPr>
        <w:t>nion</w:t>
      </w:r>
      <w:r w:rsidR="00C63910" w:rsidRPr="004B64C3">
        <w:rPr>
          <w:noProof/>
        </w:rPr>
        <w:t xml:space="preserve">, the subsidiarity principle does not apply in areas of exclusive </w:t>
      </w:r>
      <w:r>
        <w:rPr>
          <w:noProof/>
        </w:rPr>
        <w:t>Union</w:t>
      </w:r>
      <w:r w:rsidRPr="004B64C3">
        <w:rPr>
          <w:noProof/>
        </w:rPr>
        <w:t xml:space="preserve"> </w:t>
      </w:r>
      <w:r w:rsidR="00C63910" w:rsidRPr="004B64C3">
        <w:rPr>
          <w:noProof/>
        </w:rPr>
        <w:t>competence. The common commercial policy is listed among the areas of exclusive competence of the Union in Article</w:t>
      </w:r>
      <w:r w:rsidR="004B64C3">
        <w:rPr>
          <w:noProof/>
        </w:rPr>
        <w:t> </w:t>
      </w:r>
      <w:r w:rsidR="00C63910" w:rsidRPr="004B64C3">
        <w:rPr>
          <w:noProof/>
        </w:rPr>
        <w:t>3 TFEU. This policy includes the negotiation of trade agreements pursuant to Article</w:t>
      </w:r>
      <w:r w:rsidR="004B64C3">
        <w:rPr>
          <w:noProof/>
        </w:rPr>
        <w:t> </w:t>
      </w:r>
      <w:r w:rsidR="00C63910" w:rsidRPr="004B64C3">
        <w:rPr>
          <w:noProof/>
        </w:rPr>
        <w:t>207 TFEU</w:t>
      </w:r>
      <w:r w:rsidR="0018137B">
        <w:rPr>
          <w:noProof/>
        </w:rPr>
        <w:t xml:space="preserve">, </w:t>
      </w:r>
      <w:r w:rsidR="0018137B" w:rsidRPr="00BA52F9">
        <w:rPr>
          <w:noProof/>
        </w:rPr>
        <w:t xml:space="preserve">among </w:t>
      </w:r>
      <w:r w:rsidR="0018137B">
        <w:rPr>
          <w:noProof/>
        </w:rPr>
        <w:t>other provisions</w:t>
      </w:r>
      <w:r w:rsidR="00C63910" w:rsidRPr="004B64C3">
        <w:rPr>
          <w:noProof/>
        </w:rPr>
        <w:t>.</w:t>
      </w:r>
    </w:p>
    <w:p w14:paraId="5D95BB2C" w14:textId="77777777" w:rsidR="001A3E1A" w:rsidRPr="004B64C3" w:rsidRDefault="001A3E1A" w:rsidP="001A3E1A">
      <w:pPr>
        <w:pStyle w:val="ManualHeading2"/>
        <w:rPr>
          <w:rFonts w:eastAsia="Arial Unicode MS"/>
          <w:noProof/>
          <w:u w:color="000000"/>
          <w:bdr w:val="nil"/>
          <w:lang w:eastAsia="en-GB"/>
        </w:rPr>
      </w:pPr>
      <w:r w:rsidRPr="004B64C3">
        <w:rPr>
          <w:rFonts w:eastAsia="Arial Unicode MS"/>
          <w:noProof/>
          <w:u w:color="000000"/>
          <w:bdr w:val="nil"/>
          <w:lang w:eastAsia="en-GB"/>
        </w:rPr>
        <w:t>•</w:t>
      </w:r>
      <w:r w:rsidRPr="004B64C3">
        <w:rPr>
          <w:rFonts w:eastAsia="Arial Unicode MS"/>
          <w:noProof/>
          <w:u w:color="000000"/>
          <w:bdr w:val="nil"/>
          <w:lang w:eastAsia="en-GB"/>
        </w:rPr>
        <w:tab/>
        <w:t>Proportionality</w:t>
      </w:r>
    </w:p>
    <w:p w14:paraId="543A720F" w14:textId="4CA11A52" w:rsidR="001A3E1A" w:rsidRPr="004B64C3" w:rsidRDefault="3340250B" w:rsidP="5016EE7B">
      <w:pPr>
        <w:pBdr>
          <w:between w:val="nil"/>
          <w:bar w:val="nil"/>
        </w:pBdr>
        <w:spacing w:before="0" w:after="240"/>
        <w:rPr>
          <w:noProof/>
        </w:rPr>
      </w:pPr>
      <w:r w:rsidRPr="004B64C3">
        <w:rPr>
          <w:noProof/>
        </w:rPr>
        <w:t xml:space="preserve">The Commission recommendation is in line with the principle of proportionality and </w:t>
      </w:r>
      <w:r w:rsidR="00231393">
        <w:rPr>
          <w:noProof/>
        </w:rPr>
        <w:t xml:space="preserve">is </w:t>
      </w:r>
      <w:r w:rsidRPr="004B64C3">
        <w:rPr>
          <w:noProof/>
        </w:rPr>
        <w:t xml:space="preserve">necessary in light of </w:t>
      </w:r>
      <w:r w:rsidR="00231393">
        <w:rPr>
          <w:noProof/>
        </w:rPr>
        <w:t xml:space="preserve">the </w:t>
      </w:r>
      <w:r w:rsidR="375BBC50" w:rsidRPr="004B64C3">
        <w:rPr>
          <w:noProof/>
        </w:rPr>
        <w:t>EU</w:t>
      </w:r>
      <w:r w:rsidR="00B10888" w:rsidRPr="004B64C3">
        <w:rPr>
          <w:noProof/>
        </w:rPr>
        <w:t>’</w:t>
      </w:r>
      <w:r w:rsidR="375BBC50" w:rsidRPr="004B64C3">
        <w:rPr>
          <w:noProof/>
        </w:rPr>
        <w:t>s</w:t>
      </w:r>
      <w:r w:rsidRPr="004B64C3">
        <w:rPr>
          <w:noProof/>
        </w:rPr>
        <w:t xml:space="preserve"> objective to use international trade agreements to advance competitiveness, security, sustainability, and rules-based multilateral trade.</w:t>
      </w:r>
    </w:p>
    <w:p w14:paraId="61368995" w14:textId="77777777" w:rsidR="001A3E1A" w:rsidRPr="004B64C3" w:rsidRDefault="001A3E1A" w:rsidP="001A3E1A">
      <w:pPr>
        <w:pStyle w:val="ManualHeading2"/>
        <w:rPr>
          <w:rFonts w:eastAsia="Arial Unicode MS"/>
          <w:noProof/>
          <w:u w:color="000000"/>
          <w:bdr w:val="nil"/>
          <w:lang w:eastAsia="en-GB"/>
        </w:rPr>
      </w:pPr>
      <w:r w:rsidRPr="004B64C3">
        <w:rPr>
          <w:rFonts w:eastAsia="Arial Unicode MS"/>
          <w:noProof/>
          <w:u w:color="000000"/>
          <w:bdr w:val="nil"/>
          <w:lang w:eastAsia="en-GB"/>
        </w:rPr>
        <w:t>•</w:t>
      </w:r>
      <w:r w:rsidRPr="004B64C3">
        <w:rPr>
          <w:rFonts w:eastAsia="Arial Unicode MS"/>
          <w:noProof/>
          <w:u w:color="000000"/>
          <w:bdr w:val="nil"/>
          <w:lang w:eastAsia="en-GB"/>
        </w:rPr>
        <w:tab/>
        <w:t>Choice of the instrument</w:t>
      </w:r>
    </w:p>
    <w:p w14:paraId="0448F4B2" w14:textId="2D1A0AD4" w:rsidR="004D72F0" w:rsidRPr="004B64C3" w:rsidRDefault="00A4677B" w:rsidP="703E31D1">
      <w:pPr>
        <w:pBdr>
          <w:top w:val="nil"/>
          <w:left w:val="nil"/>
          <w:bottom w:val="nil"/>
          <w:right w:val="nil"/>
          <w:between w:val="nil"/>
          <w:bar w:val="nil"/>
        </w:pBdr>
        <w:spacing w:before="0" w:after="240"/>
        <w:rPr>
          <w:noProof/>
        </w:rPr>
      </w:pPr>
      <w:r w:rsidRPr="004B64C3">
        <w:rPr>
          <w:rFonts w:eastAsia="Arial Unicode MS"/>
          <w:noProof/>
          <w:szCs w:val="24"/>
        </w:rPr>
        <w:t>This recommendation for a Council decision is submitted in accordance with Article</w:t>
      </w:r>
      <w:r w:rsidR="004B64C3">
        <w:rPr>
          <w:rFonts w:eastAsia="Arial Unicode MS"/>
          <w:noProof/>
          <w:szCs w:val="24"/>
        </w:rPr>
        <w:t> </w:t>
      </w:r>
      <w:r w:rsidRPr="004B64C3">
        <w:rPr>
          <w:rFonts w:eastAsia="Arial Unicode MS"/>
          <w:noProof/>
          <w:szCs w:val="24"/>
        </w:rPr>
        <w:t xml:space="preserve">218(3) and (4) TFEU, which envisage the adoption by the Council of a decision authorising the opening of negotiations and nominating the Union negotiator. The Council may also address negotiating directives to the negotiator. There </w:t>
      </w:r>
      <w:r w:rsidR="004D3A3E">
        <w:rPr>
          <w:rFonts w:eastAsia="Arial Unicode MS"/>
          <w:noProof/>
          <w:szCs w:val="24"/>
        </w:rPr>
        <w:t>is</w:t>
      </w:r>
      <w:r w:rsidR="004D3A3E" w:rsidRPr="004B64C3">
        <w:rPr>
          <w:rFonts w:eastAsia="Arial Unicode MS"/>
          <w:noProof/>
          <w:szCs w:val="24"/>
        </w:rPr>
        <w:t xml:space="preserve"> </w:t>
      </w:r>
      <w:r w:rsidRPr="004B64C3">
        <w:rPr>
          <w:rFonts w:eastAsia="Arial Unicode MS"/>
          <w:noProof/>
          <w:szCs w:val="24"/>
        </w:rPr>
        <w:t>no other legal instrument that could be used in order to achieve the objective expressed in this recommendation.</w:t>
      </w:r>
    </w:p>
    <w:p w14:paraId="46118604" w14:textId="373B0594" w:rsidR="004D72F0" w:rsidRPr="004B64C3" w:rsidRDefault="004D72F0">
      <w:pPr>
        <w:pStyle w:val="ManualHeading1"/>
        <w:rPr>
          <w:noProof/>
        </w:rPr>
      </w:pPr>
      <w:r w:rsidRPr="004B64C3">
        <w:rPr>
          <w:noProof/>
        </w:rPr>
        <w:t>3.</w:t>
      </w:r>
      <w:r w:rsidRPr="004B64C3">
        <w:rPr>
          <w:noProof/>
        </w:rPr>
        <w:tab/>
        <w:t xml:space="preserve">RESULTS OF </w:t>
      </w:r>
      <w:r w:rsidR="004B64C3">
        <w:rPr>
          <w:i/>
          <w:noProof/>
        </w:rPr>
        <w:t>EX POST</w:t>
      </w:r>
      <w:r w:rsidRPr="004B64C3">
        <w:rPr>
          <w:noProof/>
        </w:rPr>
        <w:t xml:space="preserve"> EVALUATIONS, STAKEHOLDER CONSULTATIONS AND IMPACT ASSESSMENTS</w:t>
      </w:r>
    </w:p>
    <w:p w14:paraId="294F2CFC" w14:textId="6E51D1EF" w:rsidR="004D72F0" w:rsidRPr="004B64C3" w:rsidRDefault="004D72F0">
      <w:pPr>
        <w:pStyle w:val="ManualHeading2"/>
        <w:rPr>
          <w:rFonts w:eastAsia="Arial Unicode MS"/>
          <w:noProof/>
          <w:u w:color="000000"/>
          <w:bdr w:val="nil"/>
          <w:lang w:eastAsia="en-GB"/>
        </w:rPr>
      </w:pPr>
      <w:r w:rsidRPr="004B64C3">
        <w:rPr>
          <w:rFonts w:eastAsia="Arial Unicode MS"/>
          <w:noProof/>
          <w:u w:color="000000"/>
          <w:bdr w:val="nil"/>
          <w:lang w:eastAsia="en-GB"/>
        </w:rPr>
        <w:t>•</w:t>
      </w:r>
      <w:r w:rsidRPr="004B64C3">
        <w:rPr>
          <w:rFonts w:eastAsia="Arial Unicode MS"/>
          <w:noProof/>
          <w:u w:color="000000"/>
          <w:bdr w:val="nil"/>
          <w:lang w:eastAsia="en-GB"/>
        </w:rPr>
        <w:tab/>
      </w:r>
      <w:r w:rsidR="004B64C3">
        <w:rPr>
          <w:rFonts w:eastAsia="Arial Unicode MS"/>
          <w:i/>
          <w:noProof/>
          <w:u w:color="000000"/>
          <w:bdr w:val="nil"/>
          <w:lang w:eastAsia="en-GB"/>
        </w:rPr>
        <w:t>Ex post</w:t>
      </w:r>
      <w:r w:rsidRPr="004B64C3">
        <w:rPr>
          <w:rFonts w:eastAsia="Arial Unicode MS"/>
          <w:noProof/>
          <w:u w:color="000000"/>
          <w:bdr w:val="nil"/>
          <w:lang w:eastAsia="en-GB"/>
        </w:rPr>
        <w:t xml:space="preserve"> evaluations</w:t>
      </w:r>
      <w:r w:rsidR="00E9654F">
        <w:rPr>
          <w:rFonts w:eastAsia="Arial Unicode MS"/>
          <w:noProof/>
          <w:u w:color="000000"/>
          <w:bdr w:val="nil"/>
          <w:lang w:eastAsia="en-GB"/>
        </w:rPr>
        <w:t> </w:t>
      </w:r>
      <w:r w:rsidRPr="004B64C3">
        <w:rPr>
          <w:rFonts w:eastAsia="Arial Unicode MS"/>
          <w:noProof/>
          <w:u w:color="000000"/>
          <w:bdr w:val="nil"/>
          <w:lang w:eastAsia="en-GB"/>
        </w:rPr>
        <w:t>/</w:t>
      </w:r>
      <w:r w:rsidR="00E9654F">
        <w:rPr>
          <w:rFonts w:eastAsia="Arial Unicode MS"/>
          <w:noProof/>
          <w:u w:color="000000"/>
          <w:bdr w:val="nil"/>
          <w:lang w:eastAsia="en-GB"/>
        </w:rPr>
        <w:t> </w:t>
      </w:r>
      <w:r w:rsidRPr="004B64C3">
        <w:rPr>
          <w:rFonts w:eastAsia="Arial Unicode MS"/>
          <w:noProof/>
          <w:u w:color="000000"/>
          <w:bdr w:val="nil"/>
          <w:lang w:eastAsia="en-GB"/>
        </w:rPr>
        <w:t>fitness checks of existing legislation</w:t>
      </w:r>
    </w:p>
    <w:p w14:paraId="5D7D77BE" w14:textId="688129FD" w:rsidR="00C63910" w:rsidRPr="004B64C3" w:rsidRDefault="00C63910" w:rsidP="00C63910">
      <w:pPr>
        <w:pBdr>
          <w:top w:val="nil"/>
          <w:left w:val="nil"/>
          <w:bottom w:val="nil"/>
          <w:right w:val="nil"/>
          <w:between w:val="nil"/>
          <w:bar w:val="nil"/>
        </w:pBdr>
        <w:spacing w:before="0" w:after="240"/>
        <w:rPr>
          <w:noProof/>
        </w:rPr>
      </w:pPr>
      <w:r w:rsidRPr="004B64C3">
        <w:rPr>
          <w:noProof/>
        </w:rPr>
        <w:t>Not applicable</w:t>
      </w:r>
      <w:r w:rsidR="0018137B">
        <w:rPr>
          <w:noProof/>
        </w:rPr>
        <w:t>.</w:t>
      </w:r>
    </w:p>
    <w:p w14:paraId="316796B5" w14:textId="77777777" w:rsidR="004D72F0" w:rsidRPr="004B64C3" w:rsidRDefault="004D72F0">
      <w:pPr>
        <w:pStyle w:val="ManualHeading2"/>
        <w:rPr>
          <w:rFonts w:eastAsia="Arial Unicode MS"/>
          <w:noProof/>
          <w:u w:color="000000"/>
          <w:bdr w:val="nil"/>
          <w:lang w:eastAsia="en-GB"/>
        </w:rPr>
      </w:pPr>
      <w:r w:rsidRPr="004B64C3">
        <w:rPr>
          <w:rFonts w:eastAsia="Arial Unicode MS"/>
          <w:noProof/>
          <w:u w:color="000000"/>
          <w:bdr w:val="nil"/>
          <w:lang w:eastAsia="en-GB"/>
        </w:rPr>
        <w:t>•</w:t>
      </w:r>
      <w:r w:rsidRPr="004B64C3">
        <w:rPr>
          <w:rFonts w:eastAsia="Arial Unicode MS"/>
          <w:noProof/>
          <w:u w:color="000000"/>
          <w:bdr w:val="nil"/>
          <w:lang w:eastAsia="en-GB"/>
        </w:rPr>
        <w:tab/>
        <w:t>Stakeholder consultations</w:t>
      </w:r>
    </w:p>
    <w:p w14:paraId="6E0D59B2" w14:textId="77777777" w:rsidR="004D72F0" w:rsidRPr="004B64C3" w:rsidRDefault="00C63910">
      <w:pPr>
        <w:pBdr>
          <w:top w:val="nil"/>
          <w:left w:val="nil"/>
          <w:bottom w:val="nil"/>
          <w:right w:val="nil"/>
          <w:between w:val="nil"/>
          <w:bar w:val="nil"/>
        </w:pBdr>
        <w:spacing w:before="0" w:after="240"/>
        <w:rPr>
          <w:rFonts w:eastAsia="Arial Unicode MS"/>
          <w:noProof/>
        </w:rPr>
      </w:pPr>
      <w:r w:rsidRPr="004B64C3">
        <w:rPr>
          <w:noProof/>
        </w:rPr>
        <w:t>Not applicable.</w:t>
      </w:r>
    </w:p>
    <w:p w14:paraId="1136E77F" w14:textId="77777777" w:rsidR="004D72F0" w:rsidRPr="004B64C3" w:rsidRDefault="004D72F0">
      <w:pPr>
        <w:pStyle w:val="ManualHeading2"/>
        <w:rPr>
          <w:rFonts w:eastAsia="Arial Unicode MS"/>
          <w:noProof/>
          <w:u w:color="000000"/>
          <w:bdr w:val="nil"/>
          <w:lang w:eastAsia="en-GB"/>
        </w:rPr>
      </w:pPr>
      <w:r w:rsidRPr="004B64C3">
        <w:rPr>
          <w:rFonts w:eastAsia="Arial Unicode MS"/>
          <w:noProof/>
          <w:u w:color="000000"/>
          <w:bdr w:val="nil"/>
          <w:lang w:eastAsia="en-GB"/>
        </w:rPr>
        <w:t>•</w:t>
      </w:r>
      <w:r w:rsidRPr="004B64C3">
        <w:rPr>
          <w:rFonts w:eastAsia="Arial Unicode MS"/>
          <w:noProof/>
          <w:u w:color="000000"/>
          <w:bdr w:val="nil"/>
          <w:lang w:eastAsia="en-GB"/>
        </w:rPr>
        <w:tab/>
        <w:t>Collection and use of expertise</w:t>
      </w:r>
    </w:p>
    <w:p w14:paraId="025BA0EC" w14:textId="77777777" w:rsidR="004D72F0" w:rsidRPr="004B64C3" w:rsidRDefault="00C63910">
      <w:pPr>
        <w:pBdr>
          <w:top w:val="nil"/>
          <w:left w:val="nil"/>
          <w:bottom w:val="nil"/>
          <w:right w:val="nil"/>
          <w:between w:val="nil"/>
          <w:bar w:val="nil"/>
        </w:pBdr>
        <w:spacing w:before="0" w:after="240"/>
        <w:rPr>
          <w:rFonts w:eastAsia="Arial Unicode MS"/>
          <w:noProof/>
        </w:rPr>
      </w:pPr>
      <w:r w:rsidRPr="004B64C3">
        <w:rPr>
          <w:noProof/>
        </w:rPr>
        <w:t>Not relevant.</w:t>
      </w:r>
    </w:p>
    <w:p w14:paraId="1039308A" w14:textId="77777777" w:rsidR="004D72F0" w:rsidRPr="004B64C3" w:rsidRDefault="004D72F0">
      <w:pPr>
        <w:pStyle w:val="ManualHeading2"/>
        <w:rPr>
          <w:rFonts w:eastAsia="Arial Unicode MS"/>
          <w:noProof/>
          <w:u w:color="000000"/>
          <w:bdr w:val="nil"/>
          <w:lang w:eastAsia="en-GB"/>
        </w:rPr>
      </w:pPr>
      <w:r w:rsidRPr="004B64C3">
        <w:rPr>
          <w:rFonts w:eastAsia="Arial Unicode MS"/>
          <w:noProof/>
          <w:u w:color="000000"/>
          <w:bdr w:val="nil"/>
          <w:lang w:eastAsia="en-GB"/>
        </w:rPr>
        <w:t>•</w:t>
      </w:r>
      <w:r w:rsidRPr="004B64C3">
        <w:rPr>
          <w:rFonts w:eastAsia="Arial Unicode MS"/>
          <w:noProof/>
          <w:u w:color="000000"/>
          <w:bdr w:val="nil"/>
          <w:lang w:eastAsia="en-GB"/>
        </w:rPr>
        <w:tab/>
        <w:t>Impact assessment</w:t>
      </w:r>
      <w:bookmarkStart w:id="1" w:name="_Hlk216361889"/>
    </w:p>
    <w:p w14:paraId="7D07D774" w14:textId="28880C4B" w:rsidR="00C446B9" w:rsidRPr="004B64C3" w:rsidRDefault="00C446B9" w:rsidP="00C446B9">
      <w:pPr>
        <w:pBdr>
          <w:top w:val="nil"/>
          <w:left w:val="nil"/>
          <w:bottom w:val="nil"/>
          <w:right w:val="nil"/>
          <w:between w:val="nil"/>
          <w:bar w:val="nil"/>
        </w:pBdr>
        <w:spacing w:before="0" w:after="240"/>
        <w:rPr>
          <w:rFonts w:eastAsia="Arial Unicode MS"/>
          <w:noProof/>
        </w:rPr>
      </w:pPr>
      <w:r w:rsidRPr="004B64C3">
        <w:rPr>
          <w:rFonts w:eastAsia="Arial Unicode MS"/>
          <w:noProof/>
        </w:rPr>
        <w:t>This recommendation to the Council to authori</w:t>
      </w:r>
      <w:r w:rsidR="004B64C3">
        <w:rPr>
          <w:rFonts w:eastAsia="Arial Unicode MS"/>
          <w:noProof/>
        </w:rPr>
        <w:t>s</w:t>
      </w:r>
      <w:r w:rsidRPr="004B64C3">
        <w:rPr>
          <w:rFonts w:eastAsia="Arial Unicode MS"/>
          <w:noProof/>
        </w:rPr>
        <w:t xml:space="preserve">e the Commission to conduct bilateral negotiations with the Republic of Korea is a preparatory step with ‘no significant economic, environmental or social impacts’ </w:t>
      </w:r>
      <w:r w:rsidR="00743EDA" w:rsidRPr="004B64C3">
        <w:rPr>
          <w:rFonts w:eastAsia="Arial Unicode MS"/>
          <w:noProof/>
        </w:rPr>
        <w:t>pursuant to the Better Regulation Guidelines</w:t>
      </w:r>
      <w:r w:rsidR="00E9654F">
        <w:rPr>
          <w:rFonts w:eastAsia="Arial Unicode MS"/>
          <w:noProof/>
        </w:rPr>
        <w:t>. It</w:t>
      </w:r>
      <w:r w:rsidRPr="004B64C3">
        <w:rPr>
          <w:rFonts w:eastAsia="Arial Unicode MS"/>
          <w:noProof/>
        </w:rPr>
        <w:t xml:space="preserve"> does not </w:t>
      </w:r>
      <w:r w:rsidR="00E9654F">
        <w:rPr>
          <w:rFonts w:eastAsia="Arial Unicode MS"/>
          <w:noProof/>
        </w:rPr>
        <w:t xml:space="preserve">therefore </w:t>
      </w:r>
      <w:r w:rsidRPr="004B64C3">
        <w:rPr>
          <w:rFonts w:eastAsia="Arial Unicode MS"/>
          <w:noProof/>
        </w:rPr>
        <w:t>require conducting an impact assessment.</w:t>
      </w:r>
    </w:p>
    <w:p w14:paraId="30E16C43" w14:textId="6E1CA274" w:rsidR="00C63910" w:rsidRPr="004B64C3" w:rsidRDefault="00DF6869" w:rsidP="36294051">
      <w:pPr>
        <w:pBdr>
          <w:top w:val="nil"/>
          <w:left w:val="nil"/>
          <w:bottom w:val="nil"/>
          <w:right w:val="nil"/>
          <w:between w:val="nil"/>
          <w:bar w:val="nil"/>
        </w:pBdr>
        <w:spacing w:before="0" w:after="240"/>
        <w:rPr>
          <w:noProof/>
        </w:rPr>
      </w:pPr>
      <w:r>
        <w:rPr>
          <w:noProof/>
        </w:rPr>
        <w:t>T</w:t>
      </w:r>
      <w:r w:rsidR="77E02F0D" w:rsidRPr="004B64C3">
        <w:rPr>
          <w:noProof/>
        </w:rPr>
        <w:t xml:space="preserve">he new agreement </w:t>
      </w:r>
      <w:r>
        <w:rPr>
          <w:noProof/>
        </w:rPr>
        <w:t>is expected to</w:t>
      </w:r>
      <w:r w:rsidRPr="004B64C3">
        <w:rPr>
          <w:noProof/>
        </w:rPr>
        <w:t xml:space="preserve"> </w:t>
      </w:r>
      <w:r w:rsidR="77E02F0D" w:rsidRPr="004B64C3">
        <w:rPr>
          <w:rFonts w:eastAsia="Arial Unicode MS"/>
          <w:noProof/>
        </w:rPr>
        <w:t xml:space="preserve">streamline market access by enabling each party to accept test reports, certificates and </w:t>
      </w:r>
      <w:r w:rsidR="1C61380E" w:rsidRPr="004B64C3">
        <w:rPr>
          <w:rFonts w:eastAsia="Arial Unicode MS"/>
          <w:noProof/>
        </w:rPr>
        <w:t>conformity markings</w:t>
      </w:r>
      <w:r w:rsidR="77E02F0D" w:rsidRPr="004B64C3">
        <w:rPr>
          <w:rFonts w:eastAsia="Arial Unicode MS"/>
          <w:noProof/>
        </w:rPr>
        <w:t xml:space="preserve"> issued by the other</w:t>
      </w:r>
      <w:r w:rsidR="00B10888" w:rsidRPr="004B64C3">
        <w:rPr>
          <w:rFonts w:eastAsia="Arial Unicode MS"/>
          <w:noProof/>
        </w:rPr>
        <w:t>’</w:t>
      </w:r>
      <w:r w:rsidR="77E02F0D" w:rsidRPr="004B64C3">
        <w:rPr>
          <w:rFonts w:eastAsia="Arial Unicode MS"/>
          <w:noProof/>
        </w:rPr>
        <w:t xml:space="preserve">s designated CABs for specified sectors, thereby </w:t>
      </w:r>
      <w:r>
        <w:rPr>
          <w:rFonts w:eastAsia="Arial Unicode MS"/>
          <w:noProof/>
        </w:rPr>
        <w:t>avoiding duplication of</w:t>
      </w:r>
      <w:r w:rsidR="77E02F0D" w:rsidRPr="004B64C3">
        <w:rPr>
          <w:rFonts w:eastAsia="Arial Unicode MS"/>
          <w:noProof/>
        </w:rPr>
        <w:t xml:space="preserve"> testing and certification procedures. </w:t>
      </w:r>
      <w:r w:rsidRPr="004B64C3">
        <w:rPr>
          <w:rFonts w:eastAsia="Arial Unicode MS"/>
          <w:noProof/>
        </w:rPr>
        <w:t>Th</w:t>
      </w:r>
      <w:r>
        <w:rPr>
          <w:rFonts w:eastAsia="Arial Unicode MS"/>
          <w:noProof/>
        </w:rPr>
        <w:t xml:space="preserve">e agreement </w:t>
      </w:r>
      <w:r w:rsidR="77E02F0D" w:rsidRPr="004B64C3">
        <w:rPr>
          <w:rFonts w:eastAsia="Arial Unicode MS"/>
          <w:noProof/>
        </w:rPr>
        <w:t xml:space="preserve">would build on the existing EU-South Korea FTA, which has already eliminated 98.7% of tariffs and </w:t>
      </w:r>
      <w:r>
        <w:rPr>
          <w:rFonts w:eastAsia="Arial Unicode MS"/>
          <w:noProof/>
        </w:rPr>
        <w:t>removed</w:t>
      </w:r>
      <w:r w:rsidRPr="004B64C3">
        <w:rPr>
          <w:rFonts w:eastAsia="Arial Unicode MS"/>
          <w:noProof/>
        </w:rPr>
        <w:t xml:space="preserve"> </w:t>
      </w:r>
      <w:r w:rsidR="77E02F0D" w:rsidRPr="004B64C3">
        <w:rPr>
          <w:rFonts w:eastAsia="Arial Unicode MS"/>
          <w:noProof/>
        </w:rPr>
        <w:t xml:space="preserve">non-tariff barriers in </w:t>
      </w:r>
      <w:r w:rsidR="290A2ADA" w:rsidRPr="004B64C3">
        <w:rPr>
          <w:rFonts w:eastAsia="Arial Unicode MS"/>
          <w:noProof/>
        </w:rPr>
        <w:t xml:space="preserve">sectors such as </w:t>
      </w:r>
      <w:r w:rsidR="77E02F0D" w:rsidRPr="004B64C3">
        <w:rPr>
          <w:rFonts w:eastAsia="Arial Unicode MS"/>
          <w:noProof/>
        </w:rPr>
        <w:t>electronics, pharmaceuticals, motor vehicles, and chemicals, but lacks full mutual recognition of conformity results.</w:t>
      </w:r>
    </w:p>
    <w:bookmarkEnd w:id="1"/>
    <w:p w14:paraId="53030833" w14:textId="77777777" w:rsidR="004D72F0" w:rsidRPr="004B64C3" w:rsidRDefault="004D72F0">
      <w:pPr>
        <w:pStyle w:val="ManualHeading2"/>
        <w:rPr>
          <w:rFonts w:eastAsia="Arial Unicode MS"/>
          <w:noProof/>
          <w:u w:color="000000"/>
          <w:bdr w:val="nil"/>
          <w:lang w:eastAsia="en-GB"/>
        </w:rPr>
      </w:pPr>
      <w:r w:rsidRPr="004B64C3">
        <w:rPr>
          <w:rFonts w:eastAsia="Arial Unicode MS"/>
          <w:noProof/>
          <w:u w:color="000000"/>
          <w:bdr w:val="nil"/>
          <w:lang w:eastAsia="en-GB"/>
        </w:rPr>
        <w:t>•</w:t>
      </w:r>
      <w:r w:rsidRPr="004B64C3">
        <w:rPr>
          <w:rFonts w:eastAsia="Arial Unicode MS"/>
          <w:noProof/>
          <w:u w:color="000000"/>
          <w:bdr w:val="nil"/>
          <w:lang w:eastAsia="en-GB"/>
        </w:rPr>
        <w:tab/>
        <w:t>Regulatory fitness and simplification</w:t>
      </w:r>
    </w:p>
    <w:p w14:paraId="365E7FC5" w14:textId="3C0323BF" w:rsidR="004D72F0" w:rsidRPr="004B64C3" w:rsidRDefault="00500E37" w:rsidP="00500E37">
      <w:pPr>
        <w:pBdr>
          <w:top w:val="nil"/>
          <w:left w:val="nil"/>
          <w:bottom w:val="nil"/>
          <w:right w:val="nil"/>
          <w:between w:val="nil"/>
          <w:bar w:val="nil"/>
        </w:pBdr>
        <w:spacing w:before="0" w:after="240"/>
        <w:rPr>
          <w:rFonts w:eastAsia="Arial Unicode MS"/>
          <w:noProof/>
        </w:rPr>
      </w:pPr>
      <w:r w:rsidRPr="004B64C3">
        <w:rPr>
          <w:noProof/>
        </w:rPr>
        <w:t>Not applicable</w:t>
      </w:r>
      <w:r w:rsidR="00E653CA">
        <w:rPr>
          <w:noProof/>
        </w:rPr>
        <w:t>.</w:t>
      </w:r>
    </w:p>
    <w:p w14:paraId="625869FA" w14:textId="77777777" w:rsidR="004D72F0" w:rsidRPr="004B64C3" w:rsidRDefault="004D72F0">
      <w:pPr>
        <w:pStyle w:val="ManualHeading2"/>
        <w:rPr>
          <w:rFonts w:eastAsia="Arial Unicode MS"/>
          <w:noProof/>
          <w:u w:color="000000"/>
          <w:bdr w:val="nil"/>
          <w:lang w:eastAsia="en-GB"/>
        </w:rPr>
      </w:pPr>
      <w:r w:rsidRPr="004B64C3">
        <w:rPr>
          <w:rFonts w:eastAsia="Arial Unicode MS"/>
          <w:noProof/>
          <w:u w:color="000000"/>
          <w:bdr w:val="nil"/>
          <w:lang w:eastAsia="en-GB"/>
        </w:rPr>
        <w:t>•</w:t>
      </w:r>
      <w:r w:rsidRPr="004B64C3">
        <w:rPr>
          <w:rFonts w:eastAsia="Arial Unicode MS"/>
          <w:noProof/>
          <w:u w:color="000000"/>
          <w:bdr w:val="nil"/>
          <w:lang w:eastAsia="en-GB"/>
        </w:rPr>
        <w:tab/>
        <w:t>Fundamental rights</w:t>
      </w:r>
    </w:p>
    <w:p w14:paraId="74E68B9C" w14:textId="5F7F1866" w:rsidR="00500E37" w:rsidRPr="004B64C3" w:rsidRDefault="00500E37" w:rsidP="00500E37">
      <w:pPr>
        <w:pBdr>
          <w:between w:val="nil"/>
          <w:bar w:val="nil"/>
        </w:pBdr>
        <w:spacing w:before="0" w:after="240"/>
        <w:rPr>
          <w:noProof/>
        </w:rPr>
      </w:pPr>
      <w:r w:rsidRPr="004B64C3">
        <w:rPr>
          <w:noProof/>
        </w:rPr>
        <w:t>The recommendation is consistent with the EU Treaties and the Charter of Fundamental Rights of the European Union.</w:t>
      </w:r>
    </w:p>
    <w:p w14:paraId="4B86E02C" w14:textId="77777777" w:rsidR="004D72F0" w:rsidRPr="004B64C3" w:rsidRDefault="004D72F0">
      <w:pPr>
        <w:pStyle w:val="ManualHeading1"/>
        <w:rPr>
          <w:noProof/>
        </w:rPr>
      </w:pPr>
      <w:r w:rsidRPr="004B64C3">
        <w:rPr>
          <w:noProof/>
        </w:rPr>
        <w:t>4.</w:t>
      </w:r>
      <w:r w:rsidRPr="004B64C3">
        <w:rPr>
          <w:noProof/>
        </w:rPr>
        <w:tab/>
        <w:t>BUDGETARY IMPLICATIONS</w:t>
      </w:r>
    </w:p>
    <w:p w14:paraId="1052E59C" w14:textId="64F4BAC0" w:rsidR="00500E37" w:rsidRPr="004B64C3" w:rsidRDefault="00500E37" w:rsidP="00500E37">
      <w:pPr>
        <w:pBdr>
          <w:between w:val="nil"/>
          <w:bar w:val="nil"/>
        </w:pBdr>
        <w:spacing w:before="0" w:after="240"/>
        <w:rPr>
          <w:noProof/>
        </w:rPr>
      </w:pPr>
      <w:r w:rsidRPr="004B64C3">
        <w:rPr>
          <w:noProof/>
        </w:rPr>
        <w:t xml:space="preserve">The </w:t>
      </w:r>
      <w:r w:rsidR="00B37596">
        <w:rPr>
          <w:noProof/>
        </w:rPr>
        <w:t>MRA on</w:t>
      </w:r>
      <w:r w:rsidRPr="004B64C3">
        <w:rPr>
          <w:noProof/>
        </w:rPr>
        <w:t xml:space="preserve"> conformity assessment</w:t>
      </w:r>
      <w:r w:rsidR="00B8371B">
        <w:rPr>
          <w:noProof/>
        </w:rPr>
        <w:t>s</w:t>
      </w:r>
      <w:r w:rsidRPr="004B64C3">
        <w:rPr>
          <w:noProof/>
        </w:rPr>
        <w:t>, certificates and markings between the E</w:t>
      </w:r>
      <w:r w:rsidR="00BE0355">
        <w:rPr>
          <w:noProof/>
        </w:rPr>
        <w:t>U</w:t>
      </w:r>
      <w:r w:rsidR="00BE0355" w:rsidRPr="004B64C3">
        <w:rPr>
          <w:noProof/>
        </w:rPr>
        <w:t xml:space="preserve"> </w:t>
      </w:r>
      <w:r w:rsidRPr="004B64C3">
        <w:rPr>
          <w:noProof/>
        </w:rPr>
        <w:t>and the Republic of Korea will have no negative impact on the budget of the EU. Indirect positive impacts can be expected from increased trade flows.</w:t>
      </w:r>
    </w:p>
    <w:p w14:paraId="573F3B2E" w14:textId="77777777" w:rsidR="004D72F0" w:rsidRPr="004B64C3" w:rsidRDefault="004D72F0">
      <w:pPr>
        <w:pStyle w:val="ManualHeading1"/>
        <w:rPr>
          <w:noProof/>
        </w:rPr>
      </w:pPr>
      <w:r w:rsidRPr="004B64C3">
        <w:rPr>
          <w:noProof/>
        </w:rPr>
        <w:t>5.</w:t>
      </w:r>
      <w:r w:rsidRPr="004B64C3">
        <w:rPr>
          <w:noProof/>
        </w:rPr>
        <w:tab/>
        <w:t>OTHER ELEMENTS</w:t>
      </w:r>
    </w:p>
    <w:p w14:paraId="2FCE45AE" w14:textId="77777777" w:rsidR="004D72F0" w:rsidRPr="004B64C3" w:rsidRDefault="004D72F0">
      <w:pPr>
        <w:pStyle w:val="ManualHeading2"/>
        <w:rPr>
          <w:rFonts w:eastAsia="Arial Unicode MS"/>
          <w:noProof/>
          <w:u w:color="000000"/>
          <w:bdr w:val="nil"/>
          <w:lang w:eastAsia="en-GB"/>
        </w:rPr>
      </w:pPr>
      <w:r w:rsidRPr="004B64C3">
        <w:rPr>
          <w:rFonts w:eastAsia="Arial Unicode MS"/>
          <w:noProof/>
          <w:u w:color="000000"/>
          <w:bdr w:val="nil"/>
          <w:lang w:eastAsia="en-GB"/>
        </w:rPr>
        <w:t>•</w:t>
      </w:r>
      <w:r w:rsidRPr="004B64C3">
        <w:rPr>
          <w:rFonts w:eastAsia="Arial Unicode MS"/>
          <w:noProof/>
          <w:u w:color="000000"/>
          <w:bdr w:val="nil"/>
          <w:lang w:eastAsia="en-GB"/>
        </w:rPr>
        <w:tab/>
        <w:t>Explanatory documents (for directives)</w:t>
      </w:r>
    </w:p>
    <w:p w14:paraId="1753E241" w14:textId="267B4CBB" w:rsidR="004D72F0" w:rsidRPr="004B64C3" w:rsidRDefault="00547911">
      <w:pPr>
        <w:pBdr>
          <w:top w:val="nil"/>
          <w:left w:val="nil"/>
          <w:bottom w:val="nil"/>
          <w:right w:val="nil"/>
          <w:between w:val="nil"/>
          <w:bar w:val="nil"/>
        </w:pBdr>
        <w:spacing w:before="0" w:after="240"/>
        <w:rPr>
          <w:noProof/>
        </w:rPr>
      </w:pPr>
      <w:r w:rsidRPr="004B64C3">
        <w:rPr>
          <w:noProof/>
        </w:rPr>
        <w:t>Not applicable</w:t>
      </w:r>
      <w:r w:rsidR="00E653CA">
        <w:rPr>
          <w:noProof/>
        </w:rPr>
        <w:t>.</w:t>
      </w:r>
    </w:p>
    <w:p w14:paraId="081B9A61" w14:textId="77777777" w:rsidR="004D72F0" w:rsidRPr="004B64C3" w:rsidRDefault="004D72F0">
      <w:pPr>
        <w:pStyle w:val="ManualHeading2"/>
        <w:rPr>
          <w:rFonts w:eastAsia="Arial Unicode MS"/>
          <w:noProof/>
          <w:u w:color="000000"/>
          <w:bdr w:val="nil"/>
          <w:lang w:eastAsia="en-GB"/>
        </w:rPr>
      </w:pPr>
      <w:r w:rsidRPr="004B64C3">
        <w:rPr>
          <w:rFonts w:eastAsia="Arial Unicode MS"/>
          <w:noProof/>
          <w:u w:color="000000"/>
          <w:bdr w:val="nil"/>
          <w:lang w:eastAsia="en-GB"/>
        </w:rPr>
        <w:t>•</w:t>
      </w:r>
      <w:r w:rsidRPr="004B64C3">
        <w:rPr>
          <w:rFonts w:eastAsia="Arial Unicode MS"/>
          <w:noProof/>
          <w:u w:color="000000"/>
          <w:bdr w:val="nil"/>
          <w:lang w:eastAsia="en-GB"/>
        </w:rPr>
        <w:tab/>
        <w:t>Detailed explanation of the specific provisions of the proposal</w:t>
      </w:r>
    </w:p>
    <w:p w14:paraId="25FE28A6" w14:textId="51291CD7" w:rsidR="001A3E1A" w:rsidRPr="004B64C3" w:rsidRDefault="001A3E1A" w:rsidP="00547911">
      <w:pPr>
        <w:rPr>
          <w:noProof/>
        </w:rPr>
      </w:pPr>
      <w:r w:rsidRPr="004B64C3">
        <w:rPr>
          <w:noProof/>
        </w:rPr>
        <w:t xml:space="preserve">This proposal recommends </w:t>
      </w:r>
      <w:r w:rsidR="00B8371B">
        <w:rPr>
          <w:noProof/>
        </w:rPr>
        <w:t xml:space="preserve">that </w:t>
      </w:r>
      <w:r w:rsidRPr="004B64C3">
        <w:rPr>
          <w:noProof/>
        </w:rPr>
        <w:t xml:space="preserve">the Council adopt a decision </w:t>
      </w:r>
      <w:r w:rsidR="00547911" w:rsidRPr="004B64C3">
        <w:rPr>
          <w:noProof/>
        </w:rPr>
        <w:t>authorising the Commission to</w:t>
      </w:r>
      <w:r w:rsidR="00501883">
        <w:rPr>
          <w:noProof/>
        </w:rPr>
        <w:t>:</w:t>
      </w:r>
      <w:r w:rsidR="00547911" w:rsidRPr="004B64C3">
        <w:rPr>
          <w:noProof/>
        </w:rPr>
        <w:t xml:space="preserve"> open negotiations for a</w:t>
      </w:r>
      <w:r w:rsidR="00B37596">
        <w:rPr>
          <w:noProof/>
        </w:rPr>
        <w:t>n MRA on</w:t>
      </w:r>
      <w:r w:rsidR="00547911" w:rsidRPr="004B64C3">
        <w:rPr>
          <w:noProof/>
        </w:rPr>
        <w:t xml:space="preserve"> conformity assessment</w:t>
      </w:r>
      <w:r w:rsidR="00B8371B">
        <w:rPr>
          <w:noProof/>
        </w:rPr>
        <w:t>s</w:t>
      </w:r>
      <w:r w:rsidR="00547911" w:rsidRPr="004B64C3">
        <w:rPr>
          <w:noProof/>
        </w:rPr>
        <w:t>, certificates and markings between the E</w:t>
      </w:r>
      <w:r w:rsidR="00B8371B">
        <w:rPr>
          <w:noProof/>
        </w:rPr>
        <w:t>U</w:t>
      </w:r>
      <w:r w:rsidR="00B8371B" w:rsidRPr="004B64C3">
        <w:rPr>
          <w:noProof/>
        </w:rPr>
        <w:t xml:space="preserve"> </w:t>
      </w:r>
      <w:r w:rsidR="00547911" w:rsidRPr="004B64C3">
        <w:rPr>
          <w:noProof/>
        </w:rPr>
        <w:t>and the Republic of Korea; nominate the Commission as Union negotiator</w:t>
      </w:r>
      <w:r w:rsidR="00501883">
        <w:rPr>
          <w:noProof/>
        </w:rPr>
        <w:t>;</w:t>
      </w:r>
      <w:r w:rsidR="00547911" w:rsidRPr="004B64C3">
        <w:rPr>
          <w:noProof/>
        </w:rPr>
        <w:t xml:space="preserve"> address directives to the negotiator</w:t>
      </w:r>
      <w:r w:rsidR="00501883">
        <w:rPr>
          <w:noProof/>
        </w:rPr>
        <w:t>;</w:t>
      </w:r>
      <w:r w:rsidR="00547911" w:rsidRPr="004B64C3">
        <w:rPr>
          <w:noProof/>
        </w:rPr>
        <w:t xml:space="preserve"> and designate a special committee in consultation with which the negotiations must be conducted.</w:t>
      </w:r>
    </w:p>
    <w:p w14:paraId="226A1EA1" w14:textId="77777777" w:rsidR="001A3E1A" w:rsidRPr="004B64C3" w:rsidRDefault="001A3E1A">
      <w:pPr>
        <w:rPr>
          <w:noProof/>
        </w:rPr>
        <w:sectPr w:rsidR="001A3E1A" w:rsidRPr="004B64C3" w:rsidSect="00A35B1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5C25D46A" w14:textId="74B2F29E" w:rsidR="004D72F0" w:rsidRPr="004B64C3" w:rsidRDefault="005171C7" w:rsidP="005171C7">
      <w:pPr>
        <w:pStyle w:val="Statut"/>
        <w:rPr>
          <w:noProof/>
        </w:rPr>
      </w:pPr>
      <w:r w:rsidRPr="005171C7">
        <w:rPr>
          <w:noProof/>
        </w:rPr>
        <w:t>Recommendation for a</w:t>
      </w:r>
    </w:p>
    <w:p w14:paraId="3252BCC0" w14:textId="33128EEB" w:rsidR="004D72F0" w:rsidRPr="004B64C3" w:rsidRDefault="005171C7" w:rsidP="005171C7">
      <w:pPr>
        <w:pStyle w:val="Typedudocument"/>
        <w:rPr>
          <w:noProof/>
        </w:rPr>
      </w:pPr>
      <w:r w:rsidRPr="005171C7">
        <w:rPr>
          <w:noProof/>
        </w:rPr>
        <w:t>COUNCIL DECISION</w:t>
      </w:r>
    </w:p>
    <w:p w14:paraId="2B1FEE37" w14:textId="5C647531" w:rsidR="004D72F0" w:rsidRPr="004B64C3" w:rsidRDefault="005171C7" w:rsidP="005171C7">
      <w:pPr>
        <w:pStyle w:val="Titreobjet"/>
        <w:rPr>
          <w:noProof/>
        </w:rPr>
      </w:pPr>
      <w:r w:rsidRPr="005171C7">
        <w:rPr>
          <w:noProof/>
        </w:rPr>
        <w:t>authorising the opening of negotiations with the Republic of Korea for an agreement on mutual recognition in relation to conformity assessments, certificates and markings</w:t>
      </w:r>
    </w:p>
    <w:p w14:paraId="03026D01" w14:textId="77777777" w:rsidR="004D72F0" w:rsidRPr="004B64C3" w:rsidRDefault="004D72F0">
      <w:pPr>
        <w:pStyle w:val="Institutionquiagit"/>
        <w:rPr>
          <w:noProof/>
        </w:rPr>
      </w:pPr>
      <w:r w:rsidRPr="004B64C3">
        <w:rPr>
          <w:noProof/>
        </w:rPr>
        <w:t>THE COUNCIL OF THE EUROPEAN UNION,</w:t>
      </w:r>
    </w:p>
    <w:p w14:paraId="0F1C7B9C" w14:textId="52FAD8E3" w:rsidR="00E06D03" w:rsidRPr="004B64C3" w:rsidRDefault="00E06D03" w:rsidP="00E06D03">
      <w:pPr>
        <w:rPr>
          <w:noProof/>
        </w:rPr>
      </w:pPr>
      <w:r w:rsidRPr="004B64C3">
        <w:rPr>
          <w:noProof/>
        </w:rPr>
        <w:t xml:space="preserve">Having regard to the Treaty on the Functioning of the European Union, and in particular </w:t>
      </w:r>
      <w:r w:rsidR="007F419D" w:rsidRPr="004B64C3">
        <w:rPr>
          <w:noProof/>
        </w:rPr>
        <w:t>Article</w:t>
      </w:r>
      <w:r w:rsidR="004B64C3">
        <w:rPr>
          <w:noProof/>
        </w:rPr>
        <w:t> </w:t>
      </w:r>
      <w:r w:rsidR="007F419D" w:rsidRPr="004B64C3">
        <w:rPr>
          <w:noProof/>
        </w:rPr>
        <w:t>207(3) and (4), first subparagraph</w:t>
      </w:r>
      <w:r w:rsidR="00324DE6" w:rsidRPr="004B64C3">
        <w:rPr>
          <w:noProof/>
        </w:rPr>
        <w:t xml:space="preserve">, in conjunction with </w:t>
      </w:r>
      <w:r w:rsidRPr="004B64C3">
        <w:rPr>
          <w:noProof/>
        </w:rPr>
        <w:t>Article</w:t>
      </w:r>
      <w:r w:rsidR="004B64C3">
        <w:rPr>
          <w:noProof/>
        </w:rPr>
        <w:t> </w:t>
      </w:r>
      <w:r w:rsidRPr="004B64C3">
        <w:rPr>
          <w:noProof/>
        </w:rPr>
        <w:t>218(3) and (4) thereof,</w:t>
      </w:r>
    </w:p>
    <w:p w14:paraId="52BEC4A6" w14:textId="77777777" w:rsidR="00E06D03" w:rsidRPr="004B64C3" w:rsidRDefault="00E06D03" w:rsidP="00E06D03">
      <w:pPr>
        <w:rPr>
          <w:noProof/>
        </w:rPr>
      </w:pPr>
      <w:r w:rsidRPr="004B64C3">
        <w:rPr>
          <w:noProof/>
        </w:rPr>
        <w:t>Having regard to the recommendation from the European Commission,</w:t>
      </w:r>
    </w:p>
    <w:p w14:paraId="7B8AEEE4" w14:textId="2C5DA915" w:rsidR="007F419D" w:rsidRPr="004B64C3" w:rsidRDefault="007F419D" w:rsidP="007F419D">
      <w:pPr>
        <w:rPr>
          <w:noProof/>
          <w:szCs w:val="24"/>
        </w:rPr>
      </w:pPr>
      <w:r w:rsidRPr="004B64C3">
        <w:rPr>
          <w:noProof/>
          <w:szCs w:val="24"/>
        </w:rPr>
        <w:t>Whereas negotiations should be opened with a view to concluding an agreement between the European Union and the Republic of Korea on mutual recognition in relation to conformity assessment</w:t>
      </w:r>
      <w:r w:rsidR="004D59A7">
        <w:rPr>
          <w:noProof/>
          <w:szCs w:val="24"/>
        </w:rPr>
        <w:t>s</w:t>
      </w:r>
      <w:r w:rsidRPr="004B64C3">
        <w:rPr>
          <w:noProof/>
          <w:szCs w:val="24"/>
        </w:rPr>
        <w:t>, certificates and markings,</w:t>
      </w:r>
    </w:p>
    <w:p w14:paraId="1D15FBD5" w14:textId="7C5F637D" w:rsidR="00E06D03" w:rsidRPr="004B64C3" w:rsidRDefault="004D72F0" w:rsidP="00E06D03">
      <w:pPr>
        <w:pStyle w:val="Formuledadoption"/>
        <w:rPr>
          <w:noProof/>
        </w:rPr>
      </w:pPr>
      <w:r w:rsidRPr="004B64C3">
        <w:rPr>
          <w:noProof/>
        </w:rPr>
        <w:t>HAS ADOPTED THIS DECISION:</w:t>
      </w:r>
    </w:p>
    <w:p w14:paraId="6F6AEC59" w14:textId="77777777" w:rsidR="00E06D03" w:rsidRPr="004B64C3" w:rsidRDefault="00E06D03" w:rsidP="00E06D03">
      <w:pPr>
        <w:pStyle w:val="Titrearticle"/>
        <w:rPr>
          <w:noProof/>
        </w:rPr>
      </w:pPr>
      <w:r w:rsidRPr="004B64C3">
        <w:rPr>
          <w:noProof/>
        </w:rPr>
        <w:t>Article 1</w:t>
      </w:r>
    </w:p>
    <w:p w14:paraId="73FA0798" w14:textId="7278A93E" w:rsidR="19CB2EC7" w:rsidRPr="004B64C3" w:rsidRDefault="00E05E7A" w:rsidP="19CB2EC7">
      <w:pPr>
        <w:rPr>
          <w:noProof/>
          <w:szCs w:val="24"/>
        </w:rPr>
      </w:pPr>
      <w:r w:rsidRPr="004B64C3">
        <w:rPr>
          <w:noProof/>
          <w:szCs w:val="24"/>
        </w:rPr>
        <w:t>The opening of negotiations on an international agreement on mutual recognition in relation to conformity assessment</w:t>
      </w:r>
      <w:r w:rsidR="004D59A7">
        <w:rPr>
          <w:noProof/>
          <w:szCs w:val="24"/>
        </w:rPr>
        <w:t>s</w:t>
      </w:r>
      <w:r w:rsidRPr="004B64C3">
        <w:rPr>
          <w:noProof/>
          <w:szCs w:val="24"/>
        </w:rPr>
        <w:t>, certificates and markings between the European Union and the Republic of Korea is hereby authorised.</w:t>
      </w:r>
    </w:p>
    <w:p w14:paraId="5A023666" w14:textId="77777777" w:rsidR="00E06D03" w:rsidRPr="004B64C3" w:rsidRDefault="00E06D03" w:rsidP="00E06D03">
      <w:pPr>
        <w:pStyle w:val="Titrearticle"/>
        <w:rPr>
          <w:noProof/>
        </w:rPr>
      </w:pPr>
      <w:r w:rsidRPr="004B64C3">
        <w:rPr>
          <w:noProof/>
        </w:rPr>
        <w:t>Article 2</w:t>
      </w:r>
    </w:p>
    <w:p w14:paraId="21EDBB5A" w14:textId="77777777" w:rsidR="00E05E7A" w:rsidRPr="004B64C3" w:rsidRDefault="00E05E7A" w:rsidP="00AC1722">
      <w:pPr>
        <w:pStyle w:val="Titrearticle"/>
        <w:jc w:val="both"/>
        <w:rPr>
          <w:iCs/>
          <w:noProof/>
        </w:rPr>
      </w:pPr>
      <w:r w:rsidRPr="004B64C3">
        <w:rPr>
          <w:i w:val="0"/>
          <w:iCs/>
          <w:noProof/>
        </w:rPr>
        <w:t>The Commission is hereby nominated as the Union negotiator.</w:t>
      </w:r>
    </w:p>
    <w:p w14:paraId="38392C6F" w14:textId="77777777" w:rsidR="00E06D03" w:rsidRPr="006A799C" w:rsidRDefault="00E06D03" w:rsidP="00E06D03">
      <w:pPr>
        <w:pStyle w:val="Titrearticle"/>
        <w:rPr>
          <w:noProof/>
        </w:rPr>
      </w:pPr>
      <w:r w:rsidRPr="006A799C">
        <w:rPr>
          <w:noProof/>
        </w:rPr>
        <w:t>Article 3</w:t>
      </w:r>
    </w:p>
    <w:p w14:paraId="60B6B397" w14:textId="01DC9C01" w:rsidR="00815D72" w:rsidRPr="00815D72" w:rsidRDefault="00815D72" w:rsidP="00AF068B">
      <w:pPr>
        <w:rPr>
          <w:noProof/>
          <w:szCs w:val="24"/>
          <w:lang w:val="en-IE"/>
        </w:rPr>
      </w:pPr>
      <w:r w:rsidRPr="00815D72">
        <w:rPr>
          <w:noProof/>
          <w:szCs w:val="24"/>
        </w:rPr>
        <w:t>The negotiations shall be conducted on the basis of the negotiating directives of the Council set out in the addendum to this Decision.</w:t>
      </w:r>
      <w:r w:rsidRPr="00815D72">
        <w:rPr>
          <w:noProof/>
          <w:szCs w:val="24"/>
          <w:lang w:val="en-IE"/>
        </w:rPr>
        <w:t> </w:t>
      </w:r>
    </w:p>
    <w:p w14:paraId="5C14A1FD" w14:textId="77777777" w:rsidR="00815D72" w:rsidRPr="00AF068B" w:rsidRDefault="00815D72" w:rsidP="00AF068B">
      <w:pPr>
        <w:pStyle w:val="Titrearticle"/>
        <w:rPr>
          <w:noProof/>
        </w:rPr>
      </w:pPr>
      <w:r w:rsidRPr="00AF068B">
        <w:rPr>
          <w:noProof/>
        </w:rPr>
        <w:t>Article 4 </w:t>
      </w:r>
    </w:p>
    <w:p w14:paraId="1E974399" w14:textId="50445235" w:rsidR="00815D72" w:rsidRPr="00815D72" w:rsidRDefault="00815D72" w:rsidP="00AF068B">
      <w:pPr>
        <w:rPr>
          <w:noProof/>
          <w:szCs w:val="24"/>
          <w:lang w:val="en-IE"/>
        </w:rPr>
      </w:pPr>
      <w:r w:rsidRPr="00815D72">
        <w:rPr>
          <w:noProof/>
          <w:szCs w:val="24"/>
        </w:rPr>
        <w:t>The negotiations shall be conducted in consultation with the Special Committee provided for in Article 207(3), third subparagraph, TFEU</w:t>
      </w:r>
      <w:r w:rsidR="006A799C">
        <w:rPr>
          <w:noProof/>
          <w:szCs w:val="24"/>
        </w:rPr>
        <w:t>.</w:t>
      </w:r>
    </w:p>
    <w:p w14:paraId="33365DEF" w14:textId="77777777" w:rsidR="00E06D03" w:rsidRPr="004B64C3" w:rsidRDefault="00E06D03" w:rsidP="00ED58A5">
      <w:pPr>
        <w:pStyle w:val="Titrearticle"/>
        <w:rPr>
          <w:noProof/>
        </w:rPr>
      </w:pPr>
      <w:r w:rsidRPr="004B64C3">
        <w:rPr>
          <w:noProof/>
        </w:rPr>
        <w:t>Article 5</w:t>
      </w:r>
    </w:p>
    <w:p w14:paraId="47BE7A2F" w14:textId="37312D0C" w:rsidR="00E06D03" w:rsidRPr="004B64C3" w:rsidRDefault="00E06D03" w:rsidP="00E06D03">
      <w:pPr>
        <w:rPr>
          <w:noProof/>
        </w:rPr>
      </w:pPr>
      <w:r w:rsidRPr="004B64C3">
        <w:rPr>
          <w:noProof/>
        </w:rPr>
        <w:t>This Decision is addressed to the Commission.</w:t>
      </w:r>
    </w:p>
    <w:p w14:paraId="7162272D" w14:textId="0B501B48" w:rsidR="004D72F0" w:rsidRPr="004B64C3" w:rsidRDefault="005171C7" w:rsidP="00ED58A5">
      <w:pPr>
        <w:pStyle w:val="Fait"/>
        <w:rPr>
          <w:noProof/>
        </w:rPr>
      </w:pPr>
      <w:r>
        <w:rPr>
          <w:noProof/>
        </w:rPr>
        <w:t>Done at Brussels,</w:t>
      </w:r>
    </w:p>
    <w:p w14:paraId="5D85DBD6" w14:textId="77777777" w:rsidR="004D72F0" w:rsidRPr="004B64C3" w:rsidRDefault="004D72F0" w:rsidP="00ED58A5">
      <w:pPr>
        <w:pStyle w:val="Institutionquisigne"/>
        <w:rPr>
          <w:noProof/>
        </w:rPr>
      </w:pPr>
      <w:r w:rsidRPr="004B64C3">
        <w:rPr>
          <w:noProof/>
        </w:rPr>
        <w:tab/>
        <w:t>For the Council</w:t>
      </w:r>
    </w:p>
    <w:p w14:paraId="734F8F8F" w14:textId="77777777" w:rsidR="004D72F0" w:rsidRPr="004B64C3" w:rsidRDefault="004D72F0" w:rsidP="004D72F0">
      <w:pPr>
        <w:pStyle w:val="Personnequisigne"/>
        <w:rPr>
          <w:noProof/>
        </w:rPr>
      </w:pPr>
      <w:r w:rsidRPr="004B64C3">
        <w:rPr>
          <w:noProof/>
        </w:rPr>
        <w:tab/>
        <w:t>The President</w:t>
      </w:r>
    </w:p>
    <w:sectPr w:rsidR="004D72F0" w:rsidRPr="004B64C3" w:rsidSect="00A35B1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DC709" w14:textId="77777777" w:rsidR="000B19DC" w:rsidRPr="004B64C3" w:rsidRDefault="000B19DC" w:rsidP="004D72F0">
      <w:pPr>
        <w:spacing w:before="0" w:after="0"/>
      </w:pPr>
      <w:r w:rsidRPr="004B64C3">
        <w:separator/>
      </w:r>
    </w:p>
  </w:endnote>
  <w:endnote w:type="continuationSeparator" w:id="0">
    <w:p w14:paraId="48E2250F" w14:textId="77777777" w:rsidR="000B19DC" w:rsidRPr="004B64C3" w:rsidRDefault="000B19DC" w:rsidP="004D72F0">
      <w:pPr>
        <w:spacing w:before="0" w:after="0"/>
      </w:pPr>
      <w:r w:rsidRPr="004B64C3">
        <w:continuationSeparator/>
      </w:r>
    </w:p>
  </w:endnote>
  <w:endnote w:type="continuationNotice" w:id="1">
    <w:p w14:paraId="773E29A5" w14:textId="77777777" w:rsidR="000B19DC" w:rsidRPr="004B64C3" w:rsidRDefault="000B19D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33A90" w14:textId="6EE801FD" w:rsidR="00A35B1B" w:rsidRPr="00A35B1B" w:rsidRDefault="00A35B1B" w:rsidP="00A35B1B">
    <w:pPr>
      <w:pStyle w:val="Footer"/>
      <w:rPr>
        <w:rFonts w:ascii="Arial" w:hAnsi="Arial" w:cs="Arial"/>
        <w:b/>
        <w:sz w:val="48"/>
      </w:rPr>
    </w:pPr>
    <w:r w:rsidRPr="00A35B1B">
      <w:rPr>
        <w:rFonts w:ascii="Arial" w:hAnsi="Arial" w:cs="Arial"/>
        <w:b/>
        <w:sz w:val="48"/>
      </w:rPr>
      <w:t>EN</w:t>
    </w:r>
    <w:r w:rsidRPr="00A35B1B">
      <w:rPr>
        <w:rFonts w:ascii="Arial" w:hAnsi="Arial" w:cs="Arial"/>
        <w:b/>
        <w:sz w:val="48"/>
      </w:rPr>
      <w:tab/>
    </w:r>
    <w:r w:rsidRPr="00A35B1B">
      <w:rPr>
        <w:rFonts w:ascii="Arial" w:hAnsi="Arial" w:cs="Arial"/>
        <w:b/>
        <w:sz w:val="48"/>
      </w:rPr>
      <w:tab/>
    </w:r>
    <w:r w:rsidRPr="00A35B1B">
      <w:tab/>
    </w:r>
    <w:r w:rsidRPr="00A35B1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3FD3E" w14:textId="57B99DB7" w:rsidR="00A35B1B" w:rsidRPr="00A35B1B" w:rsidRDefault="00A35B1B" w:rsidP="00A35B1B">
    <w:pPr>
      <w:pStyle w:val="Footer"/>
      <w:rPr>
        <w:rFonts w:ascii="Arial" w:hAnsi="Arial" w:cs="Arial"/>
        <w:b/>
        <w:sz w:val="48"/>
      </w:rPr>
    </w:pPr>
    <w:r w:rsidRPr="00A35B1B">
      <w:rPr>
        <w:rFonts w:ascii="Arial" w:hAnsi="Arial" w:cs="Arial"/>
        <w:b/>
        <w:sz w:val="48"/>
      </w:rPr>
      <w:t>EN</w:t>
    </w:r>
    <w:r w:rsidRPr="00A35B1B">
      <w:rPr>
        <w:rFonts w:ascii="Arial" w:hAnsi="Arial" w:cs="Arial"/>
        <w:b/>
        <w:sz w:val="48"/>
      </w:rPr>
      <w:tab/>
    </w:r>
    <w:r w:rsidRPr="00A35B1B">
      <w:rPr>
        <w:rFonts w:ascii="Arial" w:hAnsi="Arial" w:cs="Arial"/>
        <w:b/>
        <w:sz w:val="48"/>
      </w:rPr>
      <w:tab/>
    </w:r>
    <w:r w:rsidRPr="00A35B1B">
      <w:tab/>
    </w:r>
    <w:r w:rsidRPr="00A35B1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1B698" w14:textId="77777777" w:rsidR="00A35B1B" w:rsidRDefault="00A35B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01B42" w14:textId="660D3D42" w:rsidR="00A35B1B" w:rsidRPr="00A35B1B" w:rsidRDefault="00A35B1B" w:rsidP="00A35B1B">
    <w:pPr>
      <w:pStyle w:val="Footer"/>
      <w:rPr>
        <w:rFonts w:ascii="Arial" w:hAnsi="Arial" w:cs="Arial"/>
        <w:b/>
        <w:sz w:val="48"/>
      </w:rPr>
    </w:pPr>
    <w:r w:rsidRPr="00A35B1B">
      <w:rPr>
        <w:rFonts w:ascii="Arial" w:hAnsi="Arial" w:cs="Arial"/>
        <w:b/>
        <w:sz w:val="48"/>
      </w:rPr>
      <w:t>EN</w:t>
    </w:r>
    <w:r w:rsidRPr="00A35B1B">
      <w:rPr>
        <w:rFonts w:ascii="Arial" w:hAnsi="Arial" w:cs="Arial"/>
        <w:b/>
        <w:sz w:val="48"/>
      </w:rPr>
      <w:tab/>
    </w:r>
    <w:r>
      <w:fldChar w:fldCharType="begin"/>
    </w:r>
    <w:r>
      <w:instrText xml:space="preserve"> PAGE  \* MERGEFORMAT </w:instrText>
    </w:r>
    <w:r>
      <w:fldChar w:fldCharType="separate"/>
    </w:r>
    <w:r w:rsidR="00ED58A5">
      <w:rPr>
        <w:noProof/>
      </w:rPr>
      <w:t>6</w:t>
    </w:r>
    <w:r>
      <w:fldChar w:fldCharType="end"/>
    </w:r>
    <w:r>
      <w:tab/>
    </w:r>
    <w:r w:rsidRPr="00A35B1B">
      <w:tab/>
    </w:r>
    <w:r w:rsidRPr="00A35B1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AFE8D" w14:textId="77777777" w:rsidR="00A35B1B" w:rsidRDefault="00A35B1B" w:rsidP="00A35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63BEA" w14:textId="77777777" w:rsidR="000B19DC" w:rsidRPr="004B64C3" w:rsidRDefault="000B19DC" w:rsidP="004D72F0">
      <w:pPr>
        <w:spacing w:before="0" w:after="0"/>
      </w:pPr>
      <w:r w:rsidRPr="004B64C3">
        <w:separator/>
      </w:r>
    </w:p>
  </w:footnote>
  <w:footnote w:type="continuationSeparator" w:id="0">
    <w:p w14:paraId="5375AEAA" w14:textId="77777777" w:rsidR="000B19DC" w:rsidRPr="004B64C3" w:rsidRDefault="000B19DC" w:rsidP="004D72F0">
      <w:pPr>
        <w:spacing w:before="0" w:after="0"/>
      </w:pPr>
      <w:r w:rsidRPr="004B64C3">
        <w:continuationSeparator/>
      </w:r>
    </w:p>
  </w:footnote>
  <w:footnote w:type="continuationNotice" w:id="1">
    <w:p w14:paraId="636E620E" w14:textId="77777777" w:rsidR="000B19DC" w:rsidRPr="004B64C3" w:rsidRDefault="000B19DC">
      <w:pPr>
        <w:spacing w:before="0" w:after="0"/>
      </w:pPr>
    </w:p>
  </w:footnote>
  <w:footnote w:id="2">
    <w:p w14:paraId="141A5AFA" w14:textId="444F9917" w:rsidR="00A135EA" w:rsidRPr="00A135EA" w:rsidRDefault="00A135EA">
      <w:pPr>
        <w:pStyle w:val="FootnoteText"/>
        <w:rPr>
          <w:lang w:val="en-IE"/>
        </w:rPr>
      </w:pPr>
      <w:r>
        <w:rPr>
          <w:rStyle w:val="FootnoteReference"/>
        </w:rPr>
        <w:footnoteRef/>
      </w:r>
      <w:r>
        <w:rPr>
          <w:lang w:val="en-IE"/>
        </w:rPr>
        <w:tab/>
      </w:r>
      <w:r w:rsidRPr="00A135EA">
        <w:rPr>
          <w:rStyle w:val="FootnoteTextChar"/>
        </w:rPr>
        <w:t>These MRAs include specific sectoral annexes. For instance, the EU-Australia MRA encompasses automotive products, electromagnetic compatibility (EMC), low voltage equipment, machinery, medical devices, pressure equipment, telecommunications terminal equipment (TTE), and good manufacturing practice (GMP). Similarly, the EU-Switzerland MRA covers 20 sectors, such as machinery, personal protective equipment, toys, medical devices, gas appliances, pressure vessels, radio equipment, electrical equipment, construction products, lifts, and biocidal products. The EU-Canada MRA under the Comprehensive Economic and Trade Agreement (CETA) covers electrical equipment, toys, construction products, machinery, measuring instruments, equipment for explosive atmospheres, etc. The EU-Japan MRA applies to electrical products, radio and telecommunications terminal equipment (R&amp;TTE), GMP, and good laboratory practice (GLP), whereas the EU-New Zealand MRA deals with EMC, low voltage equipment, machinery, medical devices, pressure equipment, TTE, and GMP. The EU-Israel MRA is limited to GLP, and the EU-United States MRA provides for mutual recognition for EMC, telecommunication equipment, and marine equipment, thereby avoiding duplication of assessments for the products covered.</w:t>
      </w:r>
    </w:p>
  </w:footnote>
  <w:footnote w:id="3">
    <w:p w14:paraId="5DD06DFF" w14:textId="5CC7A413" w:rsidR="00C02B49" w:rsidRPr="004B64C3" w:rsidRDefault="00C02B49" w:rsidP="00C02B49">
      <w:pPr>
        <w:pStyle w:val="FootnoteText"/>
      </w:pPr>
      <w:r w:rsidRPr="004B64C3">
        <w:rPr>
          <w:rStyle w:val="FootnoteReference"/>
        </w:rPr>
        <w:footnoteRef/>
      </w:r>
      <w:r w:rsidR="002D50FF" w:rsidRPr="004B64C3">
        <w:tab/>
      </w:r>
      <w:r w:rsidRPr="004B64C3">
        <w:t>See Cernat, L.</w:t>
      </w:r>
      <w:r w:rsidR="00B72D8B">
        <w:t>,</w:t>
      </w:r>
      <w:r w:rsidRPr="004B64C3">
        <w:t xml:space="preserve"> </w:t>
      </w:r>
      <w:r w:rsidRPr="004B64C3">
        <w:rPr>
          <w:i/>
          <w:iCs/>
        </w:rPr>
        <w:t>How important are mutual recognition agreements for trade facilitation?</w:t>
      </w:r>
      <w:r w:rsidR="00B72D8B">
        <w:rPr>
          <w:i/>
          <w:iCs/>
        </w:rPr>
        <w:t>,</w:t>
      </w:r>
      <w:r w:rsidRPr="004B64C3">
        <w:t xml:space="preserve"> Policy Brief </w:t>
      </w:r>
      <w:r w:rsidR="00B72D8B">
        <w:t>No </w:t>
      </w:r>
      <w:r w:rsidRPr="004B64C3">
        <w:t>10</w:t>
      </w:r>
      <w:r w:rsidR="00B72D8B">
        <w:t>,</w:t>
      </w:r>
      <w:r w:rsidRPr="004B64C3">
        <w:t xml:space="preserve"> European Centre for International Political Economy</w:t>
      </w:r>
      <w:r w:rsidR="00B72D8B">
        <w:t xml:space="preserve"> (ECIPE), 2022</w:t>
      </w:r>
      <w:r w:rsidRPr="004B64C3">
        <w:t>.</w:t>
      </w:r>
    </w:p>
    <w:p w14:paraId="3EE1047B" w14:textId="61A6DAF9" w:rsidR="009F29DC" w:rsidRPr="004B64C3" w:rsidRDefault="003031B2" w:rsidP="00EA7C17">
      <w:pPr>
        <w:pStyle w:val="FootnoteText"/>
        <w:jc w:val="left"/>
      </w:pPr>
      <w:r>
        <w:tab/>
      </w:r>
      <w:r w:rsidR="009F29DC" w:rsidRPr="004B64C3">
        <w:t>See also</w:t>
      </w:r>
      <w:r w:rsidR="00B971DD">
        <w:t xml:space="preserve">: DG TRADE, </w:t>
      </w:r>
      <w:r w:rsidR="00B971DD" w:rsidRPr="00B37426">
        <w:rPr>
          <w:i/>
          <w:iCs/>
        </w:rPr>
        <w:t>Survey on Mutual Recognition Agreements (MRAs), Summary Report,</w:t>
      </w:r>
      <w:r w:rsidR="00B971DD">
        <w:t xml:space="preserve"> July 2023, </w:t>
      </w:r>
      <w:hyperlink r:id="rId1" w:history="1">
        <w:r w:rsidR="009F29DC" w:rsidRPr="004B64C3">
          <w:rPr>
            <w:rStyle w:val="Hyperlink"/>
          </w:rPr>
          <w:t>https://trade.ec.europa.eu/access-to-markets/en/assets/Report%20on%20the%20Survey%20on%20Mutual%20Recognition%20Agreements%202023.pdf</w:t>
        </w:r>
      </w:hyperlink>
      <w:r w:rsidR="001B405E" w:rsidRPr="004B64C3">
        <w:t>.</w:t>
      </w:r>
    </w:p>
  </w:footnote>
  <w:footnote w:id="4">
    <w:p w14:paraId="5975AA2A" w14:textId="50123DD3" w:rsidR="007A3AF5" w:rsidRPr="004B64C3" w:rsidRDefault="007A3AF5" w:rsidP="001F3F1A">
      <w:pPr>
        <w:pStyle w:val="FootnoteText"/>
        <w:jc w:val="left"/>
      </w:pPr>
      <w:r w:rsidRPr="004B64C3">
        <w:rPr>
          <w:rStyle w:val="FootnoteReference"/>
        </w:rPr>
        <w:footnoteRef/>
      </w:r>
      <w:r w:rsidR="002D50FF" w:rsidRPr="004B64C3">
        <w:tab/>
      </w:r>
      <w:r w:rsidR="00D1770B">
        <w:t>European Commission, Access</w:t>
      </w:r>
      <w:r w:rsidR="00B6290E">
        <w:t xml:space="preserve"> to m</w:t>
      </w:r>
      <w:r w:rsidR="00D1770B">
        <w:t xml:space="preserve">arkets, </w:t>
      </w:r>
      <w:r w:rsidR="00C33CD9">
        <w:t>‘</w:t>
      </w:r>
      <w:r w:rsidR="00D1770B" w:rsidRPr="00D1770B">
        <w:t>EU-South Korea Free Trade Agreement</w:t>
      </w:r>
      <w:r w:rsidR="00C33CD9">
        <w:t>’</w:t>
      </w:r>
      <w:r w:rsidR="00A208BF">
        <w:t>,</w:t>
      </w:r>
      <w:r w:rsidR="00D1770B" w:rsidRPr="00D1770B">
        <w:t xml:space="preserve"> </w:t>
      </w:r>
      <w:r w:rsidR="00A208BF" w:rsidRPr="00A208BF">
        <w:t xml:space="preserve">European Commission website, </w:t>
      </w:r>
      <w:r w:rsidR="00A208BF">
        <w:t>accessed 2</w:t>
      </w:r>
      <w:r w:rsidR="00616E97">
        <w:t>5</w:t>
      </w:r>
      <w:r w:rsidR="00A208BF">
        <w:t xml:space="preserve"> February 2026, </w:t>
      </w:r>
      <w:hyperlink r:id="rId2" w:history="1">
        <w:r w:rsidR="00416B72" w:rsidRPr="00416B72">
          <w:rPr>
            <w:rStyle w:val="Hyperlink"/>
          </w:rPr>
          <w:t>https://trade.ec.europa.eu/access-to-markets/en/content/eu-south-korea-free-trade-agreement</w:t>
        </w:r>
      </w:hyperlink>
      <w:r w:rsidR="001B405E" w:rsidRPr="004B64C3">
        <w:t>.</w:t>
      </w:r>
    </w:p>
  </w:footnote>
  <w:footnote w:id="5">
    <w:p w14:paraId="120DF20A" w14:textId="0B65DB52" w:rsidR="007A3AF5" w:rsidRPr="004B64C3" w:rsidRDefault="007A3AF5" w:rsidP="001F3F1A">
      <w:pPr>
        <w:pStyle w:val="FootnoteText"/>
        <w:jc w:val="left"/>
      </w:pPr>
      <w:r w:rsidRPr="004B64C3">
        <w:rPr>
          <w:rStyle w:val="FootnoteReference"/>
        </w:rPr>
        <w:footnoteRef/>
      </w:r>
      <w:r w:rsidR="002D50FF" w:rsidRPr="004B64C3">
        <w:tab/>
      </w:r>
      <w:r w:rsidR="00416B72">
        <w:t xml:space="preserve">European Commission, </w:t>
      </w:r>
      <w:r w:rsidR="00416B72" w:rsidRPr="00416B72">
        <w:t>Trade and Economic Security</w:t>
      </w:r>
      <w:r w:rsidR="00416B72">
        <w:t xml:space="preserve">, </w:t>
      </w:r>
      <w:r w:rsidR="00C33CD9">
        <w:t>‘</w:t>
      </w:r>
      <w:r w:rsidR="00416B72">
        <w:t>South Korea. EU trade relations with the Republic of Korea. Facts, figures and latest developments</w:t>
      </w:r>
      <w:r w:rsidR="00C33CD9">
        <w:t>’</w:t>
      </w:r>
      <w:r w:rsidR="00416B72">
        <w:t>,</w:t>
      </w:r>
      <w:r w:rsidR="00416B72" w:rsidRPr="00416B72">
        <w:t xml:space="preserve"> </w:t>
      </w:r>
      <w:r w:rsidR="00416B72" w:rsidRPr="00A208BF">
        <w:t xml:space="preserve">European Commission website, </w:t>
      </w:r>
      <w:r w:rsidR="00416B72">
        <w:t>accessed 2</w:t>
      </w:r>
      <w:r w:rsidR="00616E97">
        <w:t>5</w:t>
      </w:r>
      <w:r w:rsidR="00416B72">
        <w:t xml:space="preserve"> February 2026, </w:t>
      </w:r>
      <w:hyperlink r:id="rId3" w:history="1">
        <w:r w:rsidR="00416B72" w:rsidRPr="00416B72">
          <w:rPr>
            <w:rStyle w:val="Hyperlink"/>
          </w:rPr>
          <w:t>https://policy.trade.ec.europa.eu/eu-trade-relationships-country-and-region/countries-and-regions/south-korea_en</w:t>
        </w:r>
      </w:hyperlink>
      <w:r w:rsidR="001B405E" w:rsidRPr="004B64C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DE26B" w14:textId="77777777" w:rsidR="00A35B1B" w:rsidRDefault="00A35B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9DF01" w14:textId="77777777" w:rsidR="00A35B1B" w:rsidRDefault="00A35B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2BA8C8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750596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C6927A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342363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3"/>
  </w:num>
  <w:num w:numId="3">
    <w:abstractNumId w:val="2"/>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5 08:22: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0B7EE23-5FAC-40A4-80BE-8EA3B09EB9B5"/>
    <w:docVar w:name="LW_COVERPAGE_TYPE" w:val="1"/>
    <w:docVar w:name="LW_CreatedUtc" w:val="2025-11-28T13:48:16.8162307Z"/>
    <w:docVar w:name="LW_CROSSREFERENCE" w:val="&lt;UNUSED&gt;"/>
    <w:docVar w:name="LW_DocType" w:val="COM"/>
    <w:docVar w:name="LW_EMISSION" w:val="1.4.2026"/>
    <w:docVar w:name="LW_EMISSION_ISODATE" w:val="2026-04-01"/>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4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uthorising the opening of negotiations with the Republic of Korea for an agreement on mutual recognition in relation to conformity assessments, certificates and markings"/>
    <w:docVar w:name="LW_TYPE.DOC.CP" w:val="COUNCIL DECISION"/>
    <w:docVar w:name="LwApiVersions" w:val="LW4CoDe 1.24.5.0; LW 9.2, Build 20251112"/>
    <w:docVar w:name="Stamp" w:val="\\net1.cec.eu.int\offline\003\chatzde\Desktop\Editing\TRADE-2026-00181-00-00-EN-ORI-00.docx"/>
  </w:docVars>
  <w:rsids>
    <w:rsidRoot w:val="004D72F0"/>
    <w:rsid w:val="000041E4"/>
    <w:rsid w:val="000130B2"/>
    <w:rsid w:val="000177A3"/>
    <w:rsid w:val="00017CF3"/>
    <w:rsid w:val="000310D9"/>
    <w:rsid w:val="0003227B"/>
    <w:rsid w:val="000331F7"/>
    <w:rsid w:val="000355D0"/>
    <w:rsid w:val="00035972"/>
    <w:rsid w:val="0005422B"/>
    <w:rsid w:val="0006398B"/>
    <w:rsid w:val="00076F33"/>
    <w:rsid w:val="00077CB3"/>
    <w:rsid w:val="00092A58"/>
    <w:rsid w:val="00095CED"/>
    <w:rsid w:val="000A17B3"/>
    <w:rsid w:val="000B0F57"/>
    <w:rsid w:val="000B19DC"/>
    <w:rsid w:val="000B281B"/>
    <w:rsid w:val="000C15E4"/>
    <w:rsid w:val="000C23D4"/>
    <w:rsid w:val="000C355F"/>
    <w:rsid w:val="000C6885"/>
    <w:rsid w:val="000E0814"/>
    <w:rsid w:val="000E1480"/>
    <w:rsid w:val="000F7F0B"/>
    <w:rsid w:val="00103CE9"/>
    <w:rsid w:val="00106493"/>
    <w:rsid w:val="001065F5"/>
    <w:rsid w:val="00116AD6"/>
    <w:rsid w:val="001238EF"/>
    <w:rsid w:val="00130629"/>
    <w:rsid w:val="0013155E"/>
    <w:rsid w:val="0013627E"/>
    <w:rsid w:val="00136E85"/>
    <w:rsid w:val="001403E5"/>
    <w:rsid w:val="00142986"/>
    <w:rsid w:val="00144CE1"/>
    <w:rsid w:val="00152573"/>
    <w:rsid w:val="00156C8F"/>
    <w:rsid w:val="00160E2D"/>
    <w:rsid w:val="00160F78"/>
    <w:rsid w:val="00163C2C"/>
    <w:rsid w:val="001671E5"/>
    <w:rsid w:val="00174102"/>
    <w:rsid w:val="001744A9"/>
    <w:rsid w:val="0018137B"/>
    <w:rsid w:val="00181D64"/>
    <w:rsid w:val="0018321E"/>
    <w:rsid w:val="0019192C"/>
    <w:rsid w:val="00197613"/>
    <w:rsid w:val="00197BE0"/>
    <w:rsid w:val="001A20A6"/>
    <w:rsid w:val="001A3E1A"/>
    <w:rsid w:val="001A7134"/>
    <w:rsid w:val="001B405E"/>
    <w:rsid w:val="001B45E8"/>
    <w:rsid w:val="001F0C03"/>
    <w:rsid w:val="001F3F1A"/>
    <w:rsid w:val="002014A6"/>
    <w:rsid w:val="00202ACB"/>
    <w:rsid w:val="00210AA5"/>
    <w:rsid w:val="00211F69"/>
    <w:rsid w:val="002149BD"/>
    <w:rsid w:val="0023054C"/>
    <w:rsid w:val="00231034"/>
    <w:rsid w:val="00231393"/>
    <w:rsid w:val="00231A63"/>
    <w:rsid w:val="00233DC7"/>
    <w:rsid w:val="0024368C"/>
    <w:rsid w:val="00247779"/>
    <w:rsid w:val="00251809"/>
    <w:rsid w:val="00274490"/>
    <w:rsid w:val="0028191D"/>
    <w:rsid w:val="00285BEE"/>
    <w:rsid w:val="002928B9"/>
    <w:rsid w:val="0029533F"/>
    <w:rsid w:val="002A5F83"/>
    <w:rsid w:val="002B30AF"/>
    <w:rsid w:val="002C503F"/>
    <w:rsid w:val="002D13C4"/>
    <w:rsid w:val="002D50FF"/>
    <w:rsid w:val="002F1807"/>
    <w:rsid w:val="003031B2"/>
    <w:rsid w:val="00304901"/>
    <w:rsid w:val="0030735D"/>
    <w:rsid w:val="00312B9B"/>
    <w:rsid w:val="00317479"/>
    <w:rsid w:val="00324DE6"/>
    <w:rsid w:val="003300D3"/>
    <w:rsid w:val="0033344A"/>
    <w:rsid w:val="00344362"/>
    <w:rsid w:val="00351F14"/>
    <w:rsid w:val="00352EDE"/>
    <w:rsid w:val="00355A58"/>
    <w:rsid w:val="00356951"/>
    <w:rsid w:val="00356EBA"/>
    <w:rsid w:val="00361242"/>
    <w:rsid w:val="00367B28"/>
    <w:rsid w:val="00374248"/>
    <w:rsid w:val="0037545A"/>
    <w:rsid w:val="00376746"/>
    <w:rsid w:val="003770E5"/>
    <w:rsid w:val="003821FF"/>
    <w:rsid w:val="003835A3"/>
    <w:rsid w:val="00395AE9"/>
    <w:rsid w:val="00397992"/>
    <w:rsid w:val="003A07EF"/>
    <w:rsid w:val="003A0D79"/>
    <w:rsid w:val="003A61FB"/>
    <w:rsid w:val="003C5D9E"/>
    <w:rsid w:val="003E0956"/>
    <w:rsid w:val="003E7171"/>
    <w:rsid w:val="003F57F5"/>
    <w:rsid w:val="00416B72"/>
    <w:rsid w:val="0042648E"/>
    <w:rsid w:val="004270DE"/>
    <w:rsid w:val="00431C81"/>
    <w:rsid w:val="004337E3"/>
    <w:rsid w:val="004376CF"/>
    <w:rsid w:val="00444166"/>
    <w:rsid w:val="004449F3"/>
    <w:rsid w:val="00451664"/>
    <w:rsid w:val="00474482"/>
    <w:rsid w:val="00474F8D"/>
    <w:rsid w:val="0047567E"/>
    <w:rsid w:val="00482585"/>
    <w:rsid w:val="004936D2"/>
    <w:rsid w:val="004A23D7"/>
    <w:rsid w:val="004A6858"/>
    <w:rsid w:val="004A70DD"/>
    <w:rsid w:val="004B6177"/>
    <w:rsid w:val="004B64C3"/>
    <w:rsid w:val="004C01B8"/>
    <w:rsid w:val="004C0B3D"/>
    <w:rsid w:val="004C26FE"/>
    <w:rsid w:val="004C5450"/>
    <w:rsid w:val="004D0777"/>
    <w:rsid w:val="004D3A3E"/>
    <w:rsid w:val="004D5118"/>
    <w:rsid w:val="004D560B"/>
    <w:rsid w:val="004D59A7"/>
    <w:rsid w:val="004D72F0"/>
    <w:rsid w:val="004E517B"/>
    <w:rsid w:val="004E7985"/>
    <w:rsid w:val="004F78DF"/>
    <w:rsid w:val="00500E37"/>
    <w:rsid w:val="00501883"/>
    <w:rsid w:val="00501F81"/>
    <w:rsid w:val="00503CDF"/>
    <w:rsid w:val="00505992"/>
    <w:rsid w:val="005073B4"/>
    <w:rsid w:val="005171C7"/>
    <w:rsid w:val="00521FE1"/>
    <w:rsid w:val="0052303D"/>
    <w:rsid w:val="0052381E"/>
    <w:rsid w:val="00534796"/>
    <w:rsid w:val="00547911"/>
    <w:rsid w:val="00572D86"/>
    <w:rsid w:val="005764DD"/>
    <w:rsid w:val="00597994"/>
    <w:rsid w:val="005A1662"/>
    <w:rsid w:val="005B1EB6"/>
    <w:rsid w:val="005B5FCB"/>
    <w:rsid w:val="005C551D"/>
    <w:rsid w:val="005D1F90"/>
    <w:rsid w:val="005D3A6B"/>
    <w:rsid w:val="005D3EB7"/>
    <w:rsid w:val="005E0BB2"/>
    <w:rsid w:val="005E599C"/>
    <w:rsid w:val="00605546"/>
    <w:rsid w:val="00607740"/>
    <w:rsid w:val="00612944"/>
    <w:rsid w:val="0061482C"/>
    <w:rsid w:val="00616E97"/>
    <w:rsid w:val="0062555A"/>
    <w:rsid w:val="006319B1"/>
    <w:rsid w:val="00643DF7"/>
    <w:rsid w:val="00650115"/>
    <w:rsid w:val="00660B60"/>
    <w:rsid w:val="00663A5A"/>
    <w:rsid w:val="00667833"/>
    <w:rsid w:val="00670EA5"/>
    <w:rsid w:val="00675690"/>
    <w:rsid w:val="00681EF3"/>
    <w:rsid w:val="00692184"/>
    <w:rsid w:val="00693D0A"/>
    <w:rsid w:val="006A2008"/>
    <w:rsid w:val="006A799C"/>
    <w:rsid w:val="006B1971"/>
    <w:rsid w:val="006B4054"/>
    <w:rsid w:val="006B5DE9"/>
    <w:rsid w:val="006B683D"/>
    <w:rsid w:val="006C0E39"/>
    <w:rsid w:val="006D1C75"/>
    <w:rsid w:val="006D20C8"/>
    <w:rsid w:val="006D5FA1"/>
    <w:rsid w:val="006E6364"/>
    <w:rsid w:val="00701EF8"/>
    <w:rsid w:val="00710FD5"/>
    <w:rsid w:val="0071372D"/>
    <w:rsid w:val="00715095"/>
    <w:rsid w:val="00722BFC"/>
    <w:rsid w:val="007237E4"/>
    <w:rsid w:val="007242E2"/>
    <w:rsid w:val="00724E95"/>
    <w:rsid w:val="00736D23"/>
    <w:rsid w:val="00741D62"/>
    <w:rsid w:val="00743EDA"/>
    <w:rsid w:val="0075010A"/>
    <w:rsid w:val="00773331"/>
    <w:rsid w:val="00773727"/>
    <w:rsid w:val="0078654C"/>
    <w:rsid w:val="007903BC"/>
    <w:rsid w:val="007932EF"/>
    <w:rsid w:val="007A3AF5"/>
    <w:rsid w:val="007A6844"/>
    <w:rsid w:val="007A7A36"/>
    <w:rsid w:val="007B03BC"/>
    <w:rsid w:val="007B29FE"/>
    <w:rsid w:val="007B544C"/>
    <w:rsid w:val="007C2118"/>
    <w:rsid w:val="007C240B"/>
    <w:rsid w:val="007E05B0"/>
    <w:rsid w:val="007E35B1"/>
    <w:rsid w:val="007E5B2D"/>
    <w:rsid w:val="007F0928"/>
    <w:rsid w:val="007F1AB0"/>
    <w:rsid w:val="007F419D"/>
    <w:rsid w:val="008023A1"/>
    <w:rsid w:val="00805500"/>
    <w:rsid w:val="00812E1B"/>
    <w:rsid w:val="0081530C"/>
    <w:rsid w:val="00815B45"/>
    <w:rsid w:val="00815D72"/>
    <w:rsid w:val="00821D7B"/>
    <w:rsid w:val="00846031"/>
    <w:rsid w:val="008461BA"/>
    <w:rsid w:val="00850399"/>
    <w:rsid w:val="00851BA8"/>
    <w:rsid w:val="00857345"/>
    <w:rsid w:val="008579B2"/>
    <w:rsid w:val="008732DB"/>
    <w:rsid w:val="00874D22"/>
    <w:rsid w:val="00883E93"/>
    <w:rsid w:val="00895581"/>
    <w:rsid w:val="00896DC6"/>
    <w:rsid w:val="008A1766"/>
    <w:rsid w:val="008A2914"/>
    <w:rsid w:val="008A2CD3"/>
    <w:rsid w:val="008A6F2E"/>
    <w:rsid w:val="008B02E5"/>
    <w:rsid w:val="008C0E17"/>
    <w:rsid w:val="008D0706"/>
    <w:rsid w:val="008D205D"/>
    <w:rsid w:val="008D3FA7"/>
    <w:rsid w:val="008D6E36"/>
    <w:rsid w:val="008E0439"/>
    <w:rsid w:val="008E24FF"/>
    <w:rsid w:val="008E4D8E"/>
    <w:rsid w:val="008F3DAF"/>
    <w:rsid w:val="00902ECC"/>
    <w:rsid w:val="009030D0"/>
    <w:rsid w:val="0090331F"/>
    <w:rsid w:val="00910067"/>
    <w:rsid w:val="00913F67"/>
    <w:rsid w:val="00936209"/>
    <w:rsid w:val="00963775"/>
    <w:rsid w:val="00966530"/>
    <w:rsid w:val="009768C6"/>
    <w:rsid w:val="00977A42"/>
    <w:rsid w:val="00986BFD"/>
    <w:rsid w:val="009A01BD"/>
    <w:rsid w:val="009B06C8"/>
    <w:rsid w:val="009B3C53"/>
    <w:rsid w:val="009B4BAF"/>
    <w:rsid w:val="009B65ED"/>
    <w:rsid w:val="009C7879"/>
    <w:rsid w:val="009D6C16"/>
    <w:rsid w:val="009F299C"/>
    <w:rsid w:val="009F29DC"/>
    <w:rsid w:val="009F301E"/>
    <w:rsid w:val="009F4624"/>
    <w:rsid w:val="009F5E47"/>
    <w:rsid w:val="009F5EC0"/>
    <w:rsid w:val="00A02975"/>
    <w:rsid w:val="00A135EA"/>
    <w:rsid w:val="00A1398D"/>
    <w:rsid w:val="00A208BF"/>
    <w:rsid w:val="00A22345"/>
    <w:rsid w:val="00A23730"/>
    <w:rsid w:val="00A24042"/>
    <w:rsid w:val="00A26A9F"/>
    <w:rsid w:val="00A33367"/>
    <w:rsid w:val="00A34442"/>
    <w:rsid w:val="00A35B1B"/>
    <w:rsid w:val="00A408BE"/>
    <w:rsid w:val="00A4677B"/>
    <w:rsid w:val="00A54695"/>
    <w:rsid w:val="00A57E7A"/>
    <w:rsid w:val="00A60910"/>
    <w:rsid w:val="00A63305"/>
    <w:rsid w:val="00A64E86"/>
    <w:rsid w:val="00A95C4D"/>
    <w:rsid w:val="00A96AC7"/>
    <w:rsid w:val="00A97BFD"/>
    <w:rsid w:val="00AA7DE8"/>
    <w:rsid w:val="00AB00FD"/>
    <w:rsid w:val="00AB0E81"/>
    <w:rsid w:val="00AB234F"/>
    <w:rsid w:val="00AC1722"/>
    <w:rsid w:val="00AC4B66"/>
    <w:rsid w:val="00AC533B"/>
    <w:rsid w:val="00AC6B58"/>
    <w:rsid w:val="00AD3415"/>
    <w:rsid w:val="00AD41AE"/>
    <w:rsid w:val="00AD6B91"/>
    <w:rsid w:val="00AE0C06"/>
    <w:rsid w:val="00AF068B"/>
    <w:rsid w:val="00B007E6"/>
    <w:rsid w:val="00B05131"/>
    <w:rsid w:val="00B1060C"/>
    <w:rsid w:val="00B10888"/>
    <w:rsid w:val="00B11502"/>
    <w:rsid w:val="00B171E4"/>
    <w:rsid w:val="00B33E6B"/>
    <w:rsid w:val="00B3578D"/>
    <w:rsid w:val="00B35C9A"/>
    <w:rsid w:val="00B37426"/>
    <w:rsid w:val="00B37596"/>
    <w:rsid w:val="00B4339E"/>
    <w:rsid w:val="00B4727A"/>
    <w:rsid w:val="00B52142"/>
    <w:rsid w:val="00B52755"/>
    <w:rsid w:val="00B54D92"/>
    <w:rsid w:val="00B6290E"/>
    <w:rsid w:val="00B66925"/>
    <w:rsid w:val="00B67FEE"/>
    <w:rsid w:val="00B7059E"/>
    <w:rsid w:val="00B70812"/>
    <w:rsid w:val="00B72D8B"/>
    <w:rsid w:val="00B81E77"/>
    <w:rsid w:val="00B8371B"/>
    <w:rsid w:val="00B83F0F"/>
    <w:rsid w:val="00B83FFB"/>
    <w:rsid w:val="00B93D46"/>
    <w:rsid w:val="00B971DD"/>
    <w:rsid w:val="00B97577"/>
    <w:rsid w:val="00BA7C9F"/>
    <w:rsid w:val="00BB59D3"/>
    <w:rsid w:val="00BC3012"/>
    <w:rsid w:val="00BC50E6"/>
    <w:rsid w:val="00BD4FAF"/>
    <w:rsid w:val="00BD70D6"/>
    <w:rsid w:val="00BE0355"/>
    <w:rsid w:val="00BE7388"/>
    <w:rsid w:val="00BF141B"/>
    <w:rsid w:val="00C02789"/>
    <w:rsid w:val="00C02B49"/>
    <w:rsid w:val="00C12301"/>
    <w:rsid w:val="00C1624C"/>
    <w:rsid w:val="00C17358"/>
    <w:rsid w:val="00C33CD9"/>
    <w:rsid w:val="00C4261E"/>
    <w:rsid w:val="00C446B9"/>
    <w:rsid w:val="00C52A5F"/>
    <w:rsid w:val="00C54AEB"/>
    <w:rsid w:val="00C63910"/>
    <w:rsid w:val="00C63955"/>
    <w:rsid w:val="00C65005"/>
    <w:rsid w:val="00C66DD9"/>
    <w:rsid w:val="00C85CA6"/>
    <w:rsid w:val="00C8639A"/>
    <w:rsid w:val="00C918B8"/>
    <w:rsid w:val="00CB1616"/>
    <w:rsid w:val="00CB5295"/>
    <w:rsid w:val="00CC7A34"/>
    <w:rsid w:val="00CD5A3F"/>
    <w:rsid w:val="00CE35AB"/>
    <w:rsid w:val="00CE385A"/>
    <w:rsid w:val="00CE690F"/>
    <w:rsid w:val="00CE70ED"/>
    <w:rsid w:val="00D0129B"/>
    <w:rsid w:val="00D02394"/>
    <w:rsid w:val="00D14E38"/>
    <w:rsid w:val="00D1770B"/>
    <w:rsid w:val="00D17AC4"/>
    <w:rsid w:val="00D17BE0"/>
    <w:rsid w:val="00D20381"/>
    <w:rsid w:val="00D2535C"/>
    <w:rsid w:val="00D31E3A"/>
    <w:rsid w:val="00D47DE1"/>
    <w:rsid w:val="00D51797"/>
    <w:rsid w:val="00D53F0E"/>
    <w:rsid w:val="00D60883"/>
    <w:rsid w:val="00D75648"/>
    <w:rsid w:val="00D77F7A"/>
    <w:rsid w:val="00D84EEC"/>
    <w:rsid w:val="00D95FD7"/>
    <w:rsid w:val="00D96AEC"/>
    <w:rsid w:val="00DA336E"/>
    <w:rsid w:val="00DA7822"/>
    <w:rsid w:val="00DB341B"/>
    <w:rsid w:val="00DE1C7F"/>
    <w:rsid w:val="00DE3B27"/>
    <w:rsid w:val="00DE402F"/>
    <w:rsid w:val="00DE53C9"/>
    <w:rsid w:val="00DE6B54"/>
    <w:rsid w:val="00DF0529"/>
    <w:rsid w:val="00DF6869"/>
    <w:rsid w:val="00E05E7A"/>
    <w:rsid w:val="00E06D03"/>
    <w:rsid w:val="00E12E57"/>
    <w:rsid w:val="00E176F9"/>
    <w:rsid w:val="00E23319"/>
    <w:rsid w:val="00E41D12"/>
    <w:rsid w:val="00E441D2"/>
    <w:rsid w:val="00E46B4C"/>
    <w:rsid w:val="00E50095"/>
    <w:rsid w:val="00E51EB7"/>
    <w:rsid w:val="00E63725"/>
    <w:rsid w:val="00E653CA"/>
    <w:rsid w:val="00E658D6"/>
    <w:rsid w:val="00E664ED"/>
    <w:rsid w:val="00E66546"/>
    <w:rsid w:val="00E712D3"/>
    <w:rsid w:val="00E92EE9"/>
    <w:rsid w:val="00E9441B"/>
    <w:rsid w:val="00E9489F"/>
    <w:rsid w:val="00E9654F"/>
    <w:rsid w:val="00EA2590"/>
    <w:rsid w:val="00EA4D42"/>
    <w:rsid w:val="00EA6E53"/>
    <w:rsid w:val="00EA7C17"/>
    <w:rsid w:val="00EB749F"/>
    <w:rsid w:val="00ED38CD"/>
    <w:rsid w:val="00ED4716"/>
    <w:rsid w:val="00ED58A5"/>
    <w:rsid w:val="00EE3DDB"/>
    <w:rsid w:val="00EE4BDD"/>
    <w:rsid w:val="00EE5191"/>
    <w:rsid w:val="00EE51C1"/>
    <w:rsid w:val="00F0727D"/>
    <w:rsid w:val="00F17BC9"/>
    <w:rsid w:val="00F21B03"/>
    <w:rsid w:val="00F246C2"/>
    <w:rsid w:val="00F25EF9"/>
    <w:rsid w:val="00F26957"/>
    <w:rsid w:val="00F26A37"/>
    <w:rsid w:val="00F26DD2"/>
    <w:rsid w:val="00F43A50"/>
    <w:rsid w:val="00F43D2B"/>
    <w:rsid w:val="00F44F1D"/>
    <w:rsid w:val="00F51630"/>
    <w:rsid w:val="00F56439"/>
    <w:rsid w:val="00F60554"/>
    <w:rsid w:val="00F67B7A"/>
    <w:rsid w:val="00F835AA"/>
    <w:rsid w:val="00F84F82"/>
    <w:rsid w:val="00F928E0"/>
    <w:rsid w:val="00F94204"/>
    <w:rsid w:val="00FA0181"/>
    <w:rsid w:val="00FA0607"/>
    <w:rsid w:val="00FA2B8B"/>
    <w:rsid w:val="00FA3AD8"/>
    <w:rsid w:val="00FA48A6"/>
    <w:rsid w:val="00FA768C"/>
    <w:rsid w:val="00FB5CCE"/>
    <w:rsid w:val="00FC38F8"/>
    <w:rsid w:val="00FC6E02"/>
    <w:rsid w:val="00FD7B49"/>
    <w:rsid w:val="00FE0214"/>
    <w:rsid w:val="00FE2A93"/>
    <w:rsid w:val="00FF0F5C"/>
    <w:rsid w:val="00FF1206"/>
    <w:rsid w:val="029C162C"/>
    <w:rsid w:val="05175C0D"/>
    <w:rsid w:val="06AE273B"/>
    <w:rsid w:val="089A38D4"/>
    <w:rsid w:val="0AE09CAA"/>
    <w:rsid w:val="0D88DA61"/>
    <w:rsid w:val="0F7F1F99"/>
    <w:rsid w:val="156882F5"/>
    <w:rsid w:val="19CB2EC7"/>
    <w:rsid w:val="19D0DE06"/>
    <w:rsid w:val="19E38644"/>
    <w:rsid w:val="1AC4BAC4"/>
    <w:rsid w:val="1C1F9807"/>
    <w:rsid w:val="1C61380E"/>
    <w:rsid w:val="1DC32F85"/>
    <w:rsid w:val="1FB19B25"/>
    <w:rsid w:val="242C0868"/>
    <w:rsid w:val="25270A29"/>
    <w:rsid w:val="25CE45C1"/>
    <w:rsid w:val="26475969"/>
    <w:rsid w:val="27654CE3"/>
    <w:rsid w:val="289C9257"/>
    <w:rsid w:val="290A2ADA"/>
    <w:rsid w:val="2E418B5D"/>
    <w:rsid w:val="2EEC7C4E"/>
    <w:rsid w:val="2F9DD98C"/>
    <w:rsid w:val="31D7711A"/>
    <w:rsid w:val="33232C21"/>
    <w:rsid w:val="3340250B"/>
    <w:rsid w:val="3341583B"/>
    <w:rsid w:val="36294051"/>
    <w:rsid w:val="375BBC50"/>
    <w:rsid w:val="3C6B01B5"/>
    <w:rsid w:val="3DCC632B"/>
    <w:rsid w:val="40517545"/>
    <w:rsid w:val="44D6A400"/>
    <w:rsid w:val="47BD096F"/>
    <w:rsid w:val="4867F919"/>
    <w:rsid w:val="4A864B4D"/>
    <w:rsid w:val="4A968FFA"/>
    <w:rsid w:val="4AF1A0F6"/>
    <w:rsid w:val="4C431681"/>
    <w:rsid w:val="4E221410"/>
    <w:rsid w:val="5016EE7B"/>
    <w:rsid w:val="50B19EC8"/>
    <w:rsid w:val="53FA7C3C"/>
    <w:rsid w:val="55DA554A"/>
    <w:rsid w:val="563E96F4"/>
    <w:rsid w:val="567552F7"/>
    <w:rsid w:val="58978647"/>
    <w:rsid w:val="594A5D72"/>
    <w:rsid w:val="5A5E29D4"/>
    <w:rsid w:val="5ACAAF85"/>
    <w:rsid w:val="5BB6A56F"/>
    <w:rsid w:val="5BE71DF2"/>
    <w:rsid w:val="5C099454"/>
    <w:rsid w:val="5D584C82"/>
    <w:rsid w:val="5DF3705F"/>
    <w:rsid w:val="60A38AAF"/>
    <w:rsid w:val="6230D99E"/>
    <w:rsid w:val="64135B3F"/>
    <w:rsid w:val="642666C3"/>
    <w:rsid w:val="673887E6"/>
    <w:rsid w:val="68160A15"/>
    <w:rsid w:val="6A8632C8"/>
    <w:rsid w:val="703E31D1"/>
    <w:rsid w:val="73775265"/>
    <w:rsid w:val="7418F66C"/>
    <w:rsid w:val="75ACAA0D"/>
    <w:rsid w:val="77166BE5"/>
    <w:rsid w:val="7745941A"/>
    <w:rsid w:val="77E02F0D"/>
    <w:rsid w:val="79124859"/>
    <w:rsid w:val="7CA3AF96"/>
    <w:rsid w:val="7E45C1EF"/>
    <w:rsid w:val="7E7E192D"/>
    <w:rsid w:val="7F2859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C58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uiPriority w:val="99"/>
    <w:semiHidden/>
    <w:unhideWhenUsed/>
    <w:rsid w:val="001A3E1A"/>
    <w:pPr>
      <w:numPr>
        <w:numId w:val="1"/>
      </w:numPr>
      <w:contextualSpacing/>
    </w:pPr>
  </w:style>
  <w:style w:type="character" w:styleId="Hyperlink">
    <w:name w:val="Hyperlink"/>
    <w:basedOn w:val="DefaultParagraphFont"/>
    <w:uiPriority w:val="99"/>
    <w:unhideWhenUsed/>
    <w:rsid w:val="007A3AF5"/>
    <w:rPr>
      <w:color w:val="0000FF" w:themeColor="hyperlink"/>
      <w:u w:val="single"/>
    </w:rPr>
  </w:style>
  <w:style w:type="character" w:customStyle="1" w:styleId="UnresolvedMention">
    <w:name w:val="Unresolved Mention"/>
    <w:basedOn w:val="DefaultParagraphFont"/>
    <w:uiPriority w:val="99"/>
    <w:semiHidden/>
    <w:unhideWhenUsed/>
    <w:rsid w:val="007A3AF5"/>
    <w:rPr>
      <w:color w:val="605E5C"/>
      <w:shd w:val="clear" w:color="auto" w:fill="E1DFDD"/>
    </w:rPr>
  </w:style>
  <w:style w:type="character" w:styleId="FollowedHyperlink">
    <w:name w:val="FollowedHyperlink"/>
    <w:basedOn w:val="DefaultParagraphFont"/>
    <w:uiPriority w:val="99"/>
    <w:semiHidden/>
    <w:unhideWhenUsed/>
    <w:rsid w:val="009F29DC"/>
    <w:rPr>
      <w:color w:val="800080" w:themeColor="followedHyperlink"/>
      <w:u w:val="single"/>
    </w:rPr>
  </w:style>
  <w:style w:type="character" w:styleId="CommentReference">
    <w:name w:val="annotation reference"/>
    <w:basedOn w:val="DefaultParagraphFont"/>
    <w:uiPriority w:val="99"/>
    <w:semiHidden/>
    <w:unhideWhenUsed/>
    <w:rsid w:val="006D1C75"/>
    <w:rPr>
      <w:sz w:val="16"/>
      <w:szCs w:val="16"/>
    </w:rPr>
  </w:style>
  <w:style w:type="paragraph" w:styleId="CommentText">
    <w:name w:val="annotation text"/>
    <w:basedOn w:val="Normal"/>
    <w:link w:val="CommentTextChar"/>
    <w:uiPriority w:val="99"/>
    <w:unhideWhenUsed/>
    <w:rsid w:val="006D1C75"/>
    <w:rPr>
      <w:sz w:val="20"/>
      <w:szCs w:val="20"/>
    </w:rPr>
  </w:style>
  <w:style w:type="character" w:customStyle="1" w:styleId="CommentTextChar">
    <w:name w:val="Comment Text Char"/>
    <w:basedOn w:val="DefaultParagraphFont"/>
    <w:link w:val="CommentText"/>
    <w:uiPriority w:val="99"/>
    <w:rsid w:val="006D1C7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6D1C75"/>
    <w:rPr>
      <w:b/>
      <w:bCs/>
    </w:rPr>
  </w:style>
  <w:style w:type="character" w:customStyle="1" w:styleId="CommentSubjectChar">
    <w:name w:val="Comment Subject Char"/>
    <w:basedOn w:val="CommentTextChar"/>
    <w:link w:val="CommentSubject"/>
    <w:uiPriority w:val="99"/>
    <w:semiHidden/>
    <w:rsid w:val="006D1C75"/>
    <w:rPr>
      <w:rFonts w:ascii="Times New Roman" w:hAnsi="Times New Roman" w:cs="Times New Roman"/>
      <w:b/>
      <w:bCs/>
      <w:sz w:val="20"/>
      <w:szCs w:val="20"/>
      <w:lang w:val="en-GB"/>
    </w:rPr>
  </w:style>
  <w:style w:type="paragraph" w:styleId="Revision">
    <w:name w:val="Revision"/>
    <w:hidden/>
    <w:uiPriority w:val="99"/>
    <w:semiHidden/>
    <w:rsid w:val="003F57F5"/>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64135B3F"/>
    <w:pPr>
      <w:ind w:left="720"/>
      <w:contextualSpacing/>
    </w:pPr>
  </w:style>
  <w:style w:type="paragraph" w:styleId="ListBullet">
    <w:name w:val="List Bullet"/>
    <w:basedOn w:val="Normal"/>
    <w:uiPriority w:val="99"/>
    <w:semiHidden/>
    <w:unhideWhenUsed/>
    <w:rsid w:val="00B83F0F"/>
    <w:pPr>
      <w:numPr>
        <w:numId w:val="2"/>
      </w:numPr>
      <w:contextualSpacing/>
    </w:pPr>
  </w:style>
  <w:style w:type="paragraph" w:styleId="ListBullet2">
    <w:name w:val="List Bullet 2"/>
    <w:basedOn w:val="Normal"/>
    <w:uiPriority w:val="99"/>
    <w:semiHidden/>
    <w:unhideWhenUsed/>
    <w:rsid w:val="00B83F0F"/>
    <w:pPr>
      <w:numPr>
        <w:numId w:val="3"/>
      </w:numPr>
      <w:contextualSpacing/>
    </w:pPr>
  </w:style>
  <w:style w:type="paragraph" w:styleId="ListBullet4">
    <w:name w:val="List Bullet 4"/>
    <w:basedOn w:val="Normal"/>
    <w:uiPriority w:val="99"/>
    <w:semiHidden/>
    <w:unhideWhenUsed/>
    <w:rsid w:val="00B83F0F"/>
    <w:pPr>
      <w:numPr>
        <w:numId w:val="4"/>
      </w:numPr>
      <w:contextualSpacing/>
    </w:pPr>
  </w:style>
  <w:style w:type="character" w:customStyle="1" w:styleId="HeaderChar">
    <w:name w:val="Header Char"/>
    <w:basedOn w:val="DefaultParagraphFont"/>
    <w:link w:val="Header"/>
    <w:uiPriority w:val="99"/>
    <w:rsid w:val="00A35B1B"/>
    <w:rPr>
      <w:rFonts w:ascii="Times New Roman" w:hAnsi="Times New Roman" w:cs="Times New Roman"/>
      <w:sz w:val="24"/>
      <w:lang w:val="en-GB"/>
    </w:rPr>
  </w:style>
  <w:style w:type="character" w:customStyle="1" w:styleId="FooterChar">
    <w:name w:val="Footer Char"/>
    <w:basedOn w:val="DefaultParagraphFont"/>
    <w:link w:val="Footer"/>
    <w:uiPriority w:val="99"/>
    <w:rsid w:val="00A35B1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35B1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35B1B"/>
    <w:pPr>
      <w:spacing w:before="0"/>
      <w:jc w:val="right"/>
    </w:pPr>
    <w:rPr>
      <w:sz w:val="28"/>
    </w:rPr>
  </w:style>
  <w:style w:type="paragraph" w:customStyle="1" w:styleId="FooterSensitivity">
    <w:name w:val="Footer Sensitivity"/>
    <w:basedOn w:val="Normal"/>
    <w:rsid w:val="00A35B1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35B1B"/>
    <w:pPr>
      <w:tabs>
        <w:tab w:val="center" w:pos="4535"/>
        <w:tab w:val="right" w:pos="9071"/>
      </w:tabs>
      <w:spacing w:before="0"/>
    </w:pPr>
  </w:style>
  <w:style w:type="paragraph" w:customStyle="1" w:styleId="HeaderLandscape">
    <w:name w:val="HeaderLandscape"/>
    <w:basedOn w:val="Normal"/>
    <w:rsid w:val="00A35B1B"/>
    <w:pPr>
      <w:tabs>
        <w:tab w:val="center" w:pos="7285"/>
        <w:tab w:val="right" w:pos="14003"/>
      </w:tabs>
      <w:spacing w:before="0"/>
    </w:pPr>
  </w:style>
  <w:style w:type="paragraph" w:styleId="Footer">
    <w:name w:val="footer"/>
    <w:basedOn w:val="Normal"/>
    <w:link w:val="FooterChar"/>
    <w:uiPriority w:val="99"/>
    <w:unhideWhenUsed/>
    <w:rsid w:val="00A35B1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35B1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80298">
      <w:bodyDiv w:val="1"/>
      <w:marLeft w:val="0"/>
      <w:marRight w:val="0"/>
      <w:marTop w:val="0"/>
      <w:marBottom w:val="0"/>
      <w:divBdr>
        <w:top w:val="none" w:sz="0" w:space="0" w:color="auto"/>
        <w:left w:val="none" w:sz="0" w:space="0" w:color="auto"/>
        <w:bottom w:val="none" w:sz="0" w:space="0" w:color="auto"/>
        <w:right w:val="none" w:sz="0" w:space="0" w:color="auto"/>
      </w:divBdr>
      <w:divsChild>
        <w:div w:id="67504000">
          <w:marLeft w:val="0"/>
          <w:marRight w:val="0"/>
          <w:marTop w:val="0"/>
          <w:marBottom w:val="0"/>
          <w:divBdr>
            <w:top w:val="none" w:sz="0" w:space="0" w:color="auto"/>
            <w:left w:val="none" w:sz="0" w:space="0" w:color="auto"/>
            <w:bottom w:val="none" w:sz="0" w:space="0" w:color="auto"/>
            <w:right w:val="none" w:sz="0" w:space="0" w:color="auto"/>
          </w:divBdr>
        </w:div>
        <w:div w:id="880021323">
          <w:marLeft w:val="0"/>
          <w:marRight w:val="0"/>
          <w:marTop w:val="0"/>
          <w:marBottom w:val="0"/>
          <w:divBdr>
            <w:top w:val="none" w:sz="0" w:space="0" w:color="auto"/>
            <w:left w:val="none" w:sz="0" w:space="0" w:color="auto"/>
            <w:bottom w:val="none" w:sz="0" w:space="0" w:color="auto"/>
            <w:right w:val="none" w:sz="0" w:space="0" w:color="auto"/>
          </w:divBdr>
        </w:div>
        <w:div w:id="1129516623">
          <w:marLeft w:val="0"/>
          <w:marRight w:val="0"/>
          <w:marTop w:val="0"/>
          <w:marBottom w:val="0"/>
          <w:divBdr>
            <w:top w:val="none" w:sz="0" w:space="0" w:color="auto"/>
            <w:left w:val="none" w:sz="0" w:space="0" w:color="auto"/>
            <w:bottom w:val="none" w:sz="0" w:space="0" w:color="auto"/>
            <w:right w:val="none" w:sz="0" w:space="0" w:color="auto"/>
          </w:divBdr>
        </w:div>
      </w:divsChild>
    </w:div>
    <w:div w:id="94717193">
      <w:bodyDiv w:val="1"/>
      <w:marLeft w:val="0"/>
      <w:marRight w:val="0"/>
      <w:marTop w:val="0"/>
      <w:marBottom w:val="0"/>
      <w:divBdr>
        <w:top w:val="none" w:sz="0" w:space="0" w:color="auto"/>
        <w:left w:val="none" w:sz="0" w:space="0" w:color="auto"/>
        <w:bottom w:val="none" w:sz="0" w:space="0" w:color="auto"/>
        <w:right w:val="none" w:sz="0" w:space="0" w:color="auto"/>
      </w:divBdr>
    </w:div>
    <w:div w:id="187498737">
      <w:bodyDiv w:val="1"/>
      <w:marLeft w:val="0"/>
      <w:marRight w:val="0"/>
      <w:marTop w:val="0"/>
      <w:marBottom w:val="0"/>
      <w:divBdr>
        <w:top w:val="none" w:sz="0" w:space="0" w:color="auto"/>
        <w:left w:val="none" w:sz="0" w:space="0" w:color="auto"/>
        <w:bottom w:val="none" w:sz="0" w:space="0" w:color="auto"/>
        <w:right w:val="none" w:sz="0" w:space="0" w:color="auto"/>
      </w:divBdr>
    </w:div>
    <w:div w:id="194662564">
      <w:bodyDiv w:val="1"/>
      <w:marLeft w:val="0"/>
      <w:marRight w:val="0"/>
      <w:marTop w:val="0"/>
      <w:marBottom w:val="0"/>
      <w:divBdr>
        <w:top w:val="none" w:sz="0" w:space="0" w:color="auto"/>
        <w:left w:val="none" w:sz="0" w:space="0" w:color="auto"/>
        <w:bottom w:val="none" w:sz="0" w:space="0" w:color="auto"/>
        <w:right w:val="none" w:sz="0" w:space="0" w:color="auto"/>
      </w:divBdr>
      <w:divsChild>
        <w:div w:id="63453672">
          <w:marLeft w:val="0"/>
          <w:marRight w:val="0"/>
          <w:marTop w:val="0"/>
          <w:marBottom w:val="0"/>
          <w:divBdr>
            <w:top w:val="none" w:sz="0" w:space="0" w:color="auto"/>
            <w:left w:val="none" w:sz="0" w:space="0" w:color="auto"/>
            <w:bottom w:val="none" w:sz="0" w:space="0" w:color="auto"/>
            <w:right w:val="none" w:sz="0" w:space="0" w:color="auto"/>
          </w:divBdr>
        </w:div>
        <w:div w:id="213666051">
          <w:marLeft w:val="0"/>
          <w:marRight w:val="0"/>
          <w:marTop w:val="0"/>
          <w:marBottom w:val="0"/>
          <w:divBdr>
            <w:top w:val="none" w:sz="0" w:space="0" w:color="auto"/>
            <w:left w:val="none" w:sz="0" w:space="0" w:color="auto"/>
            <w:bottom w:val="none" w:sz="0" w:space="0" w:color="auto"/>
            <w:right w:val="none" w:sz="0" w:space="0" w:color="auto"/>
          </w:divBdr>
        </w:div>
        <w:div w:id="307781049">
          <w:marLeft w:val="0"/>
          <w:marRight w:val="0"/>
          <w:marTop w:val="0"/>
          <w:marBottom w:val="0"/>
          <w:divBdr>
            <w:top w:val="none" w:sz="0" w:space="0" w:color="auto"/>
            <w:left w:val="none" w:sz="0" w:space="0" w:color="auto"/>
            <w:bottom w:val="none" w:sz="0" w:space="0" w:color="auto"/>
            <w:right w:val="none" w:sz="0" w:space="0" w:color="auto"/>
          </w:divBdr>
        </w:div>
        <w:div w:id="374433255">
          <w:marLeft w:val="0"/>
          <w:marRight w:val="0"/>
          <w:marTop w:val="0"/>
          <w:marBottom w:val="0"/>
          <w:divBdr>
            <w:top w:val="none" w:sz="0" w:space="0" w:color="auto"/>
            <w:left w:val="none" w:sz="0" w:space="0" w:color="auto"/>
            <w:bottom w:val="none" w:sz="0" w:space="0" w:color="auto"/>
            <w:right w:val="none" w:sz="0" w:space="0" w:color="auto"/>
          </w:divBdr>
        </w:div>
        <w:div w:id="538737239">
          <w:marLeft w:val="0"/>
          <w:marRight w:val="0"/>
          <w:marTop w:val="0"/>
          <w:marBottom w:val="0"/>
          <w:divBdr>
            <w:top w:val="none" w:sz="0" w:space="0" w:color="auto"/>
            <w:left w:val="none" w:sz="0" w:space="0" w:color="auto"/>
            <w:bottom w:val="none" w:sz="0" w:space="0" w:color="auto"/>
            <w:right w:val="none" w:sz="0" w:space="0" w:color="auto"/>
          </w:divBdr>
        </w:div>
        <w:div w:id="1950895750">
          <w:marLeft w:val="0"/>
          <w:marRight w:val="0"/>
          <w:marTop w:val="0"/>
          <w:marBottom w:val="0"/>
          <w:divBdr>
            <w:top w:val="none" w:sz="0" w:space="0" w:color="auto"/>
            <w:left w:val="none" w:sz="0" w:space="0" w:color="auto"/>
            <w:bottom w:val="none" w:sz="0" w:space="0" w:color="auto"/>
            <w:right w:val="none" w:sz="0" w:space="0" w:color="auto"/>
          </w:divBdr>
          <w:divsChild>
            <w:div w:id="44330441">
              <w:marLeft w:val="0"/>
              <w:marRight w:val="0"/>
              <w:marTop w:val="0"/>
              <w:marBottom w:val="0"/>
              <w:divBdr>
                <w:top w:val="none" w:sz="0" w:space="0" w:color="auto"/>
                <w:left w:val="none" w:sz="0" w:space="0" w:color="auto"/>
                <w:bottom w:val="none" w:sz="0" w:space="0" w:color="auto"/>
                <w:right w:val="none" w:sz="0" w:space="0" w:color="auto"/>
              </w:divBdr>
            </w:div>
            <w:div w:id="152686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337777">
      <w:bodyDiv w:val="1"/>
      <w:marLeft w:val="0"/>
      <w:marRight w:val="0"/>
      <w:marTop w:val="0"/>
      <w:marBottom w:val="0"/>
      <w:divBdr>
        <w:top w:val="none" w:sz="0" w:space="0" w:color="auto"/>
        <w:left w:val="none" w:sz="0" w:space="0" w:color="auto"/>
        <w:bottom w:val="none" w:sz="0" w:space="0" w:color="auto"/>
        <w:right w:val="none" w:sz="0" w:space="0" w:color="auto"/>
      </w:divBdr>
      <w:divsChild>
        <w:div w:id="559941739">
          <w:marLeft w:val="0"/>
          <w:marRight w:val="0"/>
          <w:marTop w:val="0"/>
          <w:marBottom w:val="0"/>
          <w:divBdr>
            <w:top w:val="none" w:sz="0" w:space="0" w:color="auto"/>
            <w:left w:val="none" w:sz="0" w:space="0" w:color="auto"/>
            <w:bottom w:val="none" w:sz="0" w:space="0" w:color="auto"/>
            <w:right w:val="none" w:sz="0" w:space="0" w:color="auto"/>
          </w:divBdr>
        </w:div>
        <w:div w:id="634793991">
          <w:marLeft w:val="0"/>
          <w:marRight w:val="0"/>
          <w:marTop w:val="0"/>
          <w:marBottom w:val="0"/>
          <w:divBdr>
            <w:top w:val="none" w:sz="0" w:space="0" w:color="auto"/>
            <w:left w:val="none" w:sz="0" w:space="0" w:color="auto"/>
            <w:bottom w:val="none" w:sz="0" w:space="0" w:color="auto"/>
            <w:right w:val="none" w:sz="0" w:space="0" w:color="auto"/>
          </w:divBdr>
        </w:div>
        <w:div w:id="1195922678">
          <w:marLeft w:val="0"/>
          <w:marRight w:val="0"/>
          <w:marTop w:val="0"/>
          <w:marBottom w:val="0"/>
          <w:divBdr>
            <w:top w:val="none" w:sz="0" w:space="0" w:color="auto"/>
            <w:left w:val="none" w:sz="0" w:space="0" w:color="auto"/>
            <w:bottom w:val="none" w:sz="0" w:space="0" w:color="auto"/>
            <w:right w:val="none" w:sz="0" w:space="0" w:color="auto"/>
          </w:divBdr>
        </w:div>
        <w:div w:id="1449618660">
          <w:marLeft w:val="0"/>
          <w:marRight w:val="0"/>
          <w:marTop w:val="0"/>
          <w:marBottom w:val="0"/>
          <w:divBdr>
            <w:top w:val="none" w:sz="0" w:space="0" w:color="auto"/>
            <w:left w:val="none" w:sz="0" w:space="0" w:color="auto"/>
            <w:bottom w:val="none" w:sz="0" w:space="0" w:color="auto"/>
            <w:right w:val="none" w:sz="0" w:space="0" w:color="auto"/>
          </w:divBdr>
          <w:divsChild>
            <w:div w:id="53116752">
              <w:marLeft w:val="0"/>
              <w:marRight w:val="0"/>
              <w:marTop w:val="0"/>
              <w:marBottom w:val="0"/>
              <w:divBdr>
                <w:top w:val="none" w:sz="0" w:space="0" w:color="auto"/>
                <w:left w:val="none" w:sz="0" w:space="0" w:color="auto"/>
                <w:bottom w:val="none" w:sz="0" w:space="0" w:color="auto"/>
                <w:right w:val="none" w:sz="0" w:space="0" w:color="auto"/>
              </w:divBdr>
            </w:div>
            <w:div w:id="117604121">
              <w:marLeft w:val="0"/>
              <w:marRight w:val="0"/>
              <w:marTop w:val="0"/>
              <w:marBottom w:val="0"/>
              <w:divBdr>
                <w:top w:val="none" w:sz="0" w:space="0" w:color="auto"/>
                <w:left w:val="none" w:sz="0" w:space="0" w:color="auto"/>
                <w:bottom w:val="none" w:sz="0" w:space="0" w:color="auto"/>
                <w:right w:val="none" w:sz="0" w:space="0" w:color="auto"/>
              </w:divBdr>
            </w:div>
          </w:divsChild>
        </w:div>
        <w:div w:id="1937900436">
          <w:marLeft w:val="0"/>
          <w:marRight w:val="0"/>
          <w:marTop w:val="0"/>
          <w:marBottom w:val="0"/>
          <w:divBdr>
            <w:top w:val="none" w:sz="0" w:space="0" w:color="auto"/>
            <w:left w:val="none" w:sz="0" w:space="0" w:color="auto"/>
            <w:bottom w:val="none" w:sz="0" w:space="0" w:color="auto"/>
            <w:right w:val="none" w:sz="0" w:space="0" w:color="auto"/>
          </w:divBdr>
        </w:div>
        <w:div w:id="2105614593">
          <w:marLeft w:val="0"/>
          <w:marRight w:val="0"/>
          <w:marTop w:val="0"/>
          <w:marBottom w:val="0"/>
          <w:divBdr>
            <w:top w:val="none" w:sz="0" w:space="0" w:color="auto"/>
            <w:left w:val="none" w:sz="0" w:space="0" w:color="auto"/>
            <w:bottom w:val="none" w:sz="0" w:space="0" w:color="auto"/>
            <w:right w:val="none" w:sz="0" w:space="0" w:color="auto"/>
          </w:divBdr>
        </w:div>
      </w:divsChild>
    </w:div>
    <w:div w:id="438305617">
      <w:bodyDiv w:val="1"/>
      <w:marLeft w:val="0"/>
      <w:marRight w:val="0"/>
      <w:marTop w:val="0"/>
      <w:marBottom w:val="0"/>
      <w:divBdr>
        <w:top w:val="none" w:sz="0" w:space="0" w:color="auto"/>
        <w:left w:val="none" w:sz="0" w:space="0" w:color="auto"/>
        <w:bottom w:val="none" w:sz="0" w:space="0" w:color="auto"/>
        <w:right w:val="none" w:sz="0" w:space="0" w:color="auto"/>
      </w:divBdr>
    </w:div>
    <w:div w:id="873999322">
      <w:bodyDiv w:val="1"/>
      <w:marLeft w:val="0"/>
      <w:marRight w:val="0"/>
      <w:marTop w:val="0"/>
      <w:marBottom w:val="0"/>
      <w:divBdr>
        <w:top w:val="none" w:sz="0" w:space="0" w:color="auto"/>
        <w:left w:val="none" w:sz="0" w:space="0" w:color="auto"/>
        <w:bottom w:val="none" w:sz="0" w:space="0" w:color="auto"/>
        <w:right w:val="none" w:sz="0" w:space="0" w:color="auto"/>
      </w:divBdr>
      <w:divsChild>
        <w:div w:id="182939538">
          <w:marLeft w:val="0"/>
          <w:marRight w:val="0"/>
          <w:marTop w:val="0"/>
          <w:marBottom w:val="0"/>
          <w:divBdr>
            <w:top w:val="none" w:sz="0" w:space="0" w:color="auto"/>
            <w:left w:val="none" w:sz="0" w:space="0" w:color="auto"/>
            <w:bottom w:val="none" w:sz="0" w:space="0" w:color="auto"/>
            <w:right w:val="none" w:sz="0" w:space="0" w:color="auto"/>
          </w:divBdr>
        </w:div>
        <w:div w:id="908147611">
          <w:marLeft w:val="0"/>
          <w:marRight w:val="0"/>
          <w:marTop w:val="0"/>
          <w:marBottom w:val="0"/>
          <w:divBdr>
            <w:top w:val="none" w:sz="0" w:space="0" w:color="auto"/>
            <w:left w:val="none" w:sz="0" w:space="0" w:color="auto"/>
            <w:bottom w:val="none" w:sz="0" w:space="0" w:color="auto"/>
            <w:right w:val="none" w:sz="0" w:space="0" w:color="auto"/>
          </w:divBdr>
        </w:div>
        <w:div w:id="1299385037">
          <w:marLeft w:val="0"/>
          <w:marRight w:val="0"/>
          <w:marTop w:val="0"/>
          <w:marBottom w:val="0"/>
          <w:divBdr>
            <w:top w:val="none" w:sz="0" w:space="0" w:color="auto"/>
            <w:left w:val="none" w:sz="0" w:space="0" w:color="auto"/>
            <w:bottom w:val="none" w:sz="0" w:space="0" w:color="auto"/>
            <w:right w:val="none" w:sz="0" w:space="0" w:color="auto"/>
          </w:divBdr>
        </w:div>
        <w:div w:id="1488088919">
          <w:marLeft w:val="0"/>
          <w:marRight w:val="0"/>
          <w:marTop w:val="0"/>
          <w:marBottom w:val="0"/>
          <w:divBdr>
            <w:top w:val="none" w:sz="0" w:space="0" w:color="auto"/>
            <w:left w:val="none" w:sz="0" w:space="0" w:color="auto"/>
            <w:bottom w:val="none" w:sz="0" w:space="0" w:color="auto"/>
            <w:right w:val="none" w:sz="0" w:space="0" w:color="auto"/>
          </w:divBdr>
          <w:divsChild>
            <w:div w:id="2122450527">
              <w:marLeft w:val="0"/>
              <w:marRight w:val="0"/>
              <w:marTop w:val="0"/>
              <w:marBottom w:val="0"/>
              <w:divBdr>
                <w:top w:val="none" w:sz="0" w:space="0" w:color="auto"/>
                <w:left w:val="none" w:sz="0" w:space="0" w:color="auto"/>
                <w:bottom w:val="none" w:sz="0" w:space="0" w:color="auto"/>
                <w:right w:val="none" w:sz="0" w:space="0" w:color="auto"/>
              </w:divBdr>
            </w:div>
            <w:div w:id="2122456742">
              <w:marLeft w:val="0"/>
              <w:marRight w:val="0"/>
              <w:marTop w:val="0"/>
              <w:marBottom w:val="0"/>
              <w:divBdr>
                <w:top w:val="none" w:sz="0" w:space="0" w:color="auto"/>
                <w:left w:val="none" w:sz="0" w:space="0" w:color="auto"/>
                <w:bottom w:val="none" w:sz="0" w:space="0" w:color="auto"/>
                <w:right w:val="none" w:sz="0" w:space="0" w:color="auto"/>
              </w:divBdr>
            </w:div>
          </w:divsChild>
        </w:div>
        <w:div w:id="1490750704">
          <w:marLeft w:val="0"/>
          <w:marRight w:val="0"/>
          <w:marTop w:val="0"/>
          <w:marBottom w:val="0"/>
          <w:divBdr>
            <w:top w:val="none" w:sz="0" w:space="0" w:color="auto"/>
            <w:left w:val="none" w:sz="0" w:space="0" w:color="auto"/>
            <w:bottom w:val="none" w:sz="0" w:space="0" w:color="auto"/>
            <w:right w:val="none" w:sz="0" w:space="0" w:color="auto"/>
          </w:divBdr>
        </w:div>
        <w:div w:id="1851412036">
          <w:marLeft w:val="0"/>
          <w:marRight w:val="0"/>
          <w:marTop w:val="0"/>
          <w:marBottom w:val="0"/>
          <w:divBdr>
            <w:top w:val="none" w:sz="0" w:space="0" w:color="auto"/>
            <w:left w:val="none" w:sz="0" w:space="0" w:color="auto"/>
            <w:bottom w:val="none" w:sz="0" w:space="0" w:color="auto"/>
            <w:right w:val="none" w:sz="0" w:space="0" w:color="auto"/>
          </w:divBdr>
        </w:div>
      </w:divsChild>
    </w:div>
    <w:div w:id="950362334">
      <w:bodyDiv w:val="1"/>
      <w:marLeft w:val="0"/>
      <w:marRight w:val="0"/>
      <w:marTop w:val="0"/>
      <w:marBottom w:val="0"/>
      <w:divBdr>
        <w:top w:val="none" w:sz="0" w:space="0" w:color="auto"/>
        <w:left w:val="none" w:sz="0" w:space="0" w:color="auto"/>
        <w:bottom w:val="none" w:sz="0" w:space="0" w:color="auto"/>
        <w:right w:val="none" w:sz="0" w:space="0" w:color="auto"/>
      </w:divBdr>
    </w:div>
    <w:div w:id="1148665048">
      <w:bodyDiv w:val="1"/>
      <w:marLeft w:val="0"/>
      <w:marRight w:val="0"/>
      <w:marTop w:val="0"/>
      <w:marBottom w:val="0"/>
      <w:divBdr>
        <w:top w:val="none" w:sz="0" w:space="0" w:color="auto"/>
        <w:left w:val="none" w:sz="0" w:space="0" w:color="auto"/>
        <w:bottom w:val="none" w:sz="0" w:space="0" w:color="auto"/>
        <w:right w:val="none" w:sz="0" w:space="0" w:color="auto"/>
      </w:divBdr>
      <w:divsChild>
        <w:div w:id="366953830">
          <w:marLeft w:val="0"/>
          <w:marRight w:val="0"/>
          <w:marTop w:val="0"/>
          <w:marBottom w:val="0"/>
          <w:divBdr>
            <w:top w:val="none" w:sz="0" w:space="0" w:color="auto"/>
            <w:left w:val="none" w:sz="0" w:space="0" w:color="auto"/>
            <w:bottom w:val="none" w:sz="0" w:space="0" w:color="auto"/>
            <w:right w:val="none" w:sz="0" w:space="0" w:color="auto"/>
          </w:divBdr>
          <w:divsChild>
            <w:div w:id="122429288">
              <w:marLeft w:val="0"/>
              <w:marRight w:val="0"/>
              <w:marTop w:val="0"/>
              <w:marBottom w:val="0"/>
              <w:divBdr>
                <w:top w:val="none" w:sz="0" w:space="0" w:color="auto"/>
                <w:left w:val="none" w:sz="0" w:space="0" w:color="auto"/>
                <w:bottom w:val="none" w:sz="0" w:space="0" w:color="auto"/>
                <w:right w:val="none" w:sz="0" w:space="0" w:color="auto"/>
              </w:divBdr>
            </w:div>
            <w:div w:id="1640038404">
              <w:marLeft w:val="0"/>
              <w:marRight w:val="0"/>
              <w:marTop w:val="0"/>
              <w:marBottom w:val="0"/>
              <w:divBdr>
                <w:top w:val="none" w:sz="0" w:space="0" w:color="auto"/>
                <w:left w:val="none" w:sz="0" w:space="0" w:color="auto"/>
                <w:bottom w:val="none" w:sz="0" w:space="0" w:color="auto"/>
                <w:right w:val="none" w:sz="0" w:space="0" w:color="auto"/>
              </w:divBdr>
            </w:div>
          </w:divsChild>
        </w:div>
        <w:div w:id="1210844112">
          <w:marLeft w:val="0"/>
          <w:marRight w:val="0"/>
          <w:marTop w:val="0"/>
          <w:marBottom w:val="0"/>
          <w:divBdr>
            <w:top w:val="none" w:sz="0" w:space="0" w:color="auto"/>
            <w:left w:val="none" w:sz="0" w:space="0" w:color="auto"/>
            <w:bottom w:val="none" w:sz="0" w:space="0" w:color="auto"/>
            <w:right w:val="none" w:sz="0" w:space="0" w:color="auto"/>
          </w:divBdr>
        </w:div>
        <w:div w:id="1248466601">
          <w:marLeft w:val="0"/>
          <w:marRight w:val="0"/>
          <w:marTop w:val="0"/>
          <w:marBottom w:val="0"/>
          <w:divBdr>
            <w:top w:val="none" w:sz="0" w:space="0" w:color="auto"/>
            <w:left w:val="none" w:sz="0" w:space="0" w:color="auto"/>
            <w:bottom w:val="none" w:sz="0" w:space="0" w:color="auto"/>
            <w:right w:val="none" w:sz="0" w:space="0" w:color="auto"/>
          </w:divBdr>
        </w:div>
        <w:div w:id="1262565588">
          <w:marLeft w:val="0"/>
          <w:marRight w:val="0"/>
          <w:marTop w:val="0"/>
          <w:marBottom w:val="0"/>
          <w:divBdr>
            <w:top w:val="none" w:sz="0" w:space="0" w:color="auto"/>
            <w:left w:val="none" w:sz="0" w:space="0" w:color="auto"/>
            <w:bottom w:val="none" w:sz="0" w:space="0" w:color="auto"/>
            <w:right w:val="none" w:sz="0" w:space="0" w:color="auto"/>
          </w:divBdr>
        </w:div>
        <w:div w:id="1725448255">
          <w:marLeft w:val="0"/>
          <w:marRight w:val="0"/>
          <w:marTop w:val="0"/>
          <w:marBottom w:val="0"/>
          <w:divBdr>
            <w:top w:val="none" w:sz="0" w:space="0" w:color="auto"/>
            <w:left w:val="none" w:sz="0" w:space="0" w:color="auto"/>
            <w:bottom w:val="none" w:sz="0" w:space="0" w:color="auto"/>
            <w:right w:val="none" w:sz="0" w:space="0" w:color="auto"/>
          </w:divBdr>
        </w:div>
        <w:div w:id="1916360258">
          <w:marLeft w:val="0"/>
          <w:marRight w:val="0"/>
          <w:marTop w:val="0"/>
          <w:marBottom w:val="0"/>
          <w:divBdr>
            <w:top w:val="none" w:sz="0" w:space="0" w:color="auto"/>
            <w:left w:val="none" w:sz="0" w:space="0" w:color="auto"/>
            <w:bottom w:val="none" w:sz="0" w:space="0" w:color="auto"/>
            <w:right w:val="none" w:sz="0" w:space="0" w:color="auto"/>
          </w:divBdr>
        </w:div>
      </w:divsChild>
    </w:div>
    <w:div w:id="1194029672">
      <w:bodyDiv w:val="1"/>
      <w:marLeft w:val="0"/>
      <w:marRight w:val="0"/>
      <w:marTop w:val="0"/>
      <w:marBottom w:val="0"/>
      <w:divBdr>
        <w:top w:val="none" w:sz="0" w:space="0" w:color="auto"/>
        <w:left w:val="none" w:sz="0" w:space="0" w:color="auto"/>
        <w:bottom w:val="none" w:sz="0" w:space="0" w:color="auto"/>
        <w:right w:val="none" w:sz="0" w:space="0" w:color="auto"/>
      </w:divBdr>
    </w:div>
    <w:div w:id="1547257741">
      <w:bodyDiv w:val="1"/>
      <w:marLeft w:val="0"/>
      <w:marRight w:val="0"/>
      <w:marTop w:val="0"/>
      <w:marBottom w:val="0"/>
      <w:divBdr>
        <w:top w:val="none" w:sz="0" w:space="0" w:color="auto"/>
        <w:left w:val="none" w:sz="0" w:space="0" w:color="auto"/>
        <w:bottom w:val="none" w:sz="0" w:space="0" w:color="auto"/>
        <w:right w:val="none" w:sz="0" w:space="0" w:color="auto"/>
      </w:divBdr>
      <w:divsChild>
        <w:div w:id="42340446">
          <w:marLeft w:val="0"/>
          <w:marRight w:val="0"/>
          <w:marTop w:val="0"/>
          <w:marBottom w:val="0"/>
          <w:divBdr>
            <w:top w:val="none" w:sz="0" w:space="0" w:color="auto"/>
            <w:left w:val="none" w:sz="0" w:space="0" w:color="auto"/>
            <w:bottom w:val="none" w:sz="0" w:space="0" w:color="auto"/>
            <w:right w:val="none" w:sz="0" w:space="0" w:color="auto"/>
          </w:divBdr>
        </w:div>
        <w:div w:id="2073892535">
          <w:marLeft w:val="0"/>
          <w:marRight w:val="0"/>
          <w:marTop w:val="0"/>
          <w:marBottom w:val="0"/>
          <w:divBdr>
            <w:top w:val="none" w:sz="0" w:space="0" w:color="auto"/>
            <w:left w:val="none" w:sz="0" w:space="0" w:color="auto"/>
            <w:bottom w:val="none" w:sz="0" w:space="0" w:color="auto"/>
            <w:right w:val="none" w:sz="0" w:space="0" w:color="auto"/>
          </w:divBdr>
        </w:div>
        <w:div w:id="2097362116">
          <w:marLeft w:val="0"/>
          <w:marRight w:val="0"/>
          <w:marTop w:val="0"/>
          <w:marBottom w:val="0"/>
          <w:divBdr>
            <w:top w:val="none" w:sz="0" w:space="0" w:color="auto"/>
            <w:left w:val="none" w:sz="0" w:space="0" w:color="auto"/>
            <w:bottom w:val="none" w:sz="0" w:space="0" w:color="auto"/>
            <w:right w:val="none" w:sz="0" w:space="0" w:color="auto"/>
          </w:divBdr>
        </w:div>
      </w:divsChild>
    </w:div>
    <w:div w:id="1690906924">
      <w:bodyDiv w:val="1"/>
      <w:marLeft w:val="0"/>
      <w:marRight w:val="0"/>
      <w:marTop w:val="0"/>
      <w:marBottom w:val="0"/>
      <w:divBdr>
        <w:top w:val="none" w:sz="0" w:space="0" w:color="auto"/>
        <w:left w:val="none" w:sz="0" w:space="0" w:color="auto"/>
        <w:bottom w:val="none" w:sz="0" w:space="0" w:color="auto"/>
        <w:right w:val="none" w:sz="0" w:space="0" w:color="auto"/>
      </w:divBdr>
    </w:div>
    <w:div w:id="1906908564">
      <w:bodyDiv w:val="1"/>
      <w:marLeft w:val="0"/>
      <w:marRight w:val="0"/>
      <w:marTop w:val="0"/>
      <w:marBottom w:val="0"/>
      <w:divBdr>
        <w:top w:val="none" w:sz="0" w:space="0" w:color="auto"/>
        <w:left w:val="none" w:sz="0" w:space="0" w:color="auto"/>
        <w:bottom w:val="none" w:sz="0" w:space="0" w:color="auto"/>
        <w:right w:val="none" w:sz="0" w:space="0" w:color="auto"/>
      </w:divBdr>
    </w:div>
    <w:div w:id="198223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policy.trade.ec.europa.eu/eu-trade-relationships-country-and-region/countries-and-regions/south-korea_en" TargetMode="External"/><Relationship Id="rId2" Type="http://schemas.openxmlformats.org/officeDocument/2006/relationships/hyperlink" Target="https://trade.ec.europa.eu/access-to-markets/en/content/eu-south-korea-free-trade-agreement" TargetMode="External"/><Relationship Id="rId1" Type="http://schemas.openxmlformats.org/officeDocument/2006/relationships/hyperlink" Target="https://trade.ec.europa.eu/access-to-markets/en/assets/Report%20on%20the%20Survey%20on%20Mutual%20Recognition%20Agreements%2020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71B9205159584BBDB4466A7C466CBC" ma:contentTypeVersion="6" ma:contentTypeDescription="Create a new document." ma:contentTypeScope="" ma:versionID="3a321b8972ccd5f3388e8d0c81a0e7bc">
  <xsd:schema xmlns:xsd="http://www.w3.org/2001/XMLSchema" xmlns:xs="http://www.w3.org/2001/XMLSchema" xmlns:p="http://schemas.microsoft.com/office/2006/metadata/properties" xmlns:ns2="d1ebf486-ab9b-44e5-a5f7-8194da4724be" xmlns:ns3="01b7c8cb-3150-4286-b637-9eb4656860b8" targetNamespace="http://schemas.microsoft.com/office/2006/metadata/properties" ma:root="true" ma:fieldsID="35f9cbdd47355de75dbaa97f85b160d1" ns2:_="" ns3:_="">
    <xsd:import namespace="d1ebf486-ab9b-44e5-a5f7-8194da4724be"/>
    <xsd:import namespace="01b7c8cb-3150-4286-b637-9eb4656860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bf486-ab9b-44e5-a5f7-8194da472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b7c8cb-3150-4286-b637-9eb465686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DD639-7BAB-4CF9-AAAA-3D20EA3E4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bf486-ab9b-44e5-a5f7-8194da4724be"/>
    <ds:schemaRef ds:uri="01b7c8cb-3150-4286-b637-9eb465686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7E1DAA-67A6-42C0-BE06-FAE21EE10FC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D24E20-DD2E-41F0-9891-D5E261EEF372}">
  <ds:schemaRefs>
    <ds:schemaRef ds:uri="http://schemas.microsoft.com/sharepoint/v3/contenttype/forms"/>
  </ds:schemaRefs>
</ds:datastoreItem>
</file>

<file path=customXml/itemProps4.xml><?xml version="1.0" encoding="utf-8"?>
<ds:datastoreItem xmlns:ds="http://schemas.openxmlformats.org/officeDocument/2006/customXml" ds:itemID="{AAFE22A3-C143-4C88-A38D-B77FEAD44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7</Pages>
  <Words>1911</Words>
  <Characters>10897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2026-03-10T13:46:00Z</dcterms:created>
  <dcterms:modified xsi:type="dcterms:W3CDTF">2026-03-25T07:23:00Z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2026-03-05T17:08:45Z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4a2f2df1-b08e-4169-adca-3e334f8d2724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0x0101007D71B9205159584BBDB4466A7C466CBC</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Category">
    <vt:lpwstr>COM/PL/ORG/NOEEA</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SG-001</vt:lpwstr>
  </property>
  <property fmtid="{D5CDD505-2E9C-101B-9397-08002B2CF9AE}" pid="17" name="DQCStatus">
    <vt:lpwstr>Green (DQC version 03)</vt:lpwstr>
  </property>
</Properties>
</file>