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5C592" w14:textId="74C1FE71" w:rsidR="004D72F0" w:rsidRPr="00D44500" w:rsidRDefault="003C656F" w:rsidP="003C656F">
      <w:pPr>
        <w:pStyle w:val="Pagedecouverture"/>
        <w:rPr>
          <w:noProof/>
        </w:rPr>
      </w:pPr>
      <w:r>
        <w:rPr>
          <w:noProof/>
        </w:rPr>
        <w:pict w14:anchorId="2DFBF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F6124D-75F9-4BF3-8CC7-F413EA774088" style="width:455.25pt;height:330.75pt">
            <v:imagedata r:id="rId11" o:title=""/>
          </v:shape>
        </w:pict>
      </w:r>
    </w:p>
    <w:p w14:paraId="37993327" w14:textId="77777777" w:rsidR="004D72F0" w:rsidRPr="00D44500" w:rsidRDefault="004D72F0" w:rsidP="004D72F0">
      <w:pPr>
        <w:rPr>
          <w:noProof/>
        </w:rPr>
        <w:sectPr w:rsidR="004D72F0" w:rsidRPr="00D44500" w:rsidSect="003C656F">
          <w:footerReference w:type="even" r:id="rId12"/>
          <w:footerReference w:type="default" r:id="rId13"/>
          <w:pgSz w:w="11907" w:h="16839"/>
          <w:pgMar w:top="1134" w:right="1417" w:bottom="1134" w:left="1417" w:header="709" w:footer="709" w:gutter="0"/>
          <w:pgNumType w:start="0"/>
          <w:cols w:space="720"/>
          <w:docGrid w:linePitch="360"/>
        </w:sectPr>
      </w:pPr>
    </w:p>
    <w:p w14:paraId="0B4C3317" w14:textId="77777777" w:rsidR="004D72F0" w:rsidRPr="00D44500" w:rsidRDefault="004D72F0">
      <w:pPr>
        <w:pStyle w:val="Exposdesmotifstitre"/>
        <w:rPr>
          <w:noProof/>
        </w:rPr>
      </w:pPr>
      <w:bookmarkStart w:id="0" w:name="_GoBack"/>
      <w:bookmarkEnd w:id="0"/>
      <w:r w:rsidRPr="00D44500">
        <w:rPr>
          <w:noProof/>
        </w:rPr>
        <w:lastRenderedPageBreak/>
        <w:t>EXPUNERE DE MOTIVE</w:t>
      </w:r>
    </w:p>
    <w:p w14:paraId="0550BD9E" w14:textId="56F84105" w:rsidR="003770E5" w:rsidRPr="00D44500" w:rsidRDefault="50B19EC8" w:rsidP="003031B2">
      <w:pPr>
        <w:widowControl w:val="0"/>
        <w:shd w:val="clear" w:color="auto" w:fill="FFFFFF" w:themeFill="background1"/>
        <w:autoSpaceDE w:val="0"/>
        <w:autoSpaceDN w:val="0"/>
        <w:adjustRightInd w:val="0"/>
        <w:spacing w:before="230" w:after="0" w:line="269" w:lineRule="exact"/>
        <w:rPr>
          <w:noProof/>
        </w:rPr>
      </w:pPr>
      <w:r w:rsidRPr="00D44500">
        <w:rPr>
          <w:noProof/>
        </w:rPr>
        <w:t>Prin prezenta recomandare, Comisia Europeană invită Consiliul Uniunii Europene: să autorizeze deschiderea negocierilor pentru un acord de recunoaștere reciprocă între Uniunea Europeană și Republica Coreea în materie de evaluare a conformității, de certificate și de marcaje; să numească Comisia drept negociator al Uniunii; să adreseze directive negociatorului; și să desemneze un comitet special în consultare cu care trebuie să se desfășoare negocierile.</w:t>
      </w:r>
    </w:p>
    <w:p w14:paraId="05871C16" w14:textId="77777777" w:rsidR="004D72F0" w:rsidRPr="00D44500" w:rsidRDefault="004D72F0">
      <w:pPr>
        <w:pStyle w:val="ManualHeading1"/>
        <w:rPr>
          <w:noProof/>
        </w:rPr>
      </w:pPr>
      <w:r w:rsidRPr="00D44500">
        <w:rPr>
          <w:noProof/>
        </w:rPr>
        <w:t>1.</w:t>
      </w:r>
      <w:r w:rsidRPr="00D44500">
        <w:rPr>
          <w:noProof/>
        </w:rPr>
        <w:tab/>
        <w:t>CONTEXTUL PROPUNERII</w:t>
      </w:r>
    </w:p>
    <w:p w14:paraId="2B4D289F" w14:textId="77777777" w:rsidR="00612944" w:rsidRPr="00D44500" w:rsidRDefault="029C162C" w:rsidP="00612944">
      <w:pPr>
        <w:pStyle w:val="ManualHeading2"/>
        <w:rPr>
          <w:rFonts w:eastAsia="Arial Unicode MS"/>
          <w:noProof/>
        </w:rPr>
      </w:pPr>
      <w:r w:rsidRPr="00D44500">
        <w:rPr>
          <w:noProof/>
          <w:color w:val="000000"/>
          <w:bdr w:val="nil"/>
        </w:rPr>
        <w:t>•</w:t>
      </w:r>
      <w:r w:rsidRPr="00D44500">
        <w:rPr>
          <w:noProof/>
        </w:rPr>
        <w:tab/>
        <w:t>Temeiurile și obiectivele propunerii</w:t>
      </w:r>
    </w:p>
    <w:p w14:paraId="4A1C312E" w14:textId="247ABFBC" w:rsidR="00EB749F" w:rsidRPr="00D44500" w:rsidRDefault="007A3AF5" w:rsidP="00612944">
      <w:pPr>
        <w:pBdr>
          <w:top w:val="nil"/>
          <w:left w:val="nil"/>
          <w:bottom w:val="nil"/>
          <w:right w:val="nil"/>
          <w:between w:val="nil"/>
          <w:bar w:val="nil"/>
        </w:pBdr>
        <w:spacing w:before="0" w:after="240"/>
        <w:rPr>
          <w:rFonts w:eastAsia="Arial Unicode MS"/>
          <w:noProof/>
        </w:rPr>
      </w:pPr>
      <w:r w:rsidRPr="00D44500">
        <w:rPr>
          <w:noProof/>
        </w:rPr>
        <w:t>UE a încheiat acorduri de recunoaștere reciprocă (ARR) în materie de evaluare a conformității cu mai multe țări din afara UE, inclusiv cu Australia, Canada, Israel, Japonia, Noua Zeelandă, Elveția și Statele Unite, prin care fiecare parte acceptă rezultatele evaluărilor conformității emise de organismele desemnate ale celeilalte părți pentru a demonstra conformitatea cu reglementările sale tehnice</w:t>
      </w:r>
      <w:r w:rsidRPr="00D44500">
        <w:rPr>
          <w:rStyle w:val="FootnoteReference"/>
          <w:rFonts w:eastAsia="Arial Unicode MS"/>
          <w:noProof/>
        </w:rPr>
        <w:footnoteReference w:id="2"/>
      </w:r>
      <w:r w:rsidRPr="00D44500">
        <w:rPr>
          <w:noProof/>
        </w:rPr>
        <w:t>.</w:t>
      </w:r>
    </w:p>
    <w:p w14:paraId="36978E40" w14:textId="0471AD94" w:rsidR="00612944" w:rsidRPr="00D44500" w:rsidRDefault="00BE0355" w:rsidP="00612944">
      <w:pPr>
        <w:pBdr>
          <w:top w:val="nil"/>
          <w:left w:val="nil"/>
          <w:bottom w:val="nil"/>
          <w:right w:val="nil"/>
          <w:between w:val="nil"/>
          <w:bar w:val="nil"/>
        </w:pBdr>
        <w:spacing w:before="0" w:after="240"/>
        <w:rPr>
          <w:rFonts w:eastAsia="Arial Unicode MS"/>
          <w:noProof/>
        </w:rPr>
      </w:pPr>
      <w:r w:rsidRPr="00D44500">
        <w:rPr>
          <w:noProof/>
        </w:rPr>
        <w:t>În temeiul acestor ARR-uri, organismele desemnate de evaluare a conformității (OEC), inclusiv laboratoarele, organismele de inspecție și entitățile de certificare, se recunosc reciproc. Listele acestor organisme sunt întreținute și se pot accesa prin intermediul registrelor oficiale, cum ar fi baza de date NANDO (</w:t>
      </w:r>
      <w:r w:rsidRPr="00D44500">
        <w:rPr>
          <w:i/>
          <w:iCs/>
          <w:noProof/>
        </w:rPr>
        <w:t>New Approach Notified and Designated Organisations</w:t>
      </w:r>
      <w:r w:rsidRPr="00D44500">
        <w:rPr>
          <w:noProof/>
        </w:rPr>
        <w:t>) a UE sau anexele specifice fiecărui partener.</w:t>
      </w:r>
    </w:p>
    <w:p w14:paraId="6F38ED3C" w14:textId="1ADE9A24" w:rsidR="0030735D" w:rsidRPr="00D44500" w:rsidRDefault="73775265" w:rsidP="60A38AAF">
      <w:pPr>
        <w:pBdr>
          <w:top w:val="nil"/>
          <w:left w:val="nil"/>
          <w:bottom w:val="nil"/>
          <w:right w:val="nil"/>
          <w:between w:val="nil"/>
          <w:bar w:val="nil"/>
        </w:pBdr>
        <w:spacing w:before="0" w:after="240"/>
        <w:rPr>
          <w:rFonts w:eastAsia="Arial Unicode MS"/>
          <w:noProof/>
        </w:rPr>
      </w:pPr>
      <w:r w:rsidRPr="00D44500">
        <w:rPr>
          <w:noProof/>
        </w:rPr>
        <w:t>Un ARR în materie de evaluare a conformității între UE și Republica Coreea ar facilita accesul pe piață, permițând fiecărei părți să accepte rapoartele de încercare, certificatele și marcajele de conformitate emise de organismele de evaluare a conformității desemnate ale celeilalte părți pentru sectoarele specificate, evitând astfel duplicarea procedurilor de încercare și de certificare.</w:t>
      </w:r>
    </w:p>
    <w:p w14:paraId="75F21BA4" w14:textId="67630720" w:rsidR="00FA2B8B" w:rsidRPr="00D44500" w:rsidRDefault="00612944" w:rsidP="5016EE7B">
      <w:pPr>
        <w:pBdr>
          <w:top w:val="nil"/>
          <w:left w:val="nil"/>
          <w:bottom w:val="nil"/>
          <w:right w:val="nil"/>
          <w:between w:val="nil"/>
          <w:bar w:val="nil"/>
        </w:pBdr>
        <w:spacing w:before="0" w:after="240"/>
        <w:rPr>
          <w:rFonts w:eastAsia="Arial Unicode MS"/>
          <w:noProof/>
        </w:rPr>
      </w:pPr>
      <w:r w:rsidRPr="00D44500">
        <w:rPr>
          <w:noProof/>
        </w:rPr>
        <w:t>ARR-urile contribuie la facilitarea comerțului prin reducerea barierelor netarifare. Părțile acceptă rapoartele de încercare, certificatele și marcajele de conformitate emise de organismele de evaluare a conformității ale celeilalte părți, raționalizând astfel procedurile de vămuire și reducând întârzierile procedurale la frontiere. Dovezile empirice indică faptul că ARR-urile stimulează exporturile, cresc numărul firmelor exportatoare și extind portofoliile de produse pe piețele partenere, în special în sectoare care reprezintă aproximativ 30 % din totalul exporturilor UE, și, de asemenea, reduc timpul și costurile de expediere asociate duplicării testelor</w:t>
      </w:r>
      <w:r w:rsidRPr="00D44500">
        <w:rPr>
          <w:rStyle w:val="FootnoteReference"/>
          <w:rFonts w:eastAsia="Arial Unicode MS"/>
          <w:noProof/>
        </w:rPr>
        <w:footnoteReference w:id="3"/>
      </w:r>
      <w:r w:rsidRPr="00D44500">
        <w:rPr>
          <w:noProof/>
        </w:rPr>
        <w:t>.</w:t>
      </w:r>
    </w:p>
    <w:p w14:paraId="641B64BA" w14:textId="1724106F" w:rsidR="00612944" w:rsidRPr="00D44500" w:rsidRDefault="00160F78" w:rsidP="5016EE7B">
      <w:pPr>
        <w:pBdr>
          <w:top w:val="nil"/>
          <w:left w:val="nil"/>
          <w:bottom w:val="nil"/>
          <w:right w:val="nil"/>
          <w:between w:val="nil"/>
          <w:bar w:val="nil"/>
        </w:pBdr>
        <w:spacing w:before="0" w:after="240"/>
        <w:rPr>
          <w:rFonts w:eastAsia="Arial Unicode MS"/>
          <w:noProof/>
        </w:rPr>
      </w:pPr>
      <w:r w:rsidRPr="00D44500">
        <w:rPr>
          <w:noProof/>
        </w:rPr>
        <w:t>ARR-urile creează eficiență din punctul de vedere al costurilor, permițând societăților să se bazeze pe organismele de evaluare a conformității naționale pentru exporturi, reducând astfel sarcina financiară a obținerii certificării într-o altă țară. Această sarcină este adesea disproporționată pentru întreprinderile mici și mijlocii (IMM-uri), care trebuie, de asemenea, să se confrunte cu costuri mai mari de asigurare a conformității. ARR-urile promovează încrederea reciprocă în sistemele de conformitate și nu necesită armonizare normativă. Ele permit exportatorilor să urmeze proceduri de testare uniforme atât pe piețele din UE, cât și pe cele din afara UE. De asemenea, promovează un acces mai larg pe piață, menținând în același timp autonomia suverană în materie de reglementare.</w:t>
      </w:r>
    </w:p>
    <w:p w14:paraId="09F4210B" w14:textId="54F14A21" w:rsidR="00605546" w:rsidRPr="00D44500" w:rsidRDefault="00F84F82" w:rsidP="5016EE7B">
      <w:pPr>
        <w:pBdr>
          <w:top w:val="nil"/>
          <w:left w:val="nil"/>
          <w:bottom w:val="nil"/>
          <w:right w:val="nil"/>
          <w:between w:val="nil"/>
          <w:bar w:val="nil"/>
        </w:pBdr>
        <w:spacing w:before="0" w:after="240"/>
        <w:rPr>
          <w:rFonts w:eastAsia="Arial Unicode MS"/>
          <w:noProof/>
        </w:rPr>
      </w:pPr>
      <w:r w:rsidRPr="00D44500">
        <w:rPr>
          <w:noProof/>
        </w:rPr>
        <w:t>Republica Coreea a semnat astfel de acorduri de recunoaștere reciprocă cu Canada, Chile, Indonezia, Regatul Unit, Statele Unite și Vietnam. Permițând societăților sud-coreene să se bazeze pe rezultatele testelor și pe certificările eliberate în țările partenere, aceste acorduri contribuie la evitarea duplicării procedurilor de testare și de certificare în Republica Coreea, reducând astfel în mod semnificativ timpul, sarcina administrativă și costurile pentru exportatorii sud-coreeni. Cu toate acestea, întrucât întreprinderile din UE nu beneficiază de ARR-uri echivalente cu Republica Coreea în multe sectoare, acestea se confruntă adesea cu costuri mai mari de asigurare a conformității, inclusiv în ceea ce privește testarea repetată sau certificarea locală. Prin urmare, exportatorii din UE sunt dezavantajați din punct de vedere concurențial în comparație cu întreprinderile din țările care au încheiat acorduri de recunoaștere reciprocă cu Republica Coreea, în special în industriile reglementate, cum ar fi industria electronică.</w:t>
      </w:r>
    </w:p>
    <w:p w14:paraId="75A464EE" w14:textId="53314448" w:rsidR="004D72F0" w:rsidRPr="00D44500" w:rsidRDefault="004D72F0">
      <w:pPr>
        <w:pStyle w:val="ManualHeading2"/>
        <w:rPr>
          <w:rFonts w:eastAsia="Arial Unicode MS"/>
          <w:noProof/>
          <w:color w:val="000000"/>
          <w:u w:color="000000"/>
          <w:bdr w:val="nil"/>
        </w:rPr>
      </w:pPr>
      <w:r w:rsidRPr="00D44500">
        <w:rPr>
          <w:noProof/>
          <w:color w:val="000000"/>
          <w:u w:color="000000"/>
          <w:bdr w:val="nil"/>
        </w:rPr>
        <w:t>•</w:t>
      </w:r>
      <w:r w:rsidRPr="00D44500">
        <w:rPr>
          <w:noProof/>
        </w:rPr>
        <w:tab/>
        <w:t>Coerența cu dispozițiile de politică deja existente în domeniul relevant</w:t>
      </w:r>
    </w:p>
    <w:p w14:paraId="3EC0F8AB" w14:textId="68BF8DA5" w:rsidR="007A3AF5" w:rsidRPr="00D44500" w:rsidRDefault="79124859" w:rsidP="00660B60">
      <w:pPr>
        <w:pBdr>
          <w:top w:val="nil"/>
          <w:left w:val="nil"/>
          <w:bottom w:val="nil"/>
          <w:right w:val="nil"/>
          <w:between w:val="nil"/>
          <w:bar w:val="nil"/>
        </w:pBdr>
        <w:spacing w:before="0" w:after="240"/>
        <w:rPr>
          <w:rFonts w:eastAsia="Arial Unicode MS"/>
          <w:noProof/>
        </w:rPr>
      </w:pPr>
      <w:r w:rsidRPr="00D44500">
        <w:rPr>
          <w:noProof/>
        </w:rPr>
        <w:t>Un ARR în materie de evaluare a conformității, de certificate și de marcaje între UE și Republica Coreea s-ar baza pe actualul Acord de liber schimb (ALS) UE-Coreea de Sud, care a eliminat deja 98,7 % din tarife</w:t>
      </w:r>
      <w:r w:rsidRPr="00D44500">
        <w:rPr>
          <w:rStyle w:val="FootnoteReference"/>
          <w:rFonts w:eastAsia="Arial Unicode MS"/>
          <w:noProof/>
        </w:rPr>
        <w:footnoteReference w:id="4"/>
      </w:r>
      <w:r w:rsidRPr="00D44500">
        <w:rPr>
          <w:noProof/>
        </w:rPr>
        <w:t xml:space="preserve"> și a înlăturat barierele netarifare din sectoarele produselor electronice, al produselor farmaceutice, al autovehiculelor și al substanțelor chimice, dar nu prevede o recunoaștere reciprocă deplină a rezultatelor în materie de conformitate. În consecință, comerțul bilateral, care a ajuns la o valoare a mărfurilor de 123,7 miliarde EUR în 2024, ar beneficia de pe urma reducerii întârzierilor la frontieră, a armonizării documentației și a unei mai bune integrări a lanțului de aprovizionare, în special având în vedere că Republica Coreea ocupă locul opt în clasamentul celor mai importante destinații de export pentru mărfurile UE</w:t>
      </w:r>
      <w:r w:rsidRPr="00D44500">
        <w:rPr>
          <w:rStyle w:val="FootnoteReference"/>
          <w:rFonts w:eastAsia="Arial Unicode MS"/>
          <w:noProof/>
        </w:rPr>
        <w:footnoteReference w:id="5"/>
      </w:r>
      <w:r w:rsidRPr="00D44500">
        <w:rPr>
          <w:noProof/>
        </w:rPr>
        <w:t>.</w:t>
      </w:r>
    </w:p>
    <w:p w14:paraId="0C109BDB" w14:textId="1B704B3D" w:rsidR="004D72F0" w:rsidRPr="00D44500" w:rsidRDefault="004D72F0">
      <w:pPr>
        <w:pStyle w:val="ManualHeading2"/>
        <w:rPr>
          <w:rFonts w:eastAsia="Arial Unicode MS"/>
          <w:noProof/>
        </w:rPr>
      </w:pPr>
      <w:r w:rsidRPr="00D44500">
        <w:rPr>
          <w:noProof/>
          <w:color w:val="000000"/>
          <w:u w:color="000000"/>
          <w:bdr w:val="nil"/>
        </w:rPr>
        <w:t>•</w:t>
      </w:r>
      <w:r w:rsidRPr="00D44500">
        <w:rPr>
          <w:noProof/>
        </w:rPr>
        <w:tab/>
        <w:t>Coerența cu alte politici ale Uniunii</w:t>
      </w:r>
    </w:p>
    <w:p w14:paraId="7437CAF7" w14:textId="5D9B9E8C" w:rsidR="00547911" w:rsidRPr="00D44500" w:rsidRDefault="00547911" w:rsidP="00547911">
      <w:pPr>
        <w:pBdr>
          <w:top w:val="nil"/>
          <w:left w:val="nil"/>
          <w:bottom w:val="nil"/>
          <w:right w:val="nil"/>
          <w:between w:val="nil"/>
          <w:bar w:val="nil"/>
        </w:pBdr>
        <w:spacing w:before="0" w:after="240"/>
        <w:rPr>
          <w:noProof/>
        </w:rPr>
      </w:pPr>
      <w:r w:rsidRPr="00D44500">
        <w:rPr>
          <w:noProof/>
        </w:rPr>
        <w:t>Recomandarea este coerentă cu alte politici ale Uniunii.</w:t>
      </w:r>
    </w:p>
    <w:p w14:paraId="1B725E98" w14:textId="5314B530" w:rsidR="00095CED" w:rsidRPr="00D44500" w:rsidRDefault="0AE09CAA" w:rsidP="36294051">
      <w:pPr>
        <w:pBdr>
          <w:top w:val="nil"/>
          <w:left w:val="nil"/>
          <w:bottom w:val="nil"/>
          <w:right w:val="nil"/>
          <w:between w:val="nil"/>
          <w:bar w:val="nil"/>
        </w:pBdr>
        <w:spacing w:before="0" w:after="240"/>
        <w:rPr>
          <w:noProof/>
        </w:rPr>
      </w:pPr>
      <w:r w:rsidRPr="00D44500">
        <w:rPr>
          <w:noProof/>
        </w:rPr>
        <w:t>ARR-urile sprijină politica comercială comună prin reducerea barierelor comerciale și facilitarea accesului pe piață prin acorduri bilaterale sectoriale cu țări din afara UE care acceptă teste echivalente efectuate în alte țări, evitând astfel duplicarea evaluărilor. Acordurile evită în mod deliberat impunerea unor modificări ale reglementărilor tehnice, ale standardelor sau ale cerințelor părților, menținând astfel dreptul fiecărei părți de a reglementa și permițând doar acceptarea rapoartelor de încercare sau a certificatelor străine ca dovadă a conformității.</w:t>
      </w:r>
    </w:p>
    <w:p w14:paraId="0DA3A040" w14:textId="5888F321" w:rsidR="00095CED" w:rsidRPr="00D44500" w:rsidRDefault="00095CED" w:rsidP="00547911">
      <w:pPr>
        <w:pBdr>
          <w:top w:val="nil"/>
          <w:left w:val="nil"/>
          <w:bottom w:val="nil"/>
          <w:right w:val="nil"/>
          <w:between w:val="nil"/>
          <w:bar w:val="nil"/>
        </w:pBdr>
        <w:spacing w:before="0" w:after="240"/>
        <w:rPr>
          <w:noProof/>
        </w:rPr>
      </w:pPr>
      <w:r w:rsidRPr="00D44500">
        <w:rPr>
          <w:noProof/>
        </w:rPr>
        <w:t>De asemenea, prezenta recomandare este în conformitate cu principiile Acordului Organizației Mondiale a Comerțului (OMC) privind barierele tehnice în calea comerțului, deoarece promovează cooperarea în materie de reglementare în ceea ce privește evaluarea conformității, reduce barierele netarifare și susține cerințele esențiale ale UE, cum ar fi standardele de siguranță și de mediu.</w:t>
      </w:r>
    </w:p>
    <w:p w14:paraId="59475F1C" w14:textId="6CDF7599" w:rsidR="00EE5191" w:rsidRPr="00D44500" w:rsidRDefault="00913F67" w:rsidP="64135B3F">
      <w:pPr>
        <w:pBdr>
          <w:top w:val="nil"/>
          <w:left w:val="nil"/>
          <w:bottom w:val="nil"/>
          <w:right w:val="nil"/>
          <w:between w:val="nil"/>
          <w:bar w:val="nil"/>
        </w:pBdr>
        <w:spacing w:before="0" w:after="240"/>
        <w:rPr>
          <w:noProof/>
        </w:rPr>
      </w:pPr>
      <w:r w:rsidRPr="00D44500">
        <w:rPr>
          <w:noProof/>
        </w:rPr>
        <w:t>În cele din urmă, desfășurarea de negocieri privind ARR constituie o acțiune strategică pe deplin aliniată la prioritățile UE de a spori competitivitatea la nivel mondial și de a promova noi oportunități de piață pentru întreprinderile din UE. În contextul internațional actual, marcat de sporirea barierelor comerciale și a măsurilor protecționiste în rândul principalilor parteneri comerciali, ARR-urile servesc la eliminarea obstacolelor tehnice și de reglementare, facilitând astfel accesul pe piață și reducând costurile pentru întreprinderile din UE. Această abordare este în concordanță cu agenda Comisiei pentru competitivitate. Astfel cum s-a subliniat în raportul Draghi privind competitivitatea UE și în Busola pentru competitivitate a Comisiei, depășirea fragmentării și a barierelor de reglementare este esențială pentru eliminarea decalajelor în materie de investiții și productivitate care împiedică creșterea economică a UE. Raportul Draghi subliniază, de asemenea, importanța acordurilor comerciale strategice și preferențiale pentru a securiza lanțurile de aprovizionare critice și pentru a consolida competitivitatea UE. În acest context, ARR-urile sunt instrumente esențiale pentru facilitarea comerțului și reducerea barierelor de pe piețele externe. Astfel, urmărirea încheierii de ARR-uri se aliniază puternic atât la obiectivele interne ale UE în materie de competitivitate, cât și la agenda acesteia de politică comercială externă.</w:t>
      </w:r>
    </w:p>
    <w:p w14:paraId="041CCF42" w14:textId="1284B3D6" w:rsidR="00E176F9" w:rsidRPr="00D44500" w:rsidRDefault="004D72F0" w:rsidP="00E176F9">
      <w:pPr>
        <w:pStyle w:val="ManualHeading1"/>
        <w:rPr>
          <w:noProof/>
        </w:rPr>
      </w:pPr>
      <w:r w:rsidRPr="00D44500">
        <w:rPr>
          <w:noProof/>
        </w:rPr>
        <w:t>2.</w:t>
      </w:r>
      <w:r w:rsidRPr="00D44500">
        <w:rPr>
          <w:noProof/>
        </w:rPr>
        <w:tab/>
        <w:t>TEMEI JURIDIC, SUBSIDIARITATE ȘI PROPORȚIONALITATE</w:t>
      </w:r>
    </w:p>
    <w:p w14:paraId="12F2C09B" w14:textId="703171E7" w:rsidR="00A408BE" w:rsidRPr="00D44500" w:rsidRDefault="00670EA5" w:rsidP="00670EA5">
      <w:pPr>
        <w:pStyle w:val="ManualHeading2"/>
        <w:rPr>
          <w:rFonts w:eastAsia="Arial Unicode MS"/>
          <w:noProof/>
          <w:color w:val="000000"/>
          <w:u w:color="000000"/>
          <w:bdr w:val="nil"/>
        </w:rPr>
      </w:pPr>
      <w:r w:rsidRPr="00D44500">
        <w:rPr>
          <w:noProof/>
          <w:color w:val="000000"/>
          <w:u w:color="000000"/>
          <w:bdr w:val="nil"/>
        </w:rPr>
        <w:t>•</w:t>
      </w:r>
      <w:r w:rsidRPr="00D44500">
        <w:rPr>
          <w:noProof/>
        </w:rPr>
        <w:tab/>
      </w:r>
      <w:r w:rsidRPr="00D44500">
        <w:rPr>
          <w:noProof/>
          <w:color w:val="000000"/>
          <w:u w:color="000000"/>
          <w:bdr w:val="nil"/>
        </w:rPr>
        <w:t>Temeiul juridic procedural</w:t>
      </w:r>
    </w:p>
    <w:p w14:paraId="05D3AB3E" w14:textId="4A27F239" w:rsidR="00A408BE" w:rsidRPr="00D44500" w:rsidRDefault="00A408BE" w:rsidP="00130629">
      <w:pPr>
        <w:pBdr>
          <w:top w:val="nil"/>
          <w:left w:val="nil"/>
          <w:bottom w:val="nil"/>
          <w:right w:val="nil"/>
          <w:between w:val="nil"/>
          <w:bar w:val="nil"/>
        </w:pBdr>
        <w:spacing w:before="0" w:after="240"/>
        <w:rPr>
          <w:noProof/>
        </w:rPr>
      </w:pPr>
      <w:r w:rsidRPr="00D44500">
        <w:rPr>
          <w:noProof/>
        </w:rPr>
        <w:t>Articolul 218 alineatul (3) din Tratatul privind funcționarea Uniunii Europene (TFUE) prevede că, în cazul în care acordul preconizat nu se referă exclusiv sau în principal la politica externă și de securitate comună, Comisia prezintă recomandări Consiliului. Consiliul adoptă o decizie de autorizare a începerii negocierilor și de numire a negociatorului Uniunii sau a șefului echipei de negociere a Uniunii.</w:t>
      </w:r>
    </w:p>
    <w:p w14:paraId="245D0E17" w14:textId="33EB9877" w:rsidR="00A408BE" w:rsidRPr="00D44500" w:rsidRDefault="00A408BE" w:rsidP="00130629">
      <w:pPr>
        <w:pBdr>
          <w:top w:val="nil"/>
          <w:left w:val="nil"/>
          <w:bottom w:val="nil"/>
          <w:right w:val="nil"/>
          <w:between w:val="nil"/>
          <w:bar w:val="nil"/>
        </w:pBdr>
        <w:spacing w:before="0" w:after="240"/>
        <w:rPr>
          <w:noProof/>
        </w:rPr>
      </w:pPr>
      <w:r w:rsidRPr="00D44500">
        <w:rPr>
          <w:noProof/>
        </w:rPr>
        <w:t>Articolul 218 alineatul (4) din TFUE prevede că Consiliul poate adresa directive de negociere negociatorului și poate desemna un comitet special pentru a se consulta cu negociatorul.</w:t>
      </w:r>
    </w:p>
    <w:p w14:paraId="20F25469" w14:textId="7044ED36" w:rsidR="00A408BE" w:rsidRPr="00D44500" w:rsidRDefault="00A408BE" w:rsidP="00130629">
      <w:pPr>
        <w:pBdr>
          <w:top w:val="nil"/>
          <w:left w:val="nil"/>
          <w:bottom w:val="nil"/>
          <w:right w:val="nil"/>
          <w:between w:val="nil"/>
          <w:bar w:val="nil"/>
        </w:pBdr>
        <w:spacing w:before="0" w:after="240"/>
        <w:rPr>
          <w:noProof/>
        </w:rPr>
      </w:pPr>
      <w:r w:rsidRPr="00D44500">
        <w:rPr>
          <w:noProof/>
        </w:rPr>
        <w:t>Comisia recomandă deschiderea negocierilor între Uniunea Europeană și Republica Coreea pentru un acord internațional de recunoaștere reciprocă în materie de evaluare a conformității, de certificate și de marcaje. Comisia trebuie să fie desemnată negociator.</w:t>
      </w:r>
    </w:p>
    <w:p w14:paraId="0B9D01A3" w14:textId="1F4D249C" w:rsidR="00A408BE" w:rsidRPr="00D44500" w:rsidRDefault="00A408BE" w:rsidP="00130629">
      <w:pPr>
        <w:pBdr>
          <w:top w:val="nil"/>
          <w:left w:val="nil"/>
          <w:bottom w:val="nil"/>
          <w:right w:val="nil"/>
          <w:between w:val="nil"/>
          <w:bar w:val="nil"/>
        </w:pBdr>
        <w:spacing w:before="0" w:after="240"/>
        <w:rPr>
          <w:noProof/>
        </w:rPr>
      </w:pPr>
      <w:r w:rsidRPr="00D44500">
        <w:rPr>
          <w:noProof/>
        </w:rPr>
        <w:t>Temeiul juridic procedural al deciziei propuse de autorizare a începerii negocierilor pentru acordul avut în vedere este articolul 218 alineatele (3) și (4) din TFUE.</w:t>
      </w:r>
    </w:p>
    <w:p w14:paraId="21547440" w14:textId="6D822F0A" w:rsidR="00A408BE" w:rsidRPr="00D44500" w:rsidRDefault="00670EA5" w:rsidP="00670EA5">
      <w:pPr>
        <w:pStyle w:val="ManualHeading2"/>
        <w:rPr>
          <w:rFonts w:eastAsia="Arial Unicode MS"/>
          <w:noProof/>
          <w:color w:val="000000"/>
          <w:u w:color="000000"/>
          <w:bdr w:val="nil"/>
        </w:rPr>
      </w:pPr>
      <w:r w:rsidRPr="00D44500">
        <w:rPr>
          <w:noProof/>
          <w:color w:val="000000"/>
          <w:u w:color="000000"/>
          <w:bdr w:val="nil"/>
        </w:rPr>
        <w:t>•</w:t>
      </w:r>
      <w:r w:rsidRPr="00D44500">
        <w:rPr>
          <w:noProof/>
        </w:rPr>
        <w:tab/>
      </w:r>
      <w:r w:rsidRPr="00D44500">
        <w:rPr>
          <w:noProof/>
          <w:color w:val="000000"/>
          <w:u w:color="000000"/>
          <w:bdr w:val="nil"/>
        </w:rPr>
        <w:t>Temeiul juridic material</w:t>
      </w:r>
    </w:p>
    <w:p w14:paraId="3FFC9145" w14:textId="1ABD88D3" w:rsidR="00A408BE" w:rsidRPr="00D44500" w:rsidRDefault="00A408BE" w:rsidP="00130629">
      <w:pPr>
        <w:pBdr>
          <w:top w:val="nil"/>
          <w:left w:val="nil"/>
          <w:bottom w:val="nil"/>
          <w:right w:val="nil"/>
          <w:between w:val="nil"/>
          <w:bar w:val="nil"/>
        </w:pBdr>
        <w:spacing w:before="0" w:after="240"/>
        <w:rPr>
          <w:noProof/>
        </w:rPr>
      </w:pPr>
      <w:r w:rsidRPr="00D44500">
        <w:rPr>
          <w:noProof/>
        </w:rPr>
        <w:t>Temeiul juridic îl constituie articolul 207 alineatele (3) și (4) și articolul 218 alineatele (3) și (4) din Tratatul privind funcționarea Uniunii Europene (TFUE).</w:t>
      </w:r>
    </w:p>
    <w:p w14:paraId="6070E05A" w14:textId="77777777" w:rsidR="00A4677B" w:rsidRPr="00D44500" w:rsidRDefault="00A4677B" w:rsidP="00A4677B">
      <w:pPr>
        <w:pStyle w:val="ManualHeading2"/>
        <w:rPr>
          <w:rFonts w:eastAsia="Arial Unicode MS"/>
          <w:noProof/>
          <w:color w:val="000000"/>
          <w:u w:color="000000"/>
          <w:bdr w:val="nil"/>
        </w:rPr>
      </w:pPr>
      <w:r w:rsidRPr="00D44500">
        <w:rPr>
          <w:noProof/>
          <w:color w:val="000000"/>
          <w:u w:color="000000"/>
          <w:bdr w:val="nil"/>
        </w:rPr>
        <w:t>•</w:t>
      </w:r>
      <w:r w:rsidRPr="00D44500">
        <w:rPr>
          <w:noProof/>
        </w:rPr>
        <w:tab/>
      </w:r>
      <w:r w:rsidRPr="00D44500">
        <w:rPr>
          <w:noProof/>
          <w:color w:val="000000"/>
          <w:u w:color="000000"/>
          <w:bdr w:val="nil"/>
        </w:rPr>
        <w:t>Alegerea negociatorului</w:t>
      </w:r>
    </w:p>
    <w:p w14:paraId="655BD8B3" w14:textId="443BA04D" w:rsidR="00A4677B" w:rsidRPr="00D44500" w:rsidRDefault="00A4677B" w:rsidP="00AC1722">
      <w:pPr>
        <w:pBdr>
          <w:between w:val="nil"/>
          <w:bar w:val="nil"/>
        </w:pBdr>
        <w:spacing w:before="0" w:after="240"/>
        <w:rPr>
          <w:noProof/>
        </w:rPr>
      </w:pPr>
      <w:r w:rsidRPr="00D44500">
        <w:rPr>
          <w:noProof/>
        </w:rPr>
        <w:t>Dat fiind că acordul preconizat vizează exclusiv alte aspecte decât politica externă și de securitate comună, Comisia trebuie desemnată negociator în temeiul articolului 218 alineatul (3) din TFUE.</w:t>
      </w:r>
    </w:p>
    <w:p w14:paraId="0F953C79" w14:textId="77777777" w:rsidR="00A4677B" w:rsidRPr="00D44500" w:rsidRDefault="00A4677B" w:rsidP="00A4677B">
      <w:pPr>
        <w:pStyle w:val="ManualHeading2"/>
        <w:rPr>
          <w:rFonts w:eastAsia="Arial Unicode MS"/>
          <w:noProof/>
          <w:color w:val="000000"/>
          <w:u w:color="000000"/>
          <w:bdr w:val="nil"/>
        </w:rPr>
      </w:pPr>
      <w:r w:rsidRPr="00D44500">
        <w:rPr>
          <w:noProof/>
          <w:color w:val="000000"/>
          <w:u w:color="000000"/>
          <w:bdr w:val="nil"/>
        </w:rPr>
        <w:t>•</w:t>
      </w:r>
      <w:r w:rsidRPr="00D44500">
        <w:rPr>
          <w:noProof/>
        </w:rPr>
        <w:tab/>
      </w:r>
      <w:r w:rsidRPr="00D44500">
        <w:rPr>
          <w:noProof/>
          <w:color w:val="000000"/>
          <w:u w:color="000000"/>
          <w:bdr w:val="nil"/>
        </w:rPr>
        <w:t>Competența Uniunii</w:t>
      </w:r>
    </w:p>
    <w:p w14:paraId="6B3DA195" w14:textId="2F1B52A7" w:rsidR="00977A42" w:rsidRPr="00D44500" w:rsidRDefault="00A4677B" w:rsidP="00AC1722">
      <w:pPr>
        <w:pBdr>
          <w:between w:val="nil"/>
          <w:bar w:val="nil"/>
        </w:pBdr>
        <w:spacing w:before="0" w:after="240"/>
        <w:rPr>
          <w:noProof/>
        </w:rPr>
      </w:pPr>
      <w:r w:rsidRPr="00D44500">
        <w:rPr>
          <w:noProof/>
        </w:rPr>
        <w:t>Acest act intră sub incidența politicii comerciale comune în temeiul articolului 207 din TFUE. Așadar, el intră în sfera de competență exclusivă a Uniunii în conformitate cu articolul 3 alineatul (1) din TFUE.</w:t>
      </w:r>
    </w:p>
    <w:p w14:paraId="366CB0BD" w14:textId="32A75F90" w:rsidR="004D72F0" w:rsidRPr="00D44500" w:rsidRDefault="00FA0181" w:rsidP="00FA0181">
      <w:pPr>
        <w:pStyle w:val="ManualHeading2"/>
        <w:rPr>
          <w:noProof/>
          <w:u w:color="000000"/>
          <w:bdr w:val="nil"/>
        </w:rPr>
      </w:pPr>
      <w:r w:rsidRPr="00D44500">
        <w:rPr>
          <w:noProof/>
          <w:color w:val="000000"/>
          <w:u w:color="000000"/>
          <w:bdr w:val="nil"/>
        </w:rPr>
        <w:t>•</w:t>
      </w:r>
      <w:r w:rsidRPr="00D44500">
        <w:rPr>
          <w:noProof/>
        </w:rPr>
        <w:tab/>
      </w:r>
      <w:r w:rsidRPr="00D44500">
        <w:rPr>
          <w:noProof/>
          <w:u w:color="000000"/>
          <w:bdr w:val="nil"/>
        </w:rPr>
        <w:t>Subsidiaritatea (în cazul competențelor neexclusive)</w:t>
      </w:r>
    </w:p>
    <w:p w14:paraId="02C513D0" w14:textId="09C479F4" w:rsidR="00C63910" w:rsidRPr="00D44500" w:rsidRDefault="00181D64" w:rsidP="00C63910">
      <w:pPr>
        <w:pBdr>
          <w:between w:val="nil"/>
          <w:bar w:val="nil"/>
        </w:pBdr>
        <w:spacing w:before="0" w:after="240"/>
        <w:rPr>
          <w:noProof/>
        </w:rPr>
      </w:pPr>
      <w:r w:rsidRPr="00D44500">
        <w:rPr>
          <w:noProof/>
        </w:rPr>
        <w:t>În conformitate cu articolul 5 alineatul (3) din Tratatul privind Uniunea Europeană, principiul subsidiarității nu se aplică în domeniile care sunt de competența exclusivă a Uniunii. Politica comercială comună este menționată printre domeniile care sunt de competența exclusivă a Uniunii la articolul 3 din TFUE. Această politică include, printre alte dispoziții, negocierea acordurilor comerciale în temeiul articolului 207 din TFUE.</w:t>
      </w:r>
    </w:p>
    <w:p w14:paraId="5D95BB2C" w14:textId="77777777" w:rsidR="001A3E1A" w:rsidRPr="00D44500" w:rsidRDefault="001A3E1A" w:rsidP="001A3E1A">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Proporționalitate</w:t>
      </w:r>
    </w:p>
    <w:p w14:paraId="543A720F" w14:textId="4CA11A52" w:rsidR="001A3E1A" w:rsidRPr="00D44500" w:rsidRDefault="3340250B" w:rsidP="5016EE7B">
      <w:pPr>
        <w:pBdr>
          <w:between w:val="nil"/>
          <w:bar w:val="nil"/>
        </w:pBdr>
        <w:spacing w:before="0" w:after="240"/>
        <w:rPr>
          <w:noProof/>
        </w:rPr>
      </w:pPr>
      <w:r w:rsidRPr="00D44500">
        <w:rPr>
          <w:noProof/>
        </w:rPr>
        <w:t>Recomandarea Comisiei este în conformitate cu principiul proporționalității și este necesară având în vedere obiectivul UE de a utiliza acordurile comerciale internaționale pentru a promova competitivitatea, securitatea, sustenabilitatea și comerțul multilateral bazat pe norme.</w:t>
      </w:r>
    </w:p>
    <w:p w14:paraId="61368995" w14:textId="77777777" w:rsidR="001A3E1A" w:rsidRPr="00D44500" w:rsidRDefault="001A3E1A" w:rsidP="001A3E1A">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Alegerea instrumentului</w:t>
      </w:r>
    </w:p>
    <w:p w14:paraId="0448F4B2" w14:textId="2D1A0AD4" w:rsidR="004D72F0" w:rsidRPr="00D44500" w:rsidRDefault="00A4677B" w:rsidP="703E31D1">
      <w:pPr>
        <w:pBdr>
          <w:top w:val="nil"/>
          <w:left w:val="nil"/>
          <w:bottom w:val="nil"/>
          <w:right w:val="nil"/>
          <w:between w:val="nil"/>
          <w:bar w:val="nil"/>
        </w:pBdr>
        <w:spacing w:before="0" w:after="240"/>
        <w:rPr>
          <w:noProof/>
        </w:rPr>
      </w:pPr>
      <w:r w:rsidRPr="00D44500">
        <w:rPr>
          <w:noProof/>
        </w:rPr>
        <w:t>Prezenta recomandare de decizie a Consiliului este prezentată în conformitate cu articolul 218 alineatele (3) și (4) din TFUE, care prevede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exprimat în prezenta recomandare.</w:t>
      </w:r>
    </w:p>
    <w:p w14:paraId="46118604" w14:textId="373B0594" w:rsidR="004D72F0" w:rsidRPr="00D44500" w:rsidRDefault="004D72F0">
      <w:pPr>
        <w:pStyle w:val="ManualHeading1"/>
        <w:rPr>
          <w:noProof/>
        </w:rPr>
      </w:pPr>
      <w:r w:rsidRPr="00D44500">
        <w:rPr>
          <w:noProof/>
        </w:rPr>
        <w:t>3.</w:t>
      </w:r>
      <w:r w:rsidRPr="00D44500">
        <w:rPr>
          <w:noProof/>
        </w:rPr>
        <w:tab/>
        <w:t xml:space="preserve">REZULTATELE EVALUĂRILOR </w:t>
      </w:r>
      <w:r w:rsidRPr="00D44500">
        <w:rPr>
          <w:i/>
          <w:noProof/>
        </w:rPr>
        <w:t>EX POST</w:t>
      </w:r>
      <w:r w:rsidRPr="00D44500">
        <w:rPr>
          <w:noProof/>
        </w:rPr>
        <w:t>, ALE CONSULTĂRILOR CU PĂRȚILE INTERESATE ȘI ALE EVALUĂRILOR IMPACTULUI</w:t>
      </w:r>
    </w:p>
    <w:p w14:paraId="294F2CFC" w14:textId="6E51D1EF"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 xml:space="preserve">Evaluările </w:t>
      </w:r>
      <w:r w:rsidRPr="00D44500">
        <w:rPr>
          <w:i/>
          <w:noProof/>
          <w:u w:color="000000"/>
          <w:bdr w:val="nil"/>
        </w:rPr>
        <w:t>ex post</w:t>
      </w:r>
      <w:r w:rsidRPr="00D44500">
        <w:rPr>
          <w:noProof/>
          <w:u w:color="000000"/>
          <w:bdr w:val="nil"/>
        </w:rPr>
        <w:t>/verificarea adecvării legislației existente</w:t>
      </w:r>
    </w:p>
    <w:p w14:paraId="5D7D77BE" w14:textId="688129FD" w:rsidR="00C63910" w:rsidRPr="00D44500" w:rsidRDefault="00C63910" w:rsidP="00C63910">
      <w:pPr>
        <w:pBdr>
          <w:top w:val="nil"/>
          <w:left w:val="nil"/>
          <w:bottom w:val="nil"/>
          <w:right w:val="nil"/>
          <w:between w:val="nil"/>
          <w:bar w:val="nil"/>
        </w:pBdr>
        <w:spacing w:before="0" w:after="240"/>
        <w:rPr>
          <w:noProof/>
        </w:rPr>
      </w:pPr>
      <w:r w:rsidRPr="00D44500">
        <w:rPr>
          <w:noProof/>
        </w:rPr>
        <w:t>Nu se aplică.</w:t>
      </w:r>
    </w:p>
    <w:p w14:paraId="316796B5"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Consultarea cu părțile interesate</w:t>
      </w:r>
    </w:p>
    <w:p w14:paraId="6E0D59B2" w14:textId="77777777" w:rsidR="004D72F0" w:rsidRPr="00D44500" w:rsidRDefault="00C63910">
      <w:pPr>
        <w:pBdr>
          <w:top w:val="nil"/>
          <w:left w:val="nil"/>
          <w:bottom w:val="nil"/>
          <w:right w:val="nil"/>
          <w:between w:val="nil"/>
          <w:bar w:val="nil"/>
        </w:pBdr>
        <w:spacing w:before="0" w:after="240"/>
        <w:rPr>
          <w:rFonts w:eastAsia="Arial Unicode MS"/>
          <w:noProof/>
        </w:rPr>
      </w:pPr>
      <w:r w:rsidRPr="00D44500">
        <w:rPr>
          <w:noProof/>
        </w:rPr>
        <w:t>Nu se aplică.</w:t>
      </w:r>
    </w:p>
    <w:p w14:paraId="1136E77F"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Obținerea și utilizarea expertizei</w:t>
      </w:r>
    </w:p>
    <w:p w14:paraId="025BA0EC" w14:textId="77777777" w:rsidR="004D72F0" w:rsidRPr="00D44500" w:rsidRDefault="00C63910">
      <w:pPr>
        <w:pBdr>
          <w:top w:val="nil"/>
          <w:left w:val="nil"/>
          <w:bottom w:val="nil"/>
          <w:right w:val="nil"/>
          <w:between w:val="nil"/>
          <w:bar w:val="nil"/>
        </w:pBdr>
        <w:spacing w:before="0" w:after="240"/>
        <w:rPr>
          <w:rFonts w:eastAsia="Arial Unicode MS"/>
          <w:noProof/>
        </w:rPr>
      </w:pPr>
      <w:r w:rsidRPr="00D44500">
        <w:rPr>
          <w:noProof/>
        </w:rPr>
        <w:t>Nu este relevant.</w:t>
      </w:r>
    </w:p>
    <w:p w14:paraId="1039308A"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Evaluarea impactului</w:t>
      </w:r>
      <w:bookmarkStart w:id="1" w:name="_Hlk216361889"/>
    </w:p>
    <w:p w14:paraId="7D07D774" w14:textId="28880C4B" w:rsidR="00C446B9" w:rsidRPr="00D44500" w:rsidRDefault="00C446B9" w:rsidP="00C446B9">
      <w:pPr>
        <w:pBdr>
          <w:top w:val="nil"/>
          <w:left w:val="nil"/>
          <w:bottom w:val="nil"/>
          <w:right w:val="nil"/>
          <w:between w:val="nil"/>
          <w:bar w:val="nil"/>
        </w:pBdr>
        <w:spacing w:before="0" w:after="240"/>
        <w:rPr>
          <w:rFonts w:eastAsia="Arial Unicode MS"/>
          <w:noProof/>
        </w:rPr>
      </w:pPr>
      <w:r w:rsidRPr="00D44500">
        <w:rPr>
          <w:noProof/>
        </w:rPr>
        <w:t>Prezenta recomandare adresată Consiliului de autorizare a Comisiei să desfășoare negocieri bilaterale cu Republica Coreea este o etapă pregătitoare care nu are „niciun impact economic, de mediu sau social semnificativ” conform Orientărilor privind o mai bună legiferare. Prin urmare, nu este necesar să se efectueze o evaluare a impactului.</w:t>
      </w:r>
    </w:p>
    <w:p w14:paraId="30E16C43" w14:textId="6E1CA274" w:rsidR="00C63910" w:rsidRPr="00D44500" w:rsidRDefault="00DF6869" w:rsidP="36294051">
      <w:pPr>
        <w:pBdr>
          <w:top w:val="nil"/>
          <w:left w:val="nil"/>
          <w:bottom w:val="nil"/>
          <w:right w:val="nil"/>
          <w:between w:val="nil"/>
          <w:bar w:val="nil"/>
        </w:pBdr>
        <w:spacing w:before="0" w:after="240"/>
        <w:rPr>
          <w:noProof/>
        </w:rPr>
      </w:pPr>
      <w:r w:rsidRPr="00D44500">
        <w:rPr>
          <w:noProof/>
        </w:rPr>
        <w:t>Se preconizează că noul acord va facilita accesul pe piață, permițând fiecărei părți să accepte rapoartele de încercare, certificatele și marcajele de conformitate emise de organismele de evaluare a conformității desemnate ale celeilalte părți pentru sectoare specificate, evitând astfel duplicarea procedurilor de încercare și de certificare. Acordul s-ar baza pe actualul Acord de liber schimb (ALS) UE-Coreea de Sud, care a eliminat deja 98,7 % din tarife și a înlăturat barierele netarifare din sectoare ca cel al produselor electronice, al produselor farmaceutice, al autovehiculelor și al substanțelor chimice, dar nu prevede o recunoaștere reciprocă deplină a rezultatelor în materie de conformitate.</w:t>
      </w:r>
    </w:p>
    <w:bookmarkEnd w:id="1"/>
    <w:p w14:paraId="53030833"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Adecvarea reglementărilor și simplificarea</w:t>
      </w:r>
    </w:p>
    <w:p w14:paraId="365E7FC5" w14:textId="3C0323BF" w:rsidR="004D72F0" w:rsidRPr="00D44500" w:rsidRDefault="00500E37" w:rsidP="00500E37">
      <w:pPr>
        <w:pBdr>
          <w:top w:val="nil"/>
          <w:left w:val="nil"/>
          <w:bottom w:val="nil"/>
          <w:right w:val="nil"/>
          <w:between w:val="nil"/>
          <w:bar w:val="nil"/>
        </w:pBdr>
        <w:spacing w:before="0" w:after="240"/>
        <w:rPr>
          <w:rFonts w:eastAsia="Arial Unicode MS"/>
          <w:noProof/>
        </w:rPr>
      </w:pPr>
      <w:r w:rsidRPr="00D44500">
        <w:rPr>
          <w:noProof/>
        </w:rPr>
        <w:t>Nu se aplică.</w:t>
      </w:r>
    </w:p>
    <w:p w14:paraId="625869FA"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Drepturile fundamentale</w:t>
      </w:r>
    </w:p>
    <w:p w14:paraId="74E68B9C" w14:textId="5F7F1866" w:rsidR="00500E37" w:rsidRPr="00D44500" w:rsidRDefault="00500E37" w:rsidP="00500E37">
      <w:pPr>
        <w:pBdr>
          <w:between w:val="nil"/>
          <w:bar w:val="nil"/>
        </w:pBdr>
        <w:spacing w:before="0" w:after="240"/>
        <w:rPr>
          <w:noProof/>
        </w:rPr>
      </w:pPr>
      <w:r w:rsidRPr="00D44500">
        <w:rPr>
          <w:noProof/>
        </w:rPr>
        <w:t>Recomandarea este coerentă cu tratatele UE și cu Carta drepturilor fundamentale a Uniunii Europene.</w:t>
      </w:r>
    </w:p>
    <w:p w14:paraId="4B86E02C" w14:textId="77777777" w:rsidR="004D72F0" w:rsidRPr="00D44500" w:rsidRDefault="004D72F0">
      <w:pPr>
        <w:pStyle w:val="ManualHeading1"/>
        <w:rPr>
          <w:noProof/>
        </w:rPr>
      </w:pPr>
      <w:r w:rsidRPr="00D44500">
        <w:rPr>
          <w:noProof/>
        </w:rPr>
        <w:t>4.</w:t>
      </w:r>
      <w:r w:rsidRPr="00D44500">
        <w:rPr>
          <w:noProof/>
        </w:rPr>
        <w:tab/>
        <w:t>IMPLICAȚIILE BUGETARE</w:t>
      </w:r>
    </w:p>
    <w:p w14:paraId="1052E59C" w14:textId="64F4BAC0" w:rsidR="00500E37" w:rsidRPr="00D44500" w:rsidRDefault="00500E37" w:rsidP="00500E37">
      <w:pPr>
        <w:pBdr>
          <w:between w:val="nil"/>
          <w:bar w:val="nil"/>
        </w:pBdr>
        <w:spacing w:before="0" w:after="240"/>
        <w:rPr>
          <w:noProof/>
        </w:rPr>
      </w:pPr>
      <w:r w:rsidRPr="00D44500">
        <w:rPr>
          <w:noProof/>
        </w:rPr>
        <w:t>ARR în materie de evaluare a conformității, de certificate și de marcaje dintre UE și Republica Coreea nu va avea niciun impact negativ asupra bugetului UE. Se poate estima apariția unui impact pozitiv indirect ca urmare a creșterii fluxurilor comerciale.</w:t>
      </w:r>
    </w:p>
    <w:p w14:paraId="573F3B2E" w14:textId="77777777" w:rsidR="004D72F0" w:rsidRPr="00D44500" w:rsidRDefault="004D72F0">
      <w:pPr>
        <w:pStyle w:val="ManualHeading1"/>
        <w:rPr>
          <w:noProof/>
        </w:rPr>
      </w:pPr>
      <w:r w:rsidRPr="00D44500">
        <w:rPr>
          <w:noProof/>
        </w:rPr>
        <w:t>5.</w:t>
      </w:r>
      <w:r w:rsidRPr="00D44500">
        <w:rPr>
          <w:noProof/>
        </w:rPr>
        <w:tab/>
        <w:t>ALTE ELEMENTE</w:t>
      </w:r>
    </w:p>
    <w:p w14:paraId="2FCE45AE"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Documente explicative (pentru directive)</w:t>
      </w:r>
    </w:p>
    <w:p w14:paraId="1753E241" w14:textId="267B4CBB" w:rsidR="004D72F0" w:rsidRPr="00D44500" w:rsidRDefault="00547911">
      <w:pPr>
        <w:pBdr>
          <w:top w:val="nil"/>
          <w:left w:val="nil"/>
          <w:bottom w:val="nil"/>
          <w:right w:val="nil"/>
          <w:between w:val="nil"/>
          <w:bar w:val="nil"/>
        </w:pBdr>
        <w:spacing w:before="0" w:after="240"/>
        <w:rPr>
          <w:noProof/>
        </w:rPr>
      </w:pPr>
      <w:r w:rsidRPr="00D44500">
        <w:rPr>
          <w:noProof/>
        </w:rPr>
        <w:t>Nu se aplică.</w:t>
      </w:r>
    </w:p>
    <w:p w14:paraId="081B9A61" w14:textId="77777777" w:rsidR="004D72F0" w:rsidRPr="00D44500" w:rsidRDefault="004D72F0">
      <w:pPr>
        <w:pStyle w:val="ManualHeading2"/>
        <w:rPr>
          <w:rFonts w:eastAsia="Arial Unicode MS"/>
          <w:noProof/>
          <w:u w:color="000000"/>
          <w:bdr w:val="nil"/>
        </w:rPr>
      </w:pPr>
      <w:r w:rsidRPr="00D44500">
        <w:rPr>
          <w:noProof/>
          <w:u w:color="000000"/>
          <w:bdr w:val="nil"/>
        </w:rPr>
        <w:t>•</w:t>
      </w:r>
      <w:r w:rsidRPr="00D44500">
        <w:rPr>
          <w:noProof/>
        </w:rPr>
        <w:tab/>
      </w:r>
      <w:r w:rsidRPr="00D44500">
        <w:rPr>
          <w:noProof/>
          <w:u w:color="000000"/>
          <w:bdr w:val="nil"/>
        </w:rPr>
        <w:t>Explicarea detaliată a dispozițiilor specifice ale propunerii</w:t>
      </w:r>
    </w:p>
    <w:p w14:paraId="25FE28A6" w14:textId="51291CD7" w:rsidR="001A3E1A" w:rsidRPr="00D44500" w:rsidRDefault="001A3E1A" w:rsidP="00547911">
      <w:pPr>
        <w:rPr>
          <w:noProof/>
        </w:rPr>
      </w:pPr>
      <w:r w:rsidRPr="00D44500">
        <w:rPr>
          <w:noProof/>
        </w:rPr>
        <w:t>Prezenta propunere recomandă Consiliului să adopte o decizie prin care să autorizeze Comisia să deschidă negocieri pentru un ARR în materie de evaluare a conformității, de certificate și de marcaje între UE și Republica Coreea; să numească Comisia drept negociator al Uniunii; să adreseze directive negociatorului; și să desemneze un comitet special în consultare cu care trebuie să se desfășoare negocierile.</w:t>
      </w:r>
    </w:p>
    <w:p w14:paraId="226A1EA1" w14:textId="77777777" w:rsidR="001A3E1A" w:rsidRPr="00D44500" w:rsidRDefault="001A3E1A">
      <w:pPr>
        <w:rPr>
          <w:noProof/>
        </w:rPr>
        <w:sectPr w:rsidR="001A3E1A" w:rsidRPr="00D44500" w:rsidSect="003C656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5C25D46A" w14:textId="25C3A3D2" w:rsidR="004D72F0" w:rsidRPr="00D44500" w:rsidRDefault="000D4EE8" w:rsidP="000D4EE8">
      <w:pPr>
        <w:pStyle w:val="Statut"/>
        <w:rPr>
          <w:noProof/>
        </w:rPr>
      </w:pPr>
      <w:r w:rsidRPr="00D44500">
        <w:rPr>
          <w:noProof/>
        </w:rPr>
        <w:t>Recomandare de</w:t>
      </w:r>
    </w:p>
    <w:p w14:paraId="3252BCC0" w14:textId="3D21F883" w:rsidR="004D72F0" w:rsidRPr="00D44500" w:rsidRDefault="000D4EE8" w:rsidP="000D4EE8">
      <w:pPr>
        <w:pStyle w:val="Typedudocument"/>
        <w:rPr>
          <w:noProof/>
        </w:rPr>
      </w:pPr>
      <w:r w:rsidRPr="00D44500">
        <w:rPr>
          <w:noProof/>
        </w:rPr>
        <w:t>DECIZIE A CONSILIULUI</w:t>
      </w:r>
    </w:p>
    <w:p w14:paraId="2B1FEE37" w14:textId="6268C638" w:rsidR="004D72F0" w:rsidRPr="00D44500" w:rsidRDefault="000D4EE8" w:rsidP="000D4EE8">
      <w:pPr>
        <w:pStyle w:val="Titreobjet"/>
        <w:rPr>
          <w:noProof/>
        </w:rPr>
      </w:pPr>
      <w:r w:rsidRPr="00D44500">
        <w:rPr>
          <w:noProof/>
        </w:rPr>
        <w:t>de autorizare a începerii negocierilor cu Republica Coreea în vederea unui acord de recunoaștere reciprocă în materie de evaluare a conformității, de certificate și de marcaje</w:t>
      </w:r>
    </w:p>
    <w:p w14:paraId="03026D01" w14:textId="77777777" w:rsidR="004D72F0" w:rsidRPr="00D44500" w:rsidRDefault="004D72F0">
      <w:pPr>
        <w:pStyle w:val="Institutionquiagit"/>
        <w:rPr>
          <w:noProof/>
        </w:rPr>
      </w:pPr>
      <w:r w:rsidRPr="00D44500">
        <w:rPr>
          <w:noProof/>
        </w:rPr>
        <w:t>CONSILIUL UNIUNII EUROPENE,</w:t>
      </w:r>
    </w:p>
    <w:p w14:paraId="0F1C7B9C" w14:textId="52FAD8E3" w:rsidR="00E06D03" w:rsidRPr="00D44500" w:rsidRDefault="00E06D03" w:rsidP="00E06D03">
      <w:pPr>
        <w:rPr>
          <w:noProof/>
        </w:rPr>
      </w:pPr>
      <w:r w:rsidRPr="00D44500">
        <w:rPr>
          <w:noProof/>
        </w:rPr>
        <w:t>având în vedere Tratatul privind funcționarea Uniunii Europene, în special articolul 207 alineatul (3) și alineatul (4) primul paragraf, coroborat cu articolul 218 alineatele (3) și (4),</w:t>
      </w:r>
    </w:p>
    <w:p w14:paraId="52BEC4A6" w14:textId="77777777" w:rsidR="00E06D03" w:rsidRPr="00D44500" w:rsidRDefault="00E06D03" w:rsidP="00E06D03">
      <w:pPr>
        <w:rPr>
          <w:noProof/>
        </w:rPr>
      </w:pPr>
      <w:r w:rsidRPr="00D44500">
        <w:rPr>
          <w:noProof/>
        </w:rPr>
        <w:t>având în vedere recomandarea Comisiei Europene,</w:t>
      </w:r>
    </w:p>
    <w:p w14:paraId="7B8AEEE4" w14:textId="2C5DA915" w:rsidR="007F419D" w:rsidRPr="00D44500" w:rsidRDefault="007F419D" w:rsidP="007F419D">
      <w:pPr>
        <w:rPr>
          <w:noProof/>
          <w:szCs w:val="24"/>
        </w:rPr>
      </w:pPr>
      <w:r w:rsidRPr="00D44500">
        <w:rPr>
          <w:noProof/>
        </w:rPr>
        <w:t>întrucât ar trebui deschise negocieri în vederea încheierii unui acord între Uniunea Europeană și Republica Coreea de recunoaștere reciprocă în materie de evaluare a conformității, de certificate și de marcaje,</w:t>
      </w:r>
    </w:p>
    <w:p w14:paraId="1D15FBD5" w14:textId="7C5F637D" w:rsidR="00E06D03" w:rsidRPr="00D44500" w:rsidRDefault="004D72F0" w:rsidP="00E06D03">
      <w:pPr>
        <w:pStyle w:val="Formuledadoption"/>
        <w:rPr>
          <w:noProof/>
        </w:rPr>
      </w:pPr>
      <w:r w:rsidRPr="00D44500">
        <w:rPr>
          <w:noProof/>
        </w:rPr>
        <w:t>ADOPTĂ PREZENTA DECIZIE:</w:t>
      </w:r>
    </w:p>
    <w:p w14:paraId="6F6AEC59" w14:textId="77777777" w:rsidR="00E06D03" w:rsidRPr="00D44500" w:rsidRDefault="00E06D03" w:rsidP="00E06D03">
      <w:pPr>
        <w:pStyle w:val="Titrearticle"/>
        <w:rPr>
          <w:noProof/>
        </w:rPr>
      </w:pPr>
      <w:r w:rsidRPr="00D44500">
        <w:rPr>
          <w:noProof/>
        </w:rPr>
        <w:t>Articolul 1</w:t>
      </w:r>
    </w:p>
    <w:p w14:paraId="73FA0798" w14:textId="7278A93E" w:rsidR="19CB2EC7" w:rsidRPr="00D44500" w:rsidRDefault="00E05E7A" w:rsidP="19CB2EC7">
      <w:pPr>
        <w:rPr>
          <w:noProof/>
          <w:szCs w:val="24"/>
        </w:rPr>
      </w:pPr>
      <w:r w:rsidRPr="00D44500">
        <w:rPr>
          <w:noProof/>
        </w:rPr>
        <w:t>Se autorizează deschiderea negocierilor pentru un acord internațional de recunoaștere reciprocă între Uniunea Europeană și Republica Coreea în materie de evaluare a conformității, de certificate și de marcaje.</w:t>
      </w:r>
    </w:p>
    <w:p w14:paraId="5A023666" w14:textId="77777777" w:rsidR="00E06D03" w:rsidRPr="00D44500" w:rsidRDefault="00E06D03" w:rsidP="00E06D03">
      <w:pPr>
        <w:pStyle w:val="Titrearticle"/>
        <w:rPr>
          <w:noProof/>
        </w:rPr>
      </w:pPr>
      <w:r w:rsidRPr="00D44500">
        <w:rPr>
          <w:noProof/>
        </w:rPr>
        <w:t>Articolul 2</w:t>
      </w:r>
    </w:p>
    <w:p w14:paraId="21EDBB5A" w14:textId="77777777" w:rsidR="00E05E7A" w:rsidRPr="00D44500" w:rsidRDefault="00E05E7A" w:rsidP="00AC1722">
      <w:pPr>
        <w:pStyle w:val="Titrearticle"/>
        <w:jc w:val="both"/>
        <w:rPr>
          <w:iCs/>
          <w:noProof/>
        </w:rPr>
      </w:pPr>
      <w:r w:rsidRPr="00D44500">
        <w:rPr>
          <w:i w:val="0"/>
          <w:noProof/>
        </w:rPr>
        <w:t>Comisia este desemnată negociatorul Uniunii.</w:t>
      </w:r>
    </w:p>
    <w:p w14:paraId="38392C6F" w14:textId="77777777" w:rsidR="00E06D03" w:rsidRPr="00D44500" w:rsidRDefault="00E06D03" w:rsidP="00E06D03">
      <w:pPr>
        <w:pStyle w:val="Titrearticle"/>
        <w:rPr>
          <w:noProof/>
        </w:rPr>
      </w:pPr>
      <w:r w:rsidRPr="00D44500">
        <w:rPr>
          <w:noProof/>
        </w:rPr>
        <w:t>Articolul 3</w:t>
      </w:r>
    </w:p>
    <w:p w14:paraId="60B6B397" w14:textId="01DC9C01" w:rsidR="00815D72" w:rsidRPr="00D44500" w:rsidRDefault="00815D72" w:rsidP="00AF068B">
      <w:pPr>
        <w:rPr>
          <w:noProof/>
          <w:szCs w:val="24"/>
        </w:rPr>
      </w:pPr>
      <w:r w:rsidRPr="00D44500">
        <w:rPr>
          <w:noProof/>
        </w:rPr>
        <w:t xml:space="preserve">Negocierile se desfășoară pe baza directivelor de negociere ale Consiliului prevăzute în addendumul la prezenta decizie. </w:t>
      </w:r>
    </w:p>
    <w:p w14:paraId="5C14A1FD" w14:textId="36537F94" w:rsidR="00815D72" w:rsidRPr="00D44500" w:rsidRDefault="00815D72" w:rsidP="00AF068B">
      <w:pPr>
        <w:pStyle w:val="Titrearticle"/>
        <w:rPr>
          <w:noProof/>
        </w:rPr>
      </w:pPr>
      <w:r w:rsidRPr="00D44500">
        <w:rPr>
          <w:noProof/>
        </w:rPr>
        <w:t>Articolul 4</w:t>
      </w:r>
    </w:p>
    <w:p w14:paraId="1E974399" w14:textId="50445235" w:rsidR="00815D72" w:rsidRPr="00D44500" w:rsidRDefault="00815D72" w:rsidP="00AF068B">
      <w:pPr>
        <w:rPr>
          <w:noProof/>
          <w:szCs w:val="24"/>
        </w:rPr>
      </w:pPr>
      <w:r w:rsidRPr="00D44500">
        <w:rPr>
          <w:noProof/>
        </w:rPr>
        <w:t>Negocierile se desfășoară în consultare cu comitetul special prevăzut la articolul 207 alineatul (3) al treilea paragraf din TFUE.</w:t>
      </w:r>
    </w:p>
    <w:p w14:paraId="33365DEF" w14:textId="77777777" w:rsidR="00E06D03" w:rsidRPr="00D44500" w:rsidRDefault="00E06D03" w:rsidP="006028A7">
      <w:pPr>
        <w:pStyle w:val="Titrearticle"/>
        <w:rPr>
          <w:noProof/>
        </w:rPr>
      </w:pPr>
      <w:r w:rsidRPr="00D44500">
        <w:rPr>
          <w:noProof/>
        </w:rPr>
        <w:t>Articolul 5</w:t>
      </w:r>
    </w:p>
    <w:p w14:paraId="47BE7A2F" w14:textId="37312D0C" w:rsidR="00E06D03" w:rsidRPr="00D44500" w:rsidRDefault="00E06D03" w:rsidP="00E06D03">
      <w:pPr>
        <w:rPr>
          <w:noProof/>
        </w:rPr>
      </w:pPr>
      <w:r w:rsidRPr="00D44500">
        <w:rPr>
          <w:noProof/>
        </w:rPr>
        <w:t>Prezenta decizie se adresează Comisiei.</w:t>
      </w:r>
    </w:p>
    <w:p w14:paraId="7162272D" w14:textId="1406EFB4" w:rsidR="004D72F0" w:rsidRPr="00D44500" w:rsidRDefault="000D4EE8" w:rsidP="006028A7">
      <w:pPr>
        <w:pStyle w:val="Fait"/>
        <w:rPr>
          <w:noProof/>
        </w:rPr>
      </w:pPr>
      <w:r>
        <w:rPr>
          <w:noProof/>
        </w:rPr>
        <w:t>Adoptată la Bruxelles,</w:t>
      </w:r>
    </w:p>
    <w:p w14:paraId="5D85DBD6" w14:textId="77777777" w:rsidR="004D72F0" w:rsidRPr="00D44500" w:rsidRDefault="004D72F0" w:rsidP="006028A7">
      <w:pPr>
        <w:pStyle w:val="Institutionquisigne"/>
        <w:rPr>
          <w:noProof/>
        </w:rPr>
      </w:pPr>
      <w:r w:rsidRPr="00D44500">
        <w:rPr>
          <w:noProof/>
        </w:rPr>
        <w:tab/>
        <w:t>Pentru Consiliu</w:t>
      </w:r>
    </w:p>
    <w:p w14:paraId="734F8F8F" w14:textId="77777777" w:rsidR="004D72F0" w:rsidRPr="00D44500" w:rsidRDefault="004D72F0" w:rsidP="004D72F0">
      <w:pPr>
        <w:pStyle w:val="Personnequisigne"/>
        <w:rPr>
          <w:noProof/>
        </w:rPr>
      </w:pPr>
      <w:r w:rsidRPr="00D44500">
        <w:rPr>
          <w:noProof/>
        </w:rPr>
        <w:tab/>
        <w:t>Președintele</w:t>
      </w:r>
    </w:p>
    <w:sectPr w:rsidR="004D72F0" w:rsidRPr="00D44500" w:rsidSect="003C656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F3322" w14:textId="77777777" w:rsidR="00C22BDF" w:rsidRPr="00D44500" w:rsidRDefault="00C22BDF" w:rsidP="004D72F0">
      <w:pPr>
        <w:spacing w:before="0" w:after="0"/>
      </w:pPr>
      <w:r w:rsidRPr="00D44500">
        <w:separator/>
      </w:r>
    </w:p>
  </w:endnote>
  <w:endnote w:type="continuationSeparator" w:id="0">
    <w:p w14:paraId="5C9278B5" w14:textId="77777777" w:rsidR="00C22BDF" w:rsidRPr="00D44500" w:rsidRDefault="00C22BDF" w:rsidP="004D72F0">
      <w:pPr>
        <w:spacing w:before="0" w:after="0"/>
      </w:pPr>
      <w:r w:rsidRPr="00D44500">
        <w:continuationSeparator/>
      </w:r>
    </w:p>
  </w:endnote>
  <w:endnote w:type="continuationNotice" w:id="1">
    <w:p w14:paraId="44C95CC4" w14:textId="77777777" w:rsidR="00C22BDF" w:rsidRPr="00D44500" w:rsidRDefault="00C22BD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6E9DA" w14:textId="5F095FE2" w:rsidR="003C656F" w:rsidRPr="003C656F" w:rsidRDefault="003C656F" w:rsidP="003C656F">
    <w:pPr>
      <w:pStyle w:val="Footer"/>
      <w:rPr>
        <w:rFonts w:ascii="Arial" w:hAnsi="Arial" w:cs="Arial"/>
        <w:b/>
        <w:sz w:val="48"/>
      </w:rPr>
    </w:pPr>
    <w:r w:rsidRPr="003C656F">
      <w:rPr>
        <w:rFonts w:ascii="Arial" w:hAnsi="Arial" w:cs="Arial"/>
        <w:b/>
        <w:sz w:val="48"/>
      </w:rPr>
      <w:t>RO</w:t>
    </w:r>
    <w:r w:rsidRPr="003C656F">
      <w:rPr>
        <w:rFonts w:ascii="Arial" w:hAnsi="Arial" w:cs="Arial"/>
        <w:b/>
        <w:sz w:val="48"/>
      </w:rPr>
      <w:tab/>
    </w:r>
    <w:r w:rsidRPr="003C656F">
      <w:rPr>
        <w:rFonts w:ascii="Arial" w:hAnsi="Arial" w:cs="Arial"/>
        <w:b/>
        <w:sz w:val="48"/>
      </w:rPr>
      <w:tab/>
    </w:r>
    <w:r w:rsidRPr="003C656F">
      <w:tab/>
    </w:r>
    <w:r w:rsidRPr="003C656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9DAD6" w14:textId="05CB6DC1" w:rsidR="003C656F" w:rsidRPr="003C656F" w:rsidRDefault="003C656F" w:rsidP="003C656F">
    <w:pPr>
      <w:pStyle w:val="Footer"/>
      <w:rPr>
        <w:rFonts w:ascii="Arial" w:hAnsi="Arial" w:cs="Arial"/>
        <w:b/>
        <w:sz w:val="48"/>
      </w:rPr>
    </w:pPr>
    <w:r w:rsidRPr="003C656F">
      <w:rPr>
        <w:rFonts w:ascii="Arial" w:hAnsi="Arial" w:cs="Arial"/>
        <w:b/>
        <w:sz w:val="48"/>
      </w:rPr>
      <w:t>RO</w:t>
    </w:r>
    <w:r w:rsidRPr="003C656F">
      <w:rPr>
        <w:rFonts w:ascii="Arial" w:hAnsi="Arial" w:cs="Arial"/>
        <w:b/>
        <w:sz w:val="48"/>
      </w:rPr>
      <w:tab/>
    </w:r>
    <w:r w:rsidRPr="003C656F">
      <w:rPr>
        <w:rFonts w:ascii="Arial" w:hAnsi="Arial" w:cs="Arial"/>
        <w:b/>
        <w:sz w:val="48"/>
      </w:rPr>
      <w:tab/>
    </w:r>
    <w:r w:rsidRPr="003C656F">
      <w:tab/>
    </w:r>
    <w:r w:rsidRPr="003C656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49396" w14:textId="77777777" w:rsidR="003C656F" w:rsidRDefault="003C65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ACCA4" w14:textId="5A2B6F46" w:rsidR="003C656F" w:rsidRPr="003C656F" w:rsidRDefault="003C656F" w:rsidP="003C656F">
    <w:pPr>
      <w:pStyle w:val="Footer"/>
      <w:rPr>
        <w:rFonts w:ascii="Arial" w:hAnsi="Arial" w:cs="Arial"/>
        <w:b/>
        <w:sz w:val="48"/>
      </w:rPr>
    </w:pPr>
    <w:r w:rsidRPr="003C656F">
      <w:rPr>
        <w:rFonts w:ascii="Arial" w:hAnsi="Arial" w:cs="Arial"/>
        <w:b/>
        <w:sz w:val="48"/>
      </w:rPr>
      <w:t>RO</w:t>
    </w:r>
    <w:r w:rsidRPr="003C656F">
      <w:rPr>
        <w:rFonts w:ascii="Arial" w:hAnsi="Arial" w:cs="Arial"/>
        <w:b/>
        <w:sz w:val="48"/>
      </w:rPr>
      <w:tab/>
    </w:r>
    <w:r>
      <w:fldChar w:fldCharType="begin"/>
    </w:r>
    <w:r>
      <w:instrText xml:space="preserve"> PAGE  \* MERGEFORMAT </w:instrText>
    </w:r>
    <w:r>
      <w:fldChar w:fldCharType="separate"/>
    </w:r>
    <w:r w:rsidR="006028A7">
      <w:rPr>
        <w:noProof/>
      </w:rPr>
      <w:t>6</w:t>
    </w:r>
    <w:r>
      <w:fldChar w:fldCharType="end"/>
    </w:r>
    <w:r>
      <w:tab/>
    </w:r>
    <w:r w:rsidRPr="003C656F">
      <w:tab/>
    </w:r>
    <w:r w:rsidRPr="003C656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2967" w14:textId="77777777" w:rsidR="003C656F" w:rsidRDefault="003C656F" w:rsidP="003C6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44A11" w14:textId="77777777" w:rsidR="00C22BDF" w:rsidRPr="00D44500" w:rsidRDefault="00C22BDF" w:rsidP="004D72F0">
      <w:pPr>
        <w:spacing w:before="0" w:after="0"/>
      </w:pPr>
      <w:r w:rsidRPr="00D44500">
        <w:separator/>
      </w:r>
    </w:p>
  </w:footnote>
  <w:footnote w:type="continuationSeparator" w:id="0">
    <w:p w14:paraId="6117E1EC" w14:textId="77777777" w:rsidR="00C22BDF" w:rsidRPr="00D44500" w:rsidRDefault="00C22BDF" w:rsidP="004D72F0">
      <w:pPr>
        <w:spacing w:before="0" w:after="0"/>
      </w:pPr>
      <w:r w:rsidRPr="00D44500">
        <w:continuationSeparator/>
      </w:r>
    </w:p>
  </w:footnote>
  <w:footnote w:type="continuationNotice" w:id="1">
    <w:p w14:paraId="63B56EA5" w14:textId="77777777" w:rsidR="00C22BDF" w:rsidRPr="00D44500" w:rsidRDefault="00C22BDF">
      <w:pPr>
        <w:spacing w:before="0" w:after="0"/>
      </w:pPr>
    </w:p>
  </w:footnote>
  <w:footnote w:id="2">
    <w:p w14:paraId="141A5AFA" w14:textId="444F9917" w:rsidR="00A135EA" w:rsidRPr="00D44500" w:rsidRDefault="00A135EA">
      <w:pPr>
        <w:pStyle w:val="FootnoteText"/>
      </w:pPr>
      <w:r w:rsidRPr="00D44500">
        <w:rPr>
          <w:rStyle w:val="FootnoteReference"/>
        </w:rPr>
        <w:footnoteRef/>
      </w:r>
      <w:r w:rsidRPr="00D44500">
        <w:tab/>
      </w:r>
      <w:r w:rsidRPr="00D44500">
        <w:rPr>
          <w:rStyle w:val="FootnoteTextChar"/>
        </w:rPr>
        <w:t>Aceste ARR-uri includ anexe sectoriale specifice. De exemplu, ARR UE-Australia cuprinde produse auto, compatibilitatea electromagnetică (CEM), echipamente de joasă tensiune, utilaje, dispozitive medicale, echipamente sub presiune, echipament terminal de telecomunicații (TTE) și bune practici de fabricație (BPF). În mod similar, ARR UE-Elveția acoperă 20 de sectoare, cum ar fi utilajele, echipamentele individuale de protecție, jucăriile, dispozitivele medicale, aparatele consumatoare de combustibili gazoși, recipientele sub presiune, echipamentele radio, echipamentele electrice, produsele pentru construcții, ascensoarele și produsele biocide. ARR UE-Canada din cadrul Acordului economic și comercial cuprinzător (CETA) acoperă echipamentele electrice, jucăriile, produsele pentru construcții, utilajele, instrumentele de măsurare, echipamentele destinate utilizării în atmosfere explozive etc. ARR UE-Japonia vizează produsele electrice, echipamentele terminale de radio și telecomunicații, BPF și bunele practici de laborator (BPL), iar ARR UE-Noua Zeelandă acoperă CEM, echipamentele de joasă tensiune, utilajele, dispozitivele medicale, echipamentele sub presiune, TTE și BPF. ARR UE-Israel se limitează la BPL, iar ARR UE-Statele Unite prevede recunoașterea reciprocă a CEM, a echipamentelor de telecomunicații și a echipamentelor maritime, evitând astfel duplicarea evaluărilor pentru produsele vizate.</w:t>
      </w:r>
    </w:p>
  </w:footnote>
  <w:footnote w:id="3">
    <w:p w14:paraId="5DD06DFF" w14:textId="5CC7A413" w:rsidR="00C02B49" w:rsidRPr="00D44500" w:rsidRDefault="00C02B49" w:rsidP="00C02B49">
      <w:pPr>
        <w:pStyle w:val="FootnoteText"/>
      </w:pPr>
      <w:r w:rsidRPr="00D44500">
        <w:rPr>
          <w:rStyle w:val="FootnoteReference"/>
        </w:rPr>
        <w:footnoteRef/>
      </w:r>
      <w:r w:rsidRPr="00D44500">
        <w:tab/>
        <w:t xml:space="preserve">A se vedea Cernat, L., </w:t>
      </w:r>
      <w:r w:rsidRPr="00D44500">
        <w:rPr>
          <w:i/>
        </w:rPr>
        <w:t>How important are mutual recognition agreements for trade facilitation?</w:t>
      </w:r>
      <w:r w:rsidRPr="00D44500">
        <w:t xml:space="preserve"> (Cât de importante sunt acordurile de recunoaștere reciprocă pentru facilitarea comerțului?), </w:t>
      </w:r>
      <w:r w:rsidRPr="00D44500">
        <w:rPr>
          <w:i/>
          <w:iCs/>
        </w:rPr>
        <w:t>Policy Brief</w:t>
      </w:r>
      <w:r w:rsidRPr="00D44500">
        <w:t xml:space="preserve"> nr. 10, Centrul European pentru Economie Politică Internațională (ECIPE), 2022.</w:t>
      </w:r>
    </w:p>
    <w:p w14:paraId="3EE1047B" w14:textId="61A6DAF9" w:rsidR="009F29DC" w:rsidRPr="00D44500" w:rsidRDefault="003031B2" w:rsidP="00EA7C17">
      <w:pPr>
        <w:pStyle w:val="FootnoteText"/>
        <w:jc w:val="left"/>
      </w:pPr>
      <w:r w:rsidRPr="00D44500">
        <w:tab/>
        <w:t xml:space="preserve">A se vedea, de asemenea: DG TRADE, </w:t>
      </w:r>
      <w:r w:rsidRPr="00D44500">
        <w:rPr>
          <w:i/>
        </w:rPr>
        <w:t>Survey on Mutual Recognition Agreements (MRAs)</w:t>
      </w:r>
      <w:r w:rsidRPr="00D44500">
        <w:t xml:space="preserve"> [Sondaj privind acordurile de recunoaștere reciprocă (ARR)], Raport de sinteză, iulie 2023, </w:t>
      </w:r>
      <w:hyperlink r:id="rId1" w:history="1">
        <w:r w:rsidRPr="00D44500">
          <w:rPr>
            <w:rStyle w:val="Hyperlink"/>
          </w:rPr>
          <w:t>https://trade.ec.europa.eu/access-to-markets/en/assets/Report%20on%20the%20Survey%20on%20Mutual%20Recognition%20Agreements%202023.pdf</w:t>
        </w:r>
      </w:hyperlink>
      <w:r w:rsidRPr="00D44500">
        <w:t>.</w:t>
      </w:r>
    </w:p>
  </w:footnote>
  <w:footnote w:id="4">
    <w:p w14:paraId="5975AA2A" w14:textId="50123DD3" w:rsidR="007A3AF5" w:rsidRPr="00D44500" w:rsidRDefault="007A3AF5" w:rsidP="001F3F1A">
      <w:pPr>
        <w:pStyle w:val="FootnoteText"/>
        <w:jc w:val="left"/>
      </w:pPr>
      <w:r w:rsidRPr="00D44500">
        <w:rPr>
          <w:rStyle w:val="FootnoteReference"/>
        </w:rPr>
        <w:footnoteRef/>
      </w:r>
      <w:r w:rsidRPr="00D44500">
        <w:tab/>
        <w:t xml:space="preserve">Comisia Europeană, Accesul la piețe, „Acordul de liber schimb UE-Coreea de Sud”, site-ul Comisiei Europene, accesat la 25 februarie 2026, </w:t>
      </w:r>
      <w:hyperlink r:id="rId2" w:history="1">
        <w:r w:rsidRPr="00D44500">
          <w:rPr>
            <w:rStyle w:val="Hyperlink"/>
          </w:rPr>
          <w:t>https://trade.ec.europa.eu/access-to-markets/en/content/eu-south-korea-free-trade-agreement</w:t>
        </w:r>
      </w:hyperlink>
      <w:r w:rsidRPr="00D44500">
        <w:t>.</w:t>
      </w:r>
    </w:p>
  </w:footnote>
  <w:footnote w:id="5">
    <w:p w14:paraId="120DF20A" w14:textId="0B65DB52" w:rsidR="007A3AF5" w:rsidRPr="000D4EE8" w:rsidRDefault="007A3AF5" w:rsidP="001F3F1A">
      <w:pPr>
        <w:pStyle w:val="FootnoteText"/>
        <w:jc w:val="left"/>
        <w:rPr>
          <w:lang w:val="fr-FR"/>
        </w:rPr>
      </w:pPr>
      <w:r w:rsidRPr="00D44500">
        <w:rPr>
          <w:rStyle w:val="FootnoteReference"/>
        </w:rPr>
        <w:footnoteRef/>
      </w:r>
      <w:r w:rsidRPr="00D44500">
        <w:tab/>
        <w:t xml:space="preserve">Comisia Europeană, Comerț și securitate economică, „Coreea de Sud. Relațiile comerciale ale UE cu Republica Coreea. Fapte, cifre și cele mai recente evoluții”, site-ul Comisiei Europene, accesat la 25 februarie 2026, </w:t>
      </w:r>
      <w:hyperlink r:id="rId3" w:history="1">
        <w:r w:rsidRPr="00D44500">
          <w:rPr>
            <w:rStyle w:val="Hyperlink"/>
          </w:rPr>
          <w:t>https://policy.trade.ec.europa.eu/eu-trade-relationships-country-and-region/countries-and-regions/south-korea_en</w:t>
        </w:r>
      </w:hyperlink>
      <w:r w:rsidRPr="00D4450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EFC6E" w14:textId="77777777" w:rsidR="003C656F" w:rsidRDefault="003C6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1DDF5" w14:textId="77777777" w:rsidR="003C656F" w:rsidRDefault="003C6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2BA8C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750596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27A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34236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3"/>
  </w:num>
  <w:num w:numId="3">
    <w:abstractNumId w:val="2"/>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5 08:24: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3F6124D-75F9-4BF3-8CC7-F413EA774088"/>
    <w:docVar w:name="LW_COVERPAGE_TYPE" w:val="1"/>
    <w:docVar w:name="LW_CreatedUtc" w:val="2025-11-28T13:48:16.8162307Z"/>
    <w:docVar w:name="LW_CROSSREFERENCE" w:val="&lt;UNUSED&gt;"/>
    <w:docVar w:name="LW_DocType" w:val="COM"/>
    <w:docVar w:name="LW_EMISSION" w:val="1.4.2026"/>
    <w:docVar w:name="LW_EMISSION_ISODATE" w:val="2026-04-01"/>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începerii negocierilor cu Republica Coreea în vederea unui acord de recunoa\u537?tere reciproc\u259? în materie de evaluare a conformit\u259?\u539?ii, de certificate \u537?i de marcaje"/>
    <w:docVar w:name="LW_TYPE.DOC.CP" w:val="DECIZIE A CONSILIULUI"/>
    <w:docVar w:name="LwApiVersions" w:val="LW4CoDe 1.24.5.0; LW 9.2, Build 20251112"/>
    <w:docVar w:name="Stamp" w:val="\\net1.cec.eu.int\offline\003\chatzde\Desktop\Editing\TRADE-2026-00181-00-00-EN-ORI-00.docx"/>
  </w:docVars>
  <w:rsids>
    <w:rsidRoot w:val="004D72F0"/>
    <w:rsid w:val="000041E4"/>
    <w:rsid w:val="000130B2"/>
    <w:rsid w:val="000177A3"/>
    <w:rsid w:val="00017CF3"/>
    <w:rsid w:val="000310D9"/>
    <w:rsid w:val="0003227B"/>
    <w:rsid w:val="000331F7"/>
    <w:rsid w:val="000355D0"/>
    <w:rsid w:val="00035972"/>
    <w:rsid w:val="0005422B"/>
    <w:rsid w:val="00076F33"/>
    <w:rsid w:val="00077CB3"/>
    <w:rsid w:val="00092A58"/>
    <w:rsid w:val="00095CED"/>
    <w:rsid w:val="000A17B3"/>
    <w:rsid w:val="000B0F57"/>
    <w:rsid w:val="000B19DC"/>
    <w:rsid w:val="000B281B"/>
    <w:rsid w:val="000C15E4"/>
    <w:rsid w:val="000C23D4"/>
    <w:rsid w:val="000C355F"/>
    <w:rsid w:val="000C6885"/>
    <w:rsid w:val="000D1B56"/>
    <w:rsid w:val="000D4EE8"/>
    <w:rsid w:val="000E0814"/>
    <w:rsid w:val="000E1480"/>
    <w:rsid w:val="000F7F0B"/>
    <w:rsid w:val="00103CE9"/>
    <w:rsid w:val="00106493"/>
    <w:rsid w:val="001065F5"/>
    <w:rsid w:val="00116AD6"/>
    <w:rsid w:val="001174B6"/>
    <w:rsid w:val="001238EF"/>
    <w:rsid w:val="00130629"/>
    <w:rsid w:val="0013155E"/>
    <w:rsid w:val="0013627E"/>
    <w:rsid w:val="00136E85"/>
    <w:rsid w:val="001403E5"/>
    <w:rsid w:val="00142986"/>
    <w:rsid w:val="00143B0C"/>
    <w:rsid w:val="00144CE1"/>
    <w:rsid w:val="00152573"/>
    <w:rsid w:val="00156C8F"/>
    <w:rsid w:val="00160E2D"/>
    <w:rsid w:val="00160F78"/>
    <w:rsid w:val="00163C2C"/>
    <w:rsid w:val="001671E5"/>
    <w:rsid w:val="00174102"/>
    <w:rsid w:val="001744A9"/>
    <w:rsid w:val="0018137B"/>
    <w:rsid w:val="00181D64"/>
    <w:rsid w:val="0018321E"/>
    <w:rsid w:val="0019192C"/>
    <w:rsid w:val="00195E17"/>
    <w:rsid w:val="00197613"/>
    <w:rsid w:val="00197BE0"/>
    <w:rsid w:val="001A20A6"/>
    <w:rsid w:val="001A3E1A"/>
    <w:rsid w:val="001A7134"/>
    <w:rsid w:val="001B405E"/>
    <w:rsid w:val="001B45E8"/>
    <w:rsid w:val="001F0C03"/>
    <w:rsid w:val="001F3F1A"/>
    <w:rsid w:val="002014A6"/>
    <w:rsid w:val="00202ACB"/>
    <w:rsid w:val="00210AA5"/>
    <w:rsid w:val="00211F69"/>
    <w:rsid w:val="002301B1"/>
    <w:rsid w:val="0023054C"/>
    <w:rsid w:val="00231034"/>
    <w:rsid w:val="00231393"/>
    <w:rsid w:val="00231A63"/>
    <w:rsid w:val="00233DC7"/>
    <w:rsid w:val="0024368C"/>
    <w:rsid w:val="00247779"/>
    <w:rsid w:val="00251809"/>
    <w:rsid w:val="00274490"/>
    <w:rsid w:val="00276D57"/>
    <w:rsid w:val="0028191D"/>
    <w:rsid w:val="00285BEE"/>
    <w:rsid w:val="002928B9"/>
    <w:rsid w:val="0029533F"/>
    <w:rsid w:val="002A5F83"/>
    <w:rsid w:val="002B30AF"/>
    <w:rsid w:val="002C503F"/>
    <w:rsid w:val="002D13C4"/>
    <w:rsid w:val="002D50FF"/>
    <w:rsid w:val="002F1807"/>
    <w:rsid w:val="002F2B4B"/>
    <w:rsid w:val="0030223A"/>
    <w:rsid w:val="003031B2"/>
    <w:rsid w:val="00304901"/>
    <w:rsid w:val="0030735D"/>
    <w:rsid w:val="00312B9B"/>
    <w:rsid w:val="00317479"/>
    <w:rsid w:val="00324DE6"/>
    <w:rsid w:val="003300D3"/>
    <w:rsid w:val="0033344A"/>
    <w:rsid w:val="00344362"/>
    <w:rsid w:val="00351F14"/>
    <w:rsid w:val="00352EDE"/>
    <w:rsid w:val="00355A58"/>
    <w:rsid w:val="00356951"/>
    <w:rsid w:val="00356EBA"/>
    <w:rsid w:val="00361242"/>
    <w:rsid w:val="00367B28"/>
    <w:rsid w:val="00374248"/>
    <w:rsid w:val="0037545A"/>
    <w:rsid w:val="00376746"/>
    <w:rsid w:val="003770E5"/>
    <w:rsid w:val="003821FF"/>
    <w:rsid w:val="003835A3"/>
    <w:rsid w:val="00395AE9"/>
    <w:rsid w:val="00397992"/>
    <w:rsid w:val="003A07EF"/>
    <w:rsid w:val="003A0D79"/>
    <w:rsid w:val="003A61FB"/>
    <w:rsid w:val="003C5D9E"/>
    <w:rsid w:val="003C656F"/>
    <w:rsid w:val="003E0956"/>
    <w:rsid w:val="003E7171"/>
    <w:rsid w:val="003F57F5"/>
    <w:rsid w:val="00416B72"/>
    <w:rsid w:val="0042648E"/>
    <w:rsid w:val="004270DE"/>
    <w:rsid w:val="00431C81"/>
    <w:rsid w:val="004337E3"/>
    <w:rsid w:val="004376CF"/>
    <w:rsid w:val="00444166"/>
    <w:rsid w:val="004449F3"/>
    <w:rsid w:val="00451664"/>
    <w:rsid w:val="00474482"/>
    <w:rsid w:val="00474F8D"/>
    <w:rsid w:val="0047567E"/>
    <w:rsid w:val="00482585"/>
    <w:rsid w:val="004936D2"/>
    <w:rsid w:val="004A23D7"/>
    <w:rsid w:val="004A6858"/>
    <w:rsid w:val="004A70DD"/>
    <w:rsid w:val="004B6177"/>
    <w:rsid w:val="004B64C3"/>
    <w:rsid w:val="004C01B8"/>
    <w:rsid w:val="004C0B3D"/>
    <w:rsid w:val="004C26FE"/>
    <w:rsid w:val="004C5450"/>
    <w:rsid w:val="004D0777"/>
    <w:rsid w:val="004D3A3E"/>
    <w:rsid w:val="004D5118"/>
    <w:rsid w:val="004D560B"/>
    <w:rsid w:val="004D59A7"/>
    <w:rsid w:val="004D72F0"/>
    <w:rsid w:val="004E517B"/>
    <w:rsid w:val="004E7985"/>
    <w:rsid w:val="004F78DF"/>
    <w:rsid w:val="00500E37"/>
    <w:rsid w:val="00501883"/>
    <w:rsid w:val="00501F81"/>
    <w:rsid w:val="00503CDF"/>
    <w:rsid w:val="00505992"/>
    <w:rsid w:val="005073B4"/>
    <w:rsid w:val="005171C7"/>
    <w:rsid w:val="00521FE1"/>
    <w:rsid w:val="0052303D"/>
    <w:rsid w:val="0052381E"/>
    <w:rsid w:val="00534796"/>
    <w:rsid w:val="00547911"/>
    <w:rsid w:val="00572D86"/>
    <w:rsid w:val="005764DD"/>
    <w:rsid w:val="00587868"/>
    <w:rsid w:val="00597994"/>
    <w:rsid w:val="005A1662"/>
    <w:rsid w:val="005B1EB6"/>
    <w:rsid w:val="005B5FCB"/>
    <w:rsid w:val="005C551D"/>
    <w:rsid w:val="005D1F90"/>
    <w:rsid w:val="005D3A6B"/>
    <w:rsid w:val="005D3EB7"/>
    <w:rsid w:val="005E0BB2"/>
    <w:rsid w:val="005E599C"/>
    <w:rsid w:val="006028A7"/>
    <w:rsid w:val="00605546"/>
    <w:rsid w:val="00607740"/>
    <w:rsid w:val="00612944"/>
    <w:rsid w:val="0061482C"/>
    <w:rsid w:val="00616E97"/>
    <w:rsid w:val="0062555A"/>
    <w:rsid w:val="006319B1"/>
    <w:rsid w:val="00643DF7"/>
    <w:rsid w:val="00650115"/>
    <w:rsid w:val="00660B60"/>
    <w:rsid w:val="00663A5A"/>
    <w:rsid w:val="00667833"/>
    <w:rsid w:val="00670EA5"/>
    <w:rsid w:val="006716E4"/>
    <w:rsid w:val="00675690"/>
    <w:rsid w:val="00681EF3"/>
    <w:rsid w:val="00692184"/>
    <w:rsid w:val="00693D0A"/>
    <w:rsid w:val="006A2008"/>
    <w:rsid w:val="006A799C"/>
    <w:rsid w:val="006B1971"/>
    <w:rsid w:val="006B4054"/>
    <w:rsid w:val="006B5DE9"/>
    <w:rsid w:val="006B683D"/>
    <w:rsid w:val="006C0E39"/>
    <w:rsid w:val="006D1C75"/>
    <w:rsid w:val="006D20C8"/>
    <w:rsid w:val="006D5FA1"/>
    <w:rsid w:val="006E6364"/>
    <w:rsid w:val="00701383"/>
    <w:rsid w:val="00710FD5"/>
    <w:rsid w:val="0071372D"/>
    <w:rsid w:val="00715095"/>
    <w:rsid w:val="00722BFC"/>
    <w:rsid w:val="007237E4"/>
    <w:rsid w:val="007242E2"/>
    <w:rsid w:val="00724E95"/>
    <w:rsid w:val="00736D23"/>
    <w:rsid w:val="00741D62"/>
    <w:rsid w:val="00743EDA"/>
    <w:rsid w:val="0075010A"/>
    <w:rsid w:val="00773331"/>
    <w:rsid w:val="00773727"/>
    <w:rsid w:val="0078654C"/>
    <w:rsid w:val="007903BC"/>
    <w:rsid w:val="007932EF"/>
    <w:rsid w:val="007A3AF5"/>
    <w:rsid w:val="007A6844"/>
    <w:rsid w:val="007A7A36"/>
    <w:rsid w:val="007B03BC"/>
    <w:rsid w:val="007B29FE"/>
    <w:rsid w:val="007B544C"/>
    <w:rsid w:val="007C2118"/>
    <w:rsid w:val="007C240B"/>
    <w:rsid w:val="007E05B0"/>
    <w:rsid w:val="007E35B1"/>
    <w:rsid w:val="007E5B2D"/>
    <w:rsid w:val="007F0928"/>
    <w:rsid w:val="007F1AB0"/>
    <w:rsid w:val="007F419D"/>
    <w:rsid w:val="008023A1"/>
    <w:rsid w:val="00805500"/>
    <w:rsid w:val="00812E1B"/>
    <w:rsid w:val="0081530C"/>
    <w:rsid w:val="00815B45"/>
    <w:rsid w:val="00815D72"/>
    <w:rsid w:val="00821D7B"/>
    <w:rsid w:val="00846031"/>
    <w:rsid w:val="008461BA"/>
    <w:rsid w:val="00850399"/>
    <w:rsid w:val="00851BA8"/>
    <w:rsid w:val="00857345"/>
    <w:rsid w:val="008579B2"/>
    <w:rsid w:val="008732DB"/>
    <w:rsid w:val="00874D22"/>
    <w:rsid w:val="00883E93"/>
    <w:rsid w:val="00884C23"/>
    <w:rsid w:val="00895581"/>
    <w:rsid w:val="00896DC6"/>
    <w:rsid w:val="008A1766"/>
    <w:rsid w:val="008A2914"/>
    <w:rsid w:val="008A2CD3"/>
    <w:rsid w:val="008A6F2E"/>
    <w:rsid w:val="008B02E5"/>
    <w:rsid w:val="008C0E17"/>
    <w:rsid w:val="008C5E48"/>
    <w:rsid w:val="008C696F"/>
    <w:rsid w:val="008D0706"/>
    <w:rsid w:val="008D205D"/>
    <w:rsid w:val="008D3FA7"/>
    <w:rsid w:val="008E0439"/>
    <w:rsid w:val="008E24FF"/>
    <w:rsid w:val="008E4D8E"/>
    <w:rsid w:val="008F3DAF"/>
    <w:rsid w:val="008F4760"/>
    <w:rsid w:val="00902ECC"/>
    <w:rsid w:val="009030D0"/>
    <w:rsid w:val="0090331F"/>
    <w:rsid w:val="00910067"/>
    <w:rsid w:val="00913F67"/>
    <w:rsid w:val="00936209"/>
    <w:rsid w:val="009419AE"/>
    <w:rsid w:val="00963775"/>
    <w:rsid w:val="00966530"/>
    <w:rsid w:val="009768C6"/>
    <w:rsid w:val="00977A42"/>
    <w:rsid w:val="00986BFD"/>
    <w:rsid w:val="009A01BD"/>
    <w:rsid w:val="009B06C8"/>
    <w:rsid w:val="009B3C53"/>
    <w:rsid w:val="009B4BAF"/>
    <w:rsid w:val="009B65ED"/>
    <w:rsid w:val="009C310D"/>
    <w:rsid w:val="009C7879"/>
    <w:rsid w:val="009D6C16"/>
    <w:rsid w:val="009F299C"/>
    <w:rsid w:val="009F29DC"/>
    <w:rsid w:val="009F301E"/>
    <w:rsid w:val="009F4624"/>
    <w:rsid w:val="009F5E47"/>
    <w:rsid w:val="009F5EC0"/>
    <w:rsid w:val="00A02975"/>
    <w:rsid w:val="00A135EA"/>
    <w:rsid w:val="00A1398D"/>
    <w:rsid w:val="00A208BF"/>
    <w:rsid w:val="00A22345"/>
    <w:rsid w:val="00A23730"/>
    <w:rsid w:val="00A24042"/>
    <w:rsid w:val="00A26A9F"/>
    <w:rsid w:val="00A33367"/>
    <w:rsid w:val="00A34442"/>
    <w:rsid w:val="00A408BE"/>
    <w:rsid w:val="00A4677B"/>
    <w:rsid w:val="00A54695"/>
    <w:rsid w:val="00A57E7A"/>
    <w:rsid w:val="00A60910"/>
    <w:rsid w:val="00A63305"/>
    <w:rsid w:val="00A64E86"/>
    <w:rsid w:val="00A95C4D"/>
    <w:rsid w:val="00A96AC7"/>
    <w:rsid w:val="00A97BFD"/>
    <w:rsid w:val="00AA7DE8"/>
    <w:rsid w:val="00AB00FD"/>
    <w:rsid w:val="00AB0E81"/>
    <w:rsid w:val="00AB234F"/>
    <w:rsid w:val="00AC1722"/>
    <w:rsid w:val="00AC4B66"/>
    <w:rsid w:val="00AC533B"/>
    <w:rsid w:val="00AC6B58"/>
    <w:rsid w:val="00AD3415"/>
    <w:rsid w:val="00AD41AE"/>
    <w:rsid w:val="00AD6B91"/>
    <w:rsid w:val="00AE0C06"/>
    <w:rsid w:val="00AF068B"/>
    <w:rsid w:val="00B007E6"/>
    <w:rsid w:val="00B05131"/>
    <w:rsid w:val="00B1060C"/>
    <w:rsid w:val="00B10888"/>
    <w:rsid w:val="00B11502"/>
    <w:rsid w:val="00B171E4"/>
    <w:rsid w:val="00B33E6B"/>
    <w:rsid w:val="00B35C9A"/>
    <w:rsid w:val="00B37426"/>
    <w:rsid w:val="00B37596"/>
    <w:rsid w:val="00B4339E"/>
    <w:rsid w:val="00B4727A"/>
    <w:rsid w:val="00B52142"/>
    <w:rsid w:val="00B52755"/>
    <w:rsid w:val="00B54D92"/>
    <w:rsid w:val="00B6290E"/>
    <w:rsid w:val="00B66925"/>
    <w:rsid w:val="00B67FEE"/>
    <w:rsid w:val="00B7059E"/>
    <w:rsid w:val="00B70812"/>
    <w:rsid w:val="00B72D8B"/>
    <w:rsid w:val="00B81E77"/>
    <w:rsid w:val="00B8371B"/>
    <w:rsid w:val="00B83F0F"/>
    <w:rsid w:val="00B83FFB"/>
    <w:rsid w:val="00B93D46"/>
    <w:rsid w:val="00B971DD"/>
    <w:rsid w:val="00B97577"/>
    <w:rsid w:val="00BA7C9F"/>
    <w:rsid w:val="00BB59D3"/>
    <w:rsid w:val="00BC3012"/>
    <w:rsid w:val="00BC50E6"/>
    <w:rsid w:val="00BD4FAF"/>
    <w:rsid w:val="00BD70D6"/>
    <w:rsid w:val="00BE0355"/>
    <w:rsid w:val="00BE7388"/>
    <w:rsid w:val="00BF141B"/>
    <w:rsid w:val="00C02789"/>
    <w:rsid w:val="00C02B49"/>
    <w:rsid w:val="00C12301"/>
    <w:rsid w:val="00C1624C"/>
    <w:rsid w:val="00C17358"/>
    <w:rsid w:val="00C22BDF"/>
    <w:rsid w:val="00C33CD9"/>
    <w:rsid w:val="00C4261E"/>
    <w:rsid w:val="00C446B9"/>
    <w:rsid w:val="00C52A5F"/>
    <w:rsid w:val="00C54AEB"/>
    <w:rsid w:val="00C63910"/>
    <w:rsid w:val="00C63955"/>
    <w:rsid w:val="00C65005"/>
    <w:rsid w:val="00C66DD9"/>
    <w:rsid w:val="00C85CA6"/>
    <w:rsid w:val="00C8639A"/>
    <w:rsid w:val="00C918B8"/>
    <w:rsid w:val="00CB1616"/>
    <w:rsid w:val="00CB5295"/>
    <w:rsid w:val="00CC0B36"/>
    <w:rsid w:val="00CC7A34"/>
    <w:rsid w:val="00CD5A3F"/>
    <w:rsid w:val="00CE35AB"/>
    <w:rsid w:val="00CE385A"/>
    <w:rsid w:val="00CE690F"/>
    <w:rsid w:val="00CE70ED"/>
    <w:rsid w:val="00D0129B"/>
    <w:rsid w:val="00D02394"/>
    <w:rsid w:val="00D14E38"/>
    <w:rsid w:val="00D1770B"/>
    <w:rsid w:val="00D17AC4"/>
    <w:rsid w:val="00D17BE0"/>
    <w:rsid w:val="00D20381"/>
    <w:rsid w:val="00D2535C"/>
    <w:rsid w:val="00D31E3A"/>
    <w:rsid w:val="00D44500"/>
    <w:rsid w:val="00D47DE1"/>
    <w:rsid w:val="00D51797"/>
    <w:rsid w:val="00D53F0E"/>
    <w:rsid w:val="00D60883"/>
    <w:rsid w:val="00D75648"/>
    <w:rsid w:val="00D77F7A"/>
    <w:rsid w:val="00D84EEC"/>
    <w:rsid w:val="00D95FD7"/>
    <w:rsid w:val="00D96AEC"/>
    <w:rsid w:val="00DA336E"/>
    <w:rsid w:val="00DA7822"/>
    <w:rsid w:val="00DB341B"/>
    <w:rsid w:val="00DE1C7F"/>
    <w:rsid w:val="00DE3B27"/>
    <w:rsid w:val="00DE402F"/>
    <w:rsid w:val="00DE53C9"/>
    <w:rsid w:val="00DE6B54"/>
    <w:rsid w:val="00DF0529"/>
    <w:rsid w:val="00DF6869"/>
    <w:rsid w:val="00E05E7A"/>
    <w:rsid w:val="00E06D03"/>
    <w:rsid w:val="00E12E57"/>
    <w:rsid w:val="00E176F9"/>
    <w:rsid w:val="00E23319"/>
    <w:rsid w:val="00E41D12"/>
    <w:rsid w:val="00E441D2"/>
    <w:rsid w:val="00E46B4C"/>
    <w:rsid w:val="00E50095"/>
    <w:rsid w:val="00E51EB7"/>
    <w:rsid w:val="00E63725"/>
    <w:rsid w:val="00E653CA"/>
    <w:rsid w:val="00E658D6"/>
    <w:rsid w:val="00E664ED"/>
    <w:rsid w:val="00E66546"/>
    <w:rsid w:val="00E712D3"/>
    <w:rsid w:val="00E92EE9"/>
    <w:rsid w:val="00E9441B"/>
    <w:rsid w:val="00E9489F"/>
    <w:rsid w:val="00E9654F"/>
    <w:rsid w:val="00EA2590"/>
    <w:rsid w:val="00EA4D42"/>
    <w:rsid w:val="00EA6E53"/>
    <w:rsid w:val="00EA7C17"/>
    <w:rsid w:val="00EB749F"/>
    <w:rsid w:val="00ED38CD"/>
    <w:rsid w:val="00ED4716"/>
    <w:rsid w:val="00EE3DDB"/>
    <w:rsid w:val="00EE4BDD"/>
    <w:rsid w:val="00EE5191"/>
    <w:rsid w:val="00EE51C1"/>
    <w:rsid w:val="00EF39DB"/>
    <w:rsid w:val="00F0727D"/>
    <w:rsid w:val="00F17BC9"/>
    <w:rsid w:val="00F21B03"/>
    <w:rsid w:val="00F246C2"/>
    <w:rsid w:val="00F25EF9"/>
    <w:rsid w:val="00F26957"/>
    <w:rsid w:val="00F26A37"/>
    <w:rsid w:val="00F26DD2"/>
    <w:rsid w:val="00F43A50"/>
    <w:rsid w:val="00F43D2B"/>
    <w:rsid w:val="00F44F1D"/>
    <w:rsid w:val="00F56439"/>
    <w:rsid w:val="00F60554"/>
    <w:rsid w:val="00F67B7A"/>
    <w:rsid w:val="00F835AA"/>
    <w:rsid w:val="00F84F82"/>
    <w:rsid w:val="00F928E0"/>
    <w:rsid w:val="00F94204"/>
    <w:rsid w:val="00FA0181"/>
    <w:rsid w:val="00FA0607"/>
    <w:rsid w:val="00FA2B8B"/>
    <w:rsid w:val="00FA3AD8"/>
    <w:rsid w:val="00FA48A6"/>
    <w:rsid w:val="00FA768C"/>
    <w:rsid w:val="00FB5CCE"/>
    <w:rsid w:val="00FC38F8"/>
    <w:rsid w:val="00FC6E02"/>
    <w:rsid w:val="00FD7B49"/>
    <w:rsid w:val="00FE0214"/>
    <w:rsid w:val="00FE2A93"/>
    <w:rsid w:val="00FF0F5C"/>
    <w:rsid w:val="00FF1206"/>
    <w:rsid w:val="029C162C"/>
    <w:rsid w:val="05175C0D"/>
    <w:rsid w:val="06AE273B"/>
    <w:rsid w:val="089A38D4"/>
    <w:rsid w:val="0AE09CAA"/>
    <w:rsid w:val="0D88DA61"/>
    <w:rsid w:val="0F7F1F99"/>
    <w:rsid w:val="156882F5"/>
    <w:rsid w:val="19CB2EC7"/>
    <w:rsid w:val="19D0DE06"/>
    <w:rsid w:val="19E38644"/>
    <w:rsid w:val="1AC4BAC4"/>
    <w:rsid w:val="1C1F9807"/>
    <w:rsid w:val="1C61380E"/>
    <w:rsid w:val="1DC32F85"/>
    <w:rsid w:val="1FB19B25"/>
    <w:rsid w:val="242C0868"/>
    <w:rsid w:val="25270A29"/>
    <w:rsid w:val="25CE45C1"/>
    <w:rsid w:val="26475969"/>
    <w:rsid w:val="27654CE3"/>
    <w:rsid w:val="289C9257"/>
    <w:rsid w:val="290A2ADA"/>
    <w:rsid w:val="2E418B5D"/>
    <w:rsid w:val="2EEC7C4E"/>
    <w:rsid w:val="2F9DD98C"/>
    <w:rsid w:val="31D7711A"/>
    <w:rsid w:val="33232C21"/>
    <w:rsid w:val="3340250B"/>
    <w:rsid w:val="3341583B"/>
    <w:rsid w:val="36294051"/>
    <w:rsid w:val="375BBC50"/>
    <w:rsid w:val="3C6B01B5"/>
    <w:rsid w:val="3DCC632B"/>
    <w:rsid w:val="40517545"/>
    <w:rsid w:val="44D6A400"/>
    <w:rsid w:val="47BD096F"/>
    <w:rsid w:val="4867F919"/>
    <w:rsid w:val="4A864B4D"/>
    <w:rsid w:val="4A968FFA"/>
    <w:rsid w:val="4AF1A0F6"/>
    <w:rsid w:val="4C431681"/>
    <w:rsid w:val="4E221410"/>
    <w:rsid w:val="5016EE7B"/>
    <w:rsid w:val="50B19EC8"/>
    <w:rsid w:val="53FA7C3C"/>
    <w:rsid w:val="55DA554A"/>
    <w:rsid w:val="563E96F4"/>
    <w:rsid w:val="567552F7"/>
    <w:rsid w:val="58978647"/>
    <w:rsid w:val="594A5D72"/>
    <w:rsid w:val="5A5E29D4"/>
    <w:rsid w:val="5ACAAF85"/>
    <w:rsid w:val="5BB6A56F"/>
    <w:rsid w:val="5BE71DF2"/>
    <w:rsid w:val="5C099454"/>
    <w:rsid w:val="5D584C82"/>
    <w:rsid w:val="5DF3705F"/>
    <w:rsid w:val="60A38AAF"/>
    <w:rsid w:val="6230D99E"/>
    <w:rsid w:val="64135B3F"/>
    <w:rsid w:val="642666C3"/>
    <w:rsid w:val="673887E6"/>
    <w:rsid w:val="68160A15"/>
    <w:rsid w:val="6A8632C8"/>
    <w:rsid w:val="703E31D1"/>
    <w:rsid w:val="73775265"/>
    <w:rsid w:val="7418F66C"/>
    <w:rsid w:val="75ACAA0D"/>
    <w:rsid w:val="77166BE5"/>
    <w:rsid w:val="7745941A"/>
    <w:rsid w:val="77E02F0D"/>
    <w:rsid w:val="79124859"/>
    <w:rsid w:val="7CA3AF96"/>
    <w:rsid w:val="7E45C1EF"/>
    <w:rsid w:val="7E7E192D"/>
    <w:rsid w:val="7F2859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C5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uiPriority w:val="99"/>
    <w:semiHidden/>
    <w:unhideWhenUsed/>
    <w:rsid w:val="001A3E1A"/>
    <w:pPr>
      <w:numPr>
        <w:numId w:val="1"/>
      </w:numPr>
      <w:contextualSpacing/>
    </w:pPr>
  </w:style>
  <w:style w:type="character" w:styleId="Hyperlink">
    <w:name w:val="Hyperlink"/>
    <w:basedOn w:val="DefaultParagraphFont"/>
    <w:uiPriority w:val="99"/>
    <w:unhideWhenUsed/>
    <w:rsid w:val="007A3AF5"/>
    <w:rPr>
      <w:color w:val="0000FF" w:themeColor="hyperlink"/>
      <w:u w:val="single"/>
    </w:rPr>
  </w:style>
  <w:style w:type="character" w:customStyle="1" w:styleId="UnresolvedMention">
    <w:name w:val="Unresolved Mention"/>
    <w:basedOn w:val="DefaultParagraphFont"/>
    <w:uiPriority w:val="99"/>
    <w:semiHidden/>
    <w:unhideWhenUsed/>
    <w:rsid w:val="007A3AF5"/>
    <w:rPr>
      <w:color w:val="605E5C"/>
      <w:shd w:val="clear" w:color="auto" w:fill="E1DFDD"/>
    </w:rPr>
  </w:style>
  <w:style w:type="character" w:styleId="FollowedHyperlink">
    <w:name w:val="FollowedHyperlink"/>
    <w:basedOn w:val="DefaultParagraphFont"/>
    <w:uiPriority w:val="99"/>
    <w:semiHidden/>
    <w:unhideWhenUsed/>
    <w:rsid w:val="009F29DC"/>
    <w:rPr>
      <w:color w:val="800080" w:themeColor="followedHyperlink"/>
      <w:u w:val="single"/>
    </w:rPr>
  </w:style>
  <w:style w:type="character" w:styleId="CommentReference">
    <w:name w:val="annotation reference"/>
    <w:basedOn w:val="DefaultParagraphFont"/>
    <w:uiPriority w:val="99"/>
    <w:semiHidden/>
    <w:unhideWhenUsed/>
    <w:rsid w:val="006D1C75"/>
    <w:rPr>
      <w:sz w:val="16"/>
      <w:szCs w:val="16"/>
    </w:rPr>
  </w:style>
  <w:style w:type="paragraph" w:styleId="CommentText">
    <w:name w:val="annotation text"/>
    <w:basedOn w:val="Normal"/>
    <w:link w:val="CommentTextChar"/>
    <w:uiPriority w:val="99"/>
    <w:unhideWhenUsed/>
    <w:rsid w:val="006D1C75"/>
    <w:rPr>
      <w:sz w:val="20"/>
      <w:szCs w:val="20"/>
    </w:rPr>
  </w:style>
  <w:style w:type="character" w:customStyle="1" w:styleId="CommentTextChar">
    <w:name w:val="Comment Text Char"/>
    <w:basedOn w:val="DefaultParagraphFont"/>
    <w:link w:val="CommentText"/>
    <w:uiPriority w:val="99"/>
    <w:rsid w:val="006D1C7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D1C75"/>
    <w:rPr>
      <w:b/>
      <w:bCs/>
    </w:rPr>
  </w:style>
  <w:style w:type="character" w:customStyle="1" w:styleId="CommentSubjectChar">
    <w:name w:val="Comment Subject Char"/>
    <w:basedOn w:val="CommentTextChar"/>
    <w:link w:val="CommentSubject"/>
    <w:uiPriority w:val="99"/>
    <w:semiHidden/>
    <w:rsid w:val="006D1C75"/>
    <w:rPr>
      <w:rFonts w:ascii="Times New Roman" w:hAnsi="Times New Roman" w:cs="Times New Roman"/>
      <w:b/>
      <w:bCs/>
      <w:sz w:val="20"/>
      <w:szCs w:val="20"/>
      <w:lang w:val="ro-RO"/>
    </w:rPr>
  </w:style>
  <w:style w:type="paragraph" w:styleId="Revision">
    <w:name w:val="Revision"/>
    <w:hidden/>
    <w:uiPriority w:val="99"/>
    <w:semiHidden/>
    <w:rsid w:val="003F57F5"/>
    <w:pPr>
      <w:spacing w:after="0" w:line="240" w:lineRule="auto"/>
    </w:pPr>
    <w:rPr>
      <w:rFonts w:ascii="Times New Roman" w:hAnsi="Times New Roman" w:cs="Times New Roman"/>
      <w:sz w:val="24"/>
    </w:rPr>
  </w:style>
  <w:style w:type="paragraph" w:styleId="ListParagraph">
    <w:name w:val="List Paragraph"/>
    <w:basedOn w:val="Normal"/>
    <w:uiPriority w:val="34"/>
    <w:qFormat/>
    <w:rsid w:val="64135B3F"/>
    <w:pPr>
      <w:ind w:left="720"/>
      <w:contextualSpacing/>
    </w:pPr>
  </w:style>
  <w:style w:type="paragraph" w:styleId="ListBullet">
    <w:name w:val="List Bullet"/>
    <w:basedOn w:val="Normal"/>
    <w:uiPriority w:val="99"/>
    <w:semiHidden/>
    <w:unhideWhenUsed/>
    <w:rsid w:val="00B83F0F"/>
    <w:pPr>
      <w:numPr>
        <w:numId w:val="2"/>
      </w:numPr>
      <w:contextualSpacing/>
    </w:pPr>
  </w:style>
  <w:style w:type="paragraph" w:styleId="ListBullet2">
    <w:name w:val="List Bullet 2"/>
    <w:basedOn w:val="Normal"/>
    <w:uiPriority w:val="99"/>
    <w:semiHidden/>
    <w:unhideWhenUsed/>
    <w:rsid w:val="00B83F0F"/>
    <w:pPr>
      <w:numPr>
        <w:numId w:val="3"/>
      </w:numPr>
      <w:contextualSpacing/>
    </w:pPr>
  </w:style>
  <w:style w:type="paragraph" w:styleId="ListBullet4">
    <w:name w:val="List Bullet 4"/>
    <w:basedOn w:val="Normal"/>
    <w:uiPriority w:val="99"/>
    <w:semiHidden/>
    <w:unhideWhenUsed/>
    <w:rsid w:val="00B83F0F"/>
    <w:pPr>
      <w:numPr>
        <w:numId w:val="4"/>
      </w:numPr>
      <w:contextualSpacing/>
    </w:pPr>
  </w:style>
  <w:style w:type="character" w:customStyle="1" w:styleId="HeaderChar">
    <w:name w:val="Header Char"/>
    <w:basedOn w:val="DefaultParagraphFont"/>
    <w:link w:val="Header"/>
    <w:uiPriority w:val="99"/>
    <w:rsid w:val="003C656F"/>
    <w:rPr>
      <w:rFonts w:ascii="Times New Roman" w:hAnsi="Times New Roman" w:cs="Times New Roman"/>
      <w:sz w:val="24"/>
      <w:lang w:val="ro-RO"/>
    </w:rPr>
  </w:style>
  <w:style w:type="character" w:customStyle="1" w:styleId="FooterChar">
    <w:name w:val="Footer Char"/>
    <w:basedOn w:val="DefaultParagraphFont"/>
    <w:link w:val="Footer"/>
    <w:uiPriority w:val="99"/>
    <w:rsid w:val="003C656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C656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C656F"/>
    <w:pPr>
      <w:spacing w:before="0"/>
      <w:jc w:val="right"/>
    </w:pPr>
    <w:rPr>
      <w:sz w:val="28"/>
    </w:rPr>
  </w:style>
  <w:style w:type="paragraph" w:customStyle="1" w:styleId="FooterSensitivity">
    <w:name w:val="Footer Sensitivity"/>
    <w:basedOn w:val="Normal"/>
    <w:rsid w:val="003C656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C656F"/>
    <w:pPr>
      <w:tabs>
        <w:tab w:val="center" w:pos="4535"/>
        <w:tab w:val="right" w:pos="9071"/>
      </w:tabs>
      <w:spacing w:before="0"/>
    </w:pPr>
  </w:style>
  <w:style w:type="paragraph" w:customStyle="1" w:styleId="HeaderLandscape">
    <w:name w:val="HeaderLandscape"/>
    <w:basedOn w:val="Normal"/>
    <w:rsid w:val="003C656F"/>
    <w:pPr>
      <w:tabs>
        <w:tab w:val="center" w:pos="7285"/>
        <w:tab w:val="right" w:pos="14003"/>
      </w:tabs>
      <w:spacing w:before="0"/>
    </w:pPr>
  </w:style>
  <w:style w:type="paragraph" w:styleId="Footer">
    <w:name w:val="footer"/>
    <w:basedOn w:val="Normal"/>
    <w:link w:val="FooterChar"/>
    <w:uiPriority w:val="99"/>
    <w:unhideWhenUsed/>
    <w:rsid w:val="003C656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C656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0298">
      <w:bodyDiv w:val="1"/>
      <w:marLeft w:val="0"/>
      <w:marRight w:val="0"/>
      <w:marTop w:val="0"/>
      <w:marBottom w:val="0"/>
      <w:divBdr>
        <w:top w:val="none" w:sz="0" w:space="0" w:color="auto"/>
        <w:left w:val="none" w:sz="0" w:space="0" w:color="auto"/>
        <w:bottom w:val="none" w:sz="0" w:space="0" w:color="auto"/>
        <w:right w:val="none" w:sz="0" w:space="0" w:color="auto"/>
      </w:divBdr>
      <w:divsChild>
        <w:div w:id="67504000">
          <w:marLeft w:val="0"/>
          <w:marRight w:val="0"/>
          <w:marTop w:val="0"/>
          <w:marBottom w:val="0"/>
          <w:divBdr>
            <w:top w:val="none" w:sz="0" w:space="0" w:color="auto"/>
            <w:left w:val="none" w:sz="0" w:space="0" w:color="auto"/>
            <w:bottom w:val="none" w:sz="0" w:space="0" w:color="auto"/>
            <w:right w:val="none" w:sz="0" w:space="0" w:color="auto"/>
          </w:divBdr>
        </w:div>
        <w:div w:id="880021323">
          <w:marLeft w:val="0"/>
          <w:marRight w:val="0"/>
          <w:marTop w:val="0"/>
          <w:marBottom w:val="0"/>
          <w:divBdr>
            <w:top w:val="none" w:sz="0" w:space="0" w:color="auto"/>
            <w:left w:val="none" w:sz="0" w:space="0" w:color="auto"/>
            <w:bottom w:val="none" w:sz="0" w:space="0" w:color="auto"/>
            <w:right w:val="none" w:sz="0" w:space="0" w:color="auto"/>
          </w:divBdr>
        </w:div>
        <w:div w:id="1129516623">
          <w:marLeft w:val="0"/>
          <w:marRight w:val="0"/>
          <w:marTop w:val="0"/>
          <w:marBottom w:val="0"/>
          <w:divBdr>
            <w:top w:val="none" w:sz="0" w:space="0" w:color="auto"/>
            <w:left w:val="none" w:sz="0" w:space="0" w:color="auto"/>
            <w:bottom w:val="none" w:sz="0" w:space="0" w:color="auto"/>
            <w:right w:val="none" w:sz="0" w:space="0" w:color="auto"/>
          </w:divBdr>
        </w:div>
      </w:divsChild>
    </w:div>
    <w:div w:id="94717193">
      <w:bodyDiv w:val="1"/>
      <w:marLeft w:val="0"/>
      <w:marRight w:val="0"/>
      <w:marTop w:val="0"/>
      <w:marBottom w:val="0"/>
      <w:divBdr>
        <w:top w:val="none" w:sz="0" w:space="0" w:color="auto"/>
        <w:left w:val="none" w:sz="0" w:space="0" w:color="auto"/>
        <w:bottom w:val="none" w:sz="0" w:space="0" w:color="auto"/>
        <w:right w:val="none" w:sz="0" w:space="0" w:color="auto"/>
      </w:divBdr>
    </w:div>
    <w:div w:id="187498737">
      <w:bodyDiv w:val="1"/>
      <w:marLeft w:val="0"/>
      <w:marRight w:val="0"/>
      <w:marTop w:val="0"/>
      <w:marBottom w:val="0"/>
      <w:divBdr>
        <w:top w:val="none" w:sz="0" w:space="0" w:color="auto"/>
        <w:left w:val="none" w:sz="0" w:space="0" w:color="auto"/>
        <w:bottom w:val="none" w:sz="0" w:space="0" w:color="auto"/>
        <w:right w:val="none" w:sz="0" w:space="0" w:color="auto"/>
      </w:divBdr>
    </w:div>
    <w:div w:id="194662564">
      <w:bodyDiv w:val="1"/>
      <w:marLeft w:val="0"/>
      <w:marRight w:val="0"/>
      <w:marTop w:val="0"/>
      <w:marBottom w:val="0"/>
      <w:divBdr>
        <w:top w:val="none" w:sz="0" w:space="0" w:color="auto"/>
        <w:left w:val="none" w:sz="0" w:space="0" w:color="auto"/>
        <w:bottom w:val="none" w:sz="0" w:space="0" w:color="auto"/>
        <w:right w:val="none" w:sz="0" w:space="0" w:color="auto"/>
      </w:divBdr>
      <w:divsChild>
        <w:div w:id="63453672">
          <w:marLeft w:val="0"/>
          <w:marRight w:val="0"/>
          <w:marTop w:val="0"/>
          <w:marBottom w:val="0"/>
          <w:divBdr>
            <w:top w:val="none" w:sz="0" w:space="0" w:color="auto"/>
            <w:left w:val="none" w:sz="0" w:space="0" w:color="auto"/>
            <w:bottom w:val="none" w:sz="0" w:space="0" w:color="auto"/>
            <w:right w:val="none" w:sz="0" w:space="0" w:color="auto"/>
          </w:divBdr>
        </w:div>
        <w:div w:id="213666051">
          <w:marLeft w:val="0"/>
          <w:marRight w:val="0"/>
          <w:marTop w:val="0"/>
          <w:marBottom w:val="0"/>
          <w:divBdr>
            <w:top w:val="none" w:sz="0" w:space="0" w:color="auto"/>
            <w:left w:val="none" w:sz="0" w:space="0" w:color="auto"/>
            <w:bottom w:val="none" w:sz="0" w:space="0" w:color="auto"/>
            <w:right w:val="none" w:sz="0" w:space="0" w:color="auto"/>
          </w:divBdr>
        </w:div>
        <w:div w:id="307781049">
          <w:marLeft w:val="0"/>
          <w:marRight w:val="0"/>
          <w:marTop w:val="0"/>
          <w:marBottom w:val="0"/>
          <w:divBdr>
            <w:top w:val="none" w:sz="0" w:space="0" w:color="auto"/>
            <w:left w:val="none" w:sz="0" w:space="0" w:color="auto"/>
            <w:bottom w:val="none" w:sz="0" w:space="0" w:color="auto"/>
            <w:right w:val="none" w:sz="0" w:space="0" w:color="auto"/>
          </w:divBdr>
        </w:div>
        <w:div w:id="374433255">
          <w:marLeft w:val="0"/>
          <w:marRight w:val="0"/>
          <w:marTop w:val="0"/>
          <w:marBottom w:val="0"/>
          <w:divBdr>
            <w:top w:val="none" w:sz="0" w:space="0" w:color="auto"/>
            <w:left w:val="none" w:sz="0" w:space="0" w:color="auto"/>
            <w:bottom w:val="none" w:sz="0" w:space="0" w:color="auto"/>
            <w:right w:val="none" w:sz="0" w:space="0" w:color="auto"/>
          </w:divBdr>
        </w:div>
        <w:div w:id="538737239">
          <w:marLeft w:val="0"/>
          <w:marRight w:val="0"/>
          <w:marTop w:val="0"/>
          <w:marBottom w:val="0"/>
          <w:divBdr>
            <w:top w:val="none" w:sz="0" w:space="0" w:color="auto"/>
            <w:left w:val="none" w:sz="0" w:space="0" w:color="auto"/>
            <w:bottom w:val="none" w:sz="0" w:space="0" w:color="auto"/>
            <w:right w:val="none" w:sz="0" w:space="0" w:color="auto"/>
          </w:divBdr>
        </w:div>
        <w:div w:id="1950895750">
          <w:marLeft w:val="0"/>
          <w:marRight w:val="0"/>
          <w:marTop w:val="0"/>
          <w:marBottom w:val="0"/>
          <w:divBdr>
            <w:top w:val="none" w:sz="0" w:space="0" w:color="auto"/>
            <w:left w:val="none" w:sz="0" w:space="0" w:color="auto"/>
            <w:bottom w:val="none" w:sz="0" w:space="0" w:color="auto"/>
            <w:right w:val="none" w:sz="0" w:space="0" w:color="auto"/>
          </w:divBdr>
          <w:divsChild>
            <w:div w:id="44330441">
              <w:marLeft w:val="0"/>
              <w:marRight w:val="0"/>
              <w:marTop w:val="0"/>
              <w:marBottom w:val="0"/>
              <w:divBdr>
                <w:top w:val="none" w:sz="0" w:space="0" w:color="auto"/>
                <w:left w:val="none" w:sz="0" w:space="0" w:color="auto"/>
                <w:bottom w:val="none" w:sz="0" w:space="0" w:color="auto"/>
                <w:right w:val="none" w:sz="0" w:space="0" w:color="auto"/>
              </w:divBdr>
            </w:div>
            <w:div w:id="152686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777">
      <w:bodyDiv w:val="1"/>
      <w:marLeft w:val="0"/>
      <w:marRight w:val="0"/>
      <w:marTop w:val="0"/>
      <w:marBottom w:val="0"/>
      <w:divBdr>
        <w:top w:val="none" w:sz="0" w:space="0" w:color="auto"/>
        <w:left w:val="none" w:sz="0" w:space="0" w:color="auto"/>
        <w:bottom w:val="none" w:sz="0" w:space="0" w:color="auto"/>
        <w:right w:val="none" w:sz="0" w:space="0" w:color="auto"/>
      </w:divBdr>
      <w:divsChild>
        <w:div w:id="559941739">
          <w:marLeft w:val="0"/>
          <w:marRight w:val="0"/>
          <w:marTop w:val="0"/>
          <w:marBottom w:val="0"/>
          <w:divBdr>
            <w:top w:val="none" w:sz="0" w:space="0" w:color="auto"/>
            <w:left w:val="none" w:sz="0" w:space="0" w:color="auto"/>
            <w:bottom w:val="none" w:sz="0" w:space="0" w:color="auto"/>
            <w:right w:val="none" w:sz="0" w:space="0" w:color="auto"/>
          </w:divBdr>
        </w:div>
        <w:div w:id="634793991">
          <w:marLeft w:val="0"/>
          <w:marRight w:val="0"/>
          <w:marTop w:val="0"/>
          <w:marBottom w:val="0"/>
          <w:divBdr>
            <w:top w:val="none" w:sz="0" w:space="0" w:color="auto"/>
            <w:left w:val="none" w:sz="0" w:space="0" w:color="auto"/>
            <w:bottom w:val="none" w:sz="0" w:space="0" w:color="auto"/>
            <w:right w:val="none" w:sz="0" w:space="0" w:color="auto"/>
          </w:divBdr>
        </w:div>
        <w:div w:id="1195922678">
          <w:marLeft w:val="0"/>
          <w:marRight w:val="0"/>
          <w:marTop w:val="0"/>
          <w:marBottom w:val="0"/>
          <w:divBdr>
            <w:top w:val="none" w:sz="0" w:space="0" w:color="auto"/>
            <w:left w:val="none" w:sz="0" w:space="0" w:color="auto"/>
            <w:bottom w:val="none" w:sz="0" w:space="0" w:color="auto"/>
            <w:right w:val="none" w:sz="0" w:space="0" w:color="auto"/>
          </w:divBdr>
        </w:div>
        <w:div w:id="1449618660">
          <w:marLeft w:val="0"/>
          <w:marRight w:val="0"/>
          <w:marTop w:val="0"/>
          <w:marBottom w:val="0"/>
          <w:divBdr>
            <w:top w:val="none" w:sz="0" w:space="0" w:color="auto"/>
            <w:left w:val="none" w:sz="0" w:space="0" w:color="auto"/>
            <w:bottom w:val="none" w:sz="0" w:space="0" w:color="auto"/>
            <w:right w:val="none" w:sz="0" w:space="0" w:color="auto"/>
          </w:divBdr>
          <w:divsChild>
            <w:div w:id="53116752">
              <w:marLeft w:val="0"/>
              <w:marRight w:val="0"/>
              <w:marTop w:val="0"/>
              <w:marBottom w:val="0"/>
              <w:divBdr>
                <w:top w:val="none" w:sz="0" w:space="0" w:color="auto"/>
                <w:left w:val="none" w:sz="0" w:space="0" w:color="auto"/>
                <w:bottom w:val="none" w:sz="0" w:space="0" w:color="auto"/>
                <w:right w:val="none" w:sz="0" w:space="0" w:color="auto"/>
              </w:divBdr>
            </w:div>
            <w:div w:id="117604121">
              <w:marLeft w:val="0"/>
              <w:marRight w:val="0"/>
              <w:marTop w:val="0"/>
              <w:marBottom w:val="0"/>
              <w:divBdr>
                <w:top w:val="none" w:sz="0" w:space="0" w:color="auto"/>
                <w:left w:val="none" w:sz="0" w:space="0" w:color="auto"/>
                <w:bottom w:val="none" w:sz="0" w:space="0" w:color="auto"/>
                <w:right w:val="none" w:sz="0" w:space="0" w:color="auto"/>
              </w:divBdr>
            </w:div>
          </w:divsChild>
        </w:div>
        <w:div w:id="1937900436">
          <w:marLeft w:val="0"/>
          <w:marRight w:val="0"/>
          <w:marTop w:val="0"/>
          <w:marBottom w:val="0"/>
          <w:divBdr>
            <w:top w:val="none" w:sz="0" w:space="0" w:color="auto"/>
            <w:left w:val="none" w:sz="0" w:space="0" w:color="auto"/>
            <w:bottom w:val="none" w:sz="0" w:space="0" w:color="auto"/>
            <w:right w:val="none" w:sz="0" w:space="0" w:color="auto"/>
          </w:divBdr>
        </w:div>
        <w:div w:id="2105614593">
          <w:marLeft w:val="0"/>
          <w:marRight w:val="0"/>
          <w:marTop w:val="0"/>
          <w:marBottom w:val="0"/>
          <w:divBdr>
            <w:top w:val="none" w:sz="0" w:space="0" w:color="auto"/>
            <w:left w:val="none" w:sz="0" w:space="0" w:color="auto"/>
            <w:bottom w:val="none" w:sz="0" w:space="0" w:color="auto"/>
            <w:right w:val="none" w:sz="0" w:space="0" w:color="auto"/>
          </w:divBdr>
        </w:div>
      </w:divsChild>
    </w:div>
    <w:div w:id="438305617">
      <w:bodyDiv w:val="1"/>
      <w:marLeft w:val="0"/>
      <w:marRight w:val="0"/>
      <w:marTop w:val="0"/>
      <w:marBottom w:val="0"/>
      <w:divBdr>
        <w:top w:val="none" w:sz="0" w:space="0" w:color="auto"/>
        <w:left w:val="none" w:sz="0" w:space="0" w:color="auto"/>
        <w:bottom w:val="none" w:sz="0" w:space="0" w:color="auto"/>
        <w:right w:val="none" w:sz="0" w:space="0" w:color="auto"/>
      </w:divBdr>
    </w:div>
    <w:div w:id="873999322">
      <w:bodyDiv w:val="1"/>
      <w:marLeft w:val="0"/>
      <w:marRight w:val="0"/>
      <w:marTop w:val="0"/>
      <w:marBottom w:val="0"/>
      <w:divBdr>
        <w:top w:val="none" w:sz="0" w:space="0" w:color="auto"/>
        <w:left w:val="none" w:sz="0" w:space="0" w:color="auto"/>
        <w:bottom w:val="none" w:sz="0" w:space="0" w:color="auto"/>
        <w:right w:val="none" w:sz="0" w:space="0" w:color="auto"/>
      </w:divBdr>
      <w:divsChild>
        <w:div w:id="182939538">
          <w:marLeft w:val="0"/>
          <w:marRight w:val="0"/>
          <w:marTop w:val="0"/>
          <w:marBottom w:val="0"/>
          <w:divBdr>
            <w:top w:val="none" w:sz="0" w:space="0" w:color="auto"/>
            <w:left w:val="none" w:sz="0" w:space="0" w:color="auto"/>
            <w:bottom w:val="none" w:sz="0" w:space="0" w:color="auto"/>
            <w:right w:val="none" w:sz="0" w:space="0" w:color="auto"/>
          </w:divBdr>
        </w:div>
        <w:div w:id="908147611">
          <w:marLeft w:val="0"/>
          <w:marRight w:val="0"/>
          <w:marTop w:val="0"/>
          <w:marBottom w:val="0"/>
          <w:divBdr>
            <w:top w:val="none" w:sz="0" w:space="0" w:color="auto"/>
            <w:left w:val="none" w:sz="0" w:space="0" w:color="auto"/>
            <w:bottom w:val="none" w:sz="0" w:space="0" w:color="auto"/>
            <w:right w:val="none" w:sz="0" w:space="0" w:color="auto"/>
          </w:divBdr>
        </w:div>
        <w:div w:id="1299385037">
          <w:marLeft w:val="0"/>
          <w:marRight w:val="0"/>
          <w:marTop w:val="0"/>
          <w:marBottom w:val="0"/>
          <w:divBdr>
            <w:top w:val="none" w:sz="0" w:space="0" w:color="auto"/>
            <w:left w:val="none" w:sz="0" w:space="0" w:color="auto"/>
            <w:bottom w:val="none" w:sz="0" w:space="0" w:color="auto"/>
            <w:right w:val="none" w:sz="0" w:space="0" w:color="auto"/>
          </w:divBdr>
        </w:div>
        <w:div w:id="1488088919">
          <w:marLeft w:val="0"/>
          <w:marRight w:val="0"/>
          <w:marTop w:val="0"/>
          <w:marBottom w:val="0"/>
          <w:divBdr>
            <w:top w:val="none" w:sz="0" w:space="0" w:color="auto"/>
            <w:left w:val="none" w:sz="0" w:space="0" w:color="auto"/>
            <w:bottom w:val="none" w:sz="0" w:space="0" w:color="auto"/>
            <w:right w:val="none" w:sz="0" w:space="0" w:color="auto"/>
          </w:divBdr>
          <w:divsChild>
            <w:div w:id="2122450527">
              <w:marLeft w:val="0"/>
              <w:marRight w:val="0"/>
              <w:marTop w:val="0"/>
              <w:marBottom w:val="0"/>
              <w:divBdr>
                <w:top w:val="none" w:sz="0" w:space="0" w:color="auto"/>
                <w:left w:val="none" w:sz="0" w:space="0" w:color="auto"/>
                <w:bottom w:val="none" w:sz="0" w:space="0" w:color="auto"/>
                <w:right w:val="none" w:sz="0" w:space="0" w:color="auto"/>
              </w:divBdr>
            </w:div>
            <w:div w:id="2122456742">
              <w:marLeft w:val="0"/>
              <w:marRight w:val="0"/>
              <w:marTop w:val="0"/>
              <w:marBottom w:val="0"/>
              <w:divBdr>
                <w:top w:val="none" w:sz="0" w:space="0" w:color="auto"/>
                <w:left w:val="none" w:sz="0" w:space="0" w:color="auto"/>
                <w:bottom w:val="none" w:sz="0" w:space="0" w:color="auto"/>
                <w:right w:val="none" w:sz="0" w:space="0" w:color="auto"/>
              </w:divBdr>
            </w:div>
          </w:divsChild>
        </w:div>
        <w:div w:id="1490750704">
          <w:marLeft w:val="0"/>
          <w:marRight w:val="0"/>
          <w:marTop w:val="0"/>
          <w:marBottom w:val="0"/>
          <w:divBdr>
            <w:top w:val="none" w:sz="0" w:space="0" w:color="auto"/>
            <w:left w:val="none" w:sz="0" w:space="0" w:color="auto"/>
            <w:bottom w:val="none" w:sz="0" w:space="0" w:color="auto"/>
            <w:right w:val="none" w:sz="0" w:space="0" w:color="auto"/>
          </w:divBdr>
        </w:div>
        <w:div w:id="1851412036">
          <w:marLeft w:val="0"/>
          <w:marRight w:val="0"/>
          <w:marTop w:val="0"/>
          <w:marBottom w:val="0"/>
          <w:divBdr>
            <w:top w:val="none" w:sz="0" w:space="0" w:color="auto"/>
            <w:left w:val="none" w:sz="0" w:space="0" w:color="auto"/>
            <w:bottom w:val="none" w:sz="0" w:space="0" w:color="auto"/>
            <w:right w:val="none" w:sz="0" w:space="0" w:color="auto"/>
          </w:divBdr>
        </w:div>
      </w:divsChild>
    </w:div>
    <w:div w:id="950362334">
      <w:bodyDiv w:val="1"/>
      <w:marLeft w:val="0"/>
      <w:marRight w:val="0"/>
      <w:marTop w:val="0"/>
      <w:marBottom w:val="0"/>
      <w:divBdr>
        <w:top w:val="none" w:sz="0" w:space="0" w:color="auto"/>
        <w:left w:val="none" w:sz="0" w:space="0" w:color="auto"/>
        <w:bottom w:val="none" w:sz="0" w:space="0" w:color="auto"/>
        <w:right w:val="none" w:sz="0" w:space="0" w:color="auto"/>
      </w:divBdr>
    </w:div>
    <w:div w:id="1148665048">
      <w:bodyDiv w:val="1"/>
      <w:marLeft w:val="0"/>
      <w:marRight w:val="0"/>
      <w:marTop w:val="0"/>
      <w:marBottom w:val="0"/>
      <w:divBdr>
        <w:top w:val="none" w:sz="0" w:space="0" w:color="auto"/>
        <w:left w:val="none" w:sz="0" w:space="0" w:color="auto"/>
        <w:bottom w:val="none" w:sz="0" w:space="0" w:color="auto"/>
        <w:right w:val="none" w:sz="0" w:space="0" w:color="auto"/>
      </w:divBdr>
      <w:divsChild>
        <w:div w:id="366953830">
          <w:marLeft w:val="0"/>
          <w:marRight w:val="0"/>
          <w:marTop w:val="0"/>
          <w:marBottom w:val="0"/>
          <w:divBdr>
            <w:top w:val="none" w:sz="0" w:space="0" w:color="auto"/>
            <w:left w:val="none" w:sz="0" w:space="0" w:color="auto"/>
            <w:bottom w:val="none" w:sz="0" w:space="0" w:color="auto"/>
            <w:right w:val="none" w:sz="0" w:space="0" w:color="auto"/>
          </w:divBdr>
          <w:divsChild>
            <w:div w:id="122429288">
              <w:marLeft w:val="0"/>
              <w:marRight w:val="0"/>
              <w:marTop w:val="0"/>
              <w:marBottom w:val="0"/>
              <w:divBdr>
                <w:top w:val="none" w:sz="0" w:space="0" w:color="auto"/>
                <w:left w:val="none" w:sz="0" w:space="0" w:color="auto"/>
                <w:bottom w:val="none" w:sz="0" w:space="0" w:color="auto"/>
                <w:right w:val="none" w:sz="0" w:space="0" w:color="auto"/>
              </w:divBdr>
            </w:div>
            <w:div w:id="1640038404">
              <w:marLeft w:val="0"/>
              <w:marRight w:val="0"/>
              <w:marTop w:val="0"/>
              <w:marBottom w:val="0"/>
              <w:divBdr>
                <w:top w:val="none" w:sz="0" w:space="0" w:color="auto"/>
                <w:left w:val="none" w:sz="0" w:space="0" w:color="auto"/>
                <w:bottom w:val="none" w:sz="0" w:space="0" w:color="auto"/>
                <w:right w:val="none" w:sz="0" w:space="0" w:color="auto"/>
              </w:divBdr>
            </w:div>
          </w:divsChild>
        </w:div>
        <w:div w:id="1210844112">
          <w:marLeft w:val="0"/>
          <w:marRight w:val="0"/>
          <w:marTop w:val="0"/>
          <w:marBottom w:val="0"/>
          <w:divBdr>
            <w:top w:val="none" w:sz="0" w:space="0" w:color="auto"/>
            <w:left w:val="none" w:sz="0" w:space="0" w:color="auto"/>
            <w:bottom w:val="none" w:sz="0" w:space="0" w:color="auto"/>
            <w:right w:val="none" w:sz="0" w:space="0" w:color="auto"/>
          </w:divBdr>
        </w:div>
        <w:div w:id="1248466601">
          <w:marLeft w:val="0"/>
          <w:marRight w:val="0"/>
          <w:marTop w:val="0"/>
          <w:marBottom w:val="0"/>
          <w:divBdr>
            <w:top w:val="none" w:sz="0" w:space="0" w:color="auto"/>
            <w:left w:val="none" w:sz="0" w:space="0" w:color="auto"/>
            <w:bottom w:val="none" w:sz="0" w:space="0" w:color="auto"/>
            <w:right w:val="none" w:sz="0" w:space="0" w:color="auto"/>
          </w:divBdr>
        </w:div>
        <w:div w:id="1262565588">
          <w:marLeft w:val="0"/>
          <w:marRight w:val="0"/>
          <w:marTop w:val="0"/>
          <w:marBottom w:val="0"/>
          <w:divBdr>
            <w:top w:val="none" w:sz="0" w:space="0" w:color="auto"/>
            <w:left w:val="none" w:sz="0" w:space="0" w:color="auto"/>
            <w:bottom w:val="none" w:sz="0" w:space="0" w:color="auto"/>
            <w:right w:val="none" w:sz="0" w:space="0" w:color="auto"/>
          </w:divBdr>
        </w:div>
        <w:div w:id="1725448255">
          <w:marLeft w:val="0"/>
          <w:marRight w:val="0"/>
          <w:marTop w:val="0"/>
          <w:marBottom w:val="0"/>
          <w:divBdr>
            <w:top w:val="none" w:sz="0" w:space="0" w:color="auto"/>
            <w:left w:val="none" w:sz="0" w:space="0" w:color="auto"/>
            <w:bottom w:val="none" w:sz="0" w:space="0" w:color="auto"/>
            <w:right w:val="none" w:sz="0" w:space="0" w:color="auto"/>
          </w:divBdr>
        </w:div>
        <w:div w:id="1916360258">
          <w:marLeft w:val="0"/>
          <w:marRight w:val="0"/>
          <w:marTop w:val="0"/>
          <w:marBottom w:val="0"/>
          <w:divBdr>
            <w:top w:val="none" w:sz="0" w:space="0" w:color="auto"/>
            <w:left w:val="none" w:sz="0" w:space="0" w:color="auto"/>
            <w:bottom w:val="none" w:sz="0" w:space="0" w:color="auto"/>
            <w:right w:val="none" w:sz="0" w:space="0" w:color="auto"/>
          </w:divBdr>
        </w:div>
      </w:divsChild>
    </w:div>
    <w:div w:id="1194029672">
      <w:bodyDiv w:val="1"/>
      <w:marLeft w:val="0"/>
      <w:marRight w:val="0"/>
      <w:marTop w:val="0"/>
      <w:marBottom w:val="0"/>
      <w:divBdr>
        <w:top w:val="none" w:sz="0" w:space="0" w:color="auto"/>
        <w:left w:val="none" w:sz="0" w:space="0" w:color="auto"/>
        <w:bottom w:val="none" w:sz="0" w:space="0" w:color="auto"/>
        <w:right w:val="none" w:sz="0" w:space="0" w:color="auto"/>
      </w:divBdr>
    </w:div>
    <w:div w:id="1547257741">
      <w:bodyDiv w:val="1"/>
      <w:marLeft w:val="0"/>
      <w:marRight w:val="0"/>
      <w:marTop w:val="0"/>
      <w:marBottom w:val="0"/>
      <w:divBdr>
        <w:top w:val="none" w:sz="0" w:space="0" w:color="auto"/>
        <w:left w:val="none" w:sz="0" w:space="0" w:color="auto"/>
        <w:bottom w:val="none" w:sz="0" w:space="0" w:color="auto"/>
        <w:right w:val="none" w:sz="0" w:space="0" w:color="auto"/>
      </w:divBdr>
      <w:divsChild>
        <w:div w:id="42340446">
          <w:marLeft w:val="0"/>
          <w:marRight w:val="0"/>
          <w:marTop w:val="0"/>
          <w:marBottom w:val="0"/>
          <w:divBdr>
            <w:top w:val="none" w:sz="0" w:space="0" w:color="auto"/>
            <w:left w:val="none" w:sz="0" w:space="0" w:color="auto"/>
            <w:bottom w:val="none" w:sz="0" w:space="0" w:color="auto"/>
            <w:right w:val="none" w:sz="0" w:space="0" w:color="auto"/>
          </w:divBdr>
        </w:div>
        <w:div w:id="2073892535">
          <w:marLeft w:val="0"/>
          <w:marRight w:val="0"/>
          <w:marTop w:val="0"/>
          <w:marBottom w:val="0"/>
          <w:divBdr>
            <w:top w:val="none" w:sz="0" w:space="0" w:color="auto"/>
            <w:left w:val="none" w:sz="0" w:space="0" w:color="auto"/>
            <w:bottom w:val="none" w:sz="0" w:space="0" w:color="auto"/>
            <w:right w:val="none" w:sz="0" w:space="0" w:color="auto"/>
          </w:divBdr>
        </w:div>
        <w:div w:id="2097362116">
          <w:marLeft w:val="0"/>
          <w:marRight w:val="0"/>
          <w:marTop w:val="0"/>
          <w:marBottom w:val="0"/>
          <w:divBdr>
            <w:top w:val="none" w:sz="0" w:space="0" w:color="auto"/>
            <w:left w:val="none" w:sz="0" w:space="0" w:color="auto"/>
            <w:bottom w:val="none" w:sz="0" w:space="0" w:color="auto"/>
            <w:right w:val="none" w:sz="0" w:space="0" w:color="auto"/>
          </w:divBdr>
        </w:div>
      </w:divsChild>
    </w:div>
    <w:div w:id="1690906924">
      <w:bodyDiv w:val="1"/>
      <w:marLeft w:val="0"/>
      <w:marRight w:val="0"/>
      <w:marTop w:val="0"/>
      <w:marBottom w:val="0"/>
      <w:divBdr>
        <w:top w:val="none" w:sz="0" w:space="0" w:color="auto"/>
        <w:left w:val="none" w:sz="0" w:space="0" w:color="auto"/>
        <w:bottom w:val="none" w:sz="0" w:space="0" w:color="auto"/>
        <w:right w:val="none" w:sz="0" w:space="0" w:color="auto"/>
      </w:divBdr>
    </w:div>
    <w:div w:id="1906908564">
      <w:bodyDiv w:val="1"/>
      <w:marLeft w:val="0"/>
      <w:marRight w:val="0"/>
      <w:marTop w:val="0"/>
      <w:marBottom w:val="0"/>
      <w:divBdr>
        <w:top w:val="none" w:sz="0" w:space="0" w:color="auto"/>
        <w:left w:val="none" w:sz="0" w:space="0" w:color="auto"/>
        <w:bottom w:val="none" w:sz="0" w:space="0" w:color="auto"/>
        <w:right w:val="none" w:sz="0" w:space="0" w:color="auto"/>
      </w:divBdr>
    </w:div>
    <w:div w:id="1982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policy.trade.ec.europa.eu/eu-trade-relationships-country-and-region/countries-and-regions/south-korea_en" TargetMode="External"/><Relationship Id="rId2" Type="http://schemas.openxmlformats.org/officeDocument/2006/relationships/hyperlink" Target="https://trade.ec.europa.eu/access-to-markets/en/content/eu-south-korea-free-trade-agreement" TargetMode="External"/><Relationship Id="rId1" Type="http://schemas.openxmlformats.org/officeDocument/2006/relationships/hyperlink" Target="https://trade.ec.europa.eu/access-to-markets/en/assets/Report%20on%20the%20Survey%20on%20Mutual%20Recognition%20Agreement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1B9205159584BBDB4466A7C466CBC" ma:contentTypeVersion="6" ma:contentTypeDescription="Create a new document." ma:contentTypeScope="" ma:versionID="3a321b8972ccd5f3388e8d0c81a0e7bc">
  <xsd:schema xmlns:xsd="http://www.w3.org/2001/XMLSchema" xmlns:xs="http://www.w3.org/2001/XMLSchema" xmlns:p="http://schemas.microsoft.com/office/2006/metadata/properties" xmlns:ns2="d1ebf486-ab9b-44e5-a5f7-8194da4724be" xmlns:ns3="01b7c8cb-3150-4286-b637-9eb4656860b8" targetNamespace="http://schemas.microsoft.com/office/2006/metadata/properties" ma:root="true" ma:fieldsID="35f9cbdd47355de75dbaa97f85b160d1" ns2:_="" ns3:_="">
    <xsd:import namespace="d1ebf486-ab9b-44e5-a5f7-8194da4724be"/>
    <xsd:import namespace="01b7c8cb-3150-4286-b637-9eb4656860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bf486-ab9b-44e5-a5f7-8194da472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7c8cb-3150-4286-b637-9eb465686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DD639-7BAB-4CF9-AAAA-3D20EA3E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bf486-ab9b-44e5-a5f7-8194da4724be"/>
    <ds:schemaRef ds:uri="01b7c8cb-3150-4286-b637-9eb46568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24E20-DD2E-41F0-9891-D5E261EEF372}">
  <ds:schemaRefs>
    <ds:schemaRef ds:uri="http://schemas.microsoft.com/sharepoint/v3/contenttype/forms"/>
  </ds:schemaRefs>
</ds:datastoreItem>
</file>

<file path=customXml/itemProps3.xml><?xml version="1.0" encoding="utf-8"?>
<ds:datastoreItem xmlns:ds="http://schemas.openxmlformats.org/officeDocument/2006/customXml" ds:itemID="{857E1DAA-67A6-42C0-BE06-FAE21EE10F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A6186B-8C20-46A7-B656-DE0B8DD1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2026-03-10T13:46:00Z</dcterms:created>
  <dcterms:modified xsi:type="dcterms:W3CDTF">2026-03-25T07:24:00Z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2026-03-05T17:08:45Z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4a2f2df1-b08e-4169-adca-3e334f8d2724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0x0101007D71B9205159584BBDB4466A7C466CBC</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Category">
    <vt:lpwstr>COM/PL/ORG/NOEEA</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SG-001</vt:lpwstr>
  </property>
  <property fmtid="{D5CDD505-2E9C-101B-9397-08002B2CF9AE}" pid="17" name="DQCStatus">
    <vt:lpwstr>Green (DQC version 03)</vt:lpwstr>
  </property>
</Properties>
</file>