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CDAEEE" w14:textId="21DE75E2" w:rsidR="00FA089C" w:rsidRPr="008C0879" w:rsidRDefault="00E46D38" w:rsidP="00E46D38">
      <w:pPr>
        <w:pStyle w:val="Pagedecouverture"/>
        <w:rPr>
          <w:noProof/>
        </w:rPr>
      </w:pPr>
      <w:r>
        <w:rPr>
          <w:noProof/>
        </w:rPr>
        <w:pict w14:anchorId="1546F1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D343F37-8038-42A8-B104-B7EF217723D3" style="width:455.25pt;height:424.5pt">
            <v:imagedata r:id="rId8" o:title=""/>
          </v:shape>
        </w:pict>
      </w:r>
    </w:p>
    <w:p w14:paraId="4ABC9596" w14:textId="77777777" w:rsidR="00FA089C" w:rsidRPr="008C0879" w:rsidRDefault="00FA089C" w:rsidP="00FA089C">
      <w:pPr>
        <w:rPr>
          <w:noProof/>
        </w:rPr>
        <w:sectPr w:rsidR="00FA089C" w:rsidRPr="008C0879" w:rsidSect="00E46D38">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3FC36D04" w14:textId="77777777" w:rsidR="00FA089C" w:rsidRPr="008C0879" w:rsidRDefault="00FA089C" w:rsidP="00FA089C">
      <w:pPr>
        <w:pStyle w:val="Annexetitre"/>
        <w:rPr>
          <w:noProof/>
        </w:rPr>
      </w:pPr>
      <w:bookmarkStart w:id="0" w:name="_GoBack"/>
      <w:bookmarkEnd w:id="0"/>
      <w:r w:rsidRPr="008C0879">
        <w:rPr>
          <w:noProof/>
        </w:rPr>
        <w:lastRenderedPageBreak/>
        <w:t xml:space="preserve">ANNEXE </w:t>
      </w:r>
    </w:p>
    <w:p w14:paraId="473A14E9" w14:textId="77777777" w:rsidR="00BB37E9" w:rsidRPr="008C0879" w:rsidRDefault="00FB471D" w:rsidP="00BB37E9">
      <w:pPr>
        <w:pStyle w:val="Body"/>
        <w:spacing w:before="360" w:after="0"/>
        <w:jc w:val="center"/>
        <w:rPr>
          <w:b/>
          <w:bCs/>
          <w:noProof/>
        </w:rPr>
      </w:pPr>
      <w:r w:rsidRPr="008C0879">
        <w:rPr>
          <w:b/>
          <w:noProof/>
        </w:rPr>
        <w:t>PROJET DE DÉCISION DU COMITÉ MIXTE DE L’EEE</w:t>
      </w:r>
    </w:p>
    <w:p w14:paraId="1A40FC0C" w14:textId="77777777" w:rsidR="000C6101" w:rsidRPr="008C0879" w:rsidRDefault="000C6101" w:rsidP="000C6101">
      <w:pPr>
        <w:spacing w:after="0"/>
        <w:jc w:val="center"/>
        <w:rPr>
          <w:b/>
          <w:noProof/>
          <w:color w:val="0000FF"/>
          <w:szCs w:val="24"/>
        </w:rPr>
      </w:pPr>
      <w:r w:rsidRPr="008C0879">
        <w:rPr>
          <w:b/>
          <w:noProof/>
        </w:rPr>
        <w:t>nº </w:t>
      </w:r>
      <w:r w:rsidRPr="008C0879">
        <w:rPr>
          <w:b/>
          <w:noProof/>
          <w:color w:val="0000FF"/>
        </w:rPr>
        <w:t>[…]</w:t>
      </w:r>
    </w:p>
    <w:p w14:paraId="4A122430" w14:textId="77777777" w:rsidR="000C6101" w:rsidRPr="008C0879" w:rsidRDefault="000C6101" w:rsidP="000C6101">
      <w:pPr>
        <w:spacing w:before="360" w:after="0"/>
        <w:jc w:val="center"/>
        <w:rPr>
          <w:b/>
          <w:noProof/>
          <w:color w:val="0000FF"/>
          <w:szCs w:val="24"/>
        </w:rPr>
      </w:pPr>
      <w:r w:rsidRPr="008C0879">
        <w:rPr>
          <w:b/>
          <w:noProof/>
          <w:color w:val="000000" w:themeColor="text1"/>
        </w:rPr>
        <w:t xml:space="preserve">du </w:t>
      </w:r>
      <w:r w:rsidRPr="008C0879">
        <w:rPr>
          <w:b/>
          <w:noProof/>
          <w:color w:val="0000FF"/>
        </w:rPr>
        <w:t>[…]</w:t>
      </w:r>
    </w:p>
    <w:p w14:paraId="35031862" w14:textId="77777777" w:rsidR="000C6101" w:rsidRPr="008C0879" w:rsidRDefault="000C6101" w:rsidP="000C6101">
      <w:pPr>
        <w:spacing w:before="360" w:after="360"/>
        <w:jc w:val="center"/>
        <w:rPr>
          <w:rFonts w:ascii="Times New Roman Bold" w:hAnsi="Times New Roman Bold"/>
          <w:b/>
          <w:noProof/>
          <w:color w:val="000000" w:themeColor="text1"/>
          <w:szCs w:val="24"/>
        </w:rPr>
      </w:pPr>
      <w:r w:rsidRPr="008C0879">
        <w:rPr>
          <w:rFonts w:ascii="Times New Roman Bold" w:hAnsi="Times New Roman Bold"/>
          <w:b/>
          <w:noProof/>
          <w:color w:val="000000" w:themeColor="text1"/>
        </w:rPr>
        <w:t>modifiant</w:t>
      </w:r>
      <w:r w:rsidRPr="008C0879">
        <w:rPr>
          <w:rFonts w:ascii="Times New Roman Bold" w:hAnsi="Times New Roman Bold"/>
          <w:b/>
          <w:noProof/>
        </w:rPr>
        <w:t xml:space="preserve"> l’annexe IX (Services financiers) de l’</w:t>
      </w:r>
      <w:r w:rsidRPr="008C0879">
        <w:rPr>
          <w:rFonts w:ascii="Times New Roman Bold" w:hAnsi="Times New Roman Bold"/>
          <w:b/>
          <w:noProof/>
          <w:color w:val="000000" w:themeColor="text1"/>
        </w:rPr>
        <w:t>accord EEE</w:t>
      </w:r>
    </w:p>
    <w:p w14:paraId="52CB445D" w14:textId="77777777" w:rsidR="000C6101" w:rsidRPr="008C0879" w:rsidRDefault="000C6101" w:rsidP="000C6101">
      <w:pPr>
        <w:spacing w:before="600"/>
        <w:rPr>
          <w:noProof/>
          <w:color w:val="000000" w:themeColor="text1"/>
          <w:szCs w:val="24"/>
        </w:rPr>
      </w:pPr>
      <w:r w:rsidRPr="008C0879">
        <w:rPr>
          <w:noProof/>
          <w:color w:val="000000" w:themeColor="text1"/>
        </w:rPr>
        <w:t>LE COMITÉ MIXTE DE L’EEE,</w:t>
      </w:r>
    </w:p>
    <w:p w14:paraId="5B0A78AD" w14:textId="77777777" w:rsidR="000C6101" w:rsidRPr="008C0879" w:rsidRDefault="000C6101" w:rsidP="000C6101">
      <w:pPr>
        <w:rPr>
          <w:noProof/>
          <w:color w:val="000000" w:themeColor="text1"/>
          <w:szCs w:val="24"/>
        </w:rPr>
      </w:pPr>
      <w:r w:rsidRPr="008C0879">
        <w:rPr>
          <w:noProof/>
          <w:color w:val="000000" w:themeColor="text1"/>
        </w:rPr>
        <w:t>vu l’accord sur l’Espace économique européen (ci-après l’«accord EEE»), et notamment son article 98,</w:t>
      </w:r>
    </w:p>
    <w:p w14:paraId="3BC47D55" w14:textId="77777777" w:rsidR="000C6101" w:rsidRPr="008C0879" w:rsidRDefault="000C6101" w:rsidP="000C6101">
      <w:pPr>
        <w:rPr>
          <w:noProof/>
          <w:szCs w:val="24"/>
        </w:rPr>
      </w:pPr>
      <w:r w:rsidRPr="008C0879">
        <w:rPr>
          <w:noProof/>
        </w:rPr>
        <w:t>considérant ce qui suit:</w:t>
      </w:r>
    </w:p>
    <w:p w14:paraId="7C0902B6" w14:textId="77777777" w:rsidR="000C6101" w:rsidRPr="008C0879" w:rsidRDefault="000C6101" w:rsidP="0074044B">
      <w:pPr>
        <w:pStyle w:val="Point0number"/>
        <w:numPr>
          <w:ilvl w:val="0"/>
          <w:numId w:val="13"/>
        </w:numPr>
        <w:rPr>
          <w:noProof/>
          <w:szCs w:val="24"/>
        </w:rPr>
      </w:pPr>
      <w:bookmarkStart w:id="1" w:name="_Hlk221118709"/>
      <w:bookmarkStart w:id="2" w:name="_Hlk82077743"/>
      <w:r w:rsidRPr="008C0879">
        <w:rPr>
          <w:noProof/>
        </w:rPr>
        <w:t>Le règlement délégué (UE) 2022/804 de la Commission du 16 février 2022 complétant le règlement (UE) 2016/1011 du Parlement européen et du Conseil en précisant les règles de procédure pour les mesures applicables dans le cadre de la surveillance, par l’Autorité européenne des marchés financiers, de certains administrateurs d’indices de référence</w:t>
      </w:r>
      <w:r w:rsidRPr="008C0879">
        <w:rPr>
          <w:rStyle w:val="FootnoteReference"/>
          <w:noProof/>
          <w:szCs w:val="24"/>
        </w:rPr>
        <w:footnoteReference w:id="1"/>
      </w:r>
      <w:bookmarkEnd w:id="1"/>
      <w:bookmarkEnd w:id="2"/>
      <w:r w:rsidRPr="008C0879">
        <w:rPr>
          <w:noProof/>
        </w:rPr>
        <w:t xml:space="preserve"> doit être intégré dans l’accord EEE.</w:t>
      </w:r>
    </w:p>
    <w:p w14:paraId="00BA0259" w14:textId="77777777" w:rsidR="000C6101" w:rsidRPr="008C0879" w:rsidRDefault="000C6101" w:rsidP="004440DE">
      <w:pPr>
        <w:pStyle w:val="Point0number"/>
        <w:rPr>
          <w:noProof/>
          <w:szCs w:val="24"/>
        </w:rPr>
      </w:pPr>
      <w:r w:rsidRPr="008C0879">
        <w:rPr>
          <w:noProof/>
        </w:rPr>
        <w:t>Le règlement délégué (UE) 2022/805 de la Commission du 16 février 2022 complétant le règlement (UE) 2016/1011 du Parlement européen et du Conseil en précisant les frais applicables dans le cadre de la surveillance, par l’Autorité européenne des marchés financiers, de certains administrateurs d’indices de référence</w:t>
      </w:r>
      <w:r w:rsidRPr="008C0879">
        <w:rPr>
          <w:rStyle w:val="FootnoteReference"/>
          <w:noProof/>
          <w:szCs w:val="24"/>
        </w:rPr>
        <w:footnoteReference w:id="2"/>
      </w:r>
      <w:r w:rsidRPr="008C0879">
        <w:rPr>
          <w:noProof/>
        </w:rPr>
        <w:t xml:space="preserve"> doit être intégré dans l’accord EEE.</w:t>
      </w:r>
    </w:p>
    <w:p w14:paraId="7AF8B81E" w14:textId="77777777" w:rsidR="000C6101" w:rsidRPr="008C0879" w:rsidRDefault="000C6101" w:rsidP="004440DE">
      <w:pPr>
        <w:pStyle w:val="Point0number"/>
        <w:rPr>
          <w:noProof/>
        </w:rPr>
      </w:pPr>
      <w:r w:rsidRPr="008C0879">
        <w:rPr>
          <w:noProof/>
        </w:rPr>
        <w:t>Le règlement délégué (UE) 2024/1705 de la Commission du 11 mars 2024 modifiant le règlement délégué (UE) 2022/805 en ce qui concerne l’harmonisation de certains aspects des frais facturés par l’Autorité européenne des marchés financiers à certains administrateurs d’indices de référence</w:t>
      </w:r>
      <w:r w:rsidRPr="008C0879">
        <w:rPr>
          <w:rStyle w:val="FootnoteReference"/>
          <w:noProof/>
          <w:szCs w:val="24"/>
        </w:rPr>
        <w:footnoteReference w:id="3"/>
      </w:r>
      <w:r w:rsidRPr="008C0879">
        <w:rPr>
          <w:noProof/>
        </w:rPr>
        <w:t xml:space="preserve"> doit être intégré dans l’accord EEE.</w:t>
      </w:r>
    </w:p>
    <w:p w14:paraId="32BC420C" w14:textId="77777777" w:rsidR="000C6101" w:rsidRPr="008C0879" w:rsidRDefault="000C6101" w:rsidP="004440DE">
      <w:pPr>
        <w:pStyle w:val="Point0number"/>
        <w:rPr>
          <w:noProof/>
          <w:color w:val="000000" w:themeColor="text1"/>
        </w:rPr>
      </w:pPr>
      <w:r w:rsidRPr="008C0879">
        <w:rPr>
          <w:noProof/>
        </w:rPr>
        <w:t>Il convient dès lors de modifier l’annexe IX de l’accord EEE en conséquence,</w:t>
      </w:r>
    </w:p>
    <w:p w14:paraId="7B3EA1FE" w14:textId="77777777" w:rsidR="000C6101" w:rsidRPr="008C0879" w:rsidRDefault="000C6101" w:rsidP="000C6101">
      <w:pPr>
        <w:keepNext/>
        <w:tabs>
          <w:tab w:val="left" w:pos="709"/>
        </w:tabs>
        <w:rPr>
          <w:noProof/>
          <w:color w:val="000000" w:themeColor="text1"/>
          <w:szCs w:val="24"/>
        </w:rPr>
      </w:pPr>
      <w:r w:rsidRPr="008C0879">
        <w:rPr>
          <w:noProof/>
          <w:color w:val="000000" w:themeColor="text1"/>
        </w:rPr>
        <w:t>A ADOPTÉ LA PRÉSENTE DÉCISION:</w:t>
      </w:r>
    </w:p>
    <w:p w14:paraId="2CD99319" w14:textId="77777777" w:rsidR="000C6101" w:rsidRPr="008C0879" w:rsidRDefault="000C6101" w:rsidP="000C6101">
      <w:pPr>
        <w:pStyle w:val="Articleheading"/>
        <w:rPr>
          <w:noProof/>
        </w:rPr>
      </w:pPr>
      <w:r w:rsidRPr="008C0879">
        <w:rPr>
          <w:noProof/>
        </w:rPr>
        <w:t>Article premier</w:t>
      </w:r>
    </w:p>
    <w:p w14:paraId="31ECE972" w14:textId="77777777" w:rsidR="000C6101" w:rsidRPr="008C0879" w:rsidRDefault="000C6101" w:rsidP="000C6101">
      <w:pPr>
        <w:pStyle w:val="Articletext"/>
        <w:rPr>
          <w:noProof/>
        </w:rPr>
      </w:pPr>
      <w:r w:rsidRPr="008C0879">
        <w:rPr>
          <w:noProof/>
          <w:color w:val="auto"/>
        </w:rPr>
        <w:t>L’annexe IX de</w:t>
      </w:r>
      <w:r w:rsidRPr="008C0879">
        <w:rPr>
          <w:noProof/>
        </w:rPr>
        <w:t xml:space="preserve"> l’accord l’EEE est modifiée comme suit:</w:t>
      </w:r>
    </w:p>
    <w:p w14:paraId="68C47934" w14:textId="77777777" w:rsidR="000C6101" w:rsidRPr="008C0879" w:rsidRDefault="000C6101" w:rsidP="000C6101">
      <w:pPr>
        <w:pStyle w:val="Point0"/>
        <w:rPr>
          <w:noProof/>
        </w:rPr>
      </w:pPr>
      <w:r w:rsidRPr="008C0879">
        <w:rPr>
          <w:noProof/>
        </w:rPr>
        <w:t>1.</w:t>
      </w:r>
      <w:r w:rsidRPr="008C0879">
        <w:rPr>
          <w:noProof/>
        </w:rPr>
        <w:tab/>
        <w:t>Le texte suivant est inséré après le point 31lzb [règlement d’exécution (UE) 2021/1848 de la Commission]:</w:t>
      </w:r>
    </w:p>
    <w:p w14:paraId="546AA1F9" w14:textId="67E6FAA0" w:rsidR="000C6101" w:rsidRPr="008C0879" w:rsidRDefault="000C6101" w:rsidP="000C6101">
      <w:pPr>
        <w:pStyle w:val="Point1"/>
        <w:rPr>
          <w:noProof/>
        </w:rPr>
      </w:pPr>
      <w:r w:rsidRPr="008C0879">
        <w:rPr>
          <w:noProof/>
        </w:rPr>
        <w:t xml:space="preserve">«31lzc. </w:t>
      </w:r>
      <w:r w:rsidRPr="008C0879">
        <w:rPr>
          <w:b/>
          <w:noProof/>
        </w:rPr>
        <w:t>32022 R 0804</w:t>
      </w:r>
      <w:r w:rsidRPr="008C0879">
        <w:rPr>
          <w:noProof/>
        </w:rPr>
        <w:t>: règlement délégué (UE) 2022/804 de la Commission du 16 février 2022 complétant le règlement (UE) 2016/1011 du Parlement européen et du Conseil en précisant les règles de procédure pour les mesures applicables dans le cadre de la surveillance, par l’Autorité européenne des marchés financiers, de certains administrateurs d’indices de référence (JO</w:t>
      </w:r>
      <w:r w:rsidR="008C0879">
        <w:rPr>
          <w:noProof/>
        </w:rPr>
        <w:t> </w:t>
      </w:r>
      <w:r w:rsidRPr="008C0879">
        <w:rPr>
          <w:noProof/>
        </w:rPr>
        <w:t>L 145 du 24.5.2022, p. 7).</w:t>
      </w:r>
    </w:p>
    <w:p w14:paraId="19D49E62" w14:textId="77777777" w:rsidR="000C6101" w:rsidRPr="008C0879" w:rsidRDefault="000C6101" w:rsidP="000C6101">
      <w:pPr>
        <w:pStyle w:val="Point0"/>
        <w:ind w:left="1418" w:firstLine="22"/>
        <w:rPr>
          <w:noProof/>
        </w:rPr>
      </w:pPr>
      <w:r w:rsidRPr="008C0879">
        <w:rPr>
          <w:noProof/>
        </w:rPr>
        <w:t>Aux fins du présent accord, les dispositions du règlement délégué sont adaptées comme suit:</w:t>
      </w:r>
    </w:p>
    <w:p w14:paraId="0CCCCFAD" w14:textId="6AC25664" w:rsidR="000C6101" w:rsidRPr="008C0879" w:rsidRDefault="000C6101" w:rsidP="000C6101">
      <w:pPr>
        <w:pStyle w:val="Point2"/>
        <w:rPr>
          <w:noProof/>
        </w:rPr>
      </w:pPr>
      <w:r w:rsidRPr="008C0879">
        <w:rPr>
          <w:noProof/>
        </w:rPr>
        <w:t>a)</w:t>
      </w:r>
      <w:r w:rsidRPr="008C0879">
        <w:rPr>
          <w:noProof/>
        </w:rPr>
        <w:tab/>
        <w:t>À l’article 2, paragraphe 1, les termes “et, en ce qui concerne les États de l’AELE, à l’Autorité de surveillance AELE” sont insérés après le terme “AEMF”.</w:t>
      </w:r>
    </w:p>
    <w:p w14:paraId="2847CA8F" w14:textId="77777777" w:rsidR="000C6101" w:rsidRPr="008C0879" w:rsidRDefault="000C6101" w:rsidP="000C6101">
      <w:pPr>
        <w:pStyle w:val="Point2"/>
        <w:rPr>
          <w:noProof/>
        </w:rPr>
      </w:pPr>
      <w:r w:rsidRPr="008C0879">
        <w:rPr>
          <w:noProof/>
        </w:rPr>
        <w:t>b)</w:t>
      </w:r>
      <w:r w:rsidRPr="008C0879">
        <w:rPr>
          <w:noProof/>
        </w:rPr>
        <w:tab/>
        <w:t>À l’article 3:</w:t>
      </w:r>
    </w:p>
    <w:p w14:paraId="653297F4" w14:textId="77777777" w:rsidR="000C6101" w:rsidRPr="008C0879" w:rsidRDefault="000C6101" w:rsidP="000C6101">
      <w:pPr>
        <w:pStyle w:val="Point2"/>
        <w:ind w:left="2552"/>
        <w:rPr>
          <w:noProof/>
        </w:rPr>
      </w:pPr>
      <w:r w:rsidRPr="008C0879">
        <w:rPr>
          <w:noProof/>
        </w:rPr>
        <w:t>i)</w:t>
      </w:r>
      <w:r w:rsidRPr="008C0879">
        <w:rPr>
          <w:noProof/>
        </w:rPr>
        <w:tab/>
        <w:t>au paragraphe 1 les termes “et, selon le cas, à l’Autorité de surveillance AELE,” sont insérés après les termes “à l’AEMF”, et au paragraphe 6, les termes “l’AEMF et, selon le cas, l’Autorité de surveillance AELE peuvent” remplacent les termes “l’AEMF peut”;</w:t>
      </w:r>
    </w:p>
    <w:p w14:paraId="60FC5AD5" w14:textId="77777777" w:rsidR="000C6101" w:rsidRPr="008C0879" w:rsidRDefault="000C6101" w:rsidP="000C6101">
      <w:pPr>
        <w:pStyle w:val="Point2"/>
        <w:ind w:left="2552"/>
        <w:rPr>
          <w:noProof/>
        </w:rPr>
      </w:pPr>
      <w:r w:rsidRPr="008C0879">
        <w:rPr>
          <w:noProof/>
        </w:rPr>
        <w:t xml:space="preserve">ii) </w:t>
      </w:r>
      <w:r w:rsidRPr="008C0879">
        <w:rPr>
          <w:noProof/>
        </w:rPr>
        <w:tab/>
        <w:t>au paragraphe 2, l’alinéa suivant est ajouté:</w:t>
      </w:r>
    </w:p>
    <w:p w14:paraId="4C358C7F" w14:textId="77777777" w:rsidR="000C6101" w:rsidRPr="008C0879" w:rsidRDefault="000C6101" w:rsidP="000C6101">
      <w:pPr>
        <w:pStyle w:val="Point2"/>
        <w:ind w:left="2552"/>
        <w:rPr>
          <w:noProof/>
        </w:rPr>
      </w:pPr>
      <w:r w:rsidRPr="008C0879">
        <w:rPr>
          <w:noProof/>
        </w:rPr>
        <w:tab/>
        <w:t>“En ce qui concerne les États de l’AELE, si le dossier est incomplet, l’AEMF en informe l’Autorité de surveillance AELE. Cette dernière adresse une demande motivée de documents supplémentaires à l’enquêteur.”;</w:t>
      </w:r>
    </w:p>
    <w:p w14:paraId="3D5BCC4A" w14:textId="77777777" w:rsidR="000C6101" w:rsidRPr="008C0879" w:rsidRDefault="000C6101" w:rsidP="000C6101">
      <w:pPr>
        <w:pStyle w:val="Point2"/>
        <w:ind w:left="2552"/>
        <w:rPr>
          <w:noProof/>
        </w:rPr>
      </w:pPr>
      <w:r w:rsidRPr="008C0879">
        <w:rPr>
          <w:noProof/>
        </w:rPr>
        <w:t>iii)</w:t>
      </w:r>
      <w:r w:rsidRPr="008C0879">
        <w:rPr>
          <w:noProof/>
        </w:rPr>
        <w:tab/>
        <w:t>au paragraphe 3, le terme “elle” est remplacé par les termes “l’AEMF ou, en ce qui concerne les États de l’AELE, l’Autorité de surveillance AELE”;</w:t>
      </w:r>
    </w:p>
    <w:p w14:paraId="05B8F8CB" w14:textId="77777777" w:rsidR="000C6101" w:rsidRPr="008C0879" w:rsidRDefault="000C6101" w:rsidP="000C6101">
      <w:pPr>
        <w:pStyle w:val="Point2"/>
        <w:ind w:left="2552"/>
        <w:rPr>
          <w:noProof/>
        </w:rPr>
      </w:pPr>
      <w:r w:rsidRPr="008C0879">
        <w:rPr>
          <w:noProof/>
        </w:rPr>
        <w:t>iv)</w:t>
      </w:r>
      <w:r w:rsidRPr="008C0879">
        <w:rPr>
          <w:noProof/>
        </w:rPr>
        <w:tab/>
        <w:t>au paragraphe 4, l’alinéa suivant est ajouté:</w:t>
      </w:r>
    </w:p>
    <w:p w14:paraId="242D4948" w14:textId="62A1BA5C" w:rsidR="000C6101" w:rsidRPr="008C0879" w:rsidRDefault="000C6101" w:rsidP="000C6101">
      <w:pPr>
        <w:pStyle w:val="Point2"/>
        <w:ind w:left="2552"/>
        <w:rPr>
          <w:noProof/>
        </w:rPr>
      </w:pPr>
      <w:r w:rsidRPr="008C0879">
        <w:rPr>
          <w:noProof/>
        </w:rPr>
        <w:tab/>
        <w:t>“En ce qui concerne les États de l’AELE, si l’AEMF n’est pas d’accord avec les conclusions de l’enquêteur, elle en informe l’Autorité de surveillance AELE. Cette dernière soumet un nouvel exposé de conclusions à la personne faisant l’objet de l’enquête. Cet exposé des conclusions fixe un délai d’au moins quatre semaines à la personne faisant l’objet d’une enquête pour présenter des observations écrites. L’AEMF, avant d’élaborer un projet à l’intention de l’Autorité de surveillance AELE, ou l’Autorité de surveillance AELE n’est pas tenue de prendre en considération les observations écrites reçues après l’expiration de ce délai pour statuer sur l’existence d’une infraction et sur des mesures de surveillance et l’imposition d’une amende conformément aux articles 48 </w:t>
      </w:r>
      <w:r w:rsidRPr="008C0879">
        <w:rPr>
          <w:i/>
          <w:noProof/>
        </w:rPr>
        <w:t>sexies</w:t>
      </w:r>
      <w:r w:rsidRPr="008C0879">
        <w:rPr>
          <w:noProof/>
        </w:rPr>
        <w:t xml:space="preserve"> et 48 </w:t>
      </w:r>
      <w:r w:rsidRPr="008C0879">
        <w:rPr>
          <w:i/>
          <w:noProof/>
        </w:rPr>
        <w:t>septies</w:t>
      </w:r>
      <w:r w:rsidRPr="008C0879">
        <w:rPr>
          <w:noProof/>
        </w:rPr>
        <w:t xml:space="preserve"> du règlement (UE) 2016/1011.”;</w:t>
      </w:r>
    </w:p>
    <w:p w14:paraId="78611835" w14:textId="77777777" w:rsidR="000C6101" w:rsidRPr="008C0879" w:rsidRDefault="000C6101" w:rsidP="000C6101">
      <w:pPr>
        <w:pStyle w:val="Point2"/>
        <w:ind w:left="2552"/>
        <w:rPr>
          <w:noProof/>
        </w:rPr>
      </w:pPr>
      <w:r w:rsidRPr="008C0879">
        <w:rPr>
          <w:noProof/>
        </w:rPr>
        <w:t>v)</w:t>
      </w:r>
      <w:r w:rsidRPr="008C0879">
        <w:rPr>
          <w:noProof/>
        </w:rPr>
        <w:tab/>
        <w:t>au paragraphe 5, l’alinéa suivant est ajouté:</w:t>
      </w:r>
    </w:p>
    <w:p w14:paraId="3FEAAD47" w14:textId="77777777" w:rsidR="000C6101" w:rsidRPr="008C0879" w:rsidRDefault="000C6101" w:rsidP="000C6101">
      <w:pPr>
        <w:pStyle w:val="Point2"/>
        <w:ind w:left="2552"/>
        <w:rPr>
          <w:noProof/>
        </w:rPr>
      </w:pPr>
      <w:r w:rsidRPr="008C0879">
        <w:rPr>
          <w:noProof/>
        </w:rPr>
        <w:tab/>
        <w:t>“En ce qui concerne les États de l’AELE, si l’AEMF accepte tout ou partie des conclusions de l’enquêteur, elle en informe l’Autorité de surveillance AELE. Cette dernière informe la personne faisant l’objet de l’enquête en conséquence. Cette communication fixe un délai, d’au moins deux semaines si l’AEMF approuve l’ensemble des conclusions et d’au moins quatre semaines si l’AEMF n’approuve pas l’ensemble de ces conclusions, pendant lequel la personne faisant l’objet de l’enquête peut présenter des observations écrites. L’AEMF, avant d’élaborer un projet à l’intention de l’Autorité de surveillance AELE, ou l’Autorité de surveillance AELE n’est pas tenue de prendre en considération les observations écrites reçues après l’expiration de ce délai pour statuer sur l’existence d’une infraction et sur des mesures de surveillance et l’imposition d’une amende conformément aux articles 48 </w:t>
      </w:r>
      <w:r w:rsidRPr="008C0879">
        <w:rPr>
          <w:i/>
          <w:noProof/>
        </w:rPr>
        <w:t>sexies</w:t>
      </w:r>
      <w:r w:rsidRPr="008C0879">
        <w:rPr>
          <w:noProof/>
        </w:rPr>
        <w:t xml:space="preserve"> et 48 </w:t>
      </w:r>
      <w:r w:rsidRPr="008C0879">
        <w:rPr>
          <w:i/>
          <w:noProof/>
        </w:rPr>
        <w:t>septies</w:t>
      </w:r>
      <w:r w:rsidRPr="008C0879">
        <w:rPr>
          <w:noProof/>
        </w:rPr>
        <w:t xml:space="preserve"> du règlement (UE) 2016/1011.”;</w:t>
      </w:r>
    </w:p>
    <w:p w14:paraId="290658BB" w14:textId="77777777" w:rsidR="000C6101" w:rsidRPr="008C0879" w:rsidRDefault="000C6101" w:rsidP="000C6101">
      <w:pPr>
        <w:pStyle w:val="Point2"/>
        <w:ind w:left="2552"/>
        <w:rPr>
          <w:noProof/>
        </w:rPr>
      </w:pPr>
      <w:r w:rsidRPr="008C0879">
        <w:rPr>
          <w:noProof/>
        </w:rPr>
        <w:t>vi)</w:t>
      </w:r>
      <w:r w:rsidRPr="008C0879">
        <w:rPr>
          <w:noProof/>
        </w:rPr>
        <w:tab/>
        <w:t>au paragraphe 7, les termes “ou, selon le cas, l’Autorité de surveillance AELE” sont insérés après le terme “AEMF”.</w:t>
      </w:r>
    </w:p>
    <w:p w14:paraId="7386D2E6" w14:textId="77777777" w:rsidR="000C6101" w:rsidRPr="008C0879" w:rsidRDefault="000C6101" w:rsidP="000C6101">
      <w:pPr>
        <w:pStyle w:val="Point2"/>
        <w:rPr>
          <w:noProof/>
        </w:rPr>
      </w:pPr>
      <w:r w:rsidRPr="008C0879">
        <w:rPr>
          <w:noProof/>
        </w:rPr>
        <w:t>c)</w:t>
      </w:r>
      <w:r w:rsidRPr="008C0879">
        <w:rPr>
          <w:noProof/>
        </w:rPr>
        <w:tab/>
        <w:t>À l’article 4:</w:t>
      </w:r>
    </w:p>
    <w:p w14:paraId="1655C103" w14:textId="77777777" w:rsidR="000C6101" w:rsidRPr="008C0879" w:rsidRDefault="000C6101" w:rsidP="000C6101">
      <w:pPr>
        <w:pStyle w:val="Point2"/>
        <w:ind w:left="2552"/>
        <w:rPr>
          <w:noProof/>
        </w:rPr>
      </w:pPr>
      <w:r w:rsidRPr="008C0879">
        <w:rPr>
          <w:noProof/>
        </w:rPr>
        <w:t>i)</w:t>
      </w:r>
      <w:r w:rsidRPr="008C0879">
        <w:rPr>
          <w:noProof/>
        </w:rPr>
        <w:tab/>
        <w:t>au paragraphe 1, les termes “ou, selon le cas, l’Autorité de surveillance AELE” sont insérés après le terme “AEMF”;</w:t>
      </w:r>
    </w:p>
    <w:p w14:paraId="72DA4284" w14:textId="77777777" w:rsidR="000C6101" w:rsidRPr="008C0879" w:rsidRDefault="000C6101" w:rsidP="000C6101">
      <w:pPr>
        <w:pStyle w:val="Point2"/>
        <w:ind w:left="2552"/>
        <w:rPr>
          <w:noProof/>
        </w:rPr>
      </w:pPr>
      <w:r w:rsidRPr="008C0879">
        <w:rPr>
          <w:noProof/>
        </w:rPr>
        <w:t>ii)</w:t>
      </w:r>
      <w:r w:rsidRPr="008C0879">
        <w:rPr>
          <w:noProof/>
        </w:rPr>
        <w:tab/>
        <w:t>au paragraphe 4, les termes “L’AEMF peut” sont remplacés par les termes “L’AEMF et, en ce qui concerne les États de l’AELE, l’Autorité de surveillance AELE peuvent”.</w:t>
      </w:r>
    </w:p>
    <w:p w14:paraId="3A36A529" w14:textId="77777777" w:rsidR="000C6101" w:rsidRPr="008C0879" w:rsidRDefault="000C6101" w:rsidP="000C6101">
      <w:pPr>
        <w:pStyle w:val="Point2"/>
        <w:rPr>
          <w:noProof/>
        </w:rPr>
      </w:pPr>
      <w:r w:rsidRPr="008C0879">
        <w:rPr>
          <w:noProof/>
        </w:rPr>
        <w:t>d)</w:t>
      </w:r>
      <w:r w:rsidRPr="008C0879">
        <w:rPr>
          <w:noProof/>
        </w:rPr>
        <w:tab/>
        <w:t>À l’article 5:</w:t>
      </w:r>
    </w:p>
    <w:p w14:paraId="5D6ADC40" w14:textId="77777777" w:rsidR="000C6101" w:rsidRPr="008C0879" w:rsidRDefault="000C6101" w:rsidP="000C6101">
      <w:pPr>
        <w:pStyle w:val="Point2"/>
        <w:ind w:left="2552"/>
        <w:rPr>
          <w:noProof/>
        </w:rPr>
      </w:pPr>
      <w:r w:rsidRPr="008C0879">
        <w:rPr>
          <w:noProof/>
        </w:rPr>
        <w:t>i)</w:t>
      </w:r>
      <w:r w:rsidRPr="008C0879">
        <w:rPr>
          <w:noProof/>
        </w:rPr>
        <w:tab/>
        <w:t>au paragraphe 1, au paragraphe 2, premier et deuxième alinéas, au paragraphe 3, premier alinéa, et au paragraphe 4, les termes “ou, selon le cas, l’Autorité de surveillance AELE” sont insérés après le terme “AEMF”;</w:t>
      </w:r>
    </w:p>
    <w:p w14:paraId="67907297" w14:textId="77777777" w:rsidR="000C6101" w:rsidRPr="008C0879" w:rsidRDefault="000C6101" w:rsidP="000C6101">
      <w:pPr>
        <w:pStyle w:val="Point2"/>
        <w:ind w:left="2552"/>
        <w:rPr>
          <w:noProof/>
        </w:rPr>
      </w:pPr>
      <w:r w:rsidRPr="008C0879">
        <w:rPr>
          <w:noProof/>
        </w:rPr>
        <w:t>ii)</w:t>
      </w:r>
      <w:r w:rsidRPr="008C0879">
        <w:rPr>
          <w:noProof/>
        </w:rPr>
        <w:tab/>
        <w:t>au paragraphe 2, troisième alinéa, les termes “l’AEMF accorde” sont remplacés par “l’AEMF et, selon le cas, l’Autorité de surveillance AELE accordent” et au paragraphe 2, quatrième alinéa, les termes “L’AEMF peut” sont remplacés par les termes “L’AEMF et, selon le cas, l’Autorité de surveillance de l’AELE peuvent”;</w:t>
      </w:r>
    </w:p>
    <w:p w14:paraId="2B8907EA" w14:textId="77777777" w:rsidR="000C6101" w:rsidRPr="008C0879" w:rsidRDefault="000C6101" w:rsidP="000C6101">
      <w:pPr>
        <w:pStyle w:val="Point2"/>
        <w:ind w:left="2552"/>
        <w:rPr>
          <w:noProof/>
        </w:rPr>
      </w:pPr>
      <w:r w:rsidRPr="008C0879">
        <w:rPr>
          <w:noProof/>
        </w:rPr>
        <w:t>iii)</w:t>
      </w:r>
      <w:r w:rsidRPr="008C0879">
        <w:rPr>
          <w:noProof/>
        </w:rPr>
        <w:tab/>
        <w:t>au paragraphe 3, l’alinéa suivant est inséré après le deuxième alinéa:</w:t>
      </w:r>
    </w:p>
    <w:p w14:paraId="4301558E" w14:textId="77777777" w:rsidR="000C6101" w:rsidRPr="008C0879" w:rsidRDefault="000C6101" w:rsidP="000C6101">
      <w:pPr>
        <w:pStyle w:val="Point2"/>
        <w:ind w:left="2552"/>
        <w:rPr>
          <w:noProof/>
        </w:rPr>
      </w:pPr>
      <w:r w:rsidRPr="008C0879">
        <w:rPr>
          <w:noProof/>
        </w:rPr>
        <w:tab/>
        <w:t>“En ce qui concerne les États de l’AELE, lorsque l’AEMF considère, après avoir entendu la personne faisant l’objet de la décision provisoire, qu’une infraction aux dispositions visées à l’article 38 </w:t>
      </w:r>
      <w:r w:rsidRPr="008C0879">
        <w:rPr>
          <w:i/>
          <w:noProof/>
        </w:rPr>
        <w:t>octies</w:t>
      </w:r>
      <w:r w:rsidRPr="008C0879">
        <w:rPr>
          <w:noProof/>
        </w:rPr>
        <w:t>, paragraphe 1, du règlement (UE) nº 600/2014 a été commise par la personne faisant l’objet de la décision provisoire, elle en informe l’Autorité de surveillance AELE. Cette dernière adopte une décision confirmative imposant une ou plusieurs mesures de surveillance prévues à l’article 48 </w:t>
      </w:r>
      <w:r w:rsidRPr="008C0879">
        <w:rPr>
          <w:i/>
          <w:noProof/>
        </w:rPr>
        <w:t>sexies</w:t>
      </w:r>
      <w:r w:rsidRPr="008C0879">
        <w:rPr>
          <w:noProof/>
        </w:rPr>
        <w:t xml:space="preserve"> du règlement (UE) 2016/1011. L’Autorité de surveillance AELE notifie immédiatement cette décision aux personnes faisant l’objet de la décision provisoire.”.</w:t>
      </w:r>
    </w:p>
    <w:p w14:paraId="253BEF3F" w14:textId="77777777" w:rsidR="000C6101" w:rsidRPr="008C0879" w:rsidRDefault="000C6101" w:rsidP="000C6101">
      <w:pPr>
        <w:pStyle w:val="Point2"/>
        <w:rPr>
          <w:noProof/>
        </w:rPr>
      </w:pPr>
      <w:r w:rsidRPr="008C0879">
        <w:rPr>
          <w:noProof/>
        </w:rPr>
        <w:t>e)</w:t>
      </w:r>
      <w:r w:rsidRPr="008C0879">
        <w:rPr>
          <w:noProof/>
        </w:rPr>
        <w:tab/>
        <w:t>À l’article 6:</w:t>
      </w:r>
    </w:p>
    <w:p w14:paraId="07560261" w14:textId="77777777" w:rsidR="000C6101" w:rsidRPr="008C0879" w:rsidRDefault="000C6101" w:rsidP="000C6101">
      <w:pPr>
        <w:pStyle w:val="Point2"/>
        <w:ind w:left="2552"/>
        <w:rPr>
          <w:noProof/>
        </w:rPr>
      </w:pPr>
      <w:r w:rsidRPr="008C0879">
        <w:rPr>
          <w:noProof/>
        </w:rPr>
        <w:t>i)</w:t>
      </w:r>
      <w:r w:rsidRPr="008C0879">
        <w:rPr>
          <w:noProof/>
        </w:rPr>
        <w:tab/>
        <w:t>les termes “Si la demande lui en est faite, l’AEMF permet” sont remplacés par “Si la demande leur en est faite, l’AEMF et, selon le cas, l’Autorité de surveillance AELE permettent”;</w:t>
      </w:r>
    </w:p>
    <w:p w14:paraId="09A60973" w14:textId="77777777" w:rsidR="000C6101" w:rsidRPr="008C0879" w:rsidRDefault="000C6101" w:rsidP="000C6101">
      <w:pPr>
        <w:pStyle w:val="Point2"/>
        <w:ind w:left="2552"/>
        <w:rPr>
          <w:noProof/>
        </w:rPr>
      </w:pPr>
      <w:r w:rsidRPr="008C0879">
        <w:rPr>
          <w:noProof/>
        </w:rPr>
        <w:t>ii)</w:t>
      </w:r>
      <w:r w:rsidRPr="008C0879">
        <w:rPr>
          <w:noProof/>
        </w:rPr>
        <w:tab/>
        <w:t>les termes “l’enquêteur ou l’AEMF” sont remplacés par les termes “l’enquêteur, l’AEMF ou, selon le cas, l’Autorité de surveillance AELE”.</w:t>
      </w:r>
    </w:p>
    <w:p w14:paraId="41C53BD2" w14:textId="77777777" w:rsidR="000C6101" w:rsidRPr="008C0879" w:rsidRDefault="000C6101" w:rsidP="000C6101">
      <w:pPr>
        <w:pStyle w:val="Point2"/>
        <w:rPr>
          <w:noProof/>
        </w:rPr>
      </w:pPr>
      <w:r w:rsidRPr="008C0879">
        <w:rPr>
          <w:noProof/>
        </w:rPr>
        <w:t>f)</w:t>
      </w:r>
      <w:r w:rsidRPr="008C0879">
        <w:rPr>
          <w:noProof/>
        </w:rPr>
        <w:tab/>
        <w:t>À l’article 7:</w:t>
      </w:r>
    </w:p>
    <w:p w14:paraId="4694C639" w14:textId="77777777" w:rsidR="000C6101" w:rsidRPr="008C0879" w:rsidRDefault="000C6101" w:rsidP="000C6101">
      <w:pPr>
        <w:pStyle w:val="Point2"/>
        <w:ind w:left="2552"/>
        <w:rPr>
          <w:noProof/>
        </w:rPr>
      </w:pPr>
      <w:r w:rsidRPr="008C0879">
        <w:rPr>
          <w:noProof/>
        </w:rPr>
        <w:t>i)</w:t>
      </w:r>
      <w:r w:rsidRPr="008C0879">
        <w:rPr>
          <w:noProof/>
        </w:rPr>
        <w:tab/>
        <w:t>au paragraphe 3, les termes “et, en ce qui concerne les États de l’AELE, de l’Autorité de surveillance AELE” sont insérés après la première occurrence du terme “AEMF”;</w:t>
      </w:r>
    </w:p>
    <w:p w14:paraId="548557DD" w14:textId="77777777" w:rsidR="000C6101" w:rsidRPr="008C0879" w:rsidRDefault="000C6101" w:rsidP="000C6101">
      <w:pPr>
        <w:pStyle w:val="Point2"/>
        <w:ind w:left="2552"/>
        <w:rPr>
          <w:noProof/>
        </w:rPr>
      </w:pPr>
      <w:r w:rsidRPr="008C0879">
        <w:rPr>
          <w:noProof/>
        </w:rPr>
        <w:t>ii)</w:t>
      </w:r>
      <w:r w:rsidRPr="008C0879">
        <w:rPr>
          <w:noProof/>
        </w:rPr>
        <w:tab/>
        <w:t>au paragraphe 3, les termes “agissant à sa demande” sont remplacés par les termes “agissant à sa demande ou, selon le cas, à la demande de l’Autorité de surveillance AELE”;</w:t>
      </w:r>
    </w:p>
    <w:p w14:paraId="1A88AD5A" w14:textId="127AFD4F" w:rsidR="000C6101" w:rsidRPr="008C0879" w:rsidRDefault="000C6101" w:rsidP="000C6101">
      <w:pPr>
        <w:pStyle w:val="Point2"/>
        <w:ind w:left="2552"/>
        <w:rPr>
          <w:noProof/>
        </w:rPr>
      </w:pPr>
      <w:r w:rsidRPr="008C0879">
        <w:rPr>
          <w:noProof/>
        </w:rPr>
        <w:t>iii)</w:t>
      </w:r>
      <w:r w:rsidRPr="008C0879">
        <w:rPr>
          <w:noProof/>
        </w:rPr>
        <w:tab/>
        <w:t>au paragraphe 5, l’alinéa suivant est inséré:</w:t>
      </w:r>
    </w:p>
    <w:p w14:paraId="086F1709" w14:textId="77777777" w:rsidR="000C6101" w:rsidRPr="008C0879" w:rsidRDefault="000C6101" w:rsidP="000C6101">
      <w:pPr>
        <w:pStyle w:val="Point2"/>
        <w:ind w:left="2552"/>
        <w:rPr>
          <w:noProof/>
        </w:rPr>
      </w:pPr>
      <w:r w:rsidRPr="008C0879">
        <w:rPr>
          <w:noProof/>
        </w:rPr>
        <w:tab/>
        <w:t>“Le délai de prescription pour l’imposition d’amendes et d’astreintes est suspendu aussi longtemps que la décision de l’Autorité de surveillance AELE fait l’objet d’une procédure pendante devant la Cour AELE conformément à l’article 36 de l’accord entre les États de l’AELE relatif à l’institution d’une Autorité de surveillance et d’une Cour de justice.”.</w:t>
      </w:r>
    </w:p>
    <w:p w14:paraId="28D376BC" w14:textId="77777777" w:rsidR="000C6101" w:rsidRPr="008C0879" w:rsidRDefault="000C6101" w:rsidP="000C6101">
      <w:pPr>
        <w:pStyle w:val="Point2"/>
        <w:rPr>
          <w:noProof/>
        </w:rPr>
      </w:pPr>
      <w:r w:rsidRPr="008C0879">
        <w:rPr>
          <w:noProof/>
        </w:rPr>
        <w:t>g)</w:t>
      </w:r>
      <w:r w:rsidRPr="008C0879">
        <w:rPr>
          <w:noProof/>
        </w:rPr>
        <w:tab/>
        <w:t>À l’article 8, en ce qui concerne les États de l’AELE:</w:t>
      </w:r>
    </w:p>
    <w:p w14:paraId="537EC231" w14:textId="2862C116" w:rsidR="000C6101" w:rsidRPr="008C0879" w:rsidRDefault="000C6101" w:rsidP="000C6101">
      <w:pPr>
        <w:pStyle w:val="Point2"/>
        <w:ind w:left="2552"/>
        <w:rPr>
          <w:noProof/>
        </w:rPr>
      </w:pPr>
      <w:r w:rsidRPr="008C0879">
        <w:rPr>
          <w:noProof/>
        </w:rPr>
        <w:t>i)</w:t>
      </w:r>
      <w:r w:rsidRPr="008C0879">
        <w:rPr>
          <w:noProof/>
        </w:rPr>
        <w:tab/>
        <w:t>au</w:t>
      </w:r>
      <w:r w:rsidR="00660E46">
        <w:rPr>
          <w:noProof/>
        </w:rPr>
        <w:t>x</w:t>
      </w:r>
      <w:r w:rsidRPr="008C0879">
        <w:rPr>
          <w:noProof/>
        </w:rPr>
        <w:t xml:space="preserve"> paragraphe</w:t>
      </w:r>
      <w:r w:rsidR="00660E46">
        <w:rPr>
          <w:noProof/>
        </w:rPr>
        <w:t>s</w:t>
      </w:r>
      <w:r w:rsidRPr="008C0879">
        <w:rPr>
          <w:noProof/>
        </w:rPr>
        <w:t> 1</w:t>
      </w:r>
      <w:r w:rsidR="00660E46">
        <w:rPr>
          <w:noProof/>
        </w:rPr>
        <w:t xml:space="preserve"> et 3</w:t>
      </w:r>
      <w:r w:rsidRPr="008C0879">
        <w:rPr>
          <w:noProof/>
        </w:rPr>
        <w:t>, les termes “ou, selon le cas, de l’Autorité de surveillance AELE” sont insérés après le terme “AEMF” et au paragraphe 3, les termes “ou, selon le cas, par l’Autorité de surveillance AELE,”</w:t>
      </w:r>
      <w:r w:rsidR="00660E46">
        <w:rPr>
          <w:noProof/>
        </w:rPr>
        <w:t xml:space="preserve"> et</w:t>
      </w:r>
      <w:r w:rsidRPr="008C0879">
        <w:rPr>
          <w:noProof/>
        </w:rPr>
        <w:t xml:space="preserve"> “ou, selon le cas, de l’Autorité de surveillance AELE” sont insérés, respectivement après les termes “par l’AEMF” et “de l’AEMF”;</w:t>
      </w:r>
    </w:p>
    <w:p w14:paraId="40ECBEF9" w14:textId="501F2EE5" w:rsidR="000C6101" w:rsidRPr="008C0879" w:rsidRDefault="000C6101" w:rsidP="000C6101">
      <w:pPr>
        <w:pStyle w:val="Point2"/>
        <w:ind w:left="2552"/>
        <w:rPr>
          <w:noProof/>
        </w:rPr>
      </w:pPr>
      <w:r w:rsidRPr="008C0879">
        <w:rPr>
          <w:noProof/>
        </w:rPr>
        <w:t>ii)</w:t>
      </w:r>
      <w:r w:rsidRPr="008C0879">
        <w:rPr>
          <w:noProof/>
        </w:rPr>
        <w:tab/>
        <w:t>au paragraphe 5, les termes “ou, en ce qui concerne les États de l’AELE, d’un examen de la Cour AELE, conformément à l’article 35 de l’accord entre les États de l’AELE relatif à l’institution d’une Autorité de surveillance et d’une Cour de justice” sont insérés après les termes “règlement (UE) 2016/1011”.».</w:t>
      </w:r>
    </w:p>
    <w:p w14:paraId="556722E2" w14:textId="77777777" w:rsidR="000C6101" w:rsidRPr="008C0879" w:rsidRDefault="000C6101" w:rsidP="000C6101">
      <w:pPr>
        <w:pStyle w:val="Point0"/>
        <w:rPr>
          <w:noProof/>
        </w:rPr>
      </w:pPr>
      <w:r w:rsidRPr="008C0879">
        <w:rPr>
          <w:noProof/>
        </w:rPr>
        <w:t>2.</w:t>
      </w:r>
      <w:r w:rsidRPr="008C0879">
        <w:rPr>
          <w:noProof/>
        </w:rPr>
        <w:tab/>
        <w:t>Le point suivant est inséré après le point 31lzc [règlement délégué (UE) 2022/804 de la Commission]:</w:t>
      </w:r>
    </w:p>
    <w:p w14:paraId="70B21C6E" w14:textId="77777777" w:rsidR="000C6101" w:rsidRPr="008C0879" w:rsidRDefault="000C6101" w:rsidP="000C6101">
      <w:pPr>
        <w:pStyle w:val="Point1"/>
        <w:ind w:left="1440"/>
        <w:rPr>
          <w:noProof/>
        </w:rPr>
      </w:pPr>
      <w:r w:rsidRPr="008C0879">
        <w:rPr>
          <w:noProof/>
        </w:rPr>
        <w:t xml:space="preserve">«31lzd. </w:t>
      </w:r>
      <w:r w:rsidRPr="008C0879">
        <w:rPr>
          <w:b/>
          <w:noProof/>
        </w:rPr>
        <w:t>32022 R 0805</w:t>
      </w:r>
      <w:r w:rsidRPr="008C0879">
        <w:rPr>
          <w:noProof/>
        </w:rPr>
        <w:t>: règlement délégué (UE) 2022/805 de la Commission du 16 février 2022 complétant le règlement (UE) 2016/1011 du Parlement européen et du Conseil en précisant les frais applicables dans le cadre de la surveillance, par l’Autorité européenne des marchés financiers, de certains administrateurs d’indices de référence (JO L 145 du 24.5.2022, p. 14), tel que modifié par:</w:t>
      </w:r>
    </w:p>
    <w:p w14:paraId="7BF98A1D" w14:textId="77777777" w:rsidR="000C6101" w:rsidRPr="008C0879" w:rsidRDefault="000C6101" w:rsidP="000C6101">
      <w:pPr>
        <w:pStyle w:val="Point2"/>
        <w:rPr>
          <w:noProof/>
        </w:rPr>
      </w:pPr>
      <w:r w:rsidRPr="008C0879">
        <w:rPr>
          <w:noProof/>
        </w:rPr>
        <w:t>-</w:t>
      </w:r>
      <w:r w:rsidRPr="008C0879">
        <w:rPr>
          <w:noProof/>
        </w:rPr>
        <w:tab/>
      </w:r>
      <w:r w:rsidRPr="008C0879">
        <w:rPr>
          <w:b/>
          <w:noProof/>
        </w:rPr>
        <w:t>32024 R 1705</w:t>
      </w:r>
      <w:r w:rsidRPr="008C0879">
        <w:rPr>
          <w:noProof/>
        </w:rPr>
        <w:t>: règlement délégué (UE) 2024/1705 de la Commission du 11 mars 2024 (JO L, 2024/1705, 18.6.2024).».</w:t>
      </w:r>
    </w:p>
    <w:p w14:paraId="2F3478F1" w14:textId="0E3815A7" w:rsidR="000C6101" w:rsidRPr="008C0879" w:rsidRDefault="000C6101" w:rsidP="000C6101">
      <w:pPr>
        <w:pStyle w:val="Point0"/>
        <w:rPr>
          <w:noProof/>
        </w:rPr>
      </w:pPr>
      <w:r w:rsidRPr="008C0879">
        <w:rPr>
          <w:noProof/>
        </w:rPr>
        <w:tab/>
        <w:t>Aux fins du présent accord, les dispositions du règlement délégué sont adaptées comme suit:</w:t>
      </w:r>
    </w:p>
    <w:p w14:paraId="0B107984" w14:textId="77777777" w:rsidR="000C6101" w:rsidRPr="008C0879" w:rsidRDefault="000C6101" w:rsidP="000C6101">
      <w:pPr>
        <w:pStyle w:val="Point1"/>
        <w:rPr>
          <w:noProof/>
        </w:rPr>
      </w:pPr>
      <w:r w:rsidRPr="008C0879">
        <w:rPr>
          <w:noProof/>
        </w:rPr>
        <w:t>«a)</w:t>
      </w:r>
      <w:r w:rsidRPr="008C0879">
        <w:rPr>
          <w:noProof/>
        </w:rPr>
        <w:tab/>
        <w:t>À l’article 1</w:t>
      </w:r>
      <w:r w:rsidRPr="008C0879">
        <w:rPr>
          <w:noProof/>
          <w:vertAlign w:val="superscript"/>
        </w:rPr>
        <w:t>er</w:t>
      </w:r>
      <w:r w:rsidRPr="008C0879">
        <w:rPr>
          <w:noProof/>
        </w:rPr>
        <w:t>, à l’article 2 </w:t>
      </w:r>
      <w:r w:rsidRPr="008C0879">
        <w:rPr>
          <w:i/>
          <w:noProof/>
        </w:rPr>
        <w:t>bis</w:t>
      </w:r>
      <w:r w:rsidRPr="008C0879">
        <w:rPr>
          <w:noProof/>
        </w:rPr>
        <w:t>, point b), à l’article 5, à l’article 8, paragraphe 2, à l’article 9, paragraphes 2 et 3, et à l’article 10, les termes “</w:t>
      </w:r>
      <w:bookmarkStart w:id="4" w:name="_Hlk211263935"/>
      <w:r w:rsidRPr="008C0879">
        <w:rPr>
          <w:noProof/>
        </w:rPr>
        <w:t>ou, selon le cas, l’Autorité de surveillance AELE,</w:t>
      </w:r>
      <w:bookmarkEnd w:id="4"/>
      <w:r w:rsidRPr="008C0879">
        <w:rPr>
          <w:noProof/>
        </w:rPr>
        <w:t>” sont insérés après les termes “AEMF”. À l’article 4, paragraphe 3, et à l’article 9, paragraphe 1, les termes “ou, selon le cas, à l’Autorité de surveillance AELE” sont insérés après les termes “à l’AEMF”.</w:t>
      </w:r>
    </w:p>
    <w:p w14:paraId="121266C4" w14:textId="77777777" w:rsidR="000C6101" w:rsidRPr="008C0879" w:rsidRDefault="000C6101" w:rsidP="000C6101">
      <w:pPr>
        <w:pStyle w:val="Point1"/>
        <w:rPr>
          <w:noProof/>
        </w:rPr>
      </w:pPr>
      <w:r w:rsidRPr="008C0879">
        <w:rPr>
          <w:noProof/>
        </w:rPr>
        <w:t>b)</w:t>
      </w:r>
      <w:r w:rsidRPr="008C0879">
        <w:rPr>
          <w:noProof/>
        </w:rPr>
        <w:tab/>
        <w:t>À l’article 3, paragraphe 3, les termes “</w:t>
      </w:r>
      <w:bookmarkStart w:id="5" w:name="_Hlk211264417"/>
      <w:r w:rsidRPr="008C0879">
        <w:rPr>
          <w:noProof/>
        </w:rPr>
        <w:t>ou, selon le cas, de la note de débit de l’Autorité de surveillance AELE</w:t>
      </w:r>
      <w:bookmarkEnd w:id="5"/>
      <w:r w:rsidRPr="008C0879">
        <w:rPr>
          <w:noProof/>
        </w:rPr>
        <w:t>” sont insérés après les termes “de la note de débit de l’AEMF”.</w:t>
      </w:r>
    </w:p>
    <w:p w14:paraId="66FD2E50" w14:textId="77777777" w:rsidR="000C6101" w:rsidRPr="008C0879" w:rsidRDefault="000C6101" w:rsidP="000C6101">
      <w:pPr>
        <w:pStyle w:val="Point1"/>
        <w:rPr>
          <w:noProof/>
        </w:rPr>
      </w:pPr>
      <w:r w:rsidRPr="008C0879">
        <w:rPr>
          <w:noProof/>
        </w:rPr>
        <w:t>c)</w:t>
      </w:r>
      <w:r w:rsidRPr="008C0879">
        <w:rPr>
          <w:noProof/>
        </w:rPr>
        <w:tab/>
        <w:t>À l’article 5, les termes “</w:t>
      </w:r>
      <w:bookmarkStart w:id="6" w:name="_Hlk211265671"/>
      <w:r w:rsidRPr="008C0879">
        <w:rPr>
          <w:noProof/>
        </w:rPr>
        <w:t xml:space="preserve">ou, selon le cas, </w:t>
      </w:r>
      <w:bookmarkStart w:id="7" w:name="_Hlk211266240"/>
      <w:r w:rsidRPr="008C0879">
        <w:rPr>
          <w:noProof/>
        </w:rPr>
        <w:t>de la note de débit correspondante de l’Autorité de surveillance AELE</w:t>
      </w:r>
      <w:bookmarkEnd w:id="6"/>
      <w:bookmarkEnd w:id="7"/>
      <w:r w:rsidRPr="008C0879">
        <w:rPr>
          <w:noProof/>
        </w:rPr>
        <w:t>” sont insérés après les termes “de la note de débit correspondante de l’AEMF”.</w:t>
      </w:r>
    </w:p>
    <w:p w14:paraId="19E6AD59" w14:textId="77777777" w:rsidR="000C6101" w:rsidRPr="008C0879" w:rsidRDefault="000C6101" w:rsidP="000C6101">
      <w:pPr>
        <w:pStyle w:val="Point1"/>
        <w:rPr>
          <w:noProof/>
        </w:rPr>
      </w:pPr>
      <w:r w:rsidRPr="008C0879">
        <w:rPr>
          <w:noProof/>
        </w:rPr>
        <w:t>d)</w:t>
      </w:r>
      <w:r w:rsidRPr="008C0879">
        <w:rPr>
          <w:noProof/>
        </w:rPr>
        <w:tab/>
        <w:t>À l’article 7:</w:t>
      </w:r>
    </w:p>
    <w:p w14:paraId="4194F398" w14:textId="77777777" w:rsidR="000C6101" w:rsidRPr="008C0879" w:rsidRDefault="000C6101" w:rsidP="000C6101">
      <w:pPr>
        <w:pStyle w:val="Point2"/>
        <w:rPr>
          <w:noProof/>
        </w:rPr>
      </w:pPr>
      <w:r w:rsidRPr="008C0879">
        <w:rPr>
          <w:noProof/>
        </w:rPr>
        <w:t>i)</w:t>
      </w:r>
      <w:r w:rsidRPr="008C0879">
        <w:rPr>
          <w:noProof/>
        </w:rPr>
        <w:tab/>
        <w:t>au paragraphe 2, la mention “ou, en ce qui concerne les États de l’AELE, les intérêts de retard visés aux paragraphes 3 à 6 dudit article” est insérée après les termes “du Conseil”;</w:t>
      </w:r>
    </w:p>
    <w:p w14:paraId="0A51D3E8" w14:textId="77777777" w:rsidR="000C6101" w:rsidRPr="008C0879" w:rsidRDefault="000C6101" w:rsidP="000C6101">
      <w:pPr>
        <w:pStyle w:val="Point2"/>
        <w:rPr>
          <w:noProof/>
        </w:rPr>
      </w:pPr>
      <w:r w:rsidRPr="008C0879">
        <w:rPr>
          <w:noProof/>
        </w:rPr>
        <w:t>ii)</w:t>
      </w:r>
      <w:r w:rsidRPr="008C0879">
        <w:rPr>
          <w:noProof/>
        </w:rPr>
        <w:tab/>
        <w:t>les paragraphes suivants sont insérés après le paragraphe 2:</w:t>
      </w:r>
    </w:p>
    <w:p w14:paraId="003B1BEA" w14:textId="77777777" w:rsidR="000C6101" w:rsidRPr="008C0879" w:rsidRDefault="000C6101" w:rsidP="000C6101">
      <w:pPr>
        <w:pStyle w:val="Point2"/>
        <w:rPr>
          <w:noProof/>
        </w:rPr>
      </w:pPr>
      <w:r w:rsidRPr="008C0879">
        <w:rPr>
          <w:noProof/>
        </w:rPr>
        <w:tab/>
        <w:t>“3. Sans préjudice des dispositions spécifiques découlant de l’application de la réglementation spécifique, toute créance non remboursée à la date limite porte intérêts conformément aux paragraphes 4 et 5 du présent article.</w:t>
      </w:r>
    </w:p>
    <w:p w14:paraId="76AA8F0F" w14:textId="77777777" w:rsidR="000C6101" w:rsidRPr="008C0879" w:rsidRDefault="000C6101" w:rsidP="000C6101">
      <w:pPr>
        <w:pStyle w:val="Point2"/>
        <w:rPr>
          <w:noProof/>
        </w:rPr>
      </w:pPr>
      <w:r w:rsidRPr="008C0879">
        <w:rPr>
          <w:noProof/>
        </w:rPr>
        <w:tab/>
        <w:t xml:space="preserve">4. Le taux d’intérêt pour les créances non remboursées à la date limite est le taux appliqué par la Banque centrale européenne à ses opérations principales de refinancement tel que publié au </w:t>
      </w:r>
      <w:r w:rsidRPr="008C0879">
        <w:rPr>
          <w:i/>
          <w:noProof/>
        </w:rPr>
        <w:t>Journal officiel de l’Union européenne</w:t>
      </w:r>
      <w:r w:rsidRPr="008C0879">
        <w:rPr>
          <w:noProof/>
        </w:rPr>
        <w:t>, série C, en vigueur le premier jour civil du mois de la date limite, majoré de:</w:t>
      </w:r>
    </w:p>
    <w:p w14:paraId="083F355B" w14:textId="77777777" w:rsidR="000C6101" w:rsidRPr="008C0879" w:rsidRDefault="000C6101" w:rsidP="000C6101">
      <w:pPr>
        <w:pStyle w:val="Point2"/>
        <w:rPr>
          <w:noProof/>
        </w:rPr>
      </w:pPr>
      <w:r w:rsidRPr="008C0879">
        <w:rPr>
          <w:noProof/>
        </w:rPr>
        <w:tab/>
        <w:t>a)</w:t>
      </w:r>
      <w:r w:rsidRPr="008C0879">
        <w:rPr>
          <w:noProof/>
        </w:rPr>
        <w:tab/>
        <w:t>huit points de pourcentage lorsque la créance a pour fait générateur un marché de fournitures ou un marché de services;</w:t>
      </w:r>
    </w:p>
    <w:p w14:paraId="7BEE8C24" w14:textId="77777777" w:rsidR="000C6101" w:rsidRPr="008C0879" w:rsidRDefault="000C6101" w:rsidP="000C6101">
      <w:pPr>
        <w:pStyle w:val="Point2"/>
        <w:rPr>
          <w:noProof/>
        </w:rPr>
      </w:pPr>
      <w:r w:rsidRPr="008C0879">
        <w:rPr>
          <w:noProof/>
        </w:rPr>
        <w:tab/>
        <w:t>b)</w:t>
      </w:r>
      <w:r w:rsidRPr="008C0879">
        <w:rPr>
          <w:noProof/>
        </w:rPr>
        <w:tab/>
        <w:t>trois points et demi de pourcentage dans tous les autres cas.</w:t>
      </w:r>
    </w:p>
    <w:p w14:paraId="0983481A" w14:textId="77777777" w:rsidR="000C6101" w:rsidRPr="008C0879" w:rsidRDefault="000C6101" w:rsidP="000C6101">
      <w:pPr>
        <w:pStyle w:val="Point2"/>
        <w:rPr>
          <w:noProof/>
        </w:rPr>
      </w:pPr>
      <w:r w:rsidRPr="008C0879">
        <w:rPr>
          <w:noProof/>
        </w:rPr>
        <w:tab/>
        <w:t>5. Le montant des intérêts est calculé à partir du jour civil suivant la fin de date limite jusqu’au jour civil du remboursement intégral de la dette.</w:t>
      </w:r>
    </w:p>
    <w:p w14:paraId="0C71CD36" w14:textId="77777777" w:rsidR="000C6101" w:rsidRPr="008C0879" w:rsidRDefault="000C6101" w:rsidP="000C6101">
      <w:pPr>
        <w:pStyle w:val="Point2"/>
        <w:rPr>
          <w:noProof/>
        </w:rPr>
      </w:pPr>
      <w:r w:rsidRPr="008C0879">
        <w:rPr>
          <w:noProof/>
        </w:rPr>
        <w:tab/>
        <w:t>L’ordre de recouvrement correspondant au montant des intérêts de retard est émis lorsque ces intérêts sont effectivement perçus.</w:t>
      </w:r>
    </w:p>
    <w:p w14:paraId="04DA5A33" w14:textId="77777777" w:rsidR="000C6101" w:rsidRPr="008C0879" w:rsidRDefault="000C6101" w:rsidP="000C6101">
      <w:pPr>
        <w:pStyle w:val="Point2"/>
        <w:rPr>
          <w:noProof/>
        </w:rPr>
      </w:pPr>
      <w:r w:rsidRPr="008C0879">
        <w:rPr>
          <w:noProof/>
        </w:rPr>
        <w:tab/>
        <w:t>6. Dans les cas où le taux d’intérêt global est négatif, il est fixé à zéro pour cent.”.</w:t>
      </w:r>
    </w:p>
    <w:p w14:paraId="47C3183D" w14:textId="77777777" w:rsidR="000C6101" w:rsidRPr="008C0879" w:rsidRDefault="000C6101" w:rsidP="000C6101">
      <w:pPr>
        <w:pStyle w:val="Point1"/>
        <w:rPr>
          <w:noProof/>
        </w:rPr>
      </w:pPr>
      <w:r w:rsidRPr="008C0879">
        <w:rPr>
          <w:noProof/>
        </w:rPr>
        <w:t>e)</w:t>
      </w:r>
      <w:r w:rsidRPr="008C0879">
        <w:rPr>
          <w:noProof/>
        </w:rPr>
        <w:tab/>
        <w:t>À l’article 8, les termes “</w:t>
      </w:r>
      <w:bookmarkStart w:id="8" w:name="_Hlk211265747"/>
      <w:r w:rsidRPr="008C0879">
        <w:rPr>
          <w:noProof/>
        </w:rPr>
        <w:t>ou, en ce qui concerne les États de l’AELE, de la date d’émission de la facture de l’Autorité de surveillance AELE</w:t>
      </w:r>
      <w:bookmarkEnd w:id="8"/>
      <w:r w:rsidRPr="008C0879">
        <w:rPr>
          <w:noProof/>
        </w:rPr>
        <w:t>” sont insérés après les termes “de la date d’émission de la facture de l’AEMF”.</w:t>
      </w:r>
    </w:p>
    <w:p w14:paraId="2285C177" w14:textId="77777777" w:rsidR="000C6101" w:rsidRPr="008C0879" w:rsidRDefault="000C6101" w:rsidP="000C6101">
      <w:pPr>
        <w:pStyle w:val="Point1"/>
        <w:rPr>
          <w:noProof/>
        </w:rPr>
      </w:pPr>
      <w:r w:rsidRPr="008C0879">
        <w:rPr>
          <w:noProof/>
        </w:rPr>
        <w:t>f)</w:t>
      </w:r>
      <w:r w:rsidRPr="008C0879">
        <w:rPr>
          <w:noProof/>
        </w:rPr>
        <w:tab/>
        <w:t>À l’article 10, paragraphe 2, l’alinéa suivant est ajouté:</w:t>
      </w:r>
    </w:p>
    <w:p w14:paraId="005BBBE4" w14:textId="54B41181" w:rsidR="000C6101" w:rsidRPr="008C0879" w:rsidRDefault="000C6101" w:rsidP="000C6101">
      <w:pPr>
        <w:pStyle w:val="Point1"/>
        <w:rPr>
          <w:noProof/>
        </w:rPr>
      </w:pPr>
      <w:r w:rsidRPr="008C0879">
        <w:rPr>
          <w:noProof/>
        </w:rPr>
        <w:tab/>
        <w:t>“En ce qui concerne les administrateurs d’indices de référence établis dans les pays de l’AELE, lorsque l’Autorité de surveillance AELE doit rembourser une autorité nationale compétente, l’AEMF met le montant à rembourser à la disposition de l’Autorité de surveillance AELE dans les plus brefs délais.”».</w:t>
      </w:r>
    </w:p>
    <w:p w14:paraId="5A43BC25" w14:textId="77777777" w:rsidR="000C6101" w:rsidRPr="008C0879" w:rsidRDefault="000C6101" w:rsidP="000C6101">
      <w:pPr>
        <w:pStyle w:val="Articleheading"/>
        <w:rPr>
          <w:noProof/>
        </w:rPr>
      </w:pPr>
      <w:r w:rsidRPr="008C0879">
        <w:rPr>
          <w:noProof/>
        </w:rPr>
        <w:t>Article 2</w:t>
      </w:r>
    </w:p>
    <w:p w14:paraId="7395B89F" w14:textId="77777777" w:rsidR="000C6101" w:rsidRPr="008C0879" w:rsidRDefault="000C6101" w:rsidP="000C6101">
      <w:pPr>
        <w:pStyle w:val="Articletext"/>
        <w:rPr>
          <w:noProof/>
        </w:rPr>
      </w:pPr>
      <w:r w:rsidRPr="008C0879">
        <w:rPr>
          <w:noProof/>
        </w:rPr>
        <w:t xml:space="preserve">Les textes des règlements délégués (UE) 2022/804, (UE) 2022/805 et (UE) 2024/1705 en langues islandaise et norvégienne, à publier dans le supplément EEE du </w:t>
      </w:r>
      <w:r w:rsidRPr="008C0879">
        <w:rPr>
          <w:i/>
          <w:noProof/>
        </w:rPr>
        <w:t>Journal officiel de l’Union européenne</w:t>
      </w:r>
      <w:r w:rsidRPr="008C0879">
        <w:rPr>
          <w:noProof/>
        </w:rPr>
        <w:t>, font foi.</w:t>
      </w:r>
    </w:p>
    <w:p w14:paraId="51D8AA8A" w14:textId="77777777" w:rsidR="000C6101" w:rsidRPr="008C0879" w:rsidRDefault="000C6101" w:rsidP="000C6101">
      <w:pPr>
        <w:pStyle w:val="Articleheading"/>
        <w:rPr>
          <w:noProof/>
        </w:rPr>
      </w:pPr>
      <w:r w:rsidRPr="008C0879">
        <w:rPr>
          <w:noProof/>
        </w:rPr>
        <w:t>Article 3</w:t>
      </w:r>
    </w:p>
    <w:p w14:paraId="001356DD" w14:textId="1D0684E2" w:rsidR="000C6101" w:rsidRPr="008C0879" w:rsidRDefault="000C6101" w:rsidP="000C6101">
      <w:pPr>
        <w:pStyle w:val="Articletext"/>
        <w:rPr>
          <w:noProof/>
        </w:rPr>
      </w:pPr>
      <w:r w:rsidRPr="008C0879">
        <w:rPr>
          <w:noProof/>
        </w:rPr>
        <w:t xml:space="preserve">La présente décision entre en vigueur le </w:t>
      </w:r>
      <w:r w:rsidRPr="008C0879">
        <w:rPr>
          <w:rStyle w:val="Marker"/>
          <w:noProof/>
        </w:rPr>
        <w:t>[…]</w:t>
      </w:r>
      <w:r w:rsidRPr="008C0879">
        <w:rPr>
          <w:noProof/>
        </w:rPr>
        <w:t>, pour autant que toutes les notifications prévues à l’article 103, paragraphe 1, de l’accord EEE aient été faites</w:t>
      </w:r>
      <w:r w:rsidRPr="008C0879">
        <w:rPr>
          <w:rStyle w:val="FootnoteTextChar"/>
          <w:noProof/>
          <w:vertAlign w:val="superscript"/>
        </w:rPr>
        <w:footnoteReference w:customMarkFollows="1" w:id="4"/>
        <w:t>*</w:t>
      </w:r>
      <w:r w:rsidRPr="008C0879">
        <w:rPr>
          <w:noProof/>
        </w:rPr>
        <w:t xml:space="preserve">, ou à la date d’entrée en vigueur de la décision du Comité mixte de l’EEE nº .../... du </w:t>
      </w:r>
      <w:r w:rsidRPr="008C0879">
        <w:rPr>
          <w:rStyle w:val="Marker"/>
          <w:noProof/>
        </w:rPr>
        <w:t>[…]</w:t>
      </w:r>
      <w:r w:rsidRPr="008C0879">
        <w:rPr>
          <w:rStyle w:val="FootnoteReference"/>
          <w:noProof/>
          <w:color w:val="0000FF"/>
        </w:rPr>
        <w:footnoteReference w:id="5"/>
      </w:r>
      <w:r w:rsidRPr="008C0879">
        <w:rPr>
          <w:noProof/>
        </w:rPr>
        <w:t xml:space="preserve"> intégrant le {règlement (UE) 2019/2175} dans l’accord EEE, si celle-ci intervient plus tard.</w:t>
      </w:r>
    </w:p>
    <w:p w14:paraId="00F810E4" w14:textId="77777777" w:rsidR="000C6101" w:rsidRPr="008C0879" w:rsidRDefault="000C6101" w:rsidP="000C6101">
      <w:pPr>
        <w:pStyle w:val="Articleheading"/>
        <w:rPr>
          <w:noProof/>
        </w:rPr>
      </w:pPr>
      <w:r w:rsidRPr="008C0879">
        <w:rPr>
          <w:noProof/>
        </w:rPr>
        <w:t>Article 4</w:t>
      </w:r>
    </w:p>
    <w:p w14:paraId="47AC9B93" w14:textId="77777777" w:rsidR="000C6101" w:rsidRPr="008C0879" w:rsidRDefault="000C6101" w:rsidP="000C6101">
      <w:pPr>
        <w:pStyle w:val="Articletext"/>
        <w:rPr>
          <w:noProof/>
        </w:rPr>
      </w:pPr>
      <w:r w:rsidRPr="008C0879">
        <w:rPr>
          <w:noProof/>
        </w:rPr>
        <w:t xml:space="preserve">La présente décision est publiée dans la partie EEE et dans le supplément EEE du </w:t>
      </w:r>
      <w:r w:rsidRPr="008C0879">
        <w:rPr>
          <w:i/>
          <w:noProof/>
        </w:rPr>
        <w:t>Journal officiel de l’Union européenne</w:t>
      </w:r>
      <w:r w:rsidRPr="008C0879">
        <w:rPr>
          <w:noProof/>
        </w:rPr>
        <w:t>.</w:t>
      </w:r>
    </w:p>
    <w:p w14:paraId="43D925FE" w14:textId="51E1D25C" w:rsidR="000C6101" w:rsidRPr="008C0879" w:rsidRDefault="000C6101" w:rsidP="000C6101">
      <w:pPr>
        <w:rPr>
          <w:noProof/>
          <w:szCs w:val="24"/>
        </w:rPr>
      </w:pPr>
      <w:r w:rsidRPr="008C0879">
        <w:rPr>
          <w:noProof/>
        </w:rPr>
        <w:t>Fait à Bruxelles, le</w:t>
      </w:r>
    </w:p>
    <w:p w14:paraId="7C936A65" w14:textId="77777777" w:rsidR="000C6101" w:rsidRPr="008C0879" w:rsidRDefault="000C6101" w:rsidP="000C6101">
      <w:pPr>
        <w:tabs>
          <w:tab w:val="left" w:pos="4253"/>
        </w:tabs>
        <w:spacing w:after="0"/>
        <w:rPr>
          <w:i/>
          <w:noProof/>
          <w:szCs w:val="24"/>
        </w:rPr>
      </w:pPr>
      <w:r w:rsidRPr="008C0879">
        <w:rPr>
          <w:noProof/>
        </w:rPr>
        <w:tab/>
      </w:r>
      <w:r w:rsidRPr="008C0879">
        <w:rPr>
          <w:i/>
          <w:noProof/>
        </w:rPr>
        <w:t>Par le Comité mixte de l’EEE</w:t>
      </w:r>
    </w:p>
    <w:p w14:paraId="3E659ED3" w14:textId="77777777" w:rsidR="000C6101" w:rsidRPr="008C0879" w:rsidRDefault="000C6101" w:rsidP="000C6101">
      <w:pPr>
        <w:tabs>
          <w:tab w:val="left" w:pos="4253"/>
        </w:tabs>
        <w:spacing w:after="0"/>
        <w:rPr>
          <w:i/>
          <w:noProof/>
          <w:szCs w:val="24"/>
        </w:rPr>
      </w:pPr>
      <w:r w:rsidRPr="008C0879">
        <w:rPr>
          <w:noProof/>
        </w:rPr>
        <w:tab/>
      </w:r>
      <w:r w:rsidRPr="008C0879">
        <w:rPr>
          <w:i/>
          <w:noProof/>
        </w:rPr>
        <w:t>Le président/la présidente</w:t>
      </w:r>
    </w:p>
    <w:p w14:paraId="5B8AE17D" w14:textId="4C556831" w:rsidR="000C6101" w:rsidRPr="008C0879" w:rsidRDefault="000C6101" w:rsidP="000C6101">
      <w:pPr>
        <w:tabs>
          <w:tab w:val="left" w:pos="4253"/>
        </w:tabs>
        <w:spacing w:after="0"/>
        <w:rPr>
          <w:i/>
          <w:noProof/>
          <w:szCs w:val="24"/>
        </w:rPr>
      </w:pPr>
      <w:r w:rsidRPr="008C0879">
        <w:rPr>
          <w:noProof/>
        </w:rPr>
        <w:tab/>
      </w:r>
    </w:p>
    <w:p w14:paraId="6B7C8C3F" w14:textId="77777777" w:rsidR="000C6101" w:rsidRPr="008C0879" w:rsidRDefault="000C6101" w:rsidP="000C6101">
      <w:pPr>
        <w:pStyle w:val="ListParagraph"/>
        <w:tabs>
          <w:tab w:val="left" w:pos="4253"/>
        </w:tabs>
        <w:ind w:left="0"/>
        <w:rPr>
          <w:rFonts w:cs="Times New Roman"/>
          <w:i/>
          <w:noProof/>
          <w:sz w:val="24"/>
          <w:szCs w:val="24"/>
        </w:rPr>
      </w:pPr>
      <w:r w:rsidRPr="008C0879">
        <w:rPr>
          <w:noProof/>
        </w:rPr>
        <w:tab/>
      </w:r>
      <w:r w:rsidRPr="008C0879">
        <w:rPr>
          <w:i/>
          <w:noProof/>
          <w:sz w:val="24"/>
        </w:rPr>
        <w:t>Les secrétaires</w:t>
      </w:r>
    </w:p>
    <w:p w14:paraId="356595A6" w14:textId="3AC722FA" w:rsidR="000C6101" w:rsidRPr="008C0879" w:rsidRDefault="000C6101" w:rsidP="00BE348F">
      <w:pPr>
        <w:pStyle w:val="ListParagraph"/>
        <w:tabs>
          <w:tab w:val="left" w:pos="4253"/>
        </w:tabs>
        <w:ind w:left="0"/>
        <w:rPr>
          <w:b/>
          <w:bCs/>
          <w:noProof/>
        </w:rPr>
      </w:pPr>
      <w:r w:rsidRPr="008C0879">
        <w:rPr>
          <w:noProof/>
        </w:rPr>
        <w:tab/>
      </w:r>
      <w:r w:rsidRPr="008C0879">
        <w:rPr>
          <w:i/>
          <w:noProof/>
          <w:sz w:val="24"/>
        </w:rPr>
        <w:t>du Comité mixte de l’EEE</w:t>
      </w:r>
    </w:p>
    <w:sectPr w:rsidR="000C6101" w:rsidRPr="008C0879" w:rsidSect="00E46D38">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AFFEAB" w14:textId="77777777" w:rsidR="009C6CF0" w:rsidRDefault="009C6CF0" w:rsidP="00FA089C">
      <w:pPr>
        <w:spacing w:before="0" w:after="0"/>
      </w:pPr>
      <w:r>
        <w:separator/>
      </w:r>
    </w:p>
  </w:endnote>
  <w:endnote w:type="continuationSeparator" w:id="0">
    <w:p w14:paraId="6723DA0E" w14:textId="77777777" w:rsidR="009C6CF0" w:rsidRDefault="009C6CF0" w:rsidP="00FA089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2CE5E" w14:textId="0A6C689D" w:rsidR="00E46D38" w:rsidRPr="00E46D38" w:rsidRDefault="00E46D38" w:rsidP="00E46D38">
    <w:pPr>
      <w:pStyle w:val="Footer"/>
      <w:rPr>
        <w:rFonts w:ascii="Arial" w:hAnsi="Arial" w:cs="Arial"/>
        <w:b/>
        <w:sz w:val="48"/>
      </w:rPr>
    </w:pPr>
    <w:r w:rsidRPr="00E46D38">
      <w:rPr>
        <w:rFonts w:ascii="Arial" w:hAnsi="Arial" w:cs="Arial"/>
        <w:b/>
        <w:sz w:val="48"/>
      </w:rPr>
      <w:t>FR</w:t>
    </w:r>
    <w:r w:rsidRPr="00E46D38">
      <w:rPr>
        <w:rFonts w:ascii="Arial" w:hAnsi="Arial" w:cs="Arial"/>
        <w:b/>
        <w:sz w:val="48"/>
      </w:rPr>
      <w:tab/>
    </w:r>
    <w:r w:rsidRPr="00E46D38">
      <w:rPr>
        <w:rFonts w:ascii="Arial" w:hAnsi="Arial" w:cs="Arial"/>
        <w:b/>
        <w:sz w:val="48"/>
      </w:rPr>
      <w:tab/>
    </w:r>
    <w:r w:rsidRPr="00E46D38">
      <w:tab/>
    </w:r>
    <w:r w:rsidRPr="00E46D3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62A71" w14:textId="6FC256E6" w:rsidR="00E46D38" w:rsidRPr="00E46D38" w:rsidRDefault="00E46D38" w:rsidP="00E46D38">
    <w:pPr>
      <w:pStyle w:val="Footer"/>
      <w:rPr>
        <w:rFonts w:ascii="Arial" w:hAnsi="Arial" w:cs="Arial"/>
        <w:b/>
        <w:sz w:val="48"/>
      </w:rPr>
    </w:pPr>
    <w:r w:rsidRPr="00E46D38">
      <w:rPr>
        <w:rFonts w:ascii="Arial" w:hAnsi="Arial" w:cs="Arial"/>
        <w:b/>
        <w:sz w:val="48"/>
      </w:rPr>
      <w:t>FR</w:t>
    </w:r>
    <w:r w:rsidRPr="00E46D38">
      <w:rPr>
        <w:rFonts w:ascii="Arial" w:hAnsi="Arial" w:cs="Arial"/>
        <w:b/>
        <w:sz w:val="48"/>
      </w:rPr>
      <w:tab/>
    </w:r>
    <w:r w:rsidRPr="00E46D38">
      <w:rPr>
        <w:rFonts w:ascii="Arial" w:hAnsi="Arial" w:cs="Arial"/>
        <w:b/>
        <w:sz w:val="48"/>
      </w:rPr>
      <w:tab/>
    </w:r>
    <w:r w:rsidRPr="00E46D38">
      <w:tab/>
    </w:r>
    <w:r w:rsidRPr="00E46D3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B0B87" w14:textId="77777777" w:rsidR="00E46D38" w:rsidRPr="00E46D38" w:rsidRDefault="00E46D38" w:rsidP="00E46D3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92913" w14:textId="77777777" w:rsidR="00E46D38" w:rsidRDefault="00E46D3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1C735" w14:textId="41F99E17" w:rsidR="00E46D38" w:rsidRPr="00E46D38" w:rsidRDefault="00E46D38" w:rsidP="00E46D38">
    <w:pPr>
      <w:pStyle w:val="Footer"/>
      <w:rPr>
        <w:rFonts w:ascii="Arial" w:hAnsi="Arial" w:cs="Arial"/>
        <w:b/>
        <w:sz w:val="48"/>
      </w:rPr>
    </w:pPr>
    <w:r w:rsidRPr="00E46D38">
      <w:rPr>
        <w:rFonts w:ascii="Arial" w:hAnsi="Arial" w:cs="Arial"/>
        <w:b/>
        <w:sz w:val="48"/>
      </w:rPr>
      <w:t>FR</w:t>
    </w:r>
    <w:r w:rsidRPr="00E46D38">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E46D38">
      <w:tab/>
    </w:r>
    <w:r w:rsidRPr="00E46D38">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B2810" w14:textId="77777777" w:rsidR="00E46D38" w:rsidRDefault="00E46D38" w:rsidP="00E46D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52F413" w14:textId="77777777" w:rsidR="009C6CF0" w:rsidRDefault="009C6CF0" w:rsidP="00FA089C">
      <w:pPr>
        <w:spacing w:before="0" w:after="0"/>
      </w:pPr>
      <w:r>
        <w:separator/>
      </w:r>
    </w:p>
  </w:footnote>
  <w:footnote w:type="continuationSeparator" w:id="0">
    <w:p w14:paraId="556850E7" w14:textId="77777777" w:rsidR="009C6CF0" w:rsidRDefault="009C6CF0" w:rsidP="00FA089C">
      <w:pPr>
        <w:spacing w:before="0" w:after="0"/>
      </w:pPr>
      <w:r>
        <w:continuationSeparator/>
      </w:r>
    </w:p>
  </w:footnote>
  <w:footnote w:id="1">
    <w:p w14:paraId="36824185" w14:textId="60549B07" w:rsidR="000C6101" w:rsidRPr="008C0879" w:rsidRDefault="000C6101" w:rsidP="000C6101">
      <w:pPr>
        <w:pStyle w:val="FootnoteText"/>
        <w:rPr>
          <w:color w:val="0000FF"/>
          <w:lang w:val="fr-BE"/>
        </w:rPr>
      </w:pPr>
      <w:r>
        <w:rPr>
          <w:rStyle w:val="FootnoteReference"/>
        </w:rPr>
        <w:footnoteRef/>
      </w:r>
      <w:r w:rsidRPr="008C0879">
        <w:rPr>
          <w:lang w:val="fr-BE"/>
        </w:rPr>
        <w:tab/>
      </w:r>
      <w:bookmarkStart w:id="3" w:name="_Hlk221118777"/>
      <w:r w:rsidRPr="008C0879">
        <w:rPr>
          <w:lang w:val="fr-BE"/>
        </w:rPr>
        <w:t>JO L 145 du 24.5.2022, p. 7.</w:t>
      </w:r>
      <w:bookmarkEnd w:id="3"/>
    </w:p>
  </w:footnote>
  <w:footnote w:id="2">
    <w:p w14:paraId="3E1864DB" w14:textId="0E10A694" w:rsidR="000C6101" w:rsidRPr="008C0879" w:rsidRDefault="000C6101" w:rsidP="000C6101">
      <w:pPr>
        <w:pStyle w:val="FootnoteText"/>
        <w:rPr>
          <w:lang w:val="fr-BE"/>
        </w:rPr>
      </w:pPr>
      <w:r>
        <w:rPr>
          <w:rStyle w:val="FootnoteReference"/>
        </w:rPr>
        <w:footnoteRef/>
      </w:r>
      <w:r w:rsidRPr="008C0879">
        <w:rPr>
          <w:lang w:val="fr-BE"/>
        </w:rPr>
        <w:tab/>
        <w:t>JO L 145 du 24.5.2022, p. 14.</w:t>
      </w:r>
    </w:p>
  </w:footnote>
  <w:footnote w:id="3">
    <w:p w14:paraId="48E201B8" w14:textId="379E190D" w:rsidR="000C6101" w:rsidRPr="008C0879" w:rsidRDefault="000C6101" w:rsidP="000C6101">
      <w:pPr>
        <w:pStyle w:val="FootnoteText"/>
        <w:rPr>
          <w:lang w:val="es-ES"/>
        </w:rPr>
      </w:pPr>
      <w:r>
        <w:rPr>
          <w:rStyle w:val="FootnoteReference"/>
        </w:rPr>
        <w:footnoteRef/>
      </w:r>
      <w:r w:rsidRPr="008C0879">
        <w:rPr>
          <w:lang w:val="es-ES"/>
        </w:rPr>
        <w:tab/>
        <w:t xml:space="preserve">JO L, 2024/1705, 18.6.2024, ELI: </w:t>
      </w:r>
      <w:hyperlink r:id="rId1" w:history="1">
        <w:r w:rsidRPr="008C0879">
          <w:rPr>
            <w:rStyle w:val="Hyperlink"/>
            <w:lang w:val="es-ES"/>
          </w:rPr>
          <w:t>http://data.europa.eu/eli/reg_del/2024/1705/oj</w:t>
        </w:r>
      </w:hyperlink>
      <w:r w:rsidRPr="008C0879">
        <w:rPr>
          <w:lang w:val="es-ES"/>
        </w:rPr>
        <w:t xml:space="preserve">. </w:t>
      </w:r>
    </w:p>
  </w:footnote>
  <w:footnote w:id="4">
    <w:p w14:paraId="1E2491B8" w14:textId="7C2F122C" w:rsidR="00393085" w:rsidRPr="00393085" w:rsidRDefault="00393085">
      <w:pPr>
        <w:pStyle w:val="FootnoteText"/>
      </w:pPr>
      <w:r w:rsidRPr="008C0879">
        <w:rPr>
          <w:rStyle w:val="FootnoteReference"/>
          <w:lang w:val="fr-BE"/>
        </w:rPr>
        <w:t>*</w:t>
      </w:r>
      <w:r w:rsidRPr="008C0879">
        <w:rPr>
          <w:lang w:val="fr-BE"/>
        </w:rPr>
        <w:tab/>
        <w:t xml:space="preserve">[Pas de procédures constitutionnelles signalées.] </w:t>
      </w:r>
      <w:r>
        <w:t>[Procédures constitutionnelles signalées.]</w:t>
      </w:r>
    </w:p>
  </w:footnote>
  <w:footnote w:id="5">
    <w:p w14:paraId="4E753492" w14:textId="0A758167" w:rsidR="000C6101" w:rsidRPr="0005593F" w:rsidRDefault="000C6101" w:rsidP="000C6101">
      <w:pPr>
        <w:pStyle w:val="FootnoteText"/>
      </w:pPr>
      <w:r>
        <w:rPr>
          <w:rStyle w:val="FootnoteReference"/>
        </w:rPr>
        <w:footnoteRef/>
      </w:r>
      <w:r>
        <w:tab/>
        <w:t xml:space="preserve">JO L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27D532" w14:textId="77777777" w:rsidR="00E46D38" w:rsidRPr="00E46D38" w:rsidRDefault="00E46D38" w:rsidP="00E46D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28A27" w14:textId="77777777" w:rsidR="00E46D38" w:rsidRPr="00E46D38" w:rsidRDefault="00E46D38" w:rsidP="00E46D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77712" w14:textId="77777777" w:rsidR="00E46D38" w:rsidRPr="00E46D38" w:rsidRDefault="00E46D38" w:rsidP="00E46D3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63805" w14:textId="77777777" w:rsidR="00E46D38" w:rsidRDefault="00E46D3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30EA3" w14:textId="77777777" w:rsidR="00E46D38" w:rsidRDefault="00E46D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048214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EE2F7B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21E28C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8AE4D9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4D6D6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B44C5C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A70C6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1A2A96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38317848"/>
    <w:multiLevelType w:val="hybridMultilevel"/>
    <w:tmpl w:val="4F1C422C"/>
    <w:styleLink w:val="ImportedStyle5"/>
    <w:lvl w:ilvl="0" w:tplc="EC5AFA20">
      <w:start w:val="1"/>
      <w:numFmt w:val="lowerRoman"/>
      <w:lvlText w:val="(%1)"/>
      <w:lvlJc w:val="left"/>
      <w:pPr>
        <w:tabs>
          <w:tab w:val="left" w:pos="4253"/>
        </w:tabs>
        <w:ind w:left="1429"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C88343C">
      <w:start w:val="1"/>
      <w:numFmt w:val="lowerLetter"/>
      <w:lvlText w:val="%2."/>
      <w:lvlJc w:val="left"/>
      <w:pPr>
        <w:tabs>
          <w:tab w:val="left" w:pos="4253"/>
        </w:tabs>
        <w:ind w:left="178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6EC5040">
      <w:start w:val="1"/>
      <w:numFmt w:val="lowerRoman"/>
      <w:lvlText w:val="%3."/>
      <w:lvlJc w:val="left"/>
      <w:pPr>
        <w:tabs>
          <w:tab w:val="left" w:pos="4253"/>
        </w:tabs>
        <w:ind w:left="2509"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06782A">
      <w:start w:val="1"/>
      <w:numFmt w:val="decimal"/>
      <w:lvlText w:val="%4."/>
      <w:lvlJc w:val="left"/>
      <w:pPr>
        <w:tabs>
          <w:tab w:val="left" w:pos="4253"/>
        </w:tabs>
        <w:ind w:left="322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B64606E">
      <w:start w:val="1"/>
      <w:numFmt w:val="lowerLetter"/>
      <w:lvlText w:val="%5."/>
      <w:lvlJc w:val="left"/>
      <w:pPr>
        <w:tabs>
          <w:tab w:val="left" w:pos="4253"/>
        </w:tabs>
        <w:ind w:left="394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92C608E">
      <w:start w:val="1"/>
      <w:numFmt w:val="lowerRoman"/>
      <w:lvlText w:val="%6."/>
      <w:lvlJc w:val="left"/>
      <w:pPr>
        <w:tabs>
          <w:tab w:val="left" w:pos="4253"/>
        </w:tabs>
        <w:ind w:left="4669"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8140508">
      <w:start w:val="1"/>
      <w:numFmt w:val="decimal"/>
      <w:lvlText w:val="%7."/>
      <w:lvlJc w:val="left"/>
      <w:pPr>
        <w:tabs>
          <w:tab w:val="left" w:pos="4253"/>
        </w:tabs>
        <w:ind w:left="538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5ECC0AC">
      <w:start w:val="1"/>
      <w:numFmt w:val="lowerLetter"/>
      <w:lvlText w:val="%8."/>
      <w:lvlJc w:val="left"/>
      <w:pPr>
        <w:tabs>
          <w:tab w:val="left" w:pos="4253"/>
        </w:tabs>
        <w:ind w:left="6109"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0708CAC">
      <w:start w:val="1"/>
      <w:numFmt w:val="lowerRoman"/>
      <w:lvlText w:val="%9."/>
      <w:lvlJc w:val="left"/>
      <w:pPr>
        <w:tabs>
          <w:tab w:val="left" w:pos="4253"/>
        </w:tabs>
        <w:ind w:left="6829"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396A54C1"/>
    <w:multiLevelType w:val="hybridMultilevel"/>
    <w:tmpl w:val="92CE67CA"/>
    <w:styleLink w:val="ImportedStyle2"/>
    <w:lvl w:ilvl="0" w:tplc="250EEA4C">
      <w:start w:val="1"/>
      <w:numFmt w:val="decimal"/>
      <w:lvlText w:val="(%1)"/>
      <w:lvlJc w:val="left"/>
      <w:pPr>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BCCA95A">
      <w:start w:val="1"/>
      <w:numFmt w:val="lowerLetter"/>
      <w:lvlText w:val="%2."/>
      <w:lvlJc w:val="left"/>
      <w:pPr>
        <w:tabs>
          <w:tab w:val="left" w:pos="709"/>
        </w:tabs>
        <w:ind w:left="142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EB44E02">
      <w:start w:val="1"/>
      <w:numFmt w:val="lowerRoman"/>
      <w:lvlText w:val="%3."/>
      <w:lvlJc w:val="left"/>
      <w:pPr>
        <w:tabs>
          <w:tab w:val="left" w:pos="709"/>
        </w:tabs>
        <w:ind w:left="214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0CA95AE">
      <w:start w:val="1"/>
      <w:numFmt w:val="decimal"/>
      <w:lvlText w:val="%4."/>
      <w:lvlJc w:val="left"/>
      <w:pPr>
        <w:tabs>
          <w:tab w:val="left" w:pos="709"/>
        </w:tabs>
        <w:ind w:left="286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4E2A348">
      <w:start w:val="1"/>
      <w:numFmt w:val="lowerLetter"/>
      <w:lvlText w:val="%5."/>
      <w:lvlJc w:val="left"/>
      <w:pPr>
        <w:tabs>
          <w:tab w:val="left" w:pos="709"/>
        </w:tabs>
        <w:ind w:left="358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B94ADAA">
      <w:start w:val="1"/>
      <w:numFmt w:val="lowerRoman"/>
      <w:lvlText w:val="%6."/>
      <w:lvlJc w:val="left"/>
      <w:pPr>
        <w:tabs>
          <w:tab w:val="left" w:pos="709"/>
        </w:tabs>
        <w:ind w:left="43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99A3974">
      <w:start w:val="1"/>
      <w:numFmt w:val="decimal"/>
      <w:lvlText w:val="%7."/>
      <w:lvlJc w:val="left"/>
      <w:pPr>
        <w:tabs>
          <w:tab w:val="left" w:pos="709"/>
        </w:tabs>
        <w:ind w:left="502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B8CF956">
      <w:start w:val="1"/>
      <w:numFmt w:val="lowerLetter"/>
      <w:lvlText w:val="%8."/>
      <w:lvlJc w:val="left"/>
      <w:pPr>
        <w:tabs>
          <w:tab w:val="left" w:pos="709"/>
        </w:tabs>
        <w:ind w:left="574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32A9D0A">
      <w:start w:val="1"/>
      <w:numFmt w:val="lowerRoman"/>
      <w:lvlText w:val="%9."/>
      <w:lvlJc w:val="left"/>
      <w:pPr>
        <w:tabs>
          <w:tab w:val="left" w:pos="709"/>
        </w:tabs>
        <w:ind w:left="646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D8772F7"/>
    <w:multiLevelType w:val="hybridMultilevel"/>
    <w:tmpl w:val="8F262F1E"/>
    <w:styleLink w:val="ImportedStyle3"/>
    <w:lvl w:ilvl="0" w:tplc="F5905822">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52C7186">
      <w:start w:val="1"/>
      <w:numFmt w:val="lowerLetter"/>
      <w:lvlText w:val="%2."/>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BAE3022">
      <w:start w:val="1"/>
      <w:numFmt w:val="lowerRoman"/>
      <w:lvlText w:val="%3."/>
      <w:lvlJc w:val="left"/>
      <w:pPr>
        <w:ind w:left="216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756AE04">
      <w:start w:val="1"/>
      <w:numFmt w:val="decimal"/>
      <w:lvlText w:val="%4."/>
      <w:lvlJc w:val="left"/>
      <w:pPr>
        <w:ind w:left="28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F103FAA">
      <w:start w:val="1"/>
      <w:numFmt w:val="lowerLetter"/>
      <w:lvlText w:val="%5."/>
      <w:lvlJc w:val="left"/>
      <w:pPr>
        <w:ind w:left="360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15E06E4">
      <w:start w:val="1"/>
      <w:numFmt w:val="lowerRoman"/>
      <w:lvlText w:val="%6."/>
      <w:lvlJc w:val="left"/>
      <w:pPr>
        <w:ind w:left="432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9421980">
      <w:start w:val="1"/>
      <w:numFmt w:val="decimal"/>
      <w:lvlText w:val="%7."/>
      <w:lvlJc w:val="left"/>
      <w:pPr>
        <w:ind w:left="50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92CE9B8">
      <w:start w:val="1"/>
      <w:numFmt w:val="lowerLetter"/>
      <w:lvlText w:val="%8."/>
      <w:lvlJc w:val="left"/>
      <w:pPr>
        <w:ind w:left="576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E3EA410">
      <w:start w:val="1"/>
      <w:numFmt w:val="lowerRoman"/>
      <w:lvlText w:val="%9."/>
      <w:lvlJc w:val="left"/>
      <w:pPr>
        <w:ind w:left="648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7101E9E"/>
    <w:multiLevelType w:val="hybridMultilevel"/>
    <w:tmpl w:val="8B24477A"/>
    <w:styleLink w:val="ImportedStyle4"/>
    <w:lvl w:ilvl="0" w:tplc="6A3876E8">
      <w:start w:val="1"/>
      <w:numFmt w:val="bullet"/>
      <w:lvlText w:val="-"/>
      <w:lvlJc w:val="left"/>
      <w:pPr>
        <w:tabs>
          <w:tab w:val="left" w:pos="4253"/>
        </w:tabs>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660F91A">
      <w:start w:val="1"/>
      <w:numFmt w:val="bullet"/>
      <w:lvlText w:val="o"/>
      <w:lvlJc w:val="left"/>
      <w:pPr>
        <w:tabs>
          <w:tab w:val="left" w:pos="4253"/>
        </w:tabs>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12839A2">
      <w:start w:val="1"/>
      <w:numFmt w:val="bullet"/>
      <w:lvlText w:val="▪"/>
      <w:lvlJc w:val="left"/>
      <w:pPr>
        <w:tabs>
          <w:tab w:val="left" w:pos="4253"/>
        </w:tabs>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9569132">
      <w:start w:val="1"/>
      <w:numFmt w:val="bullet"/>
      <w:lvlText w:val="•"/>
      <w:lvlJc w:val="left"/>
      <w:pPr>
        <w:tabs>
          <w:tab w:val="left" w:pos="4253"/>
        </w:tabs>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49A3050">
      <w:start w:val="1"/>
      <w:numFmt w:val="bullet"/>
      <w:lvlText w:val="o"/>
      <w:lvlJc w:val="left"/>
      <w:pPr>
        <w:tabs>
          <w:tab w:val="left" w:pos="4253"/>
        </w:tabs>
        <w:ind w:left="39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59A70DC">
      <w:start w:val="1"/>
      <w:numFmt w:val="bullet"/>
      <w:lvlText w:val="▪"/>
      <w:lvlJc w:val="left"/>
      <w:pPr>
        <w:tabs>
          <w:tab w:val="left" w:pos="4253"/>
        </w:tabs>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25AA64E">
      <w:start w:val="1"/>
      <w:numFmt w:val="bullet"/>
      <w:lvlText w:val="•"/>
      <w:lvlJc w:val="left"/>
      <w:pPr>
        <w:tabs>
          <w:tab w:val="left" w:pos="4253"/>
        </w:tabs>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9708338">
      <w:start w:val="1"/>
      <w:numFmt w:val="bullet"/>
      <w:lvlText w:val="o"/>
      <w:lvlJc w:val="left"/>
      <w:pPr>
        <w:tabs>
          <w:tab w:val="left" w:pos="4253"/>
        </w:tabs>
        <w:ind w:left="61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9ACCA00">
      <w:start w:val="1"/>
      <w:numFmt w:val="bullet"/>
      <w:lvlText w:val="▪"/>
      <w:lvlJc w:val="left"/>
      <w:pPr>
        <w:tabs>
          <w:tab w:val="left" w:pos="4253"/>
        </w:tabs>
        <w:ind w:left="68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3"/>
  </w:num>
  <w:num w:numId="10">
    <w:abstractNumId w:val="18"/>
  </w:num>
  <w:num w:numId="11">
    <w:abstractNumId w:val="24"/>
  </w:num>
  <w:num w:numId="12">
    <w:abstractNumId w:val="12"/>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num>
  <w:num w:numId="15">
    <w:abstractNumId w:val="14"/>
  </w:num>
  <w:num w:numId="16">
    <w:abstractNumId w:val="25"/>
  </w:num>
  <w:num w:numId="17">
    <w:abstractNumId w:val="11"/>
  </w:num>
  <w:num w:numId="18">
    <w:abstractNumId w:val="15"/>
  </w:num>
  <w:num w:numId="19">
    <w:abstractNumId w:val="16"/>
  </w:num>
  <w:num w:numId="20">
    <w:abstractNumId w:val="9"/>
  </w:num>
  <w:num w:numId="21">
    <w:abstractNumId w:val="23"/>
  </w:num>
  <w:num w:numId="22">
    <w:abstractNumId w:val="8"/>
  </w:num>
  <w:num w:numId="23">
    <w:abstractNumId w:val="17"/>
  </w:num>
  <w:num w:numId="24">
    <w:abstractNumId w:val="20"/>
  </w:num>
  <w:num w:numId="25">
    <w:abstractNumId w:val="21"/>
  </w:num>
  <w:num w:numId="26">
    <w:abstractNumId w:val="10"/>
  </w:num>
  <w:num w:numId="27">
    <w:abstractNumId w:val="19"/>
  </w:num>
  <w:num w:numId="28">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3-24 09:43:2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FD343F37-8038-42A8-B104-B7EF217723D3"/>
    <w:docVar w:name="LW_COVERPAGE_TYPE" w:val="1"/>
    <w:docVar w:name="LW_CROSSREFERENCE" w:val="&lt;UNUSED&gt;"/>
    <w:docVar w:name="LW_DocType" w:val="ANNEX"/>
    <w:docVar w:name="LW_EMISSION" w:val="31.3.2026"/>
    <w:docVar w:name="LW_EMISSION_ISODATE" w:val="2026-03-31"/>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position à prendre, au nom de l\u8217?Union européenne, au sein du Comité mixte de l\u8217?EEE en ce qui concerne une modification de l\u8217?annexe IX (Services financiers) de l\u8217?accord EEE_x000d__x000d__x000d__x000d__x000d__x000b__x000d__x000d__x000d__x000d__x000d__x000b_(Surveillance de certains administrateurs d\u8217?indices de référence par l\u8217?AEMF)"/>
    <w:docVar w:name="LW_OBJETACTEPRINCIPAL.CP" w:val="relative à la position à prendre, au nom de l\u8217?Union européenne, au sein du Comité mixte de l\u8217?EEE en ce qui concerne une modification de l\u8217?annexe IX (Services financiers) de l\u8217?accord EEE_x000d__x000d__x000d__x000d__x000d__x000b__x000d__x000d__x000d__x000d__x000d__x000b_(Surveillance de certains administrateurs d\u8217?indices de référence par l\u8217?AEMF)"/>
    <w:docVar w:name="LW_PART_NBR" w:val="1"/>
    <w:docVar w:name="LW_PART_NBR_TOTAL" w:val="1"/>
    <w:docVar w:name="LW_REF.INST.NEW" w:val="COM"/>
    <w:docVar w:name="LW_REF.INST.NEW_ADOPTED" w:val="final"/>
    <w:docVar w:name="LW_REF.INST.NEW_TEXT" w:val="(2026) 14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_x000b__x000b_DÉCISION DU CONSEIL"/>
    <w:docVar w:name="LW_TYPEACTEPRINCIPAL.CP" w:val="proposition de_x000b__x000b_DÉCISION DU CONSEIL"/>
    <w:docVar w:name="LwApiVersions" w:val="LW4CoDe 1.24.5.0; LW 9.2, Build 20251112"/>
  </w:docVars>
  <w:rsids>
    <w:rsidRoot w:val="00FA089C"/>
    <w:rsid w:val="00004945"/>
    <w:rsid w:val="00034722"/>
    <w:rsid w:val="00043C0E"/>
    <w:rsid w:val="000440A0"/>
    <w:rsid w:val="0005237D"/>
    <w:rsid w:val="00060C6C"/>
    <w:rsid w:val="00061BBD"/>
    <w:rsid w:val="000718AF"/>
    <w:rsid w:val="000A750C"/>
    <w:rsid w:val="000C6101"/>
    <w:rsid w:val="000D1DF3"/>
    <w:rsid w:val="000D7DE7"/>
    <w:rsid w:val="000E198E"/>
    <w:rsid w:val="000F3476"/>
    <w:rsid w:val="0012048A"/>
    <w:rsid w:val="00151EBB"/>
    <w:rsid w:val="001523F2"/>
    <w:rsid w:val="00162337"/>
    <w:rsid w:val="00166549"/>
    <w:rsid w:val="00174CB4"/>
    <w:rsid w:val="001770F8"/>
    <w:rsid w:val="0018198C"/>
    <w:rsid w:val="00185721"/>
    <w:rsid w:val="00192B5B"/>
    <w:rsid w:val="001B0CB7"/>
    <w:rsid w:val="001C2816"/>
    <w:rsid w:val="001D6F25"/>
    <w:rsid w:val="001F3797"/>
    <w:rsid w:val="00205A76"/>
    <w:rsid w:val="00216D1E"/>
    <w:rsid w:val="002250A2"/>
    <w:rsid w:val="00226AF4"/>
    <w:rsid w:val="0023035F"/>
    <w:rsid w:val="00253DEE"/>
    <w:rsid w:val="0026409E"/>
    <w:rsid w:val="00274B06"/>
    <w:rsid w:val="00281B4E"/>
    <w:rsid w:val="00285931"/>
    <w:rsid w:val="00285ECB"/>
    <w:rsid w:val="002A6D31"/>
    <w:rsid w:val="002B2291"/>
    <w:rsid w:val="002D09B7"/>
    <w:rsid w:val="002D3DFC"/>
    <w:rsid w:val="002D503E"/>
    <w:rsid w:val="002D6B9E"/>
    <w:rsid w:val="002F2559"/>
    <w:rsid w:val="002F61FE"/>
    <w:rsid w:val="00304734"/>
    <w:rsid w:val="003150A2"/>
    <w:rsid w:val="00320A4E"/>
    <w:rsid w:val="0032512C"/>
    <w:rsid w:val="00327C3C"/>
    <w:rsid w:val="003362B3"/>
    <w:rsid w:val="0034471F"/>
    <w:rsid w:val="00346676"/>
    <w:rsid w:val="003708B4"/>
    <w:rsid w:val="00373143"/>
    <w:rsid w:val="00393085"/>
    <w:rsid w:val="0039758C"/>
    <w:rsid w:val="003C26BC"/>
    <w:rsid w:val="003C5246"/>
    <w:rsid w:val="003D3F23"/>
    <w:rsid w:val="003D4A66"/>
    <w:rsid w:val="003E089B"/>
    <w:rsid w:val="003E52B4"/>
    <w:rsid w:val="003F0E54"/>
    <w:rsid w:val="0040508A"/>
    <w:rsid w:val="00407DF3"/>
    <w:rsid w:val="00415CCF"/>
    <w:rsid w:val="00415D30"/>
    <w:rsid w:val="00420E86"/>
    <w:rsid w:val="00432358"/>
    <w:rsid w:val="004367A8"/>
    <w:rsid w:val="004369FD"/>
    <w:rsid w:val="0043791E"/>
    <w:rsid w:val="004440DE"/>
    <w:rsid w:val="00444DA3"/>
    <w:rsid w:val="004476AE"/>
    <w:rsid w:val="00455DDA"/>
    <w:rsid w:val="00476C87"/>
    <w:rsid w:val="00484058"/>
    <w:rsid w:val="00484F40"/>
    <w:rsid w:val="00487AEE"/>
    <w:rsid w:val="00492406"/>
    <w:rsid w:val="004B6B6C"/>
    <w:rsid w:val="004C146F"/>
    <w:rsid w:val="004C4E73"/>
    <w:rsid w:val="00500040"/>
    <w:rsid w:val="005012ED"/>
    <w:rsid w:val="005073C1"/>
    <w:rsid w:val="00514BB9"/>
    <w:rsid w:val="005210EF"/>
    <w:rsid w:val="00554EF2"/>
    <w:rsid w:val="005739F7"/>
    <w:rsid w:val="005845A6"/>
    <w:rsid w:val="00585AD4"/>
    <w:rsid w:val="00586E26"/>
    <w:rsid w:val="00587970"/>
    <w:rsid w:val="0059469B"/>
    <w:rsid w:val="005B32F8"/>
    <w:rsid w:val="005C6C6D"/>
    <w:rsid w:val="005D5736"/>
    <w:rsid w:val="005E5466"/>
    <w:rsid w:val="005E7F03"/>
    <w:rsid w:val="005F2D25"/>
    <w:rsid w:val="005F59E6"/>
    <w:rsid w:val="00600B99"/>
    <w:rsid w:val="006136E3"/>
    <w:rsid w:val="0064299C"/>
    <w:rsid w:val="00650281"/>
    <w:rsid w:val="006531D7"/>
    <w:rsid w:val="00655FE8"/>
    <w:rsid w:val="00660AAE"/>
    <w:rsid w:val="00660E46"/>
    <w:rsid w:val="0067153F"/>
    <w:rsid w:val="00673F71"/>
    <w:rsid w:val="00674B13"/>
    <w:rsid w:val="00675FD8"/>
    <w:rsid w:val="00676859"/>
    <w:rsid w:val="006812A7"/>
    <w:rsid w:val="006821CD"/>
    <w:rsid w:val="006C59B2"/>
    <w:rsid w:val="006E054A"/>
    <w:rsid w:val="006E255E"/>
    <w:rsid w:val="006E2DEE"/>
    <w:rsid w:val="006F5B5D"/>
    <w:rsid w:val="00731592"/>
    <w:rsid w:val="0074044B"/>
    <w:rsid w:val="00743C8C"/>
    <w:rsid w:val="007523E0"/>
    <w:rsid w:val="00761D40"/>
    <w:rsid w:val="0076759F"/>
    <w:rsid w:val="00780782"/>
    <w:rsid w:val="00784633"/>
    <w:rsid w:val="00784996"/>
    <w:rsid w:val="007921C7"/>
    <w:rsid w:val="007B0283"/>
    <w:rsid w:val="007C0466"/>
    <w:rsid w:val="007D1BE6"/>
    <w:rsid w:val="007D3545"/>
    <w:rsid w:val="007D7772"/>
    <w:rsid w:val="007E131B"/>
    <w:rsid w:val="007F15BB"/>
    <w:rsid w:val="00810E27"/>
    <w:rsid w:val="00825ABD"/>
    <w:rsid w:val="00826EE6"/>
    <w:rsid w:val="00827826"/>
    <w:rsid w:val="0083500B"/>
    <w:rsid w:val="00846049"/>
    <w:rsid w:val="008612AB"/>
    <w:rsid w:val="00867895"/>
    <w:rsid w:val="00895922"/>
    <w:rsid w:val="008A1F01"/>
    <w:rsid w:val="008B59CF"/>
    <w:rsid w:val="008C0879"/>
    <w:rsid w:val="008C10B3"/>
    <w:rsid w:val="008F5A37"/>
    <w:rsid w:val="00904407"/>
    <w:rsid w:val="0090517E"/>
    <w:rsid w:val="00911FAB"/>
    <w:rsid w:val="00913A49"/>
    <w:rsid w:val="00952E0F"/>
    <w:rsid w:val="00963E79"/>
    <w:rsid w:val="009671EB"/>
    <w:rsid w:val="00974C60"/>
    <w:rsid w:val="00986A1B"/>
    <w:rsid w:val="00986B33"/>
    <w:rsid w:val="00987AD5"/>
    <w:rsid w:val="00992578"/>
    <w:rsid w:val="00993172"/>
    <w:rsid w:val="009949CB"/>
    <w:rsid w:val="009B6C74"/>
    <w:rsid w:val="009C6CF0"/>
    <w:rsid w:val="009D6B57"/>
    <w:rsid w:val="009E2FFE"/>
    <w:rsid w:val="009F0A00"/>
    <w:rsid w:val="009F5467"/>
    <w:rsid w:val="00A11DAA"/>
    <w:rsid w:val="00A145EF"/>
    <w:rsid w:val="00A1518E"/>
    <w:rsid w:val="00A164EF"/>
    <w:rsid w:val="00A255F3"/>
    <w:rsid w:val="00A34065"/>
    <w:rsid w:val="00A43052"/>
    <w:rsid w:val="00A44E76"/>
    <w:rsid w:val="00A52F7E"/>
    <w:rsid w:val="00A5615D"/>
    <w:rsid w:val="00A709B5"/>
    <w:rsid w:val="00A71FC6"/>
    <w:rsid w:val="00A93C8A"/>
    <w:rsid w:val="00A973C9"/>
    <w:rsid w:val="00AA31D7"/>
    <w:rsid w:val="00AA4F4F"/>
    <w:rsid w:val="00AA5A82"/>
    <w:rsid w:val="00AB5065"/>
    <w:rsid w:val="00AC2128"/>
    <w:rsid w:val="00AD6253"/>
    <w:rsid w:val="00AE321D"/>
    <w:rsid w:val="00AF060A"/>
    <w:rsid w:val="00AF1D1B"/>
    <w:rsid w:val="00AF1D31"/>
    <w:rsid w:val="00B00191"/>
    <w:rsid w:val="00B04B68"/>
    <w:rsid w:val="00B05913"/>
    <w:rsid w:val="00B0658F"/>
    <w:rsid w:val="00B12548"/>
    <w:rsid w:val="00B14D97"/>
    <w:rsid w:val="00B42901"/>
    <w:rsid w:val="00B453C7"/>
    <w:rsid w:val="00B45548"/>
    <w:rsid w:val="00B63131"/>
    <w:rsid w:val="00B704E9"/>
    <w:rsid w:val="00B711EC"/>
    <w:rsid w:val="00B821A9"/>
    <w:rsid w:val="00B856AB"/>
    <w:rsid w:val="00B90126"/>
    <w:rsid w:val="00BB0CF3"/>
    <w:rsid w:val="00BB37E9"/>
    <w:rsid w:val="00BC2EB6"/>
    <w:rsid w:val="00BE348F"/>
    <w:rsid w:val="00BE36A8"/>
    <w:rsid w:val="00BF17AA"/>
    <w:rsid w:val="00BF198A"/>
    <w:rsid w:val="00BF5C8E"/>
    <w:rsid w:val="00C13F21"/>
    <w:rsid w:val="00C16078"/>
    <w:rsid w:val="00C24294"/>
    <w:rsid w:val="00C24556"/>
    <w:rsid w:val="00C362A9"/>
    <w:rsid w:val="00C445CB"/>
    <w:rsid w:val="00C45E25"/>
    <w:rsid w:val="00C5255D"/>
    <w:rsid w:val="00C55C9C"/>
    <w:rsid w:val="00C61C6D"/>
    <w:rsid w:val="00C67923"/>
    <w:rsid w:val="00C716EE"/>
    <w:rsid w:val="00C8369D"/>
    <w:rsid w:val="00C91E25"/>
    <w:rsid w:val="00CA6568"/>
    <w:rsid w:val="00CC1DC5"/>
    <w:rsid w:val="00CD0841"/>
    <w:rsid w:val="00CD0991"/>
    <w:rsid w:val="00CF0F74"/>
    <w:rsid w:val="00CF4F2E"/>
    <w:rsid w:val="00CF69B6"/>
    <w:rsid w:val="00CF7406"/>
    <w:rsid w:val="00D00A77"/>
    <w:rsid w:val="00D05904"/>
    <w:rsid w:val="00D10AAB"/>
    <w:rsid w:val="00D13372"/>
    <w:rsid w:val="00D268A2"/>
    <w:rsid w:val="00D34984"/>
    <w:rsid w:val="00D37D5B"/>
    <w:rsid w:val="00D522A1"/>
    <w:rsid w:val="00D67161"/>
    <w:rsid w:val="00D7412A"/>
    <w:rsid w:val="00D801B5"/>
    <w:rsid w:val="00D86DB6"/>
    <w:rsid w:val="00D9176D"/>
    <w:rsid w:val="00D93043"/>
    <w:rsid w:val="00DA468A"/>
    <w:rsid w:val="00DC606D"/>
    <w:rsid w:val="00DD0C15"/>
    <w:rsid w:val="00DD0E51"/>
    <w:rsid w:val="00DD2AB7"/>
    <w:rsid w:val="00DD61D7"/>
    <w:rsid w:val="00DE31A9"/>
    <w:rsid w:val="00DF0D83"/>
    <w:rsid w:val="00E10491"/>
    <w:rsid w:val="00E173F5"/>
    <w:rsid w:val="00E36F75"/>
    <w:rsid w:val="00E420DD"/>
    <w:rsid w:val="00E46D38"/>
    <w:rsid w:val="00E70A69"/>
    <w:rsid w:val="00E7115E"/>
    <w:rsid w:val="00E871BC"/>
    <w:rsid w:val="00EA4908"/>
    <w:rsid w:val="00EA5CCE"/>
    <w:rsid w:val="00EA77A9"/>
    <w:rsid w:val="00EB1DD2"/>
    <w:rsid w:val="00EB2E2D"/>
    <w:rsid w:val="00EC53A0"/>
    <w:rsid w:val="00EE0A65"/>
    <w:rsid w:val="00EE12BB"/>
    <w:rsid w:val="00EE2B3C"/>
    <w:rsid w:val="00EF3FF8"/>
    <w:rsid w:val="00F00E4B"/>
    <w:rsid w:val="00F016EA"/>
    <w:rsid w:val="00F310E2"/>
    <w:rsid w:val="00F34A2B"/>
    <w:rsid w:val="00F42A5D"/>
    <w:rsid w:val="00F44453"/>
    <w:rsid w:val="00F53391"/>
    <w:rsid w:val="00F55A9F"/>
    <w:rsid w:val="00F57F03"/>
    <w:rsid w:val="00F614F4"/>
    <w:rsid w:val="00F61AD5"/>
    <w:rsid w:val="00F77FED"/>
    <w:rsid w:val="00F81D15"/>
    <w:rsid w:val="00F81EBC"/>
    <w:rsid w:val="00F83C6A"/>
    <w:rsid w:val="00FA0533"/>
    <w:rsid w:val="00FA089C"/>
    <w:rsid w:val="00FB471D"/>
    <w:rsid w:val="00FD16AA"/>
    <w:rsid w:val="00FD1983"/>
    <w:rsid w:val="00FE16A2"/>
    <w:rsid w:val="00FE66CD"/>
    <w:rsid w:val="00FF0A12"/>
    <w:rsid w:val="00FF78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3E9C78A"/>
  <w15:docId w15:val="{A60AE7C3-E0C1-400A-AE34-C2811ECB8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89C"/>
    <w:pPr>
      <w:spacing w:before="0" w:after="200" w:line="276" w:lineRule="auto"/>
      <w:ind w:left="720"/>
      <w:contextualSpacing/>
      <w:jc w:val="left"/>
    </w:pPr>
    <w:rPr>
      <w:rFonts w:cstheme="minorBidi"/>
      <w:sz w:val="20"/>
      <w:szCs w:val="20"/>
    </w:rPr>
  </w:style>
  <w:style w:type="paragraph" w:customStyle="1" w:styleId="Articleheading">
    <w:name w:val="Article heading"/>
    <w:basedOn w:val="Normal"/>
    <w:link w:val="ArticleheadingChar"/>
    <w:qFormat/>
    <w:rsid w:val="00FA089C"/>
    <w:pPr>
      <w:keepNext/>
      <w:tabs>
        <w:tab w:val="left" w:pos="709"/>
      </w:tabs>
      <w:spacing w:before="360"/>
      <w:jc w:val="center"/>
    </w:pPr>
    <w:rPr>
      <w:i/>
      <w:color w:val="000000" w:themeColor="text1"/>
      <w:szCs w:val="24"/>
    </w:rPr>
  </w:style>
  <w:style w:type="paragraph" w:customStyle="1" w:styleId="Articletext">
    <w:name w:val="Article text"/>
    <w:basedOn w:val="Articleheading"/>
    <w:link w:val="ArticletextChar"/>
    <w:qFormat/>
    <w:rsid w:val="00FA089C"/>
    <w:pPr>
      <w:keepNext w:val="0"/>
      <w:spacing w:before="120"/>
      <w:jc w:val="both"/>
    </w:pPr>
    <w:rPr>
      <w:i w:val="0"/>
    </w:rPr>
  </w:style>
  <w:style w:type="character" w:customStyle="1" w:styleId="ArticleheadingChar">
    <w:name w:val="Article heading Char"/>
    <w:basedOn w:val="DefaultParagraphFont"/>
    <w:link w:val="Articleheading"/>
    <w:rsid w:val="00FA089C"/>
    <w:rPr>
      <w:rFonts w:ascii="Times New Roman" w:hAnsi="Times New Roman" w:cs="Times New Roman"/>
      <w:i/>
      <w:color w:val="000000" w:themeColor="text1"/>
      <w:sz w:val="24"/>
      <w:szCs w:val="24"/>
    </w:rPr>
  </w:style>
  <w:style w:type="character" w:customStyle="1" w:styleId="ArticletextChar">
    <w:name w:val="Article text Char"/>
    <w:basedOn w:val="ArticleheadingChar"/>
    <w:link w:val="Articletext"/>
    <w:rsid w:val="00FA089C"/>
    <w:rPr>
      <w:rFonts w:ascii="Times New Roman" w:hAnsi="Times New Roman" w:cs="Times New Roman"/>
      <w:i w:val="0"/>
      <w:color w:val="000000" w:themeColor="text1"/>
      <w:sz w:val="24"/>
      <w:szCs w:val="24"/>
    </w:rPr>
  </w:style>
  <w:style w:type="character" w:customStyle="1" w:styleId="Point1Char">
    <w:name w:val="Point 1 Char"/>
    <w:basedOn w:val="ArticletextChar"/>
    <w:rsid w:val="00FA089C"/>
    <w:rPr>
      <w:rFonts w:ascii="Times New Roman" w:hAnsi="Times New Roman" w:cs="Times New Roman"/>
      <w:i w:val="0"/>
      <w:color w:val="000000" w:themeColor="text1"/>
      <w:sz w:val="24"/>
      <w:szCs w:val="24"/>
      <w:lang w:val="fr-FR"/>
    </w:rPr>
  </w:style>
  <w:style w:type="character" w:customStyle="1" w:styleId="Point0Char">
    <w:name w:val="Point 0 Char"/>
    <w:basedOn w:val="Point1Char"/>
    <w:rsid w:val="00FA089C"/>
    <w:rPr>
      <w:rFonts w:ascii="Times New Roman" w:hAnsi="Times New Roman" w:cs="Times New Roman"/>
      <w:i w:val="0"/>
      <w:color w:val="000000" w:themeColor="text1"/>
      <w:sz w:val="24"/>
      <w:szCs w:val="24"/>
      <w:lang w:val="fr-FR"/>
    </w:rPr>
  </w:style>
  <w:style w:type="paragraph" w:customStyle="1" w:styleId="Adaptation">
    <w:name w:val="Adaptation"/>
    <w:basedOn w:val="Point1"/>
    <w:link w:val="AdaptationChar"/>
    <w:qFormat/>
    <w:rsid w:val="00FA089C"/>
    <w:pPr>
      <w:ind w:left="851" w:firstLine="0"/>
    </w:pPr>
    <w:rPr>
      <w:color w:val="000000" w:themeColor="text1"/>
      <w:szCs w:val="24"/>
    </w:rPr>
  </w:style>
  <w:style w:type="character" w:customStyle="1" w:styleId="AdaptationChar">
    <w:name w:val="Adaptation Char"/>
    <w:basedOn w:val="Point1Char"/>
    <w:link w:val="Adaptation"/>
    <w:rsid w:val="00FA089C"/>
    <w:rPr>
      <w:rFonts w:ascii="Times New Roman" w:hAnsi="Times New Roman" w:cs="Times New Roman"/>
      <w:i w:val="0"/>
      <w:color w:val="000000" w:themeColor="text1"/>
      <w:sz w:val="24"/>
      <w:szCs w:val="24"/>
      <w:lang w:val="fr-FR"/>
    </w:rPr>
  </w:style>
  <w:style w:type="paragraph" w:styleId="Caption">
    <w:name w:val="caption"/>
    <w:basedOn w:val="Normal"/>
    <w:next w:val="Normal"/>
    <w:uiPriority w:val="35"/>
    <w:semiHidden/>
    <w:unhideWhenUsed/>
    <w:qFormat/>
    <w:rsid w:val="00F016E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016EA"/>
    <w:pPr>
      <w:spacing w:after="0"/>
    </w:pPr>
  </w:style>
  <w:style w:type="paragraph" w:styleId="ListBullet">
    <w:name w:val="List Bullet"/>
    <w:basedOn w:val="Normal"/>
    <w:uiPriority w:val="99"/>
    <w:semiHidden/>
    <w:unhideWhenUsed/>
    <w:rsid w:val="00F016EA"/>
    <w:pPr>
      <w:numPr>
        <w:numId w:val="1"/>
      </w:numPr>
      <w:contextualSpacing/>
    </w:pPr>
  </w:style>
  <w:style w:type="paragraph" w:styleId="ListBullet2">
    <w:name w:val="List Bullet 2"/>
    <w:basedOn w:val="Normal"/>
    <w:uiPriority w:val="99"/>
    <w:semiHidden/>
    <w:unhideWhenUsed/>
    <w:rsid w:val="00F016EA"/>
    <w:pPr>
      <w:numPr>
        <w:numId w:val="2"/>
      </w:numPr>
      <w:contextualSpacing/>
    </w:pPr>
  </w:style>
  <w:style w:type="paragraph" w:styleId="ListBullet3">
    <w:name w:val="List Bullet 3"/>
    <w:basedOn w:val="Normal"/>
    <w:uiPriority w:val="99"/>
    <w:semiHidden/>
    <w:unhideWhenUsed/>
    <w:rsid w:val="00F016EA"/>
    <w:pPr>
      <w:numPr>
        <w:numId w:val="3"/>
      </w:numPr>
      <w:contextualSpacing/>
    </w:pPr>
  </w:style>
  <w:style w:type="paragraph" w:styleId="ListBullet4">
    <w:name w:val="List Bullet 4"/>
    <w:basedOn w:val="Normal"/>
    <w:uiPriority w:val="99"/>
    <w:semiHidden/>
    <w:unhideWhenUsed/>
    <w:rsid w:val="00F016EA"/>
    <w:pPr>
      <w:numPr>
        <w:numId w:val="4"/>
      </w:numPr>
      <w:contextualSpacing/>
    </w:pPr>
  </w:style>
  <w:style w:type="paragraph" w:styleId="ListNumber">
    <w:name w:val="List Number"/>
    <w:basedOn w:val="Normal"/>
    <w:uiPriority w:val="99"/>
    <w:semiHidden/>
    <w:unhideWhenUsed/>
    <w:rsid w:val="00F016EA"/>
    <w:pPr>
      <w:numPr>
        <w:numId w:val="5"/>
      </w:numPr>
      <w:contextualSpacing/>
    </w:pPr>
  </w:style>
  <w:style w:type="paragraph" w:styleId="ListNumber2">
    <w:name w:val="List Number 2"/>
    <w:basedOn w:val="Normal"/>
    <w:uiPriority w:val="99"/>
    <w:semiHidden/>
    <w:unhideWhenUsed/>
    <w:rsid w:val="00F016EA"/>
    <w:pPr>
      <w:numPr>
        <w:numId w:val="6"/>
      </w:numPr>
      <w:contextualSpacing/>
    </w:pPr>
  </w:style>
  <w:style w:type="paragraph" w:styleId="ListNumber3">
    <w:name w:val="List Number 3"/>
    <w:basedOn w:val="Normal"/>
    <w:uiPriority w:val="99"/>
    <w:semiHidden/>
    <w:unhideWhenUsed/>
    <w:rsid w:val="00F016EA"/>
    <w:pPr>
      <w:numPr>
        <w:numId w:val="7"/>
      </w:numPr>
      <w:contextualSpacing/>
    </w:pPr>
  </w:style>
  <w:style w:type="paragraph" w:styleId="ListNumber4">
    <w:name w:val="List Number 4"/>
    <w:basedOn w:val="Normal"/>
    <w:uiPriority w:val="99"/>
    <w:semiHidden/>
    <w:unhideWhenUsed/>
    <w:rsid w:val="00F016EA"/>
    <w:pPr>
      <w:numPr>
        <w:numId w:val="8"/>
      </w:numPr>
      <w:contextualSpacing/>
    </w:pPr>
  </w:style>
  <w:style w:type="character" w:styleId="CommentReference">
    <w:name w:val="annotation reference"/>
    <w:basedOn w:val="DefaultParagraphFont"/>
    <w:uiPriority w:val="99"/>
    <w:semiHidden/>
    <w:unhideWhenUsed/>
    <w:rsid w:val="00C5255D"/>
    <w:rPr>
      <w:sz w:val="16"/>
      <w:szCs w:val="16"/>
    </w:rPr>
  </w:style>
  <w:style w:type="paragraph" w:styleId="CommentText">
    <w:name w:val="annotation text"/>
    <w:basedOn w:val="Normal"/>
    <w:link w:val="CommentTextChar"/>
    <w:uiPriority w:val="99"/>
    <w:unhideWhenUsed/>
    <w:rsid w:val="00C5255D"/>
    <w:rPr>
      <w:sz w:val="20"/>
      <w:szCs w:val="20"/>
    </w:rPr>
  </w:style>
  <w:style w:type="character" w:customStyle="1" w:styleId="CommentTextChar">
    <w:name w:val="Comment Text Char"/>
    <w:basedOn w:val="DefaultParagraphFont"/>
    <w:link w:val="CommentText"/>
    <w:uiPriority w:val="99"/>
    <w:rsid w:val="00C5255D"/>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C5255D"/>
    <w:rPr>
      <w:b/>
      <w:bCs/>
    </w:rPr>
  </w:style>
  <w:style w:type="character" w:customStyle="1" w:styleId="CommentSubjectChar">
    <w:name w:val="Comment Subject Char"/>
    <w:basedOn w:val="CommentTextChar"/>
    <w:link w:val="CommentSubject"/>
    <w:uiPriority w:val="99"/>
    <w:semiHidden/>
    <w:rsid w:val="00C5255D"/>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rsid w:val="00C5255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255D"/>
    <w:rPr>
      <w:rFonts w:ascii="Segoe UI" w:hAnsi="Segoe UI" w:cs="Segoe UI"/>
      <w:sz w:val="18"/>
      <w:szCs w:val="18"/>
      <w:lang w:val="fr-FR"/>
    </w:rPr>
  </w:style>
  <w:style w:type="character" w:styleId="Hyperlink">
    <w:name w:val="Hyperlink"/>
    <w:basedOn w:val="DefaultParagraphFont"/>
    <w:uiPriority w:val="99"/>
    <w:unhideWhenUsed/>
    <w:rsid w:val="00C5255D"/>
    <w:rPr>
      <w:color w:val="0000FF" w:themeColor="hyperlink"/>
      <w:u w:val="single"/>
    </w:rPr>
  </w:style>
  <w:style w:type="paragraph" w:customStyle="1" w:styleId="Text0">
    <w:name w:val="Text 0"/>
    <w:basedOn w:val="Text1"/>
    <w:rsid w:val="00826EE6"/>
  </w:style>
  <w:style w:type="paragraph" w:customStyle="1" w:styleId="Body">
    <w:name w:val="Body"/>
    <w:rsid w:val="00BB37E9"/>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numbering" w:customStyle="1" w:styleId="ImportedStyle2">
    <w:name w:val="Imported Style 2"/>
    <w:rsid w:val="00BB37E9"/>
    <w:pPr>
      <w:numPr>
        <w:numId w:val="9"/>
      </w:numPr>
    </w:pPr>
  </w:style>
  <w:style w:type="numbering" w:customStyle="1" w:styleId="ImportedStyle3">
    <w:name w:val="Imported Style 3"/>
    <w:rsid w:val="00BB37E9"/>
    <w:pPr>
      <w:numPr>
        <w:numId w:val="10"/>
      </w:numPr>
    </w:pPr>
  </w:style>
  <w:style w:type="numbering" w:customStyle="1" w:styleId="ImportedStyle4">
    <w:name w:val="Imported Style 4"/>
    <w:rsid w:val="00BB37E9"/>
    <w:pPr>
      <w:numPr>
        <w:numId w:val="11"/>
      </w:numPr>
    </w:pPr>
  </w:style>
  <w:style w:type="numbering" w:customStyle="1" w:styleId="ImportedStyle5">
    <w:name w:val="Imported Style 5"/>
    <w:rsid w:val="00BB37E9"/>
    <w:pPr>
      <w:numPr>
        <w:numId w:val="12"/>
      </w:numPr>
    </w:pPr>
  </w:style>
  <w:style w:type="paragraph" w:styleId="Revision">
    <w:name w:val="Revision"/>
    <w:hidden/>
    <w:uiPriority w:val="99"/>
    <w:semiHidden/>
    <w:rsid w:val="00B0658F"/>
    <w:pPr>
      <w:spacing w:after="0" w:line="240" w:lineRule="auto"/>
    </w:pPr>
    <w:rPr>
      <w:rFonts w:ascii="Times New Roman" w:hAnsi="Times New Roman" w:cs="Times New Roman"/>
      <w:sz w:val="24"/>
    </w:rPr>
  </w:style>
  <w:style w:type="paragraph" w:customStyle="1" w:styleId="Point4b">
    <w:name w:val="Point 4b"/>
    <w:basedOn w:val="Normal"/>
    <w:qFormat/>
    <w:rsid w:val="000C6101"/>
    <w:pPr>
      <w:tabs>
        <w:tab w:val="left" w:pos="1453"/>
      </w:tabs>
      <w:ind w:left="2552"/>
      <w:jc w:val="left"/>
    </w:pPr>
    <w:rPr>
      <w:rFonts w:cstheme="minorBidi"/>
      <w:szCs w:val="20"/>
    </w:rPr>
  </w:style>
  <w:style w:type="character" w:customStyle="1" w:styleId="UnresolvedMention">
    <w:name w:val="Unresolved Mention"/>
    <w:basedOn w:val="DefaultParagraphFont"/>
    <w:uiPriority w:val="99"/>
    <w:semiHidden/>
    <w:unhideWhenUsed/>
    <w:rsid w:val="00D00A77"/>
    <w:rPr>
      <w:color w:val="605E5C"/>
      <w:shd w:val="clear" w:color="auto" w:fill="E1DFDD"/>
    </w:rPr>
  </w:style>
  <w:style w:type="character" w:customStyle="1" w:styleId="HeaderChar">
    <w:name w:val="Header Char"/>
    <w:basedOn w:val="DefaultParagraphFont"/>
    <w:link w:val="Header"/>
    <w:uiPriority w:val="99"/>
    <w:rsid w:val="00E46D38"/>
    <w:rPr>
      <w:rFonts w:ascii="Times New Roman" w:hAnsi="Times New Roman" w:cs="Times New Roman"/>
      <w:sz w:val="24"/>
      <w:lang w:val="fr-FR"/>
    </w:rPr>
  </w:style>
  <w:style w:type="character" w:customStyle="1" w:styleId="FooterChar">
    <w:name w:val="Footer Char"/>
    <w:basedOn w:val="DefaultParagraphFont"/>
    <w:link w:val="Footer"/>
    <w:uiPriority w:val="99"/>
    <w:rsid w:val="00E46D38"/>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46D3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46D38"/>
    <w:pPr>
      <w:spacing w:before="0"/>
      <w:jc w:val="right"/>
    </w:pPr>
    <w:rPr>
      <w:sz w:val="28"/>
    </w:rPr>
  </w:style>
  <w:style w:type="paragraph" w:customStyle="1" w:styleId="FooterSensitivity">
    <w:name w:val="Footer Sensitivity"/>
    <w:basedOn w:val="Normal"/>
    <w:rsid w:val="00E46D3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4"/>
      </w:numPr>
    </w:pPr>
  </w:style>
  <w:style w:type="paragraph" w:customStyle="1" w:styleId="Tiret1">
    <w:name w:val="Tiret 1"/>
    <w:basedOn w:val="Point1"/>
    <w:pPr>
      <w:numPr>
        <w:numId w:val="15"/>
      </w:numPr>
    </w:pPr>
  </w:style>
  <w:style w:type="paragraph" w:customStyle="1" w:styleId="Tiret2">
    <w:name w:val="Tiret 2"/>
    <w:basedOn w:val="Point2"/>
    <w:pPr>
      <w:numPr>
        <w:numId w:val="16"/>
      </w:numPr>
    </w:pPr>
  </w:style>
  <w:style w:type="paragraph" w:customStyle="1" w:styleId="Tiret3">
    <w:name w:val="Tiret 3"/>
    <w:basedOn w:val="Point3"/>
    <w:pPr>
      <w:numPr>
        <w:numId w:val="17"/>
      </w:numPr>
    </w:pPr>
  </w:style>
  <w:style w:type="paragraph" w:customStyle="1" w:styleId="Tiret4">
    <w:name w:val="Tiret 4"/>
    <w:basedOn w:val="Point4"/>
    <w:pPr>
      <w:numPr>
        <w:numId w:val="18"/>
      </w:numPr>
    </w:pPr>
  </w:style>
  <w:style w:type="paragraph" w:customStyle="1" w:styleId="Tiret5">
    <w:name w:val="Tiret 5"/>
    <w:basedOn w:val="Point5"/>
    <w:pPr>
      <w:numPr>
        <w:numId w:val="1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0"/>
      </w:numPr>
    </w:pPr>
  </w:style>
  <w:style w:type="paragraph" w:customStyle="1" w:styleId="NumPar2">
    <w:name w:val="NumPar 2"/>
    <w:basedOn w:val="Normal"/>
    <w:next w:val="Text1"/>
    <w:pPr>
      <w:numPr>
        <w:ilvl w:val="1"/>
        <w:numId w:val="20"/>
      </w:numPr>
    </w:pPr>
  </w:style>
  <w:style w:type="paragraph" w:customStyle="1" w:styleId="NumPar3">
    <w:name w:val="NumPar 3"/>
    <w:basedOn w:val="Normal"/>
    <w:next w:val="Text1"/>
    <w:pPr>
      <w:numPr>
        <w:ilvl w:val="2"/>
        <w:numId w:val="20"/>
      </w:numPr>
    </w:pPr>
  </w:style>
  <w:style w:type="paragraph" w:customStyle="1" w:styleId="NumPar4">
    <w:name w:val="NumPar 4"/>
    <w:basedOn w:val="Normal"/>
    <w:next w:val="Text1"/>
    <w:pPr>
      <w:numPr>
        <w:ilvl w:val="3"/>
        <w:numId w:val="20"/>
      </w:numPr>
    </w:pPr>
  </w:style>
  <w:style w:type="paragraph" w:customStyle="1" w:styleId="NumPar5">
    <w:name w:val="NumPar 5"/>
    <w:basedOn w:val="Normal"/>
    <w:next w:val="Text2"/>
    <w:pPr>
      <w:numPr>
        <w:ilvl w:val="4"/>
        <w:numId w:val="20"/>
      </w:numPr>
    </w:pPr>
  </w:style>
  <w:style w:type="paragraph" w:customStyle="1" w:styleId="NumPar6">
    <w:name w:val="NumPar 6"/>
    <w:basedOn w:val="Normal"/>
    <w:next w:val="Text2"/>
    <w:pPr>
      <w:numPr>
        <w:ilvl w:val="5"/>
        <w:numId w:val="20"/>
      </w:numPr>
    </w:pPr>
  </w:style>
  <w:style w:type="paragraph" w:customStyle="1" w:styleId="NumPar7">
    <w:name w:val="NumPar 7"/>
    <w:basedOn w:val="Normal"/>
    <w:next w:val="Text2"/>
    <w:pPr>
      <w:numPr>
        <w:ilvl w:val="6"/>
        <w:numId w:val="2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2"/>
      </w:numPr>
    </w:pPr>
  </w:style>
  <w:style w:type="paragraph" w:customStyle="1" w:styleId="Point1number">
    <w:name w:val="Point 1 (number)"/>
    <w:basedOn w:val="Normal"/>
    <w:pPr>
      <w:numPr>
        <w:ilvl w:val="2"/>
        <w:numId w:val="22"/>
      </w:numPr>
    </w:pPr>
  </w:style>
  <w:style w:type="paragraph" w:customStyle="1" w:styleId="Point2number">
    <w:name w:val="Point 2 (number)"/>
    <w:basedOn w:val="Normal"/>
    <w:pPr>
      <w:numPr>
        <w:ilvl w:val="4"/>
        <w:numId w:val="22"/>
      </w:numPr>
    </w:pPr>
  </w:style>
  <w:style w:type="paragraph" w:customStyle="1" w:styleId="Point3number">
    <w:name w:val="Point 3 (number)"/>
    <w:basedOn w:val="Normal"/>
    <w:pPr>
      <w:numPr>
        <w:ilvl w:val="6"/>
        <w:numId w:val="22"/>
      </w:numPr>
    </w:pPr>
  </w:style>
  <w:style w:type="paragraph" w:customStyle="1" w:styleId="Point0letter">
    <w:name w:val="Point 0 (letter)"/>
    <w:basedOn w:val="Normal"/>
    <w:pPr>
      <w:numPr>
        <w:ilvl w:val="1"/>
        <w:numId w:val="22"/>
      </w:numPr>
    </w:pPr>
  </w:style>
  <w:style w:type="paragraph" w:customStyle="1" w:styleId="Point1letter">
    <w:name w:val="Point 1 (letter)"/>
    <w:basedOn w:val="Normal"/>
    <w:pPr>
      <w:numPr>
        <w:ilvl w:val="3"/>
        <w:numId w:val="22"/>
      </w:numPr>
    </w:pPr>
  </w:style>
  <w:style w:type="paragraph" w:customStyle="1" w:styleId="Point2letter">
    <w:name w:val="Point 2 (letter)"/>
    <w:basedOn w:val="Normal"/>
    <w:pPr>
      <w:numPr>
        <w:ilvl w:val="5"/>
        <w:numId w:val="22"/>
      </w:numPr>
    </w:pPr>
  </w:style>
  <w:style w:type="paragraph" w:customStyle="1" w:styleId="Point3letter">
    <w:name w:val="Point 3 (letter)"/>
    <w:basedOn w:val="Normal"/>
    <w:pPr>
      <w:numPr>
        <w:ilvl w:val="7"/>
        <w:numId w:val="22"/>
      </w:numPr>
    </w:pPr>
  </w:style>
  <w:style w:type="paragraph" w:customStyle="1" w:styleId="Point4letter">
    <w:name w:val="Point 4 (letter)"/>
    <w:basedOn w:val="Normal"/>
    <w:pPr>
      <w:numPr>
        <w:ilvl w:val="8"/>
        <w:numId w:val="22"/>
      </w:numPr>
    </w:pPr>
  </w:style>
  <w:style w:type="paragraph" w:customStyle="1" w:styleId="Bullet0">
    <w:name w:val="Bullet 0"/>
    <w:basedOn w:val="Normal"/>
    <w:pPr>
      <w:numPr>
        <w:numId w:val="23"/>
      </w:numPr>
    </w:pPr>
  </w:style>
  <w:style w:type="paragraph" w:customStyle="1" w:styleId="Bullet1">
    <w:name w:val="Bullet 1"/>
    <w:basedOn w:val="Normal"/>
    <w:pPr>
      <w:numPr>
        <w:numId w:val="24"/>
      </w:numPr>
    </w:pPr>
  </w:style>
  <w:style w:type="paragraph" w:customStyle="1" w:styleId="Bullet2">
    <w:name w:val="Bullet 2"/>
    <w:basedOn w:val="Normal"/>
    <w:pPr>
      <w:numPr>
        <w:numId w:val="25"/>
      </w:numPr>
    </w:pPr>
  </w:style>
  <w:style w:type="paragraph" w:customStyle="1" w:styleId="Bullet3">
    <w:name w:val="Bullet 3"/>
    <w:basedOn w:val="Normal"/>
    <w:pPr>
      <w:numPr>
        <w:numId w:val="26"/>
      </w:numPr>
    </w:pPr>
  </w:style>
  <w:style w:type="paragraph" w:customStyle="1" w:styleId="Bullet4">
    <w:name w:val="Bullet 4"/>
    <w:basedOn w:val="Normal"/>
    <w:pPr>
      <w:numPr>
        <w:numId w:val="2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E46D38"/>
    <w:pPr>
      <w:tabs>
        <w:tab w:val="center" w:pos="4535"/>
        <w:tab w:val="right" w:pos="9071"/>
      </w:tabs>
      <w:spacing w:before="0"/>
    </w:pPr>
  </w:style>
  <w:style w:type="paragraph" w:customStyle="1" w:styleId="HeaderLandscape">
    <w:name w:val="HeaderLandscape"/>
    <w:basedOn w:val="Normal"/>
    <w:rsid w:val="00E46D38"/>
    <w:pPr>
      <w:tabs>
        <w:tab w:val="center" w:pos="7285"/>
        <w:tab w:val="right" w:pos="14003"/>
      </w:tabs>
      <w:spacing w:before="0"/>
    </w:pPr>
  </w:style>
  <w:style w:type="paragraph" w:styleId="Footer">
    <w:name w:val="footer"/>
    <w:basedOn w:val="Normal"/>
    <w:link w:val="FooterChar"/>
    <w:uiPriority w:val="99"/>
    <w:unhideWhenUsed/>
    <w:rsid w:val="00E46D3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46D3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_del/2024/170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13CA3B-ED3F-460E-BC53-503A8DFDA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53</TotalTime>
  <Pages>7</Pages>
  <Words>1893</Words>
  <Characters>10792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31</cp:revision>
  <dcterms:created xsi:type="dcterms:W3CDTF">2026-03-13T16:27:00Z</dcterms:created>
  <dcterms:modified xsi:type="dcterms:W3CDTF">2026-03-24T08:43:00Z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2025-04-08T07:11:44Z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cbe1ec13-364f-4d4f-b134-84538bf6b262</vt:lpwstr>
  </property>
  <property fmtid="{D5CDD505-2E9C-101B-9397-08002B2CF9AE}" pid="19" name="MSIP_Label_6bd9ddd1-4d20-43f6-abfa-fc3c07406f94_ContentBits">
    <vt:lpwstr>0</vt:lpwstr>
  </property>
  <property fmtid="{D5CDD505-2E9C-101B-9397-08002B2CF9AE}" pid="20" name="DQCStatus">
    <vt:lpwstr>Green (DQC version 03)</vt:lpwstr>
  </property>
</Properties>
</file>