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CDAEEE" w14:textId="4D889ECC" w:rsidR="00FA089C" w:rsidRPr="00F723B0" w:rsidRDefault="005F3A9D" w:rsidP="005F3A9D">
      <w:pPr>
        <w:pStyle w:val="Pagedecouverture"/>
        <w:rPr>
          <w:noProof/>
        </w:rPr>
      </w:pPr>
      <w:r>
        <w:rPr>
          <w:noProof/>
        </w:rPr>
        <w:pict w14:anchorId="43872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4293D38-FC87-44B9-8240-015AB57DB9E8" style="width:455.25pt;height:424.5pt">
            <v:imagedata r:id="rId8" o:title=""/>
          </v:shape>
        </w:pict>
      </w:r>
    </w:p>
    <w:p w14:paraId="4ABC9596" w14:textId="77777777" w:rsidR="00FA089C" w:rsidRPr="00F723B0" w:rsidRDefault="00FA089C" w:rsidP="00FA089C">
      <w:pPr>
        <w:rPr>
          <w:noProof/>
        </w:rPr>
        <w:sectPr w:rsidR="00FA089C" w:rsidRPr="00F723B0" w:rsidSect="005F3A9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FC36D04" w14:textId="77777777" w:rsidR="00FA089C" w:rsidRPr="00F723B0" w:rsidRDefault="00FA089C" w:rsidP="00FA089C">
      <w:pPr>
        <w:pStyle w:val="Annexetitre"/>
        <w:rPr>
          <w:noProof/>
        </w:rPr>
      </w:pPr>
      <w:bookmarkStart w:id="0" w:name="_GoBack"/>
      <w:bookmarkEnd w:id="0"/>
      <w:r w:rsidRPr="00F723B0">
        <w:rPr>
          <w:noProof/>
        </w:rPr>
        <w:lastRenderedPageBreak/>
        <w:t xml:space="preserve">ANEXĂ </w:t>
      </w:r>
    </w:p>
    <w:p w14:paraId="473A14E9" w14:textId="77777777" w:rsidR="00BB37E9" w:rsidRPr="00182A82" w:rsidRDefault="00FB471D" w:rsidP="00BB37E9">
      <w:pPr>
        <w:pStyle w:val="Body"/>
        <w:spacing w:before="360" w:after="0"/>
        <w:jc w:val="center"/>
        <w:rPr>
          <w:b/>
          <w:bCs/>
          <w:noProof/>
          <w:lang w:val="ro-RO"/>
        </w:rPr>
      </w:pPr>
      <w:r w:rsidRPr="00182A82">
        <w:rPr>
          <w:b/>
          <w:noProof/>
          <w:lang w:val="ro-RO"/>
        </w:rPr>
        <w:t>PROIECT DE DECIZIE A COMITETULUI MIXT AL SEE</w:t>
      </w:r>
    </w:p>
    <w:p w14:paraId="1A40FC0C" w14:textId="77777777" w:rsidR="000C6101" w:rsidRPr="00F723B0" w:rsidRDefault="000C6101" w:rsidP="000C6101">
      <w:pPr>
        <w:spacing w:after="0"/>
        <w:jc w:val="center"/>
        <w:rPr>
          <w:b/>
          <w:noProof/>
          <w:color w:val="0000FF"/>
          <w:szCs w:val="24"/>
        </w:rPr>
      </w:pPr>
      <w:r w:rsidRPr="00F723B0">
        <w:rPr>
          <w:b/>
          <w:noProof/>
        </w:rPr>
        <w:t xml:space="preserve">NR. </w:t>
      </w:r>
      <w:r w:rsidRPr="00F723B0">
        <w:rPr>
          <w:b/>
          <w:noProof/>
          <w:color w:val="0000FF"/>
        </w:rPr>
        <w:t>[…]</w:t>
      </w:r>
    </w:p>
    <w:p w14:paraId="4A122430" w14:textId="77777777" w:rsidR="000C6101" w:rsidRPr="00F723B0" w:rsidRDefault="000C6101" w:rsidP="000C6101">
      <w:pPr>
        <w:spacing w:before="360" w:after="0"/>
        <w:jc w:val="center"/>
        <w:rPr>
          <w:b/>
          <w:noProof/>
          <w:color w:val="0000FF"/>
          <w:szCs w:val="24"/>
        </w:rPr>
      </w:pPr>
      <w:r w:rsidRPr="00F723B0">
        <w:rPr>
          <w:b/>
          <w:noProof/>
          <w:color w:val="000000" w:themeColor="text1"/>
        </w:rPr>
        <w:t xml:space="preserve">din </w:t>
      </w:r>
      <w:r w:rsidRPr="00F723B0">
        <w:rPr>
          <w:b/>
          <w:noProof/>
          <w:color w:val="0000FF"/>
        </w:rPr>
        <w:t>[…]</w:t>
      </w:r>
    </w:p>
    <w:p w14:paraId="35031862" w14:textId="77777777" w:rsidR="000C6101" w:rsidRPr="00F723B0" w:rsidRDefault="000C6101" w:rsidP="000C6101">
      <w:pPr>
        <w:spacing w:before="360" w:after="360"/>
        <w:jc w:val="center"/>
        <w:rPr>
          <w:rFonts w:ascii="Times New Roman Bold" w:hAnsi="Times New Roman Bold"/>
          <w:b/>
          <w:noProof/>
          <w:color w:val="000000" w:themeColor="text1"/>
          <w:szCs w:val="24"/>
        </w:rPr>
      </w:pPr>
      <w:r w:rsidRPr="00F723B0">
        <w:rPr>
          <w:rFonts w:ascii="Times New Roman Bold" w:hAnsi="Times New Roman Bold"/>
          <w:b/>
          <w:noProof/>
        </w:rPr>
        <w:t>de modificare a anexei IX (Servicii financiare) la Acordul privind SEE</w:t>
      </w:r>
    </w:p>
    <w:p w14:paraId="52CB445D" w14:textId="77777777" w:rsidR="000C6101" w:rsidRPr="00F723B0" w:rsidRDefault="000C6101" w:rsidP="000C6101">
      <w:pPr>
        <w:spacing w:before="600"/>
        <w:rPr>
          <w:noProof/>
          <w:color w:val="000000" w:themeColor="text1"/>
          <w:szCs w:val="24"/>
        </w:rPr>
      </w:pPr>
      <w:r w:rsidRPr="00F723B0">
        <w:rPr>
          <w:noProof/>
          <w:color w:val="000000" w:themeColor="text1"/>
        </w:rPr>
        <w:t>COMITETUL MIXT AL SEE,</w:t>
      </w:r>
    </w:p>
    <w:p w14:paraId="5B0A78AD" w14:textId="77777777" w:rsidR="000C6101" w:rsidRPr="00F723B0" w:rsidRDefault="000C6101" w:rsidP="000C6101">
      <w:pPr>
        <w:rPr>
          <w:noProof/>
          <w:color w:val="000000" w:themeColor="text1"/>
          <w:szCs w:val="24"/>
        </w:rPr>
      </w:pPr>
      <w:r w:rsidRPr="00F723B0">
        <w:rPr>
          <w:noProof/>
          <w:color w:val="000000" w:themeColor="text1"/>
        </w:rPr>
        <w:t>având în vedere Acordul privind Spațiul Economic European („Acordul privind SEE”), în special articolul 98,</w:t>
      </w:r>
    </w:p>
    <w:p w14:paraId="3BC47D55" w14:textId="77777777" w:rsidR="000C6101" w:rsidRPr="00F723B0" w:rsidRDefault="000C6101" w:rsidP="000C6101">
      <w:pPr>
        <w:rPr>
          <w:noProof/>
          <w:szCs w:val="24"/>
        </w:rPr>
      </w:pPr>
      <w:r w:rsidRPr="00F723B0">
        <w:rPr>
          <w:noProof/>
        </w:rPr>
        <w:t>întrucât:</w:t>
      </w:r>
    </w:p>
    <w:p w14:paraId="7C0902B6" w14:textId="77777777" w:rsidR="000C6101" w:rsidRPr="00F723B0" w:rsidRDefault="000C6101" w:rsidP="0074044B">
      <w:pPr>
        <w:pStyle w:val="Point0number"/>
        <w:numPr>
          <w:ilvl w:val="0"/>
          <w:numId w:val="13"/>
        </w:numPr>
        <w:rPr>
          <w:noProof/>
          <w:szCs w:val="24"/>
        </w:rPr>
      </w:pPr>
      <w:bookmarkStart w:id="1" w:name="_Hlk221118709"/>
      <w:bookmarkStart w:id="2" w:name="_Hlk82077743"/>
      <w:r w:rsidRPr="00F723B0">
        <w:rPr>
          <w:noProof/>
        </w:rPr>
        <w:t>Regulamentul delegat (UE) 2022/804 al Comisiei din 16 februarie 2022 de completare a Regulamentului (UE) 2016/1011 al Parlamentului European și al Consiliului prin specificarea normelor procedurale pentru măsurile aplicabile supravegherii anumitor administratori de indici de referință de către Autoritatea Europeană pentru Valori Mobiliare și Piețe</w:t>
      </w:r>
      <w:r w:rsidRPr="00F723B0">
        <w:rPr>
          <w:rStyle w:val="FootnoteReference"/>
          <w:noProof/>
          <w:szCs w:val="24"/>
        </w:rPr>
        <w:footnoteReference w:id="1"/>
      </w:r>
      <w:bookmarkEnd w:id="1"/>
      <w:bookmarkEnd w:id="2"/>
      <w:r w:rsidRPr="00F723B0">
        <w:rPr>
          <w:noProof/>
        </w:rPr>
        <w:t xml:space="preserve"> trebuie încorporat în Acordul privind SEE.</w:t>
      </w:r>
    </w:p>
    <w:p w14:paraId="00BA0259" w14:textId="77777777" w:rsidR="000C6101" w:rsidRPr="00F723B0" w:rsidRDefault="000C6101" w:rsidP="004440DE">
      <w:pPr>
        <w:pStyle w:val="Point0number"/>
        <w:rPr>
          <w:noProof/>
          <w:szCs w:val="24"/>
        </w:rPr>
      </w:pPr>
      <w:r w:rsidRPr="00F723B0">
        <w:rPr>
          <w:noProof/>
        </w:rPr>
        <w:t>Regulamentul delegat (UE) 2022/805 al Comisiei din 16 februarie 2022 de completare a Regulamentului (UE) 2016/1011 al Parlamentului European și al Consiliului prin specificarea taxelor aplicabile supravegherii anumitor administratori de indici de referință de către Autoritatea Europeană pentru Valori Mobiliare și Piețe</w:t>
      </w:r>
      <w:r w:rsidRPr="00F723B0">
        <w:rPr>
          <w:rStyle w:val="FootnoteReference"/>
          <w:noProof/>
          <w:szCs w:val="24"/>
        </w:rPr>
        <w:footnoteReference w:id="2"/>
      </w:r>
      <w:r w:rsidRPr="00F723B0">
        <w:rPr>
          <w:noProof/>
        </w:rPr>
        <w:t xml:space="preserve"> trebuie încorporat în Acordul privind SEE.</w:t>
      </w:r>
    </w:p>
    <w:p w14:paraId="7AF8B81E" w14:textId="77777777" w:rsidR="000C6101" w:rsidRPr="00F723B0" w:rsidRDefault="000C6101" w:rsidP="004440DE">
      <w:pPr>
        <w:pStyle w:val="Point0number"/>
        <w:rPr>
          <w:noProof/>
        </w:rPr>
      </w:pPr>
      <w:r w:rsidRPr="00F723B0">
        <w:rPr>
          <w:noProof/>
        </w:rPr>
        <w:t>Regulamentul delegat (UE) 2024/1705 al Comisiei din 11 martie 2024 de modificare a Regulamentului delegat (UE) 2022/805 în ceea ce privește armonizarea anumitor aspecte ale taxelor percepute de Autoritatea Europeană pentru Valori Mobiliare și Piețe anumitor administratori de indici de referință</w:t>
      </w:r>
      <w:r w:rsidRPr="00F723B0">
        <w:rPr>
          <w:rStyle w:val="FootnoteReference"/>
          <w:noProof/>
          <w:szCs w:val="24"/>
        </w:rPr>
        <w:footnoteReference w:id="3"/>
      </w:r>
      <w:r w:rsidRPr="00F723B0">
        <w:rPr>
          <w:noProof/>
        </w:rPr>
        <w:t xml:space="preserve"> trebuie încorporat în Acordul privind SEE.</w:t>
      </w:r>
    </w:p>
    <w:p w14:paraId="32BC420C" w14:textId="77777777" w:rsidR="000C6101" w:rsidRPr="00F723B0" w:rsidRDefault="000C6101" w:rsidP="004440DE">
      <w:pPr>
        <w:pStyle w:val="Point0number"/>
        <w:rPr>
          <w:noProof/>
          <w:color w:val="000000" w:themeColor="text1"/>
        </w:rPr>
      </w:pPr>
      <w:r w:rsidRPr="00F723B0">
        <w:rPr>
          <w:noProof/>
        </w:rPr>
        <w:t>Prin urmare, anexa IX la Acordul privind SEE ar trebui modificată în consecință,</w:t>
      </w:r>
    </w:p>
    <w:p w14:paraId="7B3EA1FE" w14:textId="77777777" w:rsidR="000C6101" w:rsidRPr="00F723B0" w:rsidRDefault="000C6101" w:rsidP="000C6101">
      <w:pPr>
        <w:keepNext/>
        <w:tabs>
          <w:tab w:val="left" w:pos="709"/>
        </w:tabs>
        <w:rPr>
          <w:noProof/>
          <w:color w:val="000000" w:themeColor="text1"/>
          <w:szCs w:val="24"/>
        </w:rPr>
      </w:pPr>
      <w:r w:rsidRPr="00F723B0">
        <w:rPr>
          <w:noProof/>
          <w:color w:val="000000" w:themeColor="text1"/>
        </w:rPr>
        <w:t>ADOPTĂ PREZENTA DECIZIE:</w:t>
      </w:r>
    </w:p>
    <w:p w14:paraId="2CD99319" w14:textId="77777777" w:rsidR="000C6101" w:rsidRPr="00F723B0" w:rsidRDefault="000C6101" w:rsidP="000C6101">
      <w:pPr>
        <w:pStyle w:val="Articleheading"/>
        <w:rPr>
          <w:noProof/>
        </w:rPr>
      </w:pPr>
      <w:r w:rsidRPr="00F723B0">
        <w:rPr>
          <w:noProof/>
        </w:rPr>
        <w:t>Articolul 1</w:t>
      </w:r>
    </w:p>
    <w:p w14:paraId="31ECE972" w14:textId="77777777" w:rsidR="000C6101" w:rsidRPr="00F723B0" w:rsidRDefault="000C6101" w:rsidP="000C6101">
      <w:pPr>
        <w:pStyle w:val="Articletext"/>
        <w:rPr>
          <w:noProof/>
        </w:rPr>
      </w:pPr>
      <w:r w:rsidRPr="00F723B0">
        <w:rPr>
          <w:noProof/>
        </w:rPr>
        <w:t>Anexa IX la Acordul privind SEE se modifică după cum urmează:</w:t>
      </w:r>
    </w:p>
    <w:p w14:paraId="68C47934" w14:textId="77777777" w:rsidR="000C6101" w:rsidRPr="00F723B0" w:rsidRDefault="000C6101" w:rsidP="000C6101">
      <w:pPr>
        <w:pStyle w:val="Point0"/>
        <w:rPr>
          <w:noProof/>
        </w:rPr>
      </w:pPr>
      <w:r w:rsidRPr="00F723B0">
        <w:rPr>
          <w:noProof/>
        </w:rPr>
        <w:t>1.</w:t>
      </w:r>
      <w:r w:rsidRPr="00F723B0">
        <w:rPr>
          <w:noProof/>
        </w:rPr>
        <w:tab/>
        <w:t>După punctul 31lzb [Regulamentul de punere în aplicare (UE) 2021/1848 al Comisiei] se introduce următorul text:</w:t>
      </w:r>
    </w:p>
    <w:p w14:paraId="546AA1F9" w14:textId="446351F3" w:rsidR="000C6101" w:rsidRPr="00F723B0" w:rsidRDefault="000C6101" w:rsidP="000C6101">
      <w:pPr>
        <w:pStyle w:val="Point1"/>
        <w:rPr>
          <w:noProof/>
        </w:rPr>
      </w:pPr>
      <w:r w:rsidRPr="00F723B0">
        <w:rPr>
          <w:noProof/>
        </w:rPr>
        <w:t xml:space="preserve">„31lzc. </w:t>
      </w:r>
      <w:r w:rsidRPr="00F723B0">
        <w:rPr>
          <w:b/>
          <w:noProof/>
        </w:rPr>
        <w:t>32022 R 0804</w:t>
      </w:r>
      <w:r w:rsidRPr="00F723B0">
        <w:rPr>
          <w:noProof/>
        </w:rPr>
        <w:t>: Regulamentul delegat (UE) 2022/804 al Comisiei din 16</w:t>
      </w:r>
      <w:r w:rsidR="00182A82">
        <w:rPr>
          <w:noProof/>
        </w:rPr>
        <w:t> </w:t>
      </w:r>
      <w:r w:rsidRPr="00F723B0">
        <w:rPr>
          <w:noProof/>
        </w:rPr>
        <w:t>februarie 2022 de completare a Regulamentului (UE) 2016/1011 al Parlamentului European și al Consiliului prin specificarea normelor procedurale pentru măsurile aplicabile supravegherii anumitor administratori de indici de referință de către Autoritatea Europeană pentru Valori Mobiliare și Piețe (JO L 145, 24.5.2022, p. 7).</w:t>
      </w:r>
    </w:p>
    <w:p w14:paraId="19D49E62" w14:textId="77777777" w:rsidR="000C6101" w:rsidRPr="00F723B0" w:rsidRDefault="000C6101" w:rsidP="000C6101">
      <w:pPr>
        <w:pStyle w:val="Point0"/>
        <w:ind w:left="1418" w:firstLine="22"/>
        <w:rPr>
          <w:noProof/>
        </w:rPr>
      </w:pPr>
      <w:r w:rsidRPr="00F723B0">
        <w:rPr>
          <w:noProof/>
        </w:rPr>
        <w:t>În sensul prezentului acord, dispozițiile regulamentului delegat se citesc cu următoarele adaptări:</w:t>
      </w:r>
    </w:p>
    <w:p w14:paraId="0CCCCFAD" w14:textId="6AC25664" w:rsidR="000C6101" w:rsidRPr="00F723B0" w:rsidRDefault="000C6101" w:rsidP="000C6101">
      <w:pPr>
        <w:pStyle w:val="Point2"/>
        <w:rPr>
          <w:noProof/>
        </w:rPr>
      </w:pPr>
      <w:r w:rsidRPr="00F723B0">
        <w:rPr>
          <w:noProof/>
        </w:rPr>
        <w:t>(a)</w:t>
      </w:r>
      <w:r w:rsidRPr="00F723B0">
        <w:rPr>
          <w:noProof/>
        </w:rPr>
        <w:tab/>
        <w:t>La articolul 2 alineatul (1), după cuvântul «ESMA» se introduc cuvintele «și, în ceea ce privește statele AELS, către Autoritatea AELS de Supraveghere».</w:t>
      </w:r>
    </w:p>
    <w:p w14:paraId="2847CA8F" w14:textId="77777777" w:rsidR="000C6101" w:rsidRPr="00F723B0" w:rsidRDefault="000C6101" w:rsidP="000C6101">
      <w:pPr>
        <w:pStyle w:val="Point2"/>
        <w:rPr>
          <w:noProof/>
        </w:rPr>
      </w:pPr>
      <w:r w:rsidRPr="00F723B0">
        <w:rPr>
          <w:noProof/>
        </w:rPr>
        <w:t>(b)</w:t>
      </w:r>
      <w:r w:rsidRPr="00F723B0">
        <w:rPr>
          <w:noProof/>
        </w:rPr>
        <w:tab/>
        <w:t>La articolul 3:</w:t>
      </w:r>
    </w:p>
    <w:p w14:paraId="653297F4" w14:textId="77777777" w:rsidR="000C6101" w:rsidRPr="00F723B0" w:rsidRDefault="000C6101" w:rsidP="000C6101">
      <w:pPr>
        <w:pStyle w:val="Point2"/>
        <w:ind w:left="2552"/>
        <w:rPr>
          <w:noProof/>
        </w:rPr>
      </w:pPr>
      <w:r w:rsidRPr="00F723B0">
        <w:rPr>
          <w:noProof/>
        </w:rPr>
        <w:t>(i)</w:t>
      </w:r>
      <w:r w:rsidRPr="00F723B0">
        <w:rPr>
          <w:noProof/>
        </w:rPr>
        <w:tab/>
        <w:t>la alineatul (1), după cuvântul «ESMA» se introduc cuvintele «și, după caz, Autorității AELS de Supraveghere», iar la alineatul (6), după cuvântul «ESMA» se introduc cuvintele «și, după caz, Autoritatea AELS de Supraveghere»;</w:t>
      </w:r>
    </w:p>
    <w:p w14:paraId="60FC5AD5" w14:textId="77777777" w:rsidR="000C6101" w:rsidRPr="00F723B0" w:rsidRDefault="000C6101" w:rsidP="000C6101">
      <w:pPr>
        <w:pStyle w:val="Point2"/>
        <w:ind w:left="2552"/>
        <w:rPr>
          <w:noProof/>
        </w:rPr>
      </w:pPr>
      <w:r w:rsidRPr="00F723B0">
        <w:rPr>
          <w:noProof/>
        </w:rPr>
        <w:t xml:space="preserve">(ii) </w:t>
      </w:r>
      <w:r w:rsidRPr="00F723B0">
        <w:rPr>
          <w:noProof/>
        </w:rPr>
        <w:tab/>
        <w:t>la alineatul (2) se adaugă următorul paragraf:</w:t>
      </w:r>
    </w:p>
    <w:p w14:paraId="4C358C7F" w14:textId="77777777" w:rsidR="000C6101" w:rsidRPr="00F723B0" w:rsidRDefault="000C6101" w:rsidP="000C6101">
      <w:pPr>
        <w:pStyle w:val="Point2"/>
        <w:ind w:left="2552"/>
        <w:rPr>
          <w:noProof/>
        </w:rPr>
      </w:pPr>
      <w:r w:rsidRPr="00F723B0">
        <w:rPr>
          <w:noProof/>
        </w:rPr>
        <w:tab/>
        <w:t>«În ceea ce privește statele AELS, atunci când un dosar este incomplet, ESMA informează Autoritatea AELS de Supraveghere în acest sens. Autoritatea AELS de Supraveghere adresează agentului de investigații o cerere motivată de depunere a unor documente suplimentare.»;</w:t>
      </w:r>
    </w:p>
    <w:p w14:paraId="3D5BCC4A" w14:textId="77777777" w:rsidR="000C6101" w:rsidRPr="00F723B0" w:rsidRDefault="000C6101" w:rsidP="000C6101">
      <w:pPr>
        <w:pStyle w:val="Point2"/>
        <w:ind w:left="2552"/>
        <w:rPr>
          <w:noProof/>
        </w:rPr>
      </w:pPr>
      <w:r w:rsidRPr="00F723B0">
        <w:rPr>
          <w:noProof/>
        </w:rPr>
        <w:t>(iii)</w:t>
      </w:r>
      <w:r w:rsidRPr="00F723B0">
        <w:rPr>
          <w:noProof/>
        </w:rPr>
        <w:tab/>
        <w:t>la alineatul (3), după cuvântul «ESMA» se introduc cuvintele «sau, în ceea ce privește statele AELS, Autoritatea AELS de Supraveghere» ;</w:t>
      </w:r>
    </w:p>
    <w:p w14:paraId="05B8F8CB" w14:textId="77777777" w:rsidR="000C6101" w:rsidRPr="00F723B0" w:rsidRDefault="000C6101" w:rsidP="000C6101">
      <w:pPr>
        <w:pStyle w:val="Point2"/>
        <w:ind w:left="2552"/>
        <w:rPr>
          <w:noProof/>
        </w:rPr>
      </w:pPr>
      <w:r w:rsidRPr="00F723B0">
        <w:rPr>
          <w:noProof/>
        </w:rPr>
        <w:t>(iv)</w:t>
      </w:r>
      <w:r w:rsidRPr="00F723B0">
        <w:rPr>
          <w:noProof/>
        </w:rPr>
        <w:tab/>
        <w:t>la alineatul (4) se adaugă următorul paragraf:</w:t>
      </w:r>
    </w:p>
    <w:p w14:paraId="242D4948" w14:textId="62A1BA5C" w:rsidR="000C6101" w:rsidRPr="00F723B0" w:rsidRDefault="000C6101" w:rsidP="000C6101">
      <w:pPr>
        <w:pStyle w:val="Point2"/>
        <w:ind w:left="2552"/>
        <w:rPr>
          <w:noProof/>
        </w:rPr>
      </w:pPr>
      <w:r w:rsidRPr="00F723B0">
        <w:rPr>
          <w:noProof/>
        </w:rPr>
        <w:tab/>
        <w:t>«În ceea ce privește statele AELS, în cazul în care nu este de acord cu constatările agentului de investigații, ESMA informează Autoritatea AELS de Supraveghere în acest sens. Autoritatea AELS de Supraveghere trimite un nou raport de constatare persoanei care face obiectul investigației. Raportul de constatare în cauză stabilește un termen de cel puțin patru săptămâni în care persoana care face obiectul investigației își poate formula observațiile în scris. ESMA, înainte de a elabora un proiect pentru Autoritatea AELS de Supraveghere, sau Autoritatea AELS de Supraveghere nu este obligată să țină seama de observațiile scrise primite după expirarea termenului respectiv pentru a adopta o decizie privind existența unei încălcări, măsurile de supraveghere și impunerea unei amenzi în conformitate cu articolele 48e și 48f din Regulamentul (UE) 2016/1011.»;</w:t>
      </w:r>
    </w:p>
    <w:p w14:paraId="78611835" w14:textId="77777777" w:rsidR="000C6101" w:rsidRPr="00F723B0" w:rsidRDefault="000C6101" w:rsidP="000C6101">
      <w:pPr>
        <w:pStyle w:val="Point2"/>
        <w:ind w:left="2552"/>
        <w:rPr>
          <w:noProof/>
        </w:rPr>
      </w:pPr>
      <w:r w:rsidRPr="00F723B0">
        <w:rPr>
          <w:noProof/>
        </w:rPr>
        <w:t>(v)</w:t>
      </w:r>
      <w:r w:rsidRPr="00F723B0">
        <w:rPr>
          <w:noProof/>
        </w:rPr>
        <w:tab/>
        <w:t>la alineatul (5) se adaugă următorul paragraf:</w:t>
      </w:r>
    </w:p>
    <w:p w14:paraId="3FEAAD47" w14:textId="77777777" w:rsidR="000C6101" w:rsidRPr="00F723B0" w:rsidRDefault="000C6101" w:rsidP="000C6101">
      <w:pPr>
        <w:pStyle w:val="Point2"/>
        <w:ind w:left="2552"/>
        <w:rPr>
          <w:noProof/>
        </w:rPr>
      </w:pPr>
      <w:r w:rsidRPr="00F723B0">
        <w:rPr>
          <w:noProof/>
        </w:rPr>
        <w:tab/>
        <w:t>«În ceea ce privește statele AELS, în cazul în care este de acord, integral sau parțial, cu constatările agentului de investigații, ESMA informează Autoritatea AELS de Supraveghere în acest sens. Autoritatea AELS de Supraveghere informează în consecință persoana care face obiectul investigației. În comunicarea respectivă se stabilește un termen de cel puțin două săptămâni în cazul în care ESMA este de acord cu toate constatările și de cel puțin patru săptămâni în cazul în care ESMA nu este de acord cu toate constatările, termen în care persoana care face obiectul investigației poate prezenta observații în scris. ESMA, înainte de a elabora un proiect pentru Autoritatea AELS de Supraveghere, sau Autoritatea AELS de Supraveghere nu este obligată să țină seama de observațiile scrise primite după expirarea termenului respectiv pentru a adopta o decizie privind existența unei încălcări, măsurile de supraveghere și impunerea unei amenzi în conformitate cu articolele 48e și 48f din Regulamentul (UE) 2016/1011.»;</w:t>
      </w:r>
    </w:p>
    <w:p w14:paraId="290658BB" w14:textId="77777777" w:rsidR="000C6101" w:rsidRPr="00F723B0" w:rsidRDefault="000C6101" w:rsidP="000C6101">
      <w:pPr>
        <w:pStyle w:val="Point2"/>
        <w:ind w:left="2552"/>
        <w:rPr>
          <w:noProof/>
        </w:rPr>
      </w:pPr>
      <w:r w:rsidRPr="00F723B0">
        <w:rPr>
          <w:noProof/>
        </w:rPr>
        <w:t>(vi)</w:t>
      </w:r>
      <w:r w:rsidRPr="00F723B0">
        <w:rPr>
          <w:noProof/>
        </w:rPr>
        <w:tab/>
        <w:t>la alineatul (7), după cuvântul «ESMA» se introduc cuvintele «sau, după caz, Autoritatea AELS de Supraveghere».</w:t>
      </w:r>
    </w:p>
    <w:p w14:paraId="7386D2E6" w14:textId="77777777" w:rsidR="000C6101" w:rsidRPr="00F723B0" w:rsidRDefault="000C6101" w:rsidP="000C6101">
      <w:pPr>
        <w:pStyle w:val="Point2"/>
        <w:rPr>
          <w:noProof/>
        </w:rPr>
      </w:pPr>
      <w:r w:rsidRPr="00F723B0">
        <w:rPr>
          <w:noProof/>
        </w:rPr>
        <w:t>(c)</w:t>
      </w:r>
      <w:r w:rsidRPr="00F723B0">
        <w:rPr>
          <w:noProof/>
        </w:rPr>
        <w:tab/>
        <w:t>La articolul 4:</w:t>
      </w:r>
    </w:p>
    <w:p w14:paraId="1655C103" w14:textId="77777777" w:rsidR="000C6101" w:rsidRPr="00F723B0" w:rsidRDefault="000C6101" w:rsidP="000C6101">
      <w:pPr>
        <w:pStyle w:val="Point2"/>
        <w:ind w:left="2552"/>
        <w:rPr>
          <w:noProof/>
        </w:rPr>
      </w:pPr>
      <w:r w:rsidRPr="00F723B0">
        <w:rPr>
          <w:noProof/>
        </w:rPr>
        <w:t>(i)</w:t>
      </w:r>
      <w:r w:rsidRPr="00F723B0">
        <w:rPr>
          <w:noProof/>
        </w:rPr>
        <w:tab/>
        <w:t>la alineatul (1), după cuvântul «ESMA» se introduc cuvintele «sau, după caz, Autoritatea AELS de Supraveghere»;</w:t>
      </w:r>
    </w:p>
    <w:p w14:paraId="72DA4284" w14:textId="77777777" w:rsidR="000C6101" w:rsidRPr="00F723B0" w:rsidRDefault="000C6101" w:rsidP="000C6101">
      <w:pPr>
        <w:pStyle w:val="Point2"/>
        <w:ind w:left="2552"/>
        <w:rPr>
          <w:noProof/>
        </w:rPr>
      </w:pPr>
      <w:r w:rsidRPr="00F723B0">
        <w:rPr>
          <w:noProof/>
        </w:rPr>
        <w:t>(ii)</w:t>
      </w:r>
      <w:r w:rsidRPr="00F723B0">
        <w:rPr>
          <w:noProof/>
        </w:rPr>
        <w:tab/>
        <w:t>la alineatul (4), după cuvântul «ESMA» se introduc cuvintele «și, în ceea ce privește statele AELS, Autoritatea AELS de Supraveghere».</w:t>
      </w:r>
    </w:p>
    <w:p w14:paraId="3A36A529" w14:textId="77777777" w:rsidR="000C6101" w:rsidRPr="00F723B0" w:rsidRDefault="000C6101" w:rsidP="000C6101">
      <w:pPr>
        <w:pStyle w:val="Point2"/>
        <w:rPr>
          <w:noProof/>
        </w:rPr>
      </w:pPr>
      <w:r w:rsidRPr="00F723B0">
        <w:rPr>
          <w:noProof/>
        </w:rPr>
        <w:t>(d)</w:t>
      </w:r>
      <w:r w:rsidRPr="00F723B0">
        <w:rPr>
          <w:noProof/>
        </w:rPr>
        <w:tab/>
        <w:t>La articolul 5:</w:t>
      </w:r>
    </w:p>
    <w:p w14:paraId="5D6ADC40" w14:textId="77777777" w:rsidR="000C6101" w:rsidRPr="00F723B0" w:rsidRDefault="000C6101" w:rsidP="000C6101">
      <w:pPr>
        <w:pStyle w:val="Point2"/>
        <w:ind w:left="2552"/>
        <w:rPr>
          <w:noProof/>
        </w:rPr>
      </w:pPr>
      <w:r w:rsidRPr="00F723B0">
        <w:rPr>
          <w:noProof/>
        </w:rPr>
        <w:t>(i)</w:t>
      </w:r>
      <w:r w:rsidRPr="00F723B0">
        <w:rPr>
          <w:noProof/>
        </w:rPr>
        <w:tab/>
        <w:t>la alineatul (1), la alineatul (2) primul și al doilea paragraf, la alineatul (3) primul paragraf și la alineatul (4), după cuvântul «ESMA» se introduc cuvintele «sau, după caz, Autoritatea AELS de Supraveghere»;</w:t>
      </w:r>
    </w:p>
    <w:p w14:paraId="67907297" w14:textId="77777777" w:rsidR="000C6101" w:rsidRPr="00F723B0" w:rsidRDefault="000C6101" w:rsidP="000C6101">
      <w:pPr>
        <w:pStyle w:val="Point2"/>
        <w:ind w:left="2552"/>
        <w:rPr>
          <w:noProof/>
        </w:rPr>
      </w:pPr>
      <w:r w:rsidRPr="00F723B0">
        <w:rPr>
          <w:noProof/>
        </w:rPr>
        <w:t>(ii)</w:t>
      </w:r>
      <w:r w:rsidRPr="00F723B0">
        <w:rPr>
          <w:noProof/>
        </w:rPr>
        <w:tab/>
        <w:t>la alineatul (2) al treilea și al patrulea paragraf, după cuvântul «ESMA» se introduc cuvintele «și, după caz, Autoritatea AELS de Supraveghere»;</w:t>
      </w:r>
    </w:p>
    <w:p w14:paraId="2B8907EA" w14:textId="77777777" w:rsidR="000C6101" w:rsidRPr="00F723B0" w:rsidRDefault="000C6101" w:rsidP="000C6101">
      <w:pPr>
        <w:pStyle w:val="Point2"/>
        <w:ind w:left="2552"/>
        <w:rPr>
          <w:noProof/>
        </w:rPr>
      </w:pPr>
      <w:r w:rsidRPr="00F723B0">
        <w:rPr>
          <w:noProof/>
        </w:rPr>
        <w:t>(iii)</w:t>
      </w:r>
      <w:r w:rsidRPr="00F723B0">
        <w:rPr>
          <w:noProof/>
        </w:rPr>
        <w:tab/>
        <w:t>la alineatul (3), după al doilea paragraf se adaugă următorul paragraf:</w:t>
      </w:r>
    </w:p>
    <w:p w14:paraId="4301558E" w14:textId="77777777" w:rsidR="000C6101" w:rsidRPr="00F723B0" w:rsidRDefault="000C6101" w:rsidP="000C6101">
      <w:pPr>
        <w:pStyle w:val="Point2"/>
        <w:ind w:left="2552"/>
        <w:rPr>
          <w:noProof/>
        </w:rPr>
      </w:pPr>
      <w:r w:rsidRPr="00F723B0">
        <w:rPr>
          <w:noProof/>
        </w:rPr>
        <w:tab/>
        <w:t>«În ceea ce privește statele AELS, în cazul în care ESMA consideră, după audierea persoanei care face obiectul deciziei provizorii, că persoana care face obiectul deciziei provizorii a încălcat dispozițiile menționate la articolul 38g alineatul (1) din Regulamentul (UE) nr. 600/2014, aceasta informează Autoritatea AELS de Supraveghere în acest sens. Autoritatea AELS de Supraveghere adoptă o decizie de confirmare prin care impune una sau mai multe dintre măsurile de supraveghere prevăzute la articolul 48e din Regulamentul (UE) 2016/1011. Autoritatea AELS de Supraveghere notifică imediat decizia respectivă persoanei care face obiectul deciziei provizorii.».</w:t>
      </w:r>
    </w:p>
    <w:p w14:paraId="253BEF3F" w14:textId="77777777" w:rsidR="000C6101" w:rsidRPr="00F723B0" w:rsidRDefault="000C6101" w:rsidP="000C6101">
      <w:pPr>
        <w:pStyle w:val="Point2"/>
        <w:rPr>
          <w:noProof/>
        </w:rPr>
      </w:pPr>
      <w:r w:rsidRPr="00F723B0">
        <w:rPr>
          <w:noProof/>
        </w:rPr>
        <w:t>(e)</w:t>
      </w:r>
      <w:r w:rsidRPr="00F723B0">
        <w:rPr>
          <w:noProof/>
        </w:rPr>
        <w:tab/>
        <w:t>La articolul 6:</w:t>
      </w:r>
    </w:p>
    <w:p w14:paraId="07560261" w14:textId="77777777" w:rsidR="000C6101" w:rsidRPr="00F723B0" w:rsidRDefault="000C6101" w:rsidP="000C6101">
      <w:pPr>
        <w:pStyle w:val="Point2"/>
        <w:ind w:left="2552"/>
        <w:rPr>
          <w:noProof/>
        </w:rPr>
      </w:pPr>
      <w:r w:rsidRPr="00F723B0">
        <w:rPr>
          <w:noProof/>
        </w:rPr>
        <w:t>(i)</w:t>
      </w:r>
      <w:r w:rsidRPr="00F723B0">
        <w:rPr>
          <w:noProof/>
        </w:rPr>
        <w:tab/>
        <w:t>după prima ocurență a cuvântului «ESMA» se introduc cuvintele «și, după caz, Autoritatea AELS de Supraveghere»;</w:t>
      </w:r>
    </w:p>
    <w:p w14:paraId="09A60973" w14:textId="77777777" w:rsidR="000C6101" w:rsidRPr="00F723B0" w:rsidRDefault="000C6101" w:rsidP="000C6101">
      <w:pPr>
        <w:pStyle w:val="Point2"/>
        <w:ind w:left="2552"/>
        <w:rPr>
          <w:noProof/>
        </w:rPr>
      </w:pPr>
      <w:r w:rsidRPr="00F723B0">
        <w:rPr>
          <w:noProof/>
        </w:rPr>
        <w:t>(ii)</w:t>
      </w:r>
      <w:r w:rsidRPr="00F723B0">
        <w:rPr>
          <w:noProof/>
        </w:rPr>
        <w:tab/>
        <w:t>după a doua ocurență a cuvântului «ESMA» se introduc cuvintele «sau, după caz, Autoritatea AELS de Supraveghere».</w:t>
      </w:r>
    </w:p>
    <w:p w14:paraId="41C53BD2" w14:textId="77777777" w:rsidR="000C6101" w:rsidRPr="00F723B0" w:rsidRDefault="000C6101" w:rsidP="000C6101">
      <w:pPr>
        <w:pStyle w:val="Point2"/>
        <w:rPr>
          <w:noProof/>
        </w:rPr>
      </w:pPr>
      <w:r w:rsidRPr="00F723B0">
        <w:rPr>
          <w:noProof/>
        </w:rPr>
        <w:t>(f)</w:t>
      </w:r>
      <w:r w:rsidRPr="00F723B0">
        <w:rPr>
          <w:noProof/>
        </w:rPr>
        <w:tab/>
        <w:t>La articolul 7:</w:t>
      </w:r>
    </w:p>
    <w:p w14:paraId="4694C639" w14:textId="77777777" w:rsidR="000C6101" w:rsidRPr="00F723B0" w:rsidRDefault="000C6101" w:rsidP="000C6101">
      <w:pPr>
        <w:pStyle w:val="Point2"/>
        <w:ind w:left="2552"/>
        <w:rPr>
          <w:noProof/>
        </w:rPr>
      </w:pPr>
      <w:r w:rsidRPr="00F723B0">
        <w:rPr>
          <w:noProof/>
        </w:rPr>
        <w:t>(i)</w:t>
      </w:r>
      <w:r w:rsidRPr="00F723B0">
        <w:rPr>
          <w:noProof/>
        </w:rPr>
        <w:tab/>
        <w:t>la alineatul (3), după prima ocurență a cuvântului «ESMA» se introduc cuvintele «și, în ceea ce privește statele AELS, Autoritatea AELS de Supraveghere»;</w:t>
      </w:r>
    </w:p>
    <w:p w14:paraId="548557DD" w14:textId="77777777" w:rsidR="000C6101" w:rsidRPr="00F723B0" w:rsidRDefault="000C6101" w:rsidP="000C6101">
      <w:pPr>
        <w:pStyle w:val="Point2"/>
        <w:ind w:left="2552"/>
        <w:rPr>
          <w:noProof/>
        </w:rPr>
      </w:pPr>
      <w:r w:rsidRPr="00F723B0">
        <w:rPr>
          <w:noProof/>
        </w:rPr>
        <w:t>(ii)</w:t>
      </w:r>
      <w:r w:rsidRPr="00F723B0">
        <w:rPr>
          <w:noProof/>
        </w:rPr>
        <w:tab/>
        <w:t>la alineatul (3), după a doua ocurență a cuvântului «ESMA» se introduc cuvintele «sau, după caz, a Autorității AELS de Supraveghere»;</w:t>
      </w:r>
    </w:p>
    <w:p w14:paraId="1A88AD5A" w14:textId="127AFD4F" w:rsidR="000C6101" w:rsidRPr="00F723B0" w:rsidRDefault="000C6101" w:rsidP="000C6101">
      <w:pPr>
        <w:pStyle w:val="Point2"/>
        <w:ind w:left="2552"/>
        <w:rPr>
          <w:noProof/>
        </w:rPr>
      </w:pPr>
      <w:r w:rsidRPr="00F723B0">
        <w:rPr>
          <w:noProof/>
        </w:rPr>
        <w:t>(iii)</w:t>
      </w:r>
      <w:r w:rsidRPr="00F723B0">
        <w:rPr>
          <w:noProof/>
        </w:rPr>
        <w:tab/>
        <w:t>la alineatul (5) se introduce următorul paragraf:</w:t>
      </w:r>
    </w:p>
    <w:p w14:paraId="086F1709" w14:textId="77777777" w:rsidR="000C6101" w:rsidRPr="00F723B0" w:rsidRDefault="000C6101" w:rsidP="000C6101">
      <w:pPr>
        <w:pStyle w:val="Point2"/>
        <w:ind w:left="2552"/>
        <w:rPr>
          <w:noProof/>
        </w:rPr>
      </w:pPr>
      <w:r w:rsidRPr="00F723B0">
        <w:rPr>
          <w:noProof/>
        </w:rPr>
        <w:tab/>
        <w:t>«Termenul de prescripție pentru impunerea de amenzi și penalități cu titlu cominatoriu se suspendă pe perioada în care decizia Autorității AELS de Supraveghere face obiectul unor proceduri pendinte în fața Curții de Justiție a AELS, în conformitate cu articolul 36 din Acordul dintre statele AELS privind instituirea unei Autorități de Supraveghere și a unei Curți de Justiție.»</w:t>
      </w:r>
    </w:p>
    <w:p w14:paraId="28D376BC" w14:textId="77777777" w:rsidR="000C6101" w:rsidRPr="00F723B0" w:rsidRDefault="000C6101" w:rsidP="000C6101">
      <w:pPr>
        <w:pStyle w:val="Point2"/>
        <w:rPr>
          <w:noProof/>
        </w:rPr>
      </w:pPr>
      <w:r w:rsidRPr="00F723B0">
        <w:rPr>
          <w:noProof/>
        </w:rPr>
        <w:t>(g)</w:t>
      </w:r>
      <w:r w:rsidRPr="00F723B0">
        <w:rPr>
          <w:noProof/>
        </w:rPr>
        <w:tab/>
        <w:t>La articolul 8, în ceea ce privește statele AELS:</w:t>
      </w:r>
    </w:p>
    <w:p w14:paraId="537EC231" w14:textId="77777777" w:rsidR="000C6101" w:rsidRPr="00F723B0" w:rsidRDefault="000C6101" w:rsidP="000C6101">
      <w:pPr>
        <w:pStyle w:val="Point2"/>
        <w:ind w:left="2552"/>
        <w:rPr>
          <w:noProof/>
        </w:rPr>
      </w:pPr>
      <w:r w:rsidRPr="00F723B0">
        <w:rPr>
          <w:noProof/>
        </w:rPr>
        <w:t>(i)</w:t>
      </w:r>
      <w:r w:rsidRPr="00F723B0">
        <w:rPr>
          <w:noProof/>
        </w:rPr>
        <w:tab/>
        <w:t>la alineatul (1), după cuvântul «ESMA» se introduc cuvintele «sau, după caz, a Autorității AELS de Supraveghere», iar la alineatul (3), după cuvântul «ESMA» se introduc cuvintele «sau, după caz, Autoritatea AELS de Supraveghere»;</w:t>
      </w:r>
    </w:p>
    <w:p w14:paraId="40ECBEF9" w14:textId="501F2EE5" w:rsidR="000C6101" w:rsidRPr="00F723B0" w:rsidRDefault="000C6101" w:rsidP="000C6101">
      <w:pPr>
        <w:pStyle w:val="Point2"/>
        <w:ind w:left="2552"/>
        <w:rPr>
          <w:noProof/>
        </w:rPr>
      </w:pPr>
      <w:r w:rsidRPr="00F723B0">
        <w:rPr>
          <w:noProof/>
        </w:rPr>
        <w:t>(ii)</w:t>
      </w:r>
      <w:r w:rsidRPr="00F723B0">
        <w:rPr>
          <w:noProof/>
        </w:rPr>
        <w:tab/>
        <w:t>la alineatul (5), după cuvintele «Regulamentul (UE) 2016/1011» se introduc cuvintele «sau, în ceea ce privește statele AELS, în temeiul unui control jurisdicțional al Curții de Justiție a AELS în conformitate cu articolul 35 din Acordul dintre statele AELS privind instituirea unei Autorități de Supraveghere și a unei Curți de Justiție».”</w:t>
      </w:r>
    </w:p>
    <w:p w14:paraId="556722E2" w14:textId="77777777" w:rsidR="000C6101" w:rsidRPr="00F723B0" w:rsidRDefault="000C6101" w:rsidP="000C6101">
      <w:pPr>
        <w:pStyle w:val="Point0"/>
        <w:rPr>
          <w:noProof/>
        </w:rPr>
      </w:pPr>
      <w:r w:rsidRPr="00F723B0">
        <w:rPr>
          <w:noProof/>
        </w:rPr>
        <w:t>2.</w:t>
      </w:r>
      <w:r w:rsidRPr="00F723B0">
        <w:rPr>
          <w:noProof/>
        </w:rPr>
        <w:tab/>
        <w:t>După punctul 31lzc [Regulamentul delegat (UE) 2022/804 al Comisiei] se introduce următorul text:</w:t>
      </w:r>
    </w:p>
    <w:p w14:paraId="70B21C6E" w14:textId="421B4372" w:rsidR="000C6101" w:rsidRPr="00F723B0" w:rsidRDefault="000C6101" w:rsidP="000C6101">
      <w:pPr>
        <w:pStyle w:val="Point1"/>
        <w:ind w:left="1440"/>
        <w:rPr>
          <w:noProof/>
        </w:rPr>
      </w:pPr>
      <w:r w:rsidRPr="00F723B0">
        <w:rPr>
          <w:noProof/>
        </w:rPr>
        <w:t xml:space="preserve">„31lzd. </w:t>
      </w:r>
      <w:r w:rsidRPr="00F723B0">
        <w:rPr>
          <w:b/>
          <w:noProof/>
        </w:rPr>
        <w:t>32022 R 0805</w:t>
      </w:r>
      <w:r w:rsidRPr="00F723B0">
        <w:rPr>
          <w:noProof/>
        </w:rPr>
        <w:t>: Regulamentul delegat (UE) 2022/805 al Comisiei din 16</w:t>
      </w:r>
      <w:r w:rsidR="00182A82">
        <w:rPr>
          <w:noProof/>
        </w:rPr>
        <w:t> </w:t>
      </w:r>
      <w:r w:rsidRPr="00F723B0">
        <w:rPr>
          <w:noProof/>
        </w:rPr>
        <w:t>februarie 2022 de completare a Regulamentului (UE) 2016/1011 al Parlamentului European și al Consiliului prin specificarea taxelor aplicabile supravegherii anumitor administratori de indici de referință de către Autoritatea Europeană pentru Valori Mobiliare și Piețe (JO L 145, 24.5.2022, p. 14), astfel cum a fost modificat prin:</w:t>
      </w:r>
    </w:p>
    <w:p w14:paraId="7BF98A1D" w14:textId="77777777" w:rsidR="000C6101" w:rsidRPr="00F723B0" w:rsidRDefault="000C6101" w:rsidP="000C6101">
      <w:pPr>
        <w:pStyle w:val="Point2"/>
        <w:rPr>
          <w:noProof/>
        </w:rPr>
      </w:pPr>
      <w:r w:rsidRPr="00F723B0">
        <w:rPr>
          <w:noProof/>
        </w:rPr>
        <w:t>—</w:t>
      </w:r>
      <w:r w:rsidRPr="00F723B0">
        <w:rPr>
          <w:noProof/>
        </w:rPr>
        <w:tab/>
      </w:r>
      <w:r w:rsidRPr="00F723B0">
        <w:rPr>
          <w:b/>
          <w:noProof/>
        </w:rPr>
        <w:t>32024 R 1705</w:t>
      </w:r>
      <w:r w:rsidRPr="00F723B0">
        <w:rPr>
          <w:noProof/>
        </w:rPr>
        <w:t>: Regulamentul delegat (UE) 2024/1705 al Comisiei din 11 martie 2024 (JO L, 2024/1705, 18.6.2024).</w:t>
      </w:r>
    </w:p>
    <w:p w14:paraId="2F3478F1" w14:textId="0E3815A7" w:rsidR="000C6101" w:rsidRPr="00F723B0" w:rsidRDefault="000C6101" w:rsidP="000C6101">
      <w:pPr>
        <w:pStyle w:val="Point0"/>
        <w:rPr>
          <w:noProof/>
        </w:rPr>
      </w:pPr>
      <w:r w:rsidRPr="00F723B0">
        <w:rPr>
          <w:noProof/>
        </w:rPr>
        <w:tab/>
        <w:t>În sensul prezentului acord, dispozițiile regulamentului delegat se citesc cu următoarele adaptări:</w:t>
      </w:r>
    </w:p>
    <w:p w14:paraId="0B107984" w14:textId="77777777" w:rsidR="000C6101" w:rsidRPr="00F723B0" w:rsidRDefault="000C6101" w:rsidP="000C6101">
      <w:pPr>
        <w:pStyle w:val="Point1"/>
        <w:rPr>
          <w:noProof/>
        </w:rPr>
      </w:pPr>
      <w:r w:rsidRPr="00F723B0">
        <w:rPr>
          <w:noProof/>
        </w:rPr>
        <w:t>(a)</w:t>
      </w:r>
      <w:r w:rsidRPr="00F723B0">
        <w:rPr>
          <w:noProof/>
        </w:rPr>
        <w:tab/>
        <w:t>La articolul 1, la articolul 2a litera (b), la articolul 5, la articolul 8 alineatul (2) și la articolele 9 și 10, după cuvântul «ESMA» se introduc cuvintele «</w:t>
      </w:r>
      <w:bookmarkStart w:id="4" w:name="_Hlk211263935"/>
      <w:r w:rsidRPr="00F723B0">
        <w:rPr>
          <w:noProof/>
        </w:rPr>
        <w:t>sau, după caz, Autoritatea AELS de Supraveghere</w:t>
      </w:r>
      <w:bookmarkEnd w:id="4"/>
      <w:r w:rsidRPr="00F723B0">
        <w:rPr>
          <w:noProof/>
        </w:rPr>
        <w:t>», iar la articolul 4 alineatul (3), după cuvântul «ESMA» se introduc cuvintele «sau, după caz, Autorității AELS de Supraveghere».</w:t>
      </w:r>
    </w:p>
    <w:p w14:paraId="121266C4" w14:textId="77777777" w:rsidR="000C6101" w:rsidRPr="00F723B0" w:rsidRDefault="000C6101" w:rsidP="000C6101">
      <w:pPr>
        <w:pStyle w:val="Point1"/>
        <w:rPr>
          <w:noProof/>
        </w:rPr>
      </w:pPr>
      <w:r w:rsidRPr="00F723B0">
        <w:rPr>
          <w:noProof/>
        </w:rPr>
        <w:t>(b)</w:t>
      </w:r>
      <w:r w:rsidRPr="00F723B0">
        <w:rPr>
          <w:noProof/>
        </w:rPr>
        <w:tab/>
        <w:t>La articolul 3 alineatul (3), după cuvintele «notei de debit din partea ESMA» se introduc cuvintele «</w:t>
      </w:r>
      <w:bookmarkStart w:id="5" w:name="_Hlk211264417"/>
      <w:r w:rsidRPr="00F723B0">
        <w:rPr>
          <w:noProof/>
        </w:rPr>
        <w:t>sau, după caz, la primirea notei de debit din partea Autorității AELS de supraveghere</w:t>
      </w:r>
      <w:bookmarkEnd w:id="5"/>
      <w:r w:rsidRPr="00F723B0">
        <w:rPr>
          <w:noProof/>
        </w:rPr>
        <w:t>».</w:t>
      </w:r>
    </w:p>
    <w:p w14:paraId="66FD2E50" w14:textId="77777777" w:rsidR="000C6101" w:rsidRPr="00F723B0" w:rsidRDefault="000C6101" w:rsidP="000C6101">
      <w:pPr>
        <w:pStyle w:val="Point1"/>
        <w:rPr>
          <w:noProof/>
        </w:rPr>
      </w:pPr>
      <w:r w:rsidRPr="00F723B0">
        <w:rPr>
          <w:noProof/>
        </w:rPr>
        <w:t>(c)</w:t>
      </w:r>
      <w:r w:rsidRPr="00F723B0">
        <w:rPr>
          <w:noProof/>
        </w:rPr>
        <w:tab/>
        <w:t>La articolul 5, după cuvintele «notei de debit relevante a ESMA» se introduc cuvintele «</w:t>
      </w:r>
      <w:bookmarkStart w:id="6" w:name="_Hlk211265671"/>
      <w:r w:rsidRPr="00F723B0">
        <w:rPr>
          <w:noProof/>
        </w:rPr>
        <w:t>sau, după caz</w:t>
      </w:r>
      <w:bookmarkStart w:id="7" w:name="_Hlk211266240"/>
      <w:r w:rsidRPr="00F723B0">
        <w:rPr>
          <w:noProof/>
        </w:rPr>
        <w:t>, a notei de debit relevante a Autorității AELS de supraveghere</w:t>
      </w:r>
      <w:bookmarkEnd w:id="6"/>
      <w:bookmarkEnd w:id="7"/>
      <w:r w:rsidRPr="00F723B0">
        <w:rPr>
          <w:noProof/>
        </w:rPr>
        <w:t>»;</w:t>
      </w:r>
    </w:p>
    <w:p w14:paraId="19E6AD59" w14:textId="77777777" w:rsidR="000C6101" w:rsidRPr="00F723B0" w:rsidRDefault="000C6101" w:rsidP="000C6101">
      <w:pPr>
        <w:pStyle w:val="Point1"/>
        <w:rPr>
          <w:noProof/>
        </w:rPr>
      </w:pPr>
      <w:r w:rsidRPr="00F723B0">
        <w:rPr>
          <w:noProof/>
        </w:rPr>
        <w:t>(d)</w:t>
      </w:r>
      <w:r w:rsidRPr="00F723B0">
        <w:rPr>
          <w:noProof/>
        </w:rPr>
        <w:tab/>
        <w:t>La articolul 7:</w:t>
      </w:r>
    </w:p>
    <w:p w14:paraId="4194F398" w14:textId="77777777" w:rsidR="000C6101" w:rsidRPr="00F723B0" w:rsidRDefault="000C6101" w:rsidP="000C6101">
      <w:pPr>
        <w:pStyle w:val="Point2"/>
        <w:rPr>
          <w:noProof/>
        </w:rPr>
      </w:pPr>
      <w:r w:rsidRPr="00F723B0">
        <w:rPr>
          <w:noProof/>
        </w:rPr>
        <w:t>(i)</w:t>
      </w:r>
      <w:r w:rsidRPr="00F723B0">
        <w:rPr>
          <w:noProof/>
        </w:rPr>
        <w:tab/>
        <w:t>la alineatul (2), după cuvântul «Consiliului» se introduc cuvintele «sau, în ceea ce privește statele AELS, dobânda penalizatoare prevăzută la alineatele (3)-(6) de la prezentul articol»;</w:t>
      </w:r>
    </w:p>
    <w:p w14:paraId="0A51D3E8" w14:textId="77777777" w:rsidR="000C6101" w:rsidRPr="00F723B0" w:rsidRDefault="000C6101" w:rsidP="000C6101">
      <w:pPr>
        <w:pStyle w:val="Point2"/>
        <w:rPr>
          <w:noProof/>
        </w:rPr>
      </w:pPr>
      <w:r w:rsidRPr="00F723B0">
        <w:rPr>
          <w:noProof/>
        </w:rPr>
        <w:t>(ii)</w:t>
      </w:r>
      <w:r w:rsidRPr="00F723B0">
        <w:rPr>
          <w:noProof/>
        </w:rPr>
        <w:tab/>
        <w:t>după alineatul (2) se introduc următoarele alineate:</w:t>
      </w:r>
    </w:p>
    <w:p w14:paraId="003B1BEA" w14:textId="77777777" w:rsidR="000C6101" w:rsidRPr="00F723B0" w:rsidRDefault="000C6101" w:rsidP="000C6101">
      <w:pPr>
        <w:pStyle w:val="Point2"/>
        <w:rPr>
          <w:noProof/>
        </w:rPr>
      </w:pPr>
      <w:r w:rsidRPr="00F723B0">
        <w:rPr>
          <w:noProof/>
        </w:rPr>
        <w:tab/>
        <w:t>«(3) Fără a aduce atingere vreunei dispoziții specifice care rezultă din aplicarea reglementărilor specifice, orice creanță neplătită la scadență este purtătoare de dobândă în conformitate cu alineatele (4) și (5) de la prezentul articol.</w:t>
      </w:r>
    </w:p>
    <w:p w14:paraId="76AA8F0F" w14:textId="77777777" w:rsidR="000C6101" w:rsidRPr="00F723B0" w:rsidRDefault="000C6101" w:rsidP="000C6101">
      <w:pPr>
        <w:pStyle w:val="Point2"/>
        <w:rPr>
          <w:noProof/>
        </w:rPr>
      </w:pPr>
      <w:r w:rsidRPr="00F723B0">
        <w:rPr>
          <w:noProof/>
        </w:rPr>
        <w:tab/>
        <w:t xml:space="preserve">(4) Rata dobânzii pentru creanțele neplătite la scadență este rata aplicată de Banca Centrală Europeană operațiunilor sale principale de refinanțare, astfel cum este publicată în </w:t>
      </w:r>
      <w:r w:rsidRPr="00F723B0">
        <w:rPr>
          <w:i/>
          <w:noProof/>
        </w:rPr>
        <w:t>Jurnalul Oficial al Uniunii Europene</w:t>
      </w:r>
      <w:r w:rsidRPr="00F723B0">
        <w:rPr>
          <w:noProof/>
        </w:rPr>
        <w:t>, seria C, în vigoare în prima zi calendaristică a lunii în care cade data scadenței, majorată cu:</w:t>
      </w:r>
    </w:p>
    <w:p w14:paraId="083F355B" w14:textId="77777777" w:rsidR="000C6101" w:rsidRPr="00F723B0" w:rsidRDefault="000C6101" w:rsidP="000C6101">
      <w:pPr>
        <w:pStyle w:val="Point2"/>
        <w:rPr>
          <w:noProof/>
        </w:rPr>
      </w:pPr>
      <w:r w:rsidRPr="00F723B0">
        <w:rPr>
          <w:noProof/>
        </w:rPr>
        <w:tab/>
        <w:t>(a)</w:t>
      </w:r>
      <w:r w:rsidRPr="00F723B0">
        <w:rPr>
          <w:noProof/>
        </w:rPr>
        <w:tab/>
        <w:t>opt puncte procentuale în cazul în care evenimentul generator este un contract de achiziție de produse sau un contract de achiziție de servicii;</w:t>
      </w:r>
    </w:p>
    <w:p w14:paraId="7BEE8C24" w14:textId="77777777" w:rsidR="000C6101" w:rsidRPr="00F723B0" w:rsidRDefault="000C6101" w:rsidP="000C6101">
      <w:pPr>
        <w:pStyle w:val="Point2"/>
        <w:rPr>
          <w:noProof/>
        </w:rPr>
      </w:pPr>
      <w:r w:rsidRPr="00F723B0">
        <w:rPr>
          <w:noProof/>
        </w:rPr>
        <w:tab/>
        <w:t>(b)</w:t>
      </w:r>
      <w:r w:rsidRPr="00F723B0">
        <w:rPr>
          <w:noProof/>
        </w:rPr>
        <w:tab/>
        <w:t>trei puncte procentuale și jumătate în toate celelalte cazuri.</w:t>
      </w:r>
    </w:p>
    <w:p w14:paraId="0983481A" w14:textId="77777777" w:rsidR="000C6101" w:rsidRPr="00F723B0" w:rsidRDefault="000C6101" w:rsidP="000C6101">
      <w:pPr>
        <w:pStyle w:val="Point2"/>
        <w:rPr>
          <w:noProof/>
        </w:rPr>
      </w:pPr>
      <w:r w:rsidRPr="00F723B0">
        <w:rPr>
          <w:noProof/>
        </w:rPr>
        <w:tab/>
        <w:t>(5) Dobânda se calculează începând cu ziua calendaristică următoare scadenței și până în ziua calendaristică în care datoria este rambursată integral.</w:t>
      </w:r>
    </w:p>
    <w:p w14:paraId="0C71CD36" w14:textId="77777777" w:rsidR="000C6101" w:rsidRPr="00F723B0" w:rsidRDefault="000C6101" w:rsidP="000C6101">
      <w:pPr>
        <w:pStyle w:val="Point2"/>
        <w:rPr>
          <w:noProof/>
        </w:rPr>
      </w:pPr>
      <w:r w:rsidRPr="00F723B0">
        <w:rPr>
          <w:noProof/>
        </w:rPr>
        <w:tab/>
        <w:t>Ordinul de recuperare corespunzător cuantumului dobânzii penalizatoare se emite atunci când respectiva dobândă este încasată efectiv.</w:t>
      </w:r>
    </w:p>
    <w:p w14:paraId="04DA5A33" w14:textId="77777777" w:rsidR="000C6101" w:rsidRPr="00F723B0" w:rsidRDefault="000C6101" w:rsidP="000C6101">
      <w:pPr>
        <w:pStyle w:val="Point2"/>
        <w:rPr>
          <w:noProof/>
        </w:rPr>
      </w:pPr>
      <w:r w:rsidRPr="00F723B0">
        <w:rPr>
          <w:noProof/>
        </w:rPr>
        <w:tab/>
        <w:t>(6) În cazurile în care rata globală a dobânzii este negativă, dobânda se stabilește la zero la sută.».</w:t>
      </w:r>
    </w:p>
    <w:p w14:paraId="47C3183D" w14:textId="6F5D7177" w:rsidR="000C6101" w:rsidRPr="00F723B0" w:rsidRDefault="000C6101" w:rsidP="000C6101">
      <w:pPr>
        <w:pStyle w:val="Point1"/>
        <w:rPr>
          <w:noProof/>
        </w:rPr>
      </w:pPr>
      <w:r w:rsidRPr="00F723B0">
        <w:rPr>
          <w:noProof/>
        </w:rPr>
        <w:t>(e)</w:t>
      </w:r>
      <w:r w:rsidRPr="00F723B0">
        <w:rPr>
          <w:noProof/>
        </w:rPr>
        <w:tab/>
        <w:t>La articolul</w:t>
      </w:r>
      <w:r w:rsidR="00182A82">
        <w:rPr>
          <w:noProof/>
        </w:rPr>
        <w:t xml:space="preserve"> </w:t>
      </w:r>
      <w:r w:rsidRPr="00F723B0">
        <w:rPr>
          <w:noProof/>
        </w:rPr>
        <w:t>(8), după cuvântul «facturii ESMA» se introduc cuvintele «</w:t>
      </w:r>
      <w:bookmarkStart w:id="8" w:name="_Hlk211265747"/>
      <w:r w:rsidRPr="00F723B0">
        <w:rPr>
          <w:noProof/>
        </w:rPr>
        <w:t>sau, în ceea ce privește statele AELS, a facturii Autorității AELS de Supraveghere</w:t>
      </w:r>
      <w:bookmarkEnd w:id="8"/>
      <w:r w:rsidRPr="00F723B0">
        <w:rPr>
          <w:noProof/>
        </w:rPr>
        <w:t>».</w:t>
      </w:r>
    </w:p>
    <w:p w14:paraId="2285C177" w14:textId="77777777" w:rsidR="000C6101" w:rsidRPr="00F723B0" w:rsidRDefault="000C6101" w:rsidP="000C6101">
      <w:pPr>
        <w:pStyle w:val="Point1"/>
        <w:rPr>
          <w:noProof/>
        </w:rPr>
      </w:pPr>
      <w:r w:rsidRPr="00F723B0">
        <w:rPr>
          <w:noProof/>
        </w:rPr>
        <w:t>(f)</w:t>
      </w:r>
      <w:r w:rsidRPr="00F723B0">
        <w:rPr>
          <w:noProof/>
        </w:rPr>
        <w:tab/>
        <w:t>La articolul 10 alineatul (2), se introduce următorul paragraf:</w:t>
      </w:r>
    </w:p>
    <w:p w14:paraId="005BBBE4" w14:textId="54B41181" w:rsidR="000C6101" w:rsidRPr="00F723B0" w:rsidRDefault="000C6101" w:rsidP="000C6101">
      <w:pPr>
        <w:pStyle w:val="Point1"/>
        <w:rPr>
          <w:noProof/>
        </w:rPr>
      </w:pPr>
      <w:r w:rsidRPr="00F723B0">
        <w:rPr>
          <w:noProof/>
        </w:rPr>
        <w:tab/>
        <w:t>«Atunci când, în ceea ce privește administratorii de indici de referință critici stabiliți în statele AELS, Autoritatea AELS de Supraveghere trebuie să ramburseze o autoritate națională competentă, ESMA pune la dispoziția Autorității AELS de Supraveghere, fără întârziere, sumele care trebuie rambursate în acel scop.»”</w:t>
      </w:r>
    </w:p>
    <w:p w14:paraId="5A43BC25" w14:textId="77777777" w:rsidR="000C6101" w:rsidRPr="00F723B0" w:rsidRDefault="000C6101" w:rsidP="000C6101">
      <w:pPr>
        <w:pStyle w:val="Articleheading"/>
        <w:rPr>
          <w:noProof/>
        </w:rPr>
      </w:pPr>
      <w:r w:rsidRPr="00F723B0">
        <w:rPr>
          <w:noProof/>
        </w:rPr>
        <w:t>Articolul 2</w:t>
      </w:r>
    </w:p>
    <w:p w14:paraId="7395B89F" w14:textId="77777777" w:rsidR="000C6101" w:rsidRPr="00F723B0" w:rsidRDefault="000C6101" w:rsidP="000C6101">
      <w:pPr>
        <w:pStyle w:val="Articletext"/>
        <w:rPr>
          <w:noProof/>
        </w:rPr>
      </w:pPr>
      <w:r w:rsidRPr="00F723B0">
        <w:rPr>
          <w:noProof/>
        </w:rPr>
        <w:t xml:space="preserve">Textele Regulamentelor delegate (UE) 2022/804, (UE) 2022/805 și (UE) 2024/1705 ale Comisiei în limbile islandeză și norvegiană, care urmează să fie publicate în suplimentul SEE la </w:t>
      </w:r>
      <w:r w:rsidRPr="00F723B0">
        <w:rPr>
          <w:i/>
          <w:noProof/>
        </w:rPr>
        <w:t>Jurnalul Oficial al Uniunii Europene</w:t>
      </w:r>
      <w:r w:rsidRPr="00F723B0">
        <w:rPr>
          <w:noProof/>
        </w:rPr>
        <w:t>, sunt autentice.</w:t>
      </w:r>
    </w:p>
    <w:p w14:paraId="51D8AA8A" w14:textId="77777777" w:rsidR="000C6101" w:rsidRPr="00F723B0" w:rsidRDefault="000C6101" w:rsidP="000C6101">
      <w:pPr>
        <w:pStyle w:val="Articleheading"/>
        <w:rPr>
          <w:noProof/>
        </w:rPr>
      </w:pPr>
      <w:r w:rsidRPr="00F723B0">
        <w:rPr>
          <w:noProof/>
        </w:rPr>
        <w:t>Articolul 3</w:t>
      </w:r>
    </w:p>
    <w:p w14:paraId="001356DD" w14:textId="1D0684E2" w:rsidR="000C6101" w:rsidRPr="00F723B0" w:rsidRDefault="000C6101" w:rsidP="000C6101">
      <w:pPr>
        <w:pStyle w:val="Articletext"/>
        <w:rPr>
          <w:noProof/>
        </w:rPr>
      </w:pPr>
      <w:r w:rsidRPr="00F723B0">
        <w:rPr>
          <w:noProof/>
        </w:rPr>
        <w:t xml:space="preserve">Prezenta decizie intră în vigoare la </w:t>
      </w:r>
      <w:r w:rsidRPr="00F723B0">
        <w:rPr>
          <w:rStyle w:val="Marker"/>
          <w:noProof/>
        </w:rPr>
        <w:t>[…]</w:t>
      </w:r>
      <w:r w:rsidRPr="00F723B0">
        <w:rPr>
          <w:noProof/>
        </w:rPr>
        <w:t>, cu condiția să se fi efectuat toate notificările prevăzute la articolul 103 alineatul (1) din Acordul privind SEE</w:t>
      </w:r>
      <w:r w:rsidRPr="00182A82">
        <w:rPr>
          <w:rStyle w:val="FootnoteTextChar"/>
          <w:noProof/>
          <w:vertAlign w:val="superscript"/>
          <w:lang w:val="ro-RO"/>
        </w:rPr>
        <w:footnoteReference w:customMarkFollows="1" w:id="4"/>
        <w:t>*</w:t>
      </w:r>
      <w:r w:rsidRPr="00F723B0">
        <w:rPr>
          <w:noProof/>
        </w:rPr>
        <w:t xml:space="preserve">, sau la data intrării în vigoare a Deciziei nr. …/… a Comitetului mixt al SEE din </w:t>
      </w:r>
      <w:r w:rsidRPr="00F723B0">
        <w:rPr>
          <w:rStyle w:val="Marker"/>
          <w:noProof/>
        </w:rPr>
        <w:t>[…]</w:t>
      </w:r>
      <w:r w:rsidRPr="00F723B0">
        <w:rPr>
          <w:rStyle w:val="FootnoteReference"/>
          <w:noProof/>
          <w:color w:val="0000FF"/>
        </w:rPr>
        <w:footnoteReference w:id="5"/>
      </w:r>
      <w:r w:rsidRPr="00F723B0">
        <w:rPr>
          <w:noProof/>
        </w:rPr>
        <w:t xml:space="preserve"> [care încorporează în Acordul privind SEE Regulamentul (UE) 2019/2175)], dacă această dată este ulterioară.</w:t>
      </w:r>
    </w:p>
    <w:p w14:paraId="00F810E4" w14:textId="77777777" w:rsidR="000C6101" w:rsidRPr="00F723B0" w:rsidRDefault="000C6101" w:rsidP="000C6101">
      <w:pPr>
        <w:pStyle w:val="Articleheading"/>
        <w:rPr>
          <w:noProof/>
        </w:rPr>
      </w:pPr>
      <w:r w:rsidRPr="00F723B0">
        <w:rPr>
          <w:noProof/>
        </w:rPr>
        <w:t>Articolul 4</w:t>
      </w:r>
    </w:p>
    <w:p w14:paraId="47AC9B93" w14:textId="77777777" w:rsidR="000C6101" w:rsidRPr="00F723B0" w:rsidRDefault="000C6101" w:rsidP="000C6101">
      <w:pPr>
        <w:pStyle w:val="Articletext"/>
        <w:rPr>
          <w:noProof/>
        </w:rPr>
      </w:pPr>
      <w:r w:rsidRPr="00F723B0">
        <w:rPr>
          <w:noProof/>
        </w:rPr>
        <w:t xml:space="preserve">Prezenta decizie se publică în secțiunea SEE și în suplimentul SEE ale </w:t>
      </w:r>
      <w:r w:rsidRPr="00F723B0">
        <w:rPr>
          <w:i/>
          <w:noProof/>
        </w:rPr>
        <w:t>Jurnalului Oficial al Uniunii Europene</w:t>
      </w:r>
      <w:r w:rsidRPr="00F723B0">
        <w:rPr>
          <w:noProof/>
        </w:rPr>
        <w:t>.</w:t>
      </w:r>
    </w:p>
    <w:p w14:paraId="43D925FE" w14:textId="51E1D25C" w:rsidR="000C6101" w:rsidRPr="00F723B0" w:rsidRDefault="000C6101" w:rsidP="000C6101">
      <w:pPr>
        <w:rPr>
          <w:noProof/>
          <w:szCs w:val="24"/>
        </w:rPr>
      </w:pPr>
      <w:r w:rsidRPr="00F723B0">
        <w:rPr>
          <w:noProof/>
        </w:rPr>
        <w:t>Adoptată la Bruxelles,</w:t>
      </w:r>
    </w:p>
    <w:p w14:paraId="7C936A65" w14:textId="77777777" w:rsidR="000C6101" w:rsidRPr="00F723B0" w:rsidRDefault="000C6101" w:rsidP="000C6101">
      <w:pPr>
        <w:tabs>
          <w:tab w:val="left" w:pos="4253"/>
        </w:tabs>
        <w:spacing w:after="0"/>
        <w:rPr>
          <w:i/>
          <w:noProof/>
          <w:szCs w:val="24"/>
        </w:rPr>
      </w:pPr>
      <w:r w:rsidRPr="00F723B0">
        <w:rPr>
          <w:noProof/>
        </w:rPr>
        <w:tab/>
      </w:r>
      <w:r w:rsidRPr="00F723B0">
        <w:rPr>
          <w:i/>
          <w:noProof/>
        </w:rPr>
        <w:t>Pentru Comitetul mixt al SEE</w:t>
      </w:r>
    </w:p>
    <w:p w14:paraId="3E659ED3" w14:textId="77777777" w:rsidR="000C6101" w:rsidRPr="00F723B0" w:rsidRDefault="000C6101" w:rsidP="000C6101">
      <w:pPr>
        <w:tabs>
          <w:tab w:val="left" w:pos="4253"/>
        </w:tabs>
        <w:spacing w:after="0"/>
        <w:rPr>
          <w:i/>
          <w:noProof/>
          <w:szCs w:val="24"/>
        </w:rPr>
      </w:pPr>
      <w:r w:rsidRPr="00F723B0">
        <w:rPr>
          <w:noProof/>
        </w:rPr>
        <w:tab/>
      </w:r>
      <w:r w:rsidRPr="00F723B0">
        <w:rPr>
          <w:i/>
          <w:noProof/>
        </w:rPr>
        <w:t>Președintele</w:t>
      </w:r>
    </w:p>
    <w:p w14:paraId="5B8AE17D" w14:textId="4C556831" w:rsidR="000C6101" w:rsidRPr="00F723B0" w:rsidRDefault="000C6101" w:rsidP="000C6101">
      <w:pPr>
        <w:tabs>
          <w:tab w:val="left" w:pos="4253"/>
        </w:tabs>
        <w:spacing w:after="0"/>
        <w:rPr>
          <w:i/>
          <w:noProof/>
          <w:szCs w:val="24"/>
        </w:rPr>
      </w:pPr>
      <w:r w:rsidRPr="00F723B0">
        <w:rPr>
          <w:noProof/>
        </w:rPr>
        <w:tab/>
      </w:r>
    </w:p>
    <w:p w14:paraId="6B7C8C3F" w14:textId="77777777" w:rsidR="000C6101" w:rsidRPr="00F723B0" w:rsidRDefault="000C6101" w:rsidP="000C6101">
      <w:pPr>
        <w:pStyle w:val="ListParagraph"/>
        <w:tabs>
          <w:tab w:val="left" w:pos="4253"/>
        </w:tabs>
        <w:ind w:left="0"/>
        <w:rPr>
          <w:rFonts w:cs="Times New Roman"/>
          <w:i/>
          <w:noProof/>
          <w:sz w:val="24"/>
          <w:szCs w:val="24"/>
        </w:rPr>
      </w:pPr>
      <w:r w:rsidRPr="00F723B0">
        <w:rPr>
          <w:noProof/>
        </w:rPr>
        <w:tab/>
      </w:r>
      <w:r w:rsidRPr="00F723B0">
        <w:rPr>
          <w:i/>
          <w:noProof/>
          <w:sz w:val="24"/>
        </w:rPr>
        <w:t>Secretarii</w:t>
      </w:r>
    </w:p>
    <w:p w14:paraId="356595A6" w14:textId="3AC722FA" w:rsidR="000C6101" w:rsidRPr="00F723B0" w:rsidRDefault="000C6101" w:rsidP="00BE348F">
      <w:pPr>
        <w:pStyle w:val="ListParagraph"/>
        <w:tabs>
          <w:tab w:val="left" w:pos="4253"/>
        </w:tabs>
        <w:ind w:left="0"/>
        <w:rPr>
          <w:b/>
          <w:bCs/>
          <w:noProof/>
        </w:rPr>
      </w:pPr>
      <w:r w:rsidRPr="00F723B0">
        <w:rPr>
          <w:noProof/>
        </w:rPr>
        <w:tab/>
      </w:r>
      <w:r w:rsidRPr="00F723B0">
        <w:rPr>
          <w:i/>
          <w:noProof/>
          <w:sz w:val="24"/>
        </w:rPr>
        <w:t>Comitetului mixt al SEE</w:t>
      </w:r>
    </w:p>
    <w:sectPr w:rsidR="000C6101" w:rsidRPr="00F723B0" w:rsidSect="005F3A9D">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FFEAB" w14:textId="77777777" w:rsidR="009C6CF0" w:rsidRDefault="009C6CF0" w:rsidP="00FA089C">
      <w:pPr>
        <w:spacing w:before="0" w:after="0"/>
      </w:pPr>
      <w:r>
        <w:separator/>
      </w:r>
    </w:p>
  </w:endnote>
  <w:endnote w:type="continuationSeparator" w:id="0">
    <w:p w14:paraId="6723DA0E" w14:textId="77777777" w:rsidR="009C6CF0" w:rsidRDefault="009C6CF0"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D09E0" w14:textId="6EC8F7D3" w:rsidR="005F3A9D" w:rsidRPr="005F3A9D" w:rsidRDefault="005F3A9D" w:rsidP="005F3A9D">
    <w:pPr>
      <w:pStyle w:val="Footer"/>
      <w:rPr>
        <w:rFonts w:ascii="Arial" w:hAnsi="Arial" w:cs="Arial"/>
        <w:b/>
        <w:sz w:val="48"/>
      </w:rPr>
    </w:pPr>
    <w:r w:rsidRPr="005F3A9D">
      <w:rPr>
        <w:rFonts w:ascii="Arial" w:hAnsi="Arial" w:cs="Arial"/>
        <w:b/>
        <w:sz w:val="48"/>
      </w:rPr>
      <w:t>RO</w:t>
    </w:r>
    <w:r w:rsidRPr="005F3A9D">
      <w:rPr>
        <w:rFonts w:ascii="Arial" w:hAnsi="Arial" w:cs="Arial"/>
        <w:b/>
        <w:sz w:val="48"/>
      </w:rPr>
      <w:tab/>
    </w:r>
    <w:r w:rsidRPr="005F3A9D">
      <w:rPr>
        <w:rFonts w:ascii="Arial" w:hAnsi="Arial" w:cs="Arial"/>
        <w:b/>
        <w:sz w:val="48"/>
      </w:rPr>
      <w:tab/>
    </w:r>
    <w:r w:rsidRPr="005F3A9D">
      <w:tab/>
    </w:r>
    <w:r w:rsidRPr="005F3A9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B106A" w14:textId="56A15265" w:rsidR="005F3A9D" w:rsidRPr="005F3A9D" w:rsidRDefault="005F3A9D" w:rsidP="005F3A9D">
    <w:pPr>
      <w:pStyle w:val="Footer"/>
      <w:rPr>
        <w:rFonts w:ascii="Arial" w:hAnsi="Arial" w:cs="Arial"/>
        <w:b/>
        <w:sz w:val="48"/>
      </w:rPr>
    </w:pPr>
    <w:r w:rsidRPr="005F3A9D">
      <w:rPr>
        <w:rFonts w:ascii="Arial" w:hAnsi="Arial" w:cs="Arial"/>
        <w:b/>
        <w:sz w:val="48"/>
      </w:rPr>
      <w:t>RO</w:t>
    </w:r>
    <w:r w:rsidRPr="005F3A9D">
      <w:rPr>
        <w:rFonts w:ascii="Arial" w:hAnsi="Arial" w:cs="Arial"/>
        <w:b/>
        <w:sz w:val="48"/>
      </w:rPr>
      <w:tab/>
    </w:r>
    <w:r w:rsidRPr="005F3A9D">
      <w:rPr>
        <w:rFonts w:ascii="Arial" w:hAnsi="Arial" w:cs="Arial"/>
        <w:b/>
        <w:sz w:val="48"/>
      </w:rPr>
      <w:tab/>
    </w:r>
    <w:r w:rsidRPr="005F3A9D">
      <w:tab/>
    </w:r>
    <w:r w:rsidRPr="005F3A9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72465" w14:textId="77777777" w:rsidR="005F3A9D" w:rsidRPr="005F3A9D" w:rsidRDefault="005F3A9D" w:rsidP="005F3A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ACB26" w14:textId="77777777" w:rsidR="005F3A9D" w:rsidRDefault="005F3A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9D04A" w14:textId="5E46A519" w:rsidR="005F3A9D" w:rsidRPr="005F3A9D" w:rsidRDefault="005F3A9D" w:rsidP="005F3A9D">
    <w:pPr>
      <w:pStyle w:val="Footer"/>
      <w:rPr>
        <w:rFonts w:ascii="Arial" w:hAnsi="Arial" w:cs="Arial"/>
        <w:b/>
        <w:sz w:val="48"/>
      </w:rPr>
    </w:pPr>
    <w:r w:rsidRPr="005F3A9D">
      <w:rPr>
        <w:rFonts w:ascii="Arial" w:hAnsi="Arial" w:cs="Arial"/>
        <w:b/>
        <w:sz w:val="48"/>
      </w:rPr>
      <w:t>RO</w:t>
    </w:r>
    <w:r w:rsidRPr="005F3A9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F3A9D">
      <w:tab/>
    </w:r>
    <w:r w:rsidRPr="005F3A9D">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F5317" w14:textId="77777777" w:rsidR="005F3A9D" w:rsidRDefault="005F3A9D" w:rsidP="005F3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2F413" w14:textId="77777777" w:rsidR="009C6CF0" w:rsidRDefault="009C6CF0" w:rsidP="00FA089C">
      <w:pPr>
        <w:spacing w:before="0" w:after="0"/>
      </w:pPr>
      <w:r>
        <w:separator/>
      </w:r>
    </w:p>
  </w:footnote>
  <w:footnote w:type="continuationSeparator" w:id="0">
    <w:p w14:paraId="556850E7" w14:textId="77777777" w:rsidR="009C6CF0" w:rsidRDefault="009C6CF0" w:rsidP="00FA089C">
      <w:pPr>
        <w:spacing w:before="0" w:after="0"/>
      </w:pPr>
      <w:r>
        <w:continuationSeparator/>
      </w:r>
    </w:p>
  </w:footnote>
  <w:footnote w:id="1">
    <w:p w14:paraId="36824185" w14:textId="60549B07" w:rsidR="000C6101" w:rsidRPr="00F602A2" w:rsidRDefault="000C6101" w:rsidP="000C6101">
      <w:pPr>
        <w:pStyle w:val="FootnoteText"/>
        <w:rPr>
          <w:color w:val="0000FF"/>
        </w:rPr>
      </w:pPr>
      <w:r>
        <w:rPr>
          <w:rStyle w:val="FootnoteReference"/>
        </w:rPr>
        <w:footnoteRef/>
      </w:r>
      <w:r>
        <w:tab/>
      </w:r>
      <w:bookmarkStart w:id="3" w:name="_Hlk221118777"/>
      <w:r>
        <w:t>JO L 145, 24.5.2022, p. 7.</w:t>
      </w:r>
      <w:bookmarkEnd w:id="3"/>
    </w:p>
  </w:footnote>
  <w:footnote w:id="2">
    <w:p w14:paraId="3E1864DB" w14:textId="0E10A694" w:rsidR="000C6101" w:rsidRPr="00E769B1" w:rsidRDefault="000C6101" w:rsidP="000C6101">
      <w:pPr>
        <w:pStyle w:val="FootnoteText"/>
      </w:pPr>
      <w:r>
        <w:rPr>
          <w:rStyle w:val="FootnoteReference"/>
        </w:rPr>
        <w:footnoteRef/>
      </w:r>
      <w:r>
        <w:tab/>
        <w:t>JO L 145, 24.5.2022, p. 14.</w:t>
      </w:r>
    </w:p>
  </w:footnote>
  <w:footnote w:id="3">
    <w:p w14:paraId="48E201B8" w14:textId="379E190D" w:rsidR="000C6101" w:rsidRPr="00F602A2" w:rsidRDefault="000C6101" w:rsidP="000C6101">
      <w:pPr>
        <w:pStyle w:val="FootnoteText"/>
      </w:pPr>
      <w:r>
        <w:rPr>
          <w:rStyle w:val="FootnoteReference"/>
        </w:rPr>
        <w:footnoteRef/>
      </w:r>
      <w:r>
        <w:tab/>
        <w:t xml:space="preserve">JO L, 2024/1705, 18.6.2024, ELI: </w:t>
      </w:r>
      <w:hyperlink r:id="rId1" w:history="1">
        <w:r>
          <w:rPr>
            <w:rStyle w:val="Hyperlink"/>
          </w:rPr>
          <w:t>http://data.europa.eu/eli/reg_del/2024/1705/oj</w:t>
        </w:r>
      </w:hyperlink>
      <w:r>
        <w:t xml:space="preserve"> </w:t>
      </w:r>
    </w:p>
  </w:footnote>
  <w:footnote w:id="4">
    <w:p w14:paraId="1E2491B8" w14:textId="7C2F122C" w:rsidR="00393085" w:rsidRPr="00393085" w:rsidRDefault="00393085">
      <w:pPr>
        <w:pStyle w:val="FootnoteText"/>
      </w:pPr>
      <w:r>
        <w:rPr>
          <w:rStyle w:val="FootnoteReference"/>
        </w:rPr>
        <w:t>*</w:t>
      </w:r>
      <w:r>
        <w:tab/>
        <w:t>[Nu au fost semnalate obligații constituționale.] [Au fost semnalate obligații constituționale.]</w:t>
      </w:r>
    </w:p>
  </w:footnote>
  <w:footnote w:id="5">
    <w:p w14:paraId="4E753492" w14:textId="0A758167" w:rsidR="000C6101" w:rsidRPr="0005593F" w:rsidRDefault="000C6101" w:rsidP="000C6101">
      <w:pPr>
        <w:pStyle w:val="FootnoteText"/>
      </w:pPr>
      <w:r>
        <w:rPr>
          <w:rStyle w:val="FootnoteReference"/>
        </w:rPr>
        <w:footnoteRef/>
      </w:r>
      <w:r>
        <w:tab/>
        <w:t xml:space="preserve">JO 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608D3" w14:textId="77777777" w:rsidR="005F3A9D" w:rsidRPr="005F3A9D" w:rsidRDefault="005F3A9D" w:rsidP="005F3A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C7D8D" w14:textId="77777777" w:rsidR="005F3A9D" w:rsidRPr="005F3A9D" w:rsidRDefault="005F3A9D" w:rsidP="005F3A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6C096" w14:textId="77777777" w:rsidR="005F3A9D" w:rsidRPr="005F3A9D" w:rsidRDefault="005F3A9D" w:rsidP="005F3A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08093" w14:textId="77777777" w:rsidR="005F3A9D" w:rsidRDefault="005F3A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7CD2D" w14:textId="77777777" w:rsidR="005F3A9D" w:rsidRDefault="005F3A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8343C">
      <w:start w:val="1"/>
      <w:numFmt w:val="lowerLetter"/>
      <w:lvlText w:val="%2."/>
      <w:lvlJc w:val="left"/>
      <w:pPr>
        <w:tabs>
          <w:tab w:val="left" w:pos="4253"/>
        </w:tabs>
        <w:ind w:left="178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EC5040">
      <w:start w:val="1"/>
      <w:numFmt w:val="lowerRoman"/>
      <w:lvlText w:val="%3."/>
      <w:lvlJc w:val="left"/>
      <w:pPr>
        <w:tabs>
          <w:tab w:val="left" w:pos="4253"/>
        </w:tabs>
        <w:ind w:left="2509"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06782A">
      <w:start w:val="1"/>
      <w:numFmt w:val="decimal"/>
      <w:lvlText w:val="%4."/>
      <w:lvlJc w:val="left"/>
      <w:pPr>
        <w:tabs>
          <w:tab w:val="left" w:pos="4253"/>
        </w:tabs>
        <w:ind w:left="322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64606E">
      <w:start w:val="1"/>
      <w:numFmt w:val="lowerLetter"/>
      <w:lvlText w:val="%5."/>
      <w:lvlJc w:val="left"/>
      <w:pPr>
        <w:tabs>
          <w:tab w:val="left" w:pos="4253"/>
        </w:tabs>
        <w:ind w:left="394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2C608E">
      <w:start w:val="1"/>
      <w:numFmt w:val="lowerRoman"/>
      <w:lvlText w:val="%6."/>
      <w:lvlJc w:val="left"/>
      <w:pPr>
        <w:tabs>
          <w:tab w:val="left" w:pos="4253"/>
        </w:tabs>
        <w:ind w:left="4669"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140508">
      <w:start w:val="1"/>
      <w:numFmt w:val="decimal"/>
      <w:lvlText w:val="%7."/>
      <w:lvlJc w:val="left"/>
      <w:pPr>
        <w:tabs>
          <w:tab w:val="left" w:pos="4253"/>
        </w:tabs>
        <w:ind w:left="538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ECC0AC">
      <w:start w:val="1"/>
      <w:numFmt w:val="lowerLetter"/>
      <w:lvlText w:val="%8."/>
      <w:lvlJc w:val="left"/>
      <w:pPr>
        <w:tabs>
          <w:tab w:val="left" w:pos="4253"/>
        </w:tabs>
        <w:ind w:left="61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708CAC">
      <w:start w:val="1"/>
      <w:numFmt w:val="lowerRoman"/>
      <w:lvlText w:val="%9."/>
      <w:lvlJc w:val="left"/>
      <w:pPr>
        <w:tabs>
          <w:tab w:val="left" w:pos="4253"/>
        </w:tabs>
        <w:ind w:left="6829"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CCA95A">
      <w:start w:val="1"/>
      <w:numFmt w:val="lowerLetter"/>
      <w:lvlText w:val="%2."/>
      <w:lvlJc w:val="left"/>
      <w:pPr>
        <w:tabs>
          <w:tab w:val="left" w:pos="709"/>
        </w:tabs>
        <w:ind w:left="142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B44E02">
      <w:start w:val="1"/>
      <w:numFmt w:val="lowerRoman"/>
      <w:lvlText w:val="%3."/>
      <w:lvlJc w:val="left"/>
      <w:pPr>
        <w:tabs>
          <w:tab w:val="left" w:pos="709"/>
        </w:tabs>
        <w:ind w:left="214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CA95AE">
      <w:start w:val="1"/>
      <w:numFmt w:val="decimal"/>
      <w:lvlText w:val="%4."/>
      <w:lvlJc w:val="left"/>
      <w:pPr>
        <w:tabs>
          <w:tab w:val="left" w:pos="709"/>
        </w:tabs>
        <w:ind w:left="286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E2A348">
      <w:start w:val="1"/>
      <w:numFmt w:val="lowerLetter"/>
      <w:lvlText w:val="%5."/>
      <w:lvlJc w:val="left"/>
      <w:pPr>
        <w:tabs>
          <w:tab w:val="left" w:pos="709"/>
        </w:tabs>
        <w:ind w:left="358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94ADAA">
      <w:start w:val="1"/>
      <w:numFmt w:val="lowerRoman"/>
      <w:lvlText w:val="%6."/>
      <w:lvlJc w:val="left"/>
      <w:pPr>
        <w:tabs>
          <w:tab w:val="left" w:pos="709"/>
        </w:tabs>
        <w:ind w:left="43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A3974">
      <w:start w:val="1"/>
      <w:numFmt w:val="decimal"/>
      <w:lvlText w:val="%7."/>
      <w:lvlJc w:val="left"/>
      <w:pPr>
        <w:tabs>
          <w:tab w:val="left" w:pos="709"/>
        </w:tabs>
        <w:ind w:left="502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8CF956">
      <w:start w:val="1"/>
      <w:numFmt w:val="lowerLetter"/>
      <w:lvlText w:val="%8."/>
      <w:lvlJc w:val="left"/>
      <w:pPr>
        <w:tabs>
          <w:tab w:val="left" w:pos="709"/>
        </w:tabs>
        <w:ind w:left="574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2A9D0A">
      <w:start w:val="1"/>
      <w:numFmt w:val="lowerRoman"/>
      <w:lvlText w:val="%9."/>
      <w:lvlJc w:val="left"/>
      <w:pPr>
        <w:tabs>
          <w:tab w:val="left" w:pos="709"/>
        </w:tabs>
        <w:ind w:left="646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2C7186">
      <w:start w:val="1"/>
      <w:numFmt w:val="lowerLetter"/>
      <w:lvlText w:val="%2."/>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BAE3022">
      <w:start w:val="1"/>
      <w:numFmt w:val="lowerRoman"/>
      <w:lvlText w:val="%3."/>
      <w:lvlJc w:val="left"/>
      <w:pPr>
        <w:ind w:left="21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756AE04">
      <w:start w:val="1"/>
      <w:numFmt w:val="decimal"/>
      <w:lvlText w:val="%4."/>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103FAA">
      <w:start w:val="1"/>
      <w:numFmt w:val="lowerLetter"/>
      <w:lvlText w:val="%5."/>
      <w:lvlJc w:val="left"/>
      <w:pPr>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15E06E4">
      <w:start w:val="1"/>
      <w:numFmt w:val="lowerRoman"/>
      <w:lvlText w:val="%6."/>
      <w:lvlJc w:val="left"/>
      <w:pPr>
        <w:ind w:left="432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421980">
      <w:start w:val="1"/>
      <w:numFmt w:val="decimal"/>
      <w:lvlText w:val="%7."/>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2CE9B8">
      <w:start w:val="1"/>
      <w:numFmt w:val="lowerLetter"/>
      <w:lvlText w:val="%8."/>
      <w:lvlJc w:val="left"/>
      <w:pPr>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3EA410">
      <w:start w:val="1"/>
      <w:numFmt w:val="lowerRoman"/>
      <w:lvlText w:val="%9."/>
      <w:lvlJc w:val="left"/>
      <w:pPr>
        <w:ind w:left="648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24 09:43: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04293D38-FC87-44B9-8240-015AB57DB9E8"/>
    <w:docVar w:name="LW_COVERPAGE_TYPE" w:val="1"/>
    <w:docVar w:name="LW_CROSSREFERENCE" w:val="&lt;UNUSED&gt;"/>
    <w:docVar w:name="LW_DocType" w:val="ANNEX"/>
    <w:docVar w:name="LW_EMISSION" w:val="31.3.2026"/>
    <w:docVar w:name="LW_EMISSION_ISODATE" w:val="2026-03-31"/>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luat\u259? în numele Uniunii Europene în cadrul Comitetului mixt al SEE referitor la o modificare a anexei IX (Servicii financiare) la Acordul privind SEE _x000d__x000d__x000d__x000d__x000b__x000d__x000d__x000d__x000d__x000d__x000d__x000d__x000d__x000b_(Supravegherea de c\u259?tre ESMA a anumitor administratori de indici de referin\u539?\u259?)"/>
    <w:docVar w:name="LW_OBJETACTEPRINCIPAL.CP" w:val="privind pozi\u539?ia care urmeaz\u259? s\u259? fie luat\u259? în numele Uniunii Europene în cadrul Comitetului mixt al SEE referitor la o modificare a anexei IX (Servicii financiare) la Acordul privind SEE _x000d__x000d__x000d__x000d__x000b__x000d__x000d__x000d__x000d__x000d__x000d__x000d__x000d__x000b_(Supravegherea de c\u259?tre ESMA a anumitor administratori de indici de referin\u539?\u259?)"/>
    <w:docVar w:name="LW_PART_NBR" w:val="1"/>
    <w:docVar w:name="LW_PART_NBR_TOTAL" w:val="1"/>
    <w:docVar w:name="LW_REF.INST.NEW" w:val="COM"/>
    <w:docVar w:name="LW_REF.INST.NEW_ADOPTED" w:val="final"/>
    <w:docVar w:name="LW_REF.INST.NEW_TEXT" w:val="(2026) 1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_x000b_DECIZIE A CONSILIULUI"/>
    <w:docVar w:name="LW_TYPEACTEPRINCIPAL.CP" w:val="Propunerea de_x000b__x000b_DECIZIE A CONSILIULUI"/>
    <w:docVar w:name="LwApiVersions" w:val="LW4CoDe 1.24.5.0; LW 9.2, Build 20251112"/>
  </w:docVars>
  <w:rsids>
    <w:rsidRoot w:val="00FA089C"/>
    <w:rsid w:val="00004945"/>
    <w:rsid w:val="00034722"/>
    <w:rsid w:val="00043C0E"/>
    <w:rsid w:val="000440A0"/>
    <w:rsid w:val="0005237D"/>
    <w:rsid w:val="00061BBD"/>
    <w:rsid w:val="000718AF"/>
    <w:rsid w:val="000A5837"/>
    <w:rsid w:val="000A750C"/>
    <w:rsid w:val="000C6101"/>
    <w:rsid w:val="000D1DF3"/>
    <w:rsid w:val="000D7DE7"/>
    <w:rsid w:val="000E198E"/>
    <w:rsid w:val="000F3476"/>
    <w:rsid w:val="0012048A"/>
    <w:rsid w:val="00151EBB"/>
    <w:rsid w:val="001523F2"/>
    <w:rsid w:val="00162337"/>
    <w:rsid w:val="00166549"/>
    <w:rsid w:val="00174CB4"/>
    <w:rsid w:val="001770F8"/>
    <w:rsid w:val="0018198C"/>
    <w:rsid w:val="00182A82"/>
    <w:rsid w:val="00185721"/>
    <w:rsid w:val="00192B5B"/>
    <w:rsid w:val="001B0CB7"/>
    <w:rsid w:val="001C2816"/>
    <w:rsid w:val="001D6F25"/>
    <w:rsid w:val="001F3797"/>
    <w:rsid w:val="00205A76"/>
    <w:rsid w:val="00216D1E"/>
    <w:rsid w:val="002178C1"/>
    <w:rsid w:val="002250A2"/>
    <w:rsid w:val="00226AF4"/>
    <w:rsid w:val="0023035F"/>
    <w:rsid w:val="00237618"/>
    <w:rsid w:val="00253922"/>
    <w:rsid w:val="00253DEE"/>
    <w:rsid w:val="0026409E"/>
    <w:rsid w:val="00274B06"/>
    <w:rsid w:val="00281B4E"/>
    <w:rsid w:val="00285931"/>
    <w:rsid w:val="00285ECB"/>
    <w:rsid w:val="002A5D93"/>
    <w:rsid w:val="002A6D31"/>
    <w:rsid w:val="002B2291"/>
    <w:rsid w:val="002D09B7"/>
    <w:rsid w:val="002D3DFC"/>
    <w:rsid w:val="002D503E"/>
    <w:rsid w:val="002D6B9E"/>
    <w:rsid w:val="002F2559"/>
    <w:rsid w:val="002F61FE"/>
    <w:rsid w:val="00304734"/>
    <w:rsid w:val="003150A2"/>
    <w:rsid w:val="00320A4E"/>
    <w:rsid w:val="0032512C"/>
    <w:rsid w:val="00327C3C"/>
    <w:rsid w:val="003362B3"/>
    <w:rsid w:val="0034471F"/>
    <w:rsid w:val="00346676"/>
    <w:rsid w:val="003708B4"/>
    <w:rsid w:val="00373143"/>
    <w:rsid w:val="003747BA"/>
    <w:rsid w:val="00393085"/>
    <w:rsid w:val="0039758C"/>
    <w:rsid w:val="003C26BC"/>
    <w:rsid w:val="003C5246"/>
    <w:rsid w:val="003D3F23"/>
    <w:rsid w:val="003D4A66"/>
    <w:rsid w:val="003E089B"/>
    <w:rsid w:val="003E52B4"/>
    <w:rsid w:val="003F0E54"/>
    <w:rsid w:val="0040508A"/>
    <w:rsid w:val="00407DF3"/>
    <w:rsid w:val="00415CCF"/>
    <w:rsid w:val="00415D30"/>
    <w:rsid w:val="00420E86"/>
    <w:rsid w:val="00432358"/>
    <w:rsid w:val="004367A8"/>
    <w:rsid w:val="004369FD"/>
    <w:rsid w:val="0043791E"/>
    <w:rsid w:val="004440DE"/>
    <w:rsid w:val="00444DA3"/>
    <w:rsid w:val="004476AE"/>
    <w:rsid w:val="00455DDA"/>
    <w:rsid w:val="00476C87"/>
    <w:rsid w:val="00484058"/>
    <w:rsid w:val="00487AEE"/>
    <w:rsid w:val="00492406"/>
    <w:rsid w:val="004B6B6C"/>
    <w:rsid w:val="004C146F"/>
    <w:rsid w:val="004C4E73"/>
    <w:rsid w:val="00500040"/>
    <w:rsid w:val="005012ED"/>
    <w:rsid w:val="005073C1"/>
    <w:rsid w:val="00514BB9"/>
    <w:rsid w:val="005210EF"/>
    <w:rsid w:val="00554EF2"/>
    <w:rsid w:val="005845A6"/>
    <w:rsid w:val="00585AD4"/>
    <w:rsid w:val="00586E26"/>
    <w:rsid w:val="00587970"/>
    <w:rsid w:val="0059469B"/>
    <w:rsid w:val="005C6C6D"/>
    <w:rsid w:val="005E5466"/>
    <w:rsid w:val="005E7F03"/>
    <w:rsid w:val="005F2D25"/>
    <w:rsid w:val="005F3A9D"/>
    <w:rsid w:val="005F59E6"/>
    <w:rsid w:val="00600B99"/>
    <w:rsid w:val="006136E3"/>
    <w:rsid w:val="006153CF"/>
    <w:rsid w:val="0064299C"/>
    <w:rsid w:val="00650281"/>
    <w:rsid w:val="006531D7"/>
    <w:rsid w:val="00655FE8"/>
    <w:rsid w:val="00660AAE"/>
    <w:rsid w:val="0067153F"/>
    <w:rsid w:val="00674B13"/>
    <w:rsid w:val="00675FD8"/>
    <w:rsid w:val="00676859"/>
    <w:rsid w:val="006812A7"/>
    <w:rsid w:val="006821CD"/>
    <w:rsid w:val="006C59B2"/>
    <w:rsid w:val="006E054A"/>
    <w:rsid w:val="006E255E"/>
    <w:rsid w:val="006E2DEE"/>
    <w:rsid w:val="006F5B5D"/>
    <w:rsid w:val="00723E1D"/>
    <w:rsid w:val="00731592"/>
    <w:rsid w:val="0074044B"/>
    <w:rsid w:val="00743C8C"/>
    <w:rsid w:val="007523E0"/>
    <w:rsid w:val="00761D40"/>
    <w:rsid w:val="0076759F"/>
    <w:rsid w:val="00780782"/>
    <w:rsid w:val="00784633"/>
    <w:rsid w:val="00784996"/>
    <w:rsid w:val="007921C7"/>
    <w:rsid w:val="0079234E"/>
    <w:rsid w:val="007B0283"/>
    <w:rsid w:val="007C0466"/>
    <w:rsid w:val="007D1BE6"/>
    <w:rsid w:val="007D7772"/>
    <w:rsid w:val="007E131B"/>
    <w:rsid w:val="00810E27"/>
    <w:rsid w:val="00825ABD"/>
    <w:rsid w:val="00826EE6"/>
    <w:rsid w:val="00827826"/>
    <w:rsid w:val="0083500B"/>
    <w:rsid w:val="00846049"/>
    <w:rsid w:val="008612AB"/>
    <w:rsid w:val="00867895"/>
    <w:rsid w:val="00895922"/>
    <w:rsid w:val="008A1F01"/>
    <w:rsid w:val="008B59CF"/>
    <w:rsid w:val="008C10B3"/>
    <w:rsid w:val="008D592C"/>
    <w:rsid w:val="00904407"/>
    <w:rsid w:val="0090517E"/>
    <w:rsid w:val="00911FAB"/>
    <w:rsid w:val="00913A49"/>
    <w:rsid w:val="00952E0F"/>
    <w:rsid w:val="00963E79"/>
    <w:rsid w:val="009671EB"/>
    <w:rsid w:val="00974C60"/>
    <w:rsid w:val="00986A1B"/>
    <w:rsid w:val="00986B33"/>
    <w:rsid w:val="00987AD5"/>
    <w:rsid w:val="00992578"/>
    <w:rsid w:val="00993172"/>
    <w:rsid w:val="009949CB"/>
    <w:rsid w:val="009B6C74"/>
    <w:rsid w:val="009C6CF0"/>
    <w:rsid w:val="009D6B57"/>
    <w:rsid w:val="009E2FFE"/>
    <w:rsid w:val="009F0A00"/>
    <w:rsid w:val="009F5467"/>
    <w:rsid w:val="00A00591"/>
    <w:rsid w:val="00A11DAA"/>
    <w:rsid w:val="00A145EF"/>
    <w:rsid w:val="00A1518E"/>
    <w:rsid w:val="00A164EF"/>
    <w:rsid w:val="00A255F3"/>
    <w:rsid w:val="00A34065"/>
    <w:rsid w:val="00A44E76"/>
    <w:rsid w:val="00A52F7E"/>
    <w:rsid w:val="00A5615D"/>
    <w:rsid w:val="00A709B5"/>
    <w:rsid w:val="00A71FC6"/>
    <w:rsid w:val="00A93C8A"/>
    <w:rsid w:val="00A973C9"/>
    <w:rsid w:val="00AA31D7"/>
    <w:rsid w:val="00AA4F4F"/>
    <w:rsid w:val="00AA5A82"/>
    <w:rsid w:val="00AB5065"/>
    <w:rsid w:val="00AC2128"/>
    <w:rsid w:val="00AD6253"/>
    <w:rsid w:val="00AE321D"/>
    <w:rsid w:val="00AF1D31"/>
    <w:rsid w:val="00B00191"/>
    <w:rsid w:val="00B04B68"/>
    <w:rsid w:val="00B05913"/>
    <w:rsid w:val="00B0658F"/>
    <w:rsid w:val="00B12548"/>
    <w:rsid w:val="00B14D97"/>
    <w:rsid w:val="00B42901"/>
    <w:rsid w:val="00B453C7"/>
    <w:rsid w:val="00B45548"/>
    <w:rsid w:val="00B63131"/>
    <w:rsid w:val="00B704E9"/>
    <w:rsid w:val="00B711EC"/>
    <w:rsid w:val="00B821A9"/>
    <w:rsid w:val="00B856AB"/>
    <w:rsid w:val="00B90126"/>
    <w:rsid w:val="00BB0CF3"/>
    <w:rsid w:val="00BB37E9"/>
    <w:rsid w:val="00BC2EB6"/>
    <w:rsid w:val="00BE348F"/>
    <w:rsid w:val="00BE36A8"/>
    <w:rsid w:val="00BF17AA"/>
    <w:rsid w:val="00BF5C8E"/>
    <w:rsid w:val="00C13F21"/>
    <w:rsid w:val="00C16078"/>
    <w:rsid w:val="00C24294"/>
    <w:rsid w:val="00C24556"/>
    <w:rsid w:val="00C362A9"/>
    <w:rsid w:val="00C412C1"/>
    <w:rsid w:val="00C445CB"/>
    <w:rsid w:val="00C45E25"/>
    <w:rsid w:val="00C5255D"/>
    <w:rsid w:val="00C55C9C"/>
    <w:rsid w:val="00C61C6D"/>
    <w:rsid w:val="00C66DA6"/>
    <w:rsid w:val="00C67923"/>
    <w:rsid w:val="00C8369D"/>
    <w:rsid w:val="00C91E25"/>
    <w:rsid w:val="00CA22FA"/>
    <w:rsid w:val="00CA6568"/>
    <w:rsid w:val="00CC1DC5"/>
    <w:rsid w:val="00CD0841"/>
    <w:rsid w:val="00CD0991"/>
    <w:rsid w:val="00CF0F74"/>
    <w:rsid w:val="00CF4F2E"/>
    <w:rsid w:val="00CF7406"/>
    <w:rsid w:val="00D00A77"/>
    <w:rsid w:val="00D05904"/>
    <w:rsid w:val="00D10AAB"/>
    <w:rsid w:val="00D13372"/>
    <w:rsid w:val="00D268A2"/>
    <w:rsid w:val="00D34984"/>
    <w:rsid w:val="00D37D5B"/>
    <w:rsid w:val="00D522A1"/>
    <w:rsid w:val="00D66FC7"/>
    <w:rsid w:val="00D67161"/>
    <w:rsid w:val="00D7412A"/>
    <w:rsid w:val="00D801B5"/>
    <w:rsid w:val="00D86DB6"/>
    <w:rsid w:val="00D9176D"/>
    <w:rsid w:val="00D93043"/>
    <w:rsid w:val="00DA468A"/>
    <w:rsid w:val="00DC606D"/>
    <w:rsid w:val="00DD0C15"/>
    <w:rsid w:val="00DD0E51"/>
    <w:rsid w:val="00DD2AB7"/>
    <w:rsid w:val="00DE31A9"/>
    <w:rsid w:val="00DF0D83"/>
    <w:rsid w:val="00E10491"/>
    <w:rsid w:val="00E14500"/>
    <w:rsid w:val="00E173F5"/>
    <w:rsid w:val="00E36F75"/>
    <w:rsid w:val="00E420DD"/>
    <w:rsid w:val="00E70A69"/>
    <w:rsid w:val="00E7115E"/>
    <w:rsid w:val="00E871BC"/>
    <w:rsid w:val="00EA4908"/>
    <w:rsid w:val="00EA5CCE"/>
    <w:rsid w:val="00EA77A9"/>
    <w:rsid w:val="00EB1DD2"/>
    <w:rsid w:val="00EB2E2D"/>
    <w:rsid w:val="00EC53A0"/>
    <w:rsid w:val="00EE0A65"/>
    <w:rsid w:val="00EE2ABC"/>
    <w:rsid w:val="00EE2B3C"/>
    <w:rsid w:val="00EF3FF8"/>
    <w:rsid w:val="00EF56ED"/>
    <w:rsid w:val="00F00E4B"/>
    <w:rsid w:val="00F016EA"/>
    <w:rsid w:val="00F310E2"/>
    <w:rsid w:val="00F34A2B"/>
    <w:rsid w:val="00F42A5D"/>
    <w:rsid w:val="00F44453"/>
    <w:rsid w:val="00F53391"/>
    <w:rsid w:val="00F55A9F"/>
    <w:rsid w:val="00F57F03"/>
    <w:rsid w:val="00F614F4"/>
    <w:rsid w:val="00F61AD5"/>
    <w:rsid w:val="00F723B0"/>
    <w:rsid w:val="00F77FED"/>
    <w:rsid w:val="00F81D15"/>
    <w:rsid w:val="00F81EBC"/>
    <w:rsid w:val="00F83C6A"/>
    <w:rsid w:val="00FA0533"/>
    <w:rsid w:val="00FA089C"/>
    <w:rsid w:val="00FB471D"/>
    <w:rsid w:val="00FD16AA"/>
    <w:rsid w:val="00FD1983"/>
    <w:rsid w:val="00FE16A2"/>
    <w:rsid w:val="00FE66CD"/>
    <w:rsid w:val="00FF0A12"/>
    <w:rsid w:val="00FF7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3E9C78A"/>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ro-RO"/>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ro-RO"/>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ro-RO"/>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unhideWhenUsed/>
    <w:rsid w:val="00C5255D"/>
    <w:rPr>
      <w:sz w:val="20"/>
      <w:szCs w:val="20"/>
    </w:rPr>
  </w:style>
  <w:style w:type="character" w:customStyle="1" w:styleId="CommentTextChar">
    <w:name w:val="Comment Text Char"/>
    <w:basedOn w:val="DefaultParagraphFont"/>
    <w:link w:val="CommentText"/>
    <w:uiPriority w:val="99"/>
    <w:rsid w:val="00C5255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ro-RO"/>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paragraph" w:customStyle="1" w:styleId="Point4b">
    <w:name w:val="Point 4b"/>
    <w:basedOn w:val="Normal"/>
    <w:qFormat/>
    <w:rsid w:val="000C6101"/>
    <w:pPr>
      <w:tabs>
        <w:tab w:val="left" w:pos="1453"/>
      </w:tabs>
      <w:ind w:left="2552"/>
      <w:jc w:val="left"/>
    </w:pPr>
    <w:rPr>
      <w:rFonts w:cstheme="minorBidi"/>
      <w:szCs w:val="20"/>
    </w:rPr>
  </w:style>
  <w:style w:type="character" w:customStyle="1" w:styleId="UnresolvedMention">
    <w:name w:val="Unresolved Mention"/>
    <w:basedOn w:val="DefaultParagraphFont"/>
    <w:uiPriority w:val="99"/>
    <w:semiHidden/>
    <w:unhideWhenUsed/>
    <w:rsid w:val="00D00A77"/>
    <w:rPr>
      <w:color w:val="605E5C"/>
      <w:shd w:val="clear" w:color="auto" w:fill="E1DFDD"/>
    </w:rPr>
  </w:style>
  <w:style w:type="character" w:customStyle="1" w:styleId="HeaderChar">
    <w:name w:val="Header Char"/>
    <w:basedOn w:val="DefaultParagraphFont"/>
    <w:link w:val="Header"/>
    <w:uiPriority w:val="99"/>
    <w:rsid w:val="005F3A9D"/>
    <w:rPr>
      <w:rFonts w:ascii="Times New Roman" w:hAnsi="Times New Roman" w:cs="Times New Roman"/>
      <w:sz w:val="24"/>
      <w:lang w:val="ro-RO"/>
    </w:rPr>
  </w:style>
  <w:style w:type="character" w:customStyle="1" w:styleId="FooterChar">
    <w:name w:val="Footer Char"/>
    <w:basedOn w:val="DefaultParagraphFont"/>
    <w:link w:val="Footer"/>
    <w:uiPriority w:val="99"/>
    <w:rsid w:val="005F3A9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F3A9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F3A9D"/>
    <w:pPr>
      <w:spacing w:before="0"/>
      <w:jc w:val="right"/>
    </w:pPr>
    <w:rPr>
      <w:sz w:val="28"/>
    </w:rPr>
  </w:style>
  <w:style w:type="paragraph" w:customStyle="1" w:styleId="FooterSensitivity">
    <w:name w:val="Footer Sensitivity"/>
    <w:basedOn w:val="Normal"/>
    <w:rsid w:val="005F3A9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5F3A9D"/>
    <w:pPr>
      <w:tabs>
        <w:tab w:val="center" w:pos="4535"/>
        <w:tab w:val="right" w:pos="9071"/>
      </w:tabs>
      <w:spacing w:before="0"/>
    </w:pPr>
  </w:style>
  <w:style w:type="paragraph" w:customStyle="1" w:styleId="HeaderLandscape">
    <w:name w:val="HeaderLandscape"/>
    <w:basedOn w:val="Normal"/>
    <w:rsid w:val="005F3A9D"/>
    <w:pPr>
      <w:tabs>
        <w:tab w:val="center" w:pos="7285"/>
        <w:tab w:val="right" w:pos="14003"/>
      </w:tabs>
      <w:spacing w:before="0"/>
    </w:pPr>
  </w:style>
  <w:style w:type="paragraph" w:styleId="Footer">
    <w:name w:val="footer"/>
    <w:basedOn w:val="Normal"/>
    <w:link w:val="FooterChar"/>
    <w:uiPriority w:val="99"/>
    <w:unhideWhenUsed/>
    <w:rsid w:val="005F3A9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F3A9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del/2024/17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0D3BE-4E7E-477A-8851-F40D85437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13</TotalTime>
  <Pages>7</Pages>
  <Words>1858</Words>
  <Characters>10593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2026-03-13T16:27:00Z</dcterms:created>
  <dcterms:modified xsi:type="dcterms:W3CDTF">2026-03-24T08:43:00Z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