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14D" w:rsidRPr="00AC781E" w:rsidRDefault="00185F1C" w:rsidP="00185F1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3908EB-4ADA-40BA-9EC0-B2055F688F26" style="width:455.25pt;height:357.75pt">
            <v:imagedata r:id="rId11" o:title=""/>
          </v:shape>
        </w:pict>
      </w:r>
    </w:p>
    <w:p w:rsidR="007C059A" w:rsidRDefault="007C059A" w:rsidP="007C059A">
      <w:pPr>
        <w:rPr>
          <w:noProof/>
        </w:rPr>
        <w:sectPr w:rsidR="007C059A" w:rsidSect="00185F1C">
          <w:footerReference w:type="even" r:id="rId12"/>
          <w:footerReference w:type="default" r:id="rId13"/>
          <w:pgSz w:w="11907" w:h="16839"/>
          <w:pgMar w:top="1134" w:right="1417" w:bottom="1134" w:left="1417" w:header="709" w:footer="709" w:gutter="0"/>
          <w:pgNumType w:start="0"/>
          <w:cols w:space="720"/>
          <w:docGrid w:linePitch="360"/>
        </w:sectPr>
      </w:pPr>
    </w:p>
    <w:p w:rsidR="00DE314D" w:rsidRPr="00AC781E" w:rsidRDefault="00DE314D">
      <w:pPr>
        <w:pStyle w:val="Exposdesmotifstitre"/>
        <w:rPr>
          <w:noProof/>
        </w:rPr>
      </w:pPr>
      <w:bookmarkStart w:id="0" w:name="_GoBack"/>
      <w:bookmarkEnd w:id="0"/>
      <w:r w:rsidRPr="00AC781E">
        <w:rPr>
          <w:noProof/>
        </w:rPr>
        <w:lastRenderedPageBreak/>
        <w:t>EXPLANATORY MEMORANDUM</w:t>
      </w:r>
    </w:p>
    <w:p w:rsidR="007E4877" w:rsidRPr="00DD14F4" w:rsidRDefault="007E4877" w:rsidP="007E4877">
      <w:pPr>
        <w:widowControl w:val="0"/>
        <w:shd w:val="clear" w:color="auto" w:fill="FFFFFF" w:themeFill="background1"/>
        <w:spacing w:before="230" w:after="0" w:line="269" w:lineRule="exact"/>
        <w:rPr>
          <w:rFonts w:eastAsia="Arial Unicode MS"/>
          <w:noProof/>
        </w:rPr>
      </w:pPr>
      <w:r>
        <w:rPr>
          <w:rFonts w:eastAsia="Arial Unicode MS"/>
          <w:noProof/>
        </w:rPr>
        <w:t>T</w:t>
      </w:r>
      <w:r w:rsidRPr="00DD14F4">
        <w:rPr>
          <w:rFonts w:eastAsia="Arial Unicode MS"/>
          <w:noProof/>
        </w:rPr>
        <w:t>his proposal</w:t>
      </w:r>
      <w:r>
        <w:rPr>
          <w:rFonts w:eastAsia="Arial Unicode MS"/>
          <w:noProof/>
        </w:rPr>
        <w:t xml:space="preserve"> concerns the signing, on behalf of the Union,</w:t>
      </w:r>
      <w:r w:rsidRPr="00DD14F4" w:rsidDel="00497C40">
        <w:rPr>
          <w:rFonts w:eastAsia="Arial Unicode MS"/>
          <w:noProof/>
        </w:rPr>
        <w:t xml:space="preserve"> </w:t>
      </w:r>
      <w:r>
        <w:rPr>
          <w:rFonts w:eastAsia="Arial Unicode MS"/>
          <w:noProof/>
        </w:rPr>
        <w:t xml:space="preserve">of </w:t>
      </w:r>
      <w:r w:rsidRPr="00DD14F4">
        <w:rPr>
          <w:rFonts w:eastAsia="Arial Unicode MS"/>
          <w:noProof/>
        </w:rPr>
        <w:t xml:space="preserve">the </w:t>
      </w:r>
      <w:bookmarkStart w:id="1" w:name="_Hlk207988583"/>
      <w:r w:rsidRPr="00DD14F4">
        <w:rPr>
          <w:rFonts w:eastAsia="Arial Unicode MS"/>
          <w:noProof/>
        </w:rPr>
        <w:t xml:space="preserve">Enlarged Partial Agreement (EPA) on the Management Committee of the Special Tribunal for the Crime of Aggression against Ukraine </w:t>
      </w:r>
      <w:bookmarkEnd w:id="1"/>
      <w:r w:rsidRPr="00DD14F4">
        <w:rPr>
          <w:rFonts w:eastAsia="Arial Unicode MS"/>
          <w:noProof/>
        </w:rPr>
        <w:t xml:space="preserve">(“Special Tribunal”) </w:t>
      </w:r>
      <w:r>
        <w:rPr>
          <w:rFonts w:eastAsia="Arial Unicode MS"/>
          <w:noProof/>
        </w:rPr>
        <w:t>as a</w:t>
      </w:r>
      <w:r w:rsidRPr="00DD14F4">
        <w:rPr>
          <w:rFonts w:eastAsia="Arial Unicode MS"/>
          <w:noProof/>
        </w:rPr>
        <w:t xml:space="preserve"> </w:t>
      </w:r>
      <w:r>
        <w:rPr>
          <w:rFonts w:eastAsia="Arial Unicode MS"/>
          <w:noProof/>
        </w:rPr>
        <w:t>f</w:t>
      </w:r>
      <w:r w:rsidRPr="00DD14F4">
        <w:rPr>
          <w:rFonts w:eastAsia="Arial Unicode MS"/>
          <w:noProof/>
        </w:rPr>
        <w:t>ounding Member.</w:t>
      </w:r>
    </w:p>
    <w:p w:rsidR="00DE314D" w:rsidRPr="00C64AE8" w:rsidRDefault="00C64AE8" w:rsidP="00C64AE8">
      <w:pPr>
        <w:widowControl w:val="0"/>
        <w:shd w:val="clear" w:color="auto" w:fill="FFFFFF" w:themeFill="background1"/>
        <w:spacing w:before="230" w:after="0" w:line="269" w:lineRule="exact"/>
        <w:rPr>
          <w:b/>
          <w:bCs/>
          <w:noProof/>
        </w:rPr>
      </w:pPr>
      <w:r w:rsidRPr="00C64AE8">
        <w:rPr>
          <w:b/>
          <w:bCs/>
          <w:noProof/>
        </w:rPr>
        <w:t xml:space="preserve">1. </w:t>
      </w:r>
      <w:r w:rsidRPr="00C64AE8">
        <w:rPr>
          <w:b/>
          <w:bCs/>
          <w:noProof/>
        </w:rPr>
        <w:tab/>
      </w:r>
      <w:r w:rsidR="00DE314D" w:rsidRPr="00C64AE8">
        <w:rPr>
          <w:b/>
          <w:bCs/>
          <w:noProof/>
        </w:rPr>
        <w:t>CONTEXT OF THE PROPOSAL</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Reasons for and objectives of the proposal</w:t>
      </w:r>
    </w:p>
    <w:p w:rsidR="00F338E0" w:rsidRPr="00DD14F4" w:rsidRDefault="00C93DFB" w:rsidP="00853C97">
      <w:pPr>
        <w:rPr>
          <w:noProof/>
        </w:rPr>
      </w:pPr>
      <w:r w:rsidRPr="00C93DFB">
        <w:rPr>
          <w:noProof/>
        </w:rPr>
        <w:t xml:space="preserve">Since the outset of the Russian Federation’s military aggression against Ukraine in February 2022, the Union has consistently supported international </w:t>
      </w:r>
      <w:r w:rsidR="00285CA2">
        <w:rPr>
          <w:noProof/>
        </w:rPr>
        <w:t xml:space="preserve">and domestic </w:t>
      </w:r>
      <w:r w:rsidRPr="00C93DFB">
        <w:rPr>
          <w:noProof/>
        </w:rPr>
        <w:t xml:space="preserve">efforts to ensure full accountability for </w:t>
      </w:r>
      <w:r w:rsidR="00C568F2">
        <w:rPr>
          <w:noProof/>
        </w:rPr>
        <w:t xml:space="preserve">the most serious </w:t>
      </w:r>
      <w:r w:rsidRPr="00C93DFB">
        <w:rPr>
          <w:noProof/>
        </w:rPr>
        <w:t xml:space="preserve">crimes under international law committed in connection with </w:t>
      </w:r>
      <w:r w:rsidR="006A4698">
        <w:rPr>
          <w:noProof/>
        </w:rPr>
        <w:t>Russia’s war of aggression against Ukraine</w:t>
      </w:r>
      <w:r>
        <w:rPr>
          <w:noProof/>
        </w:rPr>
        <w:t>.</w:t>
      </w:r>
      <w:r w:rsidR="00B937D3">
        <w:rPr>
          <w:noProof/>
        </w:rPr>
        <w:t xml:space="preserve"> </w:t>
      </w:r>
    </w:p>
    <w:p w:rsidR="00F9779F" w:rsidRDefault="00834FE1" w:rsidP="00853C97">
      <w:pPr>
        <w:rPr>
          <w:noProof/>
          <w:lang w:val="en-IE"/>
        </w:rPr>
      </w:pPr>
      <w:r>
        <w:rPr>
          <w:noProof/>
          <w:lang w:val="en-IE"/>
        </w:rPr>
        <w:t>In its conclusions of 24 February 2022, t</w:t>
      </w:r>
      <w:r w:rsidR="00F9779F" w:rsidRPr="00DD14F4">
        <w:rPr>
          <w:noProof/>
          <w:lang w:val="en-IE"/>
        </w:rPr>
        <w:t xml:space="preserve">he </w:t>
      </w:r>
      <w:r w:rsidR="000C0565">
        <w:rPr>
          <w:noProof/>
          <w:lang w:val="en-IE"/>
        </w:rPr>
        <w:t>European Council</w:t>
      </w:r>
      <w:r w:rsidR="00C03AAF">
        <w:rPr>
          <w:noProof/>
          <w:lang w:val="en-IE"/>
        </w:rPr>
        <w:t xml:space="preserve"> </w:t>
      </w:r>
      <w:r w:rsidR="00F9779F" w:rsidRPr="00DD14F4">
        <w:rPr>
          <w:noProof/>
          <w:lang w:val="en-IE"/>
        </w:rPr>
        <w:t xml:space="preserve">condemned </w:t>
      </w:r>
      <w:r w:rsidR="000C0565">
        <w:rPr>
          <w:noProof/>
          <w:lang w:val="en-IE"/>
        </w:rPr>
        <w:t xml:space="preserve">in the strongest possible terms </w:t>
      </w:r>
      <w:r w:rsidR="00F9779F" w:rsidRPr="00DD14F4">
        <w:rPr>
          <w:noProof/>
          <w:lang w:val="en-IE"/>
        </w:rPr>
        <w:t>the Russian Federation</w:t>
      </w:r>
      <w:r w:rsidR="00F9779F">
        <w:rPr>
          <w:noProof/>
          <w:lang w:val="en-IE"/>
        </w:rPr>
        <w:t>’</w:t>
      </w:r>
      <w:r w:rsidR="00F9779F" w:rsidRPr="00DD14F4">
        <w:rPr>
          <w:noProof/>
          <w:lang w:val="en-IE"/>
        </w:rPr>
        <w:t xml:space="preserve">s </w:t>
      </w:r>
      <w:r w:rsidR="000C0565">
        <w:rPr>
          <w:noProof/>
          <w:lang w:val="en-IE"/>
        </w:rPr>
        <w:t xml:space="preserve">unprovoked and unjustified military aggression </w:t>
      </w:r>
      <w:r w:rsidR="00F9779F" w:rsidRPr="00DD14F4">
        <w:rPr>
          <w:noProof/>
          <w:lang w:val="en-IE"/>
        </w:rPr>
        <w:t xml:space="preserve">against Ukraine and </w:t>
      </w:r>
      <w:r w:rsidR="000C0565">
        <w:rPr>
          <w:noProof/>
          <w:lang w:val="en-IE"/>
        </w:rPr>
        <w:t>affirmed that Russia bears full responsibility for this act of aggression for which it will be held accountable</w:t>
      </w:r>
      <w:r w:rsidR="0025200A">
        <w:rPr>
          <w:rStyle w:val="FootnoteReference"/>
          <w:rFonts w:eastAsia="Times New Roman"/>
          <w:noProof/>
          <w:lang w:val="en-IE"/>
        </w:rPr>
        <w:footnoteReference w:id="2"/>
      </w:r>
      <w:r w:rsidR="000C0565">
        <w:rPr>
          <w:noProof/>
          <w:lang w:val="en-IE"/>
        </w:rPr>
        <w:t>.</w:t>
      </w:r>
    </w:p>
    <w:p w:rsidR="00F75A49" w:rsidRDefault="00EC272D" w:rsidP="000726D1">
      <w:pPr>
        <w:rPr>
          <w:noProof/>
        </w:rPr>
      </w:pPr>
      <w:r>
        <w:rPr>
          <w:noProof/>
        </w:rPr>
        <w:t>I</w:t>
      </w:r>
      <w:r w:rsidRPr="00DD14F4">
        <w:rPr>
          <w:noProof/>
        </w:rPr>
        <w:t>n Resolution A/RES/ES-11/1</w:t>
      </w:r>
      <w:r>
        <w:rPr>
          <w:noProof/>
        </w:rPr>
        <w:t xml:space="preserve"> of</w:t>
      </w:r>
      <w:r w:rsidR="05BA4AFB" w:rsidRPr="00DD14F4">
        <w:rPr>
          <w:noProof/>
        </w:rPr>
        <w:t xml:space="preserve"> 2 March 2022, the United Nations General Assembly  </w:t>
      </w:r>
      <w:r w:rsidR="00605DA8">
        <w:rPr>
          <w:noProof/>
        </w:rPr>
        <w:t>recognis</w:t>
      </w:r>
      <w:r w:rsidR="0046000A">
        <w:rPr>
          <w:noProof/>
        </w:rPr>
        <w:t>ed</w:t>
      </w:r>
      <w:r w:rsidR="00605DA8">
        <w:rPr>
          <w:noProof/>
        </w:rPr>
        <w:t xml:space="preserve"> that the military operations of the Russian Federation inside the sovereign territory of Ukraine were on a scale that the international community had not seen in Europe in decades, </w:t>
      </w:r>
      <w:r w:rsidR="05BA4AFB" w:rsidRPr="00DD14F4">
        <w:rPr>
          <w:noProof/>
        </w:rPr>
        <w:t>deplored in the strongest terms the aggression by the Russian Federation against Ukraine in violation of Article 2(4) of the Charter of the United Nations</w:t>
      </w:r>
      <w:r w:rsidR="251857B4" w:rsidRPr="00DD14F4">
        <w:rPr>
          <w:noProof/>
        </w:rPr>
        <w:t xml:space="preserve"> on the prohibition of the use of force and demanded that the Russian Federation immediately cease its use of force against Ukraine</w:t>
      </w:r>
      <w:r w:rsidR="0025200A">
        <w:rPr>
          <w:noProof/>
        </w:rPr>
        <w:t xml:space="preserve"> </w:t>
      </w:r>
      <w:r w:rsidR="000133BD">
        <w:rPr>
          <w:noProof/>
        </w:rPr>
        <w:t xml:space="preserve">and </w:t>
      </w:r>
      <w:r w:rsidR="000133BD" w:rsidRPr="000133BD">
        <w:rPr>
          <w:noProof/>
        </w:rPr>
        <w:t>immediately, completely and unconditionally withdraw all of its military forces from the territory of Ukraine</w:t>
      </w:r>
      <w:r w:rsidR="000133BD">
        <w:rPr>
          <w:noProof/>
        </w:rPr>
        <w:t xml:space="preserve"> </w:t>
      </w:r>
      <w:r w:rsidR="0025200A">
        <w:rPr>
          <w:noProof/>
        </w:rPr>
        <w:t>within its internationally recognized borders</w:t>
      </w:r>
      <w:r w:rsidR="00823115">
        <w:rPr>
          <w:rStyle w:val="FootnoteReference"/>
          <w:rFonts w:eastAsia="Times New Roman"/>
          <w:noProof/>
        </w:rPr>
        <w:footnoteReference w:id="3"/>
      </w:r>
      <w:r w:rsidR="251857B4" w:rsidRPr="00DD14F4">
        <w:rPr>
          <w:noProof/>
        </w:rPr>
        <w:t>.</w:t>
      </w:r>
    </w:p>
    <w:p w:rsidR="00BD6E20" w:rsidRDefault="00BD6E20" w:rsidP="00BD6E20">
      <w:pPr>
        <w:spacing w:before="240" w:after="240"/>
        <w:rPr>
          <w:rFonts w:eastAsia="Times New Roman"/>
          <w:noProof/>
          <w:szCs w:val="24"/>
        </w:rPr>
      </w:pPr>
      <w:r w:rsidRPr="000146FD">
        <w:rPr>
          <w:rFonts w:eastAsia="Times New Roman"/>
          <w:noProof/>
          <w:szCs w:val="24"/>
        </w:rPr>
        <w:t xml:space="preserve">On 1 and 2 March 2022, 39 States Parties to the Rome Statute of the </w:t>
      </w:r>
      <w:r>
        <w:rPr>
          <w:rFonts w:eastAsia="Times New Roman"/>
          <w:noProof/>
          <w:szCs w:val="24"/>
        </w:rPr>
        <w:t>I</w:t>
      </w:r>
      <w:r w:rsidR="00840096">
        <w:rPr>
          <w:rFonts w:eastAsia="Times New Roman"/>
          <w:noProof/>
          <w:szCs w:val="24"/>
        </w:rPr>
        <w:t xml:space="preserve">nternational </w:t>
      </w:r>
      <w:r>
        <w:rPr>
          <w:rFonts w:eastAsia="Times New Roman"/>
          <w:noProof/>
          <w:szCs w:val="24"/>
        </w:rPr>
        <w:t>C</w:t>
      </w:r>
      <w:r w:rsidR="00840096">
        <w:rPr>
          <w:rFonts w:eastAsia="Times New Roman"/>
          <w:noProof/>
          <w:szCs w:val="24"/>
        </w:rPr>
        <w:t xml:space="preserve">riminal </w:t>
      </w:r>
      <w:r>
        <w:rPr>
          <w:rFonts w:eastAsia="Times New Roman"/>
          <w:noProof/>
          <w:szCs w:val="24"/>
        </w:rPr>
        <w:t>C</w:t>
      </w:r>
      <w:r w:rsidR="00840096">
        <w:rPr>
          <w:rFonts w:eastAsia="Times New Roman"/>
          <w:noProof/>
          <w:szCs w:val="24"/>
        </w:rPr>
        <w:t>ourt (ICC)</w:t>
      </w:r>
      <w:r w:rsidRPr="000146FD">
        <w:rPr>
          <w:rFonts w:eastAsia="Times New Roman"/>
          <w:noProof/>
          <w:szCs w:val="24"/>
        </w:rPr>
        <w:t>, including all Member States of the European</w:t>
      </w:r>
      <w:r>
        <w:rPr>
          <w:rFonts w:eastAsia="Times New Roman"/>
          <w:noProof/>
          <w:szCs w:val="24"/>
        </w:rPr>
        <w:t xml:space="preserve"> </w:t>
      </w:r>
      <w:r w:rsidRPr="000146FD">
        <w:rPr>
          <w:rFonts w:eastAsia="Times New Roman"/>
          <w:noProof/>
          <w:szCs w:val="24"/>
        </w:rPr>
        <w:t xml:space="preserve">Union, made a referral to the </w:t>
      </w:r>
      <w:r>
        <w:rPr>
          <w:rFonts w:eastAsia="Times New Roman"/>
          <w:noProof/>
          <w:szCs w:val="24"/>
        </w:rPr>
        <w:t>ICC</w:t>
      </w:r>
      <w:r w:rsidRPr="000146FD">
        <w:rPr>
          <w:rFonts w:eastAsia="Times New Roman"/>
          <w:noProof/>
          <w:szCs w:val="24"/>
        </w:rPr>
        <w:t xml:space="preserve"> asking the Off</w:t>
      </w:r>
      <w:r>
        <w:rPr>
          <w:rFonts w:eastAsia="Times New Roman"/>
          <w:noProof/>
          <w:szCs w:val="24"/>
        </w:rPr>
        <w:t>ice</w:t>
      </w:r>
      <w:r w:rsidRPr="000146FD">
        <w:rPr>
          <w:rFonts w:eastAsia="Times New Roman"/>
          <w:noProof/>
          <w:szCs w:val="24"/>
        </w:rPr>
        <w:t xml:space="preserve"> of the Prosecuto</w:t>
      </w:r>
      <w:r>
        <w:rPr>
          <w:rFonts w:eastAsia="Times New Roman"/>
          <w:noProof/>
          <w:szCs w:val="24"/>
        </w:rPr>
        <w:t>r (OTP)</w:t>
      </w:r>
      <w:r w:rsidRPr="000146FD">
        <w:rPr>
          <w:rFonts w:eastAsia="Times New Roman"/>
          <w:noProof/>
          <w:szCs w:val="24"/>
        </w:rPr>
        <w:t xml:space="preserve"> to investigate the situation in Ukraine. On 2 March 2022, the </w:t>
      </w:r>
      <w:r>
        <w:rPr>
          <w:rFonts w:eastAsia="Times New Roman"/>
          <w:noProof/>
          <w:szCs w:val="24"/>
        </w:rPr>
        <w:t xml:space="preserve">OTP </w:t>
      </w:r>
      <w:r w:rsidRPr="000146FD">
        <w:rPr>
          <w:rFonts w:eastAsia="Times New Roman"/>
          <w:noProof/>
          <w:szCs w:val="24"/>
        </w:rPr>
        <w:t>announced</w:t>
      </w:r>
      <w:r>
        <w:rPr>
          <w:rFonts w:eastAsia="Times New Roman"/>
          <w:noProof/>
          <w:szCs w:val="24"/>
        </w:rPr>
        <w:t xml:space="preserve"> </w:t>
      </w:r>
      <w:r w:rsidRPr="000146FD">
        <w:rPr>
          <w:rFonts w:eastAsia="Times New Roman"/>
          <w:noProof/>
          <w:szCs w:val="24"/>
        </w:rPr>
        <w:t xml:space="preserve">that </w:t>
      </w:r>
      <w:r w:rsidR="0046000A">
        <w:rPr>
          <w:rFonts w:eastAsia="Times New Roman"/>
          <w:noProof/>
          <w:szCs w:val="24"/>
        </w:rPr>
        <w:t>it</w:t>
      </w:r>
      <w:r w:rsidR="0046000A" w:rsidRPr="000146FD">
        <w:rPr>
          <w:rFonts w:eastAsia="Times New Roman"/>
          <w:noProof/>
          <w:szCs w:val="24"/>
        </w:rPr>
        <w:t xml:space="preserve"> </w:t>
      </w:r>
      <w:r w:rsidRPr="000146FD">
        <w:rPr>
          <w:rFonts w:eastAsia="Times New Roman"/>
          <w:noProof/>
          <w:szCs w:val="24"/>
        </w:rPr>
        <w:t>had proceeded to open an investigation into the situation</w:t>
      </w:r>
      <w:r>
        <w:rPr>
          <w:rFonts w:eastAsia="Times New Roman"/>
          <w:noProof/>
          <w:szCs w:val="24"/>
        </w:rPr>
        <w:t xml:space="preserve"> </w:t>
      </w:r>
      <w:r w:rsidRPr="000146FD">
        <w:rPr>
          <w:rFonts w:eastAsia="Times New Roman"/>
          <w:noProof/>
          <w:szCs w:val="24"/>
        </w:rPr>
        <w:t>in Ukraine on the basis of the referrals received and on the finding that</w:t>
      </w:r>
      <w:r>
        <w:rPr>
          <w:rFonts w:eastAsia="Times New Roman"/>
          <w:noProof/>
          <w:szCs w:val="24"/>
        </w:rPr>
        <w:t xml:space="preserve"> </w:t>
      </w:r>
      <w:r w:rsidRPr="000146FD">
        <w:rPr>
          <w:rFonts w:eastAsia="Times New Roman"/>
          <w:noProof/>
          <w:szCs w:val="24"/>
        </w:rPr>
        <w:t>there is a reasonable basis to believe that crimes within the jurisdiction of</w:t>
      </w:r>
      <w:r>
        <w:rPr>
          <w:rFonts w:eastAsia="Times New Roman"/>
          <w:noProof/>
          <w:szCs w:val="24"/>
        </w:rPr>
        <w:t xml:space="preserve"> </w:t>
      </w:r>
      <w:r w:rsidRPr="000146FD">
        <w:rPr>
          <w:rFonts w:eastAsia="Times New Roman"/>
          <w:noProof/>
          <w:szCs w:val="24"/>
        </w:rPr>
        <w:t>the Court had been committed</w:t>
      </w:r>
      <w:r w:rsidR="00190FD1">
        <w:rPr>
          <w:rStyle w:val="FootnoteReference"/>
          <w:rFonts w:eastAsia="Times New Roman"/>
          <w:noProof/>
          <w:szCs w:val="24"/>
        </w:rPr>
        <w:footnoteReference w:id="4"/>
      </w:r>
      <w:r w:rsidRPr="000146FD">
        <w:rPr>
          <w:rFonts w:eastAsia="Times New Roman"/>
          <w:noProof/>
          <w:szCs w:val="24"/>
        </w:rPr>
        <w:t>.</w:t>
      </w:r>
      <w:r w:rsidR="00840096">
        <w:rPr>
          <w:rFonts w:eastAsia="Times New Roman"/>
          <w:noProof/>
          <w:szCs w:val="24"/>
        </w:rPr>
        <w:t xml:space="preserve"> </w:t>
      </w:r>
      <w:r w:rsidR="00EF00CB">
        <w:rPr>
          <w:rFonts w:eastAsia="Times New Roman"/>
          <w:noProof/>
          <w:szCs w:val="24"/>
        </w:rPr>
        <w:t>Yet</w:t>
      </w:r>
      <w:r w:rsidR="000628CB">
        <w:rPr>
          <w:rFonts w:eastAsia="Times New Roman"/>
          <w:noProof/>
          <w:szCs w:val="24"/>
        </w:rPr>
        <w:t>,</w:t>
      </w:r>
      <w:r w:rsidR="00331611">
        <w:rPr>
          <w:rFonts w:eastAsia="Times New Roman"/>
          <w:noProof/>
          <w:szCs w:val="24"/>
        </w:rPr>
        <w:t xml:space="preserve"> the jurisdictional regime for the crime of aggression</w:t>
      </w:r>
      <w:r w:rsidR="000628CB">
        <w:rPr>
          <w:rFonts w:eastAsia="Times New Roman"/>
          <w:noProof/>
          <w:szCs w:val="24"/>
        </w:rPr>
        <w:t xml:space="preserve"> in the Rome Statute</w:t>
      </w:r>
      <w:r w:rsidR="00566868">
        <w:rPr>
          <w:rFonts w:eastAsia="Times New Roman"/>
          <w:noProof/>
          <w:szCs w:val="24"/>
        </w:rPr>
        <w:t xml:space="preserve"> currently prevent</w:t>
      </w:r>
      <w:r w:rsidR="00331611">
        <w:rPr>
          <w:rFonts w:eastAsia="Times New Roman"/>
          <w:noProof/>
          <w:szCs w:val="24"/>
        </w:rPr>
        <w:t xml:space="preserve">s the ICC </w:t>
      </w:r>
      <w:r w:rsidR="00566868">
        <w:rPr>
          <w:rFonts w:eastAsia="Times New Roman"/>
          <w:noProof/>
          <w:szCs w:val="24"/>
        </w:rPr>
        <w:t xml:space="preserve">from </w:t>
      </w:r>
      <w:r w:rsidR="00566868" w:rsidRPr="00DD14F4">
        <w:rPr>
          <w:rFonts w:eastAsia="Times New Roman"/>
          <w:noProof/>
          <w:szCs w:val="24"/>
        </w:rPr>
        <w:t>exercising</w:t>
      </w:r>
      <w:r w:rsidR="00190FD1">
        <w:rPr>
          <w:rFonts w:eastAsia="Times New Roman"/>
          <w:noProof/>
          <w:szCs w:val="24"/>
        </w:rPr>
        <w:t xml:space="preserve"> its</w:t>
      </w:r>
      <w:r w:rsidR="00566868" w:rsidRPr="00DD14F4">
        <w:rPr>
          <w:rFonts w:eastAsia="Times New Roman"/>
          <w:noProof/>
          <w:szCs w:val="24"/>
        </w:rPr>
        <w:t xml:space="preserve"> jurisdiction </w:t>
      </w:r>
      <w:r w:rsidR="000628CB">
        <w:rPr>
          <w:rFonts w:eastAsia="Times New Roman"/>
          <w:noProof/>
          <w:szCs w:val="24"/>
        </w:rPr>
        <w:t xml:space="preserve">with respect to </w:t>
      </w:r>
      <w:r w:rsidR="00566868" w:rsidRPr="00DD14F4">
        <w:rPr>
          <w:rFonts w:eastAsia="Times New Roman"/>
          <w:noProof/>
          <w:szCs w:val="24"/>
        </w:rPr>
        <w:t>the crime of aggression</w:t>
      </w:r>
      <w:r w:rsidR="00566868">
        <w:rPr>
          <w:rFonts w:eastAsia="Times New Roman"/>
          <w:noProof/>
          <w:szCs w:val="24"/>
        </w:rPr>
        <w:t xml:space="preserve"> in the situation of</w:t>
      </w:r>
      <w:r w:rsidR="00566868" w:rsidRPr="00DD14F4">
        <w:rPr>
          <w:rFonts w:eastAsia="Times New Roman"/>
          <w:noProof/>
          <w:szCs w:val="24"/>
        </w:rPr>
        <w:t xml:space="preserve"> Ukraine</w:t>
      </w:r>
      <w:r w:rsidR="00331611">
        <w:rPr>
          <w:rFonts w:eastAsia="Times New Roman"/>
          <w:noProof/>
          <w:szCs w:val="24"/>
        </w:rPr>
        <w:t>.</w:t>
      </w:r>
    </w:p>
    <w:p w:rsidR="00A2027F" w:rsidRDefault="00EC272D" w:rsidP="00F8625D">
      <w:pPr>
        <w:rPr>
          <w:noProof/>
        </w:rPr>
      </w:pPr>
      <w:r>
        <w:rPr>
          <w:noProof/>
        </w:rPr>
        <w:t>I</w:t>
      </w:r>
      <w:r w:rsidRPr="00A2027F">
        <w:rPr>
          <w:noProof/>
        </w:rPr>
        <w:t>n its</w:t>
      </w:r>
      <w:r>
        <w:rPr>
          <w:noProof/>
        </w:rPr>
        <w:t xml:space="preserve"> </w:t>
      </w:r>
      <w:r w:rsidRPr="00A2027F">
        <w:rPr>
          <w:noProof/>
        </w:rPr>
        <w:t>conclusions of 20</w:t>
      </w:r>
      <w:r>
        <w:rPr>
          <w:noProof/>
        </w:rPr>
        <w:t xml:space="preserve"> and </w:t>
      </w:r>
      <w:r w:rsidRPr="00A2027F">
        <w:rPr>
          <w:noProof/>
        </w:rPr>
        <w:t>21 October 2022</w:t>
      </w:r>
      <w:r>
        <w:rPr>
          <w:noProof/>
        </w:rPr>
        <w:t>, t</w:t>
      </w:r>
      <w:r w:rsidR="00A2027F" w:rsidRPr="00A2027F">
        <w:rPr>
          <w:noProof/>
        </w:rPr>
        <w:t xml:space="preserve">he European Council invited the High Representative </w:t>
      </w:r>
      <w:r w:rsidR="00A30DB5" w:rsidRPr="00F8625D">
        <w:rPr>
          <w:noProof/>
        </w:rPr>
        <w:t xml:space="preserve">of the European Union for Foreign Affairs and Security Policy </w:t>
      </w:r>
      <w:r w:rsidR="00A30DB5">
        <w:rPr>
          <w:noProof/>
        </w:rPr>
        <w:t>(</w:t>
      </w:r>
      <w:r w:rsidR="00840096">
        <w:rPr>
          <w:noProof/>
        </w:rPr>
        <w:t>hereinafter “</w:t>
      </w:r>
      <w:r w:rsidR="00A30DB5">
        <w:rPr>
          <w:noProof/>
        </w:rPr>
        <w:t>the High Representative</w:t>
      </w:r>
      <w:r w:rsidR="00840096">
        <w:rPr>
          <w:noProof/>
        </w:rPr>
        <w:t>”</w:t>
      </w:r>
      <w:r w:rsidR="00A30DB5">
        <w:rPr>
          <w:noProof/>
        </w:rPr>
        <w:t xml:space="preserve">) </w:t>
      </w:r>
      <w:r w:rsidR="00A2027F" w:rsidRPr="00A2027F">
        <w:rPr>
          <w:noProof/>
        </w:rPr>
        <w:t>and the</w:t>
      </w:r>
      <w:r w:rsidR="00A2027F">
        <w:rPr>
          <w:noProof/>
        </w:rPr>
        <w:t xml:space="preserve"> </w:t>
      </w:r>
      <w:r w:rsidR="00A2027F" w:rsidRPr="00A2027F">
        <w:rPr>
          <w:noProof/>
        </w:rPr>
        <w:t>Commission to explore options so that full accountability can be ensured</w:t>
      </w:r>
      <w:r w:rsidR="00B5677D">
        <w:rPr>
          <w:noProof/>
        </w:rPr>
        <w:t>, including for the crime of aggression</w:t>
      </w:r>
      <w:r w:rsidR="00DB316B">
        <w:rPr>
          <w:noProof/>
        </w:rPr>
        <w:t xml:space="preserve"> against Ukraine</w:t>
      </w:r>
      <w:r w:rsidR="00BD6E20">
        <w:rPr>
          <w:rStyle w:val="FootnoteReference"/>
          <w:rFonts w:eastAsia="Times New Roman"/>
          <w:noProof/>
        </w:rPr>
        <w:footnoteReference w:id="5"/>
      </w:r>
      <w:r w:rsidR="00C34682">
        <w:rPr>
          <w:noProof/>
        </w:rPr>
        <w:t>.</w:t>
      </w:r>
      <w:r w:rsidR="00F34A06" w:rsidRPr="00F34A06">
        <w:rPr>
          <w:noProof/>
        </w:rPr>
        <w:t xml:space="preserve"> </w:t>
      </w:r>
      <w:r w:rsidR="00190FD1" w:rsidRPr="00F8625D">
        <w:rPr>
          <w:noProof/>
        </w:rPr>
        <w:t>Subsequently, o</w:t>
      </w:r>
      <w:r w:rsidR="00F34A06" w:rsidRPr="00F8625D">
        <w:rPr>
          <w:noProof/>
        </w:rPr>
        <w:t xml:space="preserve">n 30 November 2022, the High Representative and the Commission circulated to delegations of the Council Working </w:t>
      </w:r>
      <w:r w:rsidR="00A30DB5">
        <w:rPr>
          <w:noProof/>
        </w:rPr>
        <w:t>Party</w:t>
      </w:r>
      <w:r w:rsidR="00F34A06" w:rsidRPr="00F8625D">
        <w:rPr>
          <w:noProof/>
        </w:rPr>
        <w:t xml:space="preserve"> on Public International Law (COJUR) an options paper that aimed at </w:t>
      </w:r>
      <w:r w:rsidR="00F34A06" w:rsidRPr="00F8625D">
        <w:rPr>
          <w:noProof/>
        </w:rPr>
        <w:lastRenderedPageBreak/>
        <w:t xml:space="preserve">identifying the possible avenues to ensure </w:t>
      </w:r>
      <w:r>
        <w:rPr>
          <w:noProof/>
        </w:rPr>
        <w:t>full</w:t>
      </w:r>
      <w:r w:rsidRPr="00F8625D">
        <w:rPr>
          <w:noProof/>
        </w:rPr>
        <w:t xml:space="preserve"> </w:t>
      </w:r>
      <w:r w:rsidR="00F34A06" w:rsidRPr="00F8625D">
        <w:rPr>
          <w:noProof/>
        </w:rPr>
        <w:t xml:space="preserve">accountability of individuals, including the Russian </w:t>
      </w:r>
      <w:r w:rsidR="009517EE" w:rsidRPr="00F8625D">
        <w:rPr>
          <w:noProof/>
        </w:rPr>
        <w:t xml:space="preserve">political and military </w:t>
      </w:r>
      <w:r w:rsidR="00F34A06" w:rsidRPr="00F8625D">
        <w:rPr>
          <w:noProof/>
        </w:rPr>
        <w:t>leadership, for international crimes</w:t>
      </w:r>
      <w:r w:rsidR="00DB316B" w:rsidRPr="00F8625D">
        <w:rPr>
          <w:noProof/>
        </w:rPr>
        <w:t>, notably for the crime of aggression</w:t>
      </w:r>
      <w:r w:rsidR="00F34A06" w:rsidRPr="00F8625D">
        <w:rPr>
          <w:rStyle w:val="FootnoteReference"/>
          <w:rFonts w:eastAsia="Times New Roman"/>
          <w:noProof/>
        </w:rPr>
        <w:footnoteReference w:id="6"/>
      </w:r>
      <w:r w:rsidR="00F34A06" w:rsidRPr="00F8625D">
        <w:rPr>
          <w:noProof/>
        </w:rPr>
        <w:t>.</w:t>
      </w:r>
    </w:p>
    <w:p w:rsidR="00C03AAF" w:rsidRDefault="00EC272D" w:rsidP="00C03AAF">
      <w:pPr>
        <w:rPr>
          <w:noProof/>
        </w:rPr>
      </w:pPr>
      <w:r>
        <w:rPr>
          <w:noProof/>
        </w:rPr>
        <w:t>In its conclusions</w:t>
      </w:r>
      <w:r w:rsidR="007D111F">
        <w:rPr>
          <w:noProof/>
        </w:rPr>
        <w:t xml:space="preserve"> of </w:t>
      </w:r>
      <w:r>
        <w:rPr>
          <w:noProof/>
        </w:rPr>
        <w:t xml:space="preserve">15 </w:t>
      </w:r>
      <w:r w:rsidR="007D111F">
        <w:rPr>
          <w:noProof/>
        </w:rPr>
        <w:t>December 2022, the European Council welcomed and encouraged further efforts to ensure full accountability for war crimes and the other most serious crimes in connection with Russia’s war of aggression against Ukraine, including ways to secure accountability for the crime of aggression. It invited the Commission, the High Representative and the Council to take work forward, in accordance with EU and international law, stressing that the prosecution of the crime of aggression is of concern to the international community as a whole</w:t>
      </w:r>
      <w:r>
        <w:rPr>
          <w:rStyle w:val="FootnoteReference"/>
          <w:noProof/>
        </w:rPr>
        <w:footnoteReference w:id="7"/>
      </w:r>
      <w:r w:rsidR="007D111F">
        <w:rPr>
          <w:noProof/>
        </w:rPr>
        <w:t>.</w:t>
      </w:r>
    </w:p>
    <w:p w:rsidR="00650591" w:rsidRPr="0081158D" w:rsidRDefault="00834FE1" w:rsidP="00C03AAF">
      <w:pPr>
        <w:rPr>
          <w:noProof/>
        </w:rPr>
      </w:pPr>
      <w:r>
        <w:rPr>
          <w:rFonts w:eastAsia="Times New Roman"/>
          <w:noProof/>
        </w:rPr>
        <w:t>I</w:t>
      </w:r>
      <w:r w:rsidRPr="00DD14F4">
        <w:rPr>
          <w:rFonts w:eastAsia="Times New Roman"/>
          <w:noProof/>
        </w:rPr>
        <w:t>n Resolution A/RES/ES-11/6</w:t>
      </w:r>
      <w:r>
        <w:rPr>
          <w:rFonts w:eastAsia="Times New Roman"/>
          <w:noProof/>
        </w:rPr>
        <w:t xml:space="preserve"> of</w:t>
      </w:r>
      <w:r w:rsidR="00650591" w:rsidRPr="00DD14F4">
        <w:rPr>
          <w:rFonts w:eastAsia="Times New Roman"/>
          <w:noProof/>
        </w:rPr>
        <w:t xml:space="preserve"> 23 February 2023, the United Nations</w:t>
      </w:r>
      <w:r w:rsidR="00650591">
        <w:rPr>
          <w:rFonts w:eastAsia="Times New Roman"/>
          <w:noProof/>
        </w:rPr>
        <w:t xml:space="preserve"> </w:t>
      </w:r>
      <w:r w:rsidR="00650591" w:rsidRPr="00DD14F4">
        <w:rPr>
          <w:rFonts w:eastAsia="Times New Roman"/>
          <w:noProof/>
        </w:rPr>
        <w:t>General Assembly emphasised the need to ensure accountability for the most serious crimes under international law committed on the territory of Ukraine through appropriate, fair and independent investigations and prosecutions at the national or international level, and ensure justice for all victims and the prevention of future crimes</w:t>
      </w:r>
      <w:r w:rsidR="00650591">
        <w:rPr>
          <w:rStyle w:val="FootnoteReference"/>
          <w:rFonts w:eastAsia="Times New Roman"/>
          <w:noProof/>
        </w:rPr>
        <w:footnoteReference w:id="8"/>
      </w:r>
      <w:r w:rsidR="00650591">
        <w:rPr>
          <w:rFonts w:eastAsia="Times New Roman"/>
          <w:noProof/>
        </w:rPr>
        <w:t>.</w:t>
      </w:r>
      <w:r w:rsidR="0081158D" w:rsidRPr="0081158D">
        <w:rPr>
          <w:noProof/>
        </w:rPr>
        <w:t xml:space="preserve"> </w:t>
      </w:r>
    </w:p>
    <w:p w:rsidR="00C03AAF" w:rsidRDefault="00F64A36" w:rsidP="00491877">
      <w:pPr>
        <w:rPr>
          <w:noProof/>
        </w:rPr>
      </w:pPr>
      <w:r w:rsidRPr="77BC4F07">
        <w:rPr>
          <w:noProof/>
        </w:rPr>
        <w:t>At</w:t>
      </w:r>
      <w:r w:rsidR="00F47AE7" w:rsidRPr="77BC4F07">
        <w:rPr>
          <w:noProof/>
        </w:rPr>
        <w:t xml:space="preserve"> international level, </w:t>
      </w:r>
      <w:r w:rsidR="00D62C26" w:rsidRPr="77BC4F07">
        <w:rPr>
          <w:noProof/>
        </w:rPr>
        <w:t>the</w:t>
      </w:r>
      <w:r w:rsidR="007D3670" w:rsidRPr="77BC4F07">
        <w:rPr>
          <w:noProof/>
        </w:rPr>
        <w:t xml:space="preserve"> Core Group</w:t>
      </w:r>
      <w:r w:rsidR="00331611">
        <w:rPr>
          <w:noProof/>
        </w:rPr>
        <w:t xml:space="preserve"> on the Establishment of a Special Tribunal for the Crime of Aggression against Ukraine</w:t>
      </w:r>
      <w:r w:rsidR="007D3670" w:rsidRPr="77BC4F07">
        <w:rPr>
          <w:noProof/>
        </w:rPr>
        <w:t xml:space="preserve"> </w:t>
      </w:r>
      <w:r w:rsidR="00331611">
        <w:rPr>
          <w:noProof/>
        </w:rPr>
        <w:t>(</w:t>
      </w:r>
      <w:r w:rsidR="00840096">
        <w:rPr>
          <w:noProof/>
        </w:rPr>
        <w:t>hereinafter “</w:t>
      </w:r>
      <w:r w:rsidR="00331611">
        <w:rPr>
          <w:noProof/>
        </w:rPr>
        <w:t>Core Group</w:t>
      </w:r>
      <w:r w:rsidR="00840096">
        <w:rPr>
          <w:noProof/>
        </w:rPr>
        <w:t>”</w:t>
      </w:r>
      <w:r w:rsidR="00331611">
        <w:rPr>
          <w:noProof/>
        </w:rPr>
        <w:t xml:space="preserve">) </w:t>
      </w:r>
      <w:r w:rsidR="0046000A">
        <w:rPr>
          <w:noProof/>
        </w:rPr>
        <w:t xml:space="preserve">served as </w:t>
      </w:r>
      <w:r w:rsidR="007D3670" w:rsidRPr="77BC4F07">
        <w:rPr>
          <w:noProof/>
        </w:rPr>
        <w:t>the</w:t>
      </w:r>
      <w:r w:rsidR="00D62C26" w:rsidRPr="77BC4F07">
        <w:rPr>
          <w:noProof/>
        </w:rPr>
        <w:t xml:space="preserve"> main forum to </w:t>
      </w:r>
      <w:r w:rsidR="007D3670" w:rsidRPr="77BC4F07">
        <w:rPr>
          <w:noProof/>
        </w:rPr>
        <w:t xml:space="preserve">discuss the modalities of </w:t>
      </w:r>
      <w:r w:rsidR="00F47357" w:rsidRPr="77BC4F07">
        <w:rPr>
          <w:noProof/>
        </w:rPr>
        <w:t xml:space="preserve">establishing </w:t>
      </w:r>
      <w:r w:rsidR="000628CB">
        <w:rPr>
          <w:noProof/>
        </w:rPr>
        <w:t>such a Special Tribunal</w:t>
      </w:r>
      <w:r w:rsidR="004466E9">
        <w:rPr>
          <w:noProof/>
        </w:rPr>
        <w:t xml:space="preserve"> </w:t>
      </w:r>
      <w:r w:rsidR="009517EE">
        <w:rPr>
          <w:noProof/>
        </w:rPr>
        <w:t>with the power</w:t>
      </w:r>
      <w:r w:rsidR="004466E9" w:rsidRPr="77BC4F07">
        <w:rPr>
          <w:noProof/>
        </w:rPr>
        <w:t xml:space="preserve"> to investigate, prosecute, and try </w:t>
      </w:r>
      <w:r w:rsidR="00EF00CB">
        <w:rPr>
          <w:noProof/>
        </w:rPr>
        <w:t>persons who bear the greatest</w:t>
      </w:r>
      <w:r w:rsidR="004466E9" w:rsidRPr="77BC4F07">
        <w:rPr>
          <w:noProof/>
        </w:rPr>
        <w:t xml:space="preserve"> responsi</w:t>
      </w:r>
      <w:r w:rsidR="00EF00CB">
        <w:rPr>
          <w:noProof/>
        </w:rPr>
        <w:t>bility</w:t>
      </w:r>
      <w:r w:rsidR="004466E9" w:rsidRPr="77BC4F07">
        <w:rPr>
          <w:noProof/>
        </w:rPr>
        <w:t xml:space="preserve"> for the crime of aggression</w:t>
      </w:r>
      <w:r w:rsidR="004466E9">
        <w:rPr>
          <w:noProof/>
        </w:rPr>
        <w:t xml:space="preserve"> against Ukraine</w:t>
      </w:r>
      <w:r w:rsidR="000628CB">
        <w:rPr>
          <w:noProof/>
        </w:rPr>
        <w:t>.</w:t>
      </w:r>
      <w:r w:rsidR="00EF00CB">
        <w:rPr>
          <w:noProof/>
        </w:rPr>
        <w:t xml:space="preserve"> The Core Group</w:t>
      </w:r>
      <w:r w:rsidR="00EB1A9A">
        <w:rPr>
          <w:noProof/>
        </w:rPr>
        <w:t xml:space="preserve"> </w:t>
      </w:r>
      <w:r w:rsidR="00425BA4">
        <w:rPr>
          <w:noProof/>
        </w:rPr>
        <w:t xml:space="preserve">met 14 times </w:t>
      </w:r>
      <w:r w:rsidR="00F9779F">
        <w:rPr>
          <w:noProof/>
        </w:rPr>
        <w:t xml:space="preserve">between </w:t>
      </w:r>
      <w:r w:rsidR="00F47AE7" w:rsidRPr="77BC4F07">
        <w:rPr>
          <w:noProof/>
        </w:rPr>
        <w:t>January 2023</w:t>
      </w:r>
      <w:r w:rsidR="00F9779F">
        <w:rPr>
          <w:noProof/>
        </w:rPr>
        <w:t xml:space="preserve"> and </w:t>
      </w:r>
      <w:r w:rsidR="00F044B3">
        <w:rPr>
          <w:noProof/>
        </w:rPr>
        <w:t>March 2025</w:t>
      </w:r>
      <w:r w:rsidR="00834FE1">
        <w:rPr>
          <w:noProof/>
        </w:rPr>
        <w:t>. It</w:t>
      </w:r>
      <w:r w:rsidR="009517EE">
        <w:rPr>
          <w:noProof/>
        </w:rPr>
        <w:t xml:space="preserve"> was </w:t>
      </w:r>
      <w:r w:rsidR="009517EE" w:rsidRPr="77BC4F07">
        <w:rPr>
          <w:noProof/>
        </w:rPr>
        <w:t xml:space="preserve">chaired by Ukraine and composed of </w:t>
      </w:r>
      <w:r w:rsidR="009517EE">
        <w:rPr>
          <w:noProof/>
        </w:rPr>
        <w:t xml:space="preserve">representatives of </w:t>
      </w:r>
      <w:r w:rsidR="009517EE" w:rsidRPr="77BC4F07">
        <w:rPr>
          <w:noProof/>
        </w:rPr>
        <w:t xml:space="preserve">around 40 like-minded States, </w:t>
      </w:r>
      <w:r w:rsidR="009517EE">
        <w:rPr>
          <w:noProof/>
        </w:rPr>
        <w:t xml:space="preserve">the </w:t>
      </w:r>
      <w:r w:rsidR="009517EE" w:rsidRPr="77BC4F07">
        <w:rPr>
          <w:noProof/>
        </w:rPr>
        <w:t>European Commission</w:t>
      </w:r>
      <w:r w:rsidR="009517EE">
        <w:rPr>
          <w:noProof/>
        </w:rPr>
        <w:t xml:space="preserve"> services</w:t>
      </w:r>
      <w:r w:rsidR="009517EE" w:rsidRPr="77BC4F07">
        <w:rPr>
          <w:noProof/>
        </w:rPr>
        <w:t xml:space="preserve"> and </w:t>
      </w:r>
      <w:r w:rsidR="009517EE">
        <w:rPr>
          <w:noProof/>
        </w:rPr>
        <w:t xml:space="preserve">the </w:t>
      </w:r>
      <w:r w:rsidR="009517EE" w:rsidRPr="77BC4F07">
        <w:rPr>
          <w:noProof/>
        </w:rPr>
        <w:t>European External Action Service (EEAS</w:t>
      </w:r>
      <w:r w:rsidR="009517EE">
        <w:rPr>
          <w:noProof/>
        </w:rPr>
        <w:t>)</w:t>
      </w:r>
      <w:r w:rsidR="00834FE1">
        <w:rPr>
          <w:noProof/>
        </w:rPr>
        <w:t>,</w:t>
      </w:r>
      <w:r w:rsidR="009517EE">
        <w:rPr>
          <w:noProof/>
        </w:rPr>
        <w:t xml:space="preserve"> as well as</w:t>
      </w:r>
      <w:r w:rsidR="009517EE" w:rsidRPr="009517EE">
        <w:rPr>
          <w:noProof/>
        </w:rPr>
        <w:t xml:space="preserve"> </w:t>
      </w:r>
      <w:r w:rsidR="009517EE" w:rsidRPr="77BC4F07">
        <w:rPr>
          <w:noProof/>
        </w:rPr>
        <w:t xml:space="preserve">the </w:t>
      </w:r>
      <w:r w:rsidR="00834FE1">
        <w:rPr>
          <w:noProof/>
        </w:rPr>
        <w:t xml:space="preserve">Secretariat of the </w:t>
      </w:r>
      <w:r w:rsidR="009517EE" w:rsidRPr="77BC4F07">
        <w:rPr>
          <w:noProof/>
        </w:rPr>
        <w:t>Council of Europe.</w:t>
      </w:r>
      <w:r w:rsidR="00F47357" w:rsidRPr="77BC4F07">
        <w:rPr>
          <w:noProof/>
        </w:rPr>
        <w:t xml:space="preserve"> </w:t>
      </w:r>
    </w:p>
    <w:p w:rsidR="0081158D" w:rsidRDefault="00491877" w:rsidP="00491877">
      <w:pPr>
        <w:rPr>
          <w:noProof/>
        </w:rPr>
      </w:pPr>
      <w:r>
        <w:rPr>
          <w:noProof/>
        </w:rPr>
        <w:t>Throughout the process, the European Council reiterated its support for the establishment of the Special Tribunal on numerous occasions</w:t>
      </w:r>
      <w:r>
        <w:rPr>
          <w:rStyle w:val="FootnoteReference"/>
          <w:noProof/>
        </w:rPr>
        <w:footnoteReference w:id="9"/>
      </w:r>
      <w:r w:rsidR="00840096">
        <w:rPr>
          <w:noProof/>
        </w:rPr>
        <w:t>.</w:t>
      </w:r>
      <w:r>
        <w:rPr>
          <w:noProof/>
        </w:rPr>
        <w:t xml:space="preserve"> </w:t>
      </w:r>
      <w:r w:rsidR="0081158D">
        <w:rPr>
          <w:noProof/>
        </w:rPr>
        <w:t>In its conclusions of</w:t>
      </w:r>
      <w:r w:rsidR="0081158D" w:rsidRPr="0081158D">
        <w:rPr>
          <w:noProof/>
        </w:rPr>
        <w:t xml:space="preserve"> </w:t>
      </w:r>
      <w:r w:rsidR="00834FE1">
        <w:rPr>
          <w:noProof/>
        </w:rPr>
        <w:t xml:space="preserve">21 and 22 </w:t>
      </w:r>
      <w:r w:rsidR="0081158D">
        <w:rPr>
          <w:noProof/>
        </w:rPr>
        <w:t>March 2024, the European Council</w:t>
      </w:r>
      <w:r w:rsidR="006530AC">
        <w:rPr>
          <w:noProof/>
        </w:rPr>
        <w:t xml:space="preserve"> </w:t>
      </w:r>
      <w:r>
        <w:rPr>
          <w:noProof/>
        </w:rPr>
        <w:t>stated</w:t>
      </w:r>
      <w:r w:rsidR="0046000A">
        <w:rPr>
          <w:noProof/>
        </w:rPr>
        <w:t xml:space="preserve"> that</w:t>
      </w:r>
      <w:r w:rsidR="006530AC">
        <w:rPr>
          <w:noProof/>
        </w:rPr>
        <w:t xml:space="preserve"> </w:t>
      </w:r>
      <w:r w:rsidR="00834FE1">
        <w:rPr>
          <w:noProof/>
        </w:rPr>
        <w:t>”</w:t>
      </w:r>
      <w:r>
        <w:rPr>
          <w:noProof/>
        </w:rPr>
        <w:t>Russia and its leadership must be held fully accountable for waging a war of aggression against Ukraine and for other most serious crimes under international law, as well as for the massive damage caused by its war. The European Council supports ongoing efforts, including in the Core Group, to establish a tribunal for the prosecution of the crime of aggression against Ukraine that would enjoy the broadest cross-regional support and legitimacy.</w:t>
      </w:r>
      <w:r w:rsidR="00834FE1">
        <w:rPr>
          <w:noProof/>
        </w:rPr>
        <w:t>”</w:t>
      </w:r>
      <w:r w:rsidR="00D60C92">
        <w:rPr>
          <w:rStyle w:val="FootnoteReference"/>
          <w:noProof/>
        </w:rPr>
        <w:footnoteReference w:id="10"/>
      </w:r>
    </w:p>
    <w:p w:rsidR="00475EB1" w:rsidRDefault="007B5954" w:rsidP="693CBF78">
      <w:pPr>
        <w:spacing w:before="0"/>
        <w:rPr>
          <w:noProof/>
        </w:rPr>
      </w:pPr>
      <w:r>
        <w:rPr>
          <w:noProof/>
        </w:rPr>
        <w:t xml:space="preserve">At its </w:t>
      </w:r>
      <w:r w:rsidR="009517EE">
        <w:rPr>
          <w:noProof/>
        </w:rPr>
        <w:t>final</w:t>
      </w:r>
      <w:r>
        <w:rPr>
          <w:noProof/>
        </w:rPr>
        <w:t xml:space="preserve"> meeting o</w:t>
      </w:r>
      <w:r w:rsidR="00581A56">
        <w:rPr>
          <w:noProof/>
        </w:rPr>
        <w:t xml:space="preserve">n </w:t>
      </w:r>
      <w:r w:rsidR="00947E7B">
        <w:rPr>
          <w:noProof/>
        </w:rPr>
        <w:t xml:space="preserve">19-21 </w:t>
      </w:r>
      <w:r w:rsidR="00CD5303">
        <w:rPr>
          <w:noProof/>
        </w:rPr>
        <w:t xml:space="preserve">March </w:t>
      </w:r>
      <w:r w:rsidR="00E049FB">
        <w:rPr>
          <w:noProof/>
        </w:rPr>
        <w:t>2025</w:t>
      </w:r>
      <w:r>
        <w:rPr>
          <w:noProof/>
        </w:rPr>
        <w:t>,</w:t>
      </w:r>
      <w:r w:rsidR="00CD5303">
        <w:rPr>
          <w:noProof/>
        </w:rPr>
        <w:t xml:space="preserve"> the Core Group concluded its work </w:t>
      </w:r>
      <w:r w:rsidR="00692118">
        <w:rPr>
          <w:noProof/>
        </w:rPr>
        <w:t>at</w:t>
      </w:r>
      <w:r w:rsidR="00CD5303">
        <w:rPr>
          <w:noProof/>
        </w:rPr>
        <w:t xml:space="preserve"> technical level</w:t>
      </w:r>
      <w:r w:rsidR="006E5034">
        <w:rPr>
          <w:noProof/>
        </w:rPr>
        <w:t xml:space="preserve"> </w:t>
      </w:r>
      <w:r w:rsidR="009050E2">
        <w:rPr>
          <w:noProof/>
        </w:rPr>
        <w:t>on the</w:t>
      </w:r>
      <w:r w:rsidR="00FC06D8">
        <w:rPr>
          <w:noProof/>
        </w:rPr>
        <w:t xml:space="preserve"> </w:t>
      </w:r>
      <w:r w:rsidR="000F45F8">
        <w:rPr>
          <w:noProof/>
        </w:rPr>
        <w:t xml:space="preserve">draft </w:t>
      </w:r>
      <w:r w:rsidR="005B5EAB">
        <w:rPr>
          <w:noProof/>
        </w:rPr>
        <w:t xml:space="preserve">legal instruments </w:t>
      </w:r>
      <w:r w:rsidR="00C568F2">
        <w:rPr>
          <w:noProof/>
        </w:rPr>
        <w:t>necessary to establish</w:t>
      </w:r>
      <w:r w:rsidR="00FC06D8">
        <w:rPr>
          <w:noProof/>
        </w:rPr>
        <w:t xml:space="preserve"> the</w:t>
      </w:r>
      <w:r w:rsidR="009050E2">
        <w:rPr>
          <w:noProof/>
        </w:rPr>
        <w:t xml:space="preserve"> </w:t>
      </w:r>
      <w:r w:rsidR="00C568F2">
        <w:rPr>
          <w:noProof/>
        </w:rPr>
        <w:t xml:space="preserve">Special Tribunal, namely the </w:t>
      </w:r>
      <w:r w:rsidR="009050E2">
        <w:rPr>
          <w:noProof/>
        </w:rPr>
        <w:t xml:space="preserve">bilateral </w:t>
      </w:r>
      <w:r w:rsidR="0046000A">
        <w:rPr>
          <w:noProof/>
        </w:rPr>
        <w:t>A</w:t>
      </w:r>
      <w:r w:rsidR="009050E2">
        <w:rPr>
          <w:noProof/>
        </w:rPr>
        <w:t>greement between Ukraine and the Council of Europe, the Statute annexed to the Agreement, and the</w:t>
      </w:r>
      <w:r w:rsidR="00FB350F">
        <w:rPr>
          <w:noProof/>
        </w:rPr>
        <w:t xml:space="preserve"> Resolution establishing the</w:t>
      </w:r>
      <w:r w:rsidR="009050E2">
        <w:rPr>
          <w:noProof/>
        </w:rPr>
        <w:t xml:space="preserve"> </w:t>
      </w:r>
      <w:r w:rsidR="008E3107">
        <w:rPr>
          <w:noProof/>
        </w:rPr>
        <w:t>EPA</w:t>
      </w:r>
      <w:r w:rsidR="009050E2">
        <w:rPr>
          <w:noProof/>
        </w:rPr>
        <w:t xml:space="preserve"> on the Management Committee of the Special Tribunal</w:t>
      </w:r>
      <w:r w:rsidR="00CD5303">
        <w:rPr>
          <w:noProof/>
        </w:rPr>
        <w:t xml:space="preserve">. </w:t>
      </w:r>
    </w:p>
    <w:p w:rsidR="005A591B" w:rsidRPr="00EA3D49" w:rsidRDefault="00847985" w:rsidP="00475EB1">
      <w:pPr>
        <w:spacing w:before="0"/>
        <w:rPr>
          <w:noProof/>
        </w:rPr>
      </w:pPr>
      <w:r>
        <w:rPr>
          <w:noProof/>
        </w:rPr>
        <w:t>On 9 May 202</w:t>
      </w:r>
      <w:r w:rsidR="00E049FB">
        <w:rPr>
          <w:noProof/>
        </w:rPr>
        <w:t>5</w:t>
      </w:r>
      <w:r>
        <w:rPr>
          <w:noProof/>
        </w:rPr>
        <w:t xml:space="preserve">, </w:t>
      </w:r>
      <w:r w:rsidR="00475EB1">
        <w:rPr>
          <w:noProof/>
        </w:rPr>
        <w:t xml:space="preserve">the </w:t>
      </w:r>
      <w:r w:rsidR="005B5EAB" w:rsidRPr="005B5EAB">
        <w:rPr>
          <w:noProof/>
        </w:rPr>
        <w:t>Ministers for Foreign Affairs</w:t>
      </w:r>
      <w:r w:rsidR="0046000A">
        <w:rPr>
          <w:noProof/>
        </w:rPr>
        <w:t>,</w:t>
      </w:r>
      <w:r w:rsidR="00475EB1">
        <w:rPr>
          <w:noProof/>
        </w:rPr>
        <w:t xml:space="preserve"> </w:t>
      </w:r>
      <w:r w:rsidR="00475EB1" w:rsidRPr="00475EB1">
        <w:rPr>
          <w:noProof/>
        </w:rPr>
        <w:t>and other representatives of the States participating in the Core Group</w:t>
      </w:r>
      <w:r w:rsidR="00475EB1">
        <w:rPr>
          <w:noProof/>
        </w:rPr>
        <w:t xml:space="preserve"> as well as representatives of the Union </w:t>
      </w:r>
      <w:r w:rsidR="007702BD">
        <w:rPr>
          <w:noProof/>
        </w:rPr>
        <w:t>convened in Lviv and</w:t>
      </w:r>
      <w:r w:rsidR="00475EB1">
        <w:rPr>
          <w:noProof/>
        </w:rPr>
        <w:t>,</w:t>
      </w:r>
      <w:r w:rsidR="00475EB1" w:rsidRPr="00475EB1">
        <w:rPr>
          <w:noProof/>
        </w:rPr>
        <w:t xml:space="preserve"> </w:t>
      </w:r>
      <w:r w:rsidR="00475EB1">
        <w:rPr>
          <w:noProof/>
        </w:rPr>
        <w:lastRenderedPageBreak/>
        <w:t>in the presence of the High Representative and Vice-President of the Commission and the Commissioner for Democracy, Justice, the Rule of Law and Consumer Protection,</w:t>
      </w:r>
      <w:r w:rsidR="007702BD">
        <w:rPr>
          <w:noProof/>
        </w:rPr>
        <w:t xml:space="preserve"> adopted the “Lviv Statement”</w:t>
      </w:r>
      <w:r w:rsidR="0068689B">
        <w:rPr>
          <w:rStyle w:val="FootnoteReference"/>
          <w:noProof/>
        </w:rPr>
        <w:footnoteReference w:id="11"/>
      </w:r>
      <w:r w:rsidR="007702BD">
        <w:rPr>
          <w:noProof/>
        </w:rPr>
        <w:t xml:space="preserve"> where they committed to the process of establishing the Special </w:t>
      </w:r>
      <w:r w:rsidR="007702BD" w:rsidRPr="00EA3D49">
        <w:rPr>
          <w:noProof/>
        </w:rPr>
        <w:t xml:space="preserve">Tribunal </w:t>
      </w:r>
      <w:r w:rsidR="0070156A" w:rsidRPr="00EA3D49">
        <w:rPr>
          <w:noProof/>
        </w:rPr>
        <w:t xml:space="preserve">within the framework of the Council of Europe, </w:t>
      </w:r>
      <w:r w:rsidR="007702BD" w:rsidRPr="00EA3D49">
        <w:rPr>
          <w:noProof/>
        </w:rPr>
        <w:t>the swift commencement of its operation</w:t>
      </w:r>
      <w:r w:rsidR="0070156A" w:rsidRPr="00EA3D49">
        <w:rPr>
          <w:noProof/>
        </w:rPr>
        <w:t>, and supporting its effective functioning, while</w:t>
      </w:r>
      <w:r w:rsidR="00204033" w:rsidRPr="00EA3D49">
        <w:rPr>
          <w:rFonts w:eastAsiaTheme="minorEastAsia"/>
          <w:noProof/>
          <w:color w:val="000000" w:themeColor="text1"/>
        </w:rPr>
        <w:t xml:space="preserve"> </w:t>
      </w:r>
      <w:r w:rsidR="00EA3D49" w:rsidRPr="00EA3D49">
        <w:rPr>
          <w:rFonts w:eastAsiaTheme="minorEastAsia"/>
          <w:noProof/>
          <w:color w:val="000000" w:themeColor="text1"/>
        </w:rPr>
        <w:t xml:space="preserve">underlining the central role of the Council of Europe in establishing the Tribunal and </w:t>
      </w:r>
      <w:r w:rsidR="005A591B" w:rsidRPr="00EA3D49">
        <w:rPr>
          <w:rFonts w:eastAsiaTheme="minorEastAsia"/>
          <w:noProof/>
          <w:color w:val="000000" w:themeColor="text1"/>
        </w:rPr>
        <w:t>acknowledg</w:t>
      </w:r>
      <w:r w:rsidR="00426C27" w:rsidRPr="00EA3D49">
        <w:rPr>
          <w:rFonts w:eastAsiaTheme="minorEastAsia"/>
          <w:noProof/>
          <w:color w:val="000000" w:themeColor="text1"/>
        </w:rPr>
        <w:t>ing</w:t>
      </w:r>
      <w:r w:rsidR="005A591B" w:rsidRPr="00EA3D49">
        <w:rPr>
          <w:rFonts w:eastAsiaTheme="minorEastAsia"/>
          <w:noProof/>
          <w:color w:val="000000" w:themeColor="text1"/>
        </w:rPr>
        <w:t xml:space="preserve"> the </w:t>
      </w:r>
      <w:r w:rsidR="00EA3D49" w:rsidRPr="00EA3D49">
        <w:rPr>
          <w:rFonts w:eastAsiaTheme="minorEastAsia"/>
          <w:noProof/>
          <w:color w:val="000000" w:themeColor="text1"/>
        </w:rPr>
        <w:t xml:space="preserve">significant </w:t>
      </w:r>
      <w:r w:rsidR="005A591B" w:rsidRPr="00EA3D49">
        <w:rPr>
          <w:rFonts w:eastAsiaTheme="minorEastAsia"/>
          <w:noProof/>
          <w:color w:val="000000" w:themeColor="text1"/>
        </w:rPr>
        <w:t xml:space="preserve">contribution by the Commission and the </w:t>
      </w:r>
      <w:r w:rsidR="00D621BE" w:rsidRPr="00EA3D49">
        <w:rPr>
          <w:rFonts w:eastAsiaTheme="minorEastAsia"/>
          <w:noProof/>
          <w:color w:val="000000" w:themeColor="text1"/>
        </w:rPr>
        <w:t>EEAS</w:t>
      </w:r>
      <w:r w:rsidR="005A591B" w:rsidRPr="00EA3D49">
        <w:rPr>
          <w:rFonts w:eastAsiaTheme="minorEastAsia"/>
          <w:noProof/>
          <w:color w:val="000000" w:themeColor="text1"/>
        </w:rPr>
        <w:t xml:space="preserve"> throughout the </w:t>
      </w:r>
      <w:r w:rsidR="004C48B8" w:rsidRPr="00EA3D49">
        <w:rPr>
          <w:rFonts w:eastAsiaTheme="minorEastAsia"/>
          <w:noProof/>
          <w:color w:val="000000" w:themeColor="text1"/>
        </w:rPr>
        <w:t>process</w:t>
      </w:r>
      <w:r w:rsidR="0070156A" w:rsidRPr="00EA3D49">
        <w:rPr>
          <w:rFonts w:eastAsiaTheme="minorEastAsia"/>
          <w:noProof/>
          <w:color w:val="000000" w:themeColor="text1"/>
        </w:rPr>
        <w:t>, notably in the drafting of the legal instruments</w:t>
      </w:r>
      <w:r w:rsidR="004C48B8" w:rsidRPr="00EA3D49">
        <w:rPr>
          <w:rFonts w:eastAsiaTheme="minorEastAsia"/>
          <w:noProof/>
          <w:color w:val="000000" w:themeColor="text1"/>
        </w:rPr>
        <w:t>.</w:t>
      </w:r>
    </w:p>
    <w:p w:rsidR="00847985" w:rsidRDefault="00AD30E0" w:rsidP="00853C97">
      <w:pPr>
        <w:rPr>
          <w:noProof/>
        </w:rPr>
      </w:pPr>
      <w:r w:rsidRPr="77BC4F07">
        <w:rPr>
          <w:noProof/>
        </w:rPr>
        <w:t>On 4 June</w:t>
      </w:r>
      <w:r w:rsidR="0029517C" w:rsidRPr="77BC4F07">
        <w:rPr>
          <w:noProof/>
        </w:rPr>
        <w:t xml:space="preserve"> 2025</w:t>
      </w:r>
      <w:r w:rsidRPr="77BC4F07">
        <w:rPr>
          <w:noProof/>
        </w:rPr>
        <w:t xml:space="preserve">, the </w:t>
      </w:r>
      <w:r w:rsidR="00B449FA" w:rsidRPr="77BC4F07">
        <w:rPr>
          <w:noProof/>
        </w:rPr>
        <w:t>Committee</w:t>
      </w:r>
      <w:r w:rsidRPr="77BC4F07">
        <w:rPr>
          <w:noProof/>
        </w:rPr>
        <w:t xml:space="preserve"> of Ministers of the C</w:t>
      </w:r>
      <w:r w:rsidR="6A295189" w:rsidRPr="77BC4F07">
        <w:rPr>
          <w:noProof/>
        </w:rPr>
        <w:t xml:space="preserve">ouncil </w:t>
      </w:r>
      <w:r w:rsidRPr="77BC4F07">
        <w:rPr>
          <w:noProof/>
        </w:rPr>
        <w:t>o</w:t>
      </w:r>
      <w:r w:rsidR="24A9B327" w:rsidRPr="77BC4F07">
        <w:rPr>
          <w:noProof/>
        </w:rPr>
        <w:t xml:space="preserve">f </w:t>
      </w:r>
      <w:r w:rsidRPr="77BC4F07">
        <w:rPr>
          <w:noProof/>
        </w:rPr>
        <w:t>E</w:t>
      </w:r>
      <w:r w:rsidR="0DC6EF10" w:rsidRPr="77BC4F07">
        <w:rPr>
          <w:noProof/>
        </w:rPr>
        <w:t>urope</w:t>
      </w:r>
      <w:r w:rsidRPr="77BC4F07">
        <w:rPr>
          <w:noProof/>
        </w:rPr>
        <w:t xml:space="preserve"> </w:t>
      </w:r>
      <w:r w:rsidR="00601C47" w:rsidRPr="77BC4F07">
        <w:rPr>
          <w:noProof/>
        </w:rPr>
        <w:t xml:space="preserve">adopted a Decision to </w:t>
      </w:r>
      <w:r w:rsidRPr="77BC4F07">
        <w:rPr>
          <w:noProof/>
        </w:rPr>
        <w:t>set up a</w:t>
      </w:r>
      <w:r w:rsidR="00F901E6">
        <w:rPr>
          <w:noProof/>
        </w:rPr>
        <w:t>n ad hoc</w:t>
      </w:r>
      <w:r w:rsidRPr="77BC4F07">
        <w:rPr>
          <w:noProof/>
        </w:rPr>
        <w:t xml:space="preserve"> </w:t>
      </w:r>
      <w:r w:rsidR="002C5812" w:rsidRPr="002C5812">
        <w:rPr>
          <w:noProof/>
        </w:rPr>
        <w:t>Working Party on the Special Tribunal for the Crime of Aggression against Ukraine (GT-TRIBUNAL)</w:t>
      </w:r>
      <w:r w:rsidR="00A04336">
        <w:rPr>
          <w:rStyle w:val="FootnoteReference"/>
          <w:noProof/>
        </w:rPr>
        <w:footnoteReference w:id="12"/>
      </w:r>
      <w:r w:rsidR="002C5812" w:rsidRPr="002C5812">
        <w:rPr>
          <w:noProof/>
        </w:rPr>
        <w:t>,</w:t>
      </w:r>
      <w:r w:rsidR="002C5812">
        <w:rPr>
          <w:noProof/>
        </w:rPr>
        <w:t xml:space="preserve"> </w:t>
      </w:r>
      <w:r w:rsidRPr="77BC4F07">
        <w:rPr>
          <w:noProof/>
        </w:rPr>
        <w:t xml:space="preserve">with the mandate to </w:t>
      </w:r>
      <w:r w:rsidR="005B5EAB">
        <w:rPr>
          <w:noProof/>
        </w:rPr>
        <w:t xml:space="preserve">examine the draft legal instruments and to </w:t>
      </w:r>
      <w:r w:rsidRPr="77BC4F07">
        <w:rPr>
          <w:noProof/>
        </w:rPr>
        <w:t xml:space="preserve">prepare the </w:t>
      </w:r>
      <w:r w:rsidR="005B5EAB">
        <w:rPr>
          <w:noProof/>
        </w:rPr>
        <w:t xml:space="preserve">required decisions to establish the Special Tribunal within the framework of the Council of Europe. Accordingly, </w:t>
      </w:r>
      <w:r w:rsidR="00C96038">
        <w:rPr>
          <w:noProof/>
        </w:rPr>
        <w:t>o</w:t>
      </w:r>
      <w:r w:rsidR="00C96038" w:rsidRPr="00C96038">
        <w:rPr>
          <w:noProof/>
        </w:rPr>
        <w:t>n 24 June 2025, the Committee of Ministers of the Council of Europe</w:t>
      </w:r>
      <w:r w:rsidR="00A36557">
        <w:rPr>
          <w:noProof/>
        </w:rPr>
        <w:t xml:space="preserve"> </w:t>
      </w:r>
      <w:r w:rsidR="00C96038" w:rsidRPr="00C96038">
        <w:rPr>
          <w:noProof/>
        </w:rPr>
        <w:t>a</w:t>
      </w:r>
      <w:r w:rsidR="006825AA">
        <w:rPr>
          <w:noProof/>
        </w:rPr>
        <w:t>dopted a Decision</w:t>
      </w:r>
      <w:r w:rsidR="006825AA">
        <w:rPr>
          <w:rStyle w:val="FootnoteReference"/>
          <w:noProof/>
        </w:rPr>
        <w:footnoteReference w:id="13"/>
      </w:r>
      <w:r w:rsidR="006825AA">
        <w:rPr>
          <w:noProof/>
        </w:rPr>
        <w:t xml:space="preserve"> authorising </w:t>
      </w:r>
      <w:r w:rsidR="00B614DB" w:rsidRPr="00B614DB">
        <w:rPr>
          <w:noProof/>
        </w:rPr>
        <w:t xml:space="preserve">(i) </w:t>
      </w:r>
      <w:r w:rsidR="00C96038" w:rsidRPr="00C96038">
        <w:rPr>
          <w:noProof/>
        </w:rPr>
        <w:t xml:space="preserve">the Secretary-General of the Council of </w:t>
      </w:r>
      <w:r w:rsidR="00C96038" w:rsidRPr="00B614DB">
        <w:rPr>
          <w:noProof/>
        </w:rPr>
        <w:t>Europe to sign</w:t>
      </w:r>
      <w:r w:rsidR="00C96038" w:rsidRPr="00C96038">
        <w:rPr>
          <w:noProof/>
        </w:rPr>
        <w:t xml:space="preserve"> the Agreement between the Council of Europe and Ukraine on the Establishment of the Special Tribunal for the Crime of Aggression against Ukraine, to which the Statute of the Special Tribunal is annexed, on behalf of the Council of Europe, and (ii) </w:t>
      </w:r>
      <w:r w:rsidR="00C96038" w:rsidRPr="00B614DB">
        <w:rPr>
          <w:noProof/>
        </w:rPr>
        <w:t>the establishment</w:t>
      </w:r>
      <w:r w:rsidR="00B614DB">
        <w:rPr>
          <w:noProof/>
        </w:rPr>
        <w:t xml:space="preserve"> </w:t>
      </w:r>
      <w:r w:rsidR="00B614DB" w:rsidRPr="00B614DB">
        <w:rPr>
          <w:noProof/>
        </w:rPr>
        <w:t xml:space="preserve">of an </w:t>
      </w:r>
      <w:r w:rsidR="008E3107">
        <w:rPr>
          <w:noProof/>
        </w:rPr>
        <w:t>EPA</w:t>
      </w:r>
      <w:r w:rsidR="00B614DB" w:rsidRPr="00B614DB">
        <w:rPr>
          <w:noProof/>
        </w:rPr>
        <w:t xml:space="preserve"> on the Management Committee of the Special Tribunal for the Crime of Aggression against Ukraine by interested member or observer States of the Council of Europe, the European Union, and any other State that voted in favour of the United Nations General Assembly Resolution A/RES/ES-11/6 of 23 February 2023, or any State that participated in the Core Group</w:t>
      </w:r>
      <w:r w:rsidR="006C4214">
        <w:rPr>
          <w:noProof/>
        </w:rPr>
        <w:t xml:space="preserve">. </w:t>
      </w:r>
      <w:r w:rsidR="00A66A16" w:rsidRPr="77BC4F07">
        <w:rPr>
          <w:noProof/>
        </w:rPr>
        <w:t>On 25 June 202</w:t>
      </w:r>
      <w:r w:rsidR="00FC06D8">
        <w:rPr>
          <w:noProof/>
        </w:rPr>
        <w:t>5</w:t>
      </w:r>
      <w:r w:rsidR="00A66A16" w:rsidRPr="77BC4F07">
        <w:rPr>
          <w:noProof/>
        </w:rPr>
        <w:t xml:space="preserve">, </w:t>
      </w:r>
      <w:r w:rsidR="0068689B">
        <w:rPr>
          <w:noProof/>
        </w:rPr>
        <w:t xml:space="preserve">the </w:t>
      </w:r>
      <w:r w:rsidR="008E1EE4">
        <w:rPr>
          <w:noProof/>
        </w:rPr>
        <w:t>President</w:t>
      </w:r>
      <w:r w:rsidR="00A66A16" w:rsidRPr="77BC4F07">
        <w:rPr>
          <w:noProof/>
        </w:rPr>
        <w:t xml:space="preserve"> </w:t>
      </w:r>
      <w:r w:rsidR="0068689B">
        <w:rPr>
          <w:noProof/>
        </w:rPr>
        <w:t xml:space="preserve">of Ukraine </w:t>
      </w:r>
      <w:r w:rsidR="00A66A16" w:rsidRPr="77BC4F07">
        <w:rPr>
          <w:noProof/>
        </w:rPr>
        <w:t>and the</w:t>
      </w:r>
      <w:r w:rsidR="008E1EE4">
        <w:rPr>
          <w:noProof/>
        </w:rPr>
        <w:t xml:space="preserve"> Secretary-General of the</w:t>
      </w:r>
      <w:r w:rsidR="00A66A16" w:rsidRPr="77BC4F07">
        <w:rPr>
          <w:noProof/>
        </w:rPr>
        <w:t xml:space="preserve"> Council of Europe signed the Agreement</w:t>
      </w:r>
      <w:r w:rsidR="000E7A7F">
        <w:rPr>
          <w:rStyle w:val="FootnoteReference"/>
          <w:noProof/>
        </w:rPr>
        <w:footnoteReference w:id="14"/>
      </w:r>
      <w:r w:rsidR="00A66A16" w:rsidRPr="77BC4F07">
        <w:rPr>
          <w:noProof/>
        </w:rPr>
        <w:t xml:space="preserve"> </w:t>
      </w:r>
      <w:r w:rsidR="008E1EE4">
        <w:rPr>
          <w:noProof/>
        </w:rPr>
        <w:t xml:space="preserve">on the </w:t>
      </w:r>
      <w:r w:rsidR="00A66A16" w:rsidRPr="77BC4F07">
        <w:rPr>
          <w:noProof/>
        </w:rPr>
        <w:t>establish</w:t>
      </w:r>
      <w:r w:rsidR="008E1EE4">
        <w:rPr>
          <w:noProof/>
        </w:rPr>
        <w:t>ment of</w:t>
      </w:r>
      <w:r w:rsidR="00A66A16" w:rsidRPr="77BC4F07">
        <w:rPr>
          <w:noProof/>
        </w:rPr>
        <w:t xml:space="preserve"> the Special Tribunal</w:t>
      </w:r>
      <w:r w:rsidR="00A85C73" w:rsidRPr="77BC4F07">
        <w:rPr>
          <w:noProof/>
        </w:rPr>
        <w:t>.</w:t>
      </w:r>
      <w:r w:rsidR="00A36557">
        <w:rPr>
          <w:noProof/>
        </w:rPr>
        <w:t xml:space="preserve"> </w:t>
      </w:r>
      <w:r w:rsidR="00560AA6">
        <w:rPr>
          <w:noProof/>
        </w:rPr>
        <w:t xml:space="preserve">On 15 July 2025, the </w:t>
      </w:r>
      <w:r w:rsidR="00560AA6" w:rsidRPr="00560AA6">
        <w:rPr>
          <w:noProof/>
        </w:rPr>
        <w:t>Verkhovna Rada (Ukrainian Parliament)</w:t>
      </w:r>
      <w:r w:rsidR="00560AA6">
        <w:rPr>
          <w:noProof/>
        </w:rPr>
        <w:t xml:space="preserve"> adopted the law on the ratification of the A</w:t>
      </w:r>
      <w:r w:rsidR="00560AA6" w:rsidRPr="00560AA6">
        <w:rPr>
          <w:noProof/>
        </w:rPr>
        <w:t>greement</w:t>
      </w:r>
      <w:r w:rsidR="00560AA6">
        <w:rPr>
          <w:noProof/>
        </w:rPr>
        <w:t>.</w:t>
      </w:r>
    </w:p>
    <w:p w:rsidR="00761DDF" w:rsidRPr="00540D0E" w:rsidRDefault="00761DDF" w:rsidP="00853C97">
      <w:pPr>
        <w:rPr>
          <w:noProof/>
        </w:rPr>
      </w:pPr>
      <w:r w:rsidRPr="008E3107">
        <w:rPr>
          <w:noProof/>
        </w:rPr>
        <w:t xml:space="preserve">On 21 January 2026, </w:t>
      </w:r>
      <w:r w:rsidR="00867E97" w:rsidRPr="008E3107">
        <w:rPr>
          <w:noProof/>
        </w:rPr>
        <w:t>the Committee of Ministers of the Council of Europe adopted a Decision welcom</w:t>
      </w:r>
      <w:r w:rsidR="00F901E6">
        <w:rPr>
          <w:noProof/>
        </w:rPr>
        <w:t>ing</w:t>
      </w:r>
      <w:r w:rsidR="00867E97" w:rsidRPr="008E3107">
        <w:rPr>
          <w:noProof/>
        </w:rPr>
        <w:t xml:space="preserve"> the finalisation of the draft Resolution establishing the </w:t>
      </w:r>
      <w:r w:rsidR="008E3107">
        <w:rPr>
          <w:noProof/>
        </w:rPr>
        <w:t>EPA</w:t>
      </w:r>
      <w:r w:rsidR="00867E97" w:rsidRPr="008E3107">
        <w:rPr>
          <w:noProof/>
        </w:rPr>
        <w:t xml:space="preserve"> on the Management Committee of the Special Tribunal as well as </w:t>
      </w:r>
      <w:r w:rsidR="00840096">
        <w:rPr>
          <w:noProof/>
        </w:rPr>
        <w:t xml:space="preserve">the fact </w:t>
      </w:r>
      <w:r w:rsidR="00867E97" w:rsidRPr="008E3107">
        <w:rPr>
          <w:noProof/>
        </w:rPr>
        <w:t>that the Advance Team is ready to carry out its tasks as from 1 January 2026, thanks to a voluntary contribution of the European Union</w:t>
      </w:r>
      <w:r w:rsidR="00203F73" w:rsidRPr="008E3107">
        <w:rPr>
          <w:rStyle w:val="FootnoteReference"/>
          <w:noProof/>
        </w:rPr>
        <w:footnoteReference w:id="15"/>
      </w:r>
      <w:r w:rsidR="00867E97" w:rsidRPr="008E3107">
        <w:rPr>
          <w:noProof/>
        </w:rPr>
        <w:t xml:space="preserve">. </w:t>
      </w:r>
      <w:r w:rsidR="00652468" w:rsidRPr="008E3107">
        <w:rPr>
          <w:noProof/>
        </w:rPr>
        <w:t>Accordingly, o</w:t>
      </w:r>
      <w:r w:rsidR="00867E97" w:rsidRPr="008E3107">
        <w:rPr>
          <w:noProof/>
        </w:rPr>
        <w:t xml:space="preserve">n </w:t>
      </w:r>
      <w:r w:rsidR="007E4877">
        <w:rPr>
          <w:noProof/>
        </w:rPr>
        <w:t>22</w:t>
      </w:r>
      <w:r w:rsidR="00867E97" w:rsidRPr="008E3107">
        <w:rPr>
          <w:noProof/>
        </w:rPr>
        <w:t xml:space="preserve"> January 2026, the Council of Europe and the European Union </w:t>
      </w:r>
      <w:r w:rsidR="00652468" w:rsidRPr="008E3107">
        <w:rPr>
          <w:noProof/>
        </w:rPr>
        <w:t>signed</w:t>
      </w:r>
      <w:r w:rsidR="00867E97" w:rsidRPr="008E3107">
        <w:rPr>
          <w:noProof/>
        </w:rPr>
        <w:t xml:space="preserve"> a contribution agreement </w:t>
      </w:r>
      <w:r w:rsidR="00F901E6">
        <w:rPr>
          <w:noProof/>
        </w:rPr>
        <w:t xml:space="preserve">on a contribution </w:t>
      </w:r>
      <w:r w:rsidR="008E3107" w:rsidRPr="008E3107">
        <w:rPr>
          <w:noProof/>
        </w:rPr>
        <w:t xml:space="preserve">financed </w:t>
      </w:r>
      <w:r w:rsidR="00212444" w:rsidRPr="008E3107">
        <w:rPr>
          <w:noProof/>
        </w:rPr>
        <w:t>through the European Commission</w:t>
      </w:r>
      <w:r w:rsidR="00840096">
        <w:rPr>
          <w:noProof/>
        </w:rPr>
        <w:t>’</w:t>
      </w:r>
      <w:r w:rsidR="00212444" w:rsidRPr="008E3107">
        <w:rPr>
          <w:noProof/>
        </w:rPr>
        <w:t>s Service for Foreign Policy Instruments</w:t>
      </w:r>
      <w:r w:rsidR="000C718C">
        <w:rPr>
          <w:noProof/>
        </w:rPr>
        <w:t xml:space="preserve">. The agreement provides for a project of up to 24 months </w:t>
      </w:r>
      <w:r w:rsidR="00212444" w:rsidRPr="008E3107">
        <w:rPr>
          <w:noProof/>
        </w:rPr>
        <w:t>aim</w:t>
      </w:r>
      <w:r w:rsidR="000C718C">
        <w:rPr>
          <w:noProof/>
        </w:rPr>
        <w:t>ed</w:t>
      </w:r>
      <w:r w:rsidR="00212444" w:rsidRPr="008E3107">
        <w:rPr>
          <w:noProof/>
        </w:rPr>
        <w:t xml:space="preserve"> </w:t>
      </w:r>
      <w:r w:rsidR="000C718C">
        <w:rPr>
          <w:noProof/>
        </w:rPr>
        <w:t>at</w:t>
      </w:r>
      <w:r w:rsidR="000C718C" w:rsidRPr="008E3107">
        <w:rPr>
          <w:noProof/>
        </w:rPr>
        <w:t xml:space="preserve"> </w:t>
      </w:r>
      <w:r w:rsidR="000C718C">
        <w:rPr>
          <w:noProof/>
        </w:rPr>
        <w:t>setting up</w:t>
      </w:r>
      <w:r w:rsidR="000C718C" w:rsidRPr="008E3107">
        <w:rPr>
          <w:noProof/>
        </w:rPr>
        <w:t xml:space="preserve"> </w:t>
      </w:r>
      <w:r w:rsidR="00212444" w:rsidRPr="008E3107">
        <w:rPr>
          <w:noProof/>
        </w:rPr>
        <w:t>a</w:t>
      </w:r>
      <w:r w:rsidR="00843265" w:rsidRPr="008E3107">
        <w:rPr>
          <w:noProof/>
        </w:rPr>
        <w:t>n</w:t>
      </w:r>
      <w:r w:rsidR="00212444" w:rsidRPr="008E3107">
        <w:rPr>
          <w:noProof/>
        </w:rPr>
        <w:t xml:space="preserve"> </w:t>
      </w:r>
      <w:r w:rsidR="00843265" w:rsidRPr="008E3107">
        <w:rPr>
          <w:noProof/>
        </w:rPr>
        <w:t xml:space="preserve">Advance </w:t>
      </w:r>
      <w:r w:rsidR="00840096">
        <w:rPr>
          <w:noProof/>
        </w:rPr>
        <w:t>T</w:t>
      </w:r>
      <w:r w:rsidR="00212444" w:rsidRPr="008E3107">
        <w:rPr>
          <w:noProof/>
        </w:rPr>
        <w:t>eam to prepare the institutional, logistical and organisational foundations of the</w:t>
      </w:r>
      <w:r w:rsidR="00652468" w:rsidRPr="008E3107">
        <w:rPr>
          <w:noProof/>
        </w:rPr>
        <w:t xml:space="preserve"> next phases of the</w:t>
      </w:r>
      <w:r w:rsidR="00212444" w:rsidRPr="008E3107">
        <w:rPr>
          <w:noProof/>
        </w:rPr>
        <w:t xml:space="preserve"> Special Tribunal.</w:t>
      </w:r>
    </w:p>
    <w:p w:rsidR="002C042E" w:rsidRDefault="00AA0199">
      <w:pPr>
        <w:pBdr>
          <w:top w:val="nil"/>
          <w:left w:val="nil"/>
          <w:bottom w:val="nil"/>
          <w:right w:val="nil"/>
          <w:between w:val="nil"/>
        </w:pBdr>
        <w:spacing w:before="0" w:after="240"/>
        <w:rPr>
          <w:rFonts w:eastAsia="Times New Roman"/>
          <w:noProof/>
          <w:szCs w:val="24"/>
        </w:rPr>
      </w:pPr>
      <w:r>
        <w:rPr>
          <w:rFonts w:eastAsia="Times New Roman"/>
          <w:noProof/>
        </w:rPr>
        <w:t>Pursuant to Article 1</w:t>
      </w:r>
      <w:r w:rsidR="00F901E6">
        <w:rPr>
          <w:rFonts w:eastAsia="Times New Roman"/>
          <w:noProof/>
        </w:rPr>
        <w:t>(2)</w:t>
      </w:r>
      <w:r>
        <w:rPr>
          <w:rFonts w:eastAsia="Times New Roman"/>
          <w:noProof/>
        </w:rPr>
        <w:t xml:space="preserve"> of the EPA, its objective </w:t>
      </w:r>
      <w:r w:rsidR="005A05FD">
        <w:rPr>
          <w:rFonts w:eastAsia="Times New Roman"/>
          <w:noProof/>
        </w:rPr>
        <w:t xml:space="preserve">is </w:t>
      </w:r>
      <w:r w:rsidRPr="00AA0199">
        <w:rPr>
          <w:rFonts w:eastAsia="Times New Roman"/>
          <w:noProof/>
        </w:rPr>
        <w:t>to financ</w:t>
      </w:r>
      <w:r w:rsidR="00F901E6">
        <w:rPr>
          <w:rFonts w:eastAsia="Times New Roman"/>
          <w:noProof/>
        </w:rPr>
        <w:t>e</w:t>
      </w:r>
      <w:r w:rsidRPr="00AA0199">
        <w:rPr>
          <w:rFonts w:eastAsia="Times New Roman"/>
          <w:noProof/>
        </w:rPr>
        <w:t xml:space="preserve"> the Special Tribunal and to </w:t>
      </w:r>
      <w:r w:rsidR="00F6558B">
        <w:rPr>
          <w:rFonts w:eastAsia="Times New Roman"/>
          <w:noProof/>
        </w:rPr>
        <w:t>assist in</w:t>
      </w:r>
      <w:r w:rsidR="00F6558B" w:rsidRPr="00AA0199">
        <w:rPr>
          <w:rFonts w:eastAsia="Times New Roman"/>
          <w:noProof/>
        </w:rPr>
        <w:t xml:space="preserve"> </w:t>
      </w:r>
      <w:r w:rsidRPr="00AA0199">
        <w:rPr>
          <w:rFonts w:eastAsia="Times New Roman"/>
          <w:noProof/>
        </w:rPr>
        <w:t>other administrative and managerial aspects of its operation</w:t>
      </w:r>
      <w:r w:rsidR="00F901E6">
        <w:rPr>
          <w:rFonts w:eastAsia="Times New Roman"/>
          <w:noProof/>
        </w:rPr>
        <w:t xml:space="preserve"> for the purpose of</w:t>
      </w:r>
      <w:r w:rsidRPr="00AA0199">
        <w:rPr>
          <w:rFonts w:eastAsia="Times New Roman"/>
          <w:noProof/>
        </w:rPr>
        <w:t xml:space="preserve"> </w:t>
      </w:r>
      <w:r w:rsidRPr="00AA0199">
        <w:rPr>
          <w:rFonts w:eastAsia="Times New Roman"/>
          <w:noProof/>
        </w:rPr>
        <w:lastRenderedPageBreak/>
        <w:t xml:space="preserve">enabling the Special Tribunal to </w:t>
      </w:r>
      <w:r w:rsidR="000C718C">
        <w:rPr>
          <w:rFonts w:eastAsia="Times New Roman"/>
          <w:noProof/>
        </w:rPr>
        <w:t>fulfil</w:t>
      </w:r>
      <w:r w:rsidR="000C718C" w:rsidRPr="00AA0199">
        <w:rPr>
          <w:rFonts w:eastAsia="Times New Roman"/>
          <w:noProof/>
        </w:rPr>
        <w:t xml:space="preserve"> </w:t>
      </w:r>
      <w:r w:rsidRPr="00AA0199">
        <w:rPr>
          <w:rFonts w:eastAsia="Times New Roman"/>
          <w:noProof/>
        </w:rPr>
        <w:t>its mandate</w:t>
      </w:r>
      <w:r w:rsidR="00B229BA">
        <w:rPr>
          <w:rFonts w:eastAsia="Times New Roman"/>
          <w:noProof/>
        </w:rPr>
        <w:t>.</w:t>
      </w:r>
      <w:r w:rsidR="00042DC5">
        <w:rPr>
          <w:rFonts w:eastAsia="Times New Roman"/>
          <w:noProof/>
        </w:rPr>
        <w:t xml:space="preserve"> </w:t>
      </w:r>
      <w:r w:rsidR="006817E1" w:rsidRPr="00DD14F4">
        <w:rPr>
          <w:rFonts w:eastAsia="Times New Roman"/>
          <w:noProof/>
        </w:rPr>
        <w:t>In particular, as provided by the EPA, the</w:t>
      </w:r>
      <w:r w:rsidR="002C042E">
        <w:rPr>
          <w:rFonts w:eastAsia="Times New Roman"/>
          <w:noProof/>
        </w:rPr>
        <w:t xml:space="preserve"> </w:t>
      </w:r>
      <w:r w:rsidR="006817E1" w:rsidRPr="00DD14F4">
        <w:rPr>
          <w:rFonts w:eastAsia="Times New Roman"/>
          <w:noProof/>
        </w:rPr>
        <w:t>Management Committee</w:t>
      </w:r>
      <w:r w:rsidR="002C042E">
        <w:rPr>
          <w:rFonts w:eastAsia="Times New Roman"/>
          <w:noProof/>
        </w:rPr>
        <w:t>, established as a platform for intergovernmental cooperation,</w:t>
      </w:r>
      <w:r w:rsidR="006817E1" w:rsidRPr="00DD14F4">
        <w:rPr>
          <w:rFonts w:eastAsia="Times New Roman"/>
          <w:noProof/>
        </w:rPr>
        <w:t xml:space="preserve"> </w:t>
      </w:r>
      <w:r w:rsidR="006817E1" w:rsidRPr="00AC781E">
        <w:rPr>
          <w:rFonts w:eastAsia="Times New Roman"/>
          <w:noProof/>
          <w:szCs w:val="24"/>
        </w:rPr>
        <w:t>sh</w:t>
      </w:r>
      <w:r w:rsidR="006817E1">
        <w:rPr>
          <w:rFonts w:eastAsia="Times New Roman"/>
          <w:noProof/>
          <w:szCs w:val="24"/>
        </w:rPr>
        <w:t>ould</w:t>
      </w:r>
      <w:r w:rsidR="006817E1" w:rsidRPr="00AC781E">
        <w:rPr>
          <w:rFonts w:eastAsia="Times New Roman"/>
          <w:noProof/>
          <w:szCs w:val="24"/>
        </w:rPr>
        <w:t xml:space="preserve"> convene as often as necessary and at least once </w:t>
      </w:r>
      <w:r w:rsidR="0099646B">
        <w:rPr>
          <w:rFonts w:eastAsia="Times New Roman"/>
          <w:noProof/>
          <w:szCs w:val="24"/>
        </w:rPr>
        <w:t xml:space="preserve">a </w:t>
      </w:r>
      <w:r w:rsidR="006817E1" w:rsidRPr="00AC781E">
        <w:rPr>
          <w:rFonts w:eastAsia="Times New Roman"/>
          <w:noProof/>
          <w:szCs w:val="24"/>
        </w:rPr>
        <w:t>year. Decisions sh</w:t>
      </w:r>
      <w:r w:rsidR="006817E1">
        <w:rPr>
          <w:rFonts w:eastAsia="Times New Roman"/>
          <w:noProof/>
          <w:szCs w:val="24"/>
        </w:rPr>
        <w:t>ould</w:t>
      </w:r>
      <w:r w:rsidR="006817E1" w:rsidRPr="00AC781E">
        <w:rPr>
          <w:rFonts w:eastAsia="Times New Roman"/>
          <w:noProof/>
          <w:szCs w:val="24"/>
        </w:rPr>
        <w:t xml:space="preserve"> be adopted by a two-thirds majority vote of its members. </w:t>
      </w:r>
      <w:r w:rsidR="006817E1" w:rsidRPr="00DD14F4">
        <w:rPr>
          <w:rFonts w:eastAsia="Times New Roman"/>
          <w:noProof/>
        </w:rPr>
        <w:t xml:space="preserve">The Management Committee </w:t>
      </w:r>
      <w:r w:rsidR="006817E1" w:rsidRPr="00AC781E">
        <w:rPr>
          <w:rFonts w:eastAsia="Times New Roman"/>
          <w:noProof/>
          <w:szCs w:val="24"/>
        </w:rPr>
        <w:t>sh</w:t>
      </w:r>
      <w:r w:rsidR="006817E1">
        <w:rPr>
          <w:rFonts w:eastAsia="Times New Roman"/>
          <w:noProof/>
          <w:szCs w:val="24"/>
        </w:rPr>
        <w:t>ould</w:t>
      </w:r>
      <w:r w:rsidR="006817E1" w:rsidRPr="00AC781E">
        <w:rPr>
          <w:rFonts w:eastAsia="Times New Roman"/>
          <w:noProof/>
          <w:szCs w:val="24"/>
        </w:rPr>
        <w:t xml:space="preserve"> be supported by a Secretariat, provided by the Secretary</w:t>
      </w:r>
      <w:r w:rsidR="006817E1">
        <w:rPr>
          <w:rFonts w:eastAsia="Times New Roman"/>
          <w:noProof/>
          <w:szCs w:val="24"/>
        </w:rPr>
        <w:t>-</w:t>
      </w:r>
      <w:r w:rsidR="006817E1" w:rsidRPr="00AC781E">
        <w:rPr>
          <w:rFonts w:eastAsia="Times New Roman"/>
          <w:noProof/>
          <w:szCs w:val="24"/>
        </w:rPr>
        <w:t>General</w:t>
      </w:r>
      <w:r w:rsidR="0099646B" w:rsidRPr="0099646B">
        <w:rPr>
          <w:rFonts w:eastAsia="Times New Roman"/>
          <w:noProof/>
          <w:szCs w:val="24"/>
        </w:rPr>
        <w:t xml:space="preserve"> </w:t>
      </w:r>
      <w:r w:rsidR="0099646B">
        <w:rPr>
          <w:rFonts w:eastAsia="Times New Roman"/>
          <w:noProof/>
          <w:szCs w:val="24"/>
        </w:rPr>
        <w:t>of the Council of Europe</w:t>
      </w:r>
      <w:r w:rsidR="006817E1" w:rsidRPr="00AC781E">
        <w:rPr>
          <w:rFonts w:eastAsia="Times New Roman"/>
          <w:noProof/>
          <w:szCs w:val="24"/>
        </w:rPr>
        <w:t xml:space="preserve">, which shall coordinate the </w:t>
      </w:r>
      <w:r w:rsidR="006817E1" w:rsidRPr="00DD14F4">
        <w:rPr>
          <w:rFonts w:eastAsia="Times New Roman"/>
          <w:noProof/>
        </w:rPr>
        <w:t xml:space="preserve">Committee’s </w:t>
      </w:r>
      <w:r w:rsidR="006817E1" w:rsidRPr="00AC781E">
        <w:rPr>
          <w:rFonts w:eastAsia="Times New Roman"/>
          <w:noProof/>
          <w:szCs w:val="24"/>
        </w:rPr>
        <w:t xml:space="preserve">activities and liaise with relevant national and international bodies on administrative and related matters. </w:t>
      </w:r>
    </w:p>
    <w:p w:rsidR="00F272E4" w:rsidRDefault="00863F33" w:rsidP="000C718C">
      <w:pPr>
        <w:rPr>
          <w:rFonts w:eastAsia="Times New Roman"/>
          <w:noProof/>
        </w:rPr>
      </w:pPr>
      <w:r w:rsidRPr="000C718C">
        <w:rPr>
          <w:rFonts w:eastAsia="Times New Roman"/>
          <w:noProof/>
        </w:rPr>
        <w:t>Under Article 3(1) of the EPA, the Union may become a Member of the Management Committee by notification to the Secretary</w:t>
      </w:r>
      <w:r w:rsidR="00FC06D8" w:rsidRPr="000C718C">
        <w:rPr>
          <w:rFonts w:eastAsia="Times New Roman"/>
          <w:noProof/>
        </w:rPr>
        <w:t>-</w:t>
      </w:r>
      <w:r w:rsidRPr="000C718C">
        <w:rPr>
          <w:rFonts w:eastAsia="Times New Roman"/>
          <w:noProof/>
        </w:rPr>
        <w:t xml:space="preserve">General of the Council of Europe. </w:t>
      </w:r>
      <w:r w:rsidR="00B614DB" w:rsidRPr="000C718C">
        <w:rPr>
          <w:rFonts w:eastAsia="Times New Roman"/>
          <w:noProof/>
        </w:rPr>
        <w:t>T</w:t>
      </w:r>
      <w:r w:rsidR="00547619" w:rsidRPr="000C718C">
        <w:rPr>
          <w:rFonts w:eastAsia="Times New Roman"/>
          <w:noProof/>
        </w:rPr>
        <w:t xml:space="preserve">he Management Committee </w:t>
      </w:r>
      <w:r w:rsidR="00770A3F" w:rsidRPr="000C718C">
        <w:rPr>
          <w:rFonts w:eastAsia="Times New Roman"/>
          <w:noProof/>
        </w:rPr>
        <w:t xml:space="preserve">will </w:t>
      </w:r>
      <w:r w:rsidR="00994048" w:rsidRPr="000C718C">
        <w:rPr>
          <w:rFonts w:eastAsia="Times New Roman"/>
          <w:noProof/>
        </w:rPr>
        <w:t xml:space="preserve">be entrusted, </w:t>
      </w:r>
      <w:r w:rsidR="00994048" w:rsidRPr="000C718C">
        <w:rPr>
          <w:rFonts w:eastAsia="Times New Roman"/>
          <w:i/>
          <w:iCs/>
          <w:noProof/>
        </w:rPr>
        <w:t>inter alia</w:t>
      </w:r>
      <w:r w:rsidR="00994048" w:rsidRPr="000C718C">
        <w:rPr>
          <w:rFonts w:eastAsia="Times New Roman"/>
          <w:noProof/>
        </w:rPr>
        <w:t>,</w:t>
      </w:r>
      <w:r w:rsidR="00547619" w:rsidRPr="000C718C">
        <w:rPr>
          <w:rFonts w:eastAsia="Times New Roman"/>
          <w:noProof/>
        </w:rPr>
        <w:t xml:space="preserve"> </w:t>
      </w:r>
      <w:r w:rsidR="00994048" w:rsidRPr="000C718C">
        <w:rPr>
          <w:rFonts w:eastAsia="Times New Roman"/>
          <w:noProof/>
        </w:rPr>
        <w:t xml:space="preserve">with </w:t>
      </w:r>
      <w:r w:rsidR="00547619" w:rsidRPr="000C718C">
        <w:rPr>
          <w:rFonts w:eastAsia="Times New Roman"/>
          <w:noProof/>
        </w:rPr>
        <w:t xml:space="preserve">the following </w:t>
      </w:r>
      <w:r w:rsidR="00994048" w:rsidRPr="000C718C">
        <w:rPr>
          <w:rFonts w:eastAsia="Times New Roman"/>
          <w:noProof/>
        </w:rPr>
        <w:t>functions</w:t>
      </w:r>
      <w:r w:rsidR="000C718C">
        <w:rPr>
          <w:rFonts w:eastAsia="Times New Roman"/>
          <w:noProof/>
        </w:rPr>
        <w:t>:</w:t>
      </w:r>
    </w:p>
    <w:p w:rsidR="007C6253" w:rsidRDefault="007C6253" w:rsidP="00C01665">
      <w:pPr>
        <w:pStyle w:val="Bullet0"/>
        <w:numPr>
          <w:ilvl w:val="0"/>
          <w:numId w:val="18"/>
        </w:numPr>
        <w:rPr>
          <w:noProof/>
        </w:rPr>
      </w:pPr>
      <w:r>
        <w:rPr>
          <w:noProof/>
        </w:rPr>
        <w:t>Ensur</w:t>
      </w:r>
      <w:r w:rsidR="0099646B">
        <w:rPr>
          <w:noProof/>
        </w:rPr>
        <w:t>ing</w:t>
      </w:r>
      <w:r>
        <w:rPr>
          <w:noProof/>
        </w:rPr>
        <w:t xml:space="preserve"> the provision of the necessary funding for the Special Tribunal and approve its annual budget;</w:t>
      </w:r>
    </w:p>
    <w:p w:rsidR="0F55EF2D" w:rsidRDefault="007C6253" w:rsidP="004915D8">
      <w:pPr>
        <w:pStyle w:val="Bullet0"/>
        <w:rPr>
          <w:noProof/>
        </w:rPr>
      </w:pPr>
      <w:r>
        <w:rPr>
          <w:noProof/>
        </w:rPr>
        <w:t>Provid</w:t>
      </w:r>
      <w:r w:rsidR="0099646B">
        <w:rPr>
          <w:noProof/>
        </w:rPr>
        <w:t>ing</w:t>
      </w:r>
      <w:r>
        <w:rPr>
          <w:noProof/>
        </w:rPr>
        <w:t xml:space="preserve"> non-judicial advice and policy direction on all administrative aspects of the operation of the Special Tribunal</w:t>
      </w:r>
      <w:r w:rsidR="000C718C">
        <w:rPr>
          <w:noProof/>
        </w:rPr>
        <w:t>;</w:t>
      </w:r>
    </w:p>
    <w:p w:rsidR="007C6253" w:rsidRPr="00AC781E" w:rsidRDefault="007C6253" w:rsidP="004915D8">
      <w:pPr>
        <w:pStyle w:val="Bullet0"/>
        <w:rPr>
          <w:noProof/>
        </w:rPr>
      </w:pPr>
      <w:r>
        <w:rPr>
          <w:noProof/>
        </w:rPr>
        <w:t>Elect</w:t>
      </w:r>
      <w:r w:rsidR="0099646B">
        <w:rPr>
          <w:noProof/>
        </w:rPr>
        <w:t>ing</w:t>
      </w:r>
      <w:r>
        <w:rPr>
          <w:noProof/>
        </w:rPr>
        <w:t xml:space="preserve"> judges, the Prosecutor and Deputy Prosecutor(s) of the Special Tribunal.</w:t>
      </w:r>
    </w:p>
    <w:p w:rsidR="00852AC7" w:rsidRPr="00B53306" w:rsidRDefault="00852AC7" w:rsidP="006E3764">
      <w:pPr>
        <w:pBdr>
          <w:top w:val="nil"/>
          <w:left w:val="nil"/>
          <w:bottom w:val="nil"/>
          <w:right w:val="nil"/>
          <w:between w:val="nil"/>
        </w:pBdr>
        <w:spacing w:before="0" w:after="240"/>
        <w:rPr>
          <w:rFonts w:eastAsia="Times New Roman"/>
          <w:noProof/>
          <w:szCs w:val="24"/>
        </w:rPr>
      </w:pPr>
      <w:r w:rsidRPr="00B53306">
        <w:rPr>
          <w:rFonts w:eastAsia="Times New Roman"/>
          <w:noProof/>
          <w:szCs w:val="24"/>
        </w:rPr>
        <w:t xml:space="preserve">Members </w:t>
      </w:r>
      <w:r w:rsidR="00BA0BB8" w:rsidRPr="00B53306">
        <w:rPr>
          <w:rFonts w:eastAsia="Times New Roman"/>
          <w:noProof/>
          <w:szCs w:val="24"/>
        </w:rPr>
        <w:t xml:space="preserve">of </w:t>
      </w:r>
      <w:r w:rsidRPr="00B53306">
        <w:rPr>
          <w:rFonts w:eastAsia="Times New Roman"/>
          <w:noProof/>
          <w:szCs w:val="24"/>
        </w:rPr>
        <w:t xml:space="preserve">the Management Committee are required to pay an annual compulsory contribution to be determined by the Management Committee in accordance with Article 8 of the EPA. </w:t>
      </w:r>
    </w:p>
    <w:p w:rsidR="00B53306" w:rsidRPr="009460B9" w:rsidRDefault="003E0677" w:rsidP="00B53306">
      <w:pPr>
        <w:pStyle w:val="xxnull"/>
        <w:jc w:val="both"/>
        <w:rPr>
          <w:rFonts w:ascii="Times New Roman" w:hAnsi="Times New Roman" w:cs="Times New Roman"/>
          <w:noProof/>
          <w:color w:val="000000" w:themeColor="text1"/>
          <w:sz w:val="24"/>
          <w:szCs w:val="24"/>
        </w:rPr>
      </w:pPr>
      <w:r w:rsidRPr="00B53306">
        <w:rPr>
          <w:rFonts w:ascii="Times New Roman" w:hAnsi="Times New Roman" w:cs="Times New Roman"/>
          <w:noProof/>
          <w:sz w:val="24"/>
          <w:szCs w:val="24"/>
        </w:rPr>
        <w:t xml:space="preserve">Pending the provision of </w:t>
      </w:r>
      <w:r w:rsidR="00840096" w:rsidRPr="00B53306">
        <w:rPr>
          <w:rFonts w:ascii="Times New Roman" w:hAnsi="Times New Roman" w:cs="Times New Roman"/>
          <w:noProof/>
          <w:sz w:val="24"/>
          <w:szCs w:val="24"/>
        </w:rPr>
        <w:t xml:space="preserve">information </w:t>
      </w:r>
      <w:r w:rsidRPr="00B53306">
        <w:rPr>
          <w:rFonts w:ascii="Times New Roman" w:hAnsi="Times New Roman" w:cs="Times New Roman"/>
          <w:noProof/>
          <w:sz w:val="24"/>
          <w:szCs w:val="24"/>
        </w:rPr>
        <w:t>regarding the overall budgetary implications of the Special Tribunal</w:t>
      </w:r>
      <w:r w:rsidR="00F06160" w:rsidRPr="00B53306">
        <w:rPr>
          <w:rFonts w:ascii="Times New Roman" w:hAnsi="Times New Roman" w:cs="Times New Roman"/>
          <w:noProof/>
          <w:sz w:val="24"/>
          <w:szCs w:val="24"/>
        </w:rPr>
        <w:t>’s full judicial activities and to support ratification procedures at national level</w:t>
      </w:r>
      <w:r w:rsidRPr="00B53306">
        <w:rPr>
          <w:rFonts w:ascii="Times New Roman" w:hAnsi="Times New Roman" w:cs="Times New Roman"/>
          <w:noProof/>
          <w:sz w:val="24"/>
          <w:szCs w:val="24"/>
        </w:rPr>
        <w:t xml:space="preserve">, the Council of Europe has adopted a </w:t>
      </w:r>
      <w:r w:rsidRPr="009460B9">
        <w:rPr>
          <w:rFonts w:ascii="Times New Roman" w:hAnsi="Times New Roman" w:cs="Times New Roman"/>
          <w:noProof/>
          <w:sz w:val="24"/>
          <w:szCs w:val="24"/>
        </w:rPr>
        <w:t xml:space="preserve">phased approach </w:t>
      </w:r>
      <w:r w:rsidR="00F06160" w:rsidRPr="009460B9">
        <w:rPr>
          <w:rFonts w:ascii="Times New Roman" w:hAnsi="Times New Roman" w:cs="Times New Roman"/>
          <w:noProof/>
          <w:sz w:val="24"/>
          <w:szCs w:val="24"/>
        </w:rPr>
        <w:t>for</w:t>
      </w:r>
      <w:r w:rsidRPr="009460B9">
        <w:rPr>
          <w:rFonts w:ascii="Times New Roman" w:hAnsi="Times New Roman" w:cs="Times New Roman"/>
          <w:noProof/>
          <w:sz w:val="24"/>
          <w:szCs w:val="24"/>
        </w:rPr>
        <w:t xml:space="preserve"> the entry into force of the EPA</w:t>
      </w:r>
      <w:r w:rsidR="003F2BD9" w:rsidRPr="009460B9">
        <w:rPr>
          <w:rFonts w:ascii="Times New Roman" w:hAnsi="Times New Roman" w:cs="Times New Roman"/>
          <w:noProof/>
          <w:sz w:val="24"/>
          <w:szCs w:val="24"/>
        </w:rPr>
        <w:t>, distinguishing between the adoption of the Resolution establishing the framework</w:t>
      </w:r>
      <w:r w:rsidR="00121892" w:rsidRPr="009460B9">
        <w:rPr>
          <w:rFonts w:ascii="Times New Roman" w:hAnsi="Times New Roman" w:cs="Times New Roman"/>
          <w:noProof/>
          <w:sz w:val="24"/>
          <w:szCs w:val="24"/>
        </w:rPr>
        <w:t>,</w:t>
      </w:r>
      <w:r w:rsidR="003F2BD9" w:rsidRPr="009460B9">
        <w:rPr>
          <w:rFonts w:ascii="Times New Roman" w:hAnsi="Times New Roman" w:cs="Times New Roman"/>
          <w:noProof/>
          <w:sz w:val="24"/>
          <w:szCs w:val="24"/>
        </w:rPr>
        <w:t xml:space="preserve"> </w:t>
      </w:r>
      <w:r w:rsidR="00121892" w:rsidRPr="009460B9">
        <w:rPr>
          <w:rFonts w:ascii="Times New Roman" w:hAnsi="Times New Roman" w:cs="Times New Roman"/>
          <w:noProof/>
          <w:sz w:val="24"/>
          <w:szCs w:val="24"/>
        </w:rPr>
        <w:t xml:space="preserve">namely the statute, </w:t>
      </w:r>
      <w:r w:rsidR="003F2BD9" w:rsidRPr="009460B9">
        <w:rPr>
          <w:rFonts w:ascii="Times New Roman" w:hAnsi="Times New Roman" w:cs="Times New Roman"/>
          <w:noProof/>
          <w:sz w:val="24"/>
          <w:szCs w:val="24"/>
        </w:rPr>
        <w:t>and its subsequent entry into force</w:t>
      </w:r>
      <w:r w:rsidRPr="009460B9">
        <w:rPr>
          <w:rFonts w:ascii="Times New Roman" w:hAnsi="Times New Roman" w:cs="Times New Roman"/>
          <w:noProof/>
          <w:sz w:val="24"/>
          <w:szCs w:val="24"/>
        </w:rPr>
        <w:t xml:space="preserve">. </w:t>
      </w:r>
      <w:bookmarkStart w:id="2" w:name="_Hlk224543033"/>
      <w:r w:rsidR="006857DE" w:rsidRPr="009460B9">
        <w:rPr>
          <w:rFonts w:ascii="Times New Roman" w:hAnsi="Times New Roman" w:cs="Times New Roman"/>
          <w:noProof/>
          <w:sz w:val="24"/>
          <w:szCs w:val="24"/>
        </w:rPr>
        <w:t>The draft Decision of the Committee of Ministers of the Council of Europe, as approved by the GT-TRIBUNAL</w:t>
      </w:r>
      <w:r w:rsidR="0064039E" w:rsidRPr="009460B9">
        <w:rPr>
          <w:rFonts w:ascii="Times New Roman" w:hAnsi="Times New Roman" w:cs="Times New Roman"/>
          <w:noProof/>
          <w:sz w:val="24"/>
          <w:szCs w:val="24"/>
        </w:rPr>
        <w:t xml:space="preserve"> on 12 March 2026</w:t>
      </w:r>
      <w:r w:rsidR="006857DE" w:rsidRPr="009460B9">
        <w:rPr>
          <w:rFonts w:ascii="Times New Roman" w:hAnsi="Times New Roman" w:cs="Times New Roman"/>
          <w:noProof/>
          <w:sz w:val="24"/>
          <w:szCs w:val="24"/>
        </w:rPr>
        <w:t xml:space="preserve">, provides that representatives of at least 16 member States of the Council of Europe, </w:t>
      </w:r>
      <w:r w:rsidR="00BB0A20" w:rsidRPr="009460B9">
        <w:rPr>
          <w:rFonts w:ascii="Times New Roman" w:hAnsi="Times New Roman" w:cs="Times New Roman"/>
          <w:noProof/>
          <w:sz w:val="24"/>
          <w:szCs w:val="24"/>
        </w:rPr>
        <w:t>as well as the representatives of</w:t>
      </w:r>
      <w:r w:rsidR="006857DE" w:rsidRPr="009460B9">
        <w:rPr>
          <w:rFonts w:ascii="Times New Roman" w:hAnsi="Times New Roman" w:cs="Times New Roman"/>
          <w:noProof/>
          <w:sz w:val="24"/>
          <w:szCs w:val="24"/>
        </w:rPr>
        <w:t xml:space="preserve"> the European Union, </w:t>
      </w:r>
      <w:r w:rsidR="00121892" w:rsidRPr="009460B9">
        <w:rPr>
          <w:rFonts w:ascii="Times New Roman" w:hAnsi="Times New Roman" w:cs="Times New Roman"/>
          <w:noProof/>
          <w:sz w:val="24"/>
          <w:szCs w:val="24"/>
        </w:rPr>
        <w:t>that have notified the Secretary</w:t>
      </w:r>
      <w:r w:rsidR="00747931" w:rsidRPr="009460B9">
        <w:rPr>
          <w:rFonts w:ascii="Times New Roman" w:hAnsi="Times New Roman" w:cs="Times New Roman"/>
          <w:noProof/>
          <w:sz w:val="24"/>
          <w:szCs w:val="24"/>
        </w:rPr>
        <w:t>-</w:t>
      </w:r>
      <w:r w:rsidR="00121892" w:rsidRPr="009460B9">
        <w:rPr>
          <w:rFonts w:ascii="Times New Roman" w:hAnsi="Times New Roman" w:cs="Times New Roman"/>
          <w:noProof/>
          <w:sz w:val="24"/>
          <w:szCs w:val="24"/>
        </w:rPr>
        <w:t xml:space="preserve">General of the Council of Europe of their intention to join the EPA, subject to the completion of internal procedures necessary to express their consent to be bound where applicable, </w:t>
      </w:r>
      <w:r w:rsidR="006857DE" w:rsidRPr="009460B9">
        <w:rPr>
          <w:rFonts w:ascii="Times New Roman" w:hAnsi="Times New Roman" w:cs="Times New Roman"/>
          <w:noProof/>
          <w:sz w:val="24"/>
          <w:szCs w:val="24"/>
        </w:rPr>
        <w:t xml:space="preserve">adopt a Resolution establishing the EPA with suspensive entry into force. </w:t>
      </w:r>
      <w:bookmarkEnd w:id="2"/>
      <w:r w:rsidR="006857DE" w:rsidRPr="009460B9">
        <w:rPr>
          <w:rFonts w:ascii="Times New Roman" w:hAnsi="Times New Roman" w:cs="Times New Roman"/>
          <w:noProof/>
          <w:sz w:val="24"/>
          <w:szCs w:val="24"/>
        </w:rPr>
        <w:t xml:space="preserve">In this context, the draft Decision stipulates that the Resolution will enter into force once the Committee of Ministers, in </w:t>
      </w:r>
      <w:r w:rsidR="00BB0A20" w:rsidRPr="009460B9">
        <w:rPr>
          <w:rFonts w:ascii="Times New Roman" w:hAnsi="Times New Roman" w:cs="Times New Roman"/>
          <w:noProof/>
          <w:sz w:val="24"/>
          <w:szCs w:val="24"/>
        </w:rPr>
        <w:t xml:space="preserve">its </w:t>
      </w:r>
      <w:r w:rsidR="006857DE" w:rsidRPr="009460B9">
        <w:rPr>
          <w:rFonts w:ascii="Times New Roman" w:hAnsi="Times New Roman" w:cs="Times New Roman"/>
          <w:noProof/>
          <w:sz w:val="24"/>
          <w:szCs w:val="24"/>
        </w:rPr>
        <w:t>composition restricted to those States and the European Union that have notified their intention to join the EPA</w:t>
      </w:r>
      <w:r w:rsidR="00BB0A20" w:rsidRPr="009460B9">
        <w:rPr>
          <w:rFonts w:ascii="Times New Roman" w:hAnsi="Times New Roman" w:cs="Times New Roman"/>
          <w:noProof/>
          <w:sz w:val="24"/>
          <w:szCs w:val="24"/>
        </w:rPr>
        <w:t>,</w:t>
      </w:r>
      <w:r w:rsidR="00A97DB2" w:rsidRPr="009460B9">
        <w:rPr>
          <w:rFonts w:ascii="Times New Roman" w:hAnsi="Times New Roman" w:cs="Times New Roman"/>
          <w:noProof/>
          <w:sz w:val="24"/>
          <w:szCs w:val="24"/>
        </w:rPr>
        <w:t xml:space="preserve"> and the completion of their internal procedures necessary to express their consent to be bound</w:t>
      </w:r>
      <w:r w:rsidR="00BB0A20" w:rsidRPr="009460B9">
        <w:rPr>
          <w:rFonts w:ascii="Times New Roman" w:hAnsi="Times New Roman" w:cs="Times New Roman"/>
          <w:noProof/>
          <w:sz w:val="24"/>
          <w:szCs w:val="24"/>
        </w:rPr>
        <w:t xml:space="preserve"> where applicable</w:t>
      </w:r>
      <w:r w:rsidR="006857DE" w:rsidRPr="009460B9">
        <w:rPr>
          <w:rFonts w:ascii="Times New Roman" w:hAnsi="Times New Roman" w:cs="Times New Roman"/>
          <w:noProof/>
          <w:sz w:val="24"/>
          <w:szCs w:val="24"/>
        </w:rPr>
        <w:t>, has decided that:</w:t>
      </w:r>
    </w:p>
    <w:p w:rsidR="00B53306" w:rsidRPr="009460B9" w:rsidRDefault="00CC4A2B" w:rsidP="00C01665">
      <w:pPr>
        <w:pStyle w:val="xxnull"/>
        <w:numPr>
          <w:ilvl w:val="0"/>
          <w:numId w:val="19"/>
        </w:numPr>
        <w:jc w:val="both"/>
        <w:rPr>
          <w:rFonts w:ascii="Times New Roman" w:hAnsi="Times New Roman" w:cs="Times New Roman"/>
          <w:noProof/>
          <w:color w:val="000000" w:themeColor="text1"/>
          <w:sz w:val="24"/>
          <w:szCs w:val="24"/>
        </w:rPr>
      </w:pPr>
      <w:r w:rsidRPr="009460B9">
        <w:rPr>
          <w:rFonts w:ascii="Times New Roman" w:hAnsi="Times New Roman" w:cs="Times New Roman"/>
          <w:noProof/>
          <w:color w:val="000000" w:themeColor="text1"/>
          <w:sz w:val="24"/>
          <w:szCs w:val="24"/>
        </w:rPr>
        <w:t>the</w:t>
      </w:r>
      <w:r w:rsidR="00B53306" w:rsidRPr="009460B9">
        <w:rPr>
          <w:rFonts w:ascii="Times New Roman" w:hAnsi="Times New Roman" w:cs="Times New Roman"/>
          <w:noProof/>
          <w:color w:val="000000" w:themeColor="text1"/>
          <w:sz w:val="24"/>
          <w:szCs w:val="24"/>
        </w:rPr>
        <w:t xml:space="preserve"> number </w:t>
      </w:r>
      <w:r w:rsidRPr="009460B9">
        <w:rPr>
          <w:rFonts w:ascii="Times New Roman" w:hAnsi="Times New Roman" w:cs="Times New Roman"/>
          <w:noProof/>
          <w:color w:val="000000" w:themeColor="text1"/>
          <w:sz w:val="24"/>
          <w:szCs w:val="24"/>
        </w:rPr>
        <w:t xml:space="preserve">of </w:t>
      </w:r>
      <w:r w:rsidR="00AD2ABA">
        <w:rPr>
          <w:rFonts w:ascii="Times New Roman" w:hAnsi="Times New Roman" w:cs="Times New Roman"/>
          <w:noProof/>
          <w:color w:val="000000" w:themeColor="text1"/>
          <w:sz w:val="24"/>
          <w:szCs w:val="24"/>
        </w:rPr>
        <w:t>S</w:t>
      </w:r>
      <w:r w:rsidRPr="009460B9">
        <w:rPr>
          <w:rFonts w:ascii="Times New Roman" w:hAnsi="Times New Roman" w:cs="Times New Roman"/>
          <w:noProof/>
          <w:color w:val="000000" w:themeColor="text1"/>
          <w:sz w:val="24"/>
          <w:szCs w:val="24"/>
        </w:rPr>
        <w:t>tates</w:t>
      </w:r>
      <w:r w:rsidR="00F869D8" w:rsidRPr="009460B9">
        <w:rPr>
          <w:rFonts w:ascii="Times New Roman" w:hAnsi="Times New Roman" w:cs="Times New Roman"/>
          <w:noProof/>
          <w:color w:val="000000" w:themeColor="text1"/>
          <w:sz w:val="24"/>
          <w:szCs w:val="24"/>
        </w:rPr>
        <w:t xml:space="preserve"> </w:t>
      </w:r>
      <w:r w:rsidR="00A97DB2" w:rsidRPr="009460B9">
        <w:rPr>
          <w:rFonts w:ascii="Times New Roman" w:hAnsi="Times New Roman" w:cs="Times New Roman"/>
          <w:noProof/>
          <w:color w:val="000000" w:themeColor="text1"/>
          <w:sz w:val="24"/>
          <w:szCs w:val="24"/>
        </w:rPr>
        <w:t xml:space="preserve">and the European Union </w:t>
      </w:r>
      <w:r w:rsidRPr="009460B9">
        <w:rPr>
          <w:rFonts w:ascii="Times New Roman" w:hAnsi="Times New Roman" w:cs="Times New Roman"/>
          <w:noProof/>
          <w:color w:val="000000" w:themeColor="text1"/>
          <w:sz w:val="24"/>
          <w:szCs w:val="24"/>
        </w:rPr>
        <w:t xml:space="preserve">who expressed </w:t>
      </w:r>
      <w:r w:rsidR="00F869D8" w:rsidRPr="009460B9">
        <w:rPr>
          <w:rFonts w:ascii="Times New Roman" w:hAnsi="Times New Roman" w:cs="Times New Roman"/>
          <w:noProof/>
          <w:color w:val="000000" w:themeColor="text1"/>
          <w:sz w:val="24"/>
          <w:szCs w:val="24"/>
        </w:rPr>
        <w:t xml:space="preserve">their </w:t>
      </w:r>
      <w:r w:rsidRPr="009460B9">
        <w:rPr>
          <w:rFonts w:ascii="Times New Roman" w:hAnsi="Times New Roman" w:cs="Times New Roman"/>
          <w:noProof/>
          <w:color w:val="000000" w:themeColor="text1"/>
          <w:sz w:val="24"/>
          <w:szCs w:val="24"/>
        </w:rPr>
        <w:t>intention to join</w:t>
      </w:r>
      <w:r w:rsidR="00F869D8" w:rsidRPr="009460B9">
        <w:rPr>
          <w:rFonts w:ascii="Times New Roman" w:hAnsi="Times New Roman" w:cs="Times New Roman"/>
          <w:noProof/>
          <w:color w:val="000000" w:themeColor="text1"/>
          <w:sz w:val="24"/>
          <w:szCs w:val="24"/>
        </w:rPr>
        <w:t xml:space="preserve">, including major contributors, </w:t>
      </w:r>
      <w:r w:rsidRPr="009460B9">
        <w:rPr>
          <w:rFonts w:ascii="Times New Roman" w:hAnsi="Times New Roman" w:cs="Times New Roman"/>
          <w:noProof/>
          <w:color w:val="000000" w:themeColor="text1"/>
          <w:sz w:val="24"/>
          <w:szCs w:val="24"/>
        </w:rPr>
        <w:t>is sufficient</w:t>
      </w:r>
      <w:r w:rsidR="00BB0A20" w:rsidRPr="009460B9">
        <w:rPr>
          <w:rFonts w:ascii="Times New Roman" w:hAnsi="Times New Roman" w:cs="Times New Roman"/>
          <w:noProof/>
          <w:color w:val="000000" w:themeColor="text1"/>
          <w:sz w:val="24"/>
          <w:szCs w:val="24"/>
        </w:rPr>
        <w:t xml:space="preserve"> for such entry into force, it being understood that this number will be higher than 16</w:t>
      </w:r>
      <w:r w:rsidR="00F869D8" w:rsidRPr="009460B9">
        <w:rPr>
          <w:rFonts w:ascii="Times New Roman" w:hAnsi="Times New Roman" w:cs="Times New Roman"/>
          <w:noProof/>
          <w:color w:val="000000" w:themeColor="text1"/>
          <w:sz w:val="24"/>
          <w:szCs w:val="24"/>
        </w:rPr>
        <w:t>;</w:t>
      </w:r>
    </w:p>
    <w:p w:rsidR="00B53306" w:rsidRPr="009460B9" w:rsidRDefault="00CC4A2B" w:rsidP="00C01665">
      <w:pPr>
        <w:pStyle w:val="xxnull"/>
        <w:numPr>
          <w:ilvl w:val="0"/>
          <w:numId w:val="19"/>
        </w:numPr>
        <w:jc w:val="both"/>
        <w:rPr>
          <w:rFonts w:ascii="Times New Roman" w:hAnsi="Times New Roman" w:cs="Times New Roman"/>
          <w:noProof/>
          <w:color w:val="000000" w:themeColor="text1"/>
          <w:sz w:val="24"/>
          <w:szCs w:val="24"/>
        </w:rPr>
      </w:pPr>
      <w:r w:rsidRPr="009460B9">
        <w:rPr>
          <w:rFonts w:ascii="Times New Roman" w:hAnsi="Times New Roman" w:cs="Times New Roman"/>
          <w:noProof/>
          <w:color w:val="000000" w:themeColor="text1"/>
          <w:sz w:val="24"/>
          <w:szCs w:val="24"/>
        </w:rPr>
        <w:t>the</w:t>
      </w:r>
      <w:r w:rsidR="00B53306" w:rsidRPr="009460B9">
        <w:rPr>
          <w:rFonts w:ascii="Times New Roman" w:hAnsi="Times New Roman" w:cs="Times New Roman"/>
          <w:noProof/>
          <w:color w:val="000000" w:themeColor="text1"/>
          <w:sz w:val="24"/>
          <w:szCs w:val="24"/>
        </w:rPr>
        <w:t xml:space="preserve"> budgetary parameters </w:t>
      </w:r>
      <w:r w:rsidRPr="009460B9">
        <w:rPr>
          <w:rFonts w:ascii="Times New Roman" w:hAnsi="Times New Roman" w:cs="Times New Roman"/>
          <w:noProof/>
          <w:color w:val="000000" w:themeColor="text1"/>
          <w:sz w:val="24"/>
          <w:szCs w:val="24"/>
        </w:rPr>
        <w:t>of the Tribunal’s operations are</w:t>
      </w:r>
      <w:r w:rsidR="00B53306" w:rsidRPr="009460B9">
        <w:rPr>
          <w:rFonts w:ascii="Times New Roman" w:hAnsi="Times New Roman" w:cs="Times New Roman"/>
          <w:noProof/>
          <w:color w:val="000000" w:themeColor="text1"/>
          <w:sz w:val="24"/>
          <w:szCs w:val="24"/>
        </w:rPr>
        <w:t xml:space="preserve"> </w:t>
      </w:r>
      <w:r w:rsidR="00AD2ABA">
        <w:rPr>
          <w:rFonts w:ascii="Times New Roman" w:hAnsi="Times New Roman" w:cs="Times New Roman"/>
          <w:noProof/>
          <w:color w:val="000000" w:themeColor="text1"/>
          <w:sz w:val="24"/>
          <w:szCs w:val="24"/>
        </w:rPr>
        <w:t xml:space="preserve">deemed </w:t>
      </w:r>
      <w:r w:rsidRPr="009460B9">
        <w:rPr>
          <w:rFonts w:ascii="Times New Roman" w:hAnsi="Times New Roman" w:cs="Times New Roman"/>
          <w:noProof/>
          <w:color w:val="000000" w:themeColor="text1"/>
          <w:sz w:val="24"/>
          <w:szCs w:val="24"/>
        </w:rPr>
        <w:t>adequate and acceptable;</w:t>
      </w:r>
    </w:p>
    <w:p w:rsidR="00B53306" w:rsidRPr="009460B9" w:rsidRDefault="00B53306" w:rsidP="00C01665">
      <w:pPr>
        <w:pStyle w:val="xxnull"/>
        <w:numPr>
          <w:ilvl w:val="0"/>
          <w:numId w:val="19"/>
        </w:numPr>
        <w:jc w:val="both"/>
        <w:rPr>
          <w:rFonts w:ascii="Times New Roman" w:hAnsi="Times New Roman" w:cs="Times New Roman"/>
          <w:noProof/>
          <w:color w:val="000000" w:themeColor="text1"/>
          <w:sz w:val="24"/>
          <w:szCs w:val="24"/>
        </w:rPr>
      </w:pPr>
      <w:r w:rsidRPr="009460B9">
        <w:rPr>
          <w:rFonts w:ascii="Times New Roman" w:hAnsi="Times New Roman" w:cs="Times New Roman"/>
          <w:noProof/>
          <w:color w:val="000000" w:themeColor="text1"/>
          <w:sz w:val="24"/>
          <w:szCs w:val="24"/>
        </w:rPr>
        <w:t xml:space="preserve">those </w:t>
      </w:r>
      <w:r w:rsidR="0030585F">
        <w:rPr>
          <w:rFonts w:ascii="Times New Roman" w:hAnsi="Times New Roman" w:cs="Times New Roman"/>
          <w:noProof/>
          <w:color w:val="000000" w:themeColor="text1"/>
          <w:sz w:val="24"/>
          <w:szCs w:val="24"/>
        </w:rPr>
        <w:t>States/European Union</w:t>
      </w:r>
      <w:r w:rsidR="0030585F" w:rsidRPr="009460B9">
        <w:rPr>
          <w:rFonts w:ascii="Times New Roman" w:hAnsi="Times New Roman" w:cs="Times New Roman"/>
          <w:noProof/>
          <w:color w:val="000000" w:themeColor="text1"/>
          <w:sz w:val="24"/>
          <w:szCs w:val="24"/>
        </w:rPr>
        <w:t xml:space="preserve"> </w:t>
      </w:r>
      <w:r w:rsidRPr="009460B9">
        <w:rPr>
          <w:rFonts w:ascii="Times New Roman" w:hAnsi="Times New Roman" w:cs="Times New Roman"/>
          <w:noProof/>
          <w:color w:val="000000" w:themeColor="text1"/>
          <w:sz w:val="24"/>
          <w:szCs w:val="24"/>
        </w:rPr>
        <w:t xml:space="preserve">who are major contributors of the </w:t>
      </w:r>
      <w:r w:rsidR="00CC4A2B" w:rsidRPr="009460B9">
        <w:rPr>
          <w:rFonts w:ascii="Times New Roman" w:hAnsi="Times New Roman" w:cs="Times New Roman"/>
          <w:noProof/>
          <w:color w:val="000000" w:themeColor="text1"/>
          <w:sz w:val="24"/>
          <w:szCs w:val="24"/>
        </w:rPr>
        <w:t>EPA</w:t>
      </w:r>
      <w:r w:rsidRPr="009460B9">
        <w:rPr>
          <w:rFonts w:ascii="Times New Roman" w:hAnsi="Times New Roman" w:cs="Times New Roman"/>
          <w:noProof/>
          <w:color w:val="000000" w:themeColor="text1"/>
          <w:sz w:val="24"/>
          <w:szCs w:val="24"/>
        </w:rPr>
        <w:t xml:space="preserve"> according to its scale of contributions</w:t>
      </w:r>
      <w:r w:rsidR="00BB0A20" w:rsidRPr="009460B9">
        <w:rPr>
          <w:rFonts w:ascii="Times New Roman" w:hAnsi="Times New Roman" w:cs="Times New Roman"/>
          <w:noProof/>
          <w:color w:val="000000" w:themeColor="text1"/>
          <w:sz w:val="24"/>
          <w:szCs w:val="24"/>
        </w:rPr>
        <w:t>,</w:t>
      </w:r>
      <w:r w:rsidRPr="009460B9">
        <w:rPr>
          <w:rFonts w:ascii="Times New Roman" w:hAnsi="Times New Roman" w:cs="Times New Roman"/>
          <w:noProof/>
          <w:color w:val="000000" w:themeColor="text1"/>
          <w:sz w:val="24"/>
          <w:szCs w:val="24"/>
        </w:rPr>
        <w:t xml:space="preserve"> have agreed to its entry into force</w:t>
      </w:r>
      <w:r w:rsidR="00CC4A2B" w:rsidRPr="009460B9">
        <w:rPr>
          <w:rFonts w:ascii="Times New Roman" w:hAnsi="Times New Roman" w:cs="Times New Roman"/>
          <w:noProof/>
          <w:color w:val="000000" w:themeColor="text1"/>
          <w:sz w:val="24"/>
          <w:szCs w:val="24"/>
        </w:rPr>
        <w:t>.</w:t>
      </w:r>
    </w:p>
    <w:p w:rsidR="00A83A78" w:rsidRDefault="00A97DB2" w:rsidP="00B53306">
      <w:pPr>
        <w:pStyle w:val="NormalWeb"/>
        <w:jc w:val="both"/>
        <w:rPr>
          <w:noProof/>
        </w:rPr>
      </w:pPr>
      <w:r w:rsidRPr="009460B9">
        <w:rPr>
          <w:noProof/>
        </w:rPr>
        <w:t>The aforementioned States and the European Union will be considered founding members of the E</w:t>
      </w:r>
      <w:r w:rsidR="00BB0A20" w:rsidRPr="009460B9">
        <w:rPr>
          <w:noProof/>
        </w:rPr>
        <w:t>PA</w:t>
      </w:r>
      <w:r w:rsidRPr="009460B9">
        <w:rPr>
          <w:noProof/>
        </w:rPr>
        <w:t xml:space="preserve"> </w:t>
      </w:r>
      <w:r w:rsidR="00A83A78" w:rsidRPr="009460B9">
        <w:rPr>
          <w:noProof/>
        </w:rPr>
        <w:t xml:space="preserve">and </w:t>
      </w:r>
      <w:r w:rsidR="00BB0A20" w:rsidRPr="009460B9">
        <w:rPr>
          <w:noProof/>
        </w:rPr>
        <w:t>are</w:t>
      </w:r>
      <w:r w:rsidR="00A83A78" w:rsidRPr="009460B9">
        <w:rPr>
          <w:noProof/>
        </w:rPr>
        <w:t xml:space="preserve"> entitled to participate in the adoption of the decision on the entry into force.</w:t>
      </w:r>
    </w:p>
    <w:p w:rsidR="00F06160" w:rsidRDefault="00E30F4E" w:rsidP="00B53306">
      <w:pPr>
        <w:pStyle w:val="NormalWeb"/>
        <w:jc w:val="both"/>
        <w:rPr>
          <w:noProof/>
        </w:rPr>
      </w:pPr>
      <w:r w:rsidRPr="00E03358">
        <w:rPr>
          <w:noProof/>
        </w:rPr>
        <w:t>Pursuant to</w:t>
      </w:r>
      <w:r w:rsidR="00104AAB" w:rsidRPr="00E03358">
        <w:rPr>
          <w:noProof/>
        </w:rPr>
        <w:t xml:space="preserve"> Article 3(5) </w:t>
      </w:r>
      <w:r w:rsidR="00DE15E1">
        <w:rPr>
          <w:noProof/>
        </w:rPr>
        <w:t>of the Treaty on European Union (</w:t>
      </w:r>
      <w:r w:rsidR="00A04336" w:rsidRPr="00E03358">
        <w:rPr>
          <w:noProof/>
        </w:rPr>
        <w:t>TEU</w:t>
      </w:r>
      <w:r w:rsidR="00DE15E1">
        <w:rPr>
          <w:noProof/>
        </w:rPr>
        <w:t>)</w:t>
      </w:r>
      <w:r w:rsidR="00A04336" w:rsidRPr="00E03358">
        <w:rPr>
          <w:noProof/>
        </w:rPr>
        <w:t xml:space="preserve">, </w:t>
      </w:r>
      <w:r w:rsidR="00104AAB" w:rsidRPr="00E03358">
        <w:rPr>
          <w:noProof/>
        </w:rPr>
        <w:t>the Union is to uphold and promote</w:t>
      </w:r>
      <w:r w:rsidR="00A04336" w:rsidRPr="00E03358">
        <w:rPr>
          <w:noProof/>
        </w:rPr>
        <w:t xml:space="preserve"> </w:t>
      </w:r>
      <w:r w:rsidR="004673B1" w:rsidRPr="00E03358">
        <w:rPr>
          <w:noProof/>
        </w:rPr>
        <w:t>its values</w:t>
      </w:r>
      <w:r w:rsidR="00A04336" w:rsidRPr="00E03358">
        <w:rPr>
          <w:noProof/>
        </w:rPr>
        <w:t xml:space="preserve"> </w:t>
      </w:r>
      <w:r w:rsidR="00104AAB" w:rsidRPr="00E03358">
        <w:rPr>
          <w:noProof/>
        </w:rPr>
        <w:t xml:space="preserve">and </w:t>
      </w:r>
      <w:r w:rsidR="004673B1" w:rsidRPr="00E03358">
        <w:rPr>
          <w:noProof/>
        </w:rPr>
        <w:t xml:space="preserve">contribute to the strict observance and the development of international </w:t>
      </w:r>
      <w:r w:rsidR="004673B1" w:rsidRPr="00E03358">
        <w:rPr>
          <w:noProof/>
        </w:rPr>
        <w:lastRenderedPageBreak/>
        <w:t>law, including respect for the principles of the United Nations Charter.</w:t>
      </w:r>
      <w:r w:rsidR="00104AAB" w:rsidRPr="00E03358">
        <w:rPr>
          <w:noProof/>
        </w:rPr>
        <w:t xml:space="preserve"> </w:t>
      </w:r>
      <w:r w:rsidR="00051114" w:rsidRPr="002E7D8B">
        <w:rPr>
          <w:noProof/>
        </w:rPr>
        <w:t xml:space="preserve">Under Article 21(2) and (3) TEU these principles also guide the Union action on the international scene. </w:t>
      </w:r>
    </w:p>
    <w:p w:rsidR="002E69FE" w:rsidRDefault="00CF12F8" w:rsidP="004915D8">
      <w:pPr>
        <w:rPr>
          <w:noProof/>
        </w:rPr>
      </w:pPr>
      <w:r w:rsidRPr="00E03358">
        <w:rPr>
          <w:noProof/>
        </w:rPr>
        <w:t>Th</w:t>
      </w:r>
      <w:r w:rsidR="00051114" w:rsidRPr="00E03358">
        <w:rPr>
          <w:noProof/>
        </w:rPr>
        <w:t xml:space="preserve">e </w:t>
      </w:r>
      <w:r w:rsidR="008C40A4" w:rsidRPr="00E03358">
        <w:rPr>
          <w:noProof/>
        </w:rPr>
        <w:t>S</w:t>
      </w:r>
      <w:r w:rsidR="00051114" w:rsidRPr="00E03358">
        <w:rPr>
          <w:noProof/>
        </w:rPr>
        <w:t>pecial</w:t>
      </w:r>
      <w:r w:rsidR="008C40A4" w:rsidRPr="00E03358">
        <w:rPr>
          <w:noProof/>
        </w:rPr>
        <w:t xml:space="preserve"> T</w:t>
      </w:r>
      <w:r w:rsidRPr="00E03358">
        <w:rPr>
          <w:noProof/>
        </w:rPr>
        <w:t xml:space="preserve">ribunal has the purpose of </w:t>
      </w:r>
      <w:r w:rsidR="00051114" w:rsidRPr="00E03358">
        <w:rPr>
          <w:noProof/>
        </w:rPr>
        <w:t>prosecut</w:t>
      </w:r>
      <w:r w:rsidR="007D111F" w:rsidRPr="00E03358">
        <w:rPr>
          <w:noProof/>
        </w:rPr>
        <w:t xml:space="preserve">ing and trying </w:t>
      </w:r>
      <w:r w:rsidR="00051114" w:rsidRPr="00E03358">
        <w:rPr>
          <w:noProof/>
        </w:rPr>
        <w:t xml:space="preserve">political and military leaders </w:t>
      </w:r>
      <w:r w:rsidR="008C40A4" w:rsidRPr="00E03358">
        <w:rPr>
          <w:noProof/>
        </w:rPr>
        <w:t xml:space="preserve">responsible for </w:t>
      </w:r>
      <w:r w:rsidR="007D111F" w:rsidRPr="00E03358">
        <w:rPr>
          <w:noProof/>
        </w:rPr>
        <w:t xml:space="preserve">acts of </w:t>
      </w:r>
      <w:r w:rsidR="008C40A4" w:rsidRPr="00E03358">
        <w:rPr>
          <w:noProof/>
        </w:rPr>
        <w:t xml:space="preserve">aggression </w:t>
      </w:r>
      <w:r w:rsidR="00C25F36" w:rsidRPr="00E03358">
        <w:rPr>
          <w:noProof/>
        </w:rPr>
        <w:t xml:space="preserve">against Ukraine </w:t>
      </w:r>
      <w:r w:rsidR="008C40A4" w:rsidRPr="00E03358">
        <w:rPr>
          <w:noProof/>
        </w:rPr>
        <w:t xml:space="preserve">in violation of </w:t>
      </w:r>
      <w:r w:rsidR="00051114" w:rsidRPr="00E03358">
        <w:rPr>
          <w:noProof/>
        </w:rPr>
        <w:t>Article 2(4)</w:t>
      </w:r>
      <w:r w:rsidRPr="00E03358">
        <w:rPr>
          <w:noProof/>
        </w:rPr>
        <w:t xml:space="preserve"> of the </w:t>
      </w:r>
      <w:r w:rsidR="008C40A4" w:rsidRPr="00E03358">
        <w:rPr>
          <w:noProof/>
        </w:rPr>
        <w:t xml:space="preserve">United Nations </w:t>
      </w:r>
      <w:r w:rsidRPr="00E03358">
        <w:rPr>
          <w:noProof/>
        </w:rPr>
        <w:t>Charter</w:t>
      </w:r>
      <w:r w:rsidR="008C40A4" w:rsidRPr="00E03358">
        <w:rPr>
          <w:noProof/>
        </w:rPr>
        <w:t>. Therefore,</w:t>
      </w:r>
      <w:r w:rsidRPr="00E03358">
        <w:rPr>
          <w:noProof/>
        </w:rPr>
        <w:t xml:space="preserve"> </w:t>
      </w:r>
      <w:r w:rsidR="007D111F" w:rsidRPr="00E03358">
        <w:rPr>
          <w:noProof/>
        </w:rPr>
        <w:t xml:space="preserve">the </w:t>
      </w:r>
      <w:r w:rsidR="0064039E">
        <w:rPr>
          <w:noProof/>
        </w:rPr>
        <w:t>notification</w:t>
      </w:r>
      <w:r w:rsidR="000C0FA3">
        <w:rPr>
          <w:noProof/>
        </w:rPr>
        <w:t xml:space="preserve"> </w:t>
      </w:r>
      <w:r w:rsidR="00E30F4E" w:rsidRPr="006E3764">
        <w:rPr>
          <w:noProof/>
        </w:rPr>
        <w:t>by the Union</w:t>
      </w:r>
      <w:r w:rsidR="00E30F4E" w:rsidRPr="00E03358">
        <w:rPr>
          <w:noProof/>
        </w:rPr>
        <w:t xml:space="preserve"> </w:t>
      </w:r>
      <w:r w:rsidR="0064039E">
        <w:rPr>
          <w:noProof/>
        </w:rPr>
        <w:t xml:space="preserve">to the Secretary-General of the Council of Europe to become a founding member of the Enlarged Partial Agreement subject to completion of internal procedures </w:t>
      </w:r>
      <w:r w:rsidR="00CD5668">
        <w:rPr>
          <w:noProof/>
        </w:rPr>
        <w:t xml:space="preserve">- which </w:t>
      </w:r>
      <w:r w:rsidR="00F06160">
        <w:rPr>
          <w:noProof/>
        </w:rPr>
        <w:t>under</w:t>
      </w:r>
      <w:r w:rsidR="00CD5668" w:rsidRPr="006951A9">
        <w:rPr>
          <w:noProof/>
        </w:rPr>
        <w:t xml:space="preserve"> Union law </w:t>
      </w:r>
      <w:r w:rsidR="00F06160">
        <w:rPr>
          <w:noProof/>
        </w:rPr>
        <w:t>equals</w:t>
      </w:r>
      <w:r w:rsidR="00CD5668" w:rsidRPr="006951A9">
        <w:rPr>
          <w:noProof/>
        </w:rPr>
        <w:t xml:space="preserve"> a decision on signing pursuant to Article 218(5) </w:t>
      </w:r>
      <w:r w:rsidR="00DE15E1">
        <w:rPr>
          <w:noProof/>
        </w:rPr>
        <w:t>of the Treaty on the Functioning of the European Union (</w:t>
      </w:r>
      <w:r w:rsidR="00CD5668" w:rsidRPr="006951A9">
        <w:rPr>
          <w:noProof/>
        </w:rPr>
        <w:t>TFEU</w:t>
      </w:r>
      <w:r w:rsidR="00DE15E1">
        <w:rPr>
          <w:noProof/>
        </w:rPr>
        <w:t>)</w:t>
      </w:r>
      <w:r w:rsidR="00CD5668">
        <w:rPr>
          <w:noProof/>
        </w:rPr>
        <w:t xml:space="preserve"> -</w:t>
      </w:r>
      <w:r w:rsidR="006E3764">
        <w:rPr>
          <w:noProof/>
        </w:rPr>
        <w:t xml:space="preserve"> and the subsequent conclusion of the EPA at a later stage, </w:t>
      </w:r>
      <w:r w:rsidR="008C40A4" w:rsidRPr="00E03358">
        <w:rPr>
          <w:noProof/>
        </w:rPr>
        <w:t xml:space="preserve">will </w:t>
      </w:r>
      <w:r w:rsidR="00E30F4E" w:rsidRPr="00E03358">
        <w:rPr>
          <w:noProof/>
        </w:rPr>
        <w:t xml:space="preserve">contribute to the </w:t>
      </w:r>
      <w:r w:rsidRPr="00E03358">
        <w:rPr>
          <w:noProof/>
        </w:rPr>
        <w:t>fulfil</w:t>
      </w:r>
      <w:r w:rsidR="00E30F4E" w:rsidRPr="00E03358">
        <w:rPr>
          <w:noProof/>
        </w:rPr>
        <w:t>ment of its</w:t>
      </w:r>
      <w:r w:rsidRPr="00E03358">
        <w:rPr>
          <w:noProof/>
        </w:rPr>
        <w:t xml:space="preserve"> objectives</w:t>
      </w:r>
      <w:r w:rsidR="00D95F95">
        <w:rPr>
          <w:noProof/>
        </w:rPr>
        <w:t>.</w:t>
      </w:r>
    </w:p>
    <w:p w:rsidR="00843265" w:rsidRDefault="00843265" w:rsidP="004915D8">
      <w:pPr>
        <w:rPr>
          <w:noProof/>
        </w:rPr>
      </w:pPr>
    </w:p>
    <w:p w:rsidR="00DE314D" w:rsidRPr="00585C83" w:rsidRDefault="00DE314D" w:rsidP="00C01665">
      <w:pPr>
        <w:pStyle w:val="ListBullet"/>
        <w:numPr>
          <w:ilvl w:val="0"/>
          <w:numId w:val="17"/>
        </w:numPr>
        <w:rPr>
          <w:rFonts w:eastAsia="Arial Unicode MS"/>
          <w:b/>
          <w:bCs/>
          <w:noProof/>
          <w:lang w:val="en-IE"/>
        </w:rPr>
      </w:pPr>
      <w:r w:rsidRPr="00585C83">
        <w:rPr>
          <w:rFonts w:eastAsia="Arial Unicode MS"/>
          <w:b/>
          <w:bCs/>
          <w:noProof/>
          <w:lang w:val="en-IE"/>
        </w:rPr>
        <w:t>Consistency with existing policy provisions in the policy area</w:t>
      </w:r>
    </w:p>
    <w:p w:rsidR="003A0498" w:rsidRPr="00654023" w:rsidRDefault="00CB450B" w:rsidP="3CFC5CC3">
      <w:pPr>
        <w:pBdr>
          <w:top w:val="nil"/>
          <w:left w:val="nil"/>
          <w:bottom w:val="nil"/>
          <w:right w:val="nil"/>
          <w:between w:val="nil"/>
          <w:bar w:val="nil"/>
        </w:pBdr>
        <w:spacing w:before="0" w:after="240"/>
        <w:rPr>
          <w:rFonts w:eastAsia="Times New Roman"/>
          <w:noProof/>
        </w:rPr>
      </w:pPr>
      <w:r w:rsidRPr="00654023">
        <w:rPr>
          <w:rFonts w:eastAsia="Times New Roman"/>
          <w:noProof/>
        </w:rPr>
        <w:t xml:space="preserve">In March 2022, Eurojust supported the swift setting up of a </w:t>
      </w:r>
      <w:r w:rsidR="003A0498" w:rsidRPr="00654023">
        <w:rPr>
          <w:rFonts w:eastAsia="Times New Roman"/>
          <w:noProof/>
        </w:rPr>
        <w:t xml:space="preserve">Joint Investigation Team (JIT) on international crimes committed in Ukraine, which consists of Ukraine, six EU Member States, and the ICC and Europol as Participants. </w:t>
      </w:r>
      <w:r w:rsidR="00EF1CF7">
        <w:rPr>
          <w:rFonts w:eastAsia="Times New Roman"/>
          <w:noProof/>
        </w:rPr>
        <w:t xml:space="preserve">In this context, </w:t>
      </w:r>
      <w:r w:rsidR="003A0498" w:rsidRPr="00654023">
        <w:rPr>
          <w:rFonts w:eastAsia="Times New Roman"/>
          <w:noProof/>
        </w:rPr>
        <w:t xml:space="preserve">Eurojust has been providing operational, technical, logistical, and financial support to </w:t>
      </w:r>
      <w:r w:rsidR="001235F8">
        <w:rPr>
          <w:rFonts w:eastAsia="Times New Roman"/>
          <w:noProof/>
        </w:rPr>
        <w:t xml:space="preserve">the JIT. </w:t>
      </w:r>
    </w:p>
    <w:p w:rsidR="003A0498" w:rsidRDefault="003A0498" w:rsidP="3CFC5CC3">
      <w:pPr>
        <w:pBdr>
          <w:top w:val="nil"/>
          <w:left w:val="nil"/>
          <w:bottom w:val="nil"/>
          <w:right w:val="nil"/>
          <w:between w:val="nil"/>
          <w:bar w:val="nil"/>
        </w:pBdr>
        <w:spacing w:before="0" w:after="240"/>
        <w:rPr>
          <w:rFonts w:eastAsia="Times New Roman"/>
          <w:noProof/>
        </w:rPr>
      </w:pPr>
      <w:r w:rsidRPr="00654023">
        <w:rPr>
          <w:rFonts w:eastAsia="Times New Roman"/>
          <w:noProof/>
        </w:rPr>
        <w:t xml:space="preserve">On </w:t>
      </w:r>
      <w:r w:rsidR="002D638C">
        <w:rPr>
          <w:rFonts w:eastAsia="Times New Roman"/>
          <w:noProof/>
        </w:rPr>
        <w:t>30</w:t>
      </w:r>
      <w:r w:rsidRPr="00654023">
        <w:rPr>
          <w:rFonts w:eastAsia="Times New Roman"/>
          <w:noProof/>
        </w:rPr>
        <w:t xml:space="preserve"> May 2022, the </w:t>
      </w:r>
      <w:r w:rsidR="002D638C">
        <w:rPr>
          <w:rFonts w:eastAsia="Times New Roman"/>
          <w:noProof/>
        </w:rPr>
        <w:t xml:space="preserve">European Parliament and the </w:t>
      </w:r>
      <w:r w:rsidRPr="00654023">
        <w:rPr>
          <w:rFonts w:eastAsia="Times New Roman"/>
          <w:noProof/>
        </w:rPr>
        <w:t>Council adopted Regulation (EU) 2022/838</w:t>
      </w:r>
      <w:r w:rsidRPr="00654023">
        <w:rPr>
          <w:rStyle w:val="FootnoteReference"/>
          <w:rFonts w:eastAsia="Times New Roman"/>
          <w:noProof/>
        </w:rPr>
        <w:footnoteReference w:id="16"/>
      </w:r>
      <w:r w:rsidRPr="00654023">
        <w:rPr>
          <w:rFonts w:eastAsia="Times New Roman"/>
          <w:noProof/>
        </w:rPr>
        <w:t xml:space="preserve"> </w:t>
      </w:r>
      <w:r w:rsidR="001235F8" w:rsidRPr="00654023">
        <w:rPr>
          <w:rFonts w:eastAsia="Times New Roman"/>
          <w:noProof/>
        </w:rPr>
        <w:t>to enhance Eurojust’s capacity to support national competent authorities in investigating and prosecuting international crimes</w:t>
      </w:r>
      <w:r w:rsidR="001235F8">
        <w:rPr>
          <w:rFonts w:eastAsia="Times New Roman"/>
          <w:noProof/>
        </w:rPr>
        <w:t xml:space="preserve">, </w:t>
      </w:r>
      <w:r w:rsidR="001235F8" w:rsidRPr="00654023">
        <w:rPr>
          <w:rFonts w:eastAsia="Times New Roman"/>
          <w:noProof/>
        </w:rPr>
        <w:t xml:space="preserve">enabling </w:t>
      </w:r>
      <w:r w:rsidR="001235F8">
        <w:rPr>
          <w:rFonts w:eastAsia="Times New Roman"/>
          <w:noProof/>
        </w:rPr>
        <w:t>it</w:t>
      </w:r>
      <w:r w:rsidR="001235F8" w:rsidRPr="00654023">
        <w:rPr>
          <w:rFonts w:eastAsia="Times New Roman"/>
          <w:noProof/>
        </w:rPr>
        <w:t xml:space="preserve"> to preserve, analyse and store evidence relating to genocide, crimes against humanity, war crimes and related criminal offences</w:t>
      </w:r>
      <w:r w:rsidRPr="00654023">
        <w:rPr>
          <w:rFonts w:eastAsia="Times New Roman"/>
          <w:noProof/>
        </w:rPr>
        <w:t xml:space="preserve">. </w:t>
      </w:r>
      <w:r w:rsidR="00C212BF" w:rsidRPr="00654023">
        <w:rPr>
          <w:rFonts w:eastAsia="Times New Roman"/>
          <w:noProof/>
        </w:rPr>
        <w:t>A</w:t>
      </w:r>
      <w:r w:rsidRPr="00654023">
        <w:rPr>
          <w:rFonts w:eastAsia="Times New Roman"/>
          <w:noProof/>
        </w:rPr>
        <w:t xml:space="preserve">s of 1 June 2022, Eurojust </w:t>
      </w:r>
      <w:r w:rsidR="00C212BF" w:rsidRPr="00654023">
        <w:rPr>
          <w:rFonts w:eastAsia="Times New Roman"/>
          <w:noProof/>
        </w:rPr>
        <w:t xml:space="preserve">has been able to fulfil this objective via the development and implementation of </w:t>
      </w:r>
      <w:r w:rsidRPr="00654023">
        <w:rPr>
          <w:rFonts w:eastAsia="Times New Roman"/>
          <w:noProof/>
        </w:rPr>
        <w:t>the Core International Crimes Evidence Database (CICED).</w:t>
      </w:r>
    </w:p>
    <w:p w:rsidR="00392ADD" w:rsidRPr="00392ADD" w:rsidRDefault="00392ADD" w:rsidP="3CFC5CC3">
      <w:pPr>
        <w:pBdr>
          <w:top w:val="nil"/>
          <w:left w:val="nil"/>
          <w:bottom w:val="nil"/>
          <w:right w:val="nil"/>
          <w:between w:val="nil"/>
          <w:bar w:val="nil"/>
        </w:pBdr>
        <w:spacing w:before="0" w:after="240"/>
        <w:rPr>
          <w:rFonts w:eastAsia="Times New Roman"/>
          <w:noProof/>
          <w:szCs w:val="24"/>
        </w:rPr>
      </w:pPr>
      <w:r>
        <w:rPr>
          <w:rFonts w:eastAsia="Times New Roman"/>
          <w:noProof/>
          <w:szCs w:val="24"/>
        </w:rPr>
        <w:t xml:space="preserve">Through its civilian </w:t>
      </w:r>
      <w:r w:rsidR="00A44879" w:rsidRPr="00A44879">
        <w:rPr>
          <w:rFonts w:eastAsia="Times New Roman"/>
          <w:noProof/>
          <w:szCs w:val="24"/>
        </w:rPr>
        <w:t>Common Security and Defence Policy</w:t>
      </w:r>
      <w:r w:rsidR="00A44879">
        <w:rPr>
          <w:rFonts w:eastAsia="Times New Roman"/>
          <w:noProof/>
          <w:szCs w:val="24"/>
        </w:rPr>
        <w:t xml:space="preserve"> (CSDP)</w:t>
      </w:r>
      <w:r>
        <w:rPr>
          <w:rFonts w:eastAsia="Times New Roman"/>
          <w:noProof/>
          <w:szCs w:val="24"/>
        </w:rPr>
        <w:t>mission, EU</w:t>
      </w:r>
      <w:r w:rsidR="00A44879">
        <w:rPr>
          <w:rFonts w:eastAsia="Times New Roman"/>
          <w:noProof/>
          <w:szCs w:val="24"/>
        </w:rPr>
        <w:t xml:space="preserve"> Advisory Mission </w:t>
      </w:r>
      <w:r>
        <w:rPr>
          <w:rFonts w:eastAsia="Times New Roman"/>
          <w:noProof/>
          <w:szCs w:val="24"/>
        </w:rPr>
        <w:t>Ukraine</w:t>
      </w:r>
      <w:r w:rsidR="00A44879">
        <w:rPr>
          <w:rFonts w:eastAsia="Times New Roman"/>
          <w:noProof/>
          <w:szCs w:val="24"/>
        </w:rPr>
        <w:t xml:space="preserve"> (EUAM)</w:t>
      </w:r>
      <w:r>
        <w:rPr>
          <w:rFonts w:eastAsia="Times New Roman"/>
          <w:noProof/>
          <w:szCs w:val="24"/>
        </w:rPr>
        <w:t>,</w:t>
      </w:r>
      <w:r w:rsidRPr="007F2A36">
        <w:rPr>
          <w:rFonts w:eastAsia="Times New Roman"/>
          <w:noProof/>
          <w:szCs w:val="24"/>
        </w:rPr>
        <w:t xml:space="preserve"> </w:t>
      </w:r>
      <w:r>
        <w:rPr>
          <w:rFonts w:eastAsia="Times New Roman"/>
          <w:noProof/>
          <w:szCs w:val="24"/>
        </w:rPr>
        <w:t xml:space="preserve">the Union has also been </w:t>
      </w:r>
      <w:r w:rsidRPr="007F2A36">
        <w:rPr>
          <w:rFonts w:eastAsia="Times New Roman"/>
          <w:noProof/>
          <w:szCs w:val="24"/>
        </w:rPr>
        <w:t>contribut</w:t>
      </w:r>
      <w:r>
        <w:rPr>
          <w:rFonts w:eastAsia="Times New Roman"/>
          <w:noProof/>
          <w:szCs w:val="24"/>
        </w:rPr>
        <w:t>ing</w:t>
      </w:r>
      <w:r w:rsidRPr="007F2A36">
        <w:rPr>
          <w:rFonts w:eastAsia="Times New Roman"/>
          <w:noProof/>
          <w:szCs w:val="24"/>
        </w:rPr>
        <w:t xml:space="preserve"> to a broader effort aimed at ensuring accountability for international crimes</w:t>
      </w:r>
      <w:r>
        <w:rPr>
          <w:rFonts w:eastAsia="Times New Roman"/>
          <w:noProof/>
          <w:szCs w:val="24"/>
        </w:rPr>
        <w:t xml:space="preserve">, including by </w:t>
      </w:r>
      <w:r>
        <w:rPr>
          <w:noProof/>
        </w:rPr>
        <w:t xml:space="preserve">enhancing the capacities of Ukrainian agencies and institutions to investigate and prosecute </w:t>
      </w:r>
      <w:r w:rsidR="00DE15E1">
        <w:rPr>
          <w:noProof/>
        </w:rPr>
        <w:t>such crimes</w:t>
      </w:r>
      <w:r>
        <w:rPr>
          <w:noProof/>
        </w:rPr>
        <w:t xml:space="preserve">. </w:t>
      </w:r>
    </w:p>
    <w:p w:rsidR="00BA0BB8" w:rsidRPr="00DD14F4" w:rsidRDefault="00BA0BB8" w:rsidP="00BA0BB8">
      <w:pPr>
        <w:rPr>
          <w:noProof/>
        </w:rPr>
      </w:pPr>
      <w:r w:rsidRPr="00FC06D8">
        <w:rPr>
          <w:noProof/>
        </w:rPr>
        <w:t xml:space="preserve">While discussions in the Core Group were ongoing, Ukraine requested the establishment of an </w:t>
      </w:r>
      <w:r>
        <w:rPr>
          <w:noProof/>
        </w:rPr>
        <w:t>i</w:t>
      </w:r>
      <w:r w:rsidRPr="00FC06D8">
        <w:rPr>
          <w:noProof/>
        </w:rPr>
        <w:t xml:space="preserve">nterim </w:t>
      </w:r>
      <w:r>
        <w:rPr>
          <w:noProof/>
        </w:rPr>
        <w:t>p</w:t>
      </w:r>
      <w:r w:rsidRPr="00FC06D8">
        <w:rPr>
          <w:noProof/>
        </w:rPr>
        <w:t xml:space="preserve">rosecution </w:t>
      </w:r>
      <w:r>
        <w:rPr>
          <w:noProof/>
        </w:rPr>
        <w:t>o</w:t>
      </w:r>
      <w:r w:rsidRPr="00FC06D8">
        <w:rPr>
          <w:noProof/>
        </w:rPr>
        <w:t xml:space="preserve">ffice for the </w:t>
      </w:r>
      <w:r>
        <w:rPr>
          <w:noProof/>
        </w:rPr>
        <w:t>c</w:t>
      </w:r>
      <w:r w:rsidRPr="00FC06D8">
        <w:rPr>
          <w:noProof/>
        </w:rPr>
        <w:t xml:space="preserve">rime of </w:t>
      </w:r>
      <w:r>
        <w:rPr>
          <w:noProof/>
        </w:rPr>
        <w:t>a</w:t>
      </w:r>
      <w:r w:rsidRPr="00FC06D8">
        <w:rPr>
          <w:noProof/>
        </w:rPr>
        <w:t>ggression</w:t>
      </w:r>
      <w:r>
        <w:rPr>
          <w:noProof/>
        </w:rPr>
        <w:t xml:space="preserve"> to</w:t>
      </w:r>
      <w:r w:rsidRPr="00B65673">
        <w:rPr>
          <w:noProof/>
        </w:rPr>
        <w:t xml:space="preserve"> preserve evidence and prepare cases for future trials</w:t>
      </w:r>
      <w:r w:rsidRPr="00FC06D8">
        <w:rPr>
          <w:noProof/>
        </w:rPr>
        <w:t xml:space="preserve">. </w:t>
      </w:r>
      <w:r>
        <w:rPr>
          <w:noProof/>
        </w:rPr>
        <w:t>O</w:t>
      </w:r>
      <w:r w:rsidRPr="00FC06D8">
        <w:rPr>
          <w:noProof/>
        </w:rPr>
        <w:t xml:space="preserve">n 2 February 2023, </w:t>
      </w:r>
      <w:r>
        <w:rPr>
          <w:noProof/>
        </w:rPr>
        <w:t>t</w:t>
      </w:r>
      <w:r w:rsidRPr="00B65673">
        <w:rPr>
          <w:noProof/>
        </w:rPr>
        <w:t xml:space="preserve">he President of the European Commission announced </w:t>
      </w:r>
      <w:r>
        <w:rPr>
          <w:noProof/>
        </w:rPr>
        <w:t xml:space="preserve">at </w:t>
      </w:r>
      <w:r w:rsidRPr="00B65673">
        <w:rPr>
          <w:noProof/>
        </w:rPr>
        <w:t>the 24</w:t>
      </w:r>
      <w:r w:rsidRPr="00B828DB">
        <w:rPr>
          <w:noProof/>
          <w:vertAlign w:val="superscript"/>
        </w:rPr>
        <w:t>th</w:t>
      </w:r>
      <w:r w:rsidRPr="00B65673">
        <w:rPr>
          <w:noProof/>
        </w:rPr>
        <w:t xml:space="preserve"> EU-Ukraine Summit</w:t>
      </w:r>
      <w:r w:rsidRPr="00FC06D8">
        <w:rPr>
          <w:noProof/>
        </w:rPr>
        <w:t xml:space="preserve"> </w:t>
      </w:r>
      <w:r w:rsidRPr="00B65673">
        <w:rPr>
          <w:noProof/>
        </w:rPr>
        <w:t xml:space="preserve">the setting up of the International Centre for the Prosecution of the Crime of Aggression Against Ukraine </w:t>
      </w:r>
      <w:r>
        <w:rPr>
          <w:noProof/>
        </w:rPr>
        <w:t>(ICPA) hosted at Eurojust</w:t>
      </w:r>
      <w:r w:rsidRPr="00FC06D8">
        <w:rPr>
          <w:noProof/>
        </w:rPr>
        <w:t>. Established in July 2023, the ICPA has been instrumental for enhancing national investigations into the crime of aggression carried out by Ukraine and five Member States by securing evidence and facilitating the joint case building for future trials.</w:t>
      </w:r>
      <w:r w:rsidRPr="77BC4F07">
        <w:rPr>
          <w:noProof/>
        </w:rPr>
        <w:t xml:space="preserve"> </w:t>
      </w:r>
      <w:r w:rsidR="005E3170" w:rsidRPr="005E3170">
        <w:rPr>
          <w:noProof/>
        </w:rPr>
        <w:t xml:space="preserve"> </w:t>
      </w:r>
      <w:r w:rsidR="005E3170">
        <w:rPr>
          <w:noProof/>
        </w:rPr>
        <w:t xml:space="preserve">In its conclusions of March and June 2023, the European Council endorsed the establishment of the ICPA. </w:t>
      </w:r>
    </w:p>
    <w:p w:rsidR="00301896" w:rsidRPr="00951157" w:rsidRDefault="00C070DA" w:rsidP="00301896">
      <w:pPr>
        <w:pBdr>
          <w:top w:val="nil"/>
          <w:left w:val="nil"/>
          <w:bottom w:val="nil"/>
          <w:right w:val="nil"/>
          <w:between w:val="nil"/>
          <w:bar w:val="nil"/>
        </w:pBdr>
        <w:spacing w:before="0" w:after="240"/>
        <w:rPr>
          <w:rFonts w:eastAsia="Times New Roman"/>
          <w:noProof/>
        </w:rPr>
      </w:pPr>
      <w:r>
        <w:rPr>
          <w:rFonts w:eastAsia="Times New Roman"/>
          <w:noProof/>
          <w:lang w:val="en-IE"/>
        </w:rPr>
        <w:t>Article 9 of the</w:t>
      </w:r>
      <w:r w:rsidR="00FB350F">
        <w:rPr>
          <w:rFonts w:eastAsia="Times New Roman"/>
          <w:noProof/>
          <w:lang w:val="en-IE"/>
        </w:rPr>
        <w:t xml:space="preserve"> </w:t>
      </w:r>
      <w:r w:rsidR="00FB350F">
        <w:rPr>
          <w:noProof/>
        </w:rPr>
        <w:t>Resolution establishing the</w:t>
      </w:r>
      <w:r>
        <w:rPr>
          <w:rFonts w:eastAsia="Times New Roman"/>
          <w:noProof/>
          <w:lang w:val="en-IE"/>
        </w:rPr>
        <w:t xml:space="preserve"> EPA on Cooperation </w:t>
      </w:r>
      <w:r w:rsidR="007F6F45">
        <w:rPr>
          <w:rFonts w:eastAsia="Times New Roman"/>
          <w:noProof/>
          <w:lang w:val="en-IE"/>
        </w:rPr>
        <w:t>provides</w:t>
      </w:r>
      <w:r>
        <w:rPr>
          <w:rFonts w:eastAsia="Times New Roman"/>
          <w:noProof/>
          <w:lang w:val="en-IE"/>
        </w:rPr>
        <w:t xml:space="preserve"> that the Management Committee shall seek to cooperate with relevant national and international partners</w:t>
      </w:r>
      <w:r w:rsidR="007F6F45">
        <w:rPr>
          <w:rFonts w:eastAsia="Times New Roman"/>
          <w:noProof/>
          <w:lang w:val="en-IE"/>
        </w:rPr>
        <w:t>, including Eurojust,</w:t>
      </w:r>
      <w:r>
        <w:rPr>
          <w:rFonts w:eastAsia="Times New Roman"/>
          <w:noProof/>
          <w:lang w:val="en-IE"/>
        </w:rPr>
        <w:t xml:space="preserve"> for the purposes of fulfilling its mandate. </w:t>
      </w:r>
      <w:r w:rsidR="009F6D02" w:rsidRPr="00654023">
        <w:rPr>
          <w:rFonts w:eastAsia="Times New Roman"/>
          <w:noProof/>
          <w:lang w:val="en-IE"/>
        </w:rPr>
        <w:t xml:space="preserve">Article 47 </w:t>
      </w:r>
      <w:r w:rsidR="00223359" w:rsidRPr="00654023">
        <w:rPr>
          <w:rFonts w:eastAsia="Times New Roman"/>
          <w:noProof/>
          <w:lang w:val="en-IE"/>
        </w:rPr>
        <w:t xml:space="preserve">of the </w:t>
      </w:r>
      <w:r w:rsidR="00223359" w:rsidRPr="00654023">
        <w:rPr>
          <w:rFonts w:eastAsia="Times New Roman"/>
          <w:noProof/>
          <w:lang w:val="en-IE"/>
        </w:rPr>
        <w:lastRenderedPageBreak/>
        <w:t>Statute of the Special Tribunal</w:t>
      </w:r>
      <w:r w:rsidR="00223359" w:rsidRPr="00654023">
        <w:rPr>
          <w:rStyle w:val="FootnoteReference"/>
          <w:rFonts w:eastAsia="Times New Roman"/>
          <w:noProof/>
          <w:szCs w:val="24"/>
          <w:lang w:val="en-IE"/>
        </w:rPr>
        <w:footnoteReference w:id="17"/>
      </w:r>
      <w:r w:rsidR="00223359" w:rsidRPr="00654023">
        <w:rPr>
          <w:rFonts w:eastAsia="Times New Roman"/>
          <w:noProof/>
          <w:lang w:val="en-IE"/>
        </w:rPr>
        <w:t xml:space="preserve"> </w:t>
      </w:r>
      <w:r>
        <w:rPr>
          <w:rFonts w:eastAsia="Times New Roman"/>
          <w:noProof/>
          <w:lang w:val="en-IE"/>
        </w:rPr>
        <w:t xml:space="preserve">further </w:t>
      </w:r>
      <w:r w:rsidR="00223359" w:rsidRPr="00654023">
        <w:rPr>
          <w:rFonts w:eastAsia="Times New Roman"/>
          <w:noProof/>
          <w:lang w:val="en-IE"/>
        </w:rPr>
        <w:t xml:space="preserve">provides that </w:t>
      </w:r>
      <w:r w:rsidR="00223359" w:rsidRPr="00654023">
        <w:rPr>
          <w:rFonts w:eastAsia="Times New Roman"/>
          <w:noProof/>
        </w:rPr>
        <w:t xml:space="preserve">the Special Tribunal may enter into </w:t>
      </w:r>
      <w:r w:rsidR="00632A10" w:rsidRPr="00654023">
        <w:rPr>
          <w:rFonts w:eastAsia="Times New Roman"/>
          <w:noProof/>
        </w:rPr>
        <w:t xml:space="preserve">cooperation </w:t>
      </w:r>
      <w:r w:rsidR="00223359" w:rsidRPr="00654023">
        <w:rPr>
          <w:rFonts w:eastAsia="Times New Roman"/>
          <w:noProof/>
        </w:rPr>
        <w:t xml:space="preserve">arrangements or agreements with </w:t>
      </w:r>
      <w:r w:rsidR="00863BE8" w:rsidRPr="00654023">
        <w:rPr>
          <w:rFonts w:eastAsia="Times New Roman"/>
          <w:noProof/>
        </w:rPr>
        <w:t xml:space="preserve">entities such as </w:t>
      </w:r>
      <w:r w:rsidR="00CB363E" w:rsidRPr="00654023">
        <w:rPr>
          <w:rFonts w:eastAsia="Times New Roman"/>
          <w:noProof/>
        </w:rPr>
        <w:t>Eurojust</w:t>
      </w:r>
      <w:r w:rsidR="00AF3481" w:rsidRPr="00654023">
        <w:rPr>
          <w:rFonts w:eastAsia="Times New Roman"/>
          <w:noProof/>
        </w:rPr>
        <w:t xml:space="preserve"> </w:t>
      </w:r>
      <w:r w:rsidR="00535E3E" w:rsidRPr="00654023">
        <w:rPr>
          <w:rFonts w:eastAsia="Times New Roman"/>
          <w:noProof/>
        </w:rPr>
        <w:t xml:space="preserve">to receive </w:t>
      </w:r>
      <w:r w:rsidR="00AF3481" w:rsidRPr="00654023">
        <w:rPr>
          <w:rFonts w:eastAsia="Times New Roman"/>
          <w:noProof/>
          <w:lang w:val="en-IE"/>
        </w:rPr>
        <w:t>evidence collected prior to the establishment of the Special Tribunal</w:t>
      </w:r>
      <w:r w:rsidR="00535E3E" w:rsidRPr="00654023">
        <w:rPr>
          <w:rFonts w:eastAsia="Times New Roman"/>
          <w:noProof/>
          <w:lang w:val="en-IE"/>
        </w:rPr>
        <w:t xml:space="preserve">, including by </w:t>
      </w:r>
      <w:r w:rsidR="00DE15E1">
        <w:rPr>
          <w:rFonts w:eastAsia="Times New Roman"/>
          <w:noProof/>
          <w:lang w:val="en-IE"/>
        </w:rPr>
        <w:t>S</w:t>
      </w:r>
      <w:r w:rsidR="00535E3E" w:rsidRPr="00654023">
        <w:rPr>
          <w:rFonts w:eastAsia="Times New Roman"/>
          <w:noProof/>
          <w:lang w:val="en-IE"/>
        </w:rPr>
        <w:t>tates participating in the ICPA as set out under Article 31.</w:t>
      </w:r>
      <w:r w:rsidR="00C50D45">
        <w:rPr>
          <w:rFonts w:eastAsia="Times New Roman"/>
          <w:noProof/>
          <w:lang w:val="en-IE"/>
        </w:rPr>
        <w:t xml:space="preserve"> </w:t>
      </w:r>
      <w:r w:rsidR="00C50D45" w:rsidRPr="00C50D45">
        <w:rPr>
          <w:rFonts w:eastAsia="Times New Roman"/>
          <w:noProof/>
        </w:rPr>
        <w:t xml:space="preserve">In this context, it will be in the Union’s interest to ensure that evidence and information collected in the context of the ICPA will be transmitted to the Tribunal </w:t>
      </w:r>
      <w:r w:rsidR="00392ADD">
        <w:rPr>
          <w:rFonts w:eastAsia="Times New Roman"/>
          <w:noProof/>
        </w:rPr>
        <w:t>based on</w:t>
      </w:r>
      <w:r w:rsidR="00C50D45" w:rsidRPr="00C50D45">
        <w:rPr>
          <w:rFonts w:eastAsia="Times New Roman"/>
          <w:noProof/>
        </w:rPr>
        <w:t xml:space="preserve"> </w:t>
      </w:r>
      <w:r w:rsidR="00392ADD">
        <w:rPr>
          <w:rFonts w:eastAsia="Times New Roman"/>
          <w:noProof/>
        </w:rPr>
        <w:t>an international</w:t>
      </w:r>
      <w:r w:rsidR="00C50D45" w:rsidRPr="00C50D45">
        <w:rPr>
          <w:rFonts w:eastAsia="Times New Roman"/>
          <w:noProof/>
        </w:rPr>
        <w:t xml:space="preserve"> agreement between the Union and the Special Tribunal</w:t>
      </w:r>
      <w:r w:rsidR="00392ADD">
        <w:rPr>
          <w:rFonts w:eastAsia="Times New Roman"/>
          <w:noProof/>
        </w:rPr>
        <w:t xml:space="preserve"> on cooperation with Eurojust</w:t>
      </w:r>
      <w:r w:rsidR="00C50D45">
        <w:rPr>
          <w:rFonts w:eastAsia="Times New Roman"/>
          <w:noProof/>
        </w:rPr>
        <w:t>.</w:t>
      </w:r>
      <w:r w:rsidR="00DE15E1">
        <w:rPr>
          <w:rFonts w:eastAsia="Times New Roman"/>
          <w:noProof/>
        </w:rPr>
        <w:t xml:space="preserve"> </w:t>
      </w:r>
      <w:r w:rsidR="00DE15E1" w:rsidRPr="006825AA">
        <w:rPr>
          <w:noProof/>
        </w:rPr>
        <w:t xml:space="preserve">Regulation (EU) 2024/792 </w:t>
      </w:r>
      <w:r w:rsidR="00DE15E1">
        <w:rPr>
          <w:noProof/>
        </w:rPr>
        <w:t>(hereinafter “</w:t>
      </w:r>
      <w:r w:rsidR="00F044B3" w:rsidRPr="009C386E">
        <w:rPr>
          <w:rFonts w:eastAsia="Times New Roman"/>
          <w:noProof/>
          <w:szCs w:val="24"/>
          <w:lang w:val="en-IE"/>
        </w:rPr>
        <w:t>Ukraine Facility Regulation</w:t>
      </w:r>
      <w:r w:rsidR="00DE15E1">
        <w:rPr>
          <w:rFonts w:eastAsia="Times New Roman"/>
          <w:noProof/>
          <w:szCs w:val="24"/>
          <w:lang w:val="en-IE"/>
        </w:rPr>
        <w:t>”)</w:t>
      </w:r>
      <w:r w:rsidR="00F044B3">
        <w:rPr>
          <w:rStyle w:val="FootnoteReference"/>
          <w:rFonts w:eastAsia="Times New Roman"/>
          <w:noProof/>
          <w:szCs w:val="24"/>
        </w:rPr>
        <w:footnoteReference w:id="18"/>
      </w:r>
      <w:r w:rsidR="00F044B3" w:rsidRPr="00951157">
        <w:rPr>
          <w:rFonts w:eastAsia="Times New Roman"/>
          <w:noProof/>
          <w:szCs w:val="24"/>
        </w:rPr>
        <w:t>,</w:t>
      </w:r>
      <w:r w:rsidR="00F044B3" w:rsidRPr="009C386E">
        <w:rPr>
          <w:rFonts w:eastAsia="Times New Roman"/>
          <w:noProof/>
          <w:szCs w:val="24"/>
          <w:lang w:val="en-IE"/>
        </w:rPr>
        <w:t> adopted on the basis of Article 212 TFEU, aims at ‘supporting initiatives and bodies and organisations involved in supporting and enforcing democracy, international justice and anti-corruption efforts in Ukraine’ (Article 3</w:t>
      </w:r>
      <w:r w:rsidR="00A964DB">
        <w:rPr>
          <w:rFonts w:eastAsia="Times New Roman"/>
          <w:noProof/>
          <w:szCs w:val="24"/>
          <w:lang w:val="en-IE"/>
        </w:rPr>
        <w:t>(2)</w:t>
      </w:r>
      <w:r w:rsidR="00F044B3" w:rsidRPr="009C386E">
        <w:rPr>
          <w:rFonts w:eastAsia="Times New Roman"/>
          <w:noProof/>
          <w:szCs w:val="24"/>
          <w:lang w:val="en-IE"/>
        </w:rPr>
        <w:t>(i)</w:t>
      </w:r>
      <w:r w:rsidR="00DE15E1">
        <w:rPr>
          <w:rFonts w:eastAsia="Times New Roman"/>
          <w:noProof/>
          <w:szCs w:val="24"/>
          <w:lang w:val="en-IE"/>
        </w:rPr>
        <w:t>)</w:t>
      </w:r>
      <w:r w:rsidR="00F044B3" w:rsidRPr="009C386E">
        <w:rPr>
          <w:rFonts w:eastAsia="Times New Roman"/>
          <w:noProof/>
          <w:szCs w:val="24"/>
          <w:lang w:val="en-IE"/>
        </w:rPr>
        <w:t xml:space="preserve"> and ‘strengthening compliance with international law’ (Article 3</w:t>
      </w:r>
      <w:r w:rsidR="00A964DB">
        <w:rPr>
          <w:rFonts w:eastAsia="Times New Roman"/>
          <w:noProof/>
          <w:szCs w:val="24"/>
          <w:lang w:val="en-IE"/>
        </w:rPr>
        <w:t>(2)</w:t>
      </w:r>
      <w:r w:rsidR="00F044B3" w:rsidRPr="009C386E">
        <w:rPr>
          <w:rFonts w:eastAsia="Times New Roman"/>
          <w:noProof/>
          <w:szCs w:val="24"/>
          <w:lang w:val="en-IE"/>
        </w:rPr>
        <w:t>(h)</w:t>
      </w:r>
      <w:r w:rsidR="00DE15E1">
        <w:rPr>
          <w:rFonts w:eastAsia="Times New Roman"/>
          <w:noProof/>
          <w:szCs w:val="24"/>
          <w:lang w:val="en-IE"/>
        </w:rPr>
        <w:t>)</w:t>
      </w:r>
      <w:r w:rsidR="00F044B3" w:rsidRPr="009C386E">
        <w:rPr>
          <w:rFonts w:eastAsia="Times New Roman"/>
          <w:noProof/>
          <w:szCs w:val="24"/>
          <w:lang w:val="en-IE"/>
        </w:rPr>
        <w:t>.</w:t>
      </w:r>
      <w:r w:rsidR="00F044B3" w:rsidRPr="00F044B3">
        <w:rPr>
          <w:rFonts w:eastAsia="Times New Roman"/>
          <w:noProof/>
          <w:szCs w:val="24"/>
        </w:rPr>
        <w:t xml:space="preserve"> </w:t>
      </w:r>
      <w:r w:rsidR="00F044B3" w:rsidRPr="00951157">
        <w:rPr>
          <w:rFonts w:eastAsia="Times New Roman"/>
          <w:noProof/>
          <w:szCs w:val="24"/>
        </w:rPr>
        <w:t xml:space="preserve">As set out </w:t>
      </w:r>
      <w:r w:rsidR="00F044B3">
        <w:rPr>
          <w:rFonts w:eastAsia="Times New Roman"/>
          <w:noProof/>
          <w:szCs w:val="24"/>
        </w:rPr>
        <w:t>in</w:t>
      </w:r>
      <w:r w:rsidR="00F044B3" w:rsidRPr="00951157">
        <w:rPr>
          <w:rFonts w:eastAsia="Times New Roman"/>
          <w:noProof/>
          <w:szCs w:val="24"/>
        </w:rPr>
        <w:t xml:space="preserve"> Article 34(3) </w:t>
      </w:r>
      <w:r w:rsidR="00F044B3">
        <w:rPr>
          <w:rFonts w:eastAsia="Times New Roman"/>
          <w:noProof/>
          <w:szCs w:val="24"/>
        </w:rPr>
        <w:t>of the</w:t>
      </w:r>
      <w:r w:rsidR="00F044B3" w:rsidRPr="00951157">
        <w:rPr>
          <w:rFonts w:eastAsia="Times New Roman"/>
          <w:noProof/>
          <w:szCs w:val="24"/>
        </w:rPr>
        <w:t xml:space="preserve"> Ukraine Facility</w:t>
      </w:r>
      <w:r w:rsidR="00DE15E1">
        <w:rPr>
          <w:rFonts w:eastAsia="Times New Roman"/>
          <w:noProof/>
          <w:szCs w:val="24"/>
        </w:rPr>
        <w:t xml:space="preserve"> Regulation,</w:t>
      </w:r>
      <w:r w:rsidR="00F044B3" w:rsidRPr="00951157">
        <w:rPr>
          <w:rFonts w:eastAsia="Times New Roman"/>
          <w:noProof/>
          <w:szCs w:val="24"/>
        </w:rPr>
        <w:t xml:space="preserve"> the Union has been financially supporting ‘processes that promote justice, truth-seeking, comprehensive post-conflict rehabilitation for an inclusive, peaceful society, as well as collection of evidence of crimes committed during the war’, such as the Register of Damage and the ICPA. </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Consistency with other Union policies</w:t>
      </w:r>
    </w:p>
    <w:p w:rsidR="008A72B0" w:rsidRPr="00951157" w:rsidRDefault="4025E235" w:rsidP="39D16BB6">
      <w:pPr>
        <w:spacing w:before="240" w:after="240"/>
        <w:rPr>
          <w:rFonts w:eastAsia="Times New Roman"/>
          <w:noProof/>
        </w:rPr>
      </w:pPr>
      <w:r w:rsidRPr="00951157">
        <w:rPr>
          <w:rFonts w:eastAsia="Times New Roman"/>
          <w:noProof/>
        </w:rPr>
        <w:t>Th</w:t>
      </w:r>
      <w:r w:rsidR="00096EF2" w:rsidRPr="00951157">
        <w:rPr>
          <w:rFonts w:eastAsia="Times New Roman"/>
          <w:noProof/>
        </w:rPr>
        <w:t>e present proposal</w:t>
      </w:r>
      <w:r w:rsidRPr="00951157">
        <w:rPr>
          <w:rFonts w:eastAsia="Times New Roman"/>
          <w:noProof/>
        </w:rPr>
        <w:t xml:space="preserve"> is fully aligned with the broader set of actions undertaken by the Union since the </w:t>
      </w:r>
      <w:r w:rsidR="00CB450B" w:rsidRPr="00951157">
        <w:rPr>
          <w:rFonts w:eastAsia="Times New Roman"/>
          <w:noProof/>
        </w:rPr>
        <w:t>beginning</w:t>
      </w:r>
      <w:r w:rsidRPr="00951157">
        <w:rPr>
          <w:rFonts w:eastAsia="Times New Roman"/>
          <w:noProof/>
        </w:rPr>
        <w:t xml:space="preserve"> of </w:t>
      </w:r>
      <w:r w:rsidR="0099646B">
        <w:rPr>
          <w:rFonts w:eastAsia="Times New Roman"/>
          <w:noProof/>
        </w:rPr>
        <w:t xml:space="preserve">the </w:t>
      </w:r>
      <w:r w:rsidRPr="00951157">
        <w:rPr>
          <w:rFonts w:eastAsia="Times New Roman"/>
          <w:noProof/>
        </w:rPr>
        <w:t>Russia</w:t>
      </w:r>
      <w:r w:rsidR="00DE15E1">
        <w:rPr>
          <w:rFonts w:eastAsia="Times New Roman"/>
          <w:noProof/>
        </w:rPr>
        <w:t>n Federation</w:t>
      </w:r>
      <w:r w:rsidRPr="00951157">
        <w:rPr>
          <w:rFonts w:eastAsia="Times New Roman"/>
          <w:noProof/>
        </w:rPr>
        <w:t xml:space="preserve">’s </w:t>
      </w:r>
      <w:r w:rsidR="00C353D5">
        <w:rPr>
          <w:rFonts w:eastAsia="Times New Roman"/>
          <w:noProof/>
        </w:rPr>
        <w:t>full-scale invasion of</w:t>
      </w:r>
      <w:r w:rsidRPr="00951157">
        <w:rPr>
          <w:rFonts w:eastAsia="Times New Roman"/>
          <w:noProof/>
        </w:rPr>
        <w:t xml:space="preserve"> Ukraine in February 2022. It reinforces the Union’s commitment to ensuring accountability </w:t>
      </w:r>
      <w:r w:rsidR="007F6F45">
        <w:rPr>
          <w:rFonts w:eastAsia="Times New Roman"/>
          <w:noProof/>
        </w:rPr>
        <w:t>for violation</w:t>
      </w:r>
      <w:r w:rsidR="00C353D5">
        <w:rPr>
          <w:rFonts w:eastAsia="Times New Roman"/>
          <w:noProof/>
        </w:rPr>
        <w:t>s</w:t>
      </w:r>
      <w:r w:rsidR="007F6F45">
        <w:rPr>
          <w:rFonts w:eastAsia="Times New Roman"/>
          <w:noProof/>
        </w:rPr>
        <w:t xml:space="preserve"> of international law, including through </w:t>
      </w:r>
      <w:r w:rsidRPr="00951157">
        <w:rPr>
          <w:rFonts w:eastAsia="Times New Roman"/>
          <w:noProof/>
        </w:rPr>
        <w:t>the</w:t>
      </w:r>
      <w:r w:rsidR="002D638C">
        <w:rPr>
          <w:rFonts w:eastAsia="Times New Roman"/>
          <w:noProof/>
        </w:rPr>
        <w:t xml:space="preserve"> investigation and</w:t>
      </w:r>
      <w:r w:rsidRPr="00951157">
        <w:rPr>
          <w:rFonts w:eastAsia="Times New Roman"/>
          <w:noProof/>
        </w:rPr>
        <w:t xml:space="preserve"> prosecution of individuals responsible for international crimes committed in and against Ukraine. </w:t>
      </w:r>
    </w:p>
    <w:p w:rsidR="00DE314D" w:rsidRPr="00951157" w:rsidRDefault="008A72B0" w:rsidP="39D16BB6">
      <w:pPr>
        <w:spacing w:before="240" w:after="240"/>
        <w:rPr>
          <w:rFonts w:eastAsia="Times New Roman"/>
          <w:noProof/>
          <w:szCs w:val="24"/>
        </w:rPr>
      </w:pPr>
      <w:r w:rsidRPr="00951157">
        <w:rPr>
          <w:rFonts w:eastAsia="Times New Roman"/>
          <w:noProof/>
          <w:szCs w:val="24"/>
        </w:rPr>
        <w:t>In particular, t</w:t>
      </w:r>
      <w:r w:rsidR="4025E235" w:rsidRPr="00951157">
        <w:rPr>
          <w:rFonts w:eastAsia="Times New Roman"/>
          <w:noProof/>
          <w:szCs w:val="24"/>
        </w:rPr>
        <w:t>h</w:t>
      </w:r>
      <w:r w:rsidR="004A4FD3" w:rsidRPr="00951157">
        <w:rPr>
          <w:rFonts w:eastAsia="Times New Roman"/>
          <w:noProof/>
          <w:szCs w:val="24"/>
        </w:rPr>
        <w:t>e</w:t>
      </w:r>
      <w:r w:rsidR="4025E235" w:rsidRPr="00951157">
        <w:rPr>
          <w:rFonts w:eastAsia="Times New Roman"/>
          <w:noProof/>
          <w:szCs w:val="24"/>
        </w:rPr>
        <w:t xml:space="preserve"> proposal complements the Union’s active participation in coordination platforms such as the US-UK-EU Atrocity Crimes Advisory Group, which supports the Office of the Prosecutor General of Ukraine through expert assistance, </w:t>
      </w:r>
      <w:r w:rsidR="00C353D5">
        <w:rPr>
          <w:rFonts w:eastAsia="Times New Roman"/>
          <w:noProof/>
          <w:szCs w:val="24"/>
        </w:rPr>
        <w:t>the broader efforts of</w:t>
      </w:r>
      <w:r w:rsidR="00A44879">
        <w:rPr>
          <w:rFonts w:eastAsia="Times New Roman"/>
          <w:noProof/>
          <w:szCs w:val="24"/>
        </w:rPr>
        <w:t xml:space="preserve"> </w:t>
      </w:r>
      <w:r w:rsidR="00C353D5" w:rsidRPr="004E3DED">
        <w:rPr>
          <w:rFonts w:eastAsia="Times New Roman"/>
          <w:noProof/>
          <w:szCs w:val="24"/>
        </w:rPr>
        <w:t>EUAM Ukraine</w:t>
      </w:r>
      <w:r w:rsidR="00A44879">
        <w:rPr>
          <w:rFonts w:eastAsia="Times New Roman"/>
          <w:noProof/>
          <w:szCs w:val="24"/>
        </w:rPr>
        <w:t xml:space="preserve"> </w:t>
      </w:r>
      <w:r w:rsidR="00C353D5">
        <w:rPr>
          <w:rFonts w:eastAsia="Times New Roman"/>
          <w:noProof/>
          <w:szCs w:val="24"/>
        </w:rPr>
        <w:t xml:space="preserve">to support Ukrainian authorities with the investigation and prosecution of international crimes, </w:t>
      </w:r>
      <w:r w:rsidR="00481610">
        <w:rPr>
          <w:rFonts w:eastAsia="Times New Roman"/>
          <w:noProof/>
          <w:szCs w:val="24"/>
        </w:rPr>
        <w:t xml:space="preserve">support provided by the EU Delegation to Ukraine in the area of justice and accountability, </w:t>
      </w:r>
      <w:r w:rsidR="4025E235" w:rsidRPr="00951157">
        <w:rPr>
          <w:rFonts w:eastAsia="Times New Roman"/>
          <w:noProof/>
          <w:szCs w:val="24"/>
        </w:rPr>
        <w:t>and the Dialogue Group, which serves as a hub for coordinating support by international organisations, civil society actors, and donors to Ukraine’s justice sector.</w:t>
      </w:r>
    </w:p>
    <w:p w:rsidR="00DE314D" w:rsidRPr="00F108E1" w:rsidRDefault="004A4FD3" w:rsidP="003D4A1D">
      <w:pPr>
        <w:pBdr>
          <w:top w:val="nil"/>
          <w:left w:val="nil"/>
          <w:bottom w:val="nil"/>
          <w:right w:val="nil"/>
          <w:between w:val="nil"/>
          <w:bar w:val="nil"/>
        </w:pBdr>
        <w:spacing w:before="0" w:after="240"/>
        <w:rPr>
          <w:rFonts w:eastAsia="Times New Roman"/>
          <w:noProof/>
          <w:szCs w:val="24"/>
        </w:rPr>
      </w:pPr>
      <w:r w:rsidRPr="00951157">
        <w:rPr>
          <w:rFonts w:eastAsia="Times New Roman"/>
          <w:noProof/>
          <w:szCs w:val="24"/>
        </w:rPr>
        <w:t>The present proposal</w:t>
      </w:r>
      <w:r w:rsidR="57B8CFB5" w:rsidRPr="00951157">
        <w:rPr>
          <w:rFonts w:eastAsia="Times New Roman"/>
          <w:noProof/>
          <w:szCs w:val="24"/>
        </w:rPr>
        <w:t xml:space="preserve"> is</w:t>
      </w:r>
      <w:r w:rsidR="47387BF8" w:rsidRPr="00951157">
        <w:rPr>
          <w:rFonts w:eastAsia="Times New Roman"/>
          <w:noProof/>
          <w:szCs w:val="24"/>
        </w:rPr>
        <w:t xml:space="preserve"> </w:t>
      </w:r>
      <w:r w:rsidR="005E25B5" w:rsidRPr="00951157">
        <w:rPr>
          <w:rFonts w:eastAsia="Times New Roman"/>
          <w:noProof/>
          <w:szCs w:val="24"/>
        </w:rPr>
        <w:t xml:space="preserve">also </w:t>
      </w:r>
      <w:r w:rsidR="57B8CFB5" w:rsidRPr="00951157">
        <w:rPr>
          <w:rFonts w:eastAsia="Times New Roman"/>
          <w:noProof/>
          <w:szCs w:val="24"/>
        </w:rPr>
        <w:t>consistent with the Union’s commitment to ensuring that damages caused by the Russian Federation’s aggression against Ukraine and other violations of international law are duly compensated</w:t>
      </w:r>
      <w:r w:rsidR="00037495" w:rsidRPr="00951157">
        <w:rPr>
          <w:rFonts w:eastAsia="Times New Roman"/>
          <w:noProof/>
          <w:szCs w:val="24"/>
        </w:rPr>
        <w:t xml:space="preserve"> in line with </w:t>
      </w:r>
      <w:r w:rsidR="002D638C">
        <w:rPr>
          <w:rFonts w:eastAsia="Times New Roman"/>
          <w:noProof/>
          <w:szCs w:val="24"/>
        </w:rPr>
        <w:t xml:space="preserve">the </w:t>
      </w:r>
      <w:r w:rsidR="002D638C">
        <w:rPr>
          <w:rFonts w:eastAsia="Times New Roman"/>
          <w:noProof/>
        </w:rPr>
        <w:t xml:space="preserve">UN </w:t>
      </w:r>
      <w:r w:rsidR="00037495" w:rsidRPr="00951157">
        <w:rPr>
          <w:rFonts w:eastAsia="Times New Roman"/>
          <w:noProof/>
        </w:rPr>
        <w:t>General Assembly Resolution A/RES/ES-11/5</w:t>
      </w:r>
      <w:r w:rsidR="007F6F45">
        <w:rPr>
          <w:rStyle w:val="FootnoteReference"/>
          <w:rFonts w:eastAsia="Times New Roman"/>
          <w:noProof/>
        </w:rPr>
        <w:footnoteReference w:id="19"/>
      </w:r>
      <w:r w:rsidR="57B8CFB5" w:rsidRPr="00951157">
        <w:rPr>
          <w:rFonts w:eastAsia="Times New Roman"/>
          <w:noProof/>
          <w:szCs w:val="24"/>
        </w:rPr>
        <w:t>.</w:t>
      </w:r>
      <w:r w:rsidR="0080556F" w:rsidRPr="00951157">
        <w:rPr>
          <w:rFonts w:eastAsia="Times New Roman"/>
          <w:noProof/>
          <w:szCs w:val="24"/>
        </w:rPr>
        <w:t xml:space="preserve"> </w:t>
      </w:r>
      <w:r w:rsidR="0080556F" w:rsidRPr="00951157">
        <w:rPr>
          <w:rFonts w:eastAsia="Times New Roman"/>
          <w:noProof/>
        </w:rPr>
        <w:t>For this purpose, the Union has been actively supporting the establishment of an international compensation mechanism.</w:t>
      </w:r>
      <w:r w:rsidR="003F7E1D" w:rsidRPr="00951157">
        <w:rPr>
          <w:rFonts w:eastAsia="Times New Roman"/>
          <w:noProof/>
        </w:rPr>
        <w:t xml:space="preserve"> </w:t>
      </w:r>
      <w:r w:rsidR="0080556F" w:rsidRPr="00951157">
        <w:rPr>
          <w:rFonts w:eastAsia="Times New Roman"/>
          <w:noProof/>
        </w:rPr>
        <w:t xml:space="preserve">As a first step towards </w:t>
      </w:r>
      <w:r w:rsidR="00D03110" w:rsidRPr="00951157">
        <w:rPr>
          <w:rFonts w:eastAsia="Times New Roman"/>
          <w:noProof/>
        </w:rPr>
        <w:t xml:space="preserve">the compensation mechanism, the Register of Damage </w:t>
      </w:r>
      <w:r w:rsidR="00984FCF" w:rsidRPr="00951157">
        <w:rPr>
          <w:rFonts w:eastAsia="Times New Roman"/>
          <w:noProof/>
        </w:rPr>
        <w:t xml:space="preserve">(‘Register’) </w:t>
      </w:r>
      <w:r w:rsidR="00D03110" w:rsidRPr="00951157">
        <w:rPr>
          <w:rFonts w:eastAsia="Times New Roman"/>
          <w:noProof/>
        </w:rPr>
        <w:t>was set up</w:t>
      </w:r>
      <w:r w:rsidR="002D638C">
        <w:rPr>
          <w:rFonts w:eastAsia="Times New Roman"/>
          <w:noProof/>
        </w:rPr>
        <w:t xml:space="preserve"> on 16 May 2023,</w:t>
      </w:r>
      <w:r w:rsidR="00D03110" w:rsidRPr="00951157">
        <w:rPr>
          <w:rFonts w:eastAsia="Times New Roman"/>
          <w:noProof/>
        </w:rPr>
        <w:t xml:space="preserve"> </w:t>
      </w:r>
      <w:r w:rsidR="002D638C" w:rsidRPr="00951157">
        <w:rPr>
          <w:rFonts w:eastAsia="Times New Roman"/>
          <w:noProof/>
        </w:rPr>
        <w:t>under the auspices of the Council of Europe</w:t>
      </w:r>
      <w:r w:rsidR="002D638C">
        <w:rPr>
          <w:rFonts w:eastAsia="Times New Roman"/>
          <w:noProof/>
        </w:rPr>
        <w:t xml:space="preserve">, </w:t>
      </w:r>
      <w:r w:rsidR="00BB0D5C" w:rsidRPr="00951157">
        <w:rPr>
          <w:rFonts w:eastAsia="Times New Roman"/>
          <w:noProof/>
        </w:rPr>
        <w:t xml:space="preserve">as a record of claims </w:t>
      </w:r>
      <w:r w:rsidR="00575AC5" w:rsidRPr="00951157">
        <w:rPr>
          <w:rFonts w:eastAsia="Times New Roman"/>
          <w:noProof/>
        </w:rPr>
        <w:t xml:space="preserve">by means of </w:t>
      </w:r>
      <w:r w:rsidR="00340597" w:rsidRPr="00951157">
        <w:rPr>
          <w:rFonts w:eastAsia="Times New Roman"/>
          <w:noProof/>
        </w:rPr>
        <w:t>a Resolution establishing the EPA on the Register</w:t>
      </w:r>
      <w:r w:rsidR="00D03110" w:rsidRPr="00951157">
        <w:rPr>
          <w:rFonts w:eastAsia="Times New Roman"/>
          <w:noProof/>
        </w:rPr>
        <w:t>. The Union joined the</w:t>
      </w:r>
      <w:r w:rsidR="00984FCF" w:rsidRPr="00951157">
        <w:rPr>
          <w:rFonts w:eastAsia="Times New Roman"/>
          <w:noProof/>
        </w:rPr>
        <w:t xml:space="preserve"> </w:t>
      </w:r>
      <w:r w:rsidR="000D401D" w:rsidRPr="00951157">
        <w:rPr>
          <w:rFonts w:eastAsia="Times New Roman"/>
          <w:noProof/>
        </w:rPr>
        <w:t>EPA</w:t>
      </w:r>
      <w:r w:rsidR="00F969A6" w:rsidRPr="00951157">
        <w:rPr>
          <w:rFonts w:eastAsia="Times New Roman"/>
          <w:noProof/>
        </w:rPr>
        <w:t xml:space="preserve"> </w:t>
      </w:r>
      <w:r w:rsidR="002D638C">
        <w:rPr>
          <w:rFonts w:eastAsia="Times New Roman"/>
          <w:noProof/>
        </w:rPr>
        <w:t xml:space="preserve">on the Register </w:t>
      </w:r>
      <w:r w:rsidR="00F969A6" w:rsidRPr="00951157">
        <w:rPr>
          <w:rFonts w:eastAsia="Times New Roman"/>
          <w:noProof/>
        </w:rPr>
        <w:t xml:space="preserve">first as a </w:t>
      </w:r>
      <w:r w:rsidR="00D86117">
        <w:rPr>
          <w:rFonts w:eastAsia="Times New Roman"/>
          <w:noProof/>
        </w:rPr>
        <w:t>F</w:t>
      </w:r>
      <w:r w:rsidR="00F969A6" w:rsidRPr="00951157">
        <w:rPr>
          <w:rFonts w:eastAsia="Times New Roman"/>
          <w:noProof/>
        </w:rPr>
        <w:t>ounding Associate Member and then as a Participant</w:t>
      </w:r>
      <w:r w:rsidR="002207AA" w:rsidRPr="00951157">
        <w:rPr>
          <w:rStyle w:val="FootnoteReference"/>
          <w:rFonts w:eastAsia="Times New Roman"/>
          <w:noProof/>
          <w:szCs w:val="24"/>
        </w:rPr>
        <w:footnoteReference w:id="20"/>
      </w:r>
      <w:r w:rsidR="00984FCF" w:rsidRPr="00951157">
        <w:rPr>
          <w:rFonts w:eastAsia="Times New Roman"/>
          <w:noProof/>
        </w:rPr>
        <w:t>.</w:t>
      </w:r>
      <w:r w:rsidR="00547D60" w:rsidRPr="00951157">
        <w:rPr>
          <w:rFonts w:eastAsia="Times New Roman"/>
          <w:noProof/>
        </w:rPr>
        <w:t xml:space="preserve"> </w:t>
      </w:r>
      <w:r w:rsidR="00865354">
        <w:rPr>
          <w:rFonts w:eastAsia="Times New Roman"/>
          <w:noProof/>
        </w:rPr>
        <w:t>As a next step, t</w:t>
      </w:r>
      <w:r w:rsidR="00D14379" w:rsidRPr="00951157">
        <w:rPr>
          <w:rFonts w:eastAsia="Times New Roman"/>
          <w:noProof/>
        </w:rPr>
        <w:t xml:space="preserve">he </w:t>
      </w:r>
      <w:r w:rsidR="00865354">
        <w:rPr>
          <w:rFonts w:eastAsia="Times New Roman"/>
          <w:noProof/>
        </w:rPr>
        <w:t xml:space="preserve">future </w:t>
      </w:r>
      <w:r w:rsidR="00D14379" w:rsidRPr="00951157">
        <w:rPr>
          <w:rFonts w:eastAsia="Times New Roman"/>
          <w:noProof/>
        </w:rPr>
        <w:t xml:space="preserve">Claims Commission </w:t>
      </w:r>
      <w:r w:rsidR="0073109C" w:rsidRPr="00951157">
        <w:rPr>
          <w:rFonts w:eastAsia="Times New Roman"/>
          <w:noProof/>
        </w:rPr>
        <w:lastRenderedPageBreak/>
        <w:t xml:space="preserve">will serve to adjudicate the claims recorded in the Register and determine the </w:t>
      </w:r>
      <w:r w:rsidR="00547D60" w:rsidRPr="00951157">
        <w:rPr>
          <w:rFonts w:eastAsia="Times New Roman"/>
          <w:noProof/>
        </w:rPr>
        <w:t xml:space="preserve">compensation due for each claim. </w:t>
      </w:r>
      <w:r w:rsidR="5E2FFD06" w:rsidRPr="00951157">
        <w:rPr>
          <w:rFonts w:eastAsia="Times New Roman"/>
          <w:noProof/>
        </w:rPr>
        <w:t>In line with the Council Decision of 17 March 2025</w:t>
      </w:r>
      <w:r w:rsidR="00BF3861">
        <w:rPr>
          <w:rStyle w:val="FootnoteReference"/>
          <w:rFonts w:eastAsia="Times New Roman"/>
          <w:noProof/>
        </w:rPr>
        <w:footnoteReference w:id="21"/>
      </w:r>
      <w:r w:rsidR="5E2FFD06" w:rsidRPr="00951157">
        <w:rPr>
          <w:rFonts w:eastAsia="Times New Roman"/>
          <w:noProof/>
        </w:rPr>
        <w:t xml:space="preserve"> authorising the Commission to negotiate the establishment of an International Claims Commission</w:t>
      </w:r>
      <w:r w:rsidR="00112897">
        <w:rPr>
          <w:rFonts w:eastAsia="Times New Roman"/>
          <w:noProof/>
        </w:rPr>
        <w:t xml:space="preserve"> for Ukraine</w:t>
      </w:r>
      <w:r w:rsidR="5E2FFD06" w:rsidRPr="00951157">
        <w:rPr>
          <w:rFonts w:eastAsia="Times New Roman"/>
          <w:noProof/>
        </w:rPr>
        <w:t>, the Union actively participat</w:t>
      </w:r>
      <w:r w:rsidR="00172415">
        <w:rPr>
          <w:rFonts w:eastAsia="Times New Roman"/>
          <w:noProof/>
        </w:rPr>
        <w:t>ed</w:t>
      </w:r>
      <w:r w:rsidR="5E2FFD06" w:rsidRPr="00951157">
        <w:rPr>
          <w:rFonts w:eastAsia="Times New Roman"/>
          <w:noProof/>
        </w:rPr>
        <w:t xml:space="preserve"> in </w:t>
      </w:r>
      <w:r w:rsidR="005A3A87" w:rsidRPr="00951157">
        <w:rPr>
          <w:rFonts w:eastAsia="Times New Roman"/>
          <w:noProof/>
        </w:rPr>
        <w:t xml:space="preserve">the </w:t>
      </w:r>
      <w:r w:rsidR="5E2FFD06" w:rsidRPr="00951157">
        <w:rPr>
          <w:rFonts w:eastAsia="Times New Roman"/>
          <w:noProof/>
        </w:rPr>
        <w:t xml:space="preserve">negotiations </w:t>
      </w:r>
      <w:r w:rsidR="002D638C">
        <w:rPr>
          <w:rFonts w:eastAsia="Times New Roman"/>
          <w:noProof/>
        </w:rPr>
        <w:t>of the instrument setting up the Claims Commission</w:t>
      </w:r>
      <w:r w:rsidR="5E2FFD06" w:rsidRPr="00951157">
        <w:rPr>
          <w:rFonts w:eastAsia="Times New Roman"/>
          <w:noProof/>
        </w:rPr>
        <w:t xml:space="preserve"> </w:t>
      </w:r>
      <w:r w:rsidR="00213AAA" w:rsidRPr="00951157">
        <w:rPr>
          <w:rFonts w:eastAsia="Times New Roman"/>
          <w:noProof/>
        </w:rPr>
        <w:t>since</w:t>
      </w:r>
      <w:r w:rsidR="5E2FFD06" w:rsidRPr="00951157">
        <w:rPr>
          <w:rFonts w:eastAsia="Times New Roman"/>
          <w:noProof/>
        </w:rPr>
        <w:t xml:space="preserve"> March 2025</w:t>
      </w:r>
      <w:r w:rsidR="002D638C">
        <w:rPr>
          <w:rFonts w:eastAsia="Times New Roman"/>
          <w:noProof/>
        </w:rPr>
        <w:t>,</w:t>
      </w:r>
      <w:r w:rsidR="5E2FFD06" w:rsidRPr="00951157">
        <w:rPr>
          <w:rFonts w:eastAsia="Times New Roman"/>
          <w:noProof/>
        </w:rPr>
        <w:t xml:space="preserve"> </w:t>
      </w:r>
      <w:r w:rsidR="002D638C">
        <w:rPr>
          <w:rFonts w:eastAsia="Times New Roman"/>
          <w:noProof/>
        </w:rPr>
        <w:t xml:space="preserve">together with </w:t>
      </w:r>
      <w:r w:rsidR="5E2FFD06" w:rsidRPr="00951157">
        <w:rPr>
          <w:rFonts w:eastAsia="Times New Roman"/>
          <w:noProof/>
        </w:rPr>
        <w:t xml:space="preserve">over 50 </w:t>
      </w:r>
      <w:r w:rsidR="00DE15E1">
        <w:rPr>
          <w:rFonts w:eastAsia="Times New Roman"/>
          <w:noProof/>
        </w:rPr>
        <w:t>S</w:t>
      </w:r>
      <w:r w:rsidR="5E2FFD06" w:rsidRPr="00951157">
        <w:rPr>
          <w:rFonts w:eastAsia="Times New Roman"/>
          <w:noProof/>
        </w:rPr>
        <w:t>tates</w:t>
      </w:r>
      <w:r w:rsidR="00EE62CB">
        <w:rPr>
          <w:rFonts w:eastAsia="Times New Roman"/>
          <w:noProof/>
        </w:rPr>
        <w:t xml:space="preserve">. </w:t>
      </w:r>
      <w:r w:rsidR="00EE62CB" w:rsidRPr="004E3DED">
        <w:rPr>
          <w:rFonts w:eastAsia="Times New Roman"/>
          <w:noProof/>
        </w:rPr>
        <w:t>These negotiations were concluded successfully in September 2025</w:t>
      </w:r>
      <w:r w:rsidR="006A4698" w:rsidRPr="004E3DED">
        <w:rPr>
          <w:rFonts w:eastAsia="Times New Roman"/>
          <w:noProof/>
        </w:rPr>
        <w:t xml:space="preserve"> and the signature of the </w:t>
      </w:r>
      <w:r w:rsidR="008D5A0D" w:rsidRPr="004E3DED">
        <w:rPr>
          <w:rFonts w:eastAsia="Times New Roman"/>
          <w:noProof/>
        </w:rPr>
        <w:t xml:space="preserve">Convention establishing the </w:t>
      </w:r>
      <w:r w:rsidR="006A4698" w:rsidRPr="004E3DED">
        <w:rPr>
          <w:rFonts w:eastAsia="Times New Roman"/>
          <w:noProof/>
        </w:rPr>
        <w:t>Claims Commission</w:t>
      </w:r>
      <w:r w:rsidR="00172415">
        <w:rPr>
          <w:rFonts w:eastAsia="Times New Roman"/>
          <w:noProof/>
        </w:rPr>
        <w:t xml:space="preserve">, including by the Union based on </w:t>
      </w:r>
      <w:r w:rsidR="00172415" w:rsidRPr="00172415">
        <w:rPr>
          <w:rFonts w:eastAsia="Times New Roman"/>
          <w:noProof/>
        </w:rPr>
        <w:t xml:space="preserve">Council Decision </w:t>
      </w:r>
      <w:r w:rsidR="00DE15E1">
        <w:rPr>
          <w:rFonts w:eastAsia="Times New Roman"/>
          <w:noProof/>
        </w:rPr>
        <w:t xml:space="preserve">(EU) </w:t>
      </w:r>
      <w:r w:rsidR="00172415" w:rsidRPr="00172415">
        <w:rPr>
          <w:rFonts w:eastAsia="Times New Roman"/>
          <w:noProof/>
        </w:rPr>
        <w:t>2025/2655</w:t>
      </w:r>
      <w:r w:rsidR="00172415">
        <w:rPr>
          <w:rStyle w:val="FootnoteReference"/>
          <w:rFonts w:eastAsia="Times New Roman"/>
          <w:noProof/>
        </w:rPr>
        <w:footnoteReference w:id="22"/>
      </w:r>
      <w:r w:rsidR="00172415" w:rsidRPr="00172415">
        <w:rPr>
          <w:rFonts w:eastAsia="Times New Roman"/>
          <w:noProof/>
        </w:rPr>
        <w:t xml:space="preserve"> </w:t>
      </w:r>
      <w:r w:rsidR="00172415">
        <w:rPr>
          <w:rFonts w:eastAsia="Times New Roman"/>
          <w:noProof/>
        </w:rPr>
        <w:t xml:space="preserve">and 34 other </w:t>
      </w:r>
      <w:r w:rsidR="00DE15E1">
        <w:rPr>
          <w:rFonts w:eastAsia="Times New Roman"/>
          <w:noProof/>
        </w:rPr>
        <w:t>S</w:t>
      </w:r>
      <w:r w:rsidR="00172415">
        <w:rPr>
          <w:rFonts w:eastAsia="Times New Roman"/>
          <w:noProof/>
        </w:rPr>
        <w:t>tates,</w:t>
      </w:r>
      <w:r w:rsidR="008D5A0D" w:rsidRPr="004E3DED">
        <w:rPr>
          <w:rFonts w:eastAsia="Times New Roman"/>
          <w:noProof/>
        </w:rPr>
        <w:t xml:space="preserve"> took place </w:t>
      </w:r>
      <w:r w:rsidR="00172415">
        <w:rPr>
          <w:rFonts w:eastAsia="Times New Roman"/>
          <w:noProof/>
        </w:rPr>
        <w:t xml:space="preserve">at </w:t>
      </w:r>
      <w:r w:rsidR="0099646B">
        <w:rPr>
          <w:rFonts w:eastAsia="Times New Roman"/>
          <w:noProof/>
        </w:rPr>
        <w:t xml:space="preserve">a </w:t>
      </w:r>
      <w:r w:rsidR="008D5A0D" w:rsidRPr="004E3DED">
        <w:rPr>
          <w:rFonts w:eastAsia="Times New Roman"/>
          <w:noProof/>
        </w:rPr>
        <w:t>Diplomatic Conference in The Hague</w:t>
      </w:r>
      <w:r w:rsidR="0099646B">
        <w:rPr>
          <w:rFonts w:eastAsia="Times New Roman"/>
          <w:noProof/>
        </w:rPr>
        <w:t xml:space="preserve"> </w:t>
      </w:r>
      <w:r w:rsidR="0099646B" w:rsidRPr="004E3DED">
        <w:rPr>
          <w:rFonts w:eastAsia="Times New Roman"/>
          <w:noProof/>
        </w:rPr>
        <w:t>on 16 December 2025</w:t>
      </w:r>
      <w:r w:rsidR="5E2FFD06" w:rsidRPr="004E3DED">
        <w:rPr>
          <w:rFonts w:eastAsia="Times New Roman"/>
          <w:noProof/>
        </w:rPr>
        <w:t>.</w:t>
      </w:r>
      <w:r w:rsidR="5E2FFD06" w:rsidRPr="00951157">
        <w:rPr>
          <w:rFonts w:eastAsia="Times New Roman"/>
          <w:noProof/>
        </w:rPr>
        <w:t xml:space="preserve"> </w:t>
      </w:r>
    </w:p>
    <w:p w:rsidR="009C386E" w:rsidRPr="00865354" w:rsidRDefault="009C386E" w:rsidP="003D4A1D">
      <w:pPr>
        <w:pBdr>
          <w:top w:val="nil"/>
          <w:left w:val="nil"/>
          <w:bottom w:val="nil"/>
          <w:right w:val="nil"/>
          <w:between w:val="nil"/>
          <w:bar w:val="nil"/>
        </w:pBdr>
        <w:spacing w:before="0" w:after="240"/>
        <w:rPr>
          <w:rFonts w:eastAsia="Times New Roman"/>
          <w:noProof/>
          <w:szCs w:val="24"/>
          <w:lang w:val="en-IE"/>
        </w:rPr>
      </w:pPr>
      <w:r w:rsidRPr="009C386E">
        <w:rPr>
          <w:rFonts w:eastAsia="Times New Roman"/>
          <w:noProof/>
          <w:szCs w:val="24"/>
          <w:lang w:val="en-IE"/>
        </w:rPr>
        <w:t xml:space="preserve">Finally, in particular with a view to safeguarding peace, preventing conflicts and strengthening international security, in accordance with the UN Charter, the Union has adopted an unprecedented </w:t>
      </w:r>
      <w:r w:rsidR="00497389">
        <w:rPr>
          <w:rFonts w:eastAsia="Times New Roman"/>
          <w:noProof/>
          <w:szCs w:val="24"/>
          <w:lang w:val="en-IE"/>
        </w:rPr>
        <w:t>number</w:t>
      </w:r>
      <w:r w:rsidR="00497389" w:rsidRPr="009C386E">
        <w:rPr>
          <w:rFonts w:eastAsia="Times New Roman"/>
          <w:noProof/>
          <w:szCs w:val="24"/>
          <w:lang w:val="en-IE"/>
        </w:rPr>
        <w:t xml:space="preserve"> </w:t>
      </w:r>
      <w:r w:rsidRPr="009C386E">
        <w:rPr>
          <w:rFonts w:eastAsia="Times New Roman"/>
          <w:noProof/>
          <w:szCs w:val="24"/>
          <w:lang w:val="en-IE"/>
        </w:rPr>
        <w:t>of restrictive measures against the Russian Federation with a view to increas</w:t>
      </w:r>
      <w:r w:rsidR="008E67FE">
        <w:rPr>
          <w:rFonts w:eastAsia="Times New Roman"/>
          <w:noProof/>
          <w:szCs w:val="24"/>
          <w:lang w:val="en-IE"/>
        </w:rPr>
        <w:t>ing</w:t>
      </w:r>
      <w:r w:rsidRPr="009C386E">
        <w:rPr>
          <w:rFonts w:eastAsia="Times New Roman"/>
          <w:noProof/>
          <w:szCs w:val="24"/>
          <w:lang w:val="en-IE"/>
        </w:rPr>
        <w:t xml:space="preserve"> the costs of the Russian Federation for its illegal actions and thwart</w:t>
      </w:r>
      <w:r w:rsidR="008E67FE">
        <w:rPr>
          <w:rFonts w:eastAsia="Times New Roman"/>
          <w:noProof/>
          <w:szCs w:val="24"/>
          <w:lang w:val="en-IE"/>
        </w:rPr>
        <w:t>ing</w:t>
      </w:r>
      <w:r w:rsidRPr="009C386E">
        <w:rPr>
          <w:rFonts w:eastAsia="Times New Roman"/>
          <w:noProof/>
          <w:szCs w:val="24"/>
          <w:lang w:val="en-IE"/>
        </w:rPr>
        <w:t xml:space="preserve"> its ability to continue its aggression</w:t>
      </w:r>
      <w:r w:rsidR="00C446DB">
        <w:rPr>
          <w:rStyle w:val="FootnoteReference"/>
          <w:rFonts w:eastAsia="Times New Roman"/>
          <w:noProof/>
          <w:szCs w:val="24"/>
          <w:lang w:val="en-IE"/>
        </w:rPr>
        <w:footnoteReference w:id="23"/>
      </w:r>
      <w:r w:rsidRPr="009C386E">
        <w:rPr>
          <w:rFonts w:eastAsia="Times New Roman"/>
          <w:noProof/>
          <w:szCs w:val="24"/>
          <w:lang w:val="en-IE"/>
        </w:rPr>
        <w:t xml:space="preserve">. To enhance the enforcement of restrictive measures, the Union has, among others, set up the Freeze and Seize Task Force, </w:t>
      </w:r>
      <w:r w:rsidR="008E67FE">
        <w:rPr>
          <w:rFonts w:eastAsia="Times New Roman"/>
          <w:noProof/>
          <w:szCs w:val="24"/>
          <w:lang w:val="en-IE"/>
        </w:rPr>
        <w:t xml:space="preserve">and </w:t>
      </w:r>
      <w:r w:rsidRPr="009C386E">
        <w:rPr>
          <w:rFonts w:eastAsia="Times New Roman"/>
          <w:noProof/>
          <w:szCs w:val="24"/>
          <w:lang w:val="en-IE"/>
        </w:rPr>
        <w:t>adopted a Directive that harmonises the definition of, and criminal penalties for the violation of Union restrictive measures</w:t>
      </w:r>
      <w:r>
        <w:rPr>
          <w:rStyle w:val="FootnoteReference"/>
          <w:rFonts w:eastAsia="Times New Roman"/>
          <w:noProof/>
          <w:szCs w:val="24"/>
          <w:lang w:val="en-IE"/>
        </w:rPr>
        <w:footnoteReference w:id="24"/>
      </w:r>
      <w:r w:rsidRPr="009C386E">
        <w:rPr>
          <w:rFonts w:eastAsia="Times New Roman"/>
          <w:noProof/>
          <w:szCs w:val="24"/>
          <w:lang w:val="en-IE"/>
        </w:rPr>
        <w:t xml:space="preserve">. The Commission appointed an EU Sanctions Envoy to ensure continuous, high-level discussions with third countries to avoid the evasion or circumvention of the Union restrictive measures, in particular those adopted against </w:t>
      </w:r>
      <w:r w:rsidR="00DE15E1">
        <w:rPr>
          <w:rFonts w:eastAsia="Times New Roman"/>
          <w:noProof/>
          <w:szCs w:val="24"/>
          <w:lang w:val="en-IE"/>
        </w:rPr>
        <w:t xml:space="preserve">the </w:t>
      </w:r>
      <w:r w:rsidRPr="009C386E">
        <w:rPr>
          <w:rFonts w:eastAsia="Times New Roman"/>
          <w:noProof/>
          <w:szCs w:val="24"/>
          <w:lang w:val="en-IE"/>
        </w:rPr>
        <w:t>Russia</w:t>
      </w:r>
      <w:r w:rsidR="00DE15E1">
        <w:rPr>
          <w:rFonts w:eastAsia="Times New Roman"/>
          <w:noProof/>
          <w:szCs w:val="24"/>
          <w:lang w:val="en-IE"/>
        </w:rPr>
        <w:t>n Federation</w:t>
      </w:r>
      <w:r w:rsidRPr="009C386E">
        <w:rPr>
          <w:rFonts w:eastAsia="Times New Roman"/>
          <w:noProof/>
          <w:szCs w:val="24"/>
          <w:lang w:val="en-IE"/>
        </w:rPr>
        <w:t>, and has published guidance to national authorities and private operators dealing with the interpretation of the relevant Union rules on the matter.</w:t>
      </w:r>
    </w:p>
    <w:p w:rsidR="00DE314D" w:rsidRPr="00AC781E" w:rsidRDefault="00DE314D" w:rsidP="006F1C1E">
      <w:pPr>
        <w:pStyle w:val="ManualHeading1"/>
        <w:rPr>
          <w:noProof/>
        </w:rPr>
      </w:pPr>
      <w:r>
        <w:rPr>
          <w:noProof/>
        </w:rPr>
        <w:t>1.</w:t>
      </w:r>
      <w:r>
        <w:rPr>
          <w:noProof/>
        </w:rPr>
        <w:tab/>
      </w:r>
      <w:r w:rsidRPr="00AC781E">
        <w:rPr>
          <w:noProof/>
        </w:rPr>
        <w:t>LEGAL BASIS, SUBSIDIARITY AND PROPORTIONALITY</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Legal basis</w:t>
      </w:r>
    </w:p>
    <w:p w:rsidR="00686A98" w:rsidRPr="00686A98" w:rsidRDefault="006951A9" w:rsidP="004915D8">
      <w:pPr>
        <w:rPr>
          <w:noProof/>
        </w:rPr>
      </w:pPr>
      <w:r w:rsidRPr="00EA3D49">
        <w:rPr>
          <w:noProof/>
        </w:rPr>
        <w:t xml:space="preserve">The procedural legal basis for the adoption of the Council Decision authorising the signature of the EPA </w:t>
      </w:r>
      <w:r w:rsidR="00BE74EA" w:rsidRPr="00EA3D49">
        <w:rPr>
          <w:noProof/>
        </w:rPr>
        <w:t xml:space="preserve">by </w:t>
      </w:r>
      <w:r w:rsidR="004221E3">
        <w:rPr>
          <w:noProof/>
        </w:rPr>
        <w:t>participation in the adoption</w:t>
      </w:r>
      <w:r w:rsidR="00BE74EA" w:rsidRPr="00EA3D49">
        <w:rPr>
          <w:noProof/>
        </w:rPr>
        <w:t xml:space="preserve"> of the Committee of Ministers Decision adopting Resolution CM/Res(202x)x establishing the EPA </w:t>
      </w:r>
      <w:r w:rsidRPr="00EA3D49">
        <w:rPr>
          <w:noProof/>
        </w:rPr>
        <w:t xml:space="preserve">is Article 218(5) TFEU. The participation by the Union in the adoption of the Committee of Ministers Resolution establishing the EPA on the Management Committee of the Special Tribunal for the Crime of Aggression against Ukraine is intended to authenticate the text of the </w:t>
      </w:r>
      <w:r w:rsidR="00FB350F" w:rsidRPr="00EA3D49">
        <w:rPr>
          <w:noProof/>
          <w:lang w:val="en-IE"/>
        </w:rPr>
        <w:t>Resolution</w:t>
      </w:r>
      <w:r w:rsidR="00FB350F" w:rsidRPr="009C3A01">
        <w:rPr>
          <w:noProof/>
          <w:lang w:val="en-IE"/>
        </w:rPr>
        <w:t xml:space="preserve"> establishing the </w:t>
      </w:r>
      <w:r w:rsidRPr="006951A9">
        <w:rPr>
          <w:noProof/>
        </w:rPr>
        <w:t>EPA and to trigger the application of Article 18(a) of the Vienna Convention on the Law of Treaties</w:t>
      </w:r>
      <w:r w:rsidR="00A44879">
        <w:rPr>
          <w:rStyle w:val="FootnoteReference"/>
          <w:noProof/>
        </w:rPr>
        <w:footnoteReference w:id="25"/>
      </w:r>
      <w:r w:rsidR="002947B8">
        <w:rPr>
          <w:noProof/>
        </w:rPr>
        <w:t>.</w:t>
      </w:r>
      <w:r w:rsidRPr="006951A9">
        <w:rPr>
          <w:noProof/>
        </w:rPr>
        <w:t xml:space="preserve"> </w:t>
      </w:r>
      <w:r w:rsidR="002947B8">
        <w:rPr>
          <w:noProof/>
        </w:rPr>
        <w:t>F</w:t>
      </w:r>
      <w:r w:rsidRPr="006951A9">
        <w:rPr>
          <w:noProof/>
        </w:rPr>
        <w:t xml:space="preserve">or </w:t>
      </w:r>
      <w:r w:rsidRPr="006951A9">
        <w:rPr>
          <w:noProof/>
        </w:rPr>
        <w:lastRenderedPageBreak/>
        <w:t>the purposes of Union law, that act is equivalent to a decision on signing pursuant to Article 218(5) TFEU and does not, at th</w:t>
      </w:r>
      <w:r w:rsidR="00DE15E1">
        <w:rPr>
          <w:noProof/>
        </w:rPr>
        <w:t>is</w:t>
      </w:r>
      <w:r w:rsidRPr="006951A9">
        <w:rPr>
          <w:noProof/>
        </w:rPr>
        <w:t xml:space="preserve"> stage, entail the assumption of binding obligations by the Union</w:t>
      </w:r>
      <w:r w:rsidR="007E4877">
        <w:rPr>
          <w:noProof/>
        </w:rPr>
        <w:t>.</w:t>
      </w:r>
    </w:p>
    <w:p w:rsidR="00EF7987" w:rsidRDefault="006951A9" w:rsidP="009C3ED4">
      <w:pPr>
        <w:pBdr>
          <w:top w:val="nil"/>
          <w:left w:val="nil"/>
          <w:bottom w:val="nil"/>
          <w:right w:val="nil"/>
          <w:between w:val="nil"/>
          <w:bar w:val="nil"/>
        </w:pBdr>
        <w:spacing w:before="0" w:after="240"/>
        <w:rPr>
          <w:rFonts w:eastAsia="Arial Unicode MS"/>
          <w:noProof/>
        </w:rPr>
      </w:pPr>
      <w:r w:rsidRPr="006951A9">
        <w:rPr>
          <w:rFonts w:eastAsia="Arial Unicode MS"/>
          <w:noProof/>
        </w:rPr>
        <w:t xml:space="preserve">The substantive legal basis for the adoption of the Council Decision authorising the signature of the </w:t>
      </w:r>
      <w:r w:rsidR="00FB350F">
        <w:rPr>
          <w:noProof/>
        </w:rPr>
        <w:t xml:space="preserve">Resolution establishing the </w:t>
      </w:r>
      <w:r>
        <w:rPr>
          <w:rFonts w:eastAsia="Arial Unicode MS"/>
          <w:noProof/>
        </w:rPr>
        <w:t>EPA</w:t>
      </w:r>
      <w:r w:rsidRPr="006951A9">
        <w:rPr>
          <w:rFonts w:eastAsia="Arial Unicode MS"/>
          <w:noProof/>
        </w:rPr>
        <w:t xml:space="preserve"> is Article 212 TFEU</w:t>
      </w:r>
      <w:r>
        <w:rPr>
          <w:rFonts w:eastAsia="Arial Unicode MS"/>
          <w:noProof/>
        </w:rPr>
        <w:t xml:space="preserve">. </w:t>
      </w:r>
      <w:r w:rsidR="00B702AB" w:rsidRPr="00B702AB">
        <w:rPr>
          <w:rFonts w:eastAsia="Arial Unicode MS"/>
          <w:noProof/>
        </w:rPr>
        <w:t>According to established case-law of the Court of Justice</w:t>
      </w:r>
      <w:r w:rsidR="00DE15E1">
        <w:rPr>
          <w:rFonts w:eastAsia="Arial Unicode MS"/>
          <w:noProof/>
        </w:rPr>
        <w:t xml:space="preserve"> of the European Union</w:t>
      </w:r>
      <w:r w:rsidR="00B702AB">
        <w:rPr>
          <w:rStyle w:val="FootnoteReference"/>
          <w:rFonts w:eastAsia="Arial Unicode MS"/>
          <w:noProof/>
        </w:rPr>
        <w:footnoteReference w:id="26"/>
      </w:r>
      <w:r w:rsidR="00B702AB" w:rsidRPr="00B702AB">
        <w:rPr>
          <w:rFonts w:eastAsia="Arial Unicode MS"/>
          <w:noProof/>
        </w:rPr>
        <w:t>, the substantive legal basis depends primarily on the objective and content of the envisaged act. If the envisaged act pursues two aims or has two components and if one of those aims or components is identifiable as the main one, whereas the other is merely incidental, a legal act must be founded on a single substantive legal basis, namely that required by the main or predominant aim or component.</w:t>
      </w:r>
      <w:r w:rsidR="00B702AB">
        <w:rPr>
          <w:rFonts w:eastAsia="Arial Unicode MS"/>
          <w:noProof/>
        </w:rPr>
        <w:t xml:space="preserve"> </w:t>
      </w:r>
    </w:p>
    <w:p w:rsidR="00B00304" w:rsidRPr="00EF7987" w:rsidRDefault="009C3ED4" w:rsidP="00B00304">
      <w:pPr>
        <w:pBdr>
          <w:top w:val="nil"/>
          <w:left w:val="nil"/>
          <w:bottom w:val="nil"/>
          <w:right w:val="nil"/>
          <w:between w:val="nil"/>
          <w:bar w:val="nil"/>
        </w:pBdr>
        <w:spacing w:before="0" w:after="240"/>
        <w:rPr>
          <w:rFonts w:eastAsia="Arial Unicode MS"/>
          <w:noProof/>
        </w:rPr>
      </w:pPr>
      <w:r w:rsidRPr="00951157">
        <w:rPr>
          <w:rFonts w:eastAsia="Arial Unicode MS"/>
          <w:noProof/>
        </w:rPr>
        <w:t>Article 212</w:t>
      </w:r>
      <w:r w:rsidR="00CB5B1C">
        <w:rPr>
          <w:rFonts w:eastAsia="Arial Unicode MS"/>
          <w:noProof/>
        </w:rPr>
        <w:t>(1)</w:t>
      </w:r>
      <w:r w:rsidRPr="00951157">
        <w:rPr>
          <w:rFonts w:eastAsia="Arial Unicode MS"/>
          <w:noProof/>
        </w:rPr>
        <w:t xml:space="preserve"> TFEU provides the possibility for the Union to </w:t>
      </w:r>
      <w:r w:rsidR="00DE15E1">
        <w:rPr>
          <w:rFonts w:eastAsia="Arial Unicode MS"/>
          <w:noProof/>
        </w:rPr>
        <w:t>‘</w:t>
      </w:r>
      <w:r w:rsidRPr="00951157">
        <w:rPr>
          <w:rFonts w:eastAsia="Arial Unicode MS"/>
          <w:noProof/>
        </w:rPr>
        <w:t>carry out economic, financial and technical cooperation measures, including assistance, in particular financial assistance, with third countries other than developing countries</w:t>
      </w:r>
      <w:r w:rsidR="008E67FE">
        <w:rPr>
          <w:rFonts w:eastAsia="Arial Unicode MS"/>
          <w:noProof/>
        </w:rPr>
        <w:t>.</w:t>
      </w:r>
      <w:r w:rsidR="00DE15E1">
        <w:rPr>
          <w:rFonts w:eastAsia="Arial Unicode MS"/>
          <w:noProof/>
        </w:rPr>
        <w:t>’</w:t>
      </w:r>
      <w:r w:rsidRPr="00951157">
        <w:rPr>
          <w:rFonts w:eastAsia="Arial Unicode MS"/>
          <w:noProof/>
        </w:rPr>
        <w:t xml:space="preserve"> The Article further clarifies that these measures </w:t>
      </w:r>
      <w:r w:rsidR="00DE15E1">
        <w:rPr>
          <w:rFonts w:eastAsia="Arial Unicode MS"/>
          <w:noProof/>
        </w:rPr>
        <w:t>‘</w:t>
      </w:r>
      <w:r w:rsidRPr="00951157">
        <w:rPr>
          <w:rFonts w:eastAsia="Arial Unicode MS"/>
          <w:noProof/>
        </w:rPr>
        <w:t>shall be consistent with the development policy of the Union and shall be carried out within the framework of the principles and objectives of its external action</w:t>
      </w:r>
      <w:r w:rsidR="008E67FE">
        <w:rPr>
          <w:rFonts w:eastAsia="Arial Unicode MS"/>
          <w:noProof/>
        </w:rPr>
        <w:t>.</w:t>
      </w:r>
      <w:r w:rsidR="00DE15E1">
        <w:rPr>
          <w:rFonts w:eastAsia="Arial Unicode MS"/>
          <w:noProof/>
        </w:rPr>
        <w:t>’</w:t>
      </w:r>
      <w:r w:rsidRPr="00951157">
        <w:rPr>
          <w:rFonts w:eastAsia="Arial Unicode MS"/>
          <w:noProof/>
        </w:rPr>
        <w:t xml:space="preserve"> </w:t>
      </w:r>
      <w:r w:rsidR="001A3EC1" w:rsidRPr="00951157">
        <w:rPr>
          <w:rFonts w:eastAsia="Arial Unicode MS"/>
          <w:noProof/>
        </w:rPr>
        <w:t>Th</w:t>
      </w:r>
      <w:r w:rsidR="00173C56">
        <w:rPr>
          <w:rFonts w:eastAsia="Arial Unicode MS"/>
          <w:noProof/>
        </w:rPr>
        <w:t xml:space="preserve">e present proposal aims </w:t>
      </w:r>
      <w:r w:rsidR="001A3EC1" w:rsidRPr="00951157">
        <w:rPr>
          <w:rFonts w:eastAsia="Arial Unicode MS"/>
          <w:noProof/>
        </w:rPr>
        <w:t xml:space="preserve">to </w:t>
      </w:r>
      <w:r w:rsidR="00FC08A6">
        <w:rPr>
          <w:rFonts w:eastAsia="Arial Unicode MS"/>
          <w:noProof/>
        </w:rPr>
        <w:t>enable</w:t>
      </w:r>
      <w:r w:rsidR="001A3EC1" w:rsidRPr="00951157">
        <w:rPr>
          <w:rFonts w:eastAsia="Arial Unicode MS"/>
          <w:noProof/>
        </w:rPr>
        <w:t xml:space="preserve"> the </w:t>
      </w:r>
      <w:r w:rsidR="00FC08A6">
        <w:rPr>
          <w:rFonts w:eastAsia="Arial Unicode MS"/>
          <w:noProof/>
        </w:rPr>
        <w:t>Union</w:t>
      </w:r>
      <w:r w:rsidR="001A3EC1" w:rsidRPr="00951157">
        <w:rPr>
          <w:rFonts w:eastAsia="Arial Unicode MS"/>
          <w:noProof/>
        </w:rPr>
        <w:t xml:space="preserve"> to </w:t>
      </w:r>
      <w:r w:rsidRPr="00951157">
        <w:rPr>
          <w:rFonts w:eastAsia="Arial Unicode MS"/>
          <w:noProof/>
        </w:rPr>
        <w:t>join</w:t>
      </w:r>
      <w:r w:rsidR="00D71F39">
        <w:rPr>
          <w:rFonts w:eastAsia="Arial Unicode MS"/>
          <w:noProof/>
        </w:rPr>
        <w:t xml:space="preserve"> </w:t>
      </w:r>
      <w:r w:rsidRPr="00951157">
        <w:rPr>
          <w:rFonts w:eastAsia="Arial Unicode MS"/>
          <w:noProof/>
        </w:rPr>
        <w:t>the</w:t>
      </w:r>
      <w:r w:rsidR="005A09F7">
        <w:rPr>
          <w:rFonts w:eastAsia="Arial Unicode MS"/>
          <w:noProof/>
        </w:rPr>
        <w:t xml:space="preserve"> EPA on the</w:t>
      </w:r>
      <w:r w:rsidRPr="00951157">
        <w:rPr>
          <w:rFonts w:eastAsia="Arial Unicode MS"/>
          <w:noProof/>
        </w:rPr>
        <w:t xml:space="preserve"> Management Committee of the Special Tribunal for the Crime of Aggression against Ukraine</w:t>
      </w:r>
      <w:r w:rsidR="00D71F39">
        <w:rPr>
          <w:rFonts w:eastAsia="Arial Unicode MS"/>
          <w:noProof/>
        </w:rPr>
        <w:t xml:space="preserve"> as</w:t>
      </w:r>
      <w:r w:rsidR="00173C56">
        <w:rPr>
          <w:rFonts w:eastAsia="Arial Unicode MS"/>
          <w:noProof/>
        </w:rPr>
        <w:t xml:space="preserve"> founding </w:t>
      </w:r>
      <w:r w:rsidR="005A09F7">
        <w:rPr>
          <w:rFonts w:eastAsia="Arial Unicode MS"/>
          <w:noProof/>
        </w:rPr>
        <w:t>M</w:t>
      </w:r>
      <w:r w:rsidR="00D71F39">
        <w:rPr>
          <w:rFonts w:eastAsia="Arial Unicode MS"/>
          <w:noProof/>
        </w:rPr>
        <w:t>ember</w:t>
      </w:r>
      <w:r w:rsidR="001A3EC1" w:rsidRPr="00951157">
        <w:rPr>
          <w:rFonts w:eastAsia="Arial Unicode MS"/>
          <w:noProof/>
        </w:rPr>
        <w:t>. The overarching purpose</w:t>
      </w:r>
      <w:r w:rsidR="56F80454" w:rsidRPr="00951157">
        <w:rPr>
          <w:rFonts w:eastAsia="Arial Unicode MS"/>
          <w:noProof/>
        </w:rPr>
        <w:t xml:space="preserve"> of</w:t>
      </w:r>
      <w:r w:rsidR="60EC2D09" w:rsidRPr="00951157">
        <w:rPr>
          <w:rFonts w:eastAsia="Arial Unicode MS"/>
          <w:noProof/>
        </w:rPr>
        <w:t xml:space="preserve"> the EPA on the Management Committee is </w:t>
      </w:r>
      <w:r w:rsidR="04FEB5F4" w:rsidRPr="00951157">
        <w:rPr>
          <w:rFonts w:eastAsia="Arial Unicode MS"/>
          <w:noProof/>
        </w:rPr>
        <w:t>twofold</w:t>
      </w:r>
      <w:r w:rsidR="00836492">
        <w:rPr>
          <w:rFonts w:eastAsia="Arial Unicode MS"/>
          <w:noProof/>
        </w:rPr>
        <w:t xml:space="preserve">, </w:t>
      </w:r>
      <w:r w:rsidR="001E7ABA">
        <w:rPr>
          <w:rFonts w:eastAsia="Arial Unicode MS"/>
          <w:noProof/>
        </w:rPr>
        <w:t>namely,</w:t>
      </w:r>
      <w:r w:rsidR="00CF756F">
        <w:rPr>
          <w:rFonts w:eastAsia="Arial Unicode MS"/>
          <w:noProof/>
        </w:rPr>
        <w:t xml:space="preserve"> </w:t>
      </w:r>
      <w:r w:rsidR="005931BD">
        <w:rPr>
          <w:rFonts w:eastAsia="Arial Unicode MS"/>
          <w:noProof/>
        </w:rPr>
        <w:t>to</w:t>
      </w:r>
      <w:r w:rsidR="00693B03">
        <w:rPr>
          <w:rFonts w:eastAsia="Arial Unicode MS"/>
          <w:noProof/>
        </w:rPr>
        <w:t xml:space="preserve"> </w:t>
      </w:r>
      <w:r w:rsidR="00604D13">
        <w:rPr>
          <w:rFonts w:eastAsia="Arial Unicode MS"/>
          <w:noProof/>
        </w:rPr>
        <w:t>finance</w:t>
      </w:r>
      <w:r w:rsidR="60EC2D09" w:rsidRPr="00951157">
        <w:rPr>
          <w:rFonts w:eastAsia="Arial Unicode MS"/>
          <w:noProof/>
        </w:rPr>
        <w:t xml:space="preserve"> the Special </w:t>
      </w:r>
      <w:r w:rsidR="00CF756F" w:rsidRPr="00951157">
        <w:rPr>
          <w:rFonts w:eastAsia="Arial Unicode MS"/>
          <w:noProof/>
        </w:rPr>
        <w:t>Tribunal</w:t>
      </w:r>
      <w:r w:rsidR="00CF756F">
        <w:rPr>
          <w:rFonts w:eastAsia="Arial Unicode MS"/>
          <w:noProof/>
        </w:rPr>
        <w:t xml:space="preserve"> and</w:t>
      </w:r>
      <w:r w:rsidR="003F2234">
        <w:rPr>
          <w:rFonts w:eastAsia="Arial Unicode MS"/>
          <w:noProof/>
        </w:rPr>
        <w:t xml:space="preserve"> </w:t>
      </w:r>
      <w:r w:rsidR="00836492">
        <w:rPr>
          <w:rFonts w:eastAsia="Arial Unicode MS"/>
          <w:noProof/>
        </w:rPr>
        <w:t xml:space="preserve">to </w:t>
      </w:r>
      <w:r w:rsidR="003F2234">
        <w:rPr>
          <w:rFonts w:eastAsia="Arial Unicode MS"/>
          <w:noProof/>
        </w:rPr>
        <w:t xml:space="preserve">assist </w:t>
      </w:r>
      <w:r w:rsidR="0B757083" w:rsidRPr="00951157">
        <w:rPr>
          <w:rFonts w:eastAsia="Arial Unicode MS"/>
          <w:noProof/>
        </w:rPr>
        <w:t>in other administrative and managerial aspects of its operation in order to enable the Special Tribunal to fulfil its mandate</w:t>
      </w:r>
      <w:r w:rsidR="005A09F7">
        <w:rPr>
          <w:rFonts w:eastAsia="Arial Unicode MS"/>
          <w:noProof/>
        </w:rPr>
        <w:t xml:space="preserve">. </w:t>
      </w:r>
      <w:r w:rsidR="00B00304" w:rsidRPr="00B65AE3">
        <w:rPr>
          <w:rFonts w:eastAsia="Arial Unicode MS"/>
          <w:noProof/>
          <w:lang w:val="en-IE"/>
        </w:rPr>
        <w:t>The proposed action falls</w:t>
      </w:r>
      <w:r w:rsidR="008E67FE">
        <w:rPr>
          <w:rFonts w:eastAsia="Arial Unicode MS"/>
          <w:noProof/>
          <w:lang w:val="en-IE"/>
        </w:rPr>
        <w:t xml:space="preserve"> therefore</w:t>
      </w:r>
      <w:r w:rsidR="00B00304" w:rsidRPr="00B65AE3">
        <w:rPr>
          <w:rFonts w:eastAsia="Arial Unicode MS"/>
          <w:noProof/>
          <w:lang w:val="en-IE"/>
        </w:rPr>
        <w:t xml:space="preserve"> within the scope of Article 212(1) </w:t>
      </w:r>
      <w:r w:rsidR="00B00304">
        <w:rPr>
          <w:rFonts w:eastAsia="Arial Unicode MS"/>
          <w:noProof/>
          <w:lang w:val="en-IE"/>
        </w:rPr>
        <w:t>as</w:t>
      </w:r>
      <w:r w:rsidR="00B00304" w:rsidRPr="00B65AE3">
        <w:rPr>
          <w:rFonts w:eastAsia="Arial Unicode MS"/>
          <w:noProof/>
          <w:lang w:val="en-IE"/>
        </w:rPr>
        <w:t xml:space="preserve"> the Union w</w:t>
      </w:r>
      <w:r w:rsidR="003F2234">
        <w:rPr>
          <w:rFonts w:eastAsia="Arial Unicode MS"/>
          <w:noProof/>
          <w:lang w:val="en-IE"/>
        </w:rPr>
        <w:t>ould</w:t>
      </w:r>
      <w:r w:rsidR="00B00304" w:rsidRPr="00B65AE3">
        <w:rPr>
          <w:rFonts w:eastAsia="Arial Unicode MS"/>
          <w:noProof/>
          <w:lang w:val="en-IE"/>
        </w:rPr>
        <w:t xml:space="preserve"> contribute to the effective administration and functioning of the Special Tribunal</w:t>
      </w:r>
      <w:r w:rsidR="00DE15E1">
        <w:rPr>
          <w:rFonts w:eastAsia="Arial Unicode MS"/>
          <w:noProof/>
          <w:lang w:val="en-IE"/>
        </w:rPr>
        <w:t>,</w:t>
      </w:r>
      <w:r w:rsidR="0016179A">
        <w:rPr>
          <w:rFonts w:eastAsia="Arial Unicode MS"/>
          <w:noProof/>
          <w:lang w:val="en-IE"/>
        </w:rPr>
        <w:t xml:space="preserve"> </w:t>
      </w:r>
      <w:r w:rsidR="008E67FE">
        <w:rPr>
          <w:rFonts w:eastAsia="Arial Unicode MS"/>
          <w:noProof/>
          <w:lang w:val="en-IE"/>
        </w:rPr>
        <w:t xml:space="preserve">which </w:t>
      </w:r>
      <w:r w:rsidR="00B00304" w:rsidRPr="00B65AE3">
        <w:rPr>
          <w:rFonts w:eastAsia="Arial Unicode MS"/>
          <w:noProof/>
          <w:lang w:val="en-IE"/>
        </w:rPr>
        <w:t>constitut</w:t>
      </w:r>
      <w:r w:rsidR="008E67FE">
        <w:rPr>
          <w:rFonts w:eastAsia="Arial Unicode MS"/>
          <w:noProof/>
          <w:lang w:val="en-IE"/>
        </w:rPr>
        <w:t>es</w:t>
      </w:r>
      <w:r w:rsidR="00B00304" w:rsidRPr="00B65AE3">
        <w:rPr>
          <w:rFonts w:eastAsia="Arial Unicode MS"/>
          <w:noProof/>
          <w:lang w:val="en-IE"/>
        </w:rPr>
        <w:t xml:space="preserve"> a form of technical and financial cooperation</w:t>
      </w:r>
      <w:r w:rsidR="0016179A">
        <w:rPr>
          <w:rFonts w:eastAsia="Arial Unicode MS"/>
          <w:noProof/>
          <w:lang w:val="en-IE"/>
        </w:rPr>
        <w:t xml:space="preserve">. </w:t>
      </w:r>
    </w:p>
    <w:p w:rsidR="00E93A02" w:rsidRPr="00E93A02" w:rsidRDefault="00E93A02" w:rsidP="00B00304">
      <w:pPr>
        <w:pBdr>
          <w:top w:val="nil"/>
          <w:left w:val="nil"/>
          <w:bottom w:val="nil"/>
          <w:right w:val="nil"/>
          <w:between w:val="nil"/>
          <w:bar w:val="nil"/>
        </w:pBdr>
        <w:spacing w:before="0" w:after="240"/>
        <w:rPr>
          <w:rFonts w:eastAsia="Times New Roman"/>
          <w:noProof/>
          <w:szCs w:val="24"/>
        </w:rPr>
      </w:pPr>
      <w:r>
        <w:rPr>
          <w:rFonts w:eastAsia="Arial Unicode MS"/>
          <w:noProof/>
        </w:rPr>
        <w:t>Further</w:t>
      </w:r>
      <w:r w:rsidR="008E67FE">
        <w:rPr>
          <w:rFonts w:eastAsia="Arial Unicode MS"/>
          <w:noProof/>
        </w:rPr>
        <w:t>more</w:t>
      </w:r>
      <w:r>
        <w:rPr>
          <w:rFonts w:eastAsia="Arial Unicode MS"/>
          <w:noProof/>
        </w:rPr>
        <w:t>, t</w:t>
      </w:r>
      <w:r w:rsidRPr="00951157">
        <w:rPr>
          <w:rFonts w:eastAsia="Arial Unicode MS"/>
          <w:noProof/>
        </w:rPr>
        <w:t xml:space="preserve">he use of Article 212 TFEU is consistent </w:t>
      </w:r>
      <w:r>
        <w:rPr>
          <w:rFonts w:eastAsia="Arial Unicode MS"/>
          <w:noProof/>
        </w:rPr>
        <w:t>with other</w:t>
      </w:r>
      <w:r w:rsidRPr="00951157">
        <w:rPr>
          <w:rFonts w:eastAsia="Arial Unicode MS"/>
          <w:noProof/>
        </w:rPr>
        <w:t xml:space="preserve"> </w:t>
      </w:r>
      <w:r>
        <w:rPr>
          <w:rFonts w:eastAsia="Arial Unicode MS"/>
          <w:noProof/>
        </w:rPr>
        <w:t>related</w:t>
      </w:r>
      <w:r w:rsidRPr="00951157">
        <w:rPr>
          <w:rFonts w:eastAsia="Arial Unicode MS"/>
          <w:noProof/>
        </w:rPr>
        <w:t xml:space="preserve"> Union</w:t>
      </w:r>
      <w:r>
        <w:rPr>
          <w:rFonts w:eastAsia="Arial Unicode MS"/>
          <w:noProof/>
        </w:rPr>
        <w:t xml:space="preserve"> actions</w:t>
      </w:r>
      <w:r w:rsidRPr="00951157">
        <w:rPr>
          <w:rFonts w:eastAsia="Arial Unicode MS"/>
          <w:noProof/>
        </w:rPr>
        <w:t xml:space="preserve">. </w:t>
      </w:r>
      <w:r>
        <w:rPr>
          <w:rFonts w:eastAsia="Arial Unicode MS"/>
          <w:noProof/>
        </w:rPr>
        <w:t xml:space="preserve">It </w:t>
      </w:r>
      <w:r w:rsidRPr="00951157">
        <w:rPr>
          <w:rFonts w:eastAsia="Arial Unicode MS"/>
          <w:noProof/>
        </w:rPr>
        <w:t>aligns with Council Decision</w:t>
      </w:r>
      <w:r w:rsidR="00DE15E1">
        <w:rPr>
          <w:rFonts w:eastAsia="Arial Unicode MS"/>
          <w:noProof/>
        </w:rPr>
        <w:t xml:space="preserve"> (EU)</w:t>
      </w:r>
      <w:r w:rsidRPr="00951157">
        <w:rPr>
          <w:rFonts w:eastAsia="Arial Unicode MS"/>
          <w:noProof/>
        </w:rPr>
        <w:t xml:space="preserve"> </w:t>
      </w:r>
      <w:r w:rsidR="001F558E" w:rsidRPr="003A5AF4">
        <w:rPr>
          <w:noProof/>
        </w:rPr>
        <w:t xml:space="preserve">2024/2045 </w:t>
      </w:r>
      <w:r>
        <w:rPr>
          <w:rFonts w:eastAsia="Arial Unicode MS"/>
          <w:noProof/>
        </w:rPr>
        <w:t xml:space="preserve">on </w:t>
      </w:r>
      <w:r w:rsidR="00DE15E1">
        <w:rPr>
          <w:rFonts w:eastAsia="Arial Unicode MS"/>
          <w:noProof/>
        </w:rPr>
        <w:t xml:space="preserve">the </w:t>
      </w:r>
      <w:r w:rsidRPr="00951157">
        <w:rPr>
          <w:rFonts w:eastAsia="Arial Unicode MS"/>
          <w:noProof/>
        </w:rPr>
        <w:t>chang</w:t>
      </w:r>
      <w:r w:rsidR="00DE15E1">
        <w:rPr>
          <w:rFonts w:eastAsia="Times New Roman"/>
          <w:noProof/>
        </w:rPr>
        <w:t>e of</w:t>
      </w:r>
      <w:r w:rsidRPr="00951157">
        <w:rPr>
          <w:rFonts w:eastAsia="Times New Roman"/>
          <w:noProof/>
        </w:rPr>
        <w:t xml:space="preserve"> the Union</w:t>
      </w:r>
      <w:r w:rsidR="008E67FE">
        <w:rPr>
          <w:rFonts w:eastAsia="Times New Roman"/>
          <w:noProof/>
        </w:rPr>
        <w:t>’</w:t>
      </w:r>
      <w:r w:rsidRPr="00951157">
        <w:rPr>
          <w:rFonts w:eastAsia="Times New Roman"/>
          <w:noProof/>
        </w:rPr>
        <w:t>s status in the Register of Damage</w:t>
      </w:r>
      <w:r>
        <w:rPr>
          <w:rFonts w:eastAsia="Times New Roman"/>
          <w:noProof/>
        </w:rPr>
        <w:t xml:space="preserve"> from Associate Member to Participant, Council Decision </w:t>
      </w:r>
      <w:r w:rsidR="00DE15E1">
        <w:rPr>
          <w:rFonts w:eastAsia="Times New Roman"/>
          <w:noProof/>
        </w:rPr>
        <w:t xml:space="preserve">(EU) </w:t>
      </w:r>
      <w:r w:rsidR="001F558E" w:rsidRPr="001F558E">
        <w:rPr>
          <w:rFonts w:eastAsia="Times New Roman"/>
          <w:noProof/>
        </w:rPr>
        <w:t xml:space="preserve">2025/702 </w:t>
      </w:r>
      <w:r>
        <w:rPr>
          <w:rFonts w:eastAsia="Times New Roman"/>
          <w:noProof/>
        </w:rPr>
        <w:t xml:space="preserve">on </w:t>
      </w:r>
      <w:r w:rsidR="00DE15E1">
        <w:rPr>
          <w:rFonts w:eastAsia="Times New Roman"/>
          <w:noProof/>
        </w:rPr>
        <w:t xml:space="preserve">the </w:t>
      </w:r>
      <w:r>
        <w:rPr>
          <w:rFonts w:eastAsia="Times New Roman"/>
          <w:noProof/>
        </w:rPr>
        <w:t>participati</w:t>
      </w:r>
      <w:r w:rsidR="00DE15E1">
        <w:rPr>
          <w:rFonts w:eastAsia="Times New Roman"/>
          <w:noProof/>
        </w:rPr>
        <w:t>on</w:t>
      </w:r>
      <w:r>
        <w:rPr>
          <w:rFonts w:eastAsia="Times New Roman"/>
          <w:noProof/>
        </w:rPr>
        <w:t xml:space="preserve"> in the negotiations on the Claims Commission, </w:t>
      </w:r>
      <w:r w:rsidR="001F558E" w:rsidRPr="00951157">
        <w:rPr>
          <w:rFonts w:eastAsia="Arial Unicode MS"/>
          <w:noProof/>
        </w:rPr>
        <w:t xml:space="preserve">Council Decision </w:t>
      </w:r>
      <w:r w:rsidR="00DE15E1">
        <w:rPr>
          <w:rFonts w:eastAsia="Arial Unicode MS"/>
          <w:noProof/>
        </w:rPr>
        <w:t xml:space="preserve">(EU) </w:t>
      </w:r>
      <w:r w:rsidR="001F558E" w:rsidRPr="00B10389">
        <w:rPr>
          <w:noProof/>
        </w:rPr>
        <w:t xml:space="preserve">2025/2655 </w:t>
      </w:r>
      <w:r w:rsidR="001F558E">
        <w:rPr>
          <w:noProof/>
        </w:rPr>
        <w:t xml:space="preserve">on the signing of the Convention establishing the Claims Commission, </w:t>
      </w:r>
      <w:r>
        <w:rPr>
          <w:rFonts w:eastAsia="Times New Roman"/>
          <w:noProof/>
        </w:rPr>
        <w:t xml:space="preserve">and </w:t>
      </w:r>
      <w:r w:rsidRPr="00951157">
        <w:rPr>
          <w:rFonts w:eastAsia="Times New Roman"/>
          <w:noProof/>
          <w:szCs w:val="24"/>
        </w:rPr>
        <w:t>the Ukraine Facility</w:t>
      </w:r>
      <w:r>
        <w:rPr>
          <w:rFonts w:eastAsia="Times New Roman"/>
          <w:noProof/>
          <w:szCs w:val="24"/>
        </w:rPr>
        <w:t xml:space="preserve"> Instrument</w:t>
      </w:r>
      <w:r w:rsidRPr="00951157">
        <w:rPr>
          <w:rFonts w:eastAsia="Times New Roman"/>
          <w:noProof/>
          <w:szCs w:val="24"/>
        </w:rPr>
        <w:t xml:space="preserve"> established by Regulation (EU) 2024/792 </w:t>
      </w:r>
      <w:r>
        <w:rPr>
          <w:rFonts w:eastAsia="Times New Roman"/>
          <w:noProof/>
          <w:szCs w:val="24"/>
        </w:rPr>
        <w:t xml:space="preserve">as source for </w:t>
      </w:r>
      <w:r w:rsidRPr="00951157">
        <w:rPr>
          <w:rFonts w:eastAsia="Times New Roman"/>
          <w:noProof/>
          <w:szCs w:val="24"/>
        </w:rPr>
        <w:t xml:space="preserve">financial assistance </w:t>
      </w:r>
      <w:r>
        <w:rPr>
          <w:rFonts w:eastAsia="Times New Roman"/>
          <w:noProof/>
          <w:szCs w:val="24"/>
        </w:rPr>
        <w:t xml:space="preserve">to </w:t>
      </w:r>
      <w:r w:rsidR="00A44879">
        <w:rPr>
          <w:rFonts w:eastAsia="Times New Roman"/>
          <w:noProof/>
          <w:szCs w:val="24"/>
        </w:rPr>
        <w:t>the Register of Damage</w:t>
      </w:r>
      <w:r w:rsidR="008E67FE">
        <w:rPr>
          <w:rFonts w:eastAsia="Times New Roman"/>
          <w:noProof/>
          <w:szCs w:val="24"/>
        </w:rPr>
        <w:t>, which is</w:t>
      </w:r>
      <w:r>
        <w:rPr>
          <w:rFonts w:eastAsia="Times New Roman"/>
          <w:noProof/>
          <w:szCs w:val="24"/>
        </w:rPr>
        <w:t xml:space="preserve"> equally </w:t>
      </w:r>
      <w:r w:rsidRPr="00951157">
        <w:rPr>
          <w:rFonts w:eastAsia="Times New Roman"/>
          <w:noProof/>
          <w:szCs w:val="24"/>
        </w:rPr>
        <w:t xml:space="preserve">based on Article 212 TFEU. </w:t>
      </w:r>
    </w:p>
    <w:p w:rsidR="001F558E" w:rsidRDefault="00FD2B7D" w:rsidP="005A09F7">
      <w:pPr>
        <w:pBdr>
          <w:top w:val="nil"/>
          <w:left w:val="nil"/>
          <w:bottom w:val="nil"/>
          <w:right w:val="nil"/>
          <w:between w:val="nil"/>
          <w:bar w:val="nil"/>
        </w:pBdr>
        <w:spacing w:before="0" w:after="240"/>
        <w:rPr>
          <w:noProof/>
        </w:rPr>
      </w:pPr>
      <w:r>
        <w:rPr>
          <w:noProof/>
        </w:rPr>
        <w:t xml:space="preserve">At the same time, the context of this initiative </w:t>
      </w:r>
      <w:r w:rsidR="007E66A8">
        <w:rPr>
          <w:noProof/>
        </w:rPr>
        <w:t xml:space="preserve">and the Resolution establishing the EPA </w:t>
      </w:r>
      <w:r w:rsidR="001F558E">
        <w:rPr>
          <w:noProof/>
        </w:rPr>
        <w:t xml:space="preserve">demonstrate </w:t>
      </w:r>
      <w:r w:rsidR="007E66A8">
        <w:rPr>
          <w:noProof/>
        </w:rPr>
        <w:t xml:space="preserve">that the </w:t>
      </w:r>
      <w:r w:rsidR="001F558E">
        <w:rPr>
          <w:noProof/>
        </w:rPr>
        <w:t xml:space="preserve">establishment of the </w:t>
      </w:r>
      <w:r w:rsidR="007E66A8">
        <w:rPr>
          <w:noProof/>
        </w:rPr>
        <w:t>Special Tribunal pursues the objective of ensuring respect for international law and holding the Russian political and military leadership accountable for the crime of aggression committed against Ukraine. A</w:t>
      </w:r>
      <w:r w:rsidR="00EC0A85">
        <w:rPr>
          <w:noProof/>
        </w:rPr>
        <w:t>s illustrated by the UN</w:t>
      </w:r>
      <w:r w:rsidR="008E67FE">
        <w:rPr>
          <w:noProof/>
        </w:rPr>
        <w:t xml:space="preserve"> </w:t>
      </w:r>
      <w:r w:rsidR="00EC0A85">
        <w:rPr>
          <w:noProof/>
        </w:rPr>
        <w:t>G</w:t>
      </w:r>
      <w:r w:rsidR="008E67FE">
        <w:rPr>
          <w:noProof/>
        </w:rPr>
        <w:t xml:space="preserve">eneral </w:t>
      </w:r>
      <w:r w:rsidR="00EC0A85">
        <w:rPr>
          <w:noProof/>
        </w:rPr>
        <w:t>A</w:t>
      </w:r>
      <w:r w:rsidR="008E67FE">
        <w:rPr>
          <w:noProof/>
        </w:rPr>
        <w:t>ssembly</w:t>
      </w:r>
      <w:r w:rsidR="00EC0A85">
        <w:rPr>
          <w:noProof/>
        </w:rPr>
        <w:t xml:space="preserve"> resolutions referred to in the </w:t>
      </w:r>
      <w:r>
        <w:rPr>
          <w:noProof/>
        </w:rPr>
        <w:t xml:space="preserve">Resolution establishing </w:t>
      </w:r>
      <w:r w:rsidR="00EC0A85">
        <w:rPr>
          <w:noProof/>
        </w:rPr>
        <w:t xml:space="preserve">the </w:t>
      </w:r>
      <w:r w:rsidR="00D71E62">
        <w:rPr>
          <w:noProof/>
        </w:rPr>
        <w:t>EPA</w:t>
      </w:r>
      <w:r w:rsidR="00582C6D">
        <w:rPr>
          <w:noProof/>
        </w:rPr>
        <w:t xml:space="preserve"> and</w:t>
      </w:r>
      <w:r>
        <w:rPr>
          <w:noProof/>
        </w:rPr>
        <w:t xml:space="preserve"> in</w:t>
      </w:r>
      <w:r w:rsidR="00582C6D">
        <w:rPr>
          <w:noProof/>
        </w:rPr>
        <w:t xml:space="preserve"> the present </w:t>
      </w:r>
      <w:r w:rsidR="00E93A02">
        <w:rPr>
          <w:noProof/>
        </w:rPr>
        <w:t>proposal</w:t>
      </w:r>
      <w:r w:rsidR="00EC0A85">
        <w:rPr>
          <w:noProof/>
        </w:rPr>
        <w:t xml:space="preserve">, </w:t>
      </w:r>
      <w:r w:rsidR="007E66A8">
        <w:rPr>
          <w:noProof/>
        </w:rPr>
        <w:t xml:space="preserve">the </w:t>
      </w:r>
      <w:r w:rsidR="00D71E62">
        <w:rPr>
          <w:noProof/>
        </w:rPr>
        <w:t>Special Tribunal</w:t>
      </w:r>
      <w:r w:rsidR="00EC0A85">
        <w:rPr>
          <w:noProof/>
        </w:rPr>
        <w:t xml:space="preserve"> will be set up to </w:t>
      </w:r>
      <w:r w:rsidR="008E67FE">
        <w:rPr>
          <w:noProof/>
        </w:rPr>
        <w:t xml:space="preserve">investigate, prosecute and try </w:t>
      </w:r>
      <w:r>
        <w:rPr>
          <w:noProof/>
        </w:rPr>
        <w:t xml:space="preserve">individuals </w:t>
      </w:r>
      <w:r w:rsidR="007E66A8">
        <w:rPr>
          <w:noProof/>
        </w:rPr>
        <w:t>who be</w:t>
      </w:r>
      <w:r w:rsidR="00836492">
        <w:rPr>
          <w:noProof/>
        </w:rPr>
        <w:t>a</w:t>
      </w:r>
      <w:r w:rsidR="007E66A8">
        <w:rPr>
          <w:noProof/>
        </w:rPr>
        <w:t>r the greatest responsibility</w:t>
      </w:r>
      <w:r>
        <w:rPr>
          <w:noProof/>
        </w:rPr>
        <w:t xml:space="preserve"> for </w:t>
      </w:r>
      <w:r w:rsidR="00EC0A85">
        <w:rPr>
          <w:noProof/>
        </w:rPr>
        <w:t>the crime of aggression committed by the Russian Federation against Ukraine, in manifest vio</w:t>
      </w:r>
      <w:r w:rsidR="008E67FE">
        <w:rPr>
          <w:noProof/>
        </w:rPr>
        <w:t>l</w:t>
      </w:r>
      <w:r w:rsidR="00EC0A85">
        <w:rPr>
          <w:noProof/>
        </w:rPr>
        <w:t xml:space="preserve">ation of Article 2(4) of the UN Charter. </w:t>
      </w:r>
      <w:r w:rsidR="000C7D55">
        <w:rPr>
          <w:noProof/>
        </w:rPr>
        <w:t>The setting up of this mechanism will thus also form part of the efforts of the international community to ensure international peace and security</w:t>
      </w:r>
      <w:r w:rsidR="000C7D55" w:rsidRPr="008D5A0D">
        <w:rPr>
          <w:noProof/>
        </w:rPr>
        <w:t>. From the per</w:t>
      </w:r>
      <w:r w:rsidR="0030585F">
        <w:rPr>
          <w:noProof/>
        </w:rPr>
        <w:t>s</w:t>
      </w:r>
      <w:r w:rsidR="000C7D55" w:rsidRPr="008D5A0D">
        <w:rPr>
          <w:noProof/>
        </w:rPr>
        <w:t xml:space="preserve">pective of the </w:t>
      </w:r>
      <w:r w:rsidR="003E04D4">
        <w:rPr>
          <w:noProof/>
        </w:rPr>
        <w:t>Union</w:t>
      </w:r>
      <w:r w:rsidR="000C7D55" w:rsidRPr="008D5A0D">
        <w:rPr>
          <w:noProof/>
        </w:rPr>
        <w:t xml:space="preserve">, </w:t>
      </w:r>
      <w:r w:rsidR="003E04D4">
        <w:rPr>
          <w:noProof/>
        </w:rPr>
        <w:t xml:space="preserve">the </w:t>
      </w:r>
      <w:r w:rsidR="000C7D55" w:rsidRPr="008D5A0D">
        <w:rPr>
          <w:noProof/>
        </w:rPr>
        <w:t xml:space="preserve">participation in this mechanism corresponds to the </w:t>
      </w:r>
      <w:r w:rsidR="00AF396B" w:rsidRPr="008D5A0D">
        <w:rPr>
          <w:noProof/>
        </w:rPr>
        <w:t xml:space="preserve">objectives undepinning the </w:t>
      </w:r>
      <w:r w:rsidR="003E04D4">
        <w:rPr>
          <w:noProof/>
        </w:rPr>
        <w:t>Union</w:t>
      </w:r>
      <w:r w:rsidR="003E04D4" w:rsidRPr="008D5A0D">
        <w:rPr>
          <w:noProof/>
        </w:rPr>
        <w:t xml:space="preserve">’s </w:t>
      </w:r>
      <w:r w:rsidR="00AF396B" w:rsidRPr="008D5A0D">
        <w:rPr>
          <w:noProof/>
        </w:rPr>
        <w:t>external action, as set out in Art</w:t>
      </w:r>
      <w:r w:rsidR="00BC239C" w:rsidRPr="008D5A0D">
        <w:rPr>
          <w:noProof/>
        </w:rPr>
        <w:t>ic</w:t>
      </w:r>
      <w:r w:rsidR="00AF396B" w:rsidRPr="008D5A0D">
        <w:rPr>
          <w:noProof/>
        </w:rPr>
        <w:t>le 21(2) TEU.</w:t>
      </w:r>
      <w:r w:rsidR="00612843">
        <w:rPr>
          <w:noProof/>
        </w:rPr>
        <w:t xml:space="preserve"> </w:t>
      </w:r>
      <w:r w:rsidR="001A0F49" w:rsidRPr="001A0F49">
        <w:rPr>
          <w:noProof/>
        </w:rPr>
        <w:t xml:space="preserve">Under </w:t>
      </w:r>
      <w:r w:rsidR="003E04D4">
        <w:rPr>
          <w:noProof/>
        </w:rPr>
        <w:t xml:space="preserve">Articles </w:t>
      </w:r>
      <w:r w:rsidR="001A0F49" w:rsidRPr="001A0F49">
        <w:rPr>
          <w:noProof/>
        </w:rPr>
        <w:t xml:space="preserve">205 </w:t>
      </w:r>
      <w:r w:rsidR="003E04D4">
        <w:rPr>
          <w:noProof/>
        </w:rPr>
        <w:t xml:space="preserve">and 212(1) </w:t>
      </w:r>
      <w:r w:rsidR="001A0F49" w:rsidRPr="001A0F49">
        <w:rPr>
          <w:noProof/>
        </w:rPr>
        <w:t xml:space="preserve">TFEU, </w:t>
      </w:r>
      <w:r w:rsidR="00BC134B">
        <w:rPr>
          <w:noProof/>
        </w:rPr>
        <w:t xml:space="preserve">the </w:t>
      </w:r>
      <w:r w:rsidR="00BC134B">
        <w:rPr>
          <w:noProof/>
        </w:rPr>
        <w:lastRenderedPageBreak/>
        <w:t xml:space="preserve">Union’s external action, including </w:t>
      </w:r>
      <w:r w:rsidR="001A0F49" w:rsidRPr="001A0F49">
        <w:rPr>
          <w:noProof/>
        </w:rPr>
        <w:t xml:space="preserve">economic, financial, and technical measures </w:t>
      </w:r>
      <w:r w:rsidR="001A0F49">
        <w:rPr>
          <w:noProof/>
        </w:rPr>
        <w:t xml:space="preserve">should </w:t>
      </w:r>
      <w:r w:rsidR="002947B8">
        <w:rPr>
          <w:noProof/>
        </w:rPr>
        <w:t xml:space="preserve">be </w:t>
      </w:r>
      <w:r w:rsidR="001A0F49">
        <w:rPr>
          <w:noProof/>
        </w:rPr>
        <w:t xml:space="preserve">guided by the principles, </w:t>
      </w:r>
      <w:r w:rsidR="001A0F49" w:rsidRPr="001A0F49">
        <w:rPr>
          <w:noProof/>
        </w:rPr>
        <w:t>pursue the objectives and be conducted in accordance with the general provisions laid down in Chapter 1 of Title V of the Treaty on European Union.</w:t>
      </w:r>
    </w:p>
    <w:p w:rsidR="005A09F7" w:rsidRDefault="005A09F7" w:rsidP="005A09F7">
      <w:pPr>
        <w:pBdr>
          <w:top w:val="nil"/>
          <w:left w:val="nil"/>
          <w:bottom w:val="nil"/>
          <w:right w:val="nil"/>
          <w:between w:val="nil"/>
          <w:bar w:val="nil"/>
        </w:pBdr>
        <w:spacing w:before="0" w:after="240"/>
        <w:rPr>
          <w:rFonts w:eastAsia="Arial Unicode MS"/>
          <w:noProof/>
        </w:rPr>
      </w:pPr>
      <w:r w:rsidRPr="693CBF78">
        <w:rPr>
          <w:rFonts w:eastAsia="Arial Unicode MS"/>
          <w:noProof/>
        </w:rPr>
        <w:t xml:space="preserve">The present proposal is </w:t>
      </w:r>
      <w:r w:rsidR="001F558E">
        <w:rPr>
          <w:rFonts w:eastAsia="Arial Unicode MS"/>
          <w:noProof/>
        </w:rPr>
        <w:t xml:space="preserve">therefore </w:t>
      </w:r>
      <w:r>
        <w:rPr>
          <w:rFonts w:eastAsia="Arial Unicode MS"/>
          <w:noProof/>
        </w:rPr>
        <w:t>based</w:t>
      </w:r>
      <w:r w:rsidRPr="693CBF78">
        <w:rPr>
          <w:rFonts w:eastAsia="Arial Unicode MS"/>
          <w:noProof/>
        </w:rPr>
        <w:t xml:space="preserve"> on Article 212</w:t>
      </w:r>
      <w:r>
        <w:rPr>
          <w:rFonts w:eastAsia="Arial Unicode MS"/>
          <w:noProof/>
        </w:rPr>
        <w:t xml:space="preserve"> TFEU in conjunction with </w:t>
      </w:r>
      <w:r w:rsidRPr="005A09F7">
        <w:rPr>
          <w:rFonts w:eastAsia="Arial Unicode MS"/>
          <w:noProof/>
        </w:rPr>
        <w:t>Article 218(</w:t>
      </w:r>
      <w:r w:rsidR="008E3107">
        <w:rPr>
          <w:rFonts w:eastAsia="Arial Unicode MS"/>
          <w:noProof/>
        </w:rPr>
        <w:t>5</w:t>
      </w:r>
      <w:r w:rsidRPr="005A09F7">
        <w:rPr>
          <w:rFonts w:eastAsia="Arial Unicode MS"/>
          <w:noProof/>
        </w:rPr>
        <w:t>) TFEU.</w:t>
      </w:r>
      <w:r w:rsidRPr="693CBF78">
        <w:rPr>
          <w:rFonts w:eastAsia="Arial Unicode MS"/>
          <w:noProof/>
        </w:rPr>
        <w:t xml:space="preserve"> </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 xml:space="preserve">Subsidiarity (for non-exclusive competence) </w:t>
      </w:r>
    </w:p>
    <w:p w:rsidR="009C0A88" w:rsidRDefault="00497389" w:rsidP="3CFC5CC3">
      <w:pPr>
        <w:pBdr>
          <w:top w:val="nil"/>
          <w:left w:val="nil"/>
          <w:bottom w:val="nil"/>
          <w:right w:val="nil"/>
          <w:between w:val="nil"/>
        </w:pBdr>
        <w:spacing w:before="0" w:after="240"/>
        <w:rPr>
          <w:rFonts w:eastAsia="Times New Roman"/>
          <w:noProof/>
        </w:rPr>
      </w:pPr>
      <w:r>
        <w:rPr>
          <w:rFonts w:eastAsia="Times New Roman"/>
          <w:noProof/>
        </w:rPr>
        <w:t>In accordance</w:t>
      </w:r>
      <w:r w:rsidR="009C0A88" w:rsidRPr="00951157">
        <w:rPr>
          <w:rFonts w:eastAsia="Times New Roman"/>
          <w:noProof/>
        </w:rPr>
        <w:t xml:space="preserve"> with Article 212(3), second subparagraph, TFEU</w:t>
      </w:r>
      <w:r>
        <w:rPr>
          <w:rFonts w:eastAsia="Times New Roman"/>
          <w:noProof/>
        </w:rPr>
        <w:t>,</w:t>
      </w:r>
      <w:r w:rsidR="009C0A88" w:rsidRPr="00951157">
        <w:rPr>
          <w:rFonts w:eastAsia="Times New Roman"/>
          <w:noProof/>
        </w:rPr>
        <w:t xml:space="preserve"> the conclusion</w:t>
      </w:r>
      <w:r>
        <w:rPr>
          <w:rFonts w:eastAsia="Times New Roman"/>
          <w:noProof/>
        </w:rPr>
        <w:t xml:space="preserve"> by the Union</w:t>
      </w:r>
      <w:r w:rsidR="009C0A88" w:rsidRPr="00951157">
        <w:rPr>
          <w:rFonts w:eastAsia="Times New Roman"/>
          <w:noProof/>
        </w:rPr>
        <w:t xml:space="preserve"> of the EPA does not prejud</w:t>
      </w:r>
      <w:r w:rsidR="008E67FE">
        <w:rPr>
          <w:rFonts w:eastAsia="Times New Roman"/>
          <w:noProof/>
        </w:rPr>
        <w:t>ge</w:t>
      </w:r>
      <w:r w:rsidR="009C0A88" w:rsidRPr="00951157">
        <w:rPr>
          <w:rFonts w:eastAsia="Times New Roman"/>
          <w:noProof/>
        </w:rPr>
        <w:t xml:space="preserve"> the Member States’ </w:t>
      </w:r>
      <w:r>
        <w:rPr>
          <w:rFonts w:eastAsia="Times New Roman"/>
          <w:noProof/>
        </w:rPr>
        <w:t>ability</w:t>
      </w:r>
      <w:r w:rsidRPr="00951157">
        <w:rPr>
          <w:rFonts w:eastAsia="Times New Roman"/>
          <w:noProof/>
        </w:rPr>
        <w:t xml:space="preserve"> </w:t>
      </w:r>
      <w:r w:rsidR="009C0A88" w:rsidRPr="00951157">
        <w:rPr>
          <w:rFonts w:eastAsia="Times New Roman"/>
          <w:noProof/>
        </w:rPr>
        <w:t xml:space="preserve">to engage in parallel negotiations and to conclude the EPA individually. </w:t>
      </w:r>
    </w:p>
    <w:p w:rsidR="00DE314D" w:rsidRDefault="5C1D454B" w:rsidP="3CFC5CC3">
      <w:pPr>
        <w:pBdr>
          <w:top w:val="nil"/>
          <w:left w:val="nil"/>
          <w:bottom w:val="nil"/>
          <w:right w:val="nil"/>
          <w:between w:val="nil"/>
        </w:pBdr>
        <w:spacing w:before="0" w:after="240"/>
        <w:rPr>
          <w:rFonts w:eastAsia="Times New Roman"/>
          <w:noProof/>
        </w:rPr>
      </w:pPr>
      <w:r w:rsidRPr="00951157">
        <w:rPr>
          <w:rFonts w:eastAsia="Times New Roman"/>
          <w:noProof/>
        </w:rPr>
        <w:t>The proposed initiative is</w:t>
      </w:r>
      <w:r w:rsidR="005913BA">
        <w:rPr>
          <w:rFonts w:eastAsia="Times New Roman"/>
          <w:noProof/>
        </w:rPr>
        <w:t xml:space="preserve"> also</w:t>
      </w:r>
      <w:r w:rsidRPr="00951157">
        <w:rPr>
          <w:rFonts w:eastAsia="Times New Roman"/>
          <w:noProof/>
        </w:rPr>
        <w:t xml:space="preserve"> consistent with the principle of subsidiarity, as set out in Article 5(3) TEU, as its objectives </w:t>
      </w:r>
      <w:r w:rsidR="008E67FE">
        <w:rPr>
          <w:rFonts w:eastAsia="Times New Roman"/>
          <w:noProof/>
        </w:rPr>
        <w:t>–</w:t>
      </w:r>
      <w:r w:rsidRPr="00951157">
        <w:rPr>
          <w:rFonts w:eastAsia="Times New Roman"/>
          <w:noProof/>
        </w:rPr>
        <w:t xml:space="preserve"> namely the </w:t>
      </w:r>
      <w:r w:rsidR="002947B8">
        <w:rPr>
          <w:rFonts w:eastAsia="Times New Roman"/>
          <w:noProof/>
        </w:rPr>
        <w:t>adoption</w:t>
      </w:r>
      <w:r w:rsidR="002947B8" w:rsidRPr="00951157">
        <w:rPr>
          <w:rFonts w:eastAsia="Times New Roman"/>
          <w:noProof/>
        </w:rPr>
        <w:t xml:space="preserve"> </w:t>
      </w:r>
      <w:r w:rsidRPr="00951157">
        <w:rPr>
          <w:rFonts w:eastAsia="Times New Roman"/>
          <w:noProof/>
        </w:rPr>
        <w:t xml:space="preserve">of the </w:t>
      </w:r>
      <w:r w:rsidR="00FB350F">
        <w:rPr>
          <w:noProof/>
        </w:rPr>
        <w:t xml:space="preserve">Resolution establishing the </w:t>
      </w:r>
      <w:r w:rsidRPr="00951157">
        <w:rPr>
          <w:rFonts w:eastAsia="Times New Roman"/>
          <w:noProof/>
        </w:rPr>
        <w:t>EPA and the subsequent acqui</w:t>
      </w:r>
      <w:r w:rsidR="003E04D4">
        <w:rPr>
          <w:rFonts w:eastAsia="Times New Roman"/>
          <w:noProof/>
        </w:rPr>
        <w:t>sition by the Union of the</w:t>
      </w:r>
      <w:r w:rsidRPr="00951157">
        <w:rPr>
          <w:rFonts w:eastAsia="Times New Roman"/>
          <w:noProof/>
        </w:rPr>
        <w:t xml:space="preserve"> status as a Member of the Management Committee </w:t>
      </w:r>
      <w:r w:rsidR="0050381E">
        <w:rPr>
          <w:rFonts w:eastAsia="Times New Roman"/>
          <w:noProof/>
        </w:rPr>
        <w:t>–</w:t>
      </w:r>
      <w:r w:rsidR="005813A7">
        <w:rPr>
          <w:rFonts w:eastAsia="Times New Roman"/>
          <w:noProof/>
        </w:rPr>
        <w:t xml:space="preserve"> </w:t>
      </w:r>
      <w:r w:rsidR="0050381E">
        <w:rPr>
          <w:rFonts w:eastAsia="Times New Roman"/>
          <w:noProof/>
        </w:rPr>
        <w:t xml:space="preserve">is </w:t>
      </w:r>
      <w:r w:rsidR="00DF4BE4">
        <w:rPr>
          <w:rFonts w:eastAsia="Times New Roman"/>
          <w:noProof/>
        </w:rPr>
        <w:t xml:space="preserve">a </w:t>
      </w:r>
      <w:r w:rsidRPr="00951157">
        <w:rPr>
          <w:rFonts w:eastAsia="Times New Roman"/>
          <w:noProof/>
        </w:rPr>
        <w:t xml:space="preserve">consistent step towards </w:t>
      </w:r>
      <w:r w:rsidR="00E76C08">
        <w:rPr>
          <w:rFonts w:eastAsia="Times New Roman"/>
          <w:noProof/>
        </w:rPr>
        <w:t xml:space="preserve">the broader goal of the Union and Member States to </w:t>
      </w:r>
      <w:r w:rsidRPr="00951157">
        <w:rPr>
          <w:rFonts w:eastAsia="Times New Roman"/>
          <w:noProof/>
        </w:rPr>
        <w:t>secur</w:t>
      </w:r>
      <w:r w:rsidR="00E76C08">
        <w:rPr>
          <w:rFonts w:eastAsia="Times New Roman"/>
          <w:noProof/>
        </w:rPr>
        <w:t>e</w:t>
      </w:r>
      <w:r w:rsidRPr="00951157">
        <w:rPr>
          <w:rFonts w:eastAsia="Times New Roman"/>
          <w:noProof/>
        </w:rPr>
        <w:t xml:space="preserve"> accountability </w:t>
      </w:r>
      <w:r w:rsidR="26B88693" w:rsidRPr="00951157">
        <w:rPr>
          <w:rFonts w:eastAsia="Times New Roman"/>
          <w:noProof/>
        </w:rPr>
        <w:t xml:space="preserve">for the crime of aggression </w:t>
      </w:r>
      <w:r w:rsidRPr="00951157">
        <w:rPr>
          <w:rFonts w:eastAsia="Times New Roman"/>
          <w:noProof/>
        </w:rPr>
        <w:t>against Ukraine</w:t>
      </w:r>
      <w:r w:rsidR="00665E0A">
        <w:rPr>
          <w:rFonts w:eastAsia="Times New Roman"/>
          <w:noProof/>
        </w:rPr>
        <w:t xml:space="preserve">, and </w:t>
      </w:r>
      <w:r w:rsidRPr="00951157">
        <w:rPr>
          <w:rFonts w:eastAsia="Times New Roman"/>
          <w:noProof/>
        </w:rPr>
        <w:t>cannot be sufficiently achieved by the Member States acting individually</w:t>
      </w:r>
      <w:r w:rsidR="56DC6611" w:rsidRPr="00951157">
        <w:rPr>
          <w:rFonts w:eastAsia="Times New Roman"/>
          <w:noProof/>
        </w:rPr>
        <w:t>, in particular with regard to the financi</w:t>
      </w:r>
      <w:r w:rsidR="2EB3459D" w:rsidRPr="00951157">
        <w:rPr>
          <w:rFonts w:eastAsia="Times New Roman"/>
          <w:noProof/>
        </w:rPr>
        <w:t>al sustainability</w:t>
      </w:r>
      <w:r w:rsidR="56DC6611" w:rsidRPr="00951157">
        <w:rPr>
          <w:rFonts w:eastAsia="Times New Roman"/>
          <w:noProof/>
        </w:rPr>
        <w:t xml:space="preserve"> of the Special Tribunal</w:t>
      </w:r>
      <w:r w:rsidR="1CE95DE4" w:rsidRPr="00951157">
        <w:rPr>
          <w:rFonts w:eastAsia="Times New Roman"/>
          <w:noProof/>
        </w:rPr>
        <w:t xml:space="preserve"> and the required cooperation</w:t>
      </w:r>
      <w:r w:rsidR="00E76C08">
        <w:rPr>
          <w:rFonts w:eastAsia="Times New Roman"/>
          <w:noProof/>
        </w:rPr>
        <w:t xml:space="preserve"> between the Union</w:t>
      </w:r>
      <w:r w:rsidR="1CE95DE4" w:rsidRPr="00951157">
        <w:rPr>
          <w:rFonts w:eastAsia="Times New Roman"/>
          <w:noProof/>
        </w:rPr>
        <w:t xml:space="preserve"> </w:t>
      </w:r>
      <w:r w:rsidR="000706E6">
        <w:rPr>
          <w:rFonts w:eastAsia="Times New Roman"/>
          <w:noProof/>
        </w:rPr>
        <w:t>and the Special Tribunal to enable</w:t>
      </w:r>
      <w:r w:rsidR="00843841">
        <w:rPr>
          <w:rFonts w:eastAsia="Times New Roman"/>
          <w:noProof/>
        </w:rPr>
        <w:t xml:space="preserve"> </w:t>
      </w:r>
      <w:r w:rsidR="000706E6">
        <w:rPr>
          <w:rFonts w:eastAsia="Times New Roman"/>
          <w:noProof/>
        </w:rPr>
        <w:t xml:space="preserve">cooperation with Eurojust and </w:t>
      </w:r>
      <w:r w:rsidR="00843841">
        <w:rPr>
          <w:rFonts w:eastAsia="Times New Roman"/>
          <w:noProof/>
        </w:rPr>
        <w:t>the structured transmission of evidence</w:t>
      </w:r>
      <w:r w:rsidR="1CE95DE4" w:rsidRPr="00951157">
        <w:rPr>
          <w:rFonts w:eastAsia="Times New Roman"/>
          <w:noProof/>
        </w:rPr>
        <w:t xml:space="preserve"> </w:t>
      </w:r>
      <w:r w:rsidR="00843841">
        <w:rPr>
          <w:rFonts w:eastAsia="Times New Roman"/>
          <w:noProof/>
        </w:rPr>
        <w:t xml:space="preserve">collected by national authorities in the context of </w:t>
      </w:r>
      <w:r w:rsidR="1CE95DE4" w:rsidRPr="00951157">
        <w:rPr>
          <w:rFonts w:eastAsia="Times New Roman"/>
          <w:noProof/>
        </w:rPr>
        <w:t>the ICPA</w:t>
      </w:r>
      <w:r w:rsidRPr="00951157">
        <w:rPr>
          <w:rFonts w:eastAsia="Times New Roman"/>
          <w:noProof/>
        </w:rPr>
        <w:t xml:space="preserve">. The added value of </w:t>
      </w:r>
      <w:r w:rsidR="003E04D4">
        <w:rPr>
          <w:rFonts w:eastAsia="Times New Roman"/>
          <w:noProof/>
        </w:rPr>
        <w:t xml:space="preserve">the </w:t>
      </w:r>
      <w:r w:rsidRPr="00951157">
        <w:rPr>
          <w:rFonts w:eastAsia="Times New Roman"/>
          <w:noProof/>
        </w:rPr>
        <w:t>action</w:t>
      </w:r>
      <w:r w:rsidR="00E76C08">
        <w:rPr>
          <w:rFonts w:eastAsia="Times New Roman"/>
          <w:noProof/>
        </w:rPr>
        <w:t xml:space="preserve"> </w:t>
      </w:r>
      <w:r w:rsidR="00BB67C3">
        <w:rPr>
          <w:rFonts w:eastAsia="Times New Roman"/>
          <w:noProof/>
        </w:rPr>
        <w:t>on Union-level</w:t>
      </w:r>
      <w:r w:rsidRPr="00951157">
        <w:rPr>
          <w:rFonts w:eastAsia="Times New Roman"/>
          <w:noProof/>
        </w:rPr>
        <w:t xml:space="preserve"> </w:t>
      </w:r>
      <w:r w:rsidR="00B425E1">
        <w:rPr>
          <w:rFonts w:eastAsia="Times New Roman"/>
          <w:noProof/>
        </w:rPr>
        <w:t xml:space="preserve">further </w:t>
      </w:r>
      <w:r w:rsidR="008E67FE">
        <w:rPr>
          <w:rFonts w:eastAsia="Times New Roman"/>
          <w:noProof/>
        </w:rPr>
        <w:t xml:space="preserve">lies </w:t>
      </w:r>
      <w:r w:rsidRPr="00951157">
        <w:rPr>
          <w:rFonts w:eastAsia="Times New Roman"/>
          <w:noProof/>
        </w:rPr>
        <w:t xml:space="preserve">in its capacity to coordinate a coherent and unified position at international level, reinforce the </w:t>
      </w:r>
      <w:r w:rsidR="003E04D4">
        <w:rPr>
          <w:rFonts w:eastAsia="Times New Roman"/>
          <w:noProof/>
        </w:rPr>
        <w:t>Union</w:t>
      </w:r>
      <w:r w:rsidRPr="00951157">
        <w:rPr>
          <w:rFonts w:eastAsia="Times New Roman"/>
          <w:noProof/>
        </w:rPr>
        <w:t>’s political and legal commitment to accountability, and ensure consistency with its broader external action and support to Ukraine.</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Proportionality</w:t>
      </w:r>
    </w:p>
    <w:p w:rsidR="00D60BCF" w:rsidRPr="00AC781E" w:rsidRDefault="00D60BCF" w:rsidP="002947B8">
      <w:pPr>
        <w:pBdr>
          <w:top w:val="nil"/>
          <w:left w:val="nil"/>
          <w:bottom w:val="nil"/>
          <w:right w:val="nil"/>
          <w:between w:val="nil"/>
          <w:bar w:val="nil"/>
        </w:pBdr>
        <w:spacing w:before="0" w:after="240"/>
        <w:rPr>
          <w:rFonts w:eastAsia="Arial Unicode MS"/>
          <w:noProof/>
        </w:rPr>
      </w:pPr>
      <w:r w:rsidRPr="00951157">
        <w:rPr>
          <w:rFonts w:eastAsia="Arial Unicode MS"/>
          <w:noProof/>
        </w:rPr>
        <w:t>The proposal complies with the proportionality principle</w:t>
      </w:r>
      <w:r w:rsidR="004958F3">
        <w:rPr>
          <w:rFonts w:eastAsia="Arial Unicode MS"/>
          <w:noProof/>
        </w:rPr>
        <w:t xml:space="preserve"> </w:t>
      </w:r>
      <w:r w:rsidRPr="00951157">
        <w:rPr>
          <w:rFonts w:eastAsia="Arial Unicode MS"/>
          <w:noProof/>
        </w:rPr>
        <w:t xml:space="preserve">set out </w:t>
      </w:r>
      <w:r w:rsidR="008E67FE">
        <w:rPr>
          <w:rFonts w:eastAsia="Arial Unicode MS"/>
          <w:noProof/>
        </w:rPr>
        <w:t>in</w:t>
      </w:r>
      <w:r w:rsidRPr="00951157">
        <w:rPr>
          <w:rFonts w:eastAsia="Arial Unicode MS"/>
          <w:noProof/>
        </w:rPr>
        <w:t xml:space="preserve"> Article 5(4) TEU, as the objectives stated above </w:t>
      </w:r>
      <w:r w:rsidR="00B267E5">
        <w:rPr>
          <w:rFonts w:eastAsia="Arial Unicode MS"/>
          <w:noProof/>
        </w:rPr>
        <w:t xml:space="preserve">can only be achieved </w:t>
      </w:r>
      <w:r w:rsidR="002947B8">
        <w:rPr>
          <w:rFonts w:eastAsia="Arial Unicode MS"/>
          <w:noProof/>
        </w:rPr>
        <w:t xml:space="preserve">by </w:t>
      </w:r>
      <w:r w:rsidR="00B267E5">
        <w:rPr>
          <w:rFonts w:eastAsia="Arial Unicode MS"/>
          <w:noProof/>
        </w:rPr>
        <w:t xml:space="preserve">the </w:t>
      </w:r>
      <w:r w:rsidR="004958F3">
        <w:rPr>
          <w:rFonts w:eastAsia="Arial Unicode MS"/>
          <w:noProof/>
        </w:rPr>
        <w:t xml:space="preserve">Union’s </w:t>
      </w:r>
      <w:r w:rsidR="004221E3">
        <w:rPr>
          <w:noProof/>
        </w:rPr>
        <w:t xml:space="preserve">participation in </w:t>
      </w:r>
      <w:r w:rsidR="002947B8">
        <w:rPr>
          <w:rFonts w:eastAsia="Arial Unicode MS"/>
          <w:noProof/>
        </w:rPr>
        <w:t xml:space="preserve"> </w:t>
      </w:r>
      <w:r w:rsidR="002947B8">
        <w:rPr>
          <w:noProof/>
        </w:rPr>
        <w:t xml:space="preserve">the adoption </w:t>
      </w:r>
      <w:r w:rsidR="004958F3">
        <w:rPr>
          <w:rFonts w:eastAsia="Arial Unicode MS"/>
          <w:noProof/>
        </w:rPr>
        <w:t xml:space="preserve">of the </w:t>
      </w:r>
      <w:r w:rsidR="00FB350F">
        <w:rPr>
          <w:noProof/>
        </w:rPr>
        <w:t xml:space="preserve">Resolution establishing the </w:t>
      </w:r>
      <w:r w:rsidR="004958F3">
        <w:rPr>
          <w:rFonts w:eastAsia="Arial Unicode MS"/>
          <w:noProof/>
        </w:rPr>
        <w:t xml:space="preserve">EPA on the Management Committee of the Special Tribunal. </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Choice of the instrument</w:t>
      </w:r>
    </w:p>
    <w:p w:rsidR="00DE314D" w:rsidRPr="00437061" w:rsidRDefault="007C008C" w:rsidP="00437061">
      <w:pPr>
        <w:pBdr>
          <w:top w:val="nil"/>
          <w:left w:val="nil"/>
          <w:bottom w:val="nil"/>
          <w:right w:val="nil"/>
          <w:between w:val="nil"/>
          <w:bar w:val="nil"/>
        </w:pBdr>
        <w:spacing w:before="0" w:after="240"/>
        <w:rPr>
          <w:rFonts w:eastAsia="Arial Unicode MS"/>
          <w:noProof/>
        </w:rPr>
      </w:pPr>
      <w:r w:rsidRPr="00AB4EFE">
        <w:rPr>
          <w:bCs/>
          <w:noProof/>
        </w:rPr>
        <w:t xml:space="preserve">This proposal for a Council </w:t>
      </w:r>
      <w:r w:rsidR="003E04D4">
        <w:rPr>
          <w:bCs/>
          <w:noProof/>
        </w:rPr>
        <w:t>D</w:t>
      </w:r>
      <w:r w:rsidRPr="00AB4EFE">
        <w:rPr>
          <w:bCs/>
          <w:noProof/>
        </w:rPr>
        <w:t>ecision is submitte</w:t>
      </w:r>
      <w:r>
        <w:rPr>
          <w:bCs/>
          <w:noProof/>
        </w:rPr>
        <w:t xml:space="preserve">d in accordance with </w:t>
      </w:r>
      <w:r w:rsidRPr="00AB4EFE">
        <w:rPr>
          <w:bCs/>
          <w:noProof/>
        </w:rPr>
        <w:t>Article 218</w:t>
      </w:r>
      <w:r>
        <w:rPr>
          <w:bCs/>
          <w:noProof/>
        </w:rPr>
        <w:t>(</w:t>
      </w:r>
      <w:r w:rsidR="00040DB1">
        <w:rPr>
          <w:bCs/>
          <w:noProof/>
        </w:rPr>
        <w:t>5</w:t>
      </w:r>
      <w:r>
        <w:rPr>
          <w:bCs/>
          <w:noProof/>
        </w:rPr>
        <w:t>)</w:t>
      </w:r>
      <w:r w:rsidRPr="00AB4EFE">
        <w:rPr>
          <w:bCs/>
          <w:noProof/>
        </w:rPr>
        <w:t xml:space="preserve"> TFEU, which envisages the adoption by the Council of a decision </w:t>
      </w:r>
      <w:r>
        <w:rPr>
          <w:bCs/>
          <w:noProof/>
        </w:rPr>
        <w:t xml:space="preserve">concluding </w:t>
      </w:r>
      <w:r w:rsidRPr="00AB4EFE">
        <w:rPr>
          <w:bCs/>
          <w:noProof/>
        </w:rPr>
        <w:t>the agreement. There exists no other legal instrument that could be used in order to achieve the objective expressed in this proposal.</w:t>
      </w:r>
      <w:r w:rsidR="14BDA2E4" w:rsidRPr="00437061">
        <w:rPr>
          <w:rFonts w:eastAsia="Arial Unicode MS"/>
          <w:noProof/>
        </w:rPr>
        <w:t xml:space="preserve"> </w:t>
      </w:r>
    </w:p>
    <w:p w:rsidR="00DE314D" w:rsidRPr="00F66C73" w:rsidRDefault="00DE314D" w:rsidP="00F66C73">
      <w:pPr>
        <w:pStyle w:val="ManualHeading1"/>
        <w:rPr>
          <w:noProof/>
        </w:rPr>
      </w:pPr>
      <w:r>
        <w:rPr>
          <w:noProof/>
        </w:rPr>
        <w:t>2.</w:t>
      </w:r>
      <w:r>
        <w:rPr>
          <w:noProof/>
        </w:rPr>
        <w:tab/>
      </w:r>
      <w:r w:rsidRPr="00AC781E">
        <w:rPr>
          <w:noProof/>
        </w:rPr>
        <w:t>RESULTS OF EX-POST EVALUATIONS, STAKEHOLDER CONSULTATIONS AND IMPACT ASSESSMENTS</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Ex-post evaluations/fitness checks of existing legislation</w:t>
      </w:r>
    </w:p>
    <w:p w:rsidR="00DE314D" w:rsidRPr="00AC781E" w:rsidRDefault="00DE314D" w:rsidP="00DE314D">
      <w:pPr>
        <w:pBdr>
          <w:top w:val="nil"/>
          <w:left w:val="nil"/>
          <w:bottom w:val="nil"/>
          <w:right w:val="nil"/>
          <w:between w:val="nil"/>
          <w:bar w:val="nil"/>
        </w:pBdr>
        <w:spacing w:before="0" w:after="240"/>
        <w:rPr>
          <w:rFonts w:eastAsia="Arial Unicode MS"/>
          <w:noProof/>
        </w:rPr>
      </w:pPr>
      <w:r w:rsidRPr="008C72B9">
        <w:rPr>
          <w:rFonts w:eastAsia="Arial Unicode MS"/>
          <w:noProof/>
        </w:rPr>
        <w:t>Not applicable.</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Stakeholder consultations</w:t>
      </w:r>
    </w:p>
    <w:p w:rsidR="00DE314D" w:rsidRPr="00AC781E" w:rsidRDefault="00DE314D" w:rsidP="00DE314D">
      <w:pPr>
        <w:pBdr>
          <w:top w:val="nil"/>
          <w:left w:val="nil"/>
          <w:bottom w:val="nil"/>
          <w:right w:val="nil"/>
          <w:between w:val="nil"/>
          <w:bar w:val="nil"/>
        </w:pBdr>
        <w:spacing w:before="0" w:after="240"/>
        <w:rPr>
          <w:rFonts w:eastAsia="Arial Unicode MS"/>
          <w:noProof/>
        </w:rPr>
      </w:pPr>
      <w:r w:rsidRPr="008C72B9">
        <w:rPr>
          <w:rFonts w:eastAsia="Arial Unicode MS"/>
          <w:noProof/>
        </w:rPr>
        <w:t>Not applicable.</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Collection and use of expertise</w:t>
      </w:r>
    </w:p>
    <w:p w:rsidR="00DE314D" w:rsidRPr="00AC781E" w:rsidRDefault="00DE314D" w:rsidP="00DE314D">
      <w:pPr>
        <w:pBdr>
          <w:top w:val="nil"/>
          <w:left w:val="nil"/>
          <w:bottom w:val="nil"/>
          <w:right w:val="nil"/>
          <w:between w:val="nil"/>
          <w:bar w:val="nil"/>
        </w:pBdr>
        <w:spacing w:before="0" w:after="240"/>
        <w:rPr>
          <w:rFonts w:eastAsia="Arial Unicode MS"/>
          <w:noProof/>
        </w:rPr>
      </w:pPr>
      <w:r w:rsidRPr="008C72B9">
        <w:rPr>
          <w:rFonts w:eastAsia="Arial Unicode MS"/>
          <w:noProof/>
        </w:rPr>
        <w:t>Not applicable.</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lastRenderedPageBreak/>
        <w:t>Impact assessment</w:t>
      </w:r>
    </w:p>
    <w:p w:rsidR="00DE314D" w:rsidRPr="00AC781E" w:rsidRDefault="00DE314D" w:rsidP="00DE314D">
      <w:pPr>
        <w:pBdr>
          <w:top w:val="nil"/>
          <w:left w:val="nil"/>
          <w:bottom w:val="nil"/>
          <w:right w:val="nil"/>
          <w:between w:val="nil"/>
          <w:bar w:val="nil"/>
        </w:pBdr>
        <w:spacing w:before="0" w:after="240"/>
        <w:rPr>
          <w:rFonts w:eastAsia="Arial Unicode MS"/>
          <w:noProof/>
        </w:rPr>
      </w:pPr>
      <w:r w:rsidRPr="008C72B9">
        <w:rPr>
          <w:rFonts w:eastAsia="Arial Unicode MS"/>
          <w:noProof/>
        </w:rPr>
        <w:t>Not applicable.</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Regulatory fitness and simplification</w:t>
      </w:r>
    </w:p>
    <w:p w:rsidR="00DE314D" w:rsidRPr="00AC781E" w:rsidRDefault="00DE314D" w:rsidP="00DE314D">
      <w:pPr>
        <w:pBdr>
          <w:top w:val="nil"/>
          <w:left w:val="nil"/>
          <w:bottom w:val="nil"/>
          <w:right w:val="nil"/>
          <w:between w:val="nil"/>
          <w:bar w:val="nil"/>
        </w:pBdr>
        <w:spacing w:before="0" w:after="240"/>
        <w:rPr>
          <w:rFonts w:eastAsia="Arial Unicode MS"/>
          <w:noProof/>
        </w:rPr>
      </w:pPr>
      <w:r w:rsidRPr="008C72B9">
        <w:rPr>
          <w:rFonts w:eastAsia="Arial Unicode MS"/>
          <w:noProof/>
        </w:rPr>
        <w:t>Not applicable.</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Fundamental rights</w:t>
      </w:r>
    </w:p>
    <w:p w:rsidR="00DE314D" w:rsidRPr="008C72B9" w:rsidRDefault="00B02FCE" w:rsidP="00B02FCE">
      <w:pPr>
        <w:pBdr>
          <w:top w:val="nil"/>
          <w:left w:val="nil"/>
          <w:bottom w:val="nil"/>
          <w:right w:val="nil"/>
          <w:between w:val="nil"/>
          <w:bar w:val="nil"/>
        </w:pBdr>
        <w:spacing w:before="0" w:after="240"/>
        <w:rPr>
          <w:rFonts w:eastAsia="Arial Unicode MS"/>
          <w:noProof/>
        </w:rPr>
      </w:pPr>
      <w:r w:rsidRPr="008C72B9">
        <w:rPr>
          <w:rFonts w:eastAsia="Arial Unicode MS"/>
          <w:noProof/>
        </w:rPr>
        <w:t xml:space="preserve">The </w:t>
      </w:r>
      <w:r w:rsidR="00733398">
        <w:rPr>
          <w:rFonts w:eastAsia="Arial Unicode MS"/>
          <w:noProof/>
        </w:rPr>
        <w:t xml:space="preserve">participation of the Union in the Management Committee of the Special Tribunal is consistent with the </w:t>
      </w:r>
      <w:r w:rsidR="00733398" w:rsidRPr="008C72B9">
        <w:rPr>
          <w:rFonts w:eastAsia="Arial Unicode MS"/>
          <w:noProof/>
        </w:rPr>
        <w:t>Charter of Fundamental Rights of the European Union</w:t>
      </w:r>
      <w:r w:rsidR="00733398">
        <w:rPr>
          <w:rFonts w:eastAsia="Arial Unicode MS"/>
          <w:noProof/>
        </w:rPr>
        <w:t xml:space="preserve">. </w:t>
      </w:r>
    </w:p>
    <w:p w:rsidR="00DE314D" w:rsidRPr="00AC781E" w:rsidRDefault="00DE314D" w:rsidP="000C10EE">
      <w:pPr>
        <w:pStyle w:val="ManualHeading1"/>
        <w:rPr>
          <w:noProof/>
        </w:rPr>
      </w:pPr>
      <w:r>
        <w:rPr>
          <w:noProof/>
        </w:rPr>
        <w:t>3.</w:t>
      </w:r>
      <w:r>
        <w:rPr>
          <w:noProof/>
        </w:rPr>
        <w:tab/>
      </w:r>
      <w:r w:rsidRPr="00AC781E">
        <w:rPr>
          <w:noProof/>
        </w:rPr>
        <w:t>BUDGETARY IMPLICATIONS</w:t>
      </w:r>
    </w:p>
    <w:p w:rsidR="00A8766A" w:rsidRDefault="00B538D0">
      <w:pPr>
        <w:pBdr>
          <w:top w:val="nil"/>
          <w:left w:val="nil"/>
          <w:bottom w:val="nil"/>
          <w:right w:val="nil"/>
          <w:between w:val="nil"/>
          <w:bar w:val="nil"/>
        </w:pBdr>
        <w:spacing w:before="0" w:after="240"/>
        <w:rPr>
          <w:rFonts w:eastAsia="Arial Unicode MS"/>
          <w:noProof/>
        </w:rPr>
      </w:pPr>
      <w:bookmarkStart w:id="6" w:name="_Hlk221546235"/>
      <w:r>
        <w:rPr>
          <w:rFonts w:eastAsia="Arial Unicode MS"/>
          <w:noProof/>
        </w:rPr>
        <w:t>O</w:t>
      </w:r>
      <w:r w:rsidR="00B805A7">
        <w:rPr>
          <w:rFonts w:eastAsia="Arial Unicode MS"/>
          <w:noProof/>
        </w:rPr>
        <w:t xml:space="preserve">nce the </w:t>
      </w:r>
      <w:r w:rsidR="005B01E8">
        <w:rPr>
          <w:rFonts w:eastAsia="Arial Unicode MS"/>
          <w:noProof/>
        </w:rPr>
        <w:t>EPA</w:t>
      </w:r>
      <w:r w:rsidR="00B805A7">
        <w:rPr>
          <w:rFonts w:eastAsia="Arial Unicode MS"/>
          <w:noProof/>
        </w:rPr>
        <w:t xml:space="preserve"> </w:t>
      </w:r>
      <w:r w:rsidR="003E04D4">
        <w:rPr>
          <w:rFonts w:eastAsia="Arial Unicode MS"/>
          <w:noProof/>
        </w:rPr>
        <w:t xml:space="preserve">will </w:t>
      </w:r>
      <w:r w:rsidR="00B805A7">
        <w:rPr>
          <w:rFonts w:eastAsia="Arial Unicode MS"/>
          <w:noProof/>
        </w:rPr>
        <w:t>ha</w:t>
      </w:r>
      <w:r w:rsidR="003E04D4">
        <w:rPr>
          <w:rFonts w:eastAsia="Arial Unicode MS"/>
          <w:noProof/>
        </w:rPr>
        <w:t>ve</w:t>
      </w:r>
      <w:r w:rsidR="00B805A7">
        <w:rPr>
          <w:rFonts w:eastAsia="Arial Unicode MS"/>
          <w:noProof/>
        </w:rPr>
        <w:t xml:space="preserve"> been established </w:t>
      </w:r>
      <w:r w:rsidR="005B01E8">
        <w:rPr>
          <w:rFonts w:eastAsia="Arial Unicode MS"/>
          <w:noProof/>
        </w:rPr>
        <w:t xml:space="preserve">and entered into </w:t>
      </w:r>
      <w:r w:rsidR="002947B8">
        <w:rPr>
          <w:rFonts w:eastAsia="Arial Unicode MS"/>
          <w:noProof/>
        </w:rPr>
        <w:t>force</w:t>
      </w:r>
      <w:r w:rsidR="003E04D4">
        <w:rPr>
          <w:rFonts w:eastAsia="Arial Unicode MS"/>
          <w:noProof/>
        </w:rPr>
        <w:t xml:space="preserve">, there will be budgetary implications, notably </w:t>
      </w:r>
      <w:r w:rsidR="00320D5B" w:rsidRPr="00320D5B">
        <w:rPr>
          <w:rFonts w:eastAsia="Arial Unicode MS"/>
          <w:noProof/>
        </w:rPr>
        <w:t xml:space="preserve">the </w:t>
      </w:r>
      <w:r w:rsidR="00320D5B">
        <w:rPr>
          <w:rFonts w:eastAsia="Arial Unicode MS"/>
          <w:noProof/>
        </w:rPr>
        <w:t>Union</w:t>
      </w:r>
      <w:r w:rsidR="003E04D4">
        <w:rPr>
          <w:rFonts w:eastAsia="Arial Unicode MS"/>
          <w:noProof/>
        </w:rPr>
        <w:t>’s obligation</w:t>
      </w:r>
      <w:r w:rsidR="00320D5B" w:rsidRPr="00320D5B">
        <w:rPr>
          <w:rFonts w:eastAsia="Arial Unicode MS"/>
          <w:noProof/>
        </w:rPr>
        <w:t xml:space="preserve"> to contribute annually to a dedicated budget covering the expenses of both the Special Tribunal and </w:t>
      </w:r>
      <w:r w:rsidR="00A13FCA">
        <w:rPr>
          <w:rFonts w:eastAsia="Arial Unicode MS"/>
          <w:noProof/>
        </w:rPr>
        <w:t xml:space="preserve">its </w:t>
      </w:r>
      <w:r w:rsidR="00320D5B" w:rsidRPr="00320D5B">
        <w:rPr>
          <w:rFonts w:eastAsia="Arial Unicode MS"/>
          <w:noProof/>
        </w:rPr>
        <w:t xml:space="preserve">Management Committee. </w:t>
      </w:r>
      <w:r w:rsidR="002947B8">
        <w:rPr>
          <w:rFonts w:eastAsia="Arial Unicode MS"/>
          <w:noProof/>
        </w:rPr>
        <w:t>Thus</w:t>
      </w:r>
      <w:r w:rsidR="00A8646B" w:rsidRPr="00A8646B">
        <w:rPr>
          <w:rFonts w:eastAsia="Arial Unicode MS"/>
          <w:noProof/>
        </w:rPr>
        <w:t xml:space="preserve">, the Union’s subsequent participation as a Member in the </w:t>
      </w:r>
      <w:r w:rsidR="00A8646B">
        <w:rPr>
          <w:rFonts w:eastAsia="Arial Unicode MS"/>
          <w:noProof/>
        </w:rPr>
        <w:t>EPA</w:t>
      </w:r>
      <w:r w:rsidR="00A8646B" w:rsidRPr="00A8646B">
        <w:rPr>
          <w:rFonts w:eastAsia="Arial Unicode MS"/>
          <w:noProof/>
        </w:rPr>
        <w:t xml:space="preserve"> will require the payment of an annual contribution. </w:t>
      </w:r>
      <w:r w:rsidR="00A8646B">
        <w:rPr>
          <w:rFonts w:eastAsia="Arial Unicode MS"/>
          <w:noProof/>
        </w:rPr>
        <w:t>Annual mandatory contributions</w:t>
      </w:r>
      <w:r w:rsidR="00A8646B" w:rsidRPr="00320D5B">
        <w:rPr>
          <w:rFonts w:eastAsia="Arial Unicode MS"/>
          <w:noProof/>
        </w:rPr>
        <w:t xml:space="preserve"> are determined by the Management Committee and are based on the Council of Europe’s standard scale of contributions, with possible adjustments. </w:t>
      </w:r>
    </w:p>
    <w:p w:rsidR="007E0AF1" w:rsidRDefault="00686A98" w:rsidP="03E2E087">
      <w:pPr>
        <w:pBdr>
          <w:top w:val="nil"/>
          <w:left w:val="nil"/>
          <w:bottom w:val="nil"/>
          <w:right w:val="nil"/>
          <w:between w:val="nil"/>
          <w:bar w:val="nil"/>
        </w:pBdr>
        <w:spacing w:before="0" w:after="240"/>
        <w:rPr>
          <w:rFonts w:eastAsia="Arial Unicode MS"/>
          <w:noProof/>
        </w:rPr>
      </w:pPr>
      <w:r w:rsidRPr="03E2E087">
        <w:rPr>
          <w:rFonts w:eastAsia="Arial Unicode MS"/>
          <w:noProof/>
        </w:rPr>
        <w:t>Pending</w:t>
      </w:r>
      <w:r w:rsidR="002947B8" w:rsidRPr="03E2E087">
        <w:rPr>
          <w:rFonts w:eastAsia="Arial Unicode MS"/>
          <w:noProof/>
        </w:rPr>
        <w:t xml:space="preserve"> certainty </w:t>
      </w:r>
      <w:r w:rsidRPr="03E2E087">
        <w:rPr>
          <w:rFonts w:eastAsia="Arial Unicode MS"/>
          <w:noProof/>
        </w:rPr>
        <w:t>on when</w:t>
      </w:r>
      <w:r w:rsidR="00A8646B" w:rsidRPr="03E2E087">
        <w:rPr>
          <w:rFonts w:eastAsia="Arial Unicode MS"/>
          <w:noProof/>
        </w:rPr>
        <w:t xml:space="preserve"> the</w:t>
      </w:r>
      <w:r w:rsidR="00FB350F" w:rsidRPr="03E2E087">
        <w:rPr>
          <w:rFonts w:eastAsia="Arial Unicode MS"/>
          <w:noProof/>
        </w:rPr>
        <w:t xml:space="preserve"> </w:t>
      </w:r>
      <w:r w:rsidR="00FB350F">
        <w:rPr>
          <w:noProof/>
        </w:rPr>
        <w:t>Resolution establishing the</w:t>
      </w:r>
      <w:r w:rsidR="00A8646B" w:rsidRPr="03E2E087">
        <w:rPr>
          <w:rFonts w:eastAsia="Arial Unicode MS"/>
          <w:noProof/>
        </w:rPr>
        <w:t xml:space="preserve"> EPA will enter into force, </w:t>
      </w:r>
      <w:r w:rsidR="00B805A7" w:rsidRPr="03E2E087">
        <w:rPr>
          <w:rFonts w:eastAsia="Arial Unicode MS"/>
          <w:noProof/>
        </w:rPr>
        <w:t xml:space="preserve">with the first annual budget </w:t>
      </w:r>
      <w:r w:rsidR="00A8646B" w:rsidRPr="03E2E087">
        <w:rPr>
          <w:rFonts w:eastAsia="Arial Unicode MS"/>
          <w:noProof/>
        </w:rPr>
        <w:t xml:space="preserve">to be shared among </w:t>
      </w:r>
      <w:r w:rsidR="00EA3D49" w:rsidRPr="03E2E087">
        <w:rPr>
          <w:rFonts w:eastAsia="Arial Unicode MS"/>
          <w:noProof/>
        </w:rPr>
        <w:t>the</w:t>
      </w:r>
      <w:r w:rsidR="00A8646B" w:rsidRPr="03E2E087">
        <w:rPr>
          <w:rFonts w:eastAsia="Arial Unicode MS"/>
          <w:noProof/>
        </w:rPr>
        <w:t xml:space="preserve"> founding members</w:t>
      </w:r>
      <w:r w:rsidR="00B805A7" w:rsidRPr="03E2E087">
        <w:rPr>
          <w:rFonts w:eastAsia="Arial Unicode MS"/>
          <w:noProof/>
        </w:rPr>
        <w:t>,</w:t>
      </w:r>
      <w:r w:rsidR="00EA3D49" w:rsidRPr="03E2E087">
        <w:rPr>
          <w:rFonts w:eastAsia="Arial Unicode MS"/>
          <w:noProof/>
        </w:rPr>
        <w:t xml:space="preserve"> the </w:t>
      </w:r>
      <w:r w:rsidRPr="03E2E087">
        <w:rPr>
          <w:rFonts w:eastAsia="Arial Unicode MS"/>
          <w:noProof/>
        </w:rPr>
        <w:t>Council of Europe has suggested a</w:t>
      </w:r>
      <w:r w:rsidR="00EA3D49" w:rsidRPr="03E2E087">
        <w:rPr>
          <w:rFonts w:eastAsia="Arial Unicode MS"/>
          <w:noProof/>
        </w:rPr>
        <w:t xml:space="preserve"> “</w:t>
      </w:r>
      <w:r w:rsidR="005B01E8" w:rsidRPr="03E2E087">
        <w:rPr>
          <w:rFonts w:eastAsia="Arial Unicode MS"/>
          <w:noProof/>
        </w:rPr>
        <w:t>phased</w:t>
      </w:r>
      <w:r w:rsidRPr="03E2E087">
        <w:rPr>
          <w:rFonts w:eastAsia="Arial Unicode MS"/>
          <w:noProof/>
        </w:rPr>
        <w:t xml:space="preserve"> </w:t>
      </w:r>
      <w:r w:rsidR="005B01E8" w:rsidRPr="03E2E087">
        <w:rPr>
          <w:rFonts w:eastAsia="Arial Unicode MS"/>
          <w:noProof/>
        </w:rPr>
        <w:t>approach</w:t>
      </w:r>
      <w:r w:rsidR="00EA3D49" w:rsidRPr="03E2E087">
        <w:rPr>
          <w:rFonts w:eastAsia="Arial Unicode MS"/>
          <w:noProof/>
        </w:rPr>
        <w:t>”</w:t>
      </w:r>
      <w:r w:rsidR="005B01E8" w:rsidRPr="03E2E087">
        <w:rPr>
          <w:rFonts w:eastAsia="Arial Unicode MS"/>
          <w:noProof/>
        </w:rPr>
        <w:t xml:space="preserve"> </w:t>
      </w:r>
      <w:r w:rsidR="00A8766A" w:rsidRPr="03E2E087">
        <w:rPr>
          <w:rFonts w:eastAsia="Arial Unicode MS"/>
          <w:noProof/>
        </w:rPr>
        <w:t>for</w:t>
      </w:r>
      <w:r w:rsidRPr="03E2E087">
        <w:rPr>
          <w:rFonts w:eastAsia="Arial Unicode MS"/>
          <w:noProof/>
        </w:rPr>
        <w:t xml:space="preserve"> </w:t>
      </w:r>
      <w:r w:rsidR="005B01E8" w:rsidRPr="03E2E087">
        <w:rPr>
          <w:rFonts w:eastAsia="Arial Unicode MS"/>
          <w:noProof/>
        </w:rPr>
        <w:t xml:space="preserve">the </w:t>
      </w:r>
      <w:r w:rsidRPr="03E2E087">
        <w:rPr>
          <w:rFonts w:eastAsia="Arial Unicode MS"/>
          <w:noProof/>
        </w:rPr>
        <w:t>different stages of the Tribunal’s establishment</w:t>
      </w:r>
      <w:r w:rsidR="005B01E8" w:rsidRPr="03E2E087">
        <w:rPr>
          <w:rFonts w:eastAsia="Arial Unicode MS"/>
          <w:noProof/>
        </w:rPr>
        <w:t xml:space="preserve">. This </w:t>
      </w:r>
      <w:r w:rsidR="00287425" w:rsidRPr="03E2E087">
        <w:rPr>
          <w:rFonts w:eastAsia="Arial Unicode MS"/>
          <w:noProof/>
        </w:rPr>
        <w:t>approach provides</w:t>
      </w:r>
      <w:r w:rsidR="00E854BE" w:rsidRPr="03E2E087">
        <w:rPr>
          <w:rFonts w:eastAsia="Arial Unicode MS"/>
          <w:noProof/>
        </w:rPr>
        <w:t>, pending the entry into force of the EPA,</w:t>
      </w:r>
      <w:r w:rsidR="00287425" w:rsidRPr="03E2E087">
        <w:rPr>
          <w:rFonts w:eastAsia="Arial Unicode MS"/>
          <w:noProof/>
        </w:rPr>
        <w:t xml:space="preserve"> for</w:t>
      </w:r>
      <w:r w:rsidR="005B01E8" w:rsidRPr="03E2E087">
        <w:rPr>
          <w:rFonts w:eastAsia="Arial Unicode MS"/>
          <w:noProof/>
        </w:rPr>
        <w:t xml:space="preserve"> </w:t>
      </w:r>
      <w:r w:rsidR="00287425" w:rsidRPr="03E2E087">
        <w:rPr>
          <w:rFonts w:eastAsia="Arial Unicode MS"/>
          <w:noProof/>
        </w:rPr>
        <w:t xml:space="preserve">the </w:t>
      </w:r>
      <w:r w:rsidR="005B01E8" w:rsidRPr="03E2E087">
        <w:rPr>
          <w:rFonts w:eastAsia="Arial Unicode MS"/>
          <w:noProof/>
        </w:rPr>
        <w:t>multidisciplinary Advance Team (Phase 0)</w:t>
      </w:r>
      <w:r w:rsidR="00E854BE" w:rsidRPr="03E2E087">
        <w:rPr>
          <w:rFonts w:eastAsia="Arial Unicode MS"/>
          <w:noProof/>
        </w:rPr>
        <w:t xml:space="preserve"> and </w:t>
      </w:r>
      <w:r w:rsidR="00CB5486" w:rsidRPr="03E2E087">
        <w:rPr>
          <w:rFonts w:eastAsia="Arial Unicode MS"/>
          <w:noProof/>
        </w:rPr>
        <w:t>the Skeleton Tribunal (Phase 1)</w:t>
      </w:r>
      <w:r w:rsidR="00E854BE" w:rsidRPr="03E2E087">
        <w:rPr>
          <w:rFonts w:eastAsia="Arial Unicode MS"/>
          <w:noProof/>
        </w:rPr>
        <w:t xml:space="preserve">. </w:t>
      </w:r>
      <w:r w:rsidR="002F5675" w:rsidRPr="03E2E087">
        <w:rPr>
          <w:rFonts w:eastAsia="Arial Unicode MS"/>
          <w:noProof/>
        </w:rPr>
        <w:t>Phase 0 and Phase 1 are intended for</w:t>
      </w:r>
      <w:r w:rsidR="00CB5486" w:rsidRPr="03E2E087">
        <w:rPr>
          <w:rFonts w:eastAsia="Arial Unicode MS"/>
          <w:noProof/>
        </w:rPr>
        <w:t xml:space="preserve"> laying the groundwork for the fully</w:t>
      </w:r>
      <w:r w:rsidR="003E04D4" w:rsidRPr="03E2E087">
        <w:rPr>
          <w:rFonts w:eastAsia="Arial Unicode MS"/>
          <w:noProof/>
        </w:rPr>
        <w:t>-</w:t>
      </w:r>
      <w:r w:rsidR="00CB5486" w:rsidRPr="03E2E087">
        <w:rPr>
          <w:rFonts w:eastAsia="Arial Unicode MS"/>
          <w:noProof/>
        </w:rPr>
        <w:t xml:space="preserve">fledged Special Tribunal </w:t>
      </w:r>
      <w:r w:rsidR="00287425" w:rsidRPr="03E2E087">
        <w:rPr>
          <w:rFonts w:eastAsia="Arial Unicode MS"/>
          <w:noProof/>
        </w:rPr>
        <w:t>(</w:t>
      </w:r>
      <w:r w:rsidR="00CB5486" w:rsidRPr="03E2E087">
        <w:rPr>
          <w:rFonts w:eastAsia="Arial Unicode MS"/>
          <w:noProof/>
        </w:rPr>
        <w:t xml:space="preserve">Phase 2). </w:t>
      </w:r>
      <w:r w:rsidR="00AB2D19" w:rsidRPr="03E2E087">
        <w:rPr>
          <w:rFonts w:eastAsia="Arial Unicode MS"/>
          <w:noProof/>
        </w:rPr>
        <w:t>While budgetary estimates for Phase 2 are not yet available, preliminary estimates for Phase 0 and 1 have been provided</w:t>
      </w:r>
      <w:r w:rsidR="003E04D4" w:rsidRPr="03E2E087">
        <w:rPr>
          <w:rFonts w:eastAsia="Arial Unicode MS"/>
          <w:noProof/>
        </w:rPr>
        <w:t>.</w:t>
      </w:r>
      <w:r w:rsidR="00A8766A" w:rsidRPr="03E2E087">
        <w:rPr>
          <w:rFonts w:eastAsia="Arial Unicode MS"/>
          <w:noProof/>
        </w:rPr>
        <w:t xml:space="preserve"> Including</w:t>
      </w:r>
      <w:r w:rsidR="00A8646B" w:rsidRPr="03E2E087">
        <w:rPr>
          <w:rFonts w:eastAsia="Arial Unicode MS"/>
          <w:noProof/>
        </w:rPr>
        <w:t xml:space="preserve"> </w:t>
      </w:r>
      <w:r w:rsidR="00A8766A" w:rsidRPr="03E2E087">
        <w:rPr>
          <w:rFonts w:eastAsia="Arial Unicode MS"/>
          <w:noProof/>
        </w:rPr>
        <w:t xml:space="preserve">costs for the necessary </w:t>
      </w:r>
      <w:r w:rsidR="00706CE0" w:rsidRPr="03E2E087">
        <w:rPr>
          <w:rFonts w:eastAsia="Arial Unicode MS"/>
          <w:noProof/>
        </w:rPr>
        <w:t>security adjustments to the premises</w:t>
      </w:r>
      <w:r w:rsidR="00A8766A" w:rsidRPr="03E2E087">
        <w:rPr>
          <w:rFonts w:eastAsia="Arial Unicode MS"/>
          <w:noProof/>
        </w:rPr>
        <w:t xml:space="preserve">, Phase 0 amounts to </w:t>
      </w:r>
      <w:r w:rsidR="00706CE0" w:rsidRPr="03E2E087">
        <w:rPr>
          <w:rFonts w:eastAsia="Arial Unicode MS"/>
          <w:noProof/>
        </w:rPr>
        <w:t xml:space="preserve">approximately EUR </w:t>
      </w:r>
      <w:r w:rsidR="00287425" w:rsidRPr="03E2E087">
        <w:rPr>
          <w:rFonts w:eastAsia="Arial Unicode MS"/>
          <w:noProof/>
        </w:rPr>
        <w:t>30 million</w:t>
      </w:r>
      <w:r w:rsidR="000C7276" w:rsidRPr="03E2E087">
        <w:rPr>
          <w:rFonts w:eastAsia="Arial Unicode MS"/>
          <w:noProof/>
        </w:rPr>
        <w:t xml:space="preserve"> in total</w:t>
      </w:r>
      <w:r w:rsidR="00A8646B" w:rsidRPr="03E2E087">
        <w:rPr>
          <w:rFonts w:eastAsia="Arial Unicode MS"/>
          <w:noProof/>
        </w:rPr>
        <w:t xml:space="preserve">, </w:t>
      </w:r>
      <w:r w:rsidR="00706CE0" w:rsidRPr="03E2E087">
        <w:rPr>
          <w:rFonts w:eastAsia="Arial Unicode MS"/>
          <w:noProof/>
        </w:rPr>
        <w:t xml:space="preserve">and </w:t>
      </w:r>
      <w:r w:rsidR="00A8766A" w:rsidRPr="03E2E087">
        <w:rPr>
          <w:rFonts w:eastAsia="Arial Unicode MS"/>
          <w:noProof/>
        </w:rPr>
        <w:t xml:space="preserve">Phase </w:t>
      </w:r>
      <w:r w:rsidR="00881624" w:rsidRPr="03E2E087">
        <w:rPr>
          <w:rFonts w:eastAsia="Arial Unicode MS"/>
          <w:noProof/>
        </w:rPr>
        <w:t>1</w:t>
      </w:r>
      <w:r w:rsidR="00A8766A" w:rsidRPr="03E2E087">
        <w:rPr>
          <w:rFonts w:eastAsia="Arial Unicode MS"/>
          <w:noProof/>
        </w:rPr>
        <w:t xml:space="preserve"> </w:t>
      </w:r>
      <w:r w:rsidRPr="03E2E087">
        <w:rPr>
          <w:rFonts w:eastAsia="Arial Unicode MS"/>
          <w:noProof/>
        </w:rPr>
        <w:t xml:space="preserve">to </w:t>
      </w:r>
      <w:r w:rsidR="00287425" w:rsidRPr="03E2E087">
        <w:rPr>
          <w:rFonts w:eastAsia="Arial Unicode MS"/>
          <w:noProof/>
        </w:rPr>
        <w:t xml:space="preserve">between </w:t>
      </w:r>
      <w:r w:rsidR="003E04D4" w:rsidRPr="03E2E087">
        <w:rPr>
          <w:rFonts w:eastAsia="Arial Unicode MS"/>
          <w:noProof/>
        </w:rPr>
        <w:t xml:space="preserve">EUR </w:t>
      </w:r>
      <w:r w:rsidR="00287425" w:rsidRPr="03E2E087">
        <w:rPr>
          <w:rFonts w:eastAsia="Arial Unicode MS"/>
          <w:noProof/>
        </w:rPr>
        <w:t xml:space="preserve">74 million and 77 million per year for three years. </w:t>
      </w:r>
      <w:r w:rsidR="00626B60">
        <w:rPr>
          <w:rFonts w:eastAsia="Arial Unicode MS"/>
          <w:noProof/>
        </w:rPr>
        <w:t>According to the Council of Europe, b</w:t>
      </w:r>
      <w:r w:rsidR="00287425" w:rsidRPr="03E2E087">
        <w:rPr>
          <w:rFonts w:eastAsia="Arial Unicode MS"/>
          <w:noProof/>
        </w:rPr>
        <w:t>efore the entry into force of the EPA, these costs may be covered through voluntary contributions</w:t>
      </w:r>
      <w:r w:rsidR="00626B60">
        <w:rPr>
          <w:rFonts w:eastAsia="Arial Unicode MS"/>
          <w:noProof/>
        </w:rPr>
        <w:t xml:space="preserve"> by supportive states and the Union</w:t>
      </w:r>
      <w:r w:rsidR="00287425" w:rsidRPr="03E2E087">
        <w:rPr>
          <w:rFonts w:eastAsia="Arial Unicode MS"/>
          <w:noProof/>
        </w:rPr>
        <w:t xml:space="preserve">. </w:t>
      </w:r>
    </w:p>
    <w:p w:rsidR="007E0AF1" w:rsidRPr="007E0AF1" w:rsidRDefault="007E0AF1" w:rsidP="03E2E087">
      <w:pPr>
        <w:pBdr>
          <w:top w:val="nil"/>
          <w:left w:val="nil"/>
          <w:bottom w:val="nil"/>
          <w:right w:val="nil"/>
          <w:between w:val="nil"/>
          <w:bar w:val="nil"/>
        </w:pBdr>
        <w:spacing w:before="0" w:after="240"/>
        <w:rPr>
          <w:rFonts w:eastAsia="Arial Unicode MS"/>
          <w:noProof/>
        </w:rPr>
      </w:pPr>
      <w:r w:rsidRPr="007E0AF1">
        <w:rPr>
          <w:rFonts w:eastAsia="Arial Unicode MS"/>
          <w:noProof/>
        </w:rPr>
        <w:t xml:space="preserve">At this point, without </w:t>
      </w:r>
      <w:r w:rsidR="0080445C">
        <w:rPr>
          <w:rFonts w:eastAsia="Arial Unicode MS"/>
          <w:noProof/>
        </w:rPr>
        <w:t xml:space="preserve">exact </w:t>
      </w:r>
      <w:r w:rsidRPr="007E0AF1">
        <w:rPr>
          <w:rFonts w:eastAsia="Arial Unicode MS"/>
          <w:noProof/>
        </w:rPr>
        <w:t xml:space="preserve">knowledge of the </w:t>
      </w:r>
      <w:r w:rsidR="003E04D4">
        <w:rPr>
          <w:rFonts w:eastAsia="Arial Unicode MS"/>
          <w:noProof/>
        </w:rPr>
        <w:t xml:space="preserve">number </w:t>
      </w:r>
      <w:r w:rsidRPr="007E0AF1">
        <w:rPr>
          <w:rFonts w:eastAsia="Arial Unicode MS"/>
          <w:noProof/>
        </w:rPr>
        <w:t xml:space="preserve">of the participating </w:t>
      </w:r>
      <w:r w:rsidR="003E04D4">
        <w:rPr>
          <w:rFonts w:eastAsia="Arial Unicode MS"/>
          <w:noProof/>
        </w:rPr>
        <w:t>S</w:t>
      </w:r>
      <w:r w:rsidRPr="007E0AF1">
        <w:rPr>
          <w:rFonts w:eastAsia="Arial Unicode MS"/>
          <w:noProof/>
        </w:rPr>
        <w:t xml:space="preserve">tates, and when the entry into force of the EPA will take place, there is no clarity on the exact amount </w:t>
      </w:r>
      <w:r w:rsidR="003E04D4">
        <w:rPr>
          <w:rFonts w:eastAsia="Arial Unicode MS"/>
          <w:noProof/>
        </w:rPr>
        <w:t xml:space="preserve">of </w:t>
      </w:r>
      <w:r w:rsidRPr="007E0AF1">
        <w:rPr>
          <w:rFonts w:eastAsia="Arial Unicode MS"/>
          <w:noProof/>
        </w:rPr>
        <w:t>the Union’s contribution as a Member</w:t>
      </w:r>
      <w:r w:rsidR="0080445C">
        <w:rPr>
          <w:rFonts w:eastAsia="Arial Unicode MS"/>
          <w:noProof/>
        </w:rPr>
        <w:t xml:space="preserve"> of the Management Committee</w:t>
      </w:r>
      <w:r w:rsidRPr="007E0AF1">
        <w:rPr>
          <w:rFonts w:eastAsia="Arial Unicode MS"/>
          <w:noProof/>
        </w:rPr>
        <w:t xml:space="preserve">. </w:t>
      </w:r>
      <w:r w:rsidR="00287425">
        <w:rPr>
          <w:rFonts w:eastAsia="Arial Unicode MS"/>
          <w:noProof/>
        </w:rPr>
        <w:t>However, t</w:t>
      </w:r>
      <w:r w:rsidRPr="007E0AF1">
        <w:rPr>
          <w:rFonts w:eastAsia="Arial Unicode MS"/>
          <w:noProof/>
        </w:rPr>
        <w:t xml:space="preserve">he Council of Europe has provided the following possible scenario for the distribution of costs in Phase 0 and Phase 1: </w:t>
      </w:r>
      <w:r w:rsidR="003E04D4">
        <w:rPr>
          <w:rFonts w:eastAsia="Arial Unicode MS"/>
          <w:noProof/>
        </w:rPr>
        <w:t>c</w:t>
      </w:r>
      <w:r w:rsidRPr="007E0AF1">
        <w:rPr>
          <w:rFonts w:eastAsia="Arial Unicode MS"/>
          <w:noProof/>
        </w:rPr>
        <w:t>alculated on the basis of the scale of contributions of the Register of Damage</w:t>
      </w:r>
      <w:r w:rsidR="00287425">
        <w:rPr>
          <w:rFonts w:eastAsia="Arial Unicode MS"/>
          <w:noProof/>
        </w:rPr>
        <w:t xml:space="preserve"> </w:t>
      </w:r>
      <w:r w:rsidR="003E04D4">
        <w:rPr>
          <w:rFonts w:eastAsia="Arial Unicode MS"/>
          <w:noProof/>
        </w:rPr>
        <w:t xml:space="preserve">(where the Union’s contribution amounts to </w:t>
      </w:r>
      <w:r w:rsidR="00287425">
        <w:rPr>
          <w:rFonts w:eastAsia="Arial Unicode MS"/>
          <w:noProof/>
        </w:rPr>
        <w:t xml:space="preserve">14 </w:t>
      </w:r>
      <w:r w:rsidR="003E04D4">
        <w:rPr>
          <w:rFonts w:eastAsia="Arial Unicode MS"/>
          <w:noProof/>
        </w:rPr>
        <w:t>% of the total budget)</w:t>
      </w:r>
      <w:r w:rsidRPr="007E0AF1">
        <w:rPr>
          <w:rFonts w:eastAsia="Arial Unicode MS"/>
          <w:noProof/>
        </w:rPr>
        <w:t xml:space="preserve">, and assuming the participation of the 40 </w:t>
      </w:r>
      <w:r w:rsidR="003E04D4">
        <w:rPr>
          <w:rFonts w:eastAsia="Arial Unicode MS"/>
          <w:noProof/>
        </w:rPr>
        <w:t>S</w:t>
      </w:r>
      <w:r w:rsidRPr="007E0AF1">
        <w:rPr>
          <w:rFonts w:eastAsia="Arial Unicode MS"/>
          <w:noProof/>
        </w:rPr>
        <w:t xml:space="preserve">tates </w:t>
      </w:r>
      <w:r w:rsidR="003E04D4">
        <w:rPr>
          <w:rFonts w:eastAsia="Arial Unicode MS"/>
          <w:noProof/>
        </w:rPr>
        <w:t xml:space="preserve">that </w:t>
      </w:r>
      <w:r w:rsidRPr="007E0AF1">
        <w:rPr>
          <w:rFonts w:eastAsia="Arial Unicode MS"/>
          <w:noProof/>
        </w:rPr>
        <w:t>took part in the Core Group, the Union’s contribution would amount to approximately EUR 4.3 million for Phase 0 and between EUR 10.5 and 11 million annually for three years</w:t>
      </w:r>
      <w:r w:rsidR="002F5675">
        <w:rPr>
          <w:rFonts w:eastAsia="Arial Unicode MS"/>
          <w:noProof/>
        </w:rPr>
        <w:t xml:space="preserve"> for</w:t>
      </w:r>
      <w:r w:rsidRPr="007E0AF1">
        <w:rPr>
          <w:rFonts w:eastAsia="Arial Unicode MS"/>
          <w:noProof/>
        </w:rPr>
        <w:t xml:space="preserve"> Phase 1. </w:t>
      </w:r>
      <w:r w:rsidR="00E23DF8" w:rsidRPr="00E23DF8">
        <w:rPr>
          <w:rFonts w:eastAsia="Arial Unicode MS"/>
          <w:noProof/>
        </w:rPr>
        <w:t>The Union will not be required to pay any mandatory contributions before the Enlarged Partial Agreement has entered into force, which will likely not take place before 2028.</w:t>
      </w:r>
      <w:r w:rsidR="00E23DF8">
        <w:rPr>
          <w:rFonts w:eastAsia="Arial Unicode MS"/>
          <w:noProof/>
        </w:rPr>
        <w:t xml:space="preserve"> </w:t>
      </w:r>
      <w:r w:rsidR="00160326">
        <w:rPr>
          <w:rFonts w:eastAsia="Arial Unicode MS"/>
          <w:noProof/>
        </w:rPr>
        <w:t>F</w:t>
      </w:r>
      <w:r w:rsidRPr="03E2E087">
        <w:rPr>
          <w:rFonts w:eastAsia="Arial Unicode MS"/>
          <w:noProof/>
        </w:rPr>
        <w:t xml:space="preserve">or the period </w:t>
      </w:r>
      <w:r w:rsidR="00E23DF8">
        <w:rPr>
          <w:rFonts w:eastAsia="Arial Unicode MS"/>
          <w:noProof/>
        </w:rPr>
        <w:t>starting in 2028</w:t>
      </w:r>
      <w:r w:rsidRPr="03E2E087">
        <w:rPr>
          <w:rFonts w:eastAsia="Arial Unicode MS"/>
          <w:noProof/>
        </w:rPr>
        <w:t>, the Union’s contribution may be provided under the Global Europe Instrument subject to the outcome of interinstitutional negotiations on the M</w:t>
      </w:r>
      <w:r w:rsidR="003E04D4" w:rsidRPr="03E2E087">
        <w:rPr>
          <w:rFonts w:eastAsia="Arial Unicode MS"/>
          <w:noProof/>
        </w:rPr>
        <w:t xml:space="preserve">ultiannual </w:t>
      </w:r>
      <w:r w:rsidRPr="03E2E087">
        <w:rPr>
          <w:rFonts w:eastAsia="Arial Unicode MS"/>
          <w:noProof/>
        </w:rPr>
        <w:t>F</w:t>
      </w:r>
      <w:r w:rsidR="003E04D4" w:rsidRPr="03E2E087">
        <w:rPr>
          <w:rFonts w:eastAsia="Arial Unicode MS"/>
          <w:noProof/>
        </w:rPr>
        <w:t xml:space="preserve">inancial </w:t>
      </w:r>
      <w:r w:rsidRPr="03E2E087">
        <w:rPr>
          <w:rFonts w:eastAsia="Arial Unicode MS"/>
          <w:noProof/>
        </w:rPr>
        <w:t>F</w:t>
      </w:r>
      <w:r w:rsidR="003E04D4" w:rsidRPr="03E2E087">
        <w:rPr>
          <w:rFonts w:eastAsia="Arial Unicode MS"/>
          <w:noProof/>
        </w:rPr>
        <w:t>ramework</w:t>
      </w:r>
      <w:r w:rsidRPr="03E2E087">
        <w:rPr>
          <w:rFonts w:eastAsia="Arial Unicode MS"/>
          <w:noProof/>
        </w:rPr>
        <w:t xml:space="preserve"> 2028-2034 and thereafter to be determined through the annual budgetary procedure and the steering mechanism.</w:t>
      </w:r>
    </w:p>
    <w:p w:rsidR="007E0AF1" w:rsidRDefault="00E23DF8" w:rsidP="007E0AF1">
      <w:pPr>
        <w:pBdr>
          <w:top w:val="nil"/>
          <w:left w:val="nil"/>
          <w:bottom w:val="nil"/>
          <w:right w:val="nil"/>
          <w:between w:val="nil"/>
          <w:bar w:val="nil"/>
        </w:pBdr>
        <w:spacing w:before="0" w:after="240"/>
        <w:rPr>
          <w:rFonts w:eastAsia="Arial Unicode MS"/>
          <w:noProof/>
        </w:rPr>
      </w:pPr>
      <w:r>
        <w:rPr>
          <w:rFonts w:eastAsia="Arial Unicode MS"/>
          <w:noProof/>
        </w:rPr>
        <w:t xml:space="preserve">Apart from the cost estimations provided by the Council of Europe </w:t>
      </w:r>
      <w:r w:rsidR="00E05E1B">
        <w:rPr>
          <w:rFonts w:eastAsia="Arial Unicode MS"/>
          <w:noProof/>
        </w:rPr>
        <w:t xml:space="preserve">as </w:t>
      </w:r>
      <w:r>
        <w:rPr>
          <w:rFonts w:eastAsia="Arial Unicode MS"/>
          <w:noProof/>
        </w:rPr>
        <w:t>above, o</w:t>
      </w:r>
      <w:r w:rsidR="000A6A0B">
        <w:rPr>
          <w:rFonts w:eastAsia="Arial Unicode MS"/>
          <w:noProof/>
        </w:rPr>
        <w:t>n</w:t>
      </w:r>
      <w:r w:rsidR="007E0AF1" w:rsidRPr="007E0AF1">
        <w:rPr>
          <w:rFonts w:eastAsia="Arial Unicode MS"/>
          <w:noProof/>
        </w:rPr>
        <w:t xml:space="preserve"> </w:t>
      </w:r>
      <w:r w:rsidR="002F5675">
        <w:rPr>
          <w:rFonts w:eastAsia="Arial Unicode MS"/>
          <w:noProof/>
        </w:rPr>
        <w:t>22</w:t>
      </w:r>
      <w:r w:rsidR="007E0AF1" w:rsidRPr="007E0AF1">
        <w:rPr>
          <w:rFonts w:eastAsia="Arial Unicode MS"/>
          <w:noProof/>
        </w:rPr>
        <w:t xml:space="preserve"> January 2026, the Council of Europe and the European Union signed a contribution agreement with </w:t>
      </w:r>
      <w:r w:rsidR="007E0AF1" w:rsidRPr="007E0AF1">
        <w:rPr>
          <w:rFonts w:eastAsia="Arial Unicode MS"/>
          <w:noProof/>
        </w:rPr>
        <w:lastRenderedPageBreak/>
        <w:t>the amount of EUR 10 million, for a project of a maximum duration of 24 months and financed through the European Commission</w:t>
      </w:r>
      <w:r w:rsidR="00E35512">
        <w:rPr>
          <w:rFonts w:eastAsia="Arial Unicode MS"/>
          <w:noProof/>
        </w:rPr>
        <w:t>’</w:t>
      </w:r>
      <w:r w:rsidR="007E0AF1" w:rsidRPr="007E0AF1">
        <w:rPr>
          <w:rFonts w:eastAsia="Arial Unicode MS"/>
          <w:noProof/>
        </w:rPr>
        <w:t xml:space="preserve">s Service for Foreign Policy Instruments, with the aim to create an Advance </w:t>
      </w:r>
      <w:r w:rsidR="00E35512">
        <w:rPr>
          <w:rFonts w:eastAsia="Arial Unicode MS"/>
          <w:noProof/>
        </w:rPr>
        <w:t>T</w:t>
      </w:r>
      <w:r w:rsidR="00E35512" w:rsidRPr="007E0AF1">
        <w:rPr>
          <w:rFonts w:eastAsia="Arial Unicode MS"/>
          <w:noProof/>
        </w:rPr>
        <w:t xml:space="preserve">eam </w:t>
      </w:r>
      <w:r w:rsidR="007E0AF1" w:rsidRPr="007E0AF1">
        <w:rPr>
          <w:rFonts w:eastAsia="Arial Unicode MS"/>
          <w:noProof/>
        </w:rPr>
        <w:t>to prepare the institutional, logistical and organisational foundations of the next phases of the Special Tribunal. The Union’s support notably covers staff-related expenses for 2026 and 2027</w:t>
      </w:r>
      <w:r w:rsidR="000A6A0B">
        <w:rPr>
          <w:rFonts w:eastAsia="Arial Unicode MS"/>
          <w:noProof/>
        </w:rPr>
        <w:t>.</w:t>
      </w:r>
    </w:p>
    <w:bookmarkEnd w:id="6"/>
    <w:p w:rsidR="003642E7" w:rsidRPr="00AC781E" w:rsidRDefault="00287425">
      <w:pPr>
        <w:pBdr>
          <w:top w:val="nil"/>
          <w:left w:val="nil"/>
          <w:bottom w:val="nil"/>
          <w:right w:val="nil"/>
          <w:between w:val="nil"/>
          <w:bar w:val="nil"/>
        </w:pBdr>
        <w:spacing w:before="0" w:after="240"/>
        <w:rPr>
          <w:rFonts w:eastAsia="Arial Unicode MS"/>
          <w:noProof/>
        </w:rPr>
      </w:pPr>
      <w:r w:rsidRPr="00A8646B">
        <w:rPr>
          <w:rFonts w:eastAsia="Arial Unicode MS"/>
          <w:noProof/>
        </w:rPr>
        <w:t xml:space="preserve">Further details on this proposal’s financial impact may be found in the legislative financial statement annexed to this proposal. </w:t>
      </w:r>
    </w:p>
    <w:p w:rsidR="00DE314D" w:rsidRPr="00AC781E" w:rsidRDefault="00DE314D" w:rsidP="000C10EE">
      <w:pPr>
        <w:pStyle w:val="ManualHeading1"/>
        <w:rPr>
          <w:noProof/>
        </w:rPr>
      </w:pPr>
      <w:r>
        <w:rPr>
          <w:noProof/>
        </w:rPr>
        <w:t>4.</w:t>
      </w:r>
      <w:r>
        <w:rPr>
          <w:noProof/>
        </w:rPr>
        <w:tab/>
      </w:r>
      <w:r w:rsidRPr="00AC781E">
        <w:rPr>
          <w:noProof/>
        </w:rPr>
        <w:t>OTHER ELEMENTS</w:t>
      </w:r>
    </w:p>
    <w:p w:rsidR="00A6265E" w:rsidRDefault="00DE314D" w:rsidP="00585C83">
      <w:pPr>
        <w:pStyle w:val="ListBullet"/>
        <w:rPr>
          <w:rFonts w:eastAsia="Arial Unicode MS"/>
          <w:b/>
          <w:bCs/>
          <w:noProof/>
          <w:lang w:val="en-IE"/>
        </w:rPr>
      </w:pPr>
      <w:r w:rsidRPr="00585C83">
        <w:rPr>
          <w:rFonts w:eastAsia="Arial Unicode MS"/>
          <w:b/>
          <w:bCs/>
          <w:noProof/>
          <w:lang w:val="en-IE"/>
        </w:rPr>
        <w:t>Implementation plans and monitoring, evaluation and reporting arrangements</w:t>
      </w:r>
    </w:p>
    <w:p w:rsidR="00AD0C31" w:rsidRDefault="00AD0C31" w:rsidP="00B23705">
      <w:pPr>
        <w:pBdr>
          <w:top w:val="nil"/>
          <w:left w:val="nil"/>
          <w:bottom w:val="nil"/>
          <w:right w:val="nil"/>
          <w:between w:val="nil"/>
          <w:bar w:val="nil"/>
        </w:pBdr>
        <w:spacing w:before="0" w:after="240"/>
        <w:rPr>
          <w:noProof/>
        </w:rPr>
      </w:pPr>
      <w:r>
        <w:rPr>
          <w:noProof/>
        </w:rPr>
        <w:t>In line with the Resolution establishing the E</w:t>
      </w:r>
      <w:r w:rsidR="0080445C">
        <w:rPr>
          <w:noProof/>
        </w:rPr>
        <w:t>PA</w:t>
      </w:r>
      <w:r>
        <w:rPr>
          <w:noProof/>
        </w:rPr>
        <w:t>, the Management Committee sh</w:t>
      </w:r>
      <w:r w:rsidR="00E35512">
        <w:rPr>
          <w:noProof/>
        </w:rPr>
        <w:t>ould</w:t>
      </w:r>
      <w:r>
        <w:rPr>
          <w:noProof/>
        </w:rPr>
        <w:t xml:space="preserve"> also adopt the Special Tribunal’s activity report, as prepared by its President.</w:t>
      </w:r>
      <w:r w:rsidRPr="006769A1" w:rsidDel="00B23705">
        <w:rPr>
          <w:noProof/>
        </w:rPr>
        <w:t xml:space="preserve"> </w:t>
      </w:r>
    </w:p>
    <w:p w:rsidR="00B23705" w:rsidRDefault="003C73A6" w:rsidP="00B23705">
      <w:pPr>
        <w:pBdr>
          <w:top w:val="nil"/>
          <w:left w:val="nil"/>
          <w:bottom w:val="nil"/>
          <w:right w:val="nil"/>
          <w:between w:val="nil"/>
          <w:bar w:val="nil"/>
        </w:pBdr>
        <w:spacing w:before="0" w:after="240"/>
        <w:rPr>
          <w:noProof/>
        </w:rPr>
      </w:pPr>
      <w:r>
        <w:rPr>
          <w:noProof/>
        </w:rPr>
        <w:t xml:space="preserve">As provided by the Resolution establishing the EPA, </w:t>
      </w:r>
      <w:r w:rsidR="00B23705">
        <w:rPr>
          <w:noProof/>
        </w:rPr>
        <w:t xml:space="preserve">the Management Committee </w:t>
      </w:r>
      <w:r w:rsidR="00E35512">
        <w:rPr>
          <w:noProof/>
        </w:rPr>
        <w:t xml:space="preserve">should </w:t>
      </w:r>
      <w:r w:rsidR="00B23705">
        <w:rPr>
          <w:noProof/>
        </w:rPr>
        <w:t>annually approve the accounts of the E</w:t>
      </w:r>
      <w:r w:rsidR="0080445C">
        <w:rPr>
          <w:noProof/>
        </w:rPr>
        <w:t>PA</w:t>
      </w:r>
      <w:r w:rsidR="00B23705">
        <w:rPr>
          <w:noProof/>
        </w:rPr>
        <w:t>, prepared by the Secretary</w:t>
      </w:r>
      <w:r w:rsidR="0080445C">
        <w:rPr>
          <w:noProof/>
        </w:rPr>
        <w:t>-</w:t>
      </w:r>
      <w:r w:rsidR="00B23705">
        <w:rPr>
          <w:noProof/>
        </w:rPr>
        <w:t xml:space="preserve">General </w:t>
      </w:r>
      <w:r w:rsidR="0080445C">
        <w:rPr>
          <w:noProof/>
        </w:rPr>
        <w:t xml:space="preserve">of the Council of Europe </w:t>
      </w:r>
      <w:r w:rsidR="00B23705">
        <w:rPr>
          <w:noProof/>
        </w:rPr>
        <w:t>in accordance with the Financial Regulations and accompanied by the external auditor’s report.</w:t>
      </w:r>
    </w:p>
    <w:p w:rsidR="006769A1" w:rsidRPr="00EA3D49" w:rsidRDefault="00B23705" w:rsidP="00B23705">
      <w:pPr>
        <w:pBdr>
          <w:top w:val="nil"/>
          <w:left w:val="nil"/>
          <w:bottom w:val="nil"/>
          <w:right w:val="nil"/>
          <w:between w:val="nil"/>
          <w:bar w:val="nil"/>
        </w:pBdr>
        <w:spacing w:before="0" w:after="240"/>
        <w:rPr>
          <w:noProof/>
        </w:rPr>
      </w:pPr>
      <w:r>
        <w:rPr>
          <w:noProof/>
        </w:rPr>
        <w:t>To discharge the Secretary</w:t>
      </w:r>
      <w:r w:rsidR="00E35512">
        <w:rPr>
          <w:noProof/>
        </w:rPr>
        <w:t>-</w:t>
      </w:r>
      <w:r>
        <w:rPr>
          <w:noProof/>
        </w:rPr>
        <w:t xml:space="preserve">General </w:t>
      </w:r>
      <w:r w:rsidR="0080445C">
        <w:rPr>
          <w:noProof/>
        </w:rPr>
        <w:t xml:space="preserve">of the Council of Europe </w:t>
      </w:r>
      <w:r>
        <w:rPr>
          <w:noProof/>
        </w:rPr>
        <w:t xml:space="preserve">from responsibility for the financial year, the Executive Secretary </w:t>
      </w:r>
      <w:r w:rsidR="00E35512">
        <w:rPr>
          <w:noProof/>
        </w:rPr>
        <w:t xml:space="preserve">should </w:t>
      </w:r>
      <w:r>
        <w:rPr>
          <w:noProof/>
        </w:rPr>
        <w:t>submit the accounts, the Committee’s approval or comments, and the auditor’s reports to the Committee of Ministers.</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Explanatory documents (for directives)</w:t>
      </w:r>
    </w:p>
    <w:p w:rsidR="00DE314D" w:rsidRPr="00AC781E" w:rsidRDefault="00DE314D" w:rsidP="00DE314D">
      <w:pPr>
        <w:pBdr>
          <w:top w:val="nil"/>
          <w:left w:val="nil"/>
          <w:bottom w:val="nil"/>
          <w:right w:val="nil"/>
          <w:between w:val="nil"/>
          <w:bar w:val="nil"/>
        </w:pBdr>
        <w:spacing w:before="0" w:after="240"/>
        <w:rPr>
          <w:rFonts w:eastAsia="Arial Unicode MS"/>
          <w:noProof/>
        </w:rPr>
      </w:pPr>
      <w:r w:rsidRPr="00A31D48">
        <w:rPr>
          <w:rFonts w:eastAsia="Arial Unicode MS"/>
          <w:noProof/>
        </w:rPr>
        <w:t>Not applicable.</w:t>
      </w:r>
    </w:p>
    <w:p w:rsidR="00DE314D" w:rsidRPr="00585C83" w:rsidRDefault="00DE314D" w:rsidP="00585C83">
      <w:pPr>
        <w:pStyle w:val="ListBullet"/>
        <w:rPr>
          <w:rFonts w:eastAsia="Arial Unicode MS"/>
          <w:b/>
          <w:bCs/>
          <w:noProof/>
          <w:lang w:val="en-IE"/>
        </w:rPr>
      </w:pPr>
      <w:r w:rsidRPr="00585C83">
        <w:rPr>
          <w:rFonts w:eastAsia="Arial Unicode MS"/>
          <w:b/>
          <w:bCs/>
          <w:noProof/>
          <w:lang w:val="en-IE"/>
        </w:rPr>
        <w:t>Detailed explanation of the specific provisions of the proposal</w:t>
      </w:r>
    </w:p>
    <w:p w:rsidR="00DE314D" w:rsidRDefault="00C712C2" w:rsidP="693CBF78">
      <w:pPr>
        <w:pBdr>
          <w:top w:val="nil"/>
          <w:left w:val="nil"/>
          <w:bottom w:val="nil"/>
          <w:right w:val="nil"/>
          <w:between w:val="nil"/>
          <w:bar w:val="nil"/>
        </w:pBdr>
        <w:spacing w:before="0" w:after="240"/>
        <w:rPr>
          <w:noProof/>
        </w:rPr>
      </w:pPr>
      <w:r w:rsidRPr="693CBF78">
        <w:rPr>
          <w:rFonts w:eastAsia="Arial Unicode MS"/>
          <w:noProof/>
        </w:rPr>
        <w:t xml:space="preserve">Article 1 </w:t>
      </w:r>
      <w:r w:rsidR="00836492">
        <w:rPr>
          <w:rFonts w:eastAsia="Arial Unicode MS"/>
          <w:noProof/>
        </w:rPr>
        <w:t>concerns</w:t>
      </w:r>
      <w:r w:rsidR="00836492" w:rsidRPr="693CBF78">
        <w:rPr>
          <w:rFonts w:eastAsia="Arial Unicode MS"/>
          <w:noProof/>
        </w:rPr>
        <w:t xml:space="preserve"> </w:t>
      </w:r>
      <w:r w:rsidR="000D2979">
        <w:rPr>
          <w:rFonts w:eastAsia="Arial Unicode MS"/>
          <w:noProof/>
        </w:rPr>
        <w:t xml:space="preserve">the </w:t>
      </w:r>
      <w:r w:rsidR="002559C6">
        <w:rPr>
          <w:rFonts w:eastAsia="Arial Unicode MS"/>
          <w:noProof/>
        </w:rPr>
        <w:t xml:space="preserve">signing </w:t>
      </w:r>
      <w:r w:rsidR="000D2979">
        <w:rPr>
          <w:rFonts w:eastAsia="Arial Unicode MS"/>
          <w:noProof/>
        </w:rPr>
        <w:t>of</w:t>
      </w:r>
      <w:r w:rsidR="000F440F" w:rsidRPr="693CBF78">
        <w:rPr>
          <w:noProof/>
        </w:rPr>
        <w:t xml:space="preserve"> the Enlarged Partial Agreement on the Management Committee of the Special Tribunal for the Crime of Aggression against Ukraine</w:t>
      </w:r>
      <w:r w:rsidR="0080445C">
        <w:rPr>
          <w:noProof/>
        </w:rPr>
        <w:t xml:space="preserve"> by </w:t>
      </w:r>
      <w:r w:rsidR="004221E3">
        <w:rPr>
          <w:noProof/>
        </w:rPr>
        <w:t>participating in</w:t>
      </w:r>
      <w:r w:rsidR="0080445C">
        <w:rPr>
          <w:noProof/>
        </w:rPr>
        <w:t xml:space="preserve"> the adoption of the Committee of Ministers Resolution establishing the EPA</w:t>
      </w:r>
      <w:r w:rsidR="004E3DED">
        <w:rPr>
          <w:noProof/>
        </w:rPr>
        <w:t>.</w:t>
      </w:r>
    </w:p>
    <w:p w:rsidR="00A6265E" w:rsidRPr="00A31D48" w:rsidRDefault="00A6265E">
      <w:pPr>
        <w:pBdr>
          <w:top w:val="nil"/>
          <w:left w:val="nil"/>
          <w:bottom w:val="nil"/>
          <w:right w:val="nil"/>
          <w:between w:val="nil"/>
          <w:bar w:val="nil"/>
        </w:pBdr>
        <w:spacing w:before="0" w:after="240"/>
        <w:rPr>
          <w:noProof/>
        </w:rPr>
      </w:pPr>
      <w:r w:rsidRPr="00A6265E">
        <w:rPr>
          <w:noProof/>
        </w:rPr>
        <w:t xml:space="preserve">Article </w:t>
      </w:r>
      <w:r>
        <w:rPr>
          <w:noProof/>
        </w:rPr>
        <w:t>2</w:t>
      </w:r>
      <w:r w:rsidRPr="00A6265E">
        <w:rPr>
          <w:noProof/>
        </w:rPr>
        <w:t xml:space="preserve"> provides for the entry into force of </w:t>
      </w:r>
      <w:r>
        <w:rPr>
          <w:noProof/>
        </w:rPr>
        <w:t>th</w:t>
      </w:r>
      <w:r w:rsidR="0080445C">
        <w:rPr>
          <w:noProof/>
        </w:rPr>
        <w:t>e</w:t>
      </w:r>
      <w:r>
        <w:rPr>
          <w:noProof/>
        </w:rPr>
        <w:t xml:space="preserve"> propos</w:t>
      </w:r>
      <w:r w:rsidR="0080445C">
        <w:rPr>
          <w:noProof/>
        </w:rPr>
        <w:t>ed decision</w:t>
      </w:r>
      <w:r>
        <w:rPr>
          <w:noProof/>
        </w:rPr>
        <w:t xml:space="preserve">. </w:t>
      </w:r>
    </w:p>
    <w:p w:rsidR="007C008C" w:rsidRPr="00375FD1" w:rsidRDefault="007C008C" w:rsidP="007C008C">
      <w:pPr>
        <w:pStyle w:val="ManualHeading2"/>
        <w:rPr>
          <w:rFonts w:eastAsia="Arial Unicode MS"/>
          <w:noProof/>
          <w:u w:color="000000"/>
          <w:bdr w:val="nil"/>
          <w:lang w:val="en-US" w:eastAsia="en-GB"/>
        </w:rPr>
      </w:pPr>
      <w:r w:rsidRPr="00375FD1">
        <w:rPr>
          <w:rFonts w:eastAsia="Arial Unicode MS"/>
          <w:noProof/>
          <w:u w:color="000000"/>
          <w:bdr w:val="nil"/>
          <w:lang w:val="en-US" w:eastAsia="en-GB"/>
        </w:rPr>
        <w:t>•</w:t>
      </w:r>
      <w:r w:rsidRPr="00375FD1">
        <w:rPr>
          <w:rFonts w:eastAsia="Arial Unicode MS"/>
          <w:noProof/>
          <w:u w:color="000000"/>
          <w:bdr w:val="nil"/>
          <w:lang w:val="en-US" w:eastAsia="en-GB"/>
        </w:rPr>
        <w:tab/>
        <w:t>Text of the Agreement and notifications</w:t>
      </w:r>
    </w:p>
    <w:p w:rsidR="0065045C" w:rsidRDefault="007C008C" w:rsidP="0065045C">
      <w:pPr>
        <w:rPr>
          <w:noProof/>
          <w:szCs w:val="24"/>
        </w:rPr>
      </w:pPr>
      <w:r w:rsidRPr="00786788">
        <w:rPr>
          <w:noProof/>
          <w:szCs w:val="24"/>
        </w:rPr>
        <w:t xml:space="preserve">The text of the </w:t>
      </w:r>
      <w:r w:rsidR="002559C6">
        <w:rPr>
          <w:noProof/>
          <w:szCs w:val="24"/>
        </w:rPr>
        <w:t xml:space="preserve">Resolution establishing the </w:t>
      </w:r>
      <w:r>
        <w:rPr>
          <w:noProof/>
          <w:szCs w:val="24"/>
        </w:rPr>
        <w:t>EPA</w:t>
      </w:r>
      <w:r w:rsidR="00DC2C40">
        <w:rPr>
          <w:noProof/>
          <w:szCs w:val="24"/>
        </w:rPr>
        <w:t xml:space="preserve"> and the </w:t>
      </w:r>
      <w:r w:rsidR="00DC2C40" w:rsidRPr="00DC2C40">
        <w:rPr>
          <w:noProof/>
          <w:szCs w:val="24"/>
        </w:rPr>
        <w:t>draft Decision of the Committee of Ministers of the Council of Europe</w:t>
      </w:r>
      <w:r w:rsidRPr="00786788">
        <w:rPr>
          <w:noProof/>
          <w:szCs w:val="24"/>
        </w:rPr>
        <w:t xml:space="preserve"> </w:t>
      </w:r>
      <w:r w:rsidR="00DC2C40">
        <w:rPr>
          <w:noProof/>
          <w:szCs w:val="24"/>
        </w:rPr>
        <w:t>are</w:t>
      </w:r>
      <w:r w:rsidRPr="00786788">
        <w:rPr>
          <w:noProof/>
          <w:szCs w:val="24"/>
        </w:rPr>
        <w:t xml:space="preserve"> submitted to the Council together with this proposal. </w:t>
      </w:r>
    </w:p>
    <w:p w:rsidR="0065045C" w:rsidRDefault="0065045C">
      <w:pPr>
        <w:spacing w:before="0" w:after="200" w:line="276" w:lineRule="auto"/>
        <w:jc w:val="left"/>
        <w:rPr>
          <w:noProof/>
          <w:szCs w:val="24"/>
        </w:rPr>
      </w:pPr>
      <w:r>
        <w:rPr>
          <w:noProof/>
          <w:szCs w:val="24"/>
        </w:rPr>
        <w:br w:type="page"/>
      </w:r>
    </w:p>
    <w:p w:rsidR="00261A4D" w:rsidRDefault="00CA1709">
      <w:pPr>
        <w:pStyle w:val="Rfrenceinterinstitutionnelle"/>
        <w:rPr>
          <w:noProof/>
        </w:rPr>
      </w:pPr>
      <w:r>
        <w:rPr>
          <w:noProof/>
        </w:rPr>
        <w:lastRenderedPageBreak/>
        <w:t>2026/0080 (NLE)</w:t>
      </w:r>
    </w:p>
    <w:p w:rsidR="003D6323" w:rsidRDefault="003D6323" w:rsidP="003D6323">
      <w:pPr>
        <w:pStyle w:val="Statut"/>
        <w:rPr>
          <w:noProof/>
        </w:rPr>
      </w:pPr>
      <w:r w:rsidRPr="003D6323">
        <w:rPr>
          <w:noProof/>
        </w:rPr>
        <w:t>Proposal for a</w:t>
      </w:r>
    </w:p>
    <w:p w:rsidR="00DE314D" w:rsidRPr="00AC781E" w:rsidRDefault="003D6323" w:rsidP="003D6323">
      <w:pPr>
        <w:pStyle w:val="Typedudocument"/>
        <w:rPr>
          <w:noProof/>
        </w:rPr>
      </w:pPr>
      <w:r w:rsidRPr="003D6323">
        <w:rPr>
          <w:noProof/>
        </w:rPr>
        <w:t>COUNCIL DECISION</w:t>
      </w:r>
    </w:p>
    <w:p w:rsidR="00DE314D" w:rsidRPr="001317FC" w:rsidRDefault="003D6323" w:rsidP="003D6323">
      <w:pPr>
        <w:pStyle w:val="Titreobjet"/>
        <w:rPr>
          <w:noProof/>
        </w:rPr>
      </w:pPr>
      <w:r w:rsidRPr="003D6323">
        <w:rPr>
          <w:noProof/>
        </w:rPr>
        <w:t xml:space="preserve">on the signing, on behalf of the European Union, of the Enlarged Partial Agreement on the Management Committee of the Special Tribunal for the Crime of Aggression against Ukraine </w:t>
      </w:r>
    </w:p>
    <w:p w:rsidR="00DE314D" w:rsidRPr="00AC781E" w:rsidRDefault="00DE314D">
      <w:pPr>
        <w:pStyle w:val="Institutionquiagit"/>
        <w:rPr>
          <w:noProof/>
        </w:rPr>
      </w:pPr>
      <w:r w:rsidRPr="00AC781E">
        <w:rPr>
          <w:noProof/>
        </w:rPr>
        <w:t xml:space="preserve">THE COUNCIL OF THE EUROPEAN </w:t>
      </w:r>
      <w:smartTag w:uri="urn:schemas-microsoft-com:office:smarttags" w:element="place">
        <w:r w:rsidRPr="00AC781E">
          <w:rPr>
            <w:noProof/>
          </w:rPr>
          <w:t>UNION</w:t>
        </w:r>
      </w:smartTag>
      <w:r w:rsidRPr="00AC781E">
        <w:rPr>
          <w:noProof/>
        </w:rPr>
        <w:t>,</w:t>
      </w:r>
    </w:p>
    <w:p w:rsidR="00DE314D" w:rsidRPr="00AC781E" w:rsidRDefault="00DE314D" w:rsidP="00B3373E">
      <w:pPr>
        <w:rPr>
          <w:noProof/>
        </w:rPr>
      </w:pPr>
      <w:r>
        <w:rPr>
          <w:noProof/>
        </w:rPr>
        <w:t xml:space="preserve">Having regard to the Treaty on the Functioning of the European Union, and </w:t>
      </w:r>
      <w:r w:rsidR="001E5729">
        <w:rPr>
          <w:noProof/>
        </w:rPr>
        <w:t xml:space="preserve">in particular </w:t>
      </w:r>
      <w:r w:rsidR="00F94407">
        <w:rPr>
          <w:noProof/>
        </w:rPr>
        <w:t xml:space="preserve">Article </w:t>
      </w:r>
      <w:r w:rsidR="00B3373E">
        <w:rPr>
          <w:noProof/>
        </w:rPr>
        <w:t>212</w:t>
      </w:r>
      <w:r w:rsidR="004221E3">
        <w:rPr>
          <w:noProof/>
        </w:rPr>
        <w:t>,</w:t>
      </w:r>
      <w:r w:rsidR="00B3373E">
        <w:rPr>
          <w:noProof/>
        </w:rPr>
        <w:t xml:space="preserve"> in </w:t>
      </w:r>
      <w:r w:rsidR="00B3373E" w:rsidRPr="00F94407">
        <w:rPr>
          <w:noProof/>
        </w:rPr>
        <w:t>conjunction with Article 218(</w:t>
      </w:r>
      <w:r w:rsidR="00B4537F">
        <w:rPr>
          <w:noProof/>
        </w:rPr>
        <w:t>5)</w:t>
      </w:r>
      <w:r w:rsidR="00B3373E" w:rsidRPr="00F94407">
        <w:rPr>
          <w:noProof/>
        </w:rPr>
        <w:t xml:space="preserve"> thereof</w:t>
      </w:r>
      <w:r w:rsidRPr="00F94407">
        <w:rPr>
          <w:noProof/>
        </w:rPr>
        <w:t>,</w:t>
      </w:r>
    </w:p>
    <w:p w:rsidR="00DE314D" w:rsidRPr="00AC781E" w:rsidRDefault="00DE314D">
      <w:pPr>
        <w:rPr>
          <w:noProof/>
        </w:rPr>
      </w:pPr>
      <w:r w:rsidRPr="00AC781E">
        <w:rPr>
          <w:noProof/>
        </w:rPr>
        <w:t>Having regard to the proposal from the European Commission,</w:t>
      </w:r>
    </w:p>
    <w:p w:rsidR="00DE314D" w:rsidRPr="00AB57E6" w:rsidRDefault="00DE314D">
      <w:pPr>
        <w:rPr>
          <w:noProof/>
        </w:rPr>
      </w:pPr>
      <w:r w:rsidRPr="00AB57E6">
        <w:rPr>
          <w:noProof/>
        </w:rPr>
        <w:t>Whereas:</w:t>
      </w:r>
    </w:p>
    <w:p w:rsidR="002A59CD" w:rsidRPr="002A59CD" w:rsidRDefault="002A59CD" w:rsidP="00E658A2">
      <w:pPr>
        <w:pStyle w:val="ManualConsidrant"/>
        <w:rPr>
          <w:noProof/>
        </w:rPr>
      </w:pPr>
      <w:r>
        <w:rPr>
          <w:noProof/>
        </w:rPr>
        <w:t>(1)</w:t>
      </w:r>
      <w:r>
        <w:rPr>
          <w:noProof/>
        </w:rPr>
        <w:tab/>
      </w:r>
      <w:r>
        <w:rPr>
          <w:noProof/>
          <w:lang w:val="en-IE"/>
        </w:rPr>
        <w:t>In its conclusions of 24 February 2022, t</w:t>
      </w:r>
      <w:r w:rsidRPr="00DD14F4">
        <w:rPr>
          <w:noProof/>
          <w:lang w:val="en-IE"/>
        </w:rPr>
        <w:t xml:space="preserve">he </w:t>
      </w:r>
      <w:r>
        <w:rPr>
          <w:noProof/>
          <w:lang w:val="en-IE"/>
        </w:rPr>
        <w:t xml:space="preserve">European Council </w:t>
      </w:r>
      <w:r w:rsidRPr="00DD14F4">
        <w:rPr>
          <w:noProof/>
          <w:lang w:val="en-IE"/>
        </w:rPr>
        <w:t xml:space="preserve">condemned </w:t>
      </w:r>
      <w:r>
        <w:rPr>
          <w:noProof/>
          <w:lang w:val="en-IE"/>
        </w:rPr>
        <w:t xml:space="preserve">in the strongest possible terms </w:t>
      </w:r>
      <w:r w:rsidRPr="00DD14F4">
        <w:rPr>
          <w:noProof/>
          <w:lang w:val="en-IE"/>
        </w:rPr>
        <w:t>the Russian Federation</w:t>
      </w:r>
      <w:r>
        <w:rPr>
          <w:noProof/>
          <w:lang w:val="en-IE"/>
        </w:rPr>
        <w:t>’</w:t>
      </w:r>
      <w:r w:rsidRPr="00DD14F4">
        <w:rPr>
          <w:noProof/>
          <w:lang w:val="en-IE"/>
        </w:rPr>
        <w:t xml:space="preserve">s </w:t>
      </w:r>
      <w:r>
        <w:rPr>
          <w:noProof/>
          <w:lang w:val="en-IE"/>
        </w:rPr>
        <w:t xml:space="preserve">unprovoked and unjustified military aggression </w:t>
      </w:r>
      <w:r w:rsidRPr="00DD14F4">
        <w:rPr>
          <w:noProof/>
          <w:lang w:val="en-IE"/>
        </w:rPr>
        <w:t xml:space="preserve">against Ukraine and </w:t>
      </w:r>
      <w:r>
        <w:rPr>
          <w:noProof/>
          <w:lang w:val="en-IE"/>
        </w:rPr>
        <w:t>affirmed that Russia bears full responsibility for this act of aggression for which it will be held accountable</w:t>
      </w:r>
      <w:r>
        <w:rPr>
          <w:rStyle w:val="FootnoteReference"/>
          <w:noProof/>
          <w:lang w:val="en-IE"/>
        </w:rPr>
        <w:footnoteReference w:id="27"/>
      </w:r>
      <w:r>
        <w:rPr>
          <w:noProof/>
          <w:lang w:val="en-IE"/>
        </w:rPr>
        <w:t xml:space="preserve">. </w:t>
      </w:r>
    </w:p>
    <w:p w:rsidR="002A59CD" w:rsidRDefault="002A59CD" w:rsidP="00AC6F4F">
      <w:pPr>
        <w:pStyle w:val="ManualConsidrant"/>
        <w:rPr>
          <w:noProof/>
        </w:rPr>
      </w:pPr>
      <w:r>
        <w:rPr>
          <w:noProof/>
        </w:rPr>
        <w:t>(2)</w:t>
      </w:r>
      <w:r>
        <w:rPr>
          <w:noProof/>
        </w:rPr>
        <w:tab/>
        <w:t>I</w:t>
      </w:r>
      <w:r w:rsidRPr="00DD14F4">
        <w:rPr>
          <w:noProof/>
        </w:rPr>
        <w:t>n Resolution A/RES/ES-11/1</w:t>
      </w:r>
      <w:r>
        <w:rPr>
          <w:noProof/>
        </w:rPr>
        <w:t xml:space="preserve"> of</w:t>
      </w:r>
      <w:r w:rsidRPr="00DD14F4">
        <w:rPr>
          <w:noProof/>
        </w:rPr>
        <w:t xml:space="preserve"> 2 March 2022, the United Nations General Assembly  </w:t>
      </w:r>
      <w:r>
        <w:rPr>
          <w:noProof/>
        </w:rPr>
        <w:t xml:space="preserve">recognised that the military operations of the Russian Federation inside the sovereign territory of Ukraine were on a scale that the international community had not seen in Europe in decades, </w:t>
      </w:r>
      <w:r w:rsidRPr="00DD14F4">
        <w:rPr>
          <w:noProof/>
        </w:rPr>
        <w:t>deplored in the strongest terms the aggression by the Russian Federation against Ukraine in violation of Article 2(4) of the Charter of the United Nations on the prohibition of the use of force and demanded that the Russian Federation immediately cease its use of force against Ukraine</w:t>
      </w:r>
      <w:r>
        <w:rPr>
          <w:noProof/>
        </w:rPr>
        <w:t xml:space="preserve"> and </w:t>
      </w:r>
      <w:r w:rsidRPr="000133BD">
        <w:rPr>
          <w:noProof/>
        </w:rPr>
        <w:t>immediately, completely and unconditionally withdraw all of its military forces from the territory of Ukraine</w:t>
      </w:r>
      <w:r>
        <w:rPr>
          <w:noProof/>
        </w:rPr>
        <w:t xml:space="preserve"> within its internationally recognized borders</w:t>
      </w:r>
      <w:r>
        <w:rPr>
          <w:rStyle w:val="FootnoteReference"/>
          <w:noProof/>
        </w:rPr>
        <w:footnoteReference w:id="28"/>
      </w:r>
      <w:r>
        <w:rPr>
          <w:noProof/>
        </w:rPr>
        <w:t>.</w:t>
      </w:r>
    </w:p>
    <w:p w:rsidR="00AC6F4F" w:rsidRPr="00AC6F4F" w:rsidRDefault="00AC6F4F" w:rsidP="00AC6F4F">
      <w:pPr>
        <w:pStyle w:val="ManualConsidrant"/>
        <w:rPr>
          <w:noProof/>
        </w:rPr>
      </w:pPr>
      <w:r>
        <w:rPr>
          <w:noProof/>
        </w:rPr>
        <w:t>(3)</w:t>
      </w:r>
      <w:r>
        <w:rPr>
          <w:noProof/>
        </w:rPr>
        <w:tab/>
      </w:r>
      <w:r w:rsidRPr="00AC6F4F">
        <w:rPr>
          <w:noProof/>
        </w:rPr>
        <w:t>On 2 March 2022, the O</w:t>
      </w:r>
      <w:r>
        <w:rPr>
          <w:noProof/>
        </w:rPr>
        <w:t xml:space="preserve">ffice of the Prosecutor of the International Criminal Court (ICC) </w:t>
      </w:r>
      <w:r w:rsidRPr="00AC6F4F">
        <w:rPr>
          <w:noProof/>
        </w:rPr>
        <w:t xml:space="preserve">announced that he had proceeded to open an investigation into the situation in Ukraine on the basis of the referrals </w:t>
      </w:r>
      <w:r w:rsidR="00B55726">
        <w:rPr>
          <w:noProof/>
        </w:rPr>
        <w:t xml:space="preserve">of that situation </w:t>
      </w:r>
      <w:r w:rsidRPr="00AC6F4F">
        <w:rPr>
          <w:noProof/>
        </w:rPr>
        <w:t xml:space="preserve">received </w:t>
      </w:r>
      <w:r w:rsidR="00B55726">
        <w:rPr>
          <w:noProof/>
        </w:rPr>
        <w:t xml:space="preserve">from 39 States Parties </w:t>
      </w:r>
      <w:r w:rsidR="00194950">
        <w:rPr>
          <w:noProof/>
        </w:rPr>
        <w:t xml:space="preserve">to the ICC </w:t>
      </w:r>
      <w:r w:rsidRPr="00AC6F4F">
        <w:rPr>
          <w:noProof/>
        </w:rPr>
        <w:t xml:space="preserve">and </w:t>
      </w:r>
      <w:r w:rsidR="00B55726">
        <w:rPr>
          <w:noProof/>
        </w:rPr>
        <w:t xml:space="preserve">based </w:t>
      </w:r>
      <w:r w:rsidRPr="00AC6F4F">
        <w:rPr>
          <w:noProof/>
        </w:rPr>
        <w:t>on the finding that there is a reasonable basis to believe that crimes within the jurisdiction of the Court had been committed</w:t>
      </w:r>
      <w:r>
        <w:rPr>
          <w:noProof/>
        </w:rPr>
        <w:t xml:space="preserve">. </w:t>
      </w:r>
      <w:r w:rsidR="00F2211E">
        <w:rPr>
          <w:rFonts w:eastAsia="Times New Roman"/>
          <w:noProof/>
          <w:szCs w:val="24"/>
        </w:rPr>
        <w:t xml:space="preserve">Yet, the jurisdictional regime for the crime of aggression in the Rome Statute currently prevents the ICC from </w:t>
      </w:r>
      <w:r w:rsidR="00F2211E" w:rsidRPr="00DD14F4">
        <w:rPr>
          <w:rFonts w:eastAsia="Times New Roman"/>
          <w:noProof/>
          <w:szCs w:val="24"/>
        </w:rPr>
        <w:t>exercising</w:t>
      </w:r>
      <w:r w:rsidR="00F2211E">
        <w:rPr>
          <w:rFonts w:eastAsia="Times New Roman"/>
          <w:noProof/>
          <w:szCs w:val="24"/>
        </w:rPr>
        <w:t xml:space="preserve"> its</w:t>
      </w:r>
      <w:r w:rsidR="00F2211E" w:rsidRPr="00DD14F4">
        <w:rPr>
          <w:rFonts w:eastAsia="Times New Roman"/>
          <w:noProof/>
          <w:szCs w:val="24"/>
        </w:rPr>
        <w:t xml:space="preserve"> jurisdiction </w:t>
      </w:r>
      <w:r w:rsidR="00F2211E">
        <w:rPr>
          <w:rFonts w:eastAsia="Times New Roman"/>
          <w:noProof/>
          <w:szCs w:val="24"/>
        </w:rPr>
        <w:t xml:space="preserve">with respect to </w:t>
      </w:r>
      <w:r w:rsidR="00F2211E" w:rsidRPr="00DD14F4">
        <w:rPr>
          <w:rFonts w:eastAsia="Times New Roman"/>
          <w:noProof/>
          <w:szCs w:val="24"/>
        </w:rPr>
        <w:t>the crime of aggression</w:t>
      </w:r>
      <w:r w:rsidR="00F2211E">
        <w:rPr>
          <w:rFonts w:eastAsia="Times New Roman"/>
          <w:noProof/>
          <w:szCs w:val="24"/>
        </w:rPr>
        <w:t xml:space="preserve"> in the situation of</w:t>
      </w:r>
      <w:r w:rsidR="00F2211E" w:rsidRPr="00DD14F4">
        <w:rPr>
          <w:rFonts w:eastAsia="Times New Roman"/>
          <w:noProof/>
          <w:szCs w:val="24"/>
        </w:rPr>
        <w:t xml:space="preserve"> Ukraine</w:t>
      </w:r>
      <w:r w:rsidR="00F2211E">
        <w:rPr>
          <w:rFonts w:eastAsia="Times New Roman"/>
          <w:noProof/>
          <w:szCs w:val="24"/>
        </w:rPr>
        <w:t>.</w:t>
      </w:r>
    </w:p>
    <w:p w:rsidR="00AC6F4F" w:rsidRPr="00CE1E66" w:rsidRDefault="00B55726" w:rsidP="39D16BB6">
      <w:pPr>
        <w:pStyle w:val="ManualConsidrant"/>
        <w:rPr>
          <w:noProof/>
          <w:lang w:val="en-IE"/>
        </w:rPr>
      </w:pPr>
      <w:r>
        <w:rPr>
          <w:noProof/>
        </w:rPr>
        <w:t>(4)</w:t>
      </w:r>
      <w:r>
        <w:rPr>
          <w:noProof/>
        </w:rPr>
        <w:tab/>
        <w:t>I</w:t>
      </w:r>
      <w:r w:rsidRPr="00AC6F4F">
        <w:rPr>
          <w:noProof/>
        </w:rPr>
        <w:t>n its conclusions of 20 and 21 October 2022</w:t>
      </w:r>
      <w:r>
        <w:rPr>
          <w:noProof/>
        </w:rPr>
        <w:t>, t</w:t>
      </w:r>
      <w:r w:rsidR="00AC6F4F" w:rsidRPr="00AC6F4F">
        <w:rPr>
          <w:noProof/>
        </w:rPr>
        <w:t>he European Council</w:t>
      </w:r>
      <w:r w:rsidR="00B4537F">
        <w:rPr>
          <w:noProof/>
        </w:rPr>
        <w:t xml:space="preserve"> </w:t>
      </w:r>
      <w:r w:rsidR="00AC6F4F" w:rsidRPr="00AC6F4F">
        <w:rPr>
          <w:noProof/>
        </w:rPr>
        <w:t>invited the High Representative and the Commission to explore options so that full accountability can be ensured, including for the crime of aggression against Ukraine</w:t>
      </w:r>
      <w:r w:rsidR="00F2211E">
        <w:rPr>
          <w:rStyle w:val="FootnoteReference"/>
          <w:noProof/>
        </w:rPr>
        <w:footnoteReference w:id="29"/>
      </w:r>
      <w:r w:rsidR="003B5B4F">
        <w:rPr>
          <w:noProof/>
        </w:rPr>
        <w:t>.</w:t>
      </w:r>
      <w:r w:rsidR="00AC6F4F" w:rsidRPr="00AC6F4F">
        <w:rPr>
          <w:noProof/>
        </w:rPr>
        <w:t xml:space="preserve"> </w:t>
      </w:r>
      <w:r w:rsidR="00F2211E">
        <w:rPr>
          <w:noProof/>
        </w:rPr>
        <w:t xml:space="preserve">In its conclusions </w:t>
      </w:r>
      <w:r w:rsidR="00F2211E">
        <w:rPr>
          <w:noProof/>
        </w:rPr>
        <w:lastRenderedPageBreak/>
        <w:t>of 15 December 2022</w:t>
      </w:r>
      <w:r w:rsidR="003014FE">
        <w:rPr>
          <w:noProof/>
        </w:rPr>
        <w:t xml:space="preserve">, </w:t>
      </w:r>
      <w:r w:rsidR="00F2211E">
        <w:rPr>
          <w:noProof/>
        </w:rPr>
        <w:t>the European Council welcomed and encouraged further efforts to ensure full accountability for war crimes and the other most serious crimes in connection with Russia’s war of aggression against Ukraine, including ways to secure accountability for the crime of aggression. It invited the Commission, the High Representative and the Council to take work forward, in accordance with EU and international law, stressing that the prosecution of the crime of aggression is of concern to the international community as a whole.</w:t>
      </w:r>
      <w:r w:rsidR="00F2211E">
        <w:rPr>
          <w:rStyle w:val="FootnoteReference"/>
          <w:noProof/>
        </w:rPr>
        <w:footnoteReference w:id="30"/>
      </w:r>
    </w:p>
    <w:p w:rsidR="00F2211E" w:rsidRPr="00F2211E" w:rsidRDefault="00F2211E" w:rsidP="003E1088">
      <w:pPr>
        <w:pStyle w:val="ManualConsidrant"/>
        <w:rPr>
          <w:noProof/>
        </w:rPr>
      </w:pPr>
      <w:r>
        <w:rPr>
          <w:noProof/>
        </w:rPr>
        <w:t>(5)</w:t>
      </w:r>
      <w:r>
        <w:rPr>
          <w:noProof/>
        </w:rPr>
        <w:tab/>
      </w:r>
      <w:r>
        <w:rPr>
          <w:rFonts w:eastAsia="Times New Roman"/>
          <w:noProof/>
        </w:rPr>
        <w:t>I</w:t>
      </w:r>
      <w:r w:rsidRPr="00DD14F4">
        <w:rPr>
          <w:rFonts w:eastAsia="Times New Roman"/>
          <w:noProof/>
        </w:rPr>
        <w:t>n Resolution A/RES/ES-11/6</w:t>
      </w:r>
      <w:r>
        <w:rPr>
          <w:rFonts w:eastAsia="Times New Roman"/>
          <w:noProof/>
        </w:rPr>
        <w:t xml:space="preserve"> of</w:t>
      </w:r>
      <w:r w:rsidRPr="00DD14F4">
        <w:rPr>
          <w:rFonts w:eastAsia="Times New Roman"/>
          <w:noProof/>
        </w:rPr>
        <w:t xml:space="preserve"> 23 February 2023, the United Nations</w:t>
      </w:r>
      <w:r>
        <w:rPr>
          <w:rFonts w:eastAsia="Times New Roman"/>
          <w:noProof/>
        </w:rPr>
        <w:t xml:space="preserve"> </w:t>
      </w:r>
      <w:r w:rsidRPr="00DD14F4">
        <w:rPr>
          <w:rFonts w:eastAsia="Times New Roman"/>
          <w:noProof/>
        </w:rPr>
        <w:t>General Assembly emphasised the need to ensure accountability for the most serious crimes under international law committed on the territory of Ukraine through appropriate, fair and independent investigations and prosecutions at the national or international level and ensure justice for all victims and the prevention of future crimes</w:t>
      </w:r>
      <w:r>
        <w:rPr>
          <w:rFonts w:eastAsia="Times New Roman"/>
          <w:noProof/>
        </w:rPr>
        <w:t>.</w:t>
      </w:r>
      <w:r>
        <w:rPr>
          <w:rStyle w:val="FootnoteReference"/>
          <w:rFonts w:eastAsia="Times New Roman"/>
          <w:noProof/>
        </w:rPr>
        <w:footnoteReference w:id="31"/>
      </w:r>
    </w:p>
    <w:p w:rsidR="003E1088" w:rsidRPr="00AB57E6" w:rsidRDefault="00A649E6" w:rsidP="003E1088">
      <w:pPr>
        <w:pStyle w:val="ManualConsidrant"/>
        <w:rPr>
          <w:noProof/>
        </w:rPr>
      </w:pPr>
      <w:r>
        <w:rPr>
          <w:noProof/>
        </w:rPr>
        <w:t>(6)</w:t>
      </w:r>
      <w:r>
        <w:rPr>
          <w:noProof/>
        </w:rPr>
        <w:tab/>
      </w:r>
      <w:r w:rsidRPr="00AB57E6">
        <w:rPr>
          <w:noProof/>
          <w:lang w:val="en-IE"/>
        </w:rPr>
        <w:t>Since January 2023,</w:t>
      </w:r>
      <w:r w:rsidR="00AC6F4F" w:rsidRPr="00AC6F4F">
        <w:rPr>
          <w:noProof/>
        </w:rPr>
        <w:t xml:space="preserve"> representatives of around 40 States, the European Commission’s services and the European External Action Service as well as the Council of Europe</w:t>
      </w:r>
      <w:r w:rsidR="00AC6F4F">
        <w:rPr>
          <w:noProof/>
        </w:rPr>
        <w:t xml:space="preserve"> </w:t>
      </w:r>
      <w:r w:rsidR="00123116">
        <w:rPr>
          <w:noProof/>
        </w:rPr>
        <w:t>met</w:t>
      </w:r>
      <w:r w:rsidR="00AC6F4F">
        <w:rPr>
          <w:noProof/>
        </w:rPr>
        <w:t xml:space="preserve"> within the context of</w:t>
      </w:r>
      <w:r w:rsidR="00AC6F4F" w:rsidRPr="00AC6F4F">
        <w:rPr>
          <w:noProof/>
        </w:rPr>
        <w:t xml:space="preserve"> </w:t>
      </w:r>
      <w:r w:rsidR="00AC6F4F">
        <w:rPr>
          <w:noProof/>
        </w:rPr>
        <w:t>the Core Group on the Establishment of a Special Tribunal for the Crime of Aggression against Ukraine (</w:t>
      </w:r>
      <w:r w:rsidR="00194950">
        <w:rPr>
          <w:noProof/>
        </w:rPr>
        <w:t>‘</w:t>
      </w:r>
      <w:r w:rsidR="00AC6F4F">
        <w:rPr>
          <w:noProof/>
        </w:rPr>
        <w:t>Core Group</w:t>
      </w:r>
      <w:r w:rsidR="00194950">
        <w:rPr>
          <w:noProof/>
        </w:rPr>
        <w:t>’</w:t>
      </w:r>
      <w:r w:rsidR="00AC6F4F">
        <w:rPr>
          <w:noProof/>
        </w:rPr>
        <w:t xml:space="preserve">) </w:t>
      </w:r>
      <w:r w:rsidR="00B64203">
        <w:rPr>
          <w:noProof/>
        </w:rPr>
        <w:t>and</w:t>
      </w:r>
      <w:r w:rsidR="00AC6F4F">
        <w:rPr>
          <w:noProof/>
        </w:rPr>
        <w:t xml:space="preserve"> discuss</w:t>
      </w:r>
      <w:r w:rsidR="00B64203">
        <w:rPr>
          <w:noProof/>
        </w:rPr>
        <w:t>ed</w:t>
      </w:r>
      <w:r w:rsidR="00AC6F4F">
        <w:rPr>
          <w:noProof/>
        </w:rPr>
        <w:t xml:space="preserve"> the modalities </w:t>
      </w:r>
      <w:r w:rsidR="00AC6F4F" w:rsidRPr="00CE1E66">
        <w:rPr>
          <w:noProof/>
        </w:rPr>
        <w:t>f</w:t>
      </w:r>
      <w:r w:rsidR="00F80511" w:rsidRPr="00CE1E66">
        <w:rPr>
          <w:noProof/>
        </w:rPr>
        <w:t>or</w:t>
      </w:r>
      <w:r w:rsidR="00AC6F4F">
        <w:rPr>
          <w:noProof/>
        </w:rPr>
        <w:t xml:space="preserve"> establishing a Special Tribunal with the power to investigate, prosecute, and try persons who bear the greatest responsibility for the crime of aggression against Ukraine</w:t>
      </w:r>
      <w:r w:rsidR="003B5B4F">
        <w:rPr>
          <w:noProof/>
        </w:rPr>
        <w:t>.</w:t>
      </w:r>
      <w:r w:rsidR="003E1088" w:rsidRPr="00AB57E6">
        <w:rPr>
          <w:noProof/>
          <w:lang w:val="en-IE"/>
        </w:rPr>
        <w:t xml:space="preserve"> </w:t>
      </w:r>
    </w:p>
    <w:p w:rsidR="00C25F36" w:rsidRPr="00C25F36" w:rsidRDefault="001E5729" w:rsidP="00C25F36">
      <w:pPr>
        <w:pStyle w:val="ManualConsidrant"/>
        <w:rPr>
          <w:noProof/>
          <w:szCs w:val="24"/>
        </w:rPr>
      </w:pPr>
      <w:r>
        <w:rPr>
          <w:noProof/>
        </w:rPr>
        <w:t>(7)</w:t>
      </w:r>
      <w:r>
        <w:rPr>
          <w:noProof/>
        </w:rPr>
        <w:tab/>
        <w:t>O</w:t>
      </w:r>
      <w:r w:rsidR="00A649E6" w:rsidRPr="00AB57E6">
        <w:rPr>
          <w:noProof/>
        </w:rPr>
        <w:t xml:space="preserve">n 3 July 2023, </w:t>
      </w:r>
      <w:r w:rsidR="00E27D5C" w:rsidRPr="00AB57E6">
        <w:rPr>
          <w:noProof/>
        </w:rPr>
        <w:t xml:space="preserve">the International Centre for the Prosecution of the Crime of Aggression against Ukraine (ICPA) </w:t>
      </w:r>
      <w:r w:rsidR="00605C42" w:rsidRPr="00AB57E6">
        <w:rPr>
          <w:noProof/>
        </w:rPr>
        <w:t xml:space="preserve">was launched </w:t>
      </w:r>
      <w:r w:rsidR="00E27D5C" w:rsidRPr="00AB57E6">
        <w:rPr>
          <w:noProof/>
        </w:rPr>
        <w:t>at</w:t>
      </w:r>
      <w:r w:rsidR="00764A3B" w:rsidRPr="00AB57E6">
        <w:rPr>
          <w:noProof/>
        </w:rPr>
        <w:t xml:space="preserve"> the European Union Agency for Criminal Justice Cooperation (Eurojust)</w:t>
      </w:r>
      <w:r w:rsidR="00E27D5C" w:rsidRPr="00AB57E6">
        <w:rPr>
          <w:noProof/>
        </w:rPr>
        <w:t xml:space="preserve"> </w:t>
      </w:r>
      <w:r w:rsidR="00605C42" w:rsidRPr="00AB57E6">
        <w:rPr>
          <w:noProof/>
        </w:rPr>
        <w:t xml:space="preserve">in The Hague, for </w:t>
      </w:r>
      <w:r w:rsidR="00764A3B" w:rsidRPr="00AB57E6">
        <w:rPr>
          <w:noProof/>
        </w:rPr>
        <w:t>the cooperation and coordination of national investigation efforts in ensuring an appropriate investigation of the crime of aggression against Ukraine</w:t>
      </w:r>
      <w:r>
        <w:rPr>
          <w:noProof/>
        </w:rPr>
        <w:t>,</w:t>
      </w:r>
      <w:r w:rsidR="00CF6109">
        <w:rPr>
          <w:noProof/>
        </w:rPr>
        <w:t xml:space="preserve"> supported by Eurojust’s enhanced capacities </w:t>
      </w:r>
      <w:r w:rsidR="0048781C">
        <w:rPr>
          <w:noProof/>
        </w:rPr>
        <w:t>on the basis</w:t>
      </w:r>
      <w:r w:rsidR="00926B56">
        <w:rPr>
          <w:noProof/>
        </w:rPr>
        <w:t xml:space="preserve"> o</w:t>
      </w:r>
      <w:r w:rsidR="0048781C">
        <w:rPr>
          <w:noProof/>
        </w:rPr>
        <w:t>f</w:t>
      </w:r>
      <w:r w:rsidR="00926B56">
        <w:rPr>
          <w:noProof/>
        </w:rPr>
        <w:t xml:space="preserve"> </w:t>
      </w:r>
      <w:r w:rsidR="00732BE6" w:rsidRPr="00654023">
        <w:rPr>
          <w:rFonts w:eastAsia="Times New Roman"/>
          <w:noProof/>
        </w:rPr>
        <w:t>Regulation (EU) 2022/838</w:t>
      </w:r>
      <w:r w:rsidR="006825AA">
        <w:rPr>
          <w:rStyle w:val="FootnoteReference"/>
          <w:rFonts w:eastAsia="Times New Roman"/>
          <w:noProof/>
        </w:rPr>
        <w:footnoteReference w:id="32"/>
      </w:r>
      <w:r w:rsidR="00732BE6" w:rsidRPr="00654023">
        <w:rPr>
          <w:rFonts w:eastAsia="Times New Roman"/>
          <w:noProof/>
        </w:rPr>
        <w:t xml:space="preserve"> enabling Eurojust to preserve, analyse and store evidence relating to genocide, crimes against humanity, war crimes and related criminal offences</w:t>
      </w:r>
      <w:r w:rsidR="003B5B4F">
        <w:rPr>
          <w:rFonts w:eastAsia="Times New Roman"/>
          <w:noProof/>
        </w:rPr>
        <w:t>.</w:t>
      </w:r>
      <w:r w:rsidR="00C25F36" w:rsidRPr="00C25F36">
        <w:rPr>
          <w:noProof/>
        </w:rPr>
        <w:t xml:space="preserve"> </w:t>
      </w:r>
    </w:p>
    <w:p w:rsidR="003014FE" w:rsidRPr="001E7ABA" w:rsidRDefault="00C25F36" w:rsidP="001E7ABA">
      <w:pPr>
        <w:pStyle w:val="ManualConsidrant"/>
        <w:rPr>
          <w:noProof/>
          <w:szCs w:val="24"/>
        </w:rPr>
      </w:pPr>
      <w:r>
        <w:rPr>
          <w:noProof/>
        </w:rPr>
        <w:t>(8)</w:t>
      </w:r>
      <w:r>
        <w:rPr>
          <w:noProof/>
        </w:rPr>
        <w:tab/>
        <w:t xml:space="preserve">In its conclusions of June, October and December 2023, </w:t>
      </w:r>
      <w:r w:rsidRPr="009E0034">
        <w:rPr>
          <w:noProof/>
        </w:rPr>
        <w:t>the European Council reiterated its support for the establishment of the Special Tribunal.</w:t>
      </w:r>
      <w:r w:rsidRPr="004915D8">
        <w:rPr>
          <w:rStyle w:val="FootnoteReference"/>
          <w:noProof/>
        </w:rPr>
        <w:footnoteReference w:id="33"/>
      </w:r>
      <w:r w:rsidRPr="009E0034">
        <w:rPr>
          <w:noProof/>
        </w:rPr>
        <w:t xml:space="preserve"> </w:t>
      </w:r>
      <w:r>
        <w:rPr>
          <w:noProof/>
        </w:rPr>
        <w:t>In</w:t>
      </w:r>
      <w:r w:rsidR="00052DB6">
        <w:rPr>
          <w:noProof/>
        </w:rPr>
        <w:t xml:space="preserve"> its conclusions of</w:t>
      </w:r>
      <w:r>
        <w:rPr>
          <w:noProof/>
        </w:rPr>
        <w:t xml:space="preserve"> </w:t>
      </w:r>
      <w:r w:rsidRPr="009E0034">
        <w:rPr>
          <w:noProof/>
        </w:rPr>
        <w:t xml:space="preserve">March 2024, </w:t>
      </w:r>
      <w:r w:rsidR="00194950">
        <w:rPr>
          <w:noProof/>
        </w:rPr>
        <w:t xml:space="preserve">the European Council </w:t>
      </w:r>
      <w:r w:rsidRPr="009E0034">
        <w:rPr>
          <w:noProof/>
        </w:rPr>
        <w:t>stated</w:t>
      </w:r>
      <w:r w:rsidR="00194950">
        <w:rPr>
          <w:noProof/>
        </w:rPr>
        <w:t xml:space="preserve"> that</w:t>
      </w:r>
      <w:r w:rsidRPr="009E0034">
        <w:rPr>
          <w:noProof/>
        </w:rPr>
        <w:t xml:space="preserve"> </w:t>
      </w:r>
      <w:r w:rsidR="00194950">
        <w:rPr>
          <w:noProof/>
        </w:rPr>
        <w:t xml:space="preserve">the </w:t>
      </w:r>
      <w:r w:rsidRPr="009E0034">
        <w:rPr>
          <w:noProof/>
        </w:rPr>
        <w:t>Russia</w:t>
      </w:r>
      <w:r w:rsidR="00194950">
        <w:rPr>
          <w:noProof/>
        </w:rPr>
        <w:t>n Federation</w:t>
      </w:r>
      <w:r w:rsidRPr="009E0034">
        <w:rPr>
          <w:noProof/>
        </w:rPr>
        <w:t xml:space="preserve"> and its leadership must be held fully accountable for waging a war of aggression against Ukraine and for other most serious crimes under international law, as well as for the massive damage caused by its war. The European Council support</w:t>
      </w:r>
      <w:r w:rsidR="00194950">
        <w:rPr>
          <w:noProof/>
        </w:rPr>
        <w:t>ed</w:t>
      </w:r>
      <w:r w:rsidRPr="009E0034">
        <w:rPr>
          <w:noProof/>
        </w:rPr>
        <w:t xml:space="preserve"> </w:t>
      </w:r>
      <w:r w:rsidR="00194950">
        <w:rPr>
          <w:noProof/>
        </w:rPr>
        <w:t xml:space="preserve">the </w:t>
      </w:r>
      <w:r w:rsidRPr="009E0034">
        <w:rPr>
          <w:noProof/>
        </w:rPr>
        <w:t>efforts, including in the Core Group, to establish a tribunal for the prosecution of the crime of aggression against Ukraine that would enjoy the broadest cross-regional support and legitimacy.</w:t>
      </w:r>
      <w:r w:rsidRPr="004915D8">
        <w:rPr>
          <w:rStyle w:val="FootnoteReference"/>
          <w:noProof/>
        </w:rPr>
        <w:footnoteReference w:id="34"/>
      </w:r>
    </w:p>
    <w:p w:rsidR="00CE1E66" w:rsidRPr="00CE1E66" w:rsidRDefault="00123116" w:rsidP="00CE1E66">
      <w:pPr>
        <w:pStyle w:val="ManualConsidrant"/>
        <w:rPr>
          <w:noProof/>
          <w:szCs w:val="24"/>
        </w:rPr>
      </w:pPr>
      <w:r>
        <w:rPr>
          <w:noProof/>
        </w:rPr>
        <w:lastRenderedPageBreak/>
        <w:t>(9)</w:t>
      </w:r>
      <w:r>
        <w:rPr>
          <w:noProof/>
        </w:rPr>
        <w:tab/>
        <w:t>On 21 March 2025, the Core Group concluded its work at technical level on the draft legal instruments necessary to establish the Special Tribunal, namely the Agreement between Ukraine and the Council of Europe on the establishment of the Special Tribunal, the Statute of the Special Tribunal annexed to th</w:t>
      </w:r>
      <w:r w:rsidR="00B64203">
        <w:rPr>
          <w:noProof/>
        </w:rPr>
        <w:t>at</w:t>
      </w:r>
      <w:r>
        <w:rPr>
          <w:noProof/>
        </w:rPr>
        <w:t xml:space="preserve"> Agreement, and the Enlarged Partial Agreement on the Management Committee of the Special Tribunal</w:t>
      </w:r>
      <w:r w:rsidR="00B64203">
        <w:rPr>
          <w:noProof/>
        </w:rPr>
        <w:t xml:space="preserve"> </w:t>
      </w:r>
      <w:r w:rsidR="00B64203">
        <w:rPr>
          <w:rFonts w:eastAsia="Times New Roman"/>
          <w:noProof/>
        </w:rPr>
        <w:t>(EPA)</w:t>
      </w:r>
      <w:r>
        <w:rPr>
          <w:noProof/>
        </w:rPr>
        <w:t xml:space="preserve">. </w:t>
      </w:r>
    </w:p>
    <w:p w:rsidR="006910BE" w:rsidRPr="000E7A7F" w:rsidRDefault="00123116" w:rsidP="00D72F77">
      <w:pPr>
        <w:pStyle w:val="ManualConsidrant"/>
        <w:rPr>
          <w:noProof/>
          <w:szCs w:val="24"/>
        </w:rPr>
      </w:pPr>
      <w:r>
        <w:rPr>
          <w:noProof/>
        </w:rPr>
        <w:t>(10)</w:t>
      </w:r>
      <w:r>
        <w:rPr>
          <w:noProof/>
        </w:rPr>
        <w:tab/>
      </w:r>
      <w:r w:rsidRPr="00123116">
        <w:rPr>
          <w:noProof/>
        </w:rPr>
        <w:t xml:space="preserve">On 9 May 2025, </w:t>
      </w:r>
      <w:r w:rsidR="00194950">
        <w:rPr>
          <w:noProof/>
        </w:rPr>
        <w:t xml:space="preserve">the </w:t>
      </w:r>
      <w:r w:rsidRPr="00123116">
        <w:rPr>
          <w:noProof/>
        </w:rPr>
        <w:t xml:space="preserve">Ministers for Foreign Affairs and other representatives of participants in the Core Group convened in Lviv and adopted the “Lviv Statement” where they </w:t>
      </w:r>
      <w:r w:rsidR="000107EF">
        <w:rPr>
          <w:noProof/>
        </w:rPr>
        <w:t xml:space="preserve">reaffirmed their </w:t>
      </w:r>
      <w:r w:rsidRPr="00123116">
        <w:rPr>
          <w:noProof/>
        </w:rPr>
        <w:t>commit</w:t>
      </w:r>
      <w:r w:rsidR="000107EF">
        <w:rPr>
          <w:noProof/>
        </w:rPr>
        <w:t>ment</w:t>
      </w:r>
      <w:r w:rsidRPr="00123116">
        <w:rPr>
          <w:noProof/>
        </w:rPr>
        <w:t xml:space="preserve"> to the process of establishing the Special Tribunal within the framework of the Council of Europe, to the swift commencement of its operation, </w:t>
      </w:r>
      <w:r w:rsidRPr="000E7A7F">
        <w:rPr>
          <w:noProof/>
        </w:rPr>
        <w:t>and to supporting its effective functioning</w:t>
      </w:r>
      <w:r w:rsidR="00052DB6">
        <w:rPr>
          <w:rStyle w:val="FootnoteReference"/>
          <w:noProof/>
        </w:rPr>
        <w:footnoteReference w:id="35"/>
      </w:r>
      <w:r w:rsidR="003B5B4F" w:rsidRPr="000E7A7F">
        <w:rPr>
          <w:noProof/>
        </w:rPr>
        <w:t>.</w:t>
      </w:r>
    </w:p>
    <w:p w:rsidR="00123116" w:rsidRPr="000E7A7F" w:rsidRDefault="00123116" w:rsidP="00123116">
      <w:pPr>
        <w:pStyle w:val="ManualConsidrant"/>
        <w:rPr>
          <w:noProof/>
        </w:rPr>
      </w:pPr>
      <w:r>
        <w:rPr>
          <w:noProof/>
        </w:rPr>
        <w:t>(11)</w:t>
      </w:r>
      <w:r>
        <w:rPr>
          <w:noProof/>
        </w:rPr>
        <w:tab/>
      </w:r>
      <w:r w:rsidRPr="000E7A7F">
        <w:rPr>
          <w:noProof/>
        </w:rPr>
        <w:t xml:space="preserve">On 24 June 2025, the Committee of Ministers of the Council of Europe adopted the </w:t>
      </w:r>
      <w:r w:rsidR="000E7A7F" w:rsidRPr="000E7A7F">
        <w:rPr>
          <w:noProof/>
        </w:rPr>
        <w:t>D</w:t>
      </w:r>
      <w:r w:rsidRPr="000E7A7F">
        <w:rPr>
          <w:noProof/>
        </w:rPr>
        <w:t xml:space="preserve">ecisions to authorise the </w:t>
      </w:r>
      <w:r w:rsidR="00C96038" w:rsidRPr="000E7A7F">
        <w:rPr>
          <w:noProof/>
        </w:rPr>
        <w:t>Secretary-General of the Council of Europe</w:t>
      </w:r>
      <w:r w:rsidRPr="000E7A7F">
        <w:rPr>
          <w:noProof/>
        </w:rPr>
        <w:t xml:space="preserve"> to sign</w:t>
      </w:r>
      <w:r w:rsidR="00194950" w:rsidRPr="000E7A7F">
        <w:rPr>
          <w:noProof/>
        </w:rPr>
        <w:t>, on behalf of the Council of Europe</w:t>
      </w:r>
      <w:r w:rsidR="00194950">
        <w:rPr>
          <w:noProof/>
        </w:rPr>
        <w:t>,</w:t>
      </w:r>
      <w:r w:rsidRPr="000E7A7F">
        <w:rPr>
          <w:noProof/>
        </w:rPr>
        <w:t xml:space="preserve"> the Agreement between the Council of Europe and Ukraine on the Establishment of the Special Tribunal for the Crime of Aggression against Ukraine, to which the Statute of the Special Tribunal is annexed</w:t>
      </w:r>
      <w:r w:rsidR="00F55D37">
        <w:rPr>
          <w:rStyle w:val="FootnoteReference"/>
          <w:noProof/>
        </w:rPr>
        <w:footnoteReference w:id="36"/>
      </w:r>
      <w:r w:rsidR="000107EF" w:rsidRPr="000E7A7F">
        <w:rPr>
          <w:noProof/>
        </w:rPr>
        <w:t>. Moreover</w:t>
      </w:r>
      <w:r w:rsidR="00C96038" w:rsidRPr="000E7A7F">
        <w:rPr>
          <w:noProof/>
        </w:rPr>
        <w:t>,</w:t>
      </w:r>
      <w:r w:rsidR="000107EF" w:rsidRPr="000E7A7F">
        <w:rPr>
          <w:noProof/>
        </w:rPr>
        <w:t xml:space="preserve"> the Committee of Ministers authorised</w:t>
      </w:r>
      <w:r w:rsidRPr="000E7A7F">
        <w:rPr>
          <w:noProof/>
        </w:rPr>
        <w:t xml:space="preserve"> </w:t>
      </w:r>
      <w:r w:rsidR="00C96038" w:rsidRPr="000E7A7F">
        <w:rPr>
          <w:noProof/>
        </w:rPr>
        <w:t xml:space="preserve">the </w:t>
      </w:r>
      <w:r w:rsidRPr="000E7A7F">
        <w:rPr>
          <w:noProof/>
        </w:rPr>
        <w:t>establish</w:t>
      </w:r>
      <w:r w:rsidR="00C96038" w:rsidRPr="000E7A7F">
        <w:rPr>
          <w:noProof/>
        </w:rPr>
        <w:t>ment</w:t>
      </w:r>
      <w:r w:rsidRPr="000E7A7F">
        <w:rPr>
          <w:noProof/>
        </w:rPr>
        <w:t xml:space="preserve"> </w:t>
      </w:r>
      <w:r w:rsidR="000107EF" w:rsidRPr="000E7A7F">
        <w:rPr>
          <w:noProof/>
        </w:rPr>
        <w:t>of an EPA on the</w:t>
      </w:r>
      <w:r w:rsidR="00C96038" w:rsidRPr="000E7A7F">
        <w:rPr>
          <w:noProof/>
        </w:rPr>
        <w:t xml:space="preserve"> Management Committee of the Special Tribunal for the Crime of Aggression against Ukraine</w:t>
      </w:r>
      <w:r w:rsidRPr="000E7A7F">
        <w:rPr>
          <w:noProof/>
        </w:rPr>
        <w:t xml:space="preserve">. </w:t>
      </w:r>
    </w:p>
    <w:p w:rsidR="00123116" w:rsidRPr="000E7A7F" w:rsidRDefault="00123116" w:rsidP="00123116">
      <w:pPr>
        <w:pStyle w:val="ManualConsidrant"/>
        <w:rPr>
          <w:noProof/>
        </w:rPr>
      </w:pPr>
      <w:r>
        <w:rPr>
          <w:noProof/>
        </w:rPr>
        <w:t>(12)</w:t>
      </w:r>
      <w:r>
        <w:rPr>
          <w:noProof/>
        </w:rPr>
        <w:tab/>
      </w:r>
      <w:r w:rsidRPr="000E7A7F">
        <w:rPr>
          <w:noProof/>
        </w:rPr>
        <w:t xml:space="preserve">On 25 June 2025, </w:t>
      </w:r>
      <w:r w:rsidR="000107EF" w:rsidRPr="000E7A7F">
        <w:rPr>
          <w:noProof/>
        </w:rPr>
        <w:t>the</w:t>
      </w:r>
      <w:r w:rsidRPr="000E7A7F">
        <w:rPr>
          <w:noProof/>
        </w:rPr>
        <w:t xml:space="preserve"> President </w:t>
      </w:r>
      <w:r w:rsidR="000107EF" w:rsidRPr="000E7A7F">
        <w:rPr>
          <w:noProof/>
        </w:rPr>
        <w:t xml:space="preserve">of Ukraine </w:t>
      </w:r>
      <w:r w:rsidRPr="000E7A7F">
        <w:rPr>
          <w:noProof/>
        </w:rPr>
        <w:t xml:space="preserve">and the Secretary-General of the Council of Europe signed the Agreement </w:t>
      </w:r>
      <w:r w:rsidR="000107EF" w:rsidRPr="000E7A7F">
        <w:rPr>
          <w:noProof/>
        </w:rPr>
        <w:t xml:space="preserve">between Ukraine and the Council of Europe </w:t>
      </w:r>
      <w:r w:rsidRPr="000E7A7F">
        <w:rPr>
          <w:noProof/>
        </w:rPr>
        <w:t>on the establishment of the Special Tribunal</w:t>
      </w:r>
      <w:r w:rsidR="004221E3">
        <w:rPr>
          <w:rStyle w:val="FootnoteReference"/>
          <w:noProof/>
        </w:rPr>
        <w:footnoteReference w:id="37"/>
      </w:r>
      <w:r w:rsidRPr="000E7A7F">
        <w:rPr>
          <w:noProof/>
        </w:rPr>
        <w:t>.</w:t>
      </w:r>
    </w:p>
    <w:p w:rsidR="00F55D37" w:rsidRPr="00F55D37" w:rsidRDefault="000E7A7F" w:rsidP="00F55D37">
      <w:pPr>
        <w:pStyle w:val="ManualConsidrant"/>
        <w:rPr>
          <w:noProof/>
        </w:rPr>
      </w:pPr>
      <w:r>
        <w:rPr>
          <w:noProof/>
        </w:rPr>
        <w:t>(13)</w:t>
      </w:r>
      <w:r>
        <w:rPr>
          <w:noProof/>
        </w:rPr>
        <w:tab/>
      </w:r>
      <w:r>
        <w:rPr>
          <w:rFonts w:eastAsia="Times New Roman"/>
          <w:noProof/>
        </w:rPr>
        <w:t>In accordance with its Statute annexed to the Agreement between Ukraine and the Council of Europe, the</w:t>
      </w:r>
      <w:r w:rsidR="00597835" w:rsidRPr="000E7A7F">
        <w:rPr>
          <w:rFonts w:eastAsia="Times New Roman"/>
          <w:noProof/>
        </w:rPr>
        <w:t xml:space="preserve"> Special Tribunal has the purpose of prosecuting and trying political and military leaders who are responsible for acts of aggression against Ukraine in violation of Article 2(4) of the United Nations Charter. </w:t>
      </w:r>
      <w:r w:rsidR="00A15E45" w:rsidRPr="000E7A7F">
        <w:rPr>
          <w:noProof/>
        </w:rPr>
        <w:t xml:space="preserve">The </w:t>
      </w:r>
      <w:r w:rsidR="00A15E45" w:rsidRPr="000E7A7F">
        <w:rPr>
          <w:rFonts w:eastAsia="Times New Roman"/>
          <w:noProof/>
        </w:rPr>
        <w:t xml:space="preserve">Management Committee of the Special Tribunal to be established by the </w:t>
      </w:r>
      <w:r>
        <w:rPr>
          <w:rFonts w:eastAsia="Times New Roman"/>
          <w:noProof/>
        </w:rPr>
        <w:t xml:space="preserve">Resolution establishing the </w:t>
      </w:r>
      <w:r w:rsidR="00A15E45" w:rsidRPr="000E7A7F">
        <w:rPr>
          <w:rFonts w:eastAsia="Times New Roman"/>
          <w:noProof/>
        </w:rPr>
        <w:t xml:space="preserve">EPA aims </w:t>
      </w:r>
      <w:r>
        <w:rPr>
          <w:rFonts w:eastAsia="Times New Roman"/>
          <w:noProof/>
        </w:rPr>
        <w:t>at</w:t>
      </w:r>
      <w:r w:rsidR="00A15E45" w:rsidRPr="000E7A7F">
        <w:rPr>
          <w:rFonts w:eastAsia="Times New Roman"/>
          <w:noProof/>
        </w:rPr>
        <w:t xml:space="preserve"> provid</w:t>
      </w:r>
      <w:r>
        <w:rPr>
          <w:rFonts w:eastAsia="Times New Roman"/>
          <w:noProof/>
        </w:rPr>
        <w:t>ing</w:t>
      </w:r>
      <w:r w:rsidR="00A15E45" w:rsidRPr="000E7A7F">
        <w:rPr>
          <w:rFonts w:eastAsia="Times New Roman"/>
          <w:noProof/>
        </w:rPr>
        <w:t xml:space="preserve"> </w:t>
      </w:r>
      <w:r>
        <w:rPr>
          <w:rFonts w:eastAsia="Times New Roman"/>
          <w:noProof/>
        </w:rPr>
        <w:t xml:space="preserve">the </w:t>
      </w:r>
      <w:r w:rsidR="00A15E45" w:rsidRPr="000E7A7F">
        <w:rPr>
          <w:rFonts w:eastAsia="Times New Roman"/>
          <w:noProof/>
        </w:rPr>
        <w:t>financ</w:t>
      </w:r>
      <w:r>
        <w:rPr>
          <w:rFonts w:eastAsia="Times New Roman"/>
          <w:noProof/>
        </w:rPr>
        <w:t>ial means</w:t>
      </w:r>
      <w:r w:rsidR="00A15E45" w:rsidRPr="000E7A7F">
        <w:rPr>
          <w:rFonts w:eastAsia="Times New Roman"/>
          <w:noProof/>
        </w:rPr>
        <w:t xml:space="preserve"> for the Special Tribunal and </w:t>
      </w:r>
      <w:r>
        <w:rPr>
          <w:rFonts w:eastAsia="Times New Roman"/>
          <w:noProof/>
        </w:rPr>
        <w:t>at</w:t>
      </w:r>
      <w:r w:rsidR="00A15E45" w:rsidRPr="000E7A7F">
        <w:rPr>
          <w:rFonts w:eastAsia="Times New Roman"/>
          <w:noProof/>
        </w:rPr>
        <w:t xml:space="preserve"> support</w:t>
      </w:r>
      <w:r>
        <w:rPr>
          <w:rFonts w:eastAsia="Times New Roman"/>
          <w:noProof/>
        </w:rPr>
        <w:t>ing</w:t>
      </w:r>
      <w:r w:rsidR="00A15E45" w:rsidRPr="000E7A7F">
        <w:rPr>
          <w:rFonts w:eastAsia="Times New Roman"/>
          <w:noProof/>
        </w:rPr>
        <w:t xml:space="preserve"> other administrative and managerial aspects of its operation, with a view to enabling the Special Tribunal to discharge its mandate</w:t>
      </w:r>
      <w:r w:rsidR="00FC7C89" w:rsidRPr="000E7A7F">
        <w:rPr>
          <w:rFonts w:eastAsia="Times New Roman"/>
          <w:noProof/>
        </w:rPr>
        <w:t>.</w:t>
      </w:r>
    </w:p>
    <w:p w:rsidR="00597835" w:rsidRDefault="00F55D37" w:rsidP="00F55D37">
      <w:pPr>
        <w:pStyle w:val="ManualConsidrant"/>
        <w:rPr>
          <w:noProof/>
        </w:rPr>
      </w:pPr>
      <w:r>
        <w:rPr>
          <w:noProof/>
        </w:rPr>
        <w:t>(14)</w:t>
      </w:r>
      <w:r>
        <w:rPr>
          <w:noProof/>
        </w:rPr>
        <w:tab/>
      </w:r>
      <w:r w:rsidRPr="008E3107">
        <w:rPr>
          <w:noProof/>
        </w:rPr>
        <w:t>On 21 January 2026, the Committee of Ministers of the Council of Europe adopted a Decision welcom</w:t>
      </w:r>
      <w:r>
        <w:rPr>
          <w:noProof/>
        </w:rPr>
        <w:t>ing</w:t>
      </w:r>
      <w:r w:rsidRPr="008E3107">
        <w:rPr>
          <w:noProof/>
        </w:rPr>
        <w:t xml:space="preserve"> the finalisation of the draft Resolution establishing the </w:t>
      </w:r>
      <w:r>
        <w:rPr>
          <w:noProof/>
        </w:rPr>
        <w:t>EPA</w:t>
      </w:r>
      <w:r w:rsidRPr="008E3107">
        <w:rPr>
          <w:noProof/>
        </w:rPr>
        <w:t xml:space="preserve"> on the Management Committee of the Special Tribunal as well as </w:t>
      </w:r>
      <w:r>
        <w:rPr>
          <w:noProof/>
        </w:rPr>
        <w:t xml:space="preserve">the fact </w:t>
      </w:r>
      <w:r w:rsidRPr="008E3107">
        <w:rPr>
          <w:noProof/>
        </w:rPr>
        <w:t xml:space="preserve">that the Advance Team is ready to carry out its tasks as from 1 January 2026, thanks to a voluntary contribution of the </w:t>
      </w:r>
      <w:r w:rsidR="00597835" w:rsidRPr="00597835">
        <w:rPr>
          <w:noProof/>
        </w:rPr>
        <w:t>European Union</w:t>
      </w:r>
      <w:r w:rsidR="00194950">
        <w:rPr>
          <w:rStyle w:val="FootnoteReference"/>
          <w:noProof/>
        </w:rPr>
        <w:footnoteReference w:id="38"/>
      </w:r>
      <w:r w:rsidR="00597835" w:rsidRPr="00597835">
        <w:rPr>
          <w:noProof/>
        </w:rPr>
        <w:t xml:space="preserve">. </w:t>
      </w:r>
      <w:r w:rsidRPr="008E3107">
        <w:rPr>
          <w:noProof/>
        </w:rPr>
        <w:t xml:space="preserve">Accordingly, on </w:t>
      </w:r>
      <w:r w:rsidR="00BA44AB">
        <w:rPr>
          <w:noProof/>
        </w:rPr>
        <w:t>22</w:t>
      </w:r>
      <w:r w:rsidRPr="008E3107">
        <w:rPr>
          <w:noProof/>
        </w:rPr>
        <w:t xml:space="preserve"> January 2026, the Council of Europe and the European Union signed a contribution agreement </w:t>
      </w:r>
      <w:r>
        <w:rPr>
          <w:noProof/>
        </w:rPr>
        <w:t xml:space="preserve">on a contribution </w:t>
      </w:r>
      <w:r w:rsidRPr="008E3107">
        <w:rPr>
          <w:noProof/>
        </w:rPr>
        <w:t>financed through the European Commission</w:t>
      </w:r>
      <w:r>
        <w:rPr>
          <w:noProof/>
        </w:rPr>
        <w:t>’</w:t>
      </w:r>
      <w:r w:rsidRPr="008E3107">
        <w:rPr>
          <w:noProof/>
        </w:rPr>
        <w:t>s Service for Foreign Policy Instruments</w:t>
      </w:r>
      <w:r>
        <w:rPr>
          <w:noProof/>
        </w:rPr>
        <w:t xml:space="preserve">. The agreement provides for a project of up to 24 months </w:t>
      </w:r>
      <w:r w:rsidRPr="008E3107">
        <w:rPr>
          <w:noProof/>
        </w:rPr>
        <w:t>aim</w:t>
      </w:r>
      <w:r>
        <w:rPr>
          <w:noProof/>
        </w:rPr>
        <w:t>ed</w:t>
      </w:r>
      <w:r w:rsidRPr="008E3107">
        <w:rPr>
          <w:noProof/>
        </w:rPr>
        <w:t xml:space="preserve"> </w:t>
      </w:r>
      <w:r>
        <w:rPr>
          <w:noProof/>
        </w:rPr>
        <w:t>at</w:t>
      </w:r>
      <w:r w:rsidRPr="008E3107">
        <w:rPr>
          <w:noProof/>
        </w:rPr>
        <w:t xml:space="preserve"> </w:t>
      </w:r>
      <w:r>
        <w:rPr>
          <w:noProof/>
        </w:rPr>
        <w:t xml:space="preserve">setting </w:t>
      </w:r>
      <w:r>
        <w:rPr>
          <w:noProof/>
        </w:rPr>
        <w:lastRenderedPageBreak/>
        <w:t>up</w:t>
      </w:r>
      <w:r w:rsidRPr="008E3107">
        <w:rPr>
          <w:noProof/>
        </w:rPr>
        <w:t xml:space="preserve"> an Advance </w:t>
      </w:r>
      <w:r>
        <w:rPr>
          <w:noProof/>
        </w:rPr>
        <w:t>T</w:t>
      </w:r>
      <w:r w:rsidRPr="008E3107">
        <w:rPr>
          <w:noProof/>
        </w:rPr>
        <w:t>eam to prepare the institutional, logistical and organisational foundations of the next phases of the Special Tribunal.</w:t>
      </w:r>
    </w:p>
    <w:p w:rsidR="0080445C" w:rsidRPr="00EA3D49" w:rsidRDefault="00A15E45" w:rsidP="00CD79C3">
      <w:pPr>
        <w:pStyle w:val="ManualConsidrant"/>
        <w:rPr>
          <w:noProof/>
        </w:rPr>
      </w:pPr>
      <w:r>
        <w:rPr>
          <w:noProof/>
        </w:rPr>
        <w:t>(15)</w:t>
      </w:r>
      <w:r>
        <w:rPr>
          <w:noProof/>
        </w:rPr>
        <w:tab/>
      </w:r>
      <w:r w:rsidRPr="00F91FB7">
        <w:rPr>
          <w:rFonts w:eastAsia="Times New Roman"/>
          <w:noProof/>
        </w:rPr>
        <w:t>Under Article</w:t>
      </w:r>
      <w:r w:rsidR="00194950">
        <w:rPr>
          <w:rFonts w:eastAsia="Times New Roman"/>
          <w:noProof/>
        </w:rPr>
        <w:t>s</w:t>
      </w:r>
      <w:r w:rsidRPr="00F91FB7">
        <w:rPr>
          <w:rFonts w:eastAsia="Times New Roman"/>
          <w:noProof/>
        </w:rPr>
        <w:t xml:space="preserve"> 3(5) and 21(2) and (3) </w:t>
      </w:r>
      <w:r w:rsidR="00194950">
        <w:rPr>
          <w:rFonts w:eastAsia="Times New Roman"/>
          <w:noProof/>
        </w:rPr>
        <w:t>of the Treaty on European Union (</w:t>
      </w:r>
      <w:r w:rsidRPr="00F91FB7">
        <w:rPr>
          <w:rFonts w:eastAsia="Times New Roman"/>
          <w:noProof/>
        </w:rPr>
        <w:t>TEU</w:t>
      </w:r>
      <w:r w:rsidR="00194950">
        <w:rPr>
          <w:rFonts w:eastAsia="Times New Roman"/>
          <w:noProof/>
        </w:rPr>
        <w:t>)</w:t>
      </w:r>
      <w:r w:rsidRPr="00F91FB7">
        <w:rPr>
          <w:rFonts w:eastAsia="Times New Roman"/>
          <w:noProof/>
        </w:rPr>
        <w:t xml:space="preserve">, the Union is to uphold and promote its values and contribute to the strict observance and the development of international law, including respect for the principles of the United Nations Charter. </w:t>
      </w:r>
    </w:p>
    <w:p w:rsidR="00FC7C89" w:rsidRPr="00EA3D49" w:rsidRDefault="00AE4316" w:rsidP="009C3C9B">
      <w:pPr>
        <w:pStyle w:val="ManualConsidrant"/>
        <w:rPr>
          <w:noProof/>
        </w:rPr>
      </w:pPr>
      <w:r>
        <w:rPr>
          <w:noProof/>
        </w:rPr>
        <w:t>(16)</w:t>
      </w:r>
      <w:r>
        <w:rPr>
          <w:noProof/>
        </w:rPr>
        <w:tab/>
      </w:r>
      <w:r w:rsidRPr="00AE4316">
        <w:rPr>
          <w:rFonts w:eastAsia="Times New Roman"/>
          <w:noProof/>
        </w:rPr>
        <w:t xml:space="preserve">It is therefore appropriate for the Union </w:t>
      </w:r>
      <w:r w:rsidRPr="00AC287A">
        <w:rPr>
          <w:rFonts w:eastAsia="Times New Roman"/>
          <w:noProof/>
        </w:rPr>
        <w:t>to</w:t>
      </w:r>
      <w:r w:rsidR="00BB59B9" w:rsidRPr="00AC287A">
        <w:rPr>
          <w:rFonts w:eastAsia="Times New Roman"/>
          <w:noProof/>
        </w:rPr>
        <w:t xml:space="preserve"> </w:t>
      </w:r>
      <w:r w:rsidR="00F93537">
        <w:rPr>
          <w:rFonts w:eastAsia="Times New Roman"/>
          <w:noProof/>
        </w:rPr>
        <w:t>notify the Secretary-General of the C</w:t>
      </w:r>
      <w:r w:rsidR="009C3C9B">
        <w:rPr>
          <w:rFonts w:eastAsia="Times New Roman"/>
          <w:noProof/>
        </w:rPr>
        <w:t xml:space="preserve">ouncil </w:t>
      </w:r>
      <w:r w:rsidR="00F93537">
        <w:rPr>
          <w:rFonts w:eastAsia="Times New Roman"/>
          <w:noProof/>
        </w:rPr>
        <w:t>of E</w:t>
      </w:r>
      <w:r w:rsidR="009C3C9B">
        <w:rPr>
          <w:rFonts w:eastAsia="Times New Roman"/>
          <w:noProof/>
        </w:rPr>
        <w:t>u</w:t>
      </w:r>
      <w:r w:rsidR="00F93537">
        <w:rPr>
          <w:rFonts w:eastAsia="Times New Roman"/>
          <w:noProof/>
        </w:rPr>
        <w:t>rope</w:t>
      </w:r>
      <w:r w:rsidR="009C3C9B">
        <w:rPr>
          <w:rFonts w:eastAsia="Times New Roman"/>
          <w:noProof/>
        </w:rPr>
        <w:t xml:space="preserve"> of its intention to join the Enlarged Partial Agreement on the Management Committee of the Special Tribunal for the Crime of Aggression against Ukraine (EPA), subject to the completion of internal procedures necessary to express its consent to be bound, and to </w:t>
      </w:r>
      <w:r w:rsidR="00121892">
        <w:rPr>
          <w:noProof/>
        </w:rPr>
        <w:t>participate in the adoption</w:t>
      </w:r>
      <w:r w:rsidR="00BB59B9" w:rsidRPr="00EA3D49">
        <w:rPr>
          <w:noProof/>
        </w:rPr>
        <w:t xml:space="preserve"> of the Committee of Ministers’ Decision adopting Resolution CM/Res(202x)x establishing</w:t>
      </w:r>
      <w:r w:rsidRPr="009C3C9B">
        <w:rPr>
          <w:rFonts w:eastAsia="Times New Roman"/>
          <w:noProof/>
        </w:rPr>
        <w:t xml:space="preserve"> the </w:t>
      </w:r>
      <w:r w:rsidR="009C3C9B">
        <w:rPr>
          <w:noProof/>
        </w:rPr>
        <w:t>EPA.</w:t>
      </w:r>
    </w:p>
    <w:p w:rsidR="00BB59B9" w:rsidRDefault="00BB59B9" w:rsidP="00CD79C3">
      <w:pPr>
        <w:pStyle w:val="ManualConsidrant"/>
        <w:rPr>
          <w:noProof/>
        </w:rPr>
      </w:pPr>
      <w:r>
        <w:rPr>
          <w:noProof/>
        </w:rPr>
        <w:t>(17)</w:t>
      </w:r>
      <w:r>
        <w:rPr>
          <w:noProof/>
        </w:rPr>
        <w:tab/>
      </w:r>
      <w:r w:rsidRPr="00AC287A">
        <w:rPr>
          <w:noProof/>
        </w:rPr>
        <w:t xml:space="preserve">The </w:t>
      </w:r>
      <w:r w:rsidR="003F2BD9">
        <w:rPr>
          <w:noProof/>
        </w:rPr>
        <w:t>participation</w:t>
      </w:r>
      <w:r w:rsidRPr="00EA3D49">
        <w:rPr>
          <w:noProof/>
        </w:rPr>
        <w:t xml:space="preserve">, </w:t>
      </w:r>
      <w:r w:rsidRPr="00AC287A">
        <w:rPr>
          <w:noProof/>
        </w:rPr>
        <w:t>on behalf of the Union</w:t>
      </w:r>
      <w:r w:rsidRPr="00EA3D49">
        <w:rPr>
          <w:noProof/>
        </w:rPr>
        <w:t xml:space="preserve">, </w:t>
      </w:r>
      <w:r w:rsidR="003F2BD9">
        <w:rPr>
          <w:noProof/>
        </w:rPr>
        <w:t xml:space="preserve">in the adoption </w:t>
      </w:r>
      <w:bookmarkStart w:id="7" w:name="_Hlk224543215"/>
      <w:r w:rsidRPr="00EA3D49">
        <w:rPr>
          <w:noProof/>
        </w:rPr>
        <w:t xml:space="preserve">of the Committee of Ministers’ Decision adopting Resolution CM/Res(202x)x establishing the </w:t>
      </w:r>
      <w:r w:rsidRPr="00AC287A">
        <w:rPr>
          <w:noProof/>
        </w:rPr>
        <w:t>EPA</w:t>
      </w:r>
      <w:bookmarkEnd w:id="7"/>
      <w:r w:rsidRPr="00AC287A">
        <w:rPr>
          <w:noProof/>
        </w:rPr>
        <w:t xml:space="preserve">, </w:t>
      </w:r>
      <w:bookmarkStart w:id="8" w:name="_Hlk224543254"/>
      <w:r w:rsidRPr="00EA3D49">
        <w:rPr>
          <w:noProof/>
        </w:rPr>
        <w:t>whilst reserving the notification to the Secretary-General of the Council of Europe of the completion of the internal procedures required for conclusion of the EPA</w:t>
      </w:r>
      <w:r w:rsidRPr="00AC287A">
        <w:rPr>
          <w:noProof/>
        </w:rPr>
        <w:t xml:space="preserve"> equals</w:t>
      </w:r>
      <w:r>
        <w:rPr>
          <w:noProof/>
        </w:rPr>
        <w:t xml:space="preserve"> the signing of the EPA</w:t>
      </w:r>
      <w:r w:rsidR="0040611F">
        <w:rPr>
          <w:noProof/>
        </w:rPr>
        <w:t>,</w:t>
      </w:r>
    </w:p>
    <w:bookmarkEnd w:id="8"/>
    <w:p w:rsidR="004E3DED" w:rsidRDefault="004E3DED" w:rsidP="004915D8">
      <w:pPr>
        <w:rPr>
          <w:noProof/>
        </w:rPr>
      </w:pPr>
    </w:p>
    <w:p w:rsidR="005222B6" w:rsidRPr="00FD40BA" w:rsidRDefault="005222B6" w:rsidP="005222B6">
      <w:pPr>
        <w:pStyle w:val="Formuledadoption"/>
        <w:rPr>
          <w:noProof/>
        </w:rPr>
      </w:pPr>
      <w:r w:rsidRPr="00FD40BA">
        <w:rPr>
          <w:noProof/>
        </w:rPr>
        <w:t xml:space="preserve">HAS ADOPTED THIS DECISION: </w:t>
      </w:r>
    </w:p>
    <w:p w:rsidR="00DE314D" w:rsidRPr="00AC781E" w:rsidRDefault="00DE314D">
      <w:pPr>
        <w:pStyle w:val="Titrearticle"/>
        <w:rPr>
          <w:noProof/>
        </w:rPr>
      </w:pPr>
      <w:r w:rsidRPr="00AC781E">
        <w:rPr>
          <w:noProof/>
        </w:rPr>
        <w:t>Article 1</w:t>
      </w:r>
    </w:p>
    <w:p w:rsidR="004D3BB3" w:rsidRDefault="004D3BB3" w:rsidP="001B04CB">
      <w:pPr>
        <w:rPr>
          <w:noProof/>
        </w:rPr>
      </w:pPr>
      <w:r w:rsidRPr="004D3BB3">
        <w:rPr>
          <w:noProof/>
        </w:rPr>
        <w:t xml:space="preserve">The notification, on behalf of the Union, to the Secretary-General of the Council of Europe of the Union’s intention to join the Enlarged Partial Agreement on the Management Committee of the Special Tribunal for the Crime of Aggression against Ukraine (EPA), whilst reserving the notification of the completion of the internal procedures required for the conclusion of the EPA, </w:t>
      </w:r>
      <w:r>
        <w:rPr>
          <w:noProof/>
        </w:rPr>
        <w:t xml:space="preserve">is hereby authorised. </w:t>
      </w:r>
    </w:p>
    <w:p w:rsidR="00A27002" w:rsidRPr="00AF3FF5" w:rsidRDefault="004D3BB3" w:rsidP="001B04CB">
      <w:pPr>
        <w:rPr>
          <w:i/>
          <w:noProof/>
        </w:rPr>
      </w:pPr>
      <w:r>
        <w:rPr>
          <w:noProof/>
        </w:rPr>
        <w:t>T</w:t>
      </w:r>
      <w:r w:rsidRPr="004D3BB3">
        <w:rPr>
          <w:noProof/>
        </w:rPr>
        <w:t xml:space="preserve">he </w:t>
      </w:r>
      <w:r w:rsidR="003F2BD9">
        <w:rPr>
          <w:noProof/>
        </w:rPr>
        <w:t>participation</w:t>
      </w:r>
      <w:r w:rsidRPr="004D3BB3">
        <w:rPr>
          <w:noProof/>
        </w:rPr>
        <w:t>, on behalf of the Union, in</w:t>
      </w:r>
      <w:r w:rsidR="003F2BD9">
        <w:rPr>
          <w:noProof/>
        </w:rPr>
        <w:t xml:space="preserve"> the adoption of</w:t>
      </w:r>
      <w:r w:rsidRPr="004D3BB3">
        <w:rPr>
          <w:noProof/>
        </w:rPr>
        <w:t xml:space="preserve"> the Decision of the Committee of Ministers of the Council of Europe adopting Resolution CM/Res(202x)x establishing the EPA, </w:t>
      </w:r>
      <w:r>
        <w:rPr>
          <w:noProof/>
        </w:rPr>
        <w:t xml:space="preserve">is </w:t>
      </w:r>
      <w:r w:rsidRPr="004D3BB3">
        <w:rPr>
          <w:noProof/>
        </w:rPr>
        <w:t>hereby authorised.</w:t>
      </w:r>
      <w:r w:rsidR="0033789B">
        <w:rPr>
          <w:rStyle w:val="FootnoteReference"/>
          <w:noProof/>
        </w:rPr>
        <w:footnoteReference w:id="39"/>
      </w:r>
    </w:p>
    <w:p w:rsidR="009B4FE0" w:rsidRDefault="00DE314D" w:rsidP="009E1E22">
      <w:pPr>
        <w:pStyle w:val="Titrearticle"/>
        <w:rPr>
          <w:noProof/>
        </w:rPr>
      </w:pPr>
      <w:r w:rsidRPr="00AC781E">
        <w:rPr>
          <w:noProof/>
        </w:rPr>
        <w:t xml:space="preserve">Article </w:t>
      </w:r>
      <w:r w:rsidR="0A09DBD4" w:rsidRPr="00AC781E">
        <w:rPr>
          <w:noProof/>
        </w:rPr>
        <w:t>2</w:t>
      </w:r>
    </w:p>
    <w:p w:rsidR="00DE314D" w:rsidRPr="00AC781E" w:rsidRDefault="009B4FE0" w:rsidP="009B4FE0">
      <w:pPr>
        <w:rPr>
          <w:noProof/>
        </w:rPr>
      </w:pPr>
      <w:r w:rsidRPr="009B4FE0">
        <w:rPr>
          <w:noProof/>
        </w:rPr>
        <w:t>This Decision shall enter into force on the day of its adoption.</w:t>
      </w:r>
    </w:p>
    <w:p w:rsidR="39D16BB6" w:rsidRPr="00AC781E" w:rsidRDefault="003D6323" w:rsidP="009E1E22">
      <w:pPr>
        <w:pStyle w:val="Fait"/>
        <w:rPr>
          <w:noProof/>
        </w:rPr>
      </w:pPr>
      <w:r>
        <w:rPr>
          <w:noProof/>
        </w:rPr>
        <w:t>Done at Brussels,</w:t>
      </w:r>
    </w:p>
    <w:p w:rsidR="00DE314D" w:rsidRPr="00AC781E" w:rsidRDefault="00DE314D" w:rsidP="009E1E22">
      <w:pPr>
        <w:pStyle w:val="Institutionquisigne"/>
        <w:rPr>
          <w:noProof/>
        </w:rPr>
      </w:pPr>
      <w:r w:rsidRPr="00AC781E">
        <w:rPr>
          <w:noProof/>
        </w:rPr>
        <w:tab/>
        <w:t>For the Council</w:t>
      </w:r>
    </w:p>
    <w:p w:rsidR="00DE314D" w:rsidRPr="00AC781E" w:rsidRDefault="00DE314D" w:rsidP="00DE314D">
      <w:pPr>
        <w:pStyle w:val="Personnequisigne"/>
        <w:rPr>
          <w:noProof/>
        </w:rPr>
      </w:pPr>
      <w:r w:rsidRPr="00AC781E">
        <w:rPr>
          <w:noProof/>
        </w:rPr>
        <w:tab/>
        <w:t>The President</w:t>
      </w:r>
    </w:p>
    <w:p w:rsidR="00DE314D" w:rsidRPr="00AC781E" w:rsidRDefault="00DE314D" w:rsidP="00DE314D">
      <w:pPr>
        <w:rPr>
          <w:noProof/>
        </w:rPr>
        <w:sectPr w:rsidR="00DE314D" w:rsidRPr="00AC781E" w:rsidSect="00185F1C">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DE314D" w:rsidRPr="00AC781E" w:rsidRDefault="00DE314D">
      <w:pPr>
        <w:pStyle w:val="Fichefinanciretitre"/>
        <w:keepNext/>
        <w:rPr>
          <w:noProof/>
        </w:rPr>
      </w:pPr>
      <w:r w:rsidRPr="00AC781E">
        <w:rPr>
          <w:noProof/>
        </w:rPr>
        <w:lastRenderedPageBreak/>
        <w:t>LEGISLATIVE FINANCIAL AND DIGITAL STATEMENT</w:t>
      </w:r>
    </w:p>
    <w:p w:rsidR="00DE314D" w:rsidRPr="00AC781E" w:rsidRDefault="00DE314D">
      <w:pPr>
        <w:pStyle w:val="TOC1"/>
        <w:rPr>
          <w:rFonts w:asciiTheme="minorHAnsi" w:eastAsiaTheme="minorEastAsia" w:hAnsiTheme="minorHAnsi" w:cstheme="minorBidi"/>
          <w:noProof/>
          <w:kern w:val="2"/>
          <w:sz w:val="22"/>
          <w:lang w:eastAsia="en-GB"/>
          <w14:ligatures w14:val="standardContextual"/>
        </w:rPr>
      </w:pPr>
      <w:r w:rsidRPr="00AC781E">
        <w:rPr>
          <w:noProof/>
        </w:rPr>
        <w:t>1.</w:t>
      </w:r>
      <w:r w:rsidRPr="00AC781E">
        <w:rPr>
          <w:rFonts w:asciiTheme="minorHAnsi" w:eastAsiaTheme="minorEastAsia" w:hAnsiTheme="minorHAnsi" w:cstheme="minorBidi"/>
          <w:noProof/>
          <w:kern w:val="2"/>
          <w:sz w:val="22"/>
          <w:lang w:eastAsia="en-GB"/>
          <w14:ligatures w14:val="standardContextual"/>
        </w:rPr>
        <w:tab/>
      </w:r>
      <w:r w:rsidRPr="00AC781E">
        <w:rPr>
          <w:noProof/>
        </w:rPr>
        <w:t>FRAMEWORK OF THE PROPOSAL/INITIATIVE</w:t>
      </w:r>
      <w:r w:rsidRPr="00AC781E">
        <w:rPr>
          <w:noProof/>
          <w:webHidden/>
        </w:rPr>
        <w:tab/>
        <w:t>3</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1.1.</w:t>
      </w:r>
      <w:r w:rsidRPr="00AC781E">
        <w:rPr>
          <w:rFonts w:asciiTheme="minorHAnsi" w:eastAsiaTheme="minorEastAsia" w:hAnsiTheme="minorHAnsi" w:cstheme="minorBidi"/>
          <w:noProof/>
          <w:kern w:val="2"/>
          <w:sz w:val="22"/>
          <w:lang w:eastAsia="en-GB"/>
          <w14:ligatures w14:val="standardContextual"/>
        </w:rPr>
        <w:tab/>
      </w:r>
      <w:r w:rsidRPr="00AC781E">
        <w:rPr>
          <w:noProof/>
        </w:rPr>
        <w:t>Title of the proposal/initiative</w:t>
      </w:r>
      <w:r w:rsidRPr="00AC781E">
        <w:rPr>
          <w:noProof/>
          <w:webHidden/>
        </w:rPr>
        <w:tab/>
        <w:t>3</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1.2.</w:t>
      </w:r>
      <w:r w:rsidRPr="00AC781E">
        <w:rPr>
          <w:rFonts w:asciiTheme="minorHAnsi" w:eastAsiaTheme="minorEastAsia" w:hAnsiTheme="minorHAnsi" w:cstheme="minorBidi"/>
          <w:noProof/>
          <w:kern w:val="2"/>
          <w:sz w:val="22"/>
          <w:lang w:eastAsia="en-GB"/>
          <w14:ligatures w14:val="standardContextual"/>
        </w:rPr>
        <w:tab/>
      </w:r>
      <w:r w:rsidRPr="00AC781E">
        <w:rPr>
          <w:noProof/>
        </w:rPr>
        <w:t>Policy area(s) concerned</w:t>
      </w:r>
      <w:r w:rsidRPr="00AC781E">
        <w:rPr>
          <w:noProof/>
          <w:webHidden/>
        </w:rPr>
        <w:tab/>
        <w:t>3</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1.3.</w:t>
      </w:r>
      <w:r w:rsidRPr="00AC781E">
        <w:rPr>
          <w:rFonts w:asciiTheme="minorHAnsi" w:eastAsiaTheme="minorEastAsia" w:hAnsiTheme="minorHAnsi" w:cstheme="minorBidi"/>
          <w:noProof/>
          <w:kern w:val="2"/>
          <w:sz w:val="22"/>
          <w:lang w:eastAsia="en-GB"/>
          <w14:ligatures w14:val="standardContextual"/>
        </w:rPr>
        <w:tab/>
      </w:r>
      <w:r w:rsidRPr="00AC781E">
        <w:rPr>
          <w:noProof/>
        </w:rPr>
        <w:t>Objective(s)</w:t>
      </w:r>
      <w:r w:rsidRPr="00AC781E">
        <w:rPr>
          <w:noProof/>
          <w:webHidden/>
        </w:rPr>
        <w:tab/>
        <w:t>3</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1.3.1.</w:t>
      </w:r>
      <w:r w:rsidRPr="00AC781E">
        <w:rPr>
          <w:rFonts w:asciiTheme="minorHAnsi" w:eastAsiaTheme="minorEastAsia" w:hAnsiTheme="minorHAnsi" w:cstheme="minorBidi"/>
          <w:noProof/>
          <w:kern w:val="2"/>
          <w:sz w:val="22"/>
          <w:lang w:eastAsia="en-GB"/>
          <w14:ligatures w14:val="standardContextual"/>
        </w:rPr>
        <w:tab/>
      </w:r>
      <w:r w:rsidRPr="00AC781E">
        <w:rPr>
          <w:noProof/>
        </w:rPr>
        <w:t>General objective(s)</w:t>
      </w:r>
      <w:r w:rsidRPr="00AC781E">
        <w:rPr>
          <w:noProof/>
          <w:webHidden/>
        </w:rPr>
        <w:tab/>
        <w:t>3</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1.3.2.</w:t>
      </w:r>
      <w:r w:rsidRPr="00AC781E">
        <w:rPr>
          <w:rFonts w:asciiTheme="minorHAnsi" w:eastAsiaTheme="minorEastAsia" w:hAnsiTheme="minorHAnsi" w:cstheme="minorBidi"/>
          <w:noProof/>
          <w:kern w:val="2"/>
          <w:sz w:val="22"/>
          <w:lang w:eastAsia="en-GB"/>
          <w14:ligatures w14:val="standardContextual"/>
        </w:rPr>
        <w:tab/>
      </w:r>
      <w:r w:rsidRPr="00AC781E">
        <w:rPr>
          <w:noProof/>
        </w:rPr>
        <w:t>Specific objective(s)</w:t>
      </w:r>
      <w:r w:rsidRPr="00AC781E">
        <w:rPr>
          <w:noProof/>
          <w:webHidden/>
        </w:rPr>
        <w:tab/>
        <w:t>3</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1.3.3.</w:t>
      </w:r>
      <w:r w:rsidRPr="00AC781E">
        <w:rPr>
          <w:rFonts w:asciiTheme="minorHAnsi" w:eastAsiaTheme="minorEastAsia" w:hAnsiTheme="minorHAnsi" w:cstheme="minorBidi"/>
          <w:noProof/>
          <w:kern w:val="2"/>
          <w:sz w:val="22"/>
          <w:lang w:eastAsia="en-GB"/>
          <w14:ligatures w14:val="standardContextual"/>
        </w:rPr>
        <w:tab/>
      </w:r>
      <w:r w:rsidRPr="00AC781E">
        <w:rPr>
          <w:noProof/>
        </w:rPr>
        <w:t>Expected result(s) and impact</w:t>
      </w:r>
      <w:r w:rsidRPr="00AC781E">
        <w:rPr>
          <w:noProof/>
          <w:webHidden/>
        </w:rPr>
        <w:tab/>
        <w:t>3</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1.3.4.</w:t>
      </w:r>
      <w:r w:rsidRPr="00AC781E">
        <w:rPr>
          <w:rFonts w:asciiTheme="minorHAnsi" w:eastAsiaTheme="minorEastAsia" w:hAnsiTheme="minorHAnsi" w:cstheme="minorBidi"/>
          <w:noProof/>
          <w:kern w:val="2"/>
          <w:sz w:val="22"/>
          <w:lang w:eastAsia="en-GB"/>
          <w14:ligatures w14:val="standardContextual"/>
        </w:rPr>
        <w:tab/>
      </w:r>
      <w:r w:rsidRPr="00AC781E">
        <w:rPr>
          <w:noProof/>
        </w:rPr>
        <w:t>Indicators of performance</w:t>
      </w:r>
      <w:r w:rsidRPr="00AC781E">
        <w:rPr>
          <w:noProof/>
          <w:webHidden/>
        </w:rPr>
        <w:tab/>
        <w:t>3</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1.4.</w:t>
      </w:r>
      <w:r w:rsidRPr="00AC781E">
        <w:rPr>
          <w:rFonts w:asciiTheme="minorHAnsi" w:eastAsiaTheme="minorEastAsia" w:hAnsiTheme="minorHAnsi" w:cstheme="minorBidi"/>
          <w:noProof/>
          <w:kern w:val="2"/>
          <w:sz w:val="22"/>
          <w:lang w:eastAsia="en-GB"/>
          <w14:ligatures w14:val="standardContextual"/>
        </w:rPr>
        <w:tab/>
      </w:r>
      <w:r w:rsidRPr="00AC781E">
        <w:rPr>
          <w:noProof/>
        </w:rPr>
        <w:t>The proposal/initiative relates to:</w:t>
      </w:r>
      <w:r w:rsidRPr="00AC781E">
        <w:rPr>
          <w:noProof/>
          <w:webHidden/>
        </w:rPr>
        <w:tab/>
        <w:t>4</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1.5.</w:t>
      </w:r>
      <w:r w:rsidRPr="00AC781E">
        <w:rPr>
          <w:rFonts w:asciiTheme="minorHAnsi" w:eastAsiaTheme="minorEastAsia" w:hAnsiTheme="minorHAnsi" w:cstheme="minorBidi"/>
          <w:noProof/>
          <w:kern w:val="2"/>
          <w:sz w:val="22"/>
          <w:lang w:eastAsia="en-GB"/>
          <w14:ligatures w14:val="standardContextual"/>
        </w:rPr>
        <w:tab/>
      </w:r>
      <w:r w:rsidRPr="00AC781E">
        <w:rPr>
          <w:noProof/>
        </w:rPr>
        <w:t>Grounds for the proposal/initiative</w:t>
      </w:r>
      <w:r w:rsidRPr="00AC781E">
        <w:rPr>
          <w:noProof/>
          <w:webHidden/>
        </w:rPr>
        <w:tab/>
        <w:t>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1.5.1.</w:t>
      </w:r>
      <w:r w:rsidRPr="00AC781E">
        <w:rPr>
          <w:rFonts w:asciiTheme="minorHAnsi" w:eastAsiaTheme="minorEastAsia" w:hAnsiTheme="minorHAnsi" w:cstheme="minorBidi"/>
          <w:noProof/>
          <w:kern w:val="2"/>
          <w:sz w:val="22"/>
          <w:lang w:eastAsia="en-GB"/>
          <w14:ligatures w14:val="standardContextual"/>
        </w:rPr>
        <w:tab/>
      </w:r>
      <w:r w:rsidRPr="00AC781E">
        <w:rPr>
          <w:noProof/>
        </w:rPr>
        <w:t>Requirement(s) to be met in the short or long term including a detailed timeline for roll-out of the implementation of the initiative</w:t>
      </w:r>
      <w:r w:rsidRPr="00AC781E">
        <w:rPr>
          <w:noProof/>
          <w:webHidden/>
        </w:rPr>
        <w:tab/>
        <w:t>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1.5.2.</w:t>
      </w:r>
      <w:r w:rsidRPr="00AC781E">
        <w:rPr>
          <w:rFonts w:asciiTheme="minorHAnsi" w:eastAsiaTheme="minorEastAsia" w:hAnsiTheme="minorHAnsi" w:cstheme="minorBidi"/>
          <w:noProof/>
          <w:kern w:val="2"/>
          <w:sz w:val="22"/>
          <w:lang w:eastAsia="en-GB"/>
          <w14:ligatures w14:val="standardContextual"/>
        </w:rPr>
        <w:tab/>
      </w:r>
      <w:r w:rsidRPr="00AC781E">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AC781E">
        <w:rPr>
          <w:noProof/>
          <w:webHidden/>
        </w:rPr>
        <w:tab/>
        <w:t>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1.5.3.</w:t>
      </w:r>
      <w:r w:rsidRPr="00AC781E">
        <w:rPr>
          <w:rFonts w:asciiTheme="minorHAnsi" w:eastAsiaTheme="minorEastAsia" w:hAnsiTheme="minorHAnsi" w:cstheme="minorBidi"/>
          <w:noProof/>
          <w:kern w:val="2"/>
          <w:sz w:val="22"/>
          <w:lang w:eastAsia="en-GB"/>
          <w14:ligatures w14:val="standardContextual"/>
        </w:rPr>
        <w:tab/>
      </w:r>
      <w:r w:rsidRPr="00AC781E">
        <w:rPr>
          <w:noProof/>
        </w:rPr>
        <w:t>Lessons learned from similar experiences in the past</w:t>
      </w:r>
      <w:r w:rsidRPr="00AC781E">
        <w:rPr>
          <w:noProof/>
          <w:webHidden/>
        </w:rPr>
        <w:tab/>
        <w:t>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1.5.4.</w:t>
      </w:r>
      <w:r w:rsidRPr="00AC781E">
        <w:rPr>
          <w:rFonts w:asciiTheme="minorHAnsi" w:eastAsiaTheme="minorEastAsia" w:hAnsiTheme="minorHAnsi" w:cstheme="minorBidi"/>
          <w:noProof/>
          <w:kern w:val="2"/>
          <w:sz w:val="22"/>
          <w:lang w:eastAsia="en-GB"/>
          <w14:ligatures w14:val="standardContextual"/>
        </w:rPr>
        <w:tab/>
      </w:r>
      <w:r w:rsidRPr="00AC781E">
        <w:rPr>
          <w:noProof/>
        </w:rPr>
        <w:t>Compatibility with the multiannual financial framework and possible synergies with other appropriate instruments</w:t>
      </w:r>
      <w:r w:rsidRPr="00AC781E">
        <w:rPr>
          <w:noProof/>
          <w:webHidden/>
        </w:rPr>
        <w:tab/>
        <w:t>5</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1.5.5.</w:t>
      </w:r>
      <w:r w:rsidRPr="00AC781E">
        <w:rPr>
          <w:rFonts w:asciiTheme="minorHAnsi" w:eastAsiaTheme="minorEastAsia" w:hAnsiTheme="minorHAnsi" w:cstheme="minorBidi"/>
          <w:noProof/>
          <w:kern w:val="2"/>
          <w:sz w:val="22"/>
          <w:lang w:eastAsia="en-GB"/>
          <w14:ligatures w14:val="standardContextual"/>
        </w:rPr>
        <w:tab/>
      </w:r>
      <w:r w:rsidRPr="00AC781E">
        <w:rPr>
          <w:noProof/>
        </w:rPr>
        <w:t>Assessment of the different available financing options, including scope for redeployment</w:t>
      </w:r>
      <w:r w:rsidRPr="00AC781E">
        <w:rPr>
          <w:noProof/>
          <w:webHidden/>
        </w:rPr>
        <w:tab/>
        <w:t>5</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1.6.</w:t>
      </w:r>
      <w:r w:rsidRPr="00AC781E">
        <w:rPr>
          <w:rFonts w:asciiTheme="minorHAnsi" w:eastAsiaTheme="minorEastAsia" w:hAnsiTheme="minorHAnsi" w:cstheme="minorBidi"/>
          <w:noProof/>
          <w:kern w:val="2"/>
          <w:sz w:val="22"/>
          <w:lang w:eastAsia="en-GB"/>
          <w14:ligatures w14:val="standardContextual"/>
        </w:rPr>
        <w:tab/>
      </w:r>
      <w:r w:rsidRPr="00AC781E">
        <w:rPr>
          <w:noProof/>
        </w:rPr>
        <w:t>Duration of the proposal/initiative and of its financial impact</w:t>
      </w:r>
      <w:r w:rsidRPr="00AC781E">
        <w:rPr>
          <w:noProof/>
          <w:webHidden/>
        </w:rPr>
        <w:tab/>
        <w:t>6</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1.7.</w:t>
      </w:r>
      <w:r w:rsidRPr="00AC781E">
        <w:rPr>
          <w:rFonts w:asciiTheme="minorHAnsi" w:eastAsiaTheme="minorEastAsia" w:hAnsiTheme="minorHAnsi" w:cstheme="minorBidi"/>
          <w:noProof/>
          <w:kern w:val="2"/>
          <w:sz w:val="22"/>
          <w:lang w:eastAsia="en-GB"/>
          <w14:ligatures w14:val="standardContextual"/>
        </w:rPr>
        <w:tab/>
      </w:r>
      <w:r w:rsidRPr="00AC781E">
        <w:rPr>
          <w:noProof/>
        </w:rPr>
        <w:t>Method(s) of budget implementation planned</w:t>
      </w:r>
      <w:r w:rsidRPr="00AC781E">
        <w:rPr>
          <w:noProof/>
          <w:webHidden/>
        </w:rPr>
        <w:tab/>
        <w:t>6</w:t>
      </w:r>
    </w:p>
    <w:p w:rsidR="00DE314D" w:rsidRPr="00AC781E" w:rsidRDefault="00DE314D">
      <w:pPr>
        <w:pStyle w:val="TOC1"/>
        <w:rPr>
          <w:rFonts w:asciiTheme="minorHAnsi" w:eastAsiaTheme="minorEastAsia" w:hAnsiTheme="minorHAnsi" w:cstheme="minorBidi"/>
          <w:noProof/>
          <w:kern w:val="2"/>
          <w:sz w:val="22"/>
          <w:lang w:eastAsia="en-GB"/>
          <w14:ligatures w14:val="standardContextual"/>
        </w:rPr>
      </w:pPr>
      <w:r w:rsidRPr="00AC781E">
        <w:rPr>
          <w:noProof/>
        </w:rPr>
        <w:t>2.</w:t>
      </w:r>
      <w:r w:rsidRPr="00AC781E">
        <w:rPr>
          <w:rFonts w:asciiTheme="minorHAnsi" w:eastAsiaTheme="minorEastAsia" w:hAnsiTheme="minorHAnsi" w:cstheme="minorBidi"/>
          <w:noProof/>
          <w:kern w:val="2"/>
          <w:sz w:val="22"/>
          <w:lang w:eastAsia="en-GB"/>
          <w14:ligatures w14:val="standardContextual"/>
        </w:rPr>
        <w:tab/>
      </w:r>
      <w:r w:rsidRPr="00AC781E">
        <w:rPr>
          <w:noProof/>
        </w:rPr>
        <w:t>MANAGEMENT MEASURES</w:t>
      </w:r>
      <w:r w:rsidRPr="00AC781E">
        <w:rPr>
          <w:noProof/>
          <w:webHidden/>
        </w:rPr>
        <w:tab/>
        <w:t>8</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2.1.</w:t>
      </w:r>
      <w:r w:rsidRPr="00AC781E">
        <w:rPr>
          <w:rFonts w:asciiTheme="minorHAnsi" w:eastAsiaTheme="minorEastAsia" w:hAnsiTheme="minorHAnsi" w:cstheme="minorBidi"/>
          <w:noProof/>
          <w:kern w:val="2"/>
          <w:sz w:val="22"/>
          <w:lang w:eastAsia="en-GB"/>
          <w14:ligatures w14:val="standardContextual"/>
        </w:rPr>
        <w:tab/>
      </w:r>
      <w:r w:rsidRPr="00AC781E">
        <w:rPr>
          <w:noProof/>
        </w:rPr>
        <w:t>Monitoring and reporting rules</w:t>
      </w:r>
      <w:r w:rsidRPr="00AC781E">
        <w:rPr>
          <w:noProof/>
          <w:webHidden/>
        </w:rPr>
        <w:tab/>
        <w:t>8</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2.2.</w:t>
      </w:r>
      <w:r w:rsidRPr="00AC781E">
        <w:rPr>
          <w:rFonts w:asciiTheme="minorHAnsi" w:eastAsiaTheme="minorEastAsia" w:hAnsiTheme="minorHAnsi" w:cstheme="minorBidi"/>
          <w:noProof/>
          <w:kern w:val="2"/>
          <w:sz w:val="22"/>
          <w:lang w:eastAsia="en-GB"/>
          <w14:ligatures w14:val="standardContextual"/>
        </w:rPr>
        <w:tab/>
      </w:r>
      <w:r w:rsidRPr="00AC781E">
        <w:rPr>
          <w:noProof/>
        </w:rPr>
        <w:t>Management and control system(s)</w:t>
      </w:r>
      <w:r w:rsidRPr="00AC781E">
        <w:rPr>
          <w:noProof/>
          <w:webHidden/>
        </w:rPr>
        <w:tab/>
        <w:t>8</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2.2.1.</w:t>
      </w:r>
      <w:r w:rsidRPr="00AC781E">
        <w:rPr>
          <w:rFonts w:asciiTheme="minorHAnsi" w:eastAsiaTheme="minorEastAsia" w:hAnsiTheme="minorHAnsi" w:cstheme="minorBidi"/>
          <w:noProof/>
          <w:kern w:val="2"/>
          <w:sz w:val="22"/>
          <w:lang w:eastAsia="en-GB"/>
          <w14:ligatures w14:val="standardContextual"/>
        </w:rPr>
        <w:tab/>
      </w:r>
      <w:r w:rsidRPr="00AC781E">
        <w:rPr>
          <w:noProof/>
        </w:rPr>
        <w:t>Justification of the budget implementation method(s), the funding implementation mechanism(s), the payment modalities and the control strategy proposed</w:t>
      </w:r>
      <w:r w:rsidRPr="00AC781E">
        <w:rPr>
          <w:noProof/>
          <w:webHidden/>
        </w:rPr>
        <w:tab/>
        <w:t>8</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2.2.2.</w:t>
      </w:r>
      <w:r w:rsidRPr="00AC781E">
        <w:rPr>
          <w:rFonts w:asciiTheme="minorHAnsi" w:eastAsiaTheme="minorEastAsia" w:hAnsiTheme="minorHAnsi" w:cstheme="minorBidi"/>
          <w:noProof/>
          <w:kern w:val="2"/>
          <w:sz w:val="22"/>
          <w:lang w:eastAsia="en-GB"/>
          <w14:ligatures w14:val="standardContextual"/>
        </w:rPr>
        <w:tab/>
      </w:r>
      <w:r w:rsidRPr="00AC781E">
        <w:rPr>
          <w:noProof/>
        </w:rPr>
        <w:t>Information concerning the risks identified and the internal control system(s) set up to mitigate them</w:t>
      </w:r>
      <w:r w:rsidRPr="00AC781E">
        <w:rPr>
          <w:noProof/>
          <w:webHidden/>
        </w:rPr>
        <w:tab/>
        <w:t>8</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2.2.3.</w:t>
      </w:r>
      <w:r w:rsidRPr="00AC781E">
        <w:rPr>
          <w:rFonts w:asciiTheme="minorHAnsi" w:eastAsiaTheme="minorEastAsia" w:hAnsiTheme="minorHAnsi" w:cstheme="minorBidi"/>
          <w:noProof/>
          <w:kern w:val="2"/>
          <w:sz w:val="22"/>
          <w:lang w:eastAsia="en-GB"/>
          <w14:ligatures w14:val="standardContextual"/>
        </w:rPr>
        <w:tab/>
      </w:r>
      <w:r w:rsidRPr="00AC781E">
        <w:rPr>
          <w:noProof/>
        </w:rPr>
        <w:t>Estimation and justification of the cost-effectiveness of the controls (ratio between the control costs and the value of the related funds managed), and assessment of the expected levels of risk of error (at payment &amp; at closure)</w:t>
      </w:r>
      <w:r w:rsidRPr="00AC781E">
        <w:rPr>
          <w:noProof/>
          <w:webHidden/>
        </w:rPr>
        <w:tab/>
        <w:t>8</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2.3.</w:t>
      </w:r>
      <w:r w:rsidRPr="00AC781E">
        <w:rPr>
          <w:rFonts w:asciiTheme="minorHAnsi" w:eastAsiaTheme="minorEastAsia" w:hAnsiTheme="minorHAnsi" w:cstheme="minorBidi"/>
          <w:noProof/>
          <w:kern w:val="2"/>
          <w:sz w:val="22"/>
          <w:lang w:eastAsia="en-GB"/>
          <w14:ligatures w14:val="standardContextual"/>
        </w:rPr>
        <w:tab/>
      </w:r>
      <w:r w:rsidRPr="00AC781E">
        <w:rPr>
          <w:noProof/>
        </w:rPr>
        <w:t>Measures to prevent fraud and irregularities</w:t>
      </w:r>
      <w:r w:rsidRPr="00AC781E">
        <w:rPr>
          <w:noProof/>
          <w:webHidden/>
        </w:rPr>
        <w:tab/>
        <w:t>9</w:t>
      </w:r>
    </w:p>
    <w:p w:rsidR="00DE314D" w:rsidRPr="00AC781E" w:rsidRDefault="00DE314D">
      <w:pPr>
        <w:pStyle w:val="TOC1"/>
        <w:rPr>
          <w:rFonts w:asciiTheme="minorHAnsi" w:eastAsiaTheme="minorEastAsia" w:hAnsiTheme="minorHAnsi" w:cstheme="minorBidi"/>
          <w:noProof/>
          <w:kern w:val="2"/>
          <w:sz w:val="22"/>
          <w:lang w:eastAsia="en-GB"/>
          <w14:ligatures w14:val="standardContextual"/>
        </w:rPr>
      </w:pPr>
      <w:r w:rsidRPr="00AC781E">
        <w:rPr>
          <w:noProof/>
        </w:rPr>
        <w:t>3.</w:t>
      </w:r>
      <w:r w:rsidRPr="00AC781E">
        <w:rPr>
          <w:rFonts w:asciiTheme="minorHAnsi" w:eastAsiaTheme="minorEastAsia" w:hAnsiTheme="minorHAnsi" w:cstheme="minorBidi"/>
          <w:noProof/>
          <w:kern w:val="2"/>
          <w:sz w:val="22"/>
          <w:lang w:eastAsia="en-GB"/>
          <w14:ligatures w14:val="standardContextual"/>
        </w:rPr>
        <w:tab/>
      </w:r>
      <w:r w:rsidRPr="00AC781E">
        <w:rPr>
          <w:noProof/>
        </w:rPr>
        <w:t>ESTIMATED FINANCIAL IMPACT OF THE PROPOSAL/INITIATIVE</w:t>
      </w:r>
      <w:r w:rsidRPr="00AC781E">
        <w:rPr>
          <w:noProof/>
          <w:webHidden/>
        </w:rPr>
        <w:tab/>
        <w:t>10</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3.1.</w:t>
      </w:r>
      <w:r w:rsidRPr="00AC781E">
        <w:rPr>
          <w:rFonts w:asciiTheme="minorHAnsi" w:eastAsiaTheme="minorEastAsia" w:hAnsiTheme="minorHAnsi" w:cstheme="minorBidi"/>
          <w:noProof/>
          <w:kern w:val="2"/>
          <w:sz w:val="22"/>
          <w:lang w:eastAsia="en-GB"/>
          <w14:ligatures w14:val="standardContextual"/>
        </w:rPr>
        <w:tab/>
      </w:r>
      <w:r w:rsidRPr="00AC781E">
        <w:rPr>
          <w:noProof/>
        </w:rPr>
        <w:t>Heading(s) of the multiannual financial framework and expenditure budget line(s) affected</w:t>
      </w:r>
      <w:r w:rsidRPr="00AC781E">
        <w:rPr>
          <w:noProof/>
          <w:webHidden/>
        </w:rPr>
        <w:tab/>
        <w:t>10</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3.2.</w:t>
      </w:r>
      <w:r w:rsidRPr="00AC781E">
        <w:rPr>
          <w:rFonts w:asciiTheme="minorHAnsi" w:eastAsiaTheme="minorEastAsia" w:hAnsiTheme="minorHAnsi" w:cstheme="minorBidi"/>
          <w:noProof/>
          <w:kern w:val="2"/>
          <w:sz w:val="22"/>
          <w:lang w:eastAsia="en-GB"/>
          <w14:ligatures w14:val="standardContextual"/>
        </w:rPr>
        <w:tab/>
      </w:r>
      <w:r w:rsidRPr="00AC781E">
        <w:rPr>
          <w:noProof/>
        </w:rPr>
        <w:t>Estimated financial impact of the proposal on appropriations</w:t>
      </w:r>
      <w:r w:rsidRPr="00AC781E">
        <w:rPr>
          <w:noProof/>
          <w:webHidden/>
        </w:rPr>
        <w:tab/>
        <w:t>12</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3.2.1.</w:t>
      </w:r>
      <w:r w:rsidRPr="00AC781E">
        <w:rPr>
          <w:rFonts w:asciiTheme="minorHAnsi" w:eastAsiaTheme="minorEastAsia" w:hAnsiTheme="minorHAnsi" w:cstheme="minorBidi"/>
          <w:noProof/>
          <w:kern w:val="2"/>
          <w:sz w:val="22"/>
          <w:lang w:eastAsia="en-GB"/>
          <w14:ligatures w14:val="standardContextual"/>
        </w:rPr>
        <w:tab/>
      </w:r>
      <w:r w:rsidRPr="00AC781E">
        <w:rPr>
          <w:noProof/>
        </w:rPr>
        <w:t>Summary of estimated impact on operational appropriations</w:t>
      </w:r>
      <w:r w:rsidRPr="00AC781E">
        <w:rPr>
          <w:noProof/>
          <w:webHidden/>
        </w:rPr>
        <w:tab/>
        <w:t>12</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3.2.1.1.</w:t>
      </w:r>
      <w:r w:rsidRPr="00AC781E">
        <w:rPr>
          <w:rFonts w:asciiTheme="minorHAnsi" w:eastAsiaTheme="minorEastAsia" w:hAnsiTheme="minorHAnsi" w:cstheme="minorBidi"/>
          <w:noProof/>
          <w:kern w:val="2"/>
          <w:sz w:val="22"/>
          <w:lang w:eastAsia="en-GB"/>
          <w14:ligatures w14:val="standardContextual"/>
        </w:rPr>
        <w:tab/>
      </w:r>
      <w:r w:rsidRPr="00AC781E">
        <w:rPr>
          <w:noProof/>
        </w:rPr>
        <w:t>Appropriations from voted budget</w:t>
      </w:r>
      <w:r w:rsidRPr="00AC781E">
        <w:rPr>
          <w:noProof/>
          <w:webHidden/>
        </w:rPr>
        <w:tab/>
        <w:t>12</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3.2.1.2.</w:t>
      </w:r>
      <w:r w:rsidRPr="00AC781E">
        <w:rPr>
          <w:rFonts w:asciiTheme="minorHAnsi" w:eastAsiaTheme="minorEastAsia" w:hAnsiTheme="minorHAnsi" w:cstheme="minorBidi"/>
          <w:noProof/>
          <w:kern w:val="2"/>
          <w:sz w:val="22"/>
          <w:lang w:eastAsia="en-GB"/>
          <w14:ligatures w14:val="standardContextual"/>
        </w:rPr>
        <w:tab/>
      </w:r>
      <w:r w:rsidRPr="00AC781E">
        <w:rPr>
          <w:noProof/>
        </w:rPr>
        <w:t>Appropriations from external assigned revenues</w:t>
      </w:r>
      <w:r w:rsidRPr="00AC781E">
        <w:rPr>
          <w:noProof/>
          <w:webHidden/>
        </w:rPr>
        <w:tab/>
        <w:t>17</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3.2.2.</w:t>
      </w:r>
      <w:r w:rsidRPr="00AC781E">
        <w:rPr>
          <w:rFonts w:asciiTheme="minorHAnsi" w:eastAsiaTheme="minorEastAsia" w:hAnsiTheme="minorHAnsi" w:cstheme="minorBidi"/>
          <w:noProof/>
          <w:kern w:val="2"/>
          <w:sz w:val="22"/>
          <w:lang w:eastAsia="en-GB"/>
          <w14:ligatures w14:val="standardContextual"/>
        </w:rPr>
        <w:tab/>
      </w:r>
      <w:r w:rsidRPr="00AC781E">
        <w:rPr>
          <w:noProof/>
        </w:rPr>
        <w:t>Estimated output funded from operational appropriations</w:t>
      </w:r>
      <w:r w:rsidRPr="00AC781E">
        <w:rPr>
          <w:noProof/>
          <w:webHidden/>
        </w:rPr>
        <w:tab/>
        <w:t>22</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3.2.3.</w:t>
      </w:r>
      <w:r w:rsidRPr="00AC781E">
        <w:rPr>
          <w:rFonts w:asciiTheme="minorHAnsi" w:eastAsiaTheme="minorEastAsia" w:hAnsiTheme="minorHAnsi" w:cstheme="minorBidi"/>
          <w:noProof/>
          <w:kern w:val="2"/>
          <w:sz w:val="22"/>
          <w:lang w:eastAsia="en-GB"/>
          <w14:ligatures w14:val="standardContextual"/>
        </w:rPr>
        <w:tab/>
      </w:r>
      <w:r w:rsidRPr="00AC781E">
        <w:rPr>
          <w:noProof/>
        </w:rPr>
        <w:t>Summary of estimated impact on administrative appropriations</w:t>
      </w:r>
      <w:r w:rsidRPr="00AC781E">
        <w:rPr>
          <w:noProof/>
          <w:webHidden/>
        </w:rPr>
        <w:tab/>
        <w:t>24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 xml:space="preserve">3.2.3.1. Appropriations </w:t>
      </w:r>
      <w:r w:rsidRPr="00AC781E">
        <w:rPr>
          <w:rFonts w:eastAsia="Calibri"/>
          <w:noProof/>
        </w:rPr>
        <w:t>from</w:t>
      </w:r>
      <w:r w:rsidRPr="00AC781E">
        <w:rPr>
          <w:noProof/>
        </w:rPr>
        <w:t xml:space="preserve"> voted budget</w:t>
      </w:r>
      <w:r w:rsidRPr="00AC781E">
        <w:rPr>
          <w:noProof/>
          <w:webHidden/>
        </w:rPr>
        <w:tab/>
        <w:t>24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3.2.3.2.</w:t>
      </w:r>
      <w:r w:rsidRPr="00AC781E">
        <w:rPr>
          <w:rFonts w:asciiTheme="minorHAnsi" w:eastAsiaTheme="minorEastAsia" w:hAnsiTheme="minorHAnsi" w:cstheme="minorBidi"/>
          <w:noProof/>
          <w:kern w:val="2"/>
          <w:sz w:val="22"/>
          <w:lang w:eastAsia="en-GB"/>
          <w14:ligatures w14:val="standardContextual"/>
        </w:rPr>
        <w:tab/>
      </w:r>
      <w:r w:rsidRPr="00AC781E">
        <w:rPr>
          <w:noProof/>
        </w:rPr>
        <w:t>Appropriations from external assigned revenues</w:t>
      </w:r>
      <w:r w:rsidRPr="00AC781E">
        <w:rPr>
          <w:noProof/>
          <w:webHidden/>
        </w:rPr>
        <w:tab/>
        <w:t>24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3.2.3.3.</w:t>
      </w:r>
      <w:r w:rsidRPr="00AC781E">
        <w:rPr>
          <w:rFonts w:asciiTheme="minorHAnsi" w:eastAsiaTheme="minorEastAsia" w:hAnsiTheme="minorHAnsi" w:cstheme="minorBidi"/>
          <w:noProof/>
          <w:kern w:val="2"/>
          <w:sz w:val="22"/>
          <w:lang w:eastAsia="en-GB"/>
          <w14:ligatures w14:val="standardContextual"/>
        </w:rPr>
        <w:tab/>
      </w:r>
      <w:r w:rsidRPr="00AC781E">
        <w:rPr>
          <w:noProof/>
        </w:rPr>
        <w:t>Total appropriations</w:t>
      </w:r>
      <w:r w:rsidRPr="00AC781E">
        <w:rPr>
          <w:noProof/>
          <w:webHidden/>
        </w:rPr>
        <w:tab/>
        <w:t>24</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3.2.4.</w:t>
      </w:r>
      <w:r w:rsidRPr="00AC781E">
        <w:rPr>
          <w:rFonts w:asciiTheme="minorHAnsi" w:eastAsiaTheme="minorEastAsia" w:hAnsiTheme="minorHAnsi" w:cstheme="minorBidi"/>
          <w:noProof/>
          <w:kern w:val="2"/>
          <w:sz w:val="22"/>
          <w:lang w:eastAsia="en-GB"/>
          <w14:ligatures w14:val="standardContextual"/>
        </w:rPr>
        <w:tab/>
      </w:r>
      <w:r w:rsidRPr="00AC781E">
        <w:rPr>
          <w:noProof/>
        </w:rPr>
        <w:t>Estimated requirements of human resources</w:t>
      </w:r>
      <w:r w:rsidRPr="00AC781E">
        <w:rPr>
          <w:noProof/>
          <w:webHidden/>
        </w:rPr>
        <w:tab/>
        <w:t>25</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3.2.4.1.</w:t>
      </w:r>
      <w:r w:rsidRPr="00AC781E">
        <w:rPr>
          <w:rFonts w:asciiTheme="minorHAnsi" w:eastAsiaTheme="minorEastAsia" w:hAnsiTheme="minorHAnsi" w:cstheme="minorBidi"/>
          <w:noProof/>
          <w:kern w:val="2"/>
          <w:sz w:val="22"/>
          <w:lang w:eastAsia="en-GB"/>
          <w14:ligatures w14:val="standardContextual"/>
        </w:rPr>
        <w:tab/>
      </w:r>
      <w:r w:rsidRPr="00AC781E">
        <w:rPr>
          <w:noProof/>
        </w:rPr>
        <w:t>Financed from voted budget</w:t>
      </w:r>
      <w:r w:rsidRPr="00AC781E">
        <w:rPr>
          <w:noProof/>
          <w:webHidden/>
        </w:rPr>
        <w:tab/>
        <w:t>25</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3.2.4.2.</w:t>
      </w:r>
      <w:r w:rsidRPr="00AC781E">
        <w:rPr>
          <w:rFonts w:asciiTheme="minorHAnsi" w:eastAsiaTheme="minorEastAsia" w:hAnsiTheme="minorHAnsi" w:cstheme="minorBidi"/>
          <w:noProof/>
          <w:kern w:val="2"/>
          <w:sz w:val="22"/>
          <w:lang w:eastAsia="en-GB"/>
          <w14:ligatures w14:val="standardContextual"/>
        </w:rPr>
        <w:tab/>
      </w:r>
      <w:r w:rsidRPr="00AC781E">
        <w:rPr>
          <w:noProof/>
        </w:rPr>
        <w:t>Financed from external assigned revenues</w:t>
      </w:r>
      <w:r w:rsidRPr="00AC781E">
        <w:rPr>
          <w:noProof/>
          <w:webHidden/>
        </w:rPr>
        <w:tab/>
        <w:t>26</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3.2.4.3.</w:t>
      </w:r>
      <w:r w:rsidRPr="00AC781E">
        <w:rPr>
          <w:rFonts w:asciiTheme="minorHAnsi" w:eastAsiaTheme="minorEastAsia" w:hAnsiTheme="minorHAnsi" w:cstheme="minorBidi"/>
          <w:noProof/>
          <w:kern w:val="2"/>
          <w:sz w:val="22"/>
          <w:lang w:eastAsia="en-GB"/>
          <w14:ligatures w14:val="standardContextual"/>
        </w:rPr>
        <w:tab/>
      </w:r>
      <w:r w:rsidRPr="00AC781E">
        <w:rPr>
          <w:noProof/>
        </w:rPr>
        <w:t>Total requirements of human resources</w:t>
      </w:r>
      <w:r w:rsidRPr="00AC781E">
        <w:rPr>
          <w:noProof/>
          <w:webHidden/>
        </w:rPr>
        <w:tab/>
        <w:t>26</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3.2.5.</w:t>
      </w:r>
      <w:r w:rsidRPr="00AC781E">
        <w:rPr>
          <w:rFonts w:asciiTheme="minorHAnsi" w:eastAsiaTheme="minorEastAsia" w:hAnsiTheme="minorHAnsi" w:cstheme="minorBidi"/>
          <w:noProof/>
          <w:kern w:val="2"/>
          <w:sz w:val="22"/>
          <w:lang w:eastAsia="en-GB"/>
          <w14:ligatures w14:val="standardContextual"/>
        </w:rPr>
        <w:tab/>
      </w:r>
      <w:r w:rsidRPr="00AC781E">
        <w:rPr>
          <w:noProof/>
        </w:rPr>
        <w:t>Overview of estimated impact on digital technology-related investments</w:t>
      </w:r>
      <w:r w:rsidRPr="00AC781E">
        <w:rPr>
          <w:noProof/>
          <w:webHidden/>
        </w:rPr>
        <w:tab/>
        <w:t>28</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3.2.6.</w:t>
      </w:r>
      <w:r w:rsidRPr="00AC781E">
        <w:rPr>
          <w:rFonts w:asciiTheme="minorHAnsi" w:eastAsiaTheme="minorEastAsia" w:hAnsiTheme="minorHAnsi" w:cstheme="minorBidi"/>
          <w:noProof/>
          <w:kern w:val="2"/>
          <w:sz w:val="22"/>
          <w:lang w:eastAsia="en-GB"/>
          <w14:ligatures w14:val="standardContextual"/>
        </w:rPr>
        <w:tab/>
      </w:r>
      <w:r w:rsidRPr="00AC781E">
        <w:rPr>
          <w:noProof/>
        </w:rPr>
        <w:t>Compatibility with the current multiannual financial framework</w:t>
      </w:r>
      <w:r w:rsidRPr="00AC781E">
        <w:rPr>
          <w:noProof/>
          <w:webHidden/>
        </w:rPr>
        <w:tab/>
        <w:t>28</w:t>
      </w:r>
    </w:p>
    <w:p w:rsidR="00DE314D" w:rsidRPr="00AC781E" w:rsidRDefault="00DE314D">
      <w:pPr>
        <w:pStyle w:val="TOC3"/>
        <w:rPr>
          <w:rFonts w:asciiTheme="minorHAnsi" w:eastAsiaTheme="minorEastAsia" w:hAnsiTheme="minorHAnsi" w:cstheme="minorBidi"/>
          <w:noProof/>
          <w:kern w:val="2"/>
          <w:sz w:val="22"/>
          <w:lang w:eastAsia="en-GB"/>
          <w14:ligatures w14:val="standardContextual"/>
        </w:rPr>
      </w:pPr>
      <w:r w:rsidRPr="00AC781E">
        <w:rPr>
          <w:noProof/>
        </w:rPr>
        <w:t>3.2.7.</w:t>
      </w:r>
      <w:r w:rsidRPr="00AC781E">
        <w:rPr>
          <w:rFonts w:asciiTheme="minorHAnsi" w:eastAsiaTheme="minorEastAsia" w:hAnsiTheme="minorHAnsi" w:cstheme="minorBidi"/>
          <w:noProof/>
          <w:kern w:val="2"/>
          <w:sz w:val="22"/>
          <w:lang w:eastAsia="en-GB"/>
          <w14:ligatures w14:val="standardContextual"/>
        </w:rPr>
        <w:tab/>
      </w:r>
      <w:r w:rsidRPr="00AC781E">
        <w:rPr>
          <w:noProof/>
        </w:rPr>
        <w:t>Third-party contributions</w:t>
      </w:r>
      <w:r w:rsidRPr="00AC781E">
        <w:rPr>
          <w:noProof/>
          <w:webHidden/>
        </w:rPr>
        <w:tab/>
        <w:t>28</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3.3.</w:t>
      </w:r>
      <w:r w:rsidRPr="00AC781E">
        <w:rPr>
          <w:rFonts w:asciiTheme="minorHAnsi" w:eastAsiaTheme="minorEastAsia" w:hAnsiTheme="minorHAnsi" w:cstheme="minorBidi"/>
          <w:noProof/>
          <w:kern w:val="2"/>
          <w:sz w:val="22"/>
          <w:lang w:eastAsia="en-GB"/>
          <w14:ligatures w14:val="standardContextual"/>
        </w:rPr>
        <w:tab/>
      </w:r>
      <w:r w:rsidRPr="00AC781E">
        <w:rPr>
          <w:noProof/>
        </w:rPr>
        <w:t>Estimated impact on revenue</w:t>
      </w:r>
      <w:r w:rsidRPr="00AC781E">
        <w:rPr>
          <w:noProof/>
          <w:webHidden/>
        </w:rPr>
        <w:tab/>
        <w:t>29</w:t>
      </w:r>
    </w:p>
    <w:p w:rsidR="00DE314D" w:rsidRPr="00AC781E" w:rsidRDefault="00DE314D">
      <w:pPr>
        <w:pStyle w:val="TOC1"/>
        <w:rPr>
          <w:rFonts w:asciiTheme="minorHAnsi" w:eastAsiaTheme="minorEastAsia" w:hAnsiTheme="minorHAnsi" w:cstheme="minorBidi"/>
          <w:noProof/>
          <w:kern w:val="2"/>
          <w:sz w:val="22"/>
          <w:lang w:eastAsia="en-GB"/>
          <w14:ligatures w14:val="standardContextual"/>
        </w:rPr>
      </w:pPr>
      <w:r w:rsidRPr="00AC781E">
        <w:rPr>
          <w:noProof/>
        </w:rPr>
        <w:t>4.</w:t>
      </w:r>
      <w:r w:rsidRPr="00AC781E">
        <w:rPr>
          <w:rFonts w:asciiTheme="minorHAnsi" w:eastAsiaTheme="minorEastAsia" w:hAnsiTheme="minorHAnsi" w:cstheme="minorBidi"/>
          <w:noProof/>
          <w:kern w:val="2"/>
          <w:sz w:val="22"/>
          <w:lang w:eastAsia="en-GB"/>
          <w14:ligatures w14:val="standardContextual"/>
        </w:rPr>
        <w:tab/>
      </w:r>
      <w:r w:rsidRPr="00AC781E">
        <w:rPr>
          <w:caps/>
          <w:noProof/>
        </w:rPr>
        <w:t>Digital dimensions</w:t>
      </w:r>
      <w:r w:rsidRPr="00AC781E">
        <w:rPr>
          <w:noProof/>
          <w:webHidden/>
        </w:rPr>
        <w:tab/>
        <w:t>29</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4.1.</w:t>
      </w:r>
      <w:r w:rsidRPr="00AC781E">
        <w:rPr>
          <w:rFonts w:asciiTheme="minorHAnsi" w:eastAsiaTheme="minorEastAsia" w:hAnsiTheme="minorHAnsi" w:cstheme="minorBidi"/>
          <w:noProof/>
          <w:kern w:val="2"/>
          <w:sz w:val="22"/>
          <w:lang w:eastAsia="en-GB"/>
          <w14:ligatures w14:val="standardContextual"/>
        </w:rPr>
        <w:tab/>
      </w:r>
      <w:r w:rsidRPr="00AC781E">
        <w:rPr>
          <w:noProof/>
        </w:rPr>
        <w:t>Requirements of digital relevance</w:t>
      </w:r>
      <w:r w:rsidRPr="00AC781E">
        <w:rPr>
          <w:noProof/>
          <w:webHidden/>
        </w:rPr>
        <w:tab/>
        <w:t>30</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4.2.</w:t>
      </w:r>
      <w:r w:rsidRPr="00AC781E">
        <w:rPr>
          <w:rFonts w:asciiTheme="minorHAnsi" w:eastAsiaTheme="minorEastAsia" w:hAnsiTheme="minorHAnsi" w:cstheme="minorBidi"/>
          <w:noProof/>
          <w:kern w:val="2"/>
          <w:sz w:val="22"/>
          <w:lang w:eastAsia="en-GB"/>
          <w14:ligatures w14:val="standardContextual"/>
        </w:rPr>
        <w:tab/>
      </w:r>
      <w:r w:rsidRPr="00AC781E">
        <w:rPr>
          <w:noProof/>
        </w:rPr>
        <w:t>Data</w:t>
      </w:r>
      <w:r w:rsidRPr="00AC781E">
        <w:rPr>
          <w:noProof/>
          <w:webHidden/>
        </w:rPr>
        <w:tab/>
        <w:t>30</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4.3.</w:t>
      </w:r>
      <w:r w:rsidRPr="00AC781E">
        <w:rPr>
          <w:rFonts w:asciiTheme="minorHAnsi" w:eastAsiaTheme="minorEastAsia" w:hAnsiTheme="minorHAnsi" w:cstheme="minorBidi"/>
          <w:noProof/>
          <w:kern w:val="2"/>
          <w:sz w:val="22"/>
          <w:lang w:eastAsia="en-GB"/>
          <w14:ligatures w14:val="standardContextual"/>
        </w:rPr>
        <w:tab/>
      </w:r>
      <w:r w:rsidRPr="00AC781E">
        <w:rPr>
          <w:noProof/>
        </w:rPr>
        <w:t>Digital solutions</w:t>
      </w:r>
      <w:r w:rsidRPr="00AC781E">
        <w:rPr>
          <w:noProof/>
          <w:webHidden/>
        </w:rPr>
        <w:tab/>
        <w:t>31</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bCs/>
          <w:noProof/>
        </w:rPr>
        <w:t>4.4.</w:t>
      </w:r>
      <w:r w:rsidRPr="00AC781E">
        <w:rPr>
          <w:rFonts w:asciiTheme="minorHAnsi" w:eastAsiaTheme="minorEastAsia" w:hAnsiTheme="minorHAnsi" w:cstheme="minorBidi"/>
          <w:noProof/>
          <w:kern w:val="2"/>
          <w:sz w:val="22"/>
          <w:lang w:eastAsia="en-GB"/>
          <w14:ligatures w14:val="standardContextual"/>
        </w:rPr>
        <w:tab/>
      </w:r>
      <w:r w:rsidRPr="00AC781E">
        <w:rPr>
          <w:bCs/>
          <w:noProof/>
        </w:rPr>
        <w:t>Interoperability assessment</w:t>
      </w:r>
      <w:r w:rsidRPr="00AC781E">
        <w:rPr>
          <w:noProof/>
          <w:webHidden/>
        </w:rPr>
        <w:tab/>
        <w:t>31</w:t>
      </w:r>
    </w:p>
    <w:p w:rsidR="00DE314D" w:rsidRPr="00AC781E" w:rsidRDefault="00DE314D">
      <w:pPr>
        <w:pStyle w:val="TOC2"/>
        <w:rPr>
          <w:rFonts w:asciiTheme="minorHAnsi" w:eastAsiaTheme="minorEastAsia" w:hAnsiTheme="minorHAnsi" w:cstheme="minorBidi"/>
          <w:noProof/>
          <w:kern w:val="2"/>
          <w:sz w:val="22"/>
          <w:lang w:eastAsia="en-GB"/>
          <w14:ligatures w14:val="standardContextual"/>
        </w:rPr>
      </w:pPr>
      <w:r w:rsidRPr="00AC781E">
        <w:rPr>
          <w:noProof/>
        </w:rPr>
        <w:t>4.5.</w:t>
      </w:r>
      <w:r w:rsidRPr="00AC781E">
        <w:rPr>
          <w:rFonts w:asciiTheme="minorHAnsi" w:eastAsiaTheme="minorEastAsia" w:hAnsiTheme="minorHAnsi" w:cstheme="minorBidi"/>
          <w:noProof/>
          <w:kern w:val="2"/>
          <w:sz w:val="22"/>
          <w:lang w:eastAsia="en-GB"/>
          <w14:ligatures w14:val="standardContextual"/>
        </w:rPr>
        <w:tab/>
      </w:r>
      <w:r w:rsidRPr="00AC781E">
        <w:rPr>
          <w:noProof/>
        </w:rPr>
        <w:t>Measures to support digital implementation</w:t>
      </w:r>
      <w:r w:rsidRPr="00AC781E">
        <w:rPr>
          <w:noProof/>
          <w:webHidden/>
        </w:rPr>
        <w:tab/>
        <w:t>32</w:t>
      </w:r>
    </w:p>
    <w:p w:rsidR="00DE314D" w:rsidRPr="00AC781E" w:rsidRDefault="00DE314D" w:rsidP="00853C97">
      <w:pPr>
        <w:pStyle w:val="TOC1"/>
        <w:rPr>
          <w:noProof/>
        </w:rPr>
        <w:sectPr w:rsidR="00DE314D" w:rsidRPr="00AC781E" w:rsidSect="00185F1C">
          <w:pgSz w:w="11907" w:h="16840" w:code="9"/>
          <w:pgMar w:top="1134" w:right="1418" w:bottom="1134" w:left="1418" w:header="709" w:footer="709" w:gutter="0"/>
          <w:pgNumType w:start="1"/>
          <w:cols w:space="720"/>
          <w:docGrid w:linePitch="360"/>
        </w:sectPr>
      </w:pPr>
    </w:p>
    <w:p w:rsidR="00DE314D" w:rsidRPr="00AC781E" w:rsidRDefault="00DE314D">
      <w:pPr>
        <w:pStyle w:val="ManualHeading1"/>
        <w:rPr>
          <w:noProof/>
        </w:rPr>
      </w:pPr>
      <w:bookmarkStart w:id="9" w:name="_Toc514938007"/>
      <w:bookmarkStart w:id="10" w:name="_Toc520485025"/>
      <w:bookmarkStart w:id="11" w:name="_Toc160804567"/>
      <w:bookmarkStart w:id="12" w:name="_Toc167220259"/>
      <w:bookmarkStart w:id="13" w:name="_Toc177548992"/>
      <w:r w:rsidRPr="00AC781E">
        <w:rPr>
          <w:noProof/>
        </w:rPr>
        <w:t>1.</w:t>
      </w:r>
      <w:r w:rsidRPr="00AC781E">
        <w:rPr>
          <w:noProof/>
        </w:rPr>
        <w:tab/>
        <w:t>FRAMEWORK OF THE PROPOSAL/INITIATIVE</w:t>
      </w:r>
      <w:bookmarkEnd w:id="9"/>
      <w:bookmarkEnd w:id="10"/>
      <w:bookmarkEnd w:id="11"/>
      <w:bookmarkEnd w:id="12"/>
      <w:bookmarkEnd w:id="13"/>
      <w:r w:rsidRPr="00AC781E">
        <w:rPr>
          <w:noProof/>
        </w:rPr>
        <w:t xml:space="preserve"> </w:t>
      </w:r>
    </w:p>
    <w:p w:rsidR="00DE314D" w:rsidRPr="00AC781E" w:rsidRDefault="00DE314D">
      <w:pPr>
        <w:pStyle w:val="ManualHeading2"/>
        <w:rPr>
          <w:noProof/>
        </w:rPr>
      </w:pPr>
      <w:bookmarkStart w:id="14" w:name="_Toc514938008"/>
      <w:bookmarkStart w:id="15" w:name="_Toc520485026"/>
      <w:bookmarkStart w:id="16" w:name="_Toc160804568"/>
      <w:bookmarkStart w:id="17" w:name="_Toc167220260"/>
      <w:bookmarkStart w:id="18" w:name="_Toc177548993"/>
      <w:r w:rsidRPr="77BC4F07">
        <w:rPr>
          <w:noProof/>
        </w:rPr>
        <w:t>1.1.</w:t>
      </w:r>
      <w:r>
        <w:rPr>
          <w:noProof/>
        </w:rPr>
        <w:tab/>
      </w:r>
      <w:r w:rsidRPr="77BC4F07">
        <w:rPr>
          <w:noProof/>
        </w:rPr>
        <w:t>Title of the proposal/initiative</w:t>
      </w:r>
      <w:bookmarkEnd w:id="14"/>
      <w:bookmarkEnd w:id="15"/>
      <w:bookmarkEnd w:id="16"/>
      <w:bookmarkEnd w:id="17"/>
      <w:bookmarkEnd w:id="18"/>
    </w:p>
    <w:p w:rsidR="00DE314D" w:rsidRPr="0004579E" w:rsidRDefault="62DE5F4D" w:rsidP="193F07E0">
      <w:pPr>
        <w:pStyle w:val="Text1"/>
        <w:pBdr>
          <w:top w:val="single" w:sz="4" w:space="1" w:color="auto"/>
          <w:left w:val="single" w:sz="4" w:space="4" w:color="auto"/>
          <w:bottom w:val="single" w:sz="4" w:space="1" w:color="auto"/>
          <w:right w:val="single" w:sz="4" w:space="4" w:color="auto"/>
        </w:pBdr>
        <w:rPr>
          <w:noProof/>
        </w:rPr>
      </w:pPr>
      <w:r w:rsidRPr="0004579E">
        <w:rPr>
          <w:noProof/>
        </w:rPr>
        <w:t xml:space="preserve">Proposal for a Council Decision authorising the European Commission to </w:t>
      </w:r>
      <w:r w:rsidR="00B92EA5">
        <w:rPr>
          <w:noProof/>
        </w:rPr>
        <w:t>sign</w:t>
      </w:r>
      <w:r w:rsidRPr="0004579E">
        <w:rPr>
          <w:noProof/>
        </w:rPr>
        <w:t>, on behalf of the Union, the Enlarged Partial Agreement</w:t>
      </w:r>
      <w:r w:rsidR="004254FA">
        <w:rPr>
          <w:noProof/>
        </w:rPr>
        <w:t xml:space="preserve"> (EPA)</w:t>
      </w:r>
      <w:r w:rsidRPr="0004579E">
        <w:rPr>
          <w:noProof/>
        </w:rPr>
        <w:t xml:space="preserve"> on the Management Committee of the Special Tribunal for the Crime of Aggression against Ukraine</w:t>
      </w:r>
      <w:r w:rsidR="00A44879">
        <w:rPr>
          <w:noProof/>
        </w:rPr>
        <w:t>.</w:t>
      </w:r>
    </w:p>
    <w:p w:rsidR="00DE314D" w:rsidRPr="00AC781E" w:rsidRDefault="00DE314D">
      <w:pPr>
        <w:pStyle w:val="ManualHeading2"/>
        <w:rPr>
          <w:i/>
          <w:noProof/>
        </w:rPr>
      </w:pPr>
      <w:bookmarkStart w:id="19" w:name="_Toc514938011"/>
      <w:bookmarkStart w:id="20" w:name="_Toc520485027"/>
      <w:bookmarkStart w:id="21" w:name="_Toc160804569"/>
      <w:bookmarkStart w:id="22" w:name="_Toc167220261"/>
      <w:bookmarkStart w:id="23" w:name="_Toc177548994"/>
      <w:r w:rsidRPr="00AC781E">
        <w:rPr>
          <w:noProof/>
        </w:rPr>
        <w:t>1.2.</w:t>
      </w:r>
      <w:r w:rsidRPr="00AC781E">
        <w:rPr>
          <w:noProof/>
        </w:rPr>
        <w:tab/>
        <w:t>Policy area(s) concerned</w:t>
      </w:r>
      <w:bookmarkEnd w:id="19"/>
      <w:bookmarkEnd w:id="20"/>
      <w:bookmarkEnd w:id="21"/>
      <w:bookmarkEnd w:id="22"/>
      <w:bookmarkEnd w:id="23"/>
      <w:r w:rsidRPr="00AC781E">
        <w:rPr>
          <w:i/>
          <w:iCs/>
          <w:noProof/>
        </w:rPr>
        <w:t xml:space="preserve"> </w:t>
      </w:r>
    </w:p>
    <w:p w:rsidR="00DE314D" w:rsidRPr="00AC781E" w:rsidRDefault="6D5A913E" w:rsidP="193F07E0">
      <w:pPr>
        <w:pStyle w:val="Text1"/>
        <w:pBdr>
          <w:top w:val="single" w:sz="4" w:space="1" w:color="auto"/>
          <w:left w:val="single" w:sz="4" w:space="4" w:color="auto"/>
          <w:bottom w:val="single" w:sz="4" w:space="1" w:color="auto"/>
          <w:right w:val="single" w:sz="4" w:space="4" w:color="auto"/>
        </w:pBdr>
        <w:rPr>
          <w:noProof/>
        </w:rPr>
      </w:pPr>
      <w:r w:rsidRPr="0004579E">
        <w:rPr>
          <w:noProof/>
        </w:rPr>
        <w:t xml:space="preserve">Justice </w:t>
      </w:r>
    </w:p>
    <w:p w:rsidR="00DE314D" w:rsidRPr="00AC781E" w:rsidRDefault="6D5A913E" w:rsidP="193F07E0">
      <w:pPr>
        <w:pStyle w:val="Text1"/>
        <w:pBdr>
          <w:top w:val="single" w:sz="4" w:space="1" w:color="auto"/>
          <w:left w:val="single" w:sz="4" w:space="4" w:color="auto"/>
          <w:bottom w:val="single" w:sz="4" w:space="1" w:color="auto"/>
          <w:right w:val="single" w:sz="4" w:space="4" w:color="auto"/>
        </w:pBdr>
        <w:rPr>
          <w:noProof/>
        </w:rPr>
      </w:pPr>
      <w:r w:rsidRPr="0004579E">
        <w:rPr>
          <w:noProof/>
        </w:rPr>
        <w:t>Financial and technical assistance to third countries</w:t>
      </w:r>
    </w:p>
    <w:p w:rsidR="00DE314D" w:rsidRPr="00AC781E" w:rsidRDefault="00DE314D">
      <w:pPr>
        <w:pStyle w:val="ManualHeading2"/>
        <w:rPr>
          <w:noProof/>
        </w:rPr>
      </w:pPr>
      <w:bookmarkStart w:id="24" w:name="_Toc514938015"/>
      <w:bookmarkStart w:id="25" w:name="_Toc520485029"/>
      <w:bookmarkStart w:id="26" w:name="_Toc160804571"/>
      <w:bookmarkStart w:id="27" w:name="_Toc167220263"/>
      <w:bookmarkStart w:id="28" w:name="_Toc177548995"/>
      <w:r w:rsidRPr="00AC781E">
        <w:rPr>
          <w:noProof/>
        </w:rPr>
        <w:t>1.3.</w:t>
      </w:r>
      <w:r w:rsidRPr="00AC781E">
        <w:rPr>
          <w:noProof/>
        </w:rPr>
        <w:tab/>
        <w:t>Objective(s)</w:t>
      </w:r>
      <w:bookmarkEnd w:id="24"/>
      <w:bookmarkEnd w:id="25"/>
      <w:bookmarkEnd w:id="26"/>
      <w:bookmarkEnd w:id="27"/>
      <w:bookmarkEnd w:id="28"/>
    </w:p>
    <w:p w:rsidR="00DE314D" w:rsidRPr="00AC781E" w:rsidRDefault="00DE314D">
      <w:pPr>
        <w:pStyle w:val="ManualHeading3"/>
        <w:rPr>
          <w:noProof/>
        </w:rPr>
      </w:pPr>
      <w:bookmarkStart w:id="29" w:name="_Toc514938016"/>
      <w:bookmarkStart w:id="30" w:name="_Toc520485030"/>
      <w:bookmarkStart w:id="31" w:name="_Toc160804572"/>
      <w:bookmarkStart w:id="32" w:name="_Toc167220264"/>
      <w:bookmarkStart w:id="33" w:name="_Toc177548996"/>
      <w:r w:rsidRPr="00AC781E">
        <w:rPr>
          <w:noProof/>
        </w:rPr>
        <w:t>1.3.1.</w:t>
      </w:r>
      <w:r w:rsidRPr="00AC781E">
        <w:rPr>
          <w:noProof/>
        </w:rPr>
        <w:tab/>
        <w:t>General objective(s)</w:t>
      </w:r>
      <w:bookmarkEnd w:id="29"/>
      <w:bookmarkEnd w:id="30"/>
      <w:bookmarkEnd w:id="31"/>
      <w:bookmarkEnd w:id="32"/>
      <w:bookmarkEnd w:id="33"/>
    </w:p>
    <w:p w:rsidR="00DE314D" w:rsidRPr="00695895" w:rsidRDefault="00740B1A" w:rsidP="39D16BB6">
      <w:pPr>
        <w:pStyle w:val="Text1"/>
        <w:pBdr>
          <w:top w:val="single" w:sz="4" w:space="1" w:color="auto"/>
          <w:left w:val="single" w:sz="4" w:space="4" w:color="auto"/>
          <w:bottom w:val="single" w:sz="4" w:space="1" w:color="auto"/>
          <w:right w:val="single" w:sz="4" w:space="4" w:color="auto"/>
        </w:pBdr>
        <w:rPr>
          <w:noProof/>
        </w:rPr>
      </w:pPr>
      <w:r w:rsidRPr="00740B1A">
        <w:rPr>
          <w:noProof/>
        </w:rPr>
        <w:t xml:space="preserve">The establishment of the Special Tribunal plays a pivotal role in ensuring the prosecution of the crime of agression and in ensuring </w:t>
      </w:r>
      <w:r w:rsidRPr="00740B1A">
        <w:rPr>
          <w:rFonts w:eastAsiaTheme="minorEastAsia"/>
          <w:noProof/>
          <w:szCs w:val="24"/>
        </w:rPr>
        <w:t xml:space="preserve">full accountability of individuals, including the Russian leadership, for international crimes. </w:t>
      </w:r>
      <w:r w:rsidR="623A4DF3" w:rsidRPr="00740B1A">
        <w:rPr>
          <w:noProof/>
        </w:rPr>
        <w:t xml:space="preserve">The present proposal has the main objective of authorising the Commission to </w:t>
      </w:r>
      <w:r w:rsidR="00FB350F">
        <w:rPr>
          <w:noProof/>
        </w:rPr>
        <w:t>sign</w:t>
      </w:r>
      <w:r w:rsidR="623A4DF3" w:rsidRPr="00740B1A">
        <w:rPr>
          <w:noProof/>
        </w:rPr>
        <w:t xml:space="preserve">, on behalf of the Union, </w:t>
      </w:r>
      <w:r w:rsidR="62022248" w:rsidRPr="00740B1A">
        <w:rPr>
          <w:noProof/>
        </w:rPr>
        <w:t>the EPA on t</w:t>
      </w:r>
      <w:r w:rsidR="623A4DF3" w:rsidRPr="00740B1A">
        <w:rPr>
          <w:noProof/>
        </w:rPr>
        <w:t>he Management Committee of the Special Tribunal for the Crime</w:t>
      </w:r>
      <w:r w:rsidR="623A4DF3" w:rsidRPr="00695895">
        <w:rPr>
          <w:noProof/>
        </w:rPr>
        <w:t xml:space="preserve"> of Aggression against Ukraine</w:t>
      </w:r>
      <w:r w:rsidR="26BD6981" w:rsidRPr="00695895">
        <w:rPr>
          <w:noProof/>
        </w:rPr>
        <w:t xml:space="preserve"> a</w:t>
      </w:r>
      <w:r w:rsidR="004254FA">
        <w:rPr>
          <w:noProof/>
        </w:rPr>
        <w:t>n</w:t>
      </w:r>
      <w:r w:rsidR="26BD6981" w:rsidRPr="00695895">
        <w:rPr>
          <w:noProof/>
        </w:rPr>
        <w:t>d to become a Founding Member of the Management Committee</w:t>
      </w:r>
      <w:r w:rsidR="623A4DF3" w:rsidRPr="00695895">
        <w:rPr>
          <w:noProof/>
        </w:rPr>
        <w:t xml:space="preserve">. The </w:t>
      </w:r>
      <w:r w:rsidR="59DD74D9" w:rsidRPr="00695895">
        <w:rPr>
          <w:noProof/>
        </w:rPr>
        <w:t xml:space="preserve">aim of the EPA on the Management Committee is to finance the Special Tribunal and assist in other administrative and managerial aspects of its operation in order to ensure that the Special Tribunal fulfils its mandate. </w:t>
      </w:r>
    </w:p>
    <w:p w:rsidR="00DE314D" w:rsidRPr="00AC781E" w:rsidRDefault="00DE314D">
      <w:pPr>
        <w:pStyle w:val="ManualHeading3"/>
        <w:rPr>
          <w:noProof/>
        </w:rPr>
      </w:pPr>
      <w:bookmarkStart w:id="34" w:name="_Toc514938018"/>
      <w:bookmarkStart w:id="35" w:name="_Toc520485031"/>
      <w:bookmarkStart w:id="36" w:name="_Toc160804573"/>
      <w:bookmarkStart w:id="37" w:name="_Toc167220265"/>
      <w:bookmarkStart w:id="38" w:name="_Toc177548997"/>
      <w:r w:rsidRPr="00AC781E">
        <w:rPr>
          <w:noProof/>
        </w:rPr>
        <w:t>1.3.2.</w:t>
      </w:r>
      <w:r w:rsidRPr="00AC781E">
        <w:rPr>
          <w:noProof/>
        </w:rPr>
        <w:tab/>
        <w:t>Specific objective(s)</w:t>
      </w:r>
      <w:bookmarkEnd w:id="34"/>
      <w:bookmarkEnd w:id="35"/>
      <w:bookmarkEnd w:id="36"/>
      <w:bookmarkEnd w:id="37"/>
      <w:bookmarkEnd w:id="38"/>
    </w:p>
    <w:p w:rsidR="00E854BE" w:rsidRDefault="00E854BE" w:rsidP="00E854BE">
      <w:pPr>
        <w:pStyle w:val="Text1"/>
        <w:pBdr>
          <w:top w:val="single" w:sz="4" w:space="1" w:color="auto"/>
          <w:left w:val="single" w:sz="4" w:space="4" w:color="auto"/>
          <w:bottom w:val="single" w:sz="4" w:space="1" w:color="auto"/>
          <w:right w:val="single" w:sz="4" w:space="4" w:color="auto"/>
        </w:pBdr>
        <w:rPr>
          <w:noProof/>
        </w:rPr>
      </w:pPr>
      <w:r>
        <w:rPr>
          <w:noProof/>
        </w:rPr>
        <w:t xml:space="preserve">(1) Sign the Resolution establishing the EPA on the Managament Committee of the Special Tribunal, subject to its conclusion at a later stage. </w:t>
      </w:r>
    </w:p>
    <w:p w:rsidR="00513B84" w:rsidRDefault="00E854BE" w:rsidP="03E2E087">
      <w:pPr>
        <w:pStyle w:val="Text1"/>
        <w:pBdr>
          <w:top w:val="single" w:sz="4" w:space="1" w:color="auto"/>
          <w:left w:val="single" w:sz="4" w:space="4" w:color="auto"/>
          <w:bottom w:val="single" w:sz="4" w:space="1" w:color="auto"/>
          <w:right w:val="single" w:sz="4" w:space="4" w:color="auto"/>
        </w:pBdr>
        <w:rPr>
          <w:noProof/>
        </w:rPr>
      </w:pPr>
      <w:r w:rsidRPr="03E2E087">
        <w:rPr>
          <w:noProof/>
        </w:rPr>
        <w:t>(2) Once the Union has concluded the Resolution establishing the EPA on the Managament Committee at a later stage, provide the Special Tribunal with the necessary financial means to fulfil its mandate</w:t>
      </w:r>
      <w:r w:rsidR="001C54EA">
        <w:rPr>
          <w:rStyle w:val="FootnoteReference"/>
          <w:noProof/>
        </w:rPr>
        <w:footnoteReference w:id="40"/>
      </w:r>
      <w:r w:rsidRPr="03E2E087">
        <w:rPr>
          <w:noProof/>
        </w:rPr>
        <w:t>.</w:t>
      </w:r>
    </w:p>
    <w:p w:rsidR="00DE314D" w:rsidRPr="00AC781E" w:rsidRDefault="00DE314D">
      <w:pPr>
        <w:pStyle w:val="ManualHeading3"/>
        <w:rPr>
          <w:noProof/>
        </w:rPr>
      </w:pPr>
      <w:bookmarkStart w:id="39" w:name="_Toc514938019"/>
      <w:bookmarkStart w:id="40" w:name="_Toc520485032"/>
      <w:bookmarkStart w:id="41" w:name="_Toc160804574"/>
      <w:bookmarkStart w:id="42" w:name="_Toc167220266"/>
      <w:bookmarkStart w:id="43" w:name="_Toc177548998"/>
      <w:r w:rsidRPr="00AC781E">
        <w:rPr>
          <w:noProof/>
        </w:rPr>
        <w:t>1.3.3.</w:t>
      </w:r>
      <w:r w:rsidRPr="00AC781E">
        <w:rPr>
          <w:noProof/>
        </w:rPr>
        <w:tab/>
        <w:t>Expected result(s) and impact</w:t>
      </w:r>
      <w:bookmarkEnd w:id="39"/>
      <w:bookmarkEnd w:id="40"/>
      <w:bookmarkEnd w:id="41"/>
      <w:bookmarkEnd w:id="42"/>
      <w:bookmarkEnd w:id="43"/>
    </w:p>
    <w:p w:rsidR="00DE314D" w:rsidRPr="00AC781E" w:rsidRDefault="00DE314D">
      <w:pPr>
        <w:pStyle w:val="Text1"/>
        <w:rPr>
          <w:i/>
          <w:noProof/>
          <w:sz w:val="20"/>
        </w:rPr>
      </w:pPr>
      <w:r w:rsidRPr="00AC781E">
        <w:rPr>
          <w:i/>
          <w:noProof/>
          <w:sz w:val="20"/>
        </w:rPr>
        <w:t>Specify the effects which the proposal/initiative should have on the beneficiaries/groups targeted.</w:t>
      </w:r>
    </w:p>
    <w:p w:rsidR="00DE314D" w:rsidRPr="00AC781E" w:rsidRDefault="00DE314D">
      <w:pPr>
        <w:pStyle w:val="ManualHeading3"/>
        <w:rPr>
          <w:noProof/>
        </w:rPr>
      </w:pPr>
      <w:bookmarkStart w:id="44" w:name="_Toc514938023"/>
      <w:bookmarkStart w:id="45" w:name="_Toc520485033"/>
      <w:bookmarkStart w:id="46" w:name="_Toc160804575"/>
      <w:bookmarkStart w:id="47" w:name="_Toc167220267"/>
      <w:bookmarkStart w:id="48" w:name="_Toc177548999"/>
      <w:r w:rsidRPr="00AC781E">
        <w:rPr>
          <w:noProof/>
        </w:rPr>
        <w:t>1.3.4.</w:t>
      </w:r>
      <w:r w:rsidRPr="00AC781E">
        <w:rPr>
          <w:noProof/>
        </w:rPr>
        <w:tab/>
        <w:t>Indicators of performance</w:t>
      </w:r>
      <w:bookmarkEnd w:id="44"/>
      <w:bookmarkEnd w:id="45"/>
      <w:bookmarkEnd w:id="46"/>
      <w:bookmarkEnd w:id="47"/>
      <w:bookmarkEnd w:id="48"/>
    </w:p>
    <w:p w:rsidR="00DE314D" w:rsidRPr="00AC781E" w:rsidRDefault="00DE314D">
      <w:pPr>
        <w:pStyle w:val="Text1"/>
        <w:rPr>
          <w:i/>
          <w:noProof/>
          <w:sz w:val="20"/>
        </w:rPr>
      </w:pPr>
      <w:r w:rsidRPr="00AC781E">
        <w:rPr>
          <w:i/>
          <w:noProof/>
          <w:sz w:val="20"/>
        </w:rPr>
        <w:t>Specify the indicators for monitoring progress and achievements.</w:t>
      </w:r>
    </w:p>
    <w:p w:rsidR="00DE314D" w:rsidRPr="00695895" w:rsidRDefault="64B05129" w:rsidP="193F07E0">
      <w:pPr>
        <w:pStyle w:val="Text1"/>
        <w:pBdr>
          <w:top w:val="single" w:sz="4" w:space="1" w:color="auto"/>
          <w:left w:val="single" w:sz="4" w:space="4" w:color="auto"/>
          <w:bottom w:val="single" w:sz="4" w:space="1" w:color="auto"/>
          <w:right w:val="single" w:sz="4" w:space="4" w:color="auto"/>
        </w:pBdr>
        <w:rPr>
          <w:noProof/>
        </w:rPr>
      </w:pPr>
      <w:r w:rsidRPr="00695895">
        <w:rPr>
          <w:noProof/>
        </w:rPr>
        <w:t xml:space="preserve">The setting up of the Management Committee of the Special Tribunal for the Crime of Aggression against Ukraine and </w:t>
      </w:r>
      <w:r w:rsidRPr="00540E88">
        <w:rPr>
          <w:noProof/>
        </w:rPr>
        <w:t>the subsequent establishment of the Special Tribunal.</w:t>
      </w:r>
    </w:p>
    <w:p w:rsidR="00DE314D" w:rsidRPr="00AC781E" w:rsidRDefault="00DE314D">
      <w:pPr>
        <w:pStyle w:val="ManualHeading2"/>
        <w:rPr>
          <w:noProof/>
        </w:rPr>
      </w:pPr>
      <w:bookmarkStart w:id="49" w:name="_Toc177549000"/>
      <w:r w:rsidRPr="00AC781E">
        <w:rPr>
          <w:noProof/>
        </w:rPr>
        <w:t>1.4.</w:t>
      </w:r>
      <w:r w:rsidRPr="00AC781E">
        <w:rPr>
          <w:noProof/>
        </w:rPr>
        <w:tab/>
        <w:t>The proposal/initiative relates to:</w:t>
      </w:r>
      <w:bookmarkEnd w:id="49"/>
      <w:r w:rsidRPr="00AC781E">
        <w:rPr>
          <w:noProof/>
        </w:rPr>
        <w:t xml:space="preserve"> </w:t>
      </w:r>
    </w:p>
    <w:p w:rsidR="00DE314D" w:rsidRPr="00AC781E" w:rsidRDefault="00B92EA5" w:rsidP="193F07E0">
      <w:pPr>
        <w:pStyle w:val="Text1"/>
        <w:rPr>
          <w:noProof/>
          <w:sz w:val="22"/>
        </w:rPr>
      </w:pPr>
      <w:r w:rsidRPr="00B92EA5">
        <w:rPr>
          <w:rFonts w:ascii="Wingdings" w:eastAsia="Wingdings" w:hAnsi="Wingdings" w:cs="Wingdings"/>
          <w:noProof/>
          <w:sz w:val="22"/>
        </w:rPr>
        <w:t></w:t>
      </w:r>
      <w:r w:rsidRPr="00AC781E">
        <w:rPr>
          <w:i/>
          <w:iCs/>
          <w:noProof/>
          <w:sz w:val="22"/>
        </w:rPr>
        <w:t xml:space="preserve"> </w:t>
      </w:r>
      <w:r w:rsidR="00DE314D" w:rsidRPr="00AC781E">
        <w:rPr>
          <w:noProof/>
        </w:rPr>
        <w:t>a new action</w:t>
      </w:r>
      <w:r w:rsidR="00DE314D" w:rsidRPr="00AC781E">
        <w:rPr>
          <w:noProof/>
          <w:sz w:val="22"/>
        </w:rPr>
        <w:t xml:space="preserve"> </w:t>
      </w:r>
    </w:p>
    <w:p w:rsidR="00DE314D" w:rsidRPr="00AC781E" w:rsidRDefault="00DE314D">
      <w:pPr>
        <w:pStyle w:val="Text1"/>
        <w:rPr>
          <w:noProof/>
          <w:sz w:val="22"/>
        </w:rPr>
      </w:pPr>
      <w:r w:rsidRPr="00AC781E">
        <w:rPr>
          <w:rFonts w:ascii="Wingdings" w:eastAsia="Wingdings" w:hAnsi="Wingdings" w:cs="Wingdings"/>
          <w:noProof/>
          <w:sz w:val="22"/>
        </w:rPr>
        <w:t></w:t>
      </w:r>
      <w:r w:rsidRPr="00AC781E">
        <w:rPr>
          <w:i/>
          <w:iCs/>
          <w:noProof/>
          <w:sz w:val="22"/>
        </w:rPr>
        <w:t xml:space="preserve"> </w:t>
      </w:r>
      <w:r w:rsidRPr="00AC781E">
        <w:rPr>
          <w:noProof/>
        </w:rPr>
        <w:t>a new action following a pilot project / preparatory action</w:t>
      </w:r>
      <w:r w:rsidRPr="00AC781E">
        <w:rPr>
          <w:rStyle w:val="FootnoteReference"/>
          <w:noProof/>
        </w:rPr>
        <w:footnoteReference w:id="41"/>
      </w:r>
      <w:r w:rsidRPr="00AC781E">
        <w:rPr>
          <w:noProof/>
          <w:sz w:val="22"/>
        </w:rPr>
        <w:t xml:space="preserve"> </w:t>
      </w:r>
    </w:p>
    <w:p w:rsidR="00DE314D" w:rsidRPr="00AC781E" w:rsidRDefault="00DE314D">
      <w:pPr>
        <w:pStyle w:val="Text1"/>
        <w:rPr>
          <w:noProof/>
          <w:sz w:val="22"/>
        </w:rPr>
      </w:pPr>
      <w:r w:rsidRPr="00AC781E">
        <w:rPr>
          <w:rFonts w:ascii="Wingdings" w:eastAsia="Wingdings" w:hAnsi="Wingdings" w:cs="Wingdings"/>
          <w:noProof/>
          <w:sz w:val="22"/>
        </w:rPr>
        <w:t></w:t>
      </w:r>
      <w:r w:rsidRPr="00AC781E">
        <w:rPr>
          <w:i/>
          <w:iCs/>
          <w:noProof/>
          <w:sz w:val="22"/>
        </w:rPr>
        <w:t xml:space="preserve"> </w:t>
      </w:r>
      <w:r w:rsidRPr="00AC781E">
        <w:rPr>
          <w:noProof/>
        </w:rPr>
        <w:t>the extension of an existing action</w:t>
      </w:r>
      <w:r w:rsidRPr="00AC781E">
        <w:rPr>
          <w:noProof/>
          <w:sz w:val="22"/>
        </w:rPr>
        <w:t xml:space="preserve"> </w:t>
      </w:r>
    </w:p>
    <w:p w:rsidR="00DE314D" w:rsidRPr="00AC781E" w:rsidRDefault="00DE314D">
      <w:pPr>
        <w:pStyle w:val="Text1"/>
        <w:rPr>
          <w:noProof/>
        </w:rPr>
      </w:pPr>
      <w:r w:rsidRPr="00AC781E">
        <w:rPr>
          <w:rFonts w:ascii="Wingdings" w:eastAsia="Wingdings" w:hAnsi="Wingdings" w:cs="Wingdings"/>
          <w:noProof/>
          <w:sz w:val="22"/>
        </w:rPr>
        <w:t></w:t>
      </w:r>
      <w:r w:rsidRPr="00AC781E">
        <w:rPr>
          <w:i/>
          <w:iCs/>
          <w:noProof/>
          <w:sz w:val="22"/>
        </w:rPr>
        <w:t xml:space="preserve"> </w:t>
      </w:r>
      <w:r w:rsidRPr="00AC781E">
        <w:rPr>
          <w:noProof/>
        </w:rPr>
        <w:t>a merger or redirection of one or more actions towards another/a new action</w:t>
      </w:r>
    </w:p>
    <w:p w:rsidR="00DE314D" w:rsidRPr="00AC781E" w:rsidRDefault="00DE314D">
      <w:pPr>
        <w:pStyle w:val="ManualHeading2"/>
        <w:rPr>
          <w:bCs/>
          <w:noProof/>
          <w:szCs w:val="24"/>
        </w:rPr>
      </w:pPr>
      <w:bookmarkStart w:id="50" w:name="_Toc514938025"/>
      <w:bookmarkStart w:id="51" w:name="_Toc520485034"/>
      <w:bookmarkStart w:id="52" w:name="_Toc160804576"/>
      <w:bookmarkStart w:id="53" w:name="_Toc167220268"/>
      <w:bookmarkStart w:id="54" w:name="_Toc177549001"/>
      <w:r w:rsidRPr="00AC781E">
        <w:rPr>
          <w:noProof/>
        </w:rPr>
        <w:t>1.5.</w:t>
      </w:r>
      <w:r w:rsidRPr="00AC781E">
        <w:rPr>
          <w:noProof/>
        </w:rPr>
        <w:tab/>
        <w:t>Grounds for the proposal/initiative</w:t>
      </w:r>
      <w:bookmarkEnd w:id="50"/>
      <w:bookmarkEnd w:id="51"/>
      <w:bookmarkEnd w:id="52"/>
      <w:bookmarkEnd w:id="53"/>
      <w:bookmarkEnd w:id="54"/>
      <w:r w:rsidRPr="00AC781E">
        <w:rPr>
          <w:noProof/>
        </w:rPr>
        <w:t xml:space="preserve"> </w:t>
      </w:r>
    </w:p>
    <w:p w:rsidR="00DE314D" w:rsidRDefault="00DE314D">
      <w:pPr>
        <w:pStyle w:val="ManualHeading3"/>
        <w:rPr>
          <w:noProof/>
        </w:rPr>
      </w:pPr>
      <w:bookmarkStart w:id="55" w:name="_Toc514938026"/>
      <w:bookmarkStart w:id="56" w:name="_Toc520485035"/>
      <w:bookmarkStart w:id="57" w:name="_Toc160804577"/>
      <w:bookmarkStart w:id="58" w:name="_Toc167220269"/>
      <w:bookmarkStart w:id="59" w:name="_Toc177549002"/>
      <w:r w:rsidRPr="00AC781E">
        <w:rPr>
          <w:noProof/>
        </w:rPr>
        <w:t>1.5.1.</w:t>
      </w:r>
      <w:r w:rsidRPr="00AC781E">
        <w:rPr>
          <w:noProof/>
        </w:rPr>
        <w:tab/>
        <w:t>Requirement(s) to be met in the short or long term including a detailed timeline for roll-out of the implementation of the initiative</w:t>
      </w:r>
      <w:bookmarkEnd w:id="55"/>
      <w:bookmarkEnd w:id="56"/>
      <w:bookmarkEnd w:id="57"/>
      <w:bookmarkEnd w:id="58"/>
      <w:bookmarkEnd w:id="59"/>
    </w:p>
    <w:p w:rsidR="00513B84" w:rsidRPr="00945508" w:rsidRDefault="00513B84" w:rsidP="00945508">
      <w:pPr>
        <w:pStyle w:val="Text1"/>
        <w:pBdr>
          <w:top w:val="single" w:sz="4" w:space="1" w:color="auto"/>
          <w:left w:val="single" w:sz="4" w:space="4" w:color="auto"/>
          <w:bottom w:val="single" w:sz="4" w:space="1" w:color="auto"/>
          <w:right w:val="single" w:sz="4" w:space="4" w:color="auto"/>
        </w:pBdr>
        <w:rPr>
          <w:noProof/>
        </w:rPr>
      </w:pPr>
      <w:r>
        <w:rPr>
          <w:noProof/>
        </w:rPr>
        <w:t xml:space="preserve">In the short term, it is required </w:t>
      </w:r>
      <w:r w:rsidR="00CD2E79">
        <w:rPr>
          <w:noProof/>
        </w:rPr>
        <w:t xml:space="preserve">for the Union to </w:t>
      </w:r>
      <w:r w:rsidR="004221E3">
        <w:rPr>
          <w:noProof/>
        </w:rPr>
        <w:t>participate in</w:t>
      </w:r>
      <w:r w:rsidR="00CD2E79" w:rsidRPr="00EA3D49">
        <w:rPr>
          <w:noProof/>
        </w:rPr>
        <w:t xml:space="preserve"> the Committee of Ministers’ Decision adopting Resolution CM/Res(202x)x establishing the </w:t>
      </w:r>
      <w:r w:rsidR="00CD2E79" w:rsidRPr="00AC287A">
        <w:rPr>
          <w:noProof/>
        </w:rPr>
        <w:t xml:space="preserve">Enlarged Partial Agreement on the Management Committee of the Special Tribunal for the Crime of Aggression against Ukraine (EPA), whilst reserving the notification to the Secretary-General of the Council of Europe of the completion of the internal procedures </w:t>
      </w:r>
      <w:r w:rsidR="00CD2E79" w:rsidRPr="00EA3D49">
        <w:rPr>
          <w:noProof/>
        </w:rPr>
        <w:t>required for conclusion of the EPA</w:t>
      </w:r>
      <w:r w:rsidR="00CD2E79">
        <w:rPr>
          <w:noProof/>
        </w:rPr>
        <w:t xml:space="preserve">. </w:t>
      </w:r>
      <w:r>
        <w:rPr>
          <w:noProof/>
        </w:rPr>
        <w:t xml:space="preserve">In the long-term, </w:t>
      </w:r>
      <w:r w:rsidR="00CD2E79">
        <w:rPr>
          <w:noProof/>
        </w:rPr>
        <w:t>conclusion of the EPA is envisaged.</w:t>
      </w:r>
    </w:p>
    <w:p w:rsidR="00DE314D" w:rsidRPr="00AC781E" w:rsidRDefault="00DE314D">
      <w:pPr>
        <w:pStyle w:val="ManualHeading3"/>
        <w:rPr>
          <w:bCs/>
          <w:noProof/>
          <w:szCs w:val="24"/>
        </w:rPr>
      </w:pPr>
      <w:bookmarkStart w:id="60" w:name="_Toc514938029"/>
      <w:bookmarkStart w:id="61" w:name="_Toc520485036"/>
      <w:bookmarkStart w:id="62" w:name="_Toc160804578"/>
      <w:bookmarkStart w:id="63" w:name="_Toc167220270"/>
      <w:bookmarkStart w:id="64" w:name="_Toc177549003"/>
      <w:r w:rsidRPr="00AC781E">
        <w:rPr>
          <w:noProof/>
        </w:rPr>
        <w:t>1.5.2.</w:t>
      </w:r>
      <w:r w:rsidRPr="00AC781E">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0"/>
      <w:bookmarkEnd w:id="61"/>
      <w:bookmarkEnd w:id="62"/>
      <w:bookmarkEnd w:id="63"/>
      <w:bookmarkEnd w:id="64"/>
    </w:p>
    <w:p w:rsidR="00DE314D" w:rsidRDefault="00DE314D">
      <w:pPr>
        <w:pStyle w:val="Text1"/>
        <w:pBdr>
          <w:top w:val="single" w:sz="4" w:space="1" w:color="auto"/>
          <w:left w:val="single" w:sz="4" w:space="4" w:color="auto"/>
          <w:bottom w:val="single" w:sz="4" w:space="1" w:color="auto"/>
          <w:right w:val="single" w:sz="4" w:space="4" w:color="auto"/>
        </w:pBdr>
        <w:rPr>
          <w:noProof/>
        </w:rPr>
      </w:pPr>
      <w:r w:rsidRPr="00AC781E">
        <w:rPr>
          <w:noProof/>
        </w:rPr>
        <w:t xml:space="preserve">Reasons for action at EU level (ex-ante) </w:t>
      </w:r>
    </w:p>
    <w:p w:rsidR="00A2328D" w:rsidRPr="00AC781E" w:rsidRDefault="00A2328D">
      <w:pPr>
        <w:pStyle w:val="Text1"/>
        <w:pBdr>
          <w:top w:val="single" w:sz="4" w:space="1" w:color="auto"/>
          <w:left w:val="single" w:sz="4" w:space="4" w:color="auto"/>
          <w:bottom w:val="single" w:sz="4" w:space="1" w:color="auto"/>
          <w:right w:val="single" w:sz="4" w:space="4" w:color="auto"/>
        </w:pBdr>
        <w:rPr>
          <w:noProof/>
        </w:rPr>
      </w:pPr>
      <w:r w:rsidRPr="00A2328D">
        <w:rPr>
          <w:noProof/>
        </w:rPr>
        <w:t xml:space="preserve">Since the outset of the Russian Federation’s military aggression against Ukraine in February 2022, the Union has consistently supported international and domestic efforts to ensure full accountability for the most serious crimes under international law committed in connection with </w:t>
      </w:r>
      <w:r w:rsidR="00194950">
        <w:rPr>
          <w:noProof/>
        </w:rPr>
        <w:t xml:space="preserve">the </w:t>
      </w:r>
      <w:r w:rsidRPr="00A2328D">
        <w:rPr>
          <w:noProof/>
        </w:rPr>
        <w:t>Russia</w:t>
      </w:r>
      <w:r w:rsidR="00194950">
        <w:rPr>
          <w:noProof/>
        </w:rPr>
        <w:t>n Federation</w:t>
      </w:r>
      <w:r w:rsidRPr="00A2328D">
        <w:rPr>
          <w:noProof/>
        </w:rPr>
        <w:t>’s war of aggression against Ukraine.</w:t>
      </w:r>
      <w:r>
        <w:rPr>
          <w:noProof/>
        </w:rPr>
        <w:t xml:space="preserve"> This commitment has been, </w:t>
      </w:r>
      <w:r w:rsidRPr="00945508">
        <w:rPr>
          <w:i/>
          <w:iCs/>
          <w:noProof/>
        </w:rPr>
        <w:t>inter alia,</w:t>
      </w:r>
      <w:r>
        <w:rPr>
          <w:noProof/>
        </w:rPr>
        <w:t xml:space="preserve"> demonstrated via the Union’s support to the setting up of the International Centre for the Prosecution of the Crime of Aggression (ICPA) at Eurojust, active engagement in the Core Group’s work on the founding instruments of the Special Tribunal and its contribution to the Special Tribunal’s Advance Team with EUR 10 million. </w:t>
      </w:r>
    </w:p>
    <w:p w:rsidR="00DE314D" w:rsidRDefault="00DE314D">
      <w:pPr>
        <w:pStyle w:val="Text1"/>
        <w:pBdr>
          <w:top w:val="single" w:sz="4" w:space="1" w:color="auto"/>
          <w:left w:val="single" w:sz="4" w:space="4" w:color="auto"/>
          <w:bottom w:val="single" w:sz="4" w:space="1" w:color="auto"/>
          <w:right w:val="single" w:sz="4" w:space="4" w:color="auto"/>
        </w:pBdr>
        <w:rPr>
          <w:noProof/>
        </w:rPr>
      </w:pPr>
      <w:r w:rsidRPr="00AC781E">
        <w:rPr>
          <w:noProof/>
        </w:rPr>
        <w:t xml:space="preserve">Expected generated EU added value (ex-post) </w:t>
      </w:r>
    </w:p>
    <w:p w:rsidR="00A2328D" w:rsidRPr="00AC781E" w:rsidRDefault="00A2328D">
      <w:pPr>
        <w:pStyle w:val="Text1"/>
        <w:pBdr>
          <w:top w:val="single" w:sz="4" w:space="1" w:color="auto"/>
          <w:left w:val="single" w:sz="4" w:space="4" w:color="auto"/>
          <w:bottom w:val="single" w:sz="4" w:space="1" w:color="auto"/>
          <w:right w:val="single" w:sz="4" w:space="4" w:color="auto"/>
        </w:pBdr>
        <w:rPr>
          <w:noProof/>
        </w:rPr>
      </w:pPr>
      <w:r w:rsidRPr="00067069">
        <w:rPr>
          <w:noProof/>
          <w:lang w:val="en-IE"/>
        </w:rPr>
        <w:t xml:space="preserve">Once the </w:t>
      </w:r>
      <w:r>
        <w:rPr>
          <w:noProof/>
          <w:lang w:val="en-IE"/>
        </w:rPr>
        <w:t>Resolution establishing the EPA</w:t>
      </w:r>
      <w:r w:rsidRPr="00067069">
        <w:rPr>
          <w:noProof/>
          <w:lang w:val="en-IE"/>
        </w:rPr>
        <w:t xml:space="preserve"> enters into force and the </w:t>
      </w:r>
      <w:r>
        <w:rPr>
          <w:noProof/>
          <w:lang w:val="en-IE"/>
        </w:rPr>
        <w:t>Special Tribunal</w:t>
      </w:r>
      <w:r w:rsidRPr="00067069">
        <w:rPr>
          <w:noProof/>
          <w:lang w:val="en-IE"/>
        </w:rPr>
        <w:t xml:space="preserve"> becomes operational, the Union’s participation as a Member will contribute to ensuring that </w:t>
      </w:r>
      <w:r>
        <w:rPr>
          <w:noProof/>
          <w:lang w:val="en-IE"/>
        </w:rPr>
        <w:t>individuals</w:t>
      </w:r>
      <w:r w:rsidRPr="00A2328D">
        <w:rPr>
          <w:noProof/>
          <w:lang w:val="en-IE"/>
        </w:rPr>
        <w:t xml:space="preserve"> bearing the greatest responsibility for the crime of aggression against Ukraine</w:t>
      </w:r>
      <w:r w:rsidR="00A44879">
        <w:rPr>
          <w:noProof/>
          <w:lang w:val="en-IE"/>
        </w:rPr>
        <w:t xml:space="preserve"> will be held responsible</w:t>
      </w:r>
      <w:r>
        <w:rPr>
          <w:noProof/>
          <w:lang w:val="en-IE"/>
        </w:rPr>
        <w:t xml:space="preserve">, </w:t>
      </w:r>
      <w:r w:rsidRPr="00067069">
        <w:rPr>
          <w:noProof/>
          <w:lang w:val="en-IE"/>
        </w:rPr>
        <w:t>in accordance with international law.</w:t>
      </w:r>
      <w:r w:rsidRPr="00A2328D">
        <w:rPr>
          <w:noProof/>
          <w:lang w:val="en-IE"/>
        </w:rPr>
        <w:t xml:space="preserve"> </w:t>
      </w:r>
      <w:r w:rsidRPr="00067069">
        <w:rPr>
          <w:noProof/>
          <w:lang w:val="en-IE"/>
        </w:rPr>
        <w:t>The Union’s involvement will promote consistency between the actions of the Union and those of its Member States, and reinforce the Union’s role in advancing accountability</w:t>
      </w:r>
      <w:r>
        <w:rPr>
          <w:noProof/>
          <w:lang w:val="en-IE"/>
        </w:rPr>
        <w:t xml:space="preserve"> </w:t>
      </w:r>
      <w:r w:rsidRPr="00067069">
        <w:rPr>
          <w:noProof/>
          <w:lang w:val="en-IE"/>
        </w:rPr>
        <w:t xml:space="preserve">for Ukraine. </w:t>
      </w:r>
    </w:p>
    <w:p w:rsidR="00DE314D" w:rsidRPr="00AC781E" w:rsidRDefault="00DE314D">
      <w:pPr>
        <w:pStyle w:val="ManualHeading3"/>
        <w:rPr>
          <w:noProof/>
        </w:rPr>
      </w:pPr>
      <w:bookmarkStart w:id="65" w:name="_Toc514938030"/>
      <w:bookmarkStart w:id="66" w:name="_Toc520485037"/>
      <w:bookmarkStart w:id="67" w:name="_Toc160804579"/>
      <w:bookmarkStart w:id="68" w:name="_Toc167220271"/>
      <w:bookmarkStart w:id="69" w:name="_Toc177549004"/>
      <w:r w:rsidRPr="00AC781E">
        <w:rPr>
          <w:noProof/>
        </w:rPr>
        <w:t>1.5.3.</w:t>
      </w:r>
      <w:r w:rsidRPr="00AC781E">
        <w:rPr>
          <w:noProof/>
        </w:rPr>
        <w:tab/>
        <w:t>Lessons learned from similar experiences in the past</w:t>
      </w:r>
      <w:bookmarkEnd w:id="65"/>
      <w:bookmarkEnd w:id="66"/>
      <w:bookmarkEnd w:id="67"/>
      <w:bookmarkEnd w:id="68"/>
      <w:bookmarkEnd w:id="69"/>
    </w:p>
    <w:p w:rsidR="00DE314D" w:rsidRDefault="00DE314D">
      <w:pPr>
        <w:pStyle w:val="ManualHeading3"/>
        <w:rPr>
          <w:noProof/>
        </w:rPr>
      </w:pPr>
      <w:bookmarkStart w:id="70" w:name="_Toc514938033"/>
      <w:bookmarkStart w:id="71" w:name="_Toc520485038"/>
      <w:bookmarkStart w:id="72" w:name="_Toc160804580"/>
      <w:bookmarkStart w:id="73" w:name="_Toc167220272"/>
      <w:bookmarkStart w:id="74" w:name="_Toc177549005"/>
      <w:r w:rsidRPr="00AC781E">
        <w:rPr>
          <w:noProof/>
        </w:rPr>
        <w:t>1.5.4.</w:t>
      </w:r>
      <w:r w:rsidRPr="00AC781E">
        <w:rPr>
          <w:noProof/>
        </w:rPr>
        <w:tab/>
        <w:t>Compatibility with the multiannual financial framework and possible synergies with other appropriate instruments</w:t>
      </w:r>
      <w:bookmarkEnd w:id="70"/>
      <w:bookmarkEnd w:id="71"/>
      <w:bookmarkEnd w:id="72"/>
      <w:bookmarkEnd w:id="73"/>
      <w:bookmarkEnd w:id="74"/>
    </w:p>
    <w:p w:rsidR="00A2328D" w:rsidRPr="00945508" w:rsidRDefault="00A2328D" w:rsidP="00945508">
      <w:pPr>
        <w:pStyle w:val="Text1"/>
        <w:pBdr>
          <w:top w:val="single" w:sz="4" w:space="1" w:color="auto"/>
          <w:left w:val="single" w:sz="4" w:space="4" w:color="auto"/>
          <w:bottom w:val="single" w:sz="4" w:space="1" w:color="auto"/>
          <w:right w:val="single" w:sz="4" w:space="4" w:color="auto"/>
        </w:pBdr>
        <w:rPr>
          <w:noProof/>
        </w:rPr>
      </w:pPr>
      <w:r w:rsidRPr="00067069">
        <w:rPr>
          <w:noProof/>
        </w:rPr>
        <w:t>The Union’s unwavering support for Ukraine reflects a shared commitment to democratic principles and to safeguarding the rules-based international order and peace in Europe. The present proposal is therefore consistent with other Union policies aimed at supporting Ukraine and upholding the international order and peace in Europe, particularly in the context of the Russian Federation’s ongoing war of aggression against Ukraine.</w:t>
      </w:r>
    </w:p>
    <w:p w:rsidR="00DE314D" w:rsidRDefault="00DE314D">
      <w:pPr>
        <w:pStyle w:val="ManualHeading3"/>
        <w:rPr>
          <w:noProof/>
        </w:rPr>
      </w:pPr>
      <w:bookmarkStart w:id="75" w:name="_Toc514938036"/>
      <w:bookmarkStart w:id="76" w:name="_Toc520485039"/>
      <w:bookmarkStart w:id="77" w:name="_Toc160804581"/>
      <w:bookmarkStart w:id="78" w:name="_Toc167220273"/>
      <w:bookmarkStart w:id="79" w:name="_Toc177549006"/>
      <w:r w:rsidRPr="00AC781E">
        <w:rPr>
          <w:noProof/>
        </w:rPr>
        <w:t>1.5.5.</w:t>
      </w:r>
      <w:r w:rsidRPr="00AC781E">
        <w:rPr>
          <w:noProof/>
        </w:rPr>
        <w:tab/>
        <w:t>Assessment of the different available financing options, including scope for redeployment</w:t>
      </w:r>
      <w:bookmarkEnd w:id="75"/>
      <w:bookmarkEnd w:id="76"/>
      <w:bookmarkEnd w:id="77"/>
      <w:bookmarkEnd w:id="78"/>
      <w:bookmarkEnd w:id="79"/>
    </w:p>
    <w:p w:rsidR="009E6311" w:rsidRDefault="009E6311" w:rsidP="03E2E087">
      <w:pPr>
        <w:pStyle w:val="Text1"/>
        <w:pBdr>
          <w:top w:val="single" w:sz="4" w:space="1" w:color="auto"/>
          <w:left w:val="single" w:sz="4" w:space="4" w:color="auto"/>
          <w:bottom w:val="single" w:sz="4" w:space="1" w:color="auto"/>
          <w:right w:val="single" w:sz="4" w:space="4" w:color="auto"/>
        </w:pBdr>
        <w:rPr>
          <w:noProof/>
        </w:rPr>
      </w:pPr>
      <w:r>
        <w:rPr>
          <w:noProof/>
        </w:rPr>
        <w:t>Once the EPA will have been established and entered into force, there will be budgetary implications, notably the Union’s obligation to contribute annually to a dedicated budget covering the expenses of both the Special Tribunal and its Management Committee</w:t>
      </w:r>
      <w:r w:rsidR="001C54EA">
        <w:rPr>
          <w:rStyle w:val="FootnoteReference"/>
          <w:noProof/>
        </w:rPr>
        <w:footnoteReference w:id="42"/>
      </w:r>
      <w:r>
        <w:rPr>
          <w:noProof/>
        </w:rPr>
        <w:t xml:space="preserve">. Thus, the Union’s subsequent participation as a Member in the EPA will require the payment of an annual contribution. Annual mandatory contributions are determined by the Management Committee and are based on the Council of Europe’s standard scale of contributions, with possible adjustments. </w:t>
      </w:r>
    </w:p>
    <w:p w:rsidR="009E6311" w:rsidRDefault="009E6311" w:rsidP="009E6311">
      <w:pPr>
        <w:pStyle w:val="Text1"/>
        <w:pBdr>
          <w:top w:val="single" w:sz="4" w:space="1" w:color="auto"/>
          <w:left w:val="single" w:sz="4" w:space="4" w:color="auto"/>
          <w:bottom w:val="single" w:sz="4" w:space="1" w:color="auto"/>
          <w:right w:val="single" w:sz="4" w:space="4" w:color="auto"/>
        </w:pBdr>
        <w:rPr>
          <w:noProof/>
        </w:rPr>
      </w:pPr>
      <w:r>
        <w:rPr>
          <w:noProof/>
        </w:rPr>
        <w:t xml:space="preserve">Pending certainty on when the Resolution establishing the EPA will enter into force, with the first annual budget to be shared among the founding members, the Council of Europe has suggested a “phased approach” for the different stages of the Tribunal’s establishment. This approach provides, pending the entry into force of the EPA, for the multidisciplinary Advance Team (Phase 0) and the Skeleton Tribunal (Phase 1). Phase 0 and Phase 1 are intended for laying the groundwork for the fully-fledged Special Tribunal (Phase 2). While budgetary estimates for Phase 2 are not yet available, preliminary estimates for Phase 0 and 1 have been provided. Including costs for the necessary security adjustments to the premises, Phase 0 amounts to approximately EUR 30 million in total, and Phase </w:t>
      </w:r>
      <w:r w:rsidR="00881624">
        <w:rPr>
          <w:noProof/>
        </w:rPr>
        <w:t>1</w:t>
      </w:r>
      <w:r>
        <w:rPr>
          <w:noProof/>
        </w:rPr>
        <w:t xml:space="preserve"> to between EUR 74 million and 77 million per year for three years. </w:t>
      </w:r>
      <w:r w:rsidR="00626B60">
        <w:rPr>
          <w:rFonts w:eastAsia="Arial Unicode MS"/>
          <w:noProof/>
        </w:rPr>
        <w:t>According to the Council of Europe, b</w:t>
      </w:r>
      <w:r w:rsidR="00626B60" w:rsidRPr="03E2E087">
        <w:rPr>
          <w:rFonts w:eastAsia="Arial Unicode MS"/>
          <w:noProof/>
        </w:rPr>
        <w:t>efore the entry into force of the EPA, these costs may be covered through voluntary contributions</w:t>
      </w:r>
      <w:r w:rsidR="00626B60">
        <w:rPr>
          <w:rFonts w:eastAsia="Arial Unicode MS"/>
          <w:noProof/>
        </w:rPr>
        <w:t xml:space="preserve"> by supportive states and the Union</w:t>
      </w:r>
      <w:r w:rsidR="00626B60" w:rsidRPr="03E2E087">
        <w:rPr>
          <w:rFonts w:eastAsia="Arial Unicode MS"/>
          <w:noProof/>
        </w:rPr>
        <w:t>.</w:t>
      </w:r>
    </w:p>
    <w:p w:rsidR="009E6311" w:rsidRDefault="009E6311" w:rsidP="00160326">
      <w:pPr>
        <w:pStyle w:val="Text1"/>
        <w:pBdr>
          <w:top w:val="single" w:sz="4" w:space="1" w:color="auto"/>
          <w:left w:val="single" w:sz="4" w:space="4" w:color="auto"/>
          <w:bottom w:val="single" w:sz="4" w:space="1" w:color="auto"/>
          <w:right w:val="single" w:sz="4" w:space="4" w:color="auto"/>
        </w:pBdr>
        <w:rPr>
          <w:noProof/>
        </w:rPr>
      </w:pPr>
      <w:r>
        <w:rPr>
          <w:noProof/>
        </w:rPr>
        <w:t xml:space="preserve">At this point, without exact knowledge of the number of the participating States, and when the entry into force of the EPA will take place, there is no clarity on the exact amount of the Union’s contribution as a Member of the Management Committee. However, the Council of Europe has provided the following possible scenario for the distribution of costs in Phase 0 and Phase 1: calculated on the basis of the scale of contributions of the Register of Damage (where the Union’s contribution amounts to 14 % of the total budget), and assuming the participation of the 40 States that took part in the Core Group, the Union’s contribution would amount to approximately EUR 4.3 million for Phase 0 and between EUR 10.5 and 11 million annually for three years for Phase 1. </w:t>
      </w:r>
      <w:r w:rsidR="001C54EA">
        <w:rPr>
          <w:noProof/>
        </w:rPr>
        <w:t>It may be noted, however, that the</w:t>
      </w:r>
      <w:r w:rsidR="001C54EA" w:rsidRPr="001C54EA">
        <w:rPr>
          <w:noProof/>
        </w:rPr>
        <w:t xml:space="preserve"> Union will not be required to pay any mandatory contributions before the Enlarged Partial Agreement has entered into force, which will likely not take place before 2028.</w:t>
      </w:r>
      <w:r w:rsidR="00160326">
        <w:rPr>
          <w:noProof/>
        </w:rPr>
        <w:t xml:space="preserve"> For </w:t>
      </w:r>
      <w:r>
        <w:rPr>
          <w:noProof/>
        </w:rPr>
        <w:t xml:space="preserve">the period </w:t>
      </w:r>
      <w:r w:rsidR="00A451FE">
        <w:rPr>
          <w:noProof/>
        </w:rPr>
        <w:t>starting in 2028</w:t>
      </w:r>
      <w:r>
        <w:rPr>
          <w:noProof/>
        </w:rPr>
        <w:t>, the Union’s contribution may be provided under the Global Europe Instrument subject to the outcome of interinstitutional negotiations on the Multiannual Financial Framework 2028-2034 and thereafter to be determined through the annual budgetary procedure and the steering mechanism.</w:t>
      </w:r>
    </w:p>
    <w:p w:rsidR="00A2328D" w:rsidRDefault="00E05E1B" w:rsidP="009E6311">
      <w:pPr>
        <w:pStyle w:val="Text1"/>
        <w:pBdr>
          <w:top w:val="single" w:sz="4" w:space="1" w:color="auto"/>
          <w:left w:val="single" w:sz="4" w:space="4" w:color="auto"/>
          <w:bottom w:val="single" w:sz="4" w:space="1" w:color="auto"/>
          <w:right w:val="single" w:sz="4" w:space="4" w:color="auto"/>
        </w:pBdr>
        <w:rPr>
          <w:noProof/>
        </w:rPr>
      </w:pPr>
      <w:r w:rsidRPr="00E05E1B" w:rsidDel="000A6A0B">
        <w:rPr>
          <w:rFonts w:eastAsia="Arial Unicode MS"/>
          <w:noProof/>
        </w:rPr>
        <w:t xml:space="preserve"> </w:t>
      </w:r>
      <w:r>
        <w:rPr>
          <w:rFonts w:eastAsia="Arial Unicode MS"/>
          <w:noProof/>
        </w:rPr>
        <w:t>Apart from the cost estimations provided by the Council of Europe as above, o</w:t>
      </w:r>
      <w:r w:rsidR="000A6A0B">
        <w:rPr>
          <w:noProof/>
        </w:rPr>
        <w:t>n</w:t>
      </w:r>
      <w:r w:rsidR="009E6311">
        <w:rPr>
          <w:noProof/>
        </w:rPr>
        <w:t xml:space="preserve"> 22 January 2026, the Council of Europe and the European Union signed a contribution agreement with the amount of EUR 10 million, for a project of a maximum duration of 24 months and financed through the European Commission’s Service for Foreign Policy Instruments, with the aim to create an Advance Team to prepare the institutional, logistical and organisational foundations of the next phases of the Special Tribunal. The Union’s support notably covers staff-related expenses for 2026 and 2027.</w:t>
      </w:r>
    </w:p>
    <w:p w:rsidR="00A2328D" w:rsidRPr="00945508" w:rsidRDefault="00A2328D" w:rsidP="00945508">
      <w:pPr>
        <w:pStyle w:val="Text1"/>
        <w:rPr>
          <w:noProof/>
        </w:rPr>
      </w:pPr>
    </w:p>
    <w:p w:rsidR="00DE314D" w:rsidRPr="00AC781E" w:rsidRDefault="00DE314D">
      <w:pPr>
        <w:pStyle w:val="ManualHeading2"/>
        <w:rPr>
          <w:bCs/>
          <w:noProof/>
          <w:szCs w:val="24"/>
        </w:rPr>
      </w:pPr>
      <w:r w:rsidRPr="00AC781E">
        <w:rPr>
          <w:noProof/>
        </w:rPr>
        <w:br w:type="page"/>
      </w:r>
      <w:bookmarkStart w:id="80" w:name="_Toc514938039"/>
      <w:bookmarkStart w:id="81" w:name="_Toc520485040"/>
      <w:bookmarkStart w:id="82" w:name="_Toc160804582"/>
      <w:bookmarkStart w:id="83" w:name="_Toc167220274"/>
      <w:bookmarkStart w:id="84" w:name="_Toc177549007"/>
      <w:r w:rsidRPr="00AC781E">
        <w:rPr>
          <w:noProof/>
        </w:rPr>
        <w:t>1.6.</w:t>
      </w:r>
      <w:r w:rsidRPr="00AC781E">
        <w:rPr>
          <w:noProof/>
        </w:rPr>
        <w:tab/>
        <w:t>Duration of the proposal/initiative</w:t>
      </w:r>
      <w:bookmarkEnd w:id="80"/>
      <w:bookmarkEnd w:id="81"/>
      <w:r w:rsidRPr="00AC781E">
        <w:rPr>
          <w:noProof/>
        </w:rPr>
        <w:t xml:space="preserve"> and of its financial impact</w:t>
      </w:r>
      <w:bookmarkEnd w:id="82"/>
      <w:bookmarkEnd w:id="83"/>
      <w:bookmarkEnd w:id="84"/>
    </w:p>
    <w:p w:rsidR="00DE314D" w:rsidRPr="00D613E7" w:rsidRDefault="001C54EA">
      <w:pPr>
        <w:pStyle w:val="Text1"/>
        <w:rPr>
          <w:noProof/>
        </w:rPr>
      </w:pPr>
      <w:r w:rsidRPr="00D613E7">
        <w:rPr>
          <w:rFonts w:ascii="Wingdings" w:eastAsia="Wingdings" w:hAnsi="Wingdings" w:cs="Wingdings"/>
          <w:noProof/>
        </w:rPr>
        <w:t></w:t>
      </w:r>
      <w:r w:rsidRPr="00D613E7">
        <w:rPr>
          <w:b/>
          <w:bCs/>
          <w:i/>
          <w:iCs/>
          <w:noProof/>
        </w:rPr>
        <w:t xml:space="preserve"> </w:t>
      </w:r>
      <w:r w:rsidR="00DE314D" w:rsidRPr="00D613E7">
        <w:rPr>
          <w:b/>
          <w:bCs/>
          <w:noProof/>
        </w:rPr>
        <w:t xml:space="preserve">limited duration </w:t>
      </w:r>
    </w:p>
    <w:p w:rsidR="00DE314D" w:rsidRPr="00D613E7" w:rsidRDefault="00513B84">
      <w:pPr>
        <w:pStyle w:val="ListDash2"/>
        <w:rPr>
          <w:noProof/>
        </w:rPr>
      </w:pPr>
      <w:r w:rsidRPr="00D613E7">
        <w:rPr>
          <w:rFonts w:ascii="Wingdings" w:eastAsia="Wingdings" w:hAnsi="Wingdings" w:cs="Wingdings"/>
          <w:noProof/>
        </w:rPr>
        <w:t></w:t>
      </w:r>
      <w:r w:rsidR="00DE314D" w:rsidRPr="00D613E7">
        <w:rPr>
          <w:noProof/>
        </w:rPr>
        <w:tab/>
        <w:t xml:space="preserve">in effect from </w:t>
      </w:r>
      <w:r w:rsidR="00160326" w:rsidRPr="006C5F1D">
        <w:rPr>
          <w:noProof/>
        </w:rPr>
        <w:t>2028</w:t>
      </w:r>
      <w:r w:rsidR="1F1CAB15" w:rsidRPr="00D613E7">
        <w:rPr>
          <w:noProof/>
        </w:rPr>
        <w:t xml:space="preserve"> </w:t>
      </w:r>
      <w:r w:rsidR="56807B8F" w:rsidRPr="00D613E7">
        <w:rPr>
          <w:noProof/>
        </w:rPr>
        <w:t>upon the fulfillment of the mandate of the Special Tribunal.</w:t>
      </w:r>
    </w:p>
    <w:p w:rsidR="00DE314D" w:rsidRPr="00AC781E" w:rsidRDefault="00DE314D">
      <w:pPr>
        <w:pStyle w:val="ListDash2"/>
        <w:rPr>
          <w:noProof/>
        </w:rPr>
      </w:pPr>
      <w:r w:rsidRPr="00AC781E">
        <w:rPr>
          <w:rFonts w:ascii="Wingdings" w:eastAsia="Wingdings" w:hAnsi="Wingdings" w:cs="Wingdings"/>
          <w:noProof/>
        </w:rPr>
        <w:t></w:t>
      </w:r>
      <w:r w:rsidRPr="00AC781E">
        <w:rPr>
          <w:noProof/>
        </w:rPr>
        <w:tab/>
        <w:t xml:space="preserve">financial impact from YYYY to YYYY for commitment appropriations and from YYYY to YYYY for payment appropriations. </w:t>
      </w:r>
    </w:p>
    <w:p w:rsidR="00DE314D" w:rsidRPr="00AC781E" w:rsidRDefault="00DE314D">
      <w:pPr>
        <w:pStyle w:val="Text1"/>
        <w:rPr>
          <w:noProof/>
        </w:rPr>
      </w:pPr>
      <w:r w:rsidRPr="00AC781E">
        <w:rPr>
          <w:rFonts w:ascii="Wingdings" w:eastAsia="Wingdings" w:hAnsi="Wingdings" w:cs="Wingdings"/>
          <w:noProof/>
        </w:rPr>
        <w:t></w:t>
      </w:r>
      <w:r w:rsidRPr="00AC781E">
        <w:rPr>
          <w:b/>
          <w:bCs/>
          <w:i/>
          <w:iCs/>
          <w:noProof/>
        </w:rPr>
        <w:t xml:space="preserve"> </w:t>
      </w:r>
      <w:r w:rsidRPr="00AC781E">
        <w:rPr>
          <w:b/>
          <w:bCs/>
          <w:noProof/>
        </w:rPr>
        <w:t>unlimited duration</w:t>
      </w:r>
    </w:p>
    <w:p w:rsidR="00DE314D" w:rsidRPr="00AC781E" w:rsidRDefault="00DE314D">
      <w:pPr>
        <w:pStyle w:val="ListDash1"/>
        <w:rPr>
          <w:noProof/>
        </w:rPr>
      </w:pPr>
      <w:r w:rsidRPr="00AC781E">
        <w:rPr>
          <w:noProof/>
        </w:rPr>
        <w:t xml:space="preserve">Implementation with a start-up period from </w:t>
      </w:r>
      <w:r w:rsidRPr="00AC781E" w:rsidDel="00DE314D">
        <w:rPr>
          <w:noProof/>
        </w:rPr>
        <w:t xml:space="preserve">YYYY </w:t>
      </w:r>
      <w:r w:rsidRPr="00AC781E">
        <w:rPr>
          <w:noProof/>
        </w:rPr>
        <w:t>to YYYY,</w:t>
      </w:r>
    </w:p>
    <w:p w:rsidR="00DE314D" w:rsidRPr="00AC781E" w:rsidRDefault="00DE314D">
      <w:pPr>
        <w:pStyle w:val="ListDash1"/>
        <w:rPr>
          <w:noProof/>
        </w:rPr>
      </w:pPr>
      <w:r w:rsidRPr="00AC781E">
        <w:rPr>
          <w:noProof/>
        </w:rPr>
        <w:t>followed by full-scale operation.</w:t>
      </w:r>
    </w:p>
    <w:p w:rsidR="00DE314D" w:rsidRPr="00AC781E" w:rsidRDefault="00DE314D" w:rsidP="77BC4F07">
      <w:pPr>
        <w:pStyle w:val="ManualHeading2"/>
        <w:rPr>
          <w:noProof/>
        </w:rPr>
      </w:pPr>
      <w:bookmarkStart w:id="85" w:name="_Toc514938040"/>
      <w:bookmarkStart w:id="86" w:name="_Toc520485041"/>
      <w:bookmarkStart w:id="87" w:name="_Toc160804583"/>
      <w:bookmarkStart w:id="88" w:name="_Toc167220275"/>
      <w:bookmarkStart w:id="89" w:name="_Toc177549008"/>
      <w:r>
        <w:rPr>
          <w:noProof/>
        </w:rPr>
        <w:t>1.7.</w:t>
      </w:r>
      <w:r>
        <w:rPr>
          <w:noProof/>
        </w:rPr>
        <w:tab/>
      </w:r>
      <w:r w:rsidRPr="03E2E087">
        <w:rPr>
          <w:noProof/>
        </w:rPr>
        <w:t>Method(s) of budget implementation planned</w:t>
      </w:r>
      <w:bookmarkEnd w:id="85"/>
      <w:bookmarkEnd w:id="86"/>
      <w:bookmarkEnd w:id="87"/>
      <w:bookmarkEnd w:id="88"/>
      <w:bookmarkEnd w:id="89"/>
      <w:r w:rsidRPr="03E2E087">
        <w:rPr>
          <w:noProof/>
        </w:rPr>
        <w:t xml:space="preserve"> </w:t>
      </w:r>
    </w:p>
    <w:p w:rsidR="00DE314D" w:rsidRPr="00AC781E" w:rsidRDefault="00774994">
      <w:pPr>
        <w:pStyle w:val="Text1"/>
        <w:rPr>
          <w:noProof/>
        </w:rPr>
      </w:pPr>
      <w:r>
        <w:rPr>
          <w:rFonts w:ascii="Wingdings" w:eastAsia="Wingdings" w:hAnsi="Wingdings" w:cs="Wingdings"/>
          <w:noProof/>
        </w:rPr>
        <w:t></w:t>
      </w:r>
      <w:r w:rsidR="00DE314D" w:rsidRPr="00AC781E">
        <w:rPr>
          <w:b/>
          <w:noProof/>
        </w:rPr>
        <w:t>Direct management</w:t>
      </w:r>
      <w:r w:rsidR="00DE314D" w:rsidRPr="00AC781E">
        <w:rPr>
          <w:noProof/>
        </w:rPr>
        <w:t xml:space="preserve"> by the Commission</w:t>
      </w:r>
    </w:p>
    <w:p w:rsidR="00DE314D" w:rsidRPr="00AC781E" w:rsidRDefault="00DE314D">
      <w:pPr>
        <w:pStyle w:val="ListDash2"/>
        <w:rPr>
          <w:rFonts w:cs="EUAlbertina"/>
          <w:noProof/>
        </w:rPr>
      </w:pPr>
      <w:r w:rsidRPr="00AC781E">
        <w:rPr>
          <w:rFonts w:ascii="Wingdings" w:eastAsia="Wingdings" w:hAnsi="Wingdings" w:cs="Wingdings"/>
          <w:noProof/>
        </w:rPr>
        <w:t></w:t>
      </w:r>
      <w:r w:rsidRPr="00AC781E">
        <w:rPr>
          <w:noProof/>
        </w:rPr>
        <w:t xml:space="preserve"> by its departments, including by its staff in the Union delegations; </w:t>
      </w:r>
    </w:p>
    <w:p w:rsidR="00DE314D" w:rsidRPr="00AC781E" w:rsidRDefault="00DE314D">
      <w:pPr>
        <w:pStyle w:val="ListDash2"/>
        <w:rPr>
          <w:noProof/>
        </w:rPr>
      </w:pPr>
      <w:r w:rsidRPr="00AC781E">
        <w:rPr>
          <w:rFonts w:ascii="Wingdings" w:eastAsia="Wingdings" w:hAnsi="Wingdings" w:cs="Wingdings"/>
          <w:noProof/>
        </w:rPr>
        <w:t></w:t>
      </w:r>
      <w:r w:rsidRPr="00AC781E">
        <w:rPr>
          <w:noProof/>
        </w:rPr>
        <w:tab/>
        <w:t xml:space="preserve">by the executive agencies </w:t>
      </w:r>
    </w:p>
    <w:p w:rsidR="00DE314D" w:rsidRPr="00AC781E" w:rsidRDefault="00DE314D">
      <w:pPr>
        <w:pStyle w:val="Text1"/>
        <w:rPr>
          <w:noProof/>
        </w:rPr>
      </w:pPr>
      <w:r w:rsidRPr="00AC781E">
        <w:rPr>
          <w:rFonts w:ascii="Wingdings" w:eastAsia="Wingdings" w:hAnsi="Wingdings" w:cs="Wingdings"/>
          <w:noProof/>
        </w:rPr>
        <w:t></w:t>
      </w:r>
      <w:r w:rsidRPr="00AC781E">
        <w:rPr>
          <w:b/>
          <w:i/>
          <w:noProof/>
        </w:rPr>
        <w:t xml:space="preserve"> </w:t>
      </w:r>
      <w:r w:rsidRPr="00AC781E">
        <w:rPr>
          <w:b/>
          <w:noProof/>
        </w:rPr>
        <w:t>Shared management</w:t>
      </w:r>
      <w:r w:rsidRPr="00AC781E">
        <w:rPr>
          <w:noProof/>
        </w:rPr>
        <w:t xml:space="preserve"> with the Member States </w:t>
      </w:r>
    </w:p>
    <w:p w:rsidR="00DE314D" w:rsidRPr="00AC781E" w:rsidRDefault="00774994">
      <w:pPr>
        <w:pStyle w:val="Text1"/>
        <w:rPr>
          <w:noProof/>
        </w:rPr>
      </w:pPr>
      <w:r w:rsidRPr="00AC781E">
        <w:rPr>
          <w:rFonts w:ascii="Wingdings" w:eastAsia="Wingdings" w:hAnsi="Wingdings" w:cs="Wingdings"/>
          <w:noProof/>
        </w:rPr>
        <w:t></w:t>
      </w:r>
      <w:r w:rsidR="00DE314D" w:rsidRPr="00AC781E">
        <w:rPr>
          <w:i/>
          <w:noProof/>
        </w:rPr>
        <w:t xml:space="preserve"> </w:t>
      </w:r>
      <w:r w:rsidR="00DE314D" w:rsidRPr="00AC781E">
        <w:rPr>
          <w:b/>
          <w:noProof/>
        </w:rPr>
        <w:t>Indirect management</w:t>
      </w:r>
      <w:r w:rsidR="00DE314D" w:rsidRPr="00AC781E">
        <w:rPr>
          <w:noProof/>
        </w:rPr>
        <w:t xml:space="preserve"> by entrusting budget implementation tasks to:</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third countries or the bodies they have designated</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international organisations and their agencies (to be specified)</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the European Investment Bank and the European Investment Fund</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bodies referred to in Articles 70 and 71 of the Financial Regulation</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public law bodies</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bodies governed by private law with a public service mission to the extent that they are provided with adequate financial guarantees</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bodies governed by the private law of a Member State that are entrusted with the implementation of a public-private partnership and that are provided with adequate financial guarantees</w:t>
      </w:r>
    </w:p>
    <w:p w:rsidR="00DE314D" w:rsidRPr="00AC781E" w:rsidRDefault="00DE314D">
      <w:pPr>
        <w:pStyle w:val="ListDash2"/>
        <w:rPr>
          <w:noProof/>
        </w:rPr>
      </w:pPr>
      <w:r w:rsidRPr="00AC781E">
        <w:rPr>
          <w:rFonts w:ascii="Wingdings" w:eastAsia="Wingdings" w:hAnsi="Wingdings" w:cs="Wingdings"/>
          <w:noProof/>
        </w:rPr>
        <w:t></w:t>
      </w:r>
      <w:r w:rsidRPr="00AC781E">
        <w:rPr>
          <w:noProof/>
        </w:rPr>
        <w:t xml:space="preserve"> bodies or persons entrusted with the implementation of specific actions in the common foreign and security policy pursuant to Title V of the Treaty on European Union, and identified in the relevant basic act</w:t>
      </w:r>
    </w:p>
    <w:p w:rsidR="00DE314D" w:rsidRPr="00AC781E" w:rsidRDefault="00DE314D">
      <w:pPr>
        <w:pStyle w:val="ListDash2"/>
        <w:rPr>
          <w:noProof/>
        </w:rPr>
      </w:pPr>
      <w:r w:rsidRPr="00AC781E">
        <w:rPr>
          <w:rFonts w:ascii="Wingdings" w:eastAsia="Wingdings" w:hAnsi="Wingdings" w:cs="Wingdings"/>
          <w:noProof/>
        </w:rPr>
        <w:t></w:t>
      </w:r>
      <w:r w:rsidR="001C634D">
        <w:rPr>
          <w:rFonts w:ascii="Wingdings" w:eastAsia="Wingdings" w:hAnsi="Wingdings" w:cs="Wingdings"/>
          <w:noProof/>
        </w:rPr>
        <w:t></w:t>
      </w:r>
      <w:r w:rsidRPr="00AC781E">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DE314D" w:rsidRPr="00AC781E" w:rsidRDefault="00DE314D">
      <w:pPr>
        <w:rPr>
          <w:noProof/>
        </w:rPr>
      </w:pPr>
      <w:r w:rsidRPr="00AC781E">
        <w:rPr>
          <w:noProof/>
        </w:rPr>
        <w:t xml:space="preserve">Comments </w:t>
      </w:r>
    </w:p>
    <w:p w:rsidR="00DE314D" w:rsidRPr="00AC781E" w:rsidRDefault="00DE314D">
      <w:pPr>
        <w:rPr>
          <w:noProof/>
        </w:rPr>
        <w:sectPr w:rsidR="00DE314D" w:rsidRPr="00AC781E" w:rsidSect="00185F1C">
          <w:pgSz w:w="11907" w:h="16840" w:code="9"/>
          <w:pgMar w:top="1134" w:right="1418" w:bottom="1134" w:left="1418" w:header="709" w:footer="709" w:gutter="0"/>
          <w:cols w:space="708"/>
          <w:docGrid w:linePitch="360"/>
        </w:sectPr>
      </w:pPr>
    </w:p>
    <w:p w:rsidR="00DE314D" w:rsidRPr="00AC781E" w:rsidRDefault="00DE314D">
      <w:pPr>
        <w:pStyle w:val="ManualHeading1"/>
        <w:rPr>
          <w:bCs/>
          <w:noProof/>
          <w:szCs w:val="24"/>
        </w:rPr>
      </w:pPr>
      <w:bookmarkStart w:id="90" w:name="_Toc514938041"/>
      <w:bookmarkStart w:id="91" w:name="_Toc520485042"/>
      <w:bookmarkStart w:id="92" w:name="_Toc160804584"/>
      <w:bookmarkStart w:id="93" w:name="_Toc167220276"/>
      <w:bookmarkStart w:id="94" w:name="_Toc177549009"/>
      <w:r w:rsidRPr="00AC781E">
        <w:rPr>
          <w:noProof/>
        </w:rPr>
        <w:t>2.</w:t>
      </w:r>
      <w:r w:rsidRPr="00AC781E">
        <w:rPr>
          <w:noProof/>
        </w:rPr>
        <w:tab/>
        <w:t>MANAGEMENT MEASURES</w:t>
      </w:r>
      <w:bookmarkEnd w:id="90"/>
      <w:bookmarkEnd w:id="91"/>
      <w:bookmarkEnd w:id="92"/>
      <w:bookmarkEnd w:id="93"/>
      <w:bookmarkEnd w:id="94"/>
      <w:r w:rsidRPr="00AC781E">
        <w:rPr>
          <w:noProof/>
        </w:rPr>
        <w:t xml:space="preserve"> </w:t>
      </w:r>
    </w:p>
    <w:p w:rsidR="00DE314D" w:rsidRDefault="00DE314D">
      <w:pPr>
        <w:pStyle w:val="ManualHeading2"/>
        <w:rPr>
          <w:noProof/>
        </w:rPr>
      </w:pPr>
      <w:bookmarkStart w:id="95" w:name="_Toc514938042"/>
      <w:bookmarkStart w:id="96" w:name="_Toc520485043"/>
      <w:bookmarkStart w:id="97" w:name="_Toc160804585"/>
      <w:bookmarkStart w:id="98" w:name="_Toc167220277"/>
      <w:bookmarkStart w:id="99" w:name="_Toc177549010"/>
      <w:r w:rsidRPr="00AC781E">
        <w:rPr>
          <w:noProof/>
        </w:rPr>
        <w:t>2.1.</w:t>
      </w:r>
      <w:r w:rsidRPr="00AC781E">
        <w:rPr>
          <w:noProof/>
        </w:rPr>
        <w:tab/>
        <w:t>Monitoring and reporting rules</w:t>
      </w:r>
      <w:bookmarkEnd w:id="95"/>
      <w:bookmarkEnd w:id="96"/>
      <w:bookmarkEnd w:id="97"/>
      <w:bookmarkEnd w:id="98"/>
      <w:bookmarkEnd w:id="99"/>
      <w:r w:rsidRPr="00AC781E">
        <w:rPr>
          <w:noProof/>
        </w:rPr>
        <w:t xml:space="preserve"> </w:t>
      </w:r>
    </w:p>
    <w:p w:rsidR="00663556" w:rsidRPr="00945508" w:rsidRDefault="00663556" w:rsidP="00945508">
      <w:pPr>
        <w:pStyle w:val="Text1"/>
        <w:pBdr>
          <w:top w:val="single" w:sz="4" w:space="1" w:color="auto"/>
          <w:left w:val="single" w:sz="4" w:space="4" w:color="auto"/>
          <w:bottom w:val="single" w:sz="4" w:space="1" w:color="auto"/>
          <w:right w:val="single" w:sz="4" w:space="4" w:color="auto"/>
        </w:pBdr>
        <w:rPr>
          <w:noProof/>
        </w:rPr>
      </w:pPr>
      <w:r w:rsidRPr="00663556">
        <w:rPr>
          <w:noProof/>
        </w:rPr>
        <w:t>Annual mandatory contributions are determined by the Management Committee and are based on the Council of Europe’s standard scale of contributions, with possible adjustments. Each year, the Management Committee, in coordination with the Council of Europe’s Secretary-General and the Special Tribunal</w:t>
      </w:r>
      <w:r w:rsidR="00D77C43">
        <w:rPr>
          <w:noProof/>
        </w:rPr>
        <w:t>’</w:t>
      </w:r>
      <w:r w:rsidRPr="00663556">
        <w:rPr>
          <w:noProof/>
        </w:rPr>
        <w:t>s Registrar, approves the expenditure budgets for both the Tribunal and the Management Committee. The annual accounts are also approved by the Management Committee and audited externally, with final oversight involving transmission of the accounts and audit reports to the Committee of Ministers of the Council of Europe for formal discharge of financial responsibility.</w:t>
      </w:r>
    </w:p>
    <w:p w:rsidR="00DE314D" w:rsidRPr="00AC781E" w:rsidRDefault="00DE314D">
      <w:pPr>
        <w:pStyle w:val="ManualHeading2"/>
        <w:rPr>
          <w:bCs/>
          <w:noProof/>
          <w:szCs w:val="24"/>
        </w:rPr>
      </w:pPr>
      <w:bookmarkStart w:id="100" w:name="_Toc514938045"/>
      <w:bookmarkStart w:id="101" w:name="_Toc520485044"/>
      <w:bookmarkStart w:id="102" w:name="_Toc160804586"/>
      <w:bookmarkStart w:id="103" w:name="_Toc167220278"/>
      <w:bookmarkStart w:id="104" w:name="_Toc177549011"/>
      <w:r w:rsidRPr="00AC781E">
        <w:rPr>
          <w:noProof/>
        </w:rPr>
        <w:t>2.2.</w:t>
      </w:r>
      <w:r w:rsidRPr="00AC781E">
        <w:rPr>
          <w:noProof/>
        </w:rPr>
        <w:tab/>
        <w:t>Management and control system(s)</w:t>
      </w:r>
      <w:bookmarkEnd w:id="100"/>
      <w:bookmarkEnd w:id="101"/>
      <w:bookmarkEnd w:id="102"/>
      <w:bookmarkEnd w:id="103"/>
      <w:bookmarkEnd w:id="104"/>
      <w:r w:rsidRPr="00AC781E">
        <w:rPr>
          <w:noProof/>
        </w:rPr>
        <w:t xml:space="preserve"> </w:t>
      </w:r>
    </w:p>
    <w:p w:rsidR="00DE314D" w:rsidRDefault="00DE314D">
      <w:pPr>
        <w:pStyle w:val="ManualHeading3"/>
        <w:rPr>
          <w:noProof/>
        </w:rPr>
      </w:pPr>
      <w:bookmarkStart w:id="105" w:name="_Toc514938046"/>
      <w:bookmarkStart w:id="106" w:name="_Toc520485045"/>
      <w:bookmarkStart w:id="107" w:name="_Toc160804587"/>
      <w:bookmarkStart w:id="108" w:name="_Toc167220279"/>
      <w:bookmarkStart w:id="109" w:name="_Toc177549012"/>
      <w:r w:rsidRPr="00AC781E">
        <w:rPr>
          <w:noProof/>
        </w:rPr>
        <w:t>2.2.1.</w:t>
      </w:r>
      <w:r w:rsidRPr="00AC781E">
        <w:rPr>
          <w:noProof/>
        </w:rPr>
        <w:tab/>
        <w:t>Justification of the budget implementation method(s), the funding implementation mechanism(s), the payment modalities and the control strategy proposed</w:t>
      </w:r>
      <w:bookmarkEnd w:id="105"/>
      <w:bookmarkEnd w:id="106"/>
      <w:bookmarkEnd w:id="107"/>
      <w:bookmarkEnd w:id="108"/>
      <w:bookmarkEnd w:id="109"/>
    </w:p>
    <w:p w:rsidR="00DE314D" w:rsidRPr="00AC781E" w:rsidRDefault="00DE314D">
      <w:pPr>
        <w:pStyle w:val="ManualHeading3"/>
        <w:rPr>
          <w:bCs/>
          <w:noProof/>
          <w:szCs w:val="24"/>
        </w:rPr>
      </w:pPr>
      <w:bookmarkStart w:id="110" w:name="_Toc514938047"/>
      <w:bookmarkStart w:id="111" w:name="_Toc520485046"/>
      <w:bookmarkStart w:id="112" w:name="_Toc160804588"/>
      <w:bookmarkStart w:id="113" w:name="_Toc167220280"/>
      <w:bookmarkStart w:id="114" w:name="_Toc177549013"/>
      <w:r w:rsidRPr="00AC781E">
        <w:rPr>
          <w:noProof/>
        </w:rPr>
        <w:t>2.2.2.</w:t>
      </w:r>
      <w:r w:rsidRPr="00AC781E">
        <w:rPr>
          <w:noProof/>
        </w:rPr>
        <w:tab/>
        <w:t>Information concerning the risks identified and the internal control system(s) set up to mitigate them</w:t>
      </w:r>
      <w:bookmarkEnd w:id="110"/>
      <w:bookmarkEnd w:id="111"/>
      <w:bookmarkEnd w:id="112"/>
      <w:bookmarkEnd w:id="113"/>
      <w:bookmarkEnd w:id="114"/>
    </w:p>
    <w:p w:rsidR="00DE314D" w:rsidRPr="00AC781E" w:rsidRDefault="00DE314D">
      <w:pPr>
        <w:pStyle w:val="ManualHeading3"/>
        <w:rPr>
          <w:noProof/>
        </w:rPr>
      </w:pPr>
      <w:bookmarkStart w:id="115" w:name="_Toc514938048"/>
      <w:bookmarkStart w:id="116" w:name="_Toc520485047"/>
      <w:bookmarkStart w:id="117" w:name="_Toc160804589"/>
      <w:bookmarkStart w:id="118" w:name="_Toc167220281"/>
      <w:bookmarkStart w:id="119" w:name="_Toc177549014"/>
      <w:r w:rsidRPr="00AC781E">
        <w:rPr>
          <w:noProof/>
        </w:rPr>
        <w:t>2.2.3.</w:t>
      </w:r>
      <w:r w:rsidRPr="00AC781E">
        <w:rPr>
          <w:noProof/>
        </w:rPr>
        <w:tab/>
        <w:t>Estimation and justification of the cost-effectiveness of the controls (ratio between the control costs and the value of the related funds managed), and assessment of the expected levels of risk of error (at payment &amp; at closure)</w:t>
      </w:r>
      <w:bookmarkEnd w:id="115"/>
      <w:bookmarkEnd w:id="116"/>
      <w:bookmarkEnd w:id="117"/>
      <w:bookmarkEnd w:id="118"/>
      <w:bookmarkEnd w:id="119"/>
      <w:r w:rsidRPr="00AC781E">
        <w:rPr>
          <w:noProof/>
        </w:rPr>
        <w:t xml:space="preserve"> </w:t>
      </w:r>
    </w:p>
    <w:p w:rsidR="00DE314D" w:rsidRPr="00AC781E" w:rsidRDefault="00DE314D">
      <w:pPr>
        <w:pStyle w:val="ManualHeading2"/>
        <w:rPr>
          <w:bCs/>
          <w:noProof/>
          <w:szCs w:val="24"/>
        </w:rPr>
      </w:pPr>
      <w:bookmarkStart w:id="120" w:name="_Toc514938049"/>
      <w:bookmarkStart w:id="121" w:name="_Toc520485048"/>
      <w:bookmarkStart w:id="122" w:name="_Toc160804590"/>
      <w:bookmarkStart w:id="123" w:name="_Toc167220282"/>
      <w:bookmarkStart w:id="124" w:name="_Toc177549015"/>
      <w:r w:rsidRPr="00AC781E">
        <w:rPr>
          <w:noProof/>
        </w:rPr>
        <w:t>2.3.</w:t>
      </w:r>
      <w:r w:rsidRPr="00AC781E">
        <w:rPr>
          <w:noProof/>
        </w:rPr>
        <w:tab/>
        <w:t>Measures to prevent fraud and irregularities</w:t>
      </w:r>
      <w:bookmarkEnd w:id="120"/>
      <w:bookmarkEnd w:id="121"/>
      <w:bookmarkEnd w:id="122"/>
      <w:bookmarkEnd w:id="123"/>
      <w:bookmarkEnd w:id="124"/>
      <w:r w:rsidRPr="00AC781E">
        <w:rPr>
          <w:noProof/>
        </w:rPr>
        <w:t xml:space="preserve"> </w:t>
      </w:r>
    </w:p>
    <w:p w:rsidR="00DE314D" w:rsidRPr="00AC781E" w:rsidRDefault="35672EA2" w:rsidP="00695895">
      <w:pPr>
        <w:pStyle w:val="Text1"/>
        <w:pBdr>
          <w:top w:val="single" w:sz="4" w:space="1" w:color="auto"/>
          <w:left w:val="single" w:sz="4" w:space="4" w:color="auto"/>
          <w:bottom w:val="single" w:sz="4" w:space="1" w:color="auto"/>
          <w:right w:val="single" w:sz="4" w:space="4" w:color="auto"/>
        </w:pBdr>
        <w:rPr>
          <w:noProof/>
        </w:rPr>
      </w:pPr>
      <w:r w:rsidRPr="00AC781E">
        <w:rPr>
          <w:noProof/>
        </w:rPr>
        <w:t>Standards rules on funding management shall apply.</w:t>
      </w:r>
    </w:p>
    <w:p w:rsidR="00DE314D" w:rsidRPr="00AC781E" w:rsidRDefault="00DE314D">
      <w:pPr>
        <w:rPr>
          <w:noProof/>
        </w:rPr>
        <w:sectPr w:rsidR="00DE314D" w:rsidRPr="00AC781E" w:rsidSect="00185F1C">
          <w:pgSz w:w="11907" w:h="16840" w:code="9"/>
          <w:pgMar w:top="1134" w:right="1418" w:bottom="1134" w:left="1418" w:header="709" w:footer="709" w:gutter="0"/>
          <w:cols w:space="708"/>
          <w:docGrid w:linePitch="360"/>
        </w:sectPr>
      </w:pPr>
    </w:p>
    <w:p w:rsidR="00DE314D" w:rsidRPr="00AC781E" w:rsidRDefault="00DE314D">
      <w:pPr>
        <w:pStyle w:val="ManualHeading1"/>
        <w:rPr>
          <w:bCs/>
          <w:noProof/>
          <w:szCs w:val="24"/>
        </w:rPr>
      </w:pPr>
      <w:bookmarkStart w:id="125" w:name="_Toc514938050"/>
      <w:bookmarkStart w:id="126" w:name="_Toc520485049"/>
      <w:bookmarkStart w:id="127" w:name="_Toc160804591"/>
      <w:bookmarkStart w:id="128" w:name="_Toc167220283"/>
      <w:bookmarkStart w:id="129" w:name="_Toc177549016"/>
      <w:r w:rsidRPr="00AC781E">
        <w:rPr>
          <w:noProof/>
        </w:rPr>
        <w:t>3.</w:t>
      </w:r>
      <w:r w:rsidRPr="00AC781E">
        <w:rPr>
          <w:noProof/>
        </w:rPr>
        <w:tab/>
        <w:t>ESTIMATED FINANCIAL IMPACT OF THE PROPOSAL/INITIATIVE</w:t>
      </w:r>
      <w:bookmarkEnd w:id="125"/>
      <w:bookmarkEnd w:id="126"/>
      <w:bookmarkEnd w:id="127"/>
      <w:bookmarkEnd w:id="128"/>
      <w:bookmarkEnd w:id="129"/>
      <w:r w:rsidRPr="00AC781E">
        <w:rPr>
          <w:noProof/>
        </w:rPr>
        <w:t xml:space="preserve"> </w:t>
      </w:r>
    </w:p>
    <w:p w:rsidR="00FE5A4B" w:rsidRDefault="00DE314D" w:rsidP="00FE5A4B">
      <w:pPr>
        <w:pStyle w:val="ManualHeading2"/>
        <w:rPr>
          <w:noProof/>
        </w:rPr>
      </w:pPr>
      <w:bookmarkStart w:id="130" w:name="_Toc514938051"/>
      <w:bookmarkStart w:id="131" w:name="_Toc520485050"/>
      <w:bookmarkStart w:id="132" w:name="_Toc160804592"/>
      <w:bookmarkStart w:id="133" w:name="_Toc167220284"/>
      <w:bookmarkStart w:id="134" w:name="_Toc177549017"/>
      <w:r w:rsidRPr="00AC781E">
        <w:rPr>
          <w:noProof/>
        </w:rPr>
        <w:t>3.1.</w:t>
      </w:r>
      <w:r w:rsidRPr="00AC781E">
        <w:rPr>
          <w:noProof/>
        </w:rPr>
        <w:tab/>
        <w:t>Heading(s) of the multiannual financial framework and expenditure budget line(s) affected</w:t>
      </w:r>
      <w:bookmarkEnd w:id="130"/>
      <w:bookmarkEnd w:id="131"/>
      <w:bookmarkEnd w:id="132"/>
      <w:bookmarkEnd w:id="133"/>
      <w:bookmarkEnd w:id="134"/>
      <w:r w:rsidRPr="00AC781E">
        <w:rPr>
          <w:noProof/>
        </w:rPr>
        <w:t xml:space="preserve"> </w:t>
      </w:r>
    </w:p>
    <w:p w:rsidR="00FE5A4B" w:rsidRPr="00FE5A4B" w:rsidRDefault="00FE5A4B" w:rsidP="00FE5A4B">
      <w:pPr>
        <w:pStyle w:val="Text1"/>
        <w:rPr>
          <w:noProof/>
        </w:rPr>
      </w:pPr>
    </w:p>
    <w:p w:rsidR="00DE314D" w:rsidRPr="00AC781E" w:rsidRDefault="00DE314D">
      <w:pPr>
        <w:pStyle w:val="ListBullet1"/>
        <w:rPr>
          <w:noProof/>
        </w:rPr>
      </w:pPr>
      <w:r w:rsidRPr="00AC781E">
        <w:rPr>
          <w:noProof/>
        </w:rPr>
        <w:t xml:space="preserve">New budget lines requested </w:t>
      </w:r>
    </w:p>
    <w:p w:rsidR="00DE314D" w:rsidRPr="00D1491A" w:rsidRDefault="00DE314D" w:rsidP="00D1491A">
      <w:pPr>
        <w:pStyle w:val="Text1"/>
        <w:rPr>
          <w:i/>
          <w:noProof/>
          <w:sz w:val="20"/>
        </w:rPr>
      </w:pPr>
      <w:r w:rsidRPr="00AC781E">
        <w:rPr>
          <w:i/>
          <w:noProof/>
          <w:u w:val="single"/>
        </w:rPr>
        <w:t>In order</w:t>
      </w:r>
      <w:r w:rsidRPr="00AC781E">
        <w:rPr>
          <w:i/>
          <w:noProof/>
        </w:rPr>
        <w:t xml:space="preserve"> of multiannual financial framework headings and budget lines.</w:t>
      </w:r>
    </w:p>
    <w:p w:rsidR="00D1491A" w:rsidRDefault="00D1491A">
      <w:pPr>
        <w:rPr>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1491A" w:rsidRPr="003A5AF4" w:rsidTr="03E2E087">
        <w:trPr>
          <w:jc w:val="center"/>
        </w:trPr>
        <w:tc>
          <w:tcPr>
            <w:tcW w:w="1092" w:type="dxa"/>
            <w:vMerge w:val="restart"/>
            <w:vAlign w:val="center"/>
          </w:tcPr>
          <w:p w:rsidR="00D1491A" w:rsidRPr="003A5AF4" w:rsidRDefault="00D1491A" w:rsidP="006972F9">
            <w:pPr>
              <w:spacing w:before="60" w:after="60"/>
              <w:jc w:val="center"/>
              <w:rPr>
                <w:noProof/>
              </w:rPr>
            </w:pPr>
            <w:r w:rsidRPr="003A5AF4">
              <w:rPr>
                <w:noProof/>
                <w:sz w:val="18"/>
              </w:rPr>
              <w:t>Heading of multiannual financial framework</w:t>
            </w:r>
          </w:p>
        </w:tc>
        <w:tc>
          <w:tcPr>
            <w:tcW w:w="4002" w:type="dxa"/>
            <w:vAlign w:val="center"/>
          </w:tcPr>
          <w:p w:rsidR="00D1491A" w:rsidRPr="003A5AF4" w:rsidRDefault="00D1491A" w:rsidP="006972F9">
            <w:pPr>
              <w:spacing w:before="60" w:after="60"/>
              <w:jc w:val="center"/>
              <w:rPr>
                <w:noProof/>
              </w:rPr>
            </w:pPr>
            <w:r w:rsidRPr="003A5AF4">
              <w:rPr>
                <w:noProof/>
                <w:sz w:val="20"/>
              </w:rPr>
              <w:t>Budget line</w:t>
            </w:r>
          </w:p>
        </w:tc>
        <w:tc>
          <w:tcPr>
            <w:tcW w:w="1092" w:type="dxa"/>
            <w:vAlign w:val="center"/>
          </w:tcPr>
          <w:p w:rsidR="00D1491A" w:rsidRPr="003A5AF4" w:rsidRDefault="00D1491A" w:rsidP="006972F9">
            <w:pPr>
              <w:spacing w:before="60" w:after="60"/>
              <w:jc w:val="center"/>
              <w:rPr>
                <w:noProof/>
              </w:rPr>
            </w:pPr>
            <w:r w:rsidRPr="003A5AF4">
              <w:rPr>
                <w:noProof/>
                <w:sz w:val="18"/>
              </w:rPr>
              <w:t>Type of expenditure</w:t>
            </w:r>
          </w:p>
        </w:tc>
        <w:tc>
          <w:tcPr>
            <w:tcW w:w="4487" w:type="dxa"/>
            <w:gridSpan w:val="4"/>
            <w:vAlign w:val="center"/>
          </w:tcPr>
          <w:p w:rsidR="00D1491A" w:rsidRPr="003A5AF4" w:rsidRDefault="00D1491A" w:rsidP="006972F9">
            <w:pPr>
              <w:spacing w:before="60" w:after="60"/>
              <w:jc w:val="center"/>
              <w:rPr>
                <w:noProof/>
              </w:rPr>
            </w:pPr>
            <w:r w:rsidRPr="003A5AF4">
              <w:rPr>
                <w:noProof/>
                <w:sz w:val="20"/>
              </w:rPr>
              <w:t xml:space="preserve">Contribution </w:t>
            </w:r>
          </w:p>
        </w:tc>
      </w:tr>
      <w:tr w:rsidR="00D1491A" w:rsidRPr="003A5AF4" w:rsidTr="03E2E087">
        <w:trPr>
          <w:cantSplit/>
          <w:jc w:val="center"/>
        </w:trPr>
        <w:tc>
          <w:tcPr>
            <w:tcW w:w="1092" w:type="dxa"/>
            <w:vMerge/>
            <w:vAlign w:val="center"/>
          </w:tcPr>
          <w:p w:rsidR="00D1491A" w:rsidRPr="003A5AF4" w:rsidRDefault="00D1491A" w:rsidP="006972F9">
            <w:pPr>
              <w:jc w:val="center"/>
              <w:rPr>
                <w:noProof/>
              </w:rPr>
            </w:pPr>
          </w:p>
        </w:tc>
        <w:tc>
          <w:tcPr>
            <w:tcW w:w="4002" w:type="dxa"/>
            <w:vAlign w:val="center"/>
          </w:tcPr>
          <w:p w:rsidR="00D1491A" w:rsidRPr="003A5AF4" w:rsidRDefault="00D1491A" w:rsidP="006972F9">
            <w:pPr>
              <w:rPr>
                <w:noProof/>
              </w:rPr>
            </w:pPr>
            <w:r w:rsidRPr="003A5AF4">
              <w:rPr>
                <w:noProof/>
                <w:sz w:val="20"/>
              </w:rPr>
              <w:t xml:space="preserve">Number </w:t>
            </w:r>
            <w:r w:rsidRPr="003A5AF4">
              <w:rPr>
                <w:noProof/>
                <w:sz w:val="22"/>
              </w:rPr>
              <w:br/>
            </w:r>
          </w:p>
        </w:tc>
        <w:tc>
          <w:tcPr>
            <w:tcW w:w="1092" w:type="dxa"/>
            <w:vAlign w:val="center"/>
          </w:tcPr>
          <w:p w:rsidR="00D1491A" w:rsidRPr="003A5AF4" w:rsidRDefault="00D1491A" w:rsidP="006972F9">
            <w:pPr>
              <w:jc w:val="center"/>
              <w:rPr>
                <w:noProof/>
              </w:rPr>
            </w:pPr>
            <w:r w:rsidRPr="003A5AF4">
              <w:rPr>
                <w:noProof/>
                <w:sz w:val="18"/>
              </w:rPr>
              <w:t>Diff./Non-diff.</w:t>
            </w:r>
            <w:r w:rsidRPr="003A5AF4">
              <w:rPr>
                <w:rStyle w:val="FootnoteReference"/>
                <w:noProof/>
                <w:sz w:val="18"/>
              </w:rPr>
              <w:footnoteReference w:id="43"/>
            </w:r>
          </w:p>
        </w:tc>
        <w:tc>
          <w:tcPr>
            <w:tcW w:w="966" w:type="dxa"/>
            <w:vAlign w:val="center"/>
          </w:tcPr>
          <w:p w:rsidR="00D1491A" w:rsidRPr="003A5AF4" w:rsidRDefault="00D1491A" w:rsidP="006972F9">
            <w:pPr>
              <w:jc w:val="center"/>
              <w:rPr>
                <w:b/>
                <w:noProof/>
                <w:sz w:val="18"/>
              </w:rPr>
            </w:pPr>
            <w:r w:rsidRPr="003A5AF4">
              <w:rPr>
                <w:noProof/>
                <w:sz w:val="18"/>
              </w:rPr>
              <w:t>from EFTA countries</w:t>
            </w:r>
            <w:r w:rsidRPr="003A5AF4">
              <w:rPr>
                <w:rStyle w:val="FootnoteReference"/>
                <w:noProof/>
                <w:sz w:val="18"/>
              </w:rPr>
              <w:footnoteReference w:id="44"/>
            </w:r>
          </w:p>
        </w:tc>
        <w:tc>
          <w:tcPr>
            <w:tcW w:w="1092" w:type="dxa"/>
            <w:vAlign w:val="center"/>
          </w:tcPr>
          <w:p w:rsidR="00D1491A" w:rsidRPr="003A5AF4" w:rsidRDefault="00D1491A" w:rsidP="006972F9">
            <w:pPr>
              <w:jc w:val="center"/>
              <w:rPr>
                <w:noProof/>
                <w:sz w:val="18"/>
              </w:rPr>
            </w:pPr>
            <w:r w:rsidRPr="003A5AF4">
              <w:rPr>
                <w:noProof/>
                <w:sz w:val="18"/>
              </w:rPr>
              <w:t>from candidate countries and potential candidates</w:t>
            </w:r>
            <w:r w:rsidRPr="003A5AF4">
              <w:rPr>
                <w:rStyle w:val="FootnoteReference"/>
                <w:noProof/>
                <w:sz w:val="18"/>
              </w:rPr>
              <w:footnoteReference w:id="45"/>
            </w:r>
          </w:p>
        </w:tc>
        <w:tc>
          <w:tcPr>
            <w:tcW w:w="966" w:type="dxa"/>
            <w:vAlign w:val="center"/>
          </w:tcPr>
          <w:p w:rsidR="00D1491A" w:rsidRPr="003A5AF4" w:rsidRDefault="00D1491A" w:rsidP="006972F9">
            <w:pPr>
              <w:jc w:val="center"/>
              <w:rPr>
                <w:noProof/>
                <w:sz w:val="18"/>
              </w:rPr>
            </w:pPr>
            <w:r w:rsidRPr="003A5AF4">
              <w:rPr>
                <w:noProof/>
                <w:sz w:val="18"/>
              </w:rPr>
              <w:t>From other third countries</w:t>
            </w:r>
          </w:p>
        </w:tc>
        <w:tc>
          <w:tcPr>
            <w:tcW w:w="1463" w:type="dxa"/>
            <w:vAlign w:val="center"/>
          </w:tcPr>
          <w:p w:rsidR="00D1491A" w:rsidRPr="003A5AF4" w:rsidRDefault="00D1491A" w:rsidP="006972F9">
            <w:pPr>
              <w:jc w:val="center"/>
              <w:rPr>
                <w:noProof/>
              </w:rPr>
            </w:pPr>
            <w:r w:rsidRPr="003A5AF4">
              <w:rPr>
                <w:noProof/>
                <w:sz w:val="18"/>
                <w:szCs w:val="18"/>
              </w:rPr>
              <w:t>other assigned revenue</w:t>
            </w:r>
          </w:p>
        </w:tc>
      </w:tr>
      <w:tr w:rsidR="00D1491A" w:rsidRPr="003A5AF4" w:rsidTr="03E2E087">
        <w:trPr>
          <w:jc w:val="center"/>
        </w:trPr>
        <w:tc>
          <w:tcPr>
            <w:tcW w:w="1092" w:type="dxa"/>
            <w:vAlign w:val="center"/>
          </w:tcPr>
          <w:p w:rsidR="00D1491A" w:rsidRPr="003A5AF4" w:rsidRDefault="00D1491A" w:rsidP="006972F9">
            <w:pPr>
              <w:jc w:val="center"/>
              <w:rPr>
                <w:noProof/>
                <w:color w:val="0000FF"/>
              </w:rPr>
            </w:pPr>
            <w:r w:rsidRPr="003A5AF4">
              <w:rPr>
                <w:noProof/>
              </w:rPr>
              <w:t>3</w:t>
            </w:r>
          </w:p>
        </w:tc>
        <w:tc>
          <w:tcPr>
            <w:tcW w:w="4002" w:type="dxa"/>
            <w:vAlign w:val="center"/>
          </w:tcPr>
          <w:p w:rsidR="00D1491A" w:rsidRPr="003A5AF4" w:rsidRDefault="00D1491A" w:rsidP="006972F9">
            <w:pPr>
              <w:spacing w:after="60"/>
              <w:rPr>
                <w:noProof/>
              </w:rPr>
            </w:pPr>
            <w:r w:rsidRPr="03E2E087">
              <w:rPr>
                <w:noProof/>
                <w:sz w:val="22"/>
              </w:rPr>
              <w:t>[Budget line for Global Europe]</w:t>
            </w:r>
            <w:r w:rsidRPr="03E2E087">
              <w:rPr>
                <w:rStyle w:val="FootnoteReference"/>
                <w:noProof/>
                <w:sz w:val="22"/>
              </w:rPr>
              <w:footnoteReference w:id="46"/>
            </w:r>
            <w:r w:rsidRPr="03E2E087">
              <w:rPr>
                <w:noProof/>
                <w:sz w:val="22"/>
              </w:rPr>
              <w:t xml:space="preserve"> </w:t>
            </w:r>
          </w:p>
        </w:tc>
        <w:tc>
          <w:tcPr>
            <w:tcW w:w="1092" w:type="dxa"/>
            <w:vAlign w:val="center"/>
          </w:tcPr>
          <w:p w:rsidR="00D1491A" w:rsidRPr="003A5AF4" w:rsidRDefault="00D1491A" w:rsidP="006972F9">
            <w:pPr>
              <w:jc w:val="center"/>
              <w:rPr>
                <w:noProof/>
                <w:color w:val="0000FF"/>
              </w:rPr>
            </w:pPr>
            <w:r w:rsidRPr="003A5AF4">
              <w:rPr>
                <w:noProof/>
                <w:sz w:val="22"/>
              </w:rPr>
              <w:t>Diff.</w:t>
            </w:r>
          </w:p>
        </w:tc>
        <w:tc>
          <w:tcPr>
            <w:tcW w:w="966" w:type="dxa"/>
            <w:vAlign w:val="center"/>
          </w:tcPr>
          <w:p w:rsidR="00D1491A" w:rsidRPr="003A5AF4" w:rsidRDefault="00D1491A" w:rsidP="006972F9">
            <w:pPr>
              <w:jc w:val="center"/>
              <w:rPr>
                <w:noProof/>
                <w:sz w:val="20"/>
                <w:szCs w:val="20"/>
              </w:rPr>
            </w:pPr>
            <w:r w:rsidRPr="003A5AF4">
              <w:rPr>
                <w:noProof/>
                <w:sz w:val="20"/>
                <w:szCs w:val="20"/>
              </w:rPr>
              <w:t>NO</w:t>
            </w:r>
          </w:p>
        </w:tc>
        <w:tc>
          <w:tcPr>
            <w:tcW w:w="1092" w:type="dxa"/>
            <w:vAlign w:val="center"/>
          </w:tcPr>
          <w:p w:rsidR="00D1491A" w:rsidRPr="003A5AF4" w:rsidRDefault="00D1491A" w:rsidP="006972F9">
            <w:pPr>
              <w:jc w:val="center"/>
              <w:rPr>
                <w:noProof/>
                <w:sz w:val="20"/>
                <w:szCs w:val="20"/>
              </w:rPr>
            </w:pPr>
            <w:r w:rsidRPr="003A5AF4">
              <w:rPr>
                <w:noProof/>
                <w:sz w:val="20"/>
                <w:szCs w:val="20"/>
              </w:rPr>
              <w:t>NO</w:t>
            </w:r>
          </w:p>
        </w:tc>
        <w:tc>
          <w:tcPr>
            <w:tcW w:w="966" w:type="dxa"/>
            <w:vAlign w:val="center"/>
          </w:tcPr>
          <w:p w:rsidR="00D1491A" w:rsidRPr="003A5AF4" w:rsidRDefault="00D1491A" w:rsidP="006972F9">
            <w:pPr>
              <w:jc w:val="center"/>
              <w:rPr>
                <w:noProof/>
                <w:sz w:val="20"/>
                <w:szCs w:val="20"/>
              </w:rPr>
            </w:pPr>
            <w:r w:rsidRPr="003A5AF4">
              <w:rPr>
                <w:noProof/>
                <w:sz w:val="20"/>
                <w:szCs w:val="20"/>
              </w:rPr>
              <w:t>NO</w:t>
            </w:r>
          </w:p>
        </w:tc>
        <w:tc>
          <w:tcPr>
            <w:tcW w:w="1463" w:type="dxa"/>
            <w:vAlign w:val="center"/>
          </w:tcPr>
          <w:p w:rsidR="00D1491A" w:rsidRPr="003A5AF4" w:rsidRDefault="00D1491A" w:rsidP="006972F9">
            <w:pPr>
              <w:jc w:val="center"/>
              <w:rPr>
                <w:noProof/>
                <w:sz w:val="20"/>
                <w:szCs w:val="20"/>
              </w:rPr>
            </w:pPr>
            <w:r w:rsidRPr="003A5AF4">
              <w:rPr>
                <w:noProof/>
                <w:sz w:val="20"/>
                <w:szCs w:val="20"/>
              </w:rPr>
              <w:t>NO</w:t>
            </w:r>
          </w:p>
        </w:tc>
      </w:tr>
    </w:tbl>
    <w:p w:rsidR="00D1491A" w:rsidRPr="00AC781E" w:rsidRDefault="00D1491A">
      <w:pPr>
        <w:rPr>
          <w:noProof/>
        </w:rPr>
        <w:sectPr w:rsidR="00D1491A" w:rsidRPr="00AC781E" w:rsidSect="00185F1C">
          <w:pgSz w:w="11907" w:h="16840" w:code="1"/>
          <w:pgMar w:top="1134" w:right="1418" w:bottom="1134" w:left="1418" w:header="709" w:footer="709" w:gutter="0"/>
          <w:cols w:space="708"/>
          <w:docGrid w:linePitch="360"/>
        </w:sectPr>
      </w:pPr>
    </w:p>
    <w:p w:rsidR="00DE314D" w:rsidRPr="00AC781E" w:rsidRDefault="00DE314D">
      <w:pPr>
        <w:pStyle w:val="ManualHeading2"/>
        <w:rPr>
          <w:bCs/>
          <w:noProof/>
          <w:szCs w:val="24"/>
        </w:rPr>
      </w:pPr>
      <w:bookmarkStart w:id="135" w:name="_Toc514938052"/>
      <w:bookmarkStart w:id="136" w:name="_Toc520485051"/>
      <w:bookmarkStart w:id="137" w:name="_Toc160804593"/>
      <w:bookmarkStart w:id="138" w:name="_Toc167220285"/>
      <w:bookmarkStart w:id="139" w:name="_Toc177549018"/>
      <w:r w:rsidRPr="00AC781E">
        <w:rPr>
          <w:noProof/>
        </w:rPr>
        <w:t>3.2.</w:t>
      </w:r>
      <w:r w:rsidRPr="00AC781E">
        <w:rPr>
          <w:noProof/>
        </w:rPr>
        <w:tab/>
        <w:t>Estimated financial impact of the proposal on appropriations</w:t>
      </w:r>
      <w:bookmarkEnd w:id="135"/>
      <w:bookmarkEnd w:id="136"/>
      <w:bookmarkEnd w:id="137"/>
      <w:bookmarkEnd w:id="138"/>
      <w:bookmarkEnd w:id="139"/>
      <w:r w:rsidRPr="00AC781E">
        <w:rPr>
          <w:noProof/>
        </w:rPr>
        <w:t xml:space="preserve"> </w:t>
      </w:r>
    </w:p>
    <w:p w:rsidR="00DE314D" w:rsidRPr="00AC781E" w:rsidRDefault="00DE314D">
      <w:pPr>
        <w:pStyle w:val="ManualHeading3"/>
        <w:rPr>
          <w:noProof/>
        </w:rPr>
      </w:pPr>
      <w:bookmarkStart w:id="140" w:name="_Toc514938053"/>
      <w:bookmarkStart w:id="141" w:name="_Toc520485052"/>
      <w:bookmarkStart w:id="142" w:name="_Toc160804594"/>
      <w:bookmarkStart w:id="143" w:name="_Toc167220286"/>
      <w:bookmarkStart w:id="144" w:name="_Toc177549019"/>
      <w:r w:rsidRPr="00AC781E">
        <w:rPr>
          <w:noProof/>
        </w:rPr>
        <w:t>3.2.1.</w:t>
      </w:r>
      <w:r w:rsidRPr="00AC781E">
        <w:rPr>
          <w:noProof/>
        </w:rPr>
        <w:tab/>
        <w:t>Summary of estimated impact on operational appropriations</w:t>
      </w:r>
      <w:bookmarkEnd w:id="140"/>
      <w:bookmarkEnd w:id="141"/>
      <w:bookmarkEnd w:id="142"/>
      <w:bookmarkEnd w:id="143"/>
      <w:bookmarkEnd w:id="144"/>
      <w:r w:rsidRPr="00AC781E">
        <w:rPr>
          <w:noProof/>
        </w:rPr>
        <w:t xml:space="preserve"> </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 xml:space="preserve">The proposal/initiative does not require the use of operational appropriations </w:t>
      </w:r>
    </w:p>
    <w:p w:rsidR="00DE314D" w:rsidRPr="00AC781E" w:rsidRDefault="00D1491A">
      <w:pPr>
        <w:pStyle w:val="ListDash1"/>
        <w:rPr>
          <w:noProof/>
        </w:rPr>
      </w:pPr>
      <w:r>
        <w:rPr>
          <w:rFonts w:ascii="Wingdings" w:eastAsia="Wingdings" w:hAnsi="Wingdings" w:cs="Wingdings"/>
          <w:noProof/>
        </w:rPr>
        <w:t></w:t>
      </w:r>
      <w:r w:rsidR="00DE314D" w:rsidRPr="00AC781E">
        <w:rPr>
          <w:noProof/>
        </w:rPr>
        <w:tab/>
        <w:t>The proposal/initiative requires the use of operational appropriations, as explained below</w:t>
      </w:r>
    </w:p>
    <w:p w:rsidR="00DE314D" w:rsidRPr="00AC781E" w:rsidRDefault="00DE314D">
      <w:pPr>
        <w:pStyle w:val="ManualHeading3"/>
        <w:rPr>
          <w:noProof/>
        </w:rPr>
      </w:pPr>
      <w:bookmarkStart w:id="145" w:name="_Toc160804595"/>
      <w:bookmarkStart w:id="146" w:name="_Toc167220287"/>
      <w:bookmarkStart w:id="147" w:name="_Toc177549020"/>
      <w:r w:rsidRPr="77BC4F07">
        <w:rPr>
          <w:noProof/>
        </w:rPr>
        <w:t>3.2.1.1.</w:t>
      </w:r>
      <w:r>
        <w:rPr>
          <w:noProof/>
        </w:rPr>
        <w:tab/>
      </w:r>
      <w:r w:rsidRPr="77BC4F07">
        <w:rPr>
          <w:noProof/>
        </w:rPr>
        <w:t>Appropriations from voted budget</w:t>
      </w:r>
      <w:bookmarkEnd w:id="145"/>
      <w:bookmarkEnd w:id="146"/>
      <w:bookmarkEnd w:id="147"/>
    </w:p>
    <w:p w:rsidR="00DE314D" w:rsidRPr="00AC781E" w:rsidRDefault="00DE314D">
      <w:pPr>
        <w:jc w:val="right"/>
        <w:rPr>
          <w:noProof/>
          <w:sz w:val="18"/>
          <w:szCs w:val="18"/>
          <w:lang w:val="en-IE"/>
        </w:rPr>
      </w:pPr>
      <w:r w:rsidRPr="00AC781E">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AC781E" w:rsidRPr="00AC781E">
        <w:tc>
          <w:tcPr>
            <w:tcW w:w="1739" w:type="pct"/>
            <w:shd w:val="thinDiagStripe" w:color="C0C0C0" w:fill="auto"/>
            <w:vAlign w:val="center"/>
          </w:tcPr>
          <w:p w:rsidR="00DE314D" w:rsidRPr="00AC781E" w:rsidRDefault="00FE5A4B">
            <w:pPr>
              <w:spacing w:before="60" w:after="60"/>
              <w:jc w:val="center"/>
              <w:rPr>
                <w:b/>
                <w:noProof/>
                <w:lang w:val="en-IE"/>
              </w:rPr>
            </w:pPr>
            <w:r w:rsidRPr="00D42B4B">
              <w:rPr>
                <w:b/>
                <w:noProof/>
                <w:sz w:val="22"/>
                <w:lang w:val="en-IE"/>
              </w:rPr>
              <w:t xml:space="preserve">Heading of multiannual financial framework </w:t>
            </w:r>
            <w:r>
              <w:rPr>
                <w:b/>
                <w:noProof/>
                <w:sz w:val="22"/>
                <w:lang w:val="en-IE"/>
              </w:rPr>
              <w:t xml:space="preserve">- </w:t>
            </w:r>
            <w:r w:rsidRPr="00D42B4B">
              <w:rPr>
                <w:b/>
                <w:bCs/>
                <w:noProof/>
                <w:sz w:val="20"/>
                <w:szCs w:val="20"/>
                <w:lang w:val="en-IE" w:eastAsia="en-IE"/>
              </w:rPr>
              <w:t>202</w:t>
            </w:r>
            <w:r w:rsidR="00F42E01">
              <w:rPr>
                <w:b/>
                <w:bCs/>
                <w:noProof/>
                <w:sz w:val="20"/>
                <w:szCs w:val="20"/>
                <w:lang w:val="en-IE" w:eastAsia="en-IE"/>
              </w:rPr>
              <w:t>8</w:t>
            </w:r>
            <w:r w:rsidRPr="00D42B4B">
              <w:rPr>
                <w:b/>
                <w:bCs/>
                <w:noProof/>
                <w:sz w:val="20"/>
                <w:szCs w:val="20"/>
                <w:lang w:val="en-IE" w:eastAsia="en-IE"/>
              </w:rPr>
              <w:t>-20</w:t>
            </w:r>
            <w:r w:rsidR="00F42E01">
              <w:rPr>
                <w:b/>
                <w:bCs/>
                <w:noProof/>
                <w:sz w:val="20"/>
                <w:szCs w:val="20"/>
                <w:lang w:val="en-IE" w:eastAsia="en-IE"/>
              </w:rPr>
              <w:t>34</w:t>
            </w:r>
          </w:p>
        </w:tc>
        <w:tc>
          <w:tcPr>
            <w:tcW w:w="396" w:type="pct"/>
            <w:vAlign w:val="center"/>
          </w:tcPr>
          <w:p w:rsidR="00DE314D" w:rsidRPr="00AC781E" w:rsidRDefault="00FE5A4B">
            <w:pPr>
              <w:spacing w:before="60" w:after="60"/>
              <w:jc w:val="center"/>
              <w:rPr>
                <w:noProof/>
              </w:rPr>
            </w:pPr>
            <w:r w:rsidRPr="00D42B4B">
              <w:rPr>
                <w:noProof/>
                <w:sz w:val="22"/>
              </w:rPr>
              <w:t>0</w:t>
            </w:r>
          </w:p>
        </w:tc>
        <w:tc>
          <w:tcPr>
            <w:tcW w:w="2865" w:type="pct"/>
            <w:vAlign w:val="center"/>
          </w:tcPr>
          <w:p w:rsidR="00FE5A4B" w:rsidRPr="00D42B4B" w:rsidRDefault="00FE5A4B" w:rsidP="00FE5A4B">
            <w:pPr>
              <w:spacing w:before="60" w:after="60"/>
              <w:rPr>
                <w:noProof/>
              </w:rPr>
            </w:pPr>
            <w:r w:rsidRPr="00D42B4B">
              <w:rPr>
                <w:noProof/>
              </w:rPr>
              <w:t xml:space="preserve">Expenditure outside the annual ceilings set out in the Multiannual Financial </w:t>
            </w:r>
          </w:p>
          <w:p w:rsidR="00DE314D" w:rsidRPr="00AC781E" w:rsidRDefault="00FE5A4B" w:rsidP="00FE5A4B">
            <w:pPr>
              <w:spacing w:before="60" w:after="60"/>
              <w:rPr>
                <w:noProof/>
              </w:rPr>
            </w:pPr>
            <w:r w:rsidRPr="00D42B4B">
              <w:rPr>
                <w:noProof/>
              </w:rPr>
              <w:t>Framework</w:t>
            </w:r>
          </w:p>
        </w:tc>
      </w:tr>
    </w:tbl>
    <w:p w:rsidR="00DE314D" w:rsidRPr="00AC781E" w:rsidRDefault="00DE314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9"/>
        <w:gridCol w:w="1237"/>
        <w:gridCol w:w="691"/>
        <w:gridCol w:w="105"/>
        <w:gridCol w:w="1384"/>
        <w:gridCol w:w="1460"/>
        <w:gridCol w:w="1065"/>
        <w:gridCol w:w="329"/>
        <w:gridCol w:w="1120"/>
        <w:gridCol w:w="779"/>
        <w:gridCol w:w="705"/>
        <w:gridCol w:w="705"/>
        <w:gridCol w:w="1461"/>
      </w:tblGrid>
      <w:tr w:rsidR="00D613E7" w:rsidRPr="00AC781E" w:rsidTr="00D613E7">
        <w:trPr>
          <w:jc w:val="center"/>
        </w:trPr>
        <w:tc>
          <w:tcPr>
            <w:tcW w:w="1428" w:type="pct"/>
            <w:gridSpan w:val="3"/>
            <w:shd w:val="clear" w:color="auto" w:fill="auto"/>
            <w:vAlign w:val="center"/>
          </w:tcPr>
          <w:p w:rsidR="009460B9" w:rsidRDefault="009460B9" w:rsidP="00492235">
            <w:pPr>
              <w:spacing w:before="60" w:after="60"/>
              <w:jc w:val="center"/>
              <w:rPr>
                <w:b/>
                <w:noProof/>
                <w:sz w:val="22"/>
                <w:lang w:val="en-IE"/>
              </w:rPr>
            </w:pPr>
            <w:r w:rsidRPr="00D42B4B">
              <w:rPr>
                <w:b/>
                <w:noProof/>
                <w:sz w:val="22"/>
                <w:lang w:val="en-IE"/>
              </w:rPr>
              <w:t xml:space="preserve">Heading of multiannual financial </w:t>
            </w:r>
            <w:r w:rsidRPr="00D42B4B">
              <w:rPr>
                <w:noProof/>
                <w:sz w:val="22"/>
                <w:lang w:val="en-IE"/>
              </w:rPr>
              <w:br/>
            </w:r>
            <w:r w:rsidRPr="00D42B4B">
              <w:rPr>
                <w:b/>
                <w:noProof/>
                <w:sz w:val="22"/>
                <w:lang w:val="en-IE"/>
              </w:rPr>
              <w:t xml:space="preserve">framework </w:t>
            </w:r>
            <w:r>
              <w:rPr>
                <w:b/>
                <w:noProof/>
                <w:sz w:val="22"/>
                <w:lang w:val="en-IE"/>
              </w:rPr>
              <w:t xml:space="preserve">–  </w:t>
            </w:r>
          </w:p>
          <w:p w:rsidR="009460B9" w:rsidRPr="00AC781E" w:rsidRDefault="009460B9" w:rsidP="00492235">
            <w:pPr>
              <w:spacing w:before="60" w:after="60"/>
              <w:jc w:val="center"/>
              <w:rPr>
                <w:b/>
                <w:noProof/>
                <w:lang w:val="en-IE"/>
              </w:rPr>
            </w:pPr>
            <w:r w:rsidRPr="00D42B4B">
              <w:rPr>
                <w:b/>
                <w:bCs/>
                <w:noProof/>
                <w:sz w:val="20"/>
                <w:szCs w:val="20"/>
                <w:lang w:val="en-IE" w:eastAsia="en-IE"/>
              </w:rPr>
              <w:t>2028-2034</w:t>
            </w:r>
          </w:p>
        </w:tc>
        <w:tc>
          <w:tcPr>
            <w:tcW w:w="1532" w:type="pct"/>
            <w:gridSpan w:val="4"/>
            <w:vAlign w:val="center"/>
          </w:tcPr>
          <w:p w:rsidR="009460B9" w:rsidRPr="00D42B4B" w:rsidRDefault="009460B9">
            <w:pPr>
              <w:spacing w:before="60" w:after="60"/>
              <w:rPr>
                <w:noProof/>
              </w:rPr>
            </w:pPr>
            <w:r w:rsidRPr="00D42B4B">
              <w:rPr>
                <w:noProof/>
                <w:sz w:val="22"/>
              </w:rPr>
              <w:t>3</w:t>
            </w:r>
            <w:r w:rsidRPr="00D42B4B">
              <w:rPr>
                <w:rStyle w:val="FootnoteReference"/>
                <w:noProof/>
                <w:sz w:val="22"/>
              </w:rPr>
              <w:footnoteReference w:id="47"/>
            </w:r>
          </w:p>
        </w:tc>
        <w:tc>
          <w:tcPr>
            <w:tcW w:w="2039" w:type="pct"/>
            <w:gridSpan w:val="6"/>
            <w:vAlign w:val="center"/>
          </w:tcPr>
          <w:p w:rsidR="009460B9" w:rsidRPr="00AC781E" w:rsidRDefault="009460B9">
            <w:pPr>
              <w:spacing w:before="60" w:after="60"/>
              <w:rPr>
                <w:noProof/>
              </w:rPr>
            </w:pPr>
            <w:r w:rsidRPr="00D42B4B">
              <w:rPr>
                <w:noProof/>
              </w:rPr>
              <w:t>Global Europe</w:t>
            </w:r>
          </w:p>
        </w:tc>
      </w:tr>
      <w:tr w:rsidR="00D613E7" w:rsidRPr="00AC781E" w:rsidTr="00774994">
        <w:tblPrEx>
          <w:tblLook w:val="04A0" w:firstRow="1" w:lastRow="0" w:firstColumn="1" w:lastColumn="0" w:noHBand="0" w:noVBand="1"/>
        </w:tblPrEx>
        <w:trPr>
          <w:trHeight w:val="420"/>
          <w:jc w:val="center"/>
        </w:trPr>
        <w:tc>
          <w:tcPr>
            <w:tcW w:w="1461" w:type="pct"/>
            <w:gridSpan w:val="4"/>
            <w:vMerge w:val="restart"/>
            <w:vAlign w:val="center"/>
            <w:hideMark/>
          </w:tcPr>
          <w:p w:rsidR="00793465" w:rsidRPr="00695895" w:rsidRDefault="00793465" w:rsidP="006972F9">
            <w:pPr>
              <w:spacing w:before="0" w:after="0"/>
              <w:jc w:val="center"/>
              <w:rPr>
                <w:noProof/>
                <w:sz w:val="22"/>
                <w:lang w:val="en-IE" w:eastAsia="en-IE"/>
              </w:rPr>
            </w:pPr>
            <w:r w:rsidRPr="00695895">
              <w:rPr>
                <w:noProof/>
                <w:sz w:val="22"/>
                <w:lang w:val="en-IE" w:eastAsia="en-IE"/>
              </w:rPr>
              <w:t>DG</w:t>
            </w:r>
          </w:p>
        </w:tc>
        <w:tc>
          <w:tcPr>
            <w:tcW w:w="528" w:type="pct"/>
            <w:vAlign w:val="center"/>
            <w:hideMark/>
          </w:tcPr>
          <w:p w:rsidR="00793465" w:rsidRPr="00695895" w:rsidRDefault="00793465" w:rsidP="006972F9">
            <w:pPr>
              <w:spacing w:before="0" w:after="0"/>
              <w:jc w:val="center"/>
              <w:rPr>
                <w:noProof/>
                <w:sz w:val="20"/>
                <w:szCs w:val="20"/>
                <w:lang w:val="en-IE" w:eastAsia="en-IE"/>
              </w:rPr>
            </w:pPr>
            <w:r w:rsidRPr="00695895">
              <w:rPr>
                <w:noProof/>
                <w:sz w:val="20"/>
                <w:szCs w:val="20"/>
                <w:lang w:val="en-IE" w:eastAsia="en-IE"/>
              </w:rPr>
              <w:t>Year</w:t>
            </w:r>
          </w:p>
        </w:tc>
        <w:tc>
          <w:tcPr>
            <w:tcW w:w="555" w:type="pct"/>
            <w:vAlign w:val="center"/>
            <w:hideMark/>
          </w:tcPr>
          <w:p w:rsidR="00793465" w:rsidRPr="00695895" w:rsidRDefault="00793465" w:rsidP="006972F9">
            <w:pPr>
              <w:spacing w:before="0" w:after="0"/>
              <w:jc w:val="center"/>
              <w:rPr>
                <w:noProof/>
                <w:sz w:val="20"/>
                <w:szCs w:val="20"/>
                <w:lang w:val="en-IE" w:eastAsia="en-IE"/>
              </w:rPr>
            </w:pPr>
            <w:r w:rsidRPr="00695895">
              <w:rPr>
                <w:noProof/>
                <w:sz w:val="20"/>
                <w:szCs w:val="20"/>
                <w:lang w:val="en-IE" w:eastAsia="en-IE"/>
              </w:rPr>
              <w:t>Year</w:t>
            </w:r>
          </w:p>
        </w:tc>
        <w:tc>
          <w:tcPr>
            <w:tcW w:w="573" w:type="pct"/>
            <w:gridSpan w:val="2"/>
            <w:vAlign w:val="center"/>
            <w:hideMark/>
          </w:tcPr>
          <w:p w:rsidR="00793465" w:rsidRPr="00695895" w:rsidRDefault="00793465" w:rsidP="006972F9">
            <w:pPr>
              <w:spacing w:before="0" w:after="0"/>
              <w:jc w:val="center"/>
              <w:rPr>
                <w:noProof/>
                <w:sz w:val="20"/>
                <w:szCs w:val="20"/>
                <w:lang w:val="en-IE" w:eastAsia="en-IE"/>
              </w:rPr>
            </w:pPr>
            <w:r w:rsidRPr="00695895">
              <w:rPr>
                <w:noProof/>
                <w:sz w:val="20"/>
                <w:szCs w:val="20"/>
                <w:lang w:val="en-IE" w:eastAsia="en-IE"/>
              </w:rPr>
              <w:t>Year</w:t>
            </w:r>
          </w:p>
        </w:tc>
        <w:tc>
          <w:tcPr>
            <w:tcW w:w="435" w:type="pct"/>
            <w:vAlign w:val="center"/>
            <w:hideMark/>
          </w:tcPr>
          <w:p w:rsidR="00793465" w:rsidRPr="00695895" w:rsidRDefault="00793465" w:rsidP="006972F9">
            <w:pPr>
              <w:spacing w:before="0" w:after="0"/>
              <w:jc w:val="center"/>
              <w:rPr>
                <w:noProof/>
                <w:sz w:val="20"/>
                <w:szCs w:val="20"/>
                <w:lang w:val="en-IE" w:eastAsia="en-IE"/>
              </w:rPr>
            </w:pPr>
            <w:r w:rsidRPr="00695895">
              <w:rPr>
                <w:noProof/>
                <w:sz w:val="20"/>
                <w:szCs w:val="20"/>
                <w:lang w:val="en-IE" w:eastAsia="en-IE"/>
              </w:rPr>
              <w:t>Year</w:t>
            </w:r>
          </w:p>
        </w:tc>
        <w:tc>
          <w:tcPr>
            <w:tcW w:w="315" w:type="pct"/>
            <w:vAlign w:val="center"/>
          </w:tcPr>
          <w:p w:rsidR="00793465" w:rsidRPr="00695895" w:rsidRDefault="00793465" w:rsidP="006972F9">
            <w:pPr>
              <w:spacing w:before="0" w:after="0"/>
              <w:jc w:val="center"/>
              <w:rPr>
                <w:b/>
                <w:bCs/>
                <w:noProof/>
                <w:sz w:val="20"/>
                <w:szCs w:val="20"/>
                <w:lang w:val="en-IE" w:eastAsia="en-IE"/>
              </w:rPr>
            </w:pPr>
            <w:r w:rsidRPr="00695895">
              <w:rPr>
                <w:noProof/>
                <w:sz w:val="20"/>
                <w:szCs w:val="20"/>
                <w:lang w:val="en-IE" w:eastAsia="en-IE"/>
              </w:rPr>
              <w:t>Year</w:t>
            </w:r>
          </w:p>
        </w:tc>
        <w:tc>
          <w:tcPr>
            <w:tcW w:w="289" w:type="pct"/>
            <w:vAlign w:val="center"/>
          </w:tcPr>
          <w:p w:rsidR="00793465" w:rsidRPr="00695895" w:rsidRDefault="00793465" w:rsidP="006972F9">
            <w:pPr>
              <w:spacing w:before="0" w:after="0"/>
              <w:jc w:val="center"/>
              <w:rPr>
                <w:b/>
                <w:bCs/>
                <w:noProof/>
                <w:sz w:val="20"/>
                <w:szCs w:val="20"/>
                <w:lang w:val="en-IE" w:eastAsia="en-IE"/>
              </w:rPr>
            </w:pPr>
            <w:r w:rsidRPr="00695895">
              <w:rPr>
                <w:noProof/>
                <w:sz w:val="20"/>
                <w:szCs w:val="20"/>
                <w:lang w:val="en-IE" w:eastAsia="en-IE"/>
              </w:rPr>
              <w:t>Year</w:t>
            </w:r>
          </w:p>
        </w:tc>
        <w:tc>
          <w:tcPr>
            <w:tcW w:w="289" w:type="pct"/>
            <w:vAlign w:val="center"/>
          </w:tcPr>
          <w:p w:rsidR="00793465" w:rsidRPr="00695895" w:rsidRDefault="00793465" w:rsidP="006972F9">
            <w:pPr>
              <w:spacing w:before="0" w:after="0"/>
              <w:jc w:val="center"/>
              <w:rPr>
                <w:b/>
                <w:bCs/>
                <w:noProof/>
                <w:sz w:val="20"/>
                <w:szCs w:val="20"/>
                <w:lang w:val="en-IE" w:eastAsia="en-IE"/>
              </w:rPr>
            </w:pPr>
            <w:r w:rsidRPr="00695895">
              <w:rPr>
                <w:noProof/>
                <w:sz w:val="20"/>
                <w:szCs w:val="20"/>
                <w:lang w:val="en-IE" w:eastAsia="en-IE"/>
              </w:rPr>
              <w:t>Year</w:t>
            </w:r>
          </w:p>
        </w:tc>
        <w:tc>
          <w:tcPr>
            <w:tcW w:w="555" w:type="pct"/>
            <w:vMerge w:val="restart"/>
            <w:vAlign w:val="center"/>
            <w:hideMark/>
          </w:tcPr>
          <w:p w:rsidR="00793465" w:rsidRPr="00695895" w:rsidRDefault="00793465" w:rsidP="006972F9">
            <w:pPr>
              <w:spacing w:before="0" w:after="0"/>
              <w:jc w:val="center"/>
              <w:rPr>
                <w:b/>
                <w:bCs/>
                <w:noProof/>
                <w:sz w:val="20"/>
                <w:szCs w:val="20"/>
                <w:lang w:val="en-IE" w:eastAsia="en-IE"/>
              </w:rPr>
            </w:pPr>
            <w:r w:rsidRPr="00695895">
              <w:rPr>
                <w:b/>
                <w:bCs/>
                <w:noProof/>
                <w:sz w:val="20"/>
                <w:szCs w:val="20"/>
                <w:lang w:val="en-IE" w:eastAsia="en-IE"/>
              </w:rPr>
              <w:t>TOTAL MFF 202</w:t>
            </w:r>
            <w:r>
              <w:rPr>
                <w:b/>
                <w:bCs/>
                <w:noProof/>
                <w:sz w:val="20"/>
                <w:szCs w:val="20"/>
                <w:lang w:val="en-IE" w:eastAsia="en-IE"/>
              </w:rPr>
              <w:t>8</w:t>
            </w:r>
            <w:r w:rsidRPr="00695895">
              <w:rPr>
                <w:b/>
                <w:bCs/>
                <w:noProof/>
                <w:sz w:val="20"/>
                <w:szCs w:val="20"/>
                <w:lang w:val="en-IE" w:eastAsia="en-IE"/>
              </w:rPr>
              <w:t>-20</w:t>
            </w:r>
            <w:r>
              <w:rPr>
                <w:b/>
                <w:bCs/>
                <w:noProof/>
                <w:sz w:val="20"/>
                <w:szCs w:val="20"/>
                <w:lang w:val="en-IE" w:eastAsia="en-IE"/>
              </w:rPr>
              <w:t>34</w:t>
            </w:r>
          </w:p>
        </w:tc>
      </w:tr>
      <w:tr w:rsidR="00D613E7" w:rsidRPr="00AC781E" w:rsidTr="00774994">
        <w:tblPrEx>
          <w:tblLook w:val="04A0" w:firstRow="1" w:lastRow="0" w:firstColumn="1" w:lastColumn="0" w:noHBand="0" w:noVBand="1"/>
        </w:tblPrEx>
        <w:trPr>
          <w:trHeight w:val="288"/>
          <w:jc w:val="center"/>
        </w:trPr>
        <w:tc>
          <w:tcPr>
            <w:tcW w:w="1461" w:type="pct"/>
            <w:gridSpan w:val="4"/>
            <w:vMerge/>
            <w:vAlign w:val="center"/>
            <w:hideMark/>
          </w:tcPr>
          <w:p w:rsidR="00793465" w:rsidRPr="00695895" w:rsidRDefault="00793465" w:rsidP="006972F9">
            <w:pPr>
              <w:spacing w:before="0" w:after="0"/>
              <w:jc w:val="left"/>
              <w:rPr>
                <w:noProof/>
                <w:sz w:val="22"/>
                <w:lang w:val="en-IE" w:eastAsia="en-IE"/>
              </w:rPr>
            </w:pPr>
          </w:p>
        </w:tc>
        <w:tc>
          <w:tcPr>
            <w:tcW w:w="528" w:type="pct"/>
            <w:vAlign w:val="center"/>
            <w:hideMark/>
          </w:tcPr>
          <w:p w:rsidR="00793465" w:rsidRPr="00695895" w:rsidRDefault="00793465" w:rsidP="006972F9">
            <w:pPr>
              <w:spacing w:before="0" w:after="0"/>
              <w:jc w:val="center"/>
              <w:rPr>
                <w:b/>
                <w:bCs/>
                <w:noProof/>
                <w:sz w:val="20"/>
                <w:szCs w:val="20"/>
                <w:lang w:val="en-IE" w:eastAsia="en-IE"/>
              </w:rPr>
            </w:pPr>
            <w:r w:rsidRPr="00695895">
              <w:rPr>
                <w:b/>
                <w:bCs/>
                <w:noProof/>
                <w:sz w:val="20"/>
                <w:szCs w:val="20"/>
                <w:lang w:val="en-IE" w:eastAsia="en-IE"/>
              </w:rPr>
              <w:t>202</w:t>
            </w:r>
            <w:r>
              <w:rPr>
                <w:b/>
                <w:bCs/>
                <w:noProof/>
                <w:sz w:val="20"/>
                <w:szCs w:val="20"/>
                <w:lang w:val="en-IE" w:eastAsia="en-IE"/>
              </w:rPr>
              <w:t>8</w:t>
            </w:r>
          </w:p>
        </w:tc>
        <w:tc>
          <w:tcPr>
            <w:tcW w:w="555" w:type="pct"/>
            <w:vAlign w:val="center"/>
            <w:hideMark/>
          </w:tcPr>
          <w:p w:rsidR="00793465" w:rsidRPr="00695895" w:rsidRDefault="00793465" w:rsidP="006972F9">
            <w:pPr>
              <w:spacing w:before="0" w:after="0"/>
              <w:jc w:val="center"/>
              <w:rPr>
                <w:b/>
                <w:bCs/>
                <w:noProof/>
                <w:sz w:val="20"/>
                <w:szCs w:val="20"/>
                <w:lang w:val="en-IE" w:eastAsia="en-IE"/>
              </w:rPr>
            </w:pPr>
            <w:r w:rsidRPr="00695895">
              <w:rPr>
                <w:b/>
                <w:bCs/>
                <w:noProof/>
                <w:sz w:val="20"/>
                <w:szCs w:val="20"/>
                <w:lang w:val="en-IE" w:eastAsia="en-IE"/>
              </w:rPr>
              <w:t>202</w:t>
            </w:r>
            <w:r>
              <w:rPr>
                <w:b/>
                <w:bCs/>
                <w:noProof/>
                <w:sz w:val="20"/>
                <w:szCs w:val="20"/>
                <w:lang w:val="en-IE" w:eastAsia="en-IE"/>
              </w:rPr>
              <w:t>9</w:t>
            </w:r>
          </w:p>
        </w:tc>
        <w:tc>
          <w:tcPr>
            <w:tcW w:w="573" w:type="pct"/>
            <w:gridSpan w:val="2"/>
            <w:vAlign w:val="center"/>
            <w:hideMark/>
          </w:tcPr>
          <w:p w:rsidR="00793465" w:rsidRPr="00695895" w:rsidRDefault="00793465" w:rsidP="006972F9">
            <w:pPr>
              <w:spacing w:before="0" w:after="0"/>
              <w:jc w:val="center"/>
              <w:rPr>
                <w:b/>
                <w:bCs/>
                <w:noProof/>
                <w:sz w:val="20"/>
                <w:szCs w:val="20"/>
                <w:lang w:val="en-IE" w:eastAsia="en-IE"/>
              </w:rPr>
            </w:pPr>
            <w:r w:rsidRPr="00695895">
              <w:rPr>
                <w:b/>
                <w:bCs/>
                <w:noProof/>
                <w:sz w:val="20"/>
                <w:szCs w:val="20"/>
                <w:lang w:val="en-IE" w:eastAsia="en-IE"/>
              </w:rPr>
              <w:t>20</w:t>
            </w:r>
            <w:r>
              <w:rPr>
                <w:b/>
                <w:bCs/>
                <w:noProof/>
                <w:sz w:val="20"/>
                <w:szCs w:val="20"/>
                <w:lang w:val="en-IE" w:eastAsia="en-IE"/>
              </w:rPr>
              <w:t>30</w:t>
            </w:r>
          </w:p>
        </w:tc>
        <w:tc>
          <w:tcPr>
            <w:tcW w:w="435" w:type="pct"/>
            <w:vAlign w:val="center"/>
            <w:hideMark/>
          </w:tcPr>
          <w:p w:rsidR="00793465" w:rsidRPr="00695895" w:rsidRDefault="00793465" w:rsidP="006972F9">
            <w:pPr>
              <w:spacing w:before="0" w:after="0"/>
              <w:jc w:val="center"/>
              <w:rPr>
                <w:b/>
                <w:bCs/>
                <w:noProof/>
                <w:sz w:val="20"/>
                <w:szCs w:val="20"/>
                <w:lang w:val="en-IE" w:eastAsia="en-IE"/>
              </w:rPr>
            </w:pPr>
            <w:r w:rsidRPr="03E2E087">
              <w:rPr>
                <w:b/>
                <w:bCs/>
                <w:noProof/>
                <w:sz w:val="20"/>
                <w:szCs w:val="20"/>
                <w:lang w:val="en-IE" w:eastAsia="en-IE"/>
              </w:rPr>
              <w:t>2031</w:t>
            </w:r>
          </w:p>
        </w:tc>
        <w:tc>
          <w:tcPr>
            <w:tcW w:w="315" w:type="pct"/>
            <w:vAlign w:val="center"/>
          </w:tcPr>
          <w:p w:rsidR="00793465" w:rsidRPr="00695895" w:rsidRDefault="00793465" w:rsidP="006972F9">
            <w:pPr>
              <w:spacing w:before="0" w:after="0"/>
              <w:jc w:val="left"/>
              <w:rPr>
                <w:b/>
                <w:bCs/>
                <w:noProof/>
                <w:sz w:val="20"/>
                <w:szCs w:val="20"/>
                <w:lang w:val="en-IE" w:eastAsia="en-IE"/>
              </w:rPr>
            </w:pPr>
            <w:r>
              <w:rPr>
                <w:b/>
                <w:bCs/>
                <w:noProof/>
                <w:sz w:val="20"/>
                <w:szCs w:val="20"/>
                <w:lang w:val="en-IE" w:eastAsia="en-IE"/>
              </w:rPr>
              <w:t>2032</w:t>
            </w:r>
          </w:p>
        </w:tc>
        <w:tc>
          <w:tcPr>
            <w:tcW w:w="289" w:type="pct"/>
            <w:vAlign w:val="center"/>
          </w:tcPr>
          <w:p w:rsidR="00793465" w:rsidRPr="00695895" w:rsidRDefault="00793465" w:rsidP="006972F9">
            <w:pPr>
              <w:spacing w:before="0" w:after="0"/>
              <w:jc w:val="left"/>
              <w:rPr>
                <w:b/>
                <w:bCs/>
                <w:noProof/>
                <w:sz w:val="20"/>
                <w:szCs w:val="20"/>
                <w:lang w:val="en-IE" w:eastAsia="en-IE"/>
              </w:rPr>
            </w:pPr>
            <w:r>
              <w:rPr>
                <w:b/>
                <w:bCs/>
                <w:noProof/>
                <w:sz w:val="20"/>
                <w:szCs w:val="20"/>
                <w:lang w:val="en-IE" w:eastAsia="en-IE"/>
              </w:rPr>
              <w:t>2033</w:t>
            </w:r>
          </w:p>
        </w:tc>
        <w:tc>
          <w:tcPr>
            <w:tcW w:w="289" w:type="pct"/>
            <w:vAlign w:val="center"/>
          </w:tcPr>
          <w:p w:rsidR="00793465" w:rsidRPr="00695895" w:rsidRDefault="00793465" w:rsidP="006972F9">
            <w:pPr>
              <w:spacing w:before="0" w:after="0"/>
              <w:jc w:val="left"/>
              <w:rPr>
                <w:b/>
                <w:bCs/>
                <w:noProof/>
                <w:sz w:val="20"/>
                <w:szCs w:val="20"/>
                <w:lang w:val="en-IE" w:eastAsia="en-IE"/>
              </w:rPr>
            </w:pPr>
            <w:r>
              <w:rPr>
                <w:b/>
                <w:bCs/>
                <w:noProof/>
                <w:sz w:val="20"/>
                <w:szCs w:val="20"/>
                <w:lang w:val="en-IE" w:eastAsia="en-IE"/>
              </w:rPr>
              <w:t>2034</w:t>
            </w:r>
          </w:p>
        </w:tc>
        <w:tc>
          <w:tcPr>
            <w:tcW w:w="555" w:type="pct"/>
            <w:vMerge/>
            <w:vAlign w:val="center"/>
            <w:hideMark/>
          </w:tcPr>
          <w:p w:rsidR="00793465" w:rsidRPr="00695895" w:rsidRDefault="00793465" w:rsidP="006972F9">
            <w:pPr>
              <w:spacing w:before="0" w:after="0"/>
              <w:jc w:val="left"/>
              <w:rPr>
                <w:b/>
                <w:bCs/>
                <w:noProof/>
                <w:sz w:val="20"/>
                <w:szCs w:val="20"/>
                <w:lang w:val="en-IE" w:eastAsia="en-IE"/>
              </w:rPr>
            </w:pPr>
          </w:p>
        </w:tc>
      </w:tr>
      <w:tr w:rsidR="00793465" w:rsidRPr="00AC781E" w:rsidTr="00774994">
        <w:tblPrEx>
          <w:tblLook w:val="04A0" w:firstRow="1" w:lastRow="0" w:firstColumn="1" w:lastColumn="0" w:noHBand="0" w:noVBand="1"/>
        </w:tblPrEx>
        <w:trPr>
          <w:trHeight w:val="300"/>
          <w:jc w:val="center"/>
        </w:trPr>
        <w:tc>
          <w:tcPr>
            <w:tcW w:w="5000" w:type="pct"/>
            <w:gridSpan w:val="13"/>
            <w:vAlign w:val="center"/>
          </w:tcPr>
          <w:p w:rsidR="00793465" w:rsidRPr="00695895" w:rsidRDefault="00793465" w:rsidP="006972F9">
            <w:pPr>
              <w:spacing w:before="0" w:after="0"/>
              <w:jc w:val="left"/>
              <w:rPr>
                <w:noProof/>
                <w:sz w:val="21"/>
                <w:szCs w:val="21"/>
                <w:lang w:val="en-IE" w:eastAsia="en-IE"/>
              </w:rPr>
            </w:pPr>
            <w:r w:rsidRPr="00695895">
              <w:rPr>
                <w:noProof/>
                <w:sz w:val="21"/>
                <w:szCs w:val="21"/>
                <w:lang w:val="en-IE" w:eastAsia="en-IE"/>
              </w:rPr>
              <w:t xml:space="preserve">Operational appropriations </w:t>
            </w:r>
          </w:p>
        </w:tc>
      </w:tr>
      <w:tr w:rsidR="00D613E7" w:rsidRPr="00AC781E" w:rsidTr="00D613E7">
        <w:tblPrEx>
          <w:tblLook w:val="04A0" w:firstRow="1" w:lastRow="0" w:firstColumn="1" w:lastColumn="0" w:noHBand="0" w:noVBand="1"/>
        </w:tblPrEx>
        <w:trPr>
          <w:trHeight w:val="288"/>
          <w:jc w:val="center"/>
        </w:trPr>
        <w:tc>
          <w:tcPr>
            <w:tcW w:w="864" w:type="pct"/>
            <w:vMerge w:val="restart"/>
            <w:noWrap/>
            <w:vAlign w:val="center"/>
            <w:hideMark/>
          </w:tcPr>
          <w:p w:rsidR="00D613E7" w:rsidRPr="00695895" w:rsidRDefault="00D613E7" w:rsidP="00D613E7">
            <w:pPr>
              <w:spacing w:before="0" w:after="0"/>
              <w:jc w:val="left"/>
              <w:rPr>
                <w:noProof/>
                <w:sz w:val="22"/>
                <w:lang w:val="en-IE" w:eastAsia="en-IE"/>
              </w:rPr>
            </w:pPr>
            <w:r w:rsidRPr="0004199A">
              <w:rPr>
                <w:noProof/>
                <w:sz w:val="22"/>
              </w:rPr>
              <w:t>[Budget line for Global Europe]</w:t>
            </w:r>
            <w:r>
              <w:rPr>
                <w:rStyle w:val="FootnoteReference"/>
                <w:noProof/>
                <w:sz w:val="22"/>
              </w:rPr>
              <w:footnoteReference w:id="48"/>
            </w: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Commitments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(1a)</w:t>
            </w:r>
          </w:p>
        </w:tc>
        <w:tc>
          <w:tcPr>
            <w:tcW w:w="528" w:type="pct"/>
            <w:vAlign w:val="center"/>
          </w:tcPr>
          <w:p w:rsidR="00D613E7" w:rsidRPr="00695895" w:rsidRDefault="00D613E7" w:rsidP="00D613E7">
            <w:pPr>
              <w:spacing w:before="0" w:after="0"/>
              <w:jc w:val="right"/>
              <w:rPr>
                <w:noProof/>
                <w:sz w:val="20"/>
                <w:szCs w:val="20"/>
                <w:lang w:val="en-IE" w:eastAsia="en-IE"/>
              </w:rPr>
            </w:pPr>
            <w:r>
              <w:rPr>
                <w:noProof/>
                <w:sz w:val="20"/>
                <w:szCs w:val="20"/>
                <w:lang w:val="en-IE" w:eastAsia="en-IE"/>
              </w:rPr>
              <w:t>4.300.000</w:t>
            </w:r>
          </w:p>
        </w:tc>
        <w:tc>
          <w:tcPr>
            <w:tcW w:w="555" w:type="pct"/>
            <w:vAlign w:val="center"/>
          </w:tcPr>
          <w:p w:rsidR="00D613E7" w:rsidRPr="00695895" w:rsidRDefault="00D613E7" w:rsidP="00D613E7">
            <w:pPr>
              <w:spacing w:before="0" w:after="0"/>
              <w:jc w:val="right"/>
              <w:rPr>
                <w:noProof/>
                <w:sz w:val="20"/>
                <w:szCs w:val="20"/>
                <w:lang w:val="en-IE" w:eastAsia="en-IE"/>
              </w:rPr>
            </w:pPr>
            <w:r>
              <w:rPr>
                <w:noProof/>
                <w:sz w:val="20"/>
                <w:szCs w:val="20"/>
                <w:lang w:val="en-IE" w:eastAsia="en-IE"/>
              </w:rPr>
              <w:t>10.500.000</w:t>
            </w:r>
          </w:p>
        </w:tc>
        <w:tc>
          <w:tcPr>
            <w:tcW w:w="573" w:type="pct"/>
            <w:gridSpan w:val="2"/>
            <w:vAlign w:val="center"/>
          </w:tcPr>
          <w:p w:rsidR="00D613E7" w:rsidRPr="00695895" w:rsidRDefault="00D613E7" w:rsidP="00D613E7">
            <w:pPr>
              <w:spacing w:before="0" w:after="0"/>
              <w:jc w:val="right"/>
              <w:rPr>
                <w:noProof/>
                <w:sz w:val="20"/>
                <w:szCs w:val="20"/>
                <w:lang w:val="en-IE" w:eastAsia="en-IE"/>
              </w:rPr>
            </w:pPr>
            <w:r>
              <w:rPr>
                <w:noProof/>
                <w:sz w:val="20"/>
                <w:szCs w:val="20"/>
                <w:lang w:val="en-IE" w:eastAsia="en-IE"/>
              </w:rPr>
              <w:t>10.700.000</w:t>
            </w:r>
          </w:p>
        </w:tc>
        <w:tc>
          <w:tcPr>
            <w:tcW w:w="435" w:type="pct"/>
            <w:vAlign w:val="center"/>
            <w:hideMark/>
          </w:tcPr>
          <w:p w:rsidR="00D613E7" w:rsidRPr="00695895" w:rsidRDefault="00D613E7" w:rsidP="00D613E7">
            <w:pPr>
              <w:spacing w:before="0" w:after="0"/>
              <w:jc w:val="right"/>
              <w:rPr>
                <w:noProof/>
                <w:sz w:val="20"/>
                <w:szCs w:val="20"/>
                <w:lang w:val="en-IE" w:eastAsia="en-IE"/>
              </w:rPr>
            </w:pPr>
            <w:r>
              <w:rPr>
                <w:noProof/>
                <w:sz w:val="20"/>
                <w:szCs w:val="20"/>
                <w:lang w:val="en-IE" w:eastAsia="en-IE"/>
              </w:rPr>
              <w:t>11.000.000</w:t>
            </w:r>
          </w:p>
        </w:tc>
        <w:tc>
          <w:tcPr>
            <w:tcW w:w="315" w:type="pct"/>
            <w:vAlign w:val="center"/>
          </w:tcPr>
          <w:p w:rsidR="00D613E7" w:rsidRDefault="00D613E7" w:rsidP="00D613E7">
            <w:pPr>
              <w:spacing w:before="0" w:after="0"/>
              <w:jc w:val="right"/>
              <w:rPr>
                <w:b/>
                <w:bCs/>
                <w:noProof/>
                <w:sz w:val="20"/>
                <w:szCs w:val="20"/>
                <w:lang w:val="en-IE" w:eastAsia="en-IE"/>
              </w:rPr>
            </w:pPr>
            <w:r w:rsidRPr="001C3F84">
              <w:rPr>
                <w:noProof/>
                <w:sz w:val="20"/>
                <w:szCs w:val="20"/>
                <w:lang w:val="en-IE" w:eastAsia="en-IE"/>
              </w:rPr>
              <w:t>0.000</w:t>
            </w:r>
          </w:p>
        </w:tc>
        <w:tc>
          <w:tcPr>
            <w:tcW w:w="289" w:type="pct"/>
            <w:vAlign w:val="center"/>
          </w:tcPr>
          <w:p w:rsidR="00D613E7" w:rsidRDefault="00D613E7" w:rsidP="00D613E7">
            <w:pPr>
              <w:spacing w:before="0" w:after="0"/>
              <w:jc w:val="right"/>
              <w:rPr>
                <w:b/>
                <w:bCs/>
                <w:noProof/>
                <w:sz w:val="20"/>
                <w:szCs w:val="20"/>
                <w:lang w:val="en-IE" w:eastAsia="en-IE"/>
              </w:rPr>
            </w:pPr>
            <w:r w:rsidRPr="001C3F84">
              <w:rPr>
                <w:noProof/>
                <w:sz w:val="20"/>
                <w:szCs w:val="20"/>
                <w:lang w:val="en-IE" w:eastAsia="en-IE"/>
              </w:rPr>
              <w:t>0.000</w:t>
            </w:r>
          </w:p>
        </w:tc>
        <w:tc>
          <w:tcPr>
            <w:tcW w:w="289" w:type="pct"/>
            <w:vAlign w:val="center"/>
          </w:tcPr>
          <w:p w:rsidR="00D613E7" w:rsidRDefault="00D613E7" w:rsidP="00D613E7">
            <w:pPr>
              <w:spacing w:before="0" w:after="0"/>
              <w:jc w:val="right"/>
              <w:rPr>
                <w:b/>
                <w:bCs/>
                <w:noProof/>
                <w:sz w:val="20"/>
                <w:szCs w:val="20"/>
                <w:lang w:val="en-IE" w:eastAsia="en-IE"/>
              </w:rPr>
            </w:pPr>
            <w:r w:rsidRPr="001C3F84">
              <w:rPr>
                <w:noProof/>
                <w:sz w:val="20"/>
                <w:szCs w:val="20"/>
                <w:lang w:val="en-IE" w:eastAsia="en-IE"/>
              </w:rPr>
              <w:t>0.000</w:t>
            </w:r>
          </w:p>
        </w:tc>
        <w:tc>
          <w:tcPr>
            <w:tcW w:w="555" w:type="pct"/>
            <w:shd w:val="clear" w:color="auto" w:fill="D9D9D9" w:themeFill="background1" w:themeFillShade="D9"/>
            <w:vAlign w:val="center"/>
            <w:hideMark/>
          </w:tcPr>
          <w:p w:rsidR="00D613E7" w:rsidRPr="00492235" w:rsidRDefault="00D613E7" w:rsidP="00D613E7">
            <w:pPr>
              <w:spacing w:before="0" w:after="0"/>
              <w:jc w:val="right"/>
              <w:rPr>
                <w:b/>
                <w:bCs/>
                <w:noProof/>
                <w:sz w:val="20"/>
                <w:szCs w:val="20"/>
                <w:lang w:val="en-IE" w:eastAsia="en-IE"/>
              </w:rPr>
            </w:pPr>
            <w:r>
              <w:rPr>
                <w:b/>
                <w:bCs/>
                <w:noProof/>
                <w:sz w:val="20"/>
                <w:szCs w:val="20"/>
                <w:lang w:val="en-IE" w:eastAsia="en-IE"/>
              </w:rPr>
              <w:t>36</w:t>
            </w:r>
            <w:r w:rsidRPr="00492235">
              <w:rPr>
                <w:b/>
                <w:bCs/>
                <w:noProof/>
                <w:sz w:val="20"/>
                <w:szCs w:val="20"/>
                <w:lang w:val="en-IE" w:eastAsia="en-IE"/>
              </w:rPr>
              <w:t>.</w:t>
            </w:r>
            <w:r>
              <w:rPr>
                <w:b/>
                <w:bCs/>
                <w:noProof/>
                <w:sz w:val="20"/>
                <w:szCs w:val="20"/>
                <w:lang w:val="en-IE" w:eastAsia="en-IE"/>
              </w:rPr>
              <w:t>5</w:t>
            </w:r>
            <w:r w:rsidRPr="00492235">
              <w:rPr>
                <w:b/>
                <w:bCs/>
                <w:noProof/>
                <w:sz w:val="20"/>
                <w:szCs w:val="20"/>
                <w:lang w:val="en-IE" w:eastAsia="en-IE"/>
              </w:rPr>
              <w:t>00.000</w:t>
            </w:r>
          </w:p>
        </w:tc>
      </w:tr>
      <w:tr w:rsidR="00D613E7" w:rsidRPr="00AC781E" w:rsidTr="00D613E7">
        <w:tblPrEx>
          <w:tblLook w:val="04A0" w:firstRow="1" w:lastRow="0" w:firstColumn="1" w:lastColumn="0" w:noHBand="0" w:noVBand="1"/>
        </w:tblPrEx>
        <w:trPr>
          <w:trHeight w:val="315"/>
          <w:jc w:val="center"/>
        </w:trPr>
        <w:tc>
          <w:tcPr>
            <w:tcW w:w="864" w:type="pct"/>
            <w:vMerge/>
            <w:vAlign w:val="center"/>
            <w:hideMark/>
          </w:tcPr>
          <w:p w:rsidR="00D613E7" w:rsidRPr="00695895" w:rsidRDefault="00D613E7" w:rsidP="00D613E7">
            <w:pPr>
              <w:spacing w:before="0" w:after="0"/>
              <w:jc w:val="left"/>
              <w:rPr>
                <w:noProof/>
                <w:sz w:val="22"/>
                <w:lang w:val="en-IE" w:eastAsia="en-IE"/>
              </w:rPr>
            </w:pP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Payments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(2a)</w:t>
            </w:r>
          </w:p>
        </w:tc>
        <w:tc>
          <w:tcPr>
            <w:tcW w:w="528" w:type="pct"/>
            <w:vAlign w:val="center"/>
          </w:tcPr>
          <w:p w:rsidR="00D613E7" w:rsidRPr="00695895" w:rsidRDefault="00D613E7" w:rsidP="00D613E7">
            <w:pPr>
              <w:spacing w:before="0" w:after="0"/>
              <w:jc w:val="right"/>
              <w:rPr>
                <w:noProof/>
                <w:sz w:val="20"/>
                <w:szCs w:val="20"/>
                <w:lang w:val="en-IE" w:eastAsia="en-IE"/>
              </w:rPr>
            </w:pPr>
            <w:r>
              <w:rPr>
                <w:noProof/>
                <w:sz w:val="20"/>
                <w:szCs w:val="20"/>
                <w:lang w:val="en-IE" w:eastAsia="en-IE"/>
              </w:rPr>
              <w:t>4.300.000</w:t>
            </w:r>
          </w:p>
        </w:tc>
        <w:tc>
          <w:tcPr>
            <w:tcW w:w="555" w:type="pct"/>
            <w:vAlign w:val="center"/>
          </w:tcPr>
          <w:p w:rsidR="00D613E7" w:rsidRPr="00695895" w:rsidRDefault="00D613E7" w:rsidP="00D613E7">
            <w:pPr>
              <w:spacing w:before="0" w:after="0"/>
              <w:jc w:val="right"/>
              <w:rPr>
                <w:noProof/>
                <w:sz w:val="20"/>
                <w:szCs w:val="20"/>
                <w:lang w:val="en-IE" w:eastAsia="en-IE"/>
              </w:rPr>
            </w:pPr>
            <w:r>
              <w:rPr>
                <w:noProof/>
                <w:sz w:val="20"/>
                <w:szCs w:val="20"/>
                <w:lang w:val="en-IE" w:eastAsia="en-IE"/>
              </w:rPr>
              <w:t>10.500.000</w:t>
            </w:r>
          </w:p>
        </w:tc>
        <w:tc>
          <w:tcPr>
            <w:tcW w:w="573" w:type="pct"/>
            <w:gridSpan w:val="2"/>
            <w:vAlign w:val="center"/>
          </w:tcPr>
          <w:p w:rsidR="00D613E7" w:rsidRPr="00695895" w:rsidRDefault="00D613E7" w:rsidP="00D613E7">
            <w:pPr>
              <w:spacing w:before="0" w:after="0"/>
              <w:jc w:val="right"/>
              <w:rPr>
                <w:noProof/>
                <w:sz w:val="20"/>
                <w:szCs w:val="20"/>
                <w:lang w:val="en-IE" w:eastAsia="en-IE"/>
              </w:rPr>
            </w:pPr>
            <w:r>
              <w:rPr>
                <w:noProof/>
                <w:sz w:val="20"/>
                <w:szCs w:val="20"/>
                <w:lang w:val="en-IE" w:eastAsia="en-IE"/>
              </w:rPr>
              <w:t>10.700.000</w:t>
            </w:r>
          </w:p>
        </w:tc>
        <w:tc>
          <w:tcPr>
            <w:tcW w:w="435" w:type="pct"/>
            <w:vAlign w:val="center"/>
            <w:hideMark/>
          </w:tcPr>
          <w:p w:rsidR="00D613E7" w:rsidRPr="00695895" w:rsidRDefault="00D613E7" w:rsidP="00D613E7">
            <w:pPr>
              <w:spacing w:before="0" w:after="0"/>
              <w:jc w:val="right"/>
              <w:rPr>
                <w:noProof/>
                <w:sz w:val="20"/>
                <w:szCs w:val="20"/>
                <w:lang w:val="en-IE" w:eastAsia="en-IE"/>
              </w:rPr>
            </w:pPr>
            <w:r>
              <w:rPr>
                <w:noProof/>
                <w:sz w:val="20"/>
                <w:szCs w:val="20"/>
                <w:lang w:val="en-IE" w:eastAsia="en-IE"/>
              </w:rPr>
              <w:t>11.000.000</w:t>
            </w:r>
          </w:p>
        </w:tc>
        <w:tc>
          <w:tcPr>
            <w:tcW w:w="315" w:type="pct"/>
            <w:vAlign w:val="center"/>
          </w:tcPr>
          <w:p w:rsidR="00D613E7" w:rsidRDefault="00D613E7" w:rsidP="00D613E7">
            <w:pPr>
              <w:spacing w:before="0" w:after="0"/>
              <w:jc w:val="right"/>
              <w:rPr>
                <w:b/>
                <w:bCs/>
                <w:noProof/>
                <w:sz w:val="20"/>
                <w:szCs w:val="20"/>
                <w:lang w:val="en-IE" w:eastAsia="en-IE"/>
              </w:rPr>
            </w:pPr>
            <w:r w:rsidRPr="001C3F84">
              <w:rPr>
                <w:noProof/>
                <w:sz w:val="20"/>
                <w:szCs w:val="20"/>
                <w:lang w:val="en-IE" w:eastAsia="en-IE"/>
              </w:rPr>
              <w:t>0.000</w:t>
            </w:r>
          </w:p>
        </w:tc>
        <w:tc>
          <w:tcPr>
            <w:tcW w:w="289" w:type="pct"/>
            <w:vAlign w:val="center"/>
          </w:tcPr>
          <w:p w:rsidR="00D613E7" w:rsidRDefault="00D613E7" w:rsidP="00D613E7">
            <w:pPr>
              <w:spacing w:before="0" w:after="0"/>
              <w:jc w:val="right"/>
              <w:rPr>
                <w:b/>
                <w:bCs/>
                <w:noProof/>
                <w:sz w:val="20"/>
                <w:szCs w:val="20"/>
                <w:lang w:val="en-IE" w:eastAsia="en-IE"/>
              </w:rPr>
            </w:pPr>
            <w:r w:rsidRPr="001C3F84">
              <w:rPr>
                <w:noProof/>
                <w:sz w:val="20"/>
                <w:szCs w:val="20"/>
                <w:lang w:val="en-IE" w:eastAsia="en-IE"/>
              </w:rPr>
              <w:t>0.000</w:t>
            </w:r>
          </w:p>
        </w:tc>
        <w:tc>
          <w:tcPr>
            <w:tcW w:w="289" w:type="pct"/>
            <w:vAlign w:val="center"/>
          </w:tcPr>
          <w:p w:rsidR="00D613E7" w:rsidRDefault="00D613E7" w:rsidP="00D613E7">
            <w:pPr>
              <w:spacing w:before="0" w:after="0"/>
              <w:jc w:val="right"/>
              <w:rPr>
                <w:b/>
                <w:bCs/>
                <w:noProof/>
                <w:sz w:val="20"/>
                <w:szCs w:val="20"/>
                <w:lang w:val="en-IE" w:eastAsia="en-IE"/>
              </w:rPr>
            </w:pPr>
            <w:r w:rsidRPr="001C3F84">
              <w:rPr>
                <w:noProof/>
                <w:sz w:val="20"/>
                <w:szCs w:val="20"/>
                <w:lang w:val="en-IE" w:eastAsia="en-IE"/>
              </w:rPr>
              <w:t>0.000</w:t>
            </w:r>
          </w:p>
        </w:tc>
        <w:tc>
          <w:tcPr>
            <w:tcW w:w="555" w:type="pct"/>
            <w:shd w:val="clear" w:color="auto" w:fill="D9D9D9" w:themeFill="background1" w:themeFillShade="D9"/>
            <w:vAlign w:val="center"/>
            <w:hideMark/>
          </w:tcPr>
          <w:p w:rsidR="00D613E7" w:rsidRPr="00492235" w:rsidRDefault="00D613E7" w:rsidP="00D613E7">
            <w:pPr>
              <w:spacing w:before="0" w:after="0"/>
              <w:jc w:val="right"/>
              <w:rPr>
                <w:b/>
                <w:bCs/>
                <w:noProof/>
                <w:sz w:val="20"/>
                <w:szCs w:val="20"/>
                <w:lang w:val="en-IE" w:eastAsia="en-IE"/>
              </w:rPr>
            </w:pPr>
            <w:r>
              <w:rPr>
                <w:b/>
                <w:bCs/>
                <w:noProof/>
                <w:sz w:val="20"/>
                <w:szCs w:val="20"/>
                <w:lang w:val="en-IE" w:eastAsia="en-IE"/>
              </w:rPr>
              <w:t>36</w:t>
            </w:r>
            <w:r w:rsidRPr="00492235">
              <w:rPr>
                <w:b/>
                <w:bCs/>
                <w:noProof/>
                <w:sz w:val="20"/>
                <w:szCs w:val="20"/>
                <w:lang w:val="en-IE" w:eastAsia="en-IE"/>
              </w:rPr>
              <w:t>.</w:t>
            </w:r>
            <w:r>
              <w:rPr>
                <w:b/>
                <w:bCs/>
                <w:noProof/>
                <w:sz w:val="20"/>
                <w:szCs w:val="20"/>
                <w:lang w:val="en-IE" w:eastAsia="en-IE"/>
              </w:rPr>
              <w:t>5</w:t>
            </w:r>
            <w:r w:rsidRPr="00492235">
              <w:rPr>
                <w:b/>
                <w:bCs/>
                <w:noProof/>
                <w:sz w:val="20"/>
                <w:szCs w:val="20"/>
                <w:lang w:val="en-IE" w:eastAsia="en-IE"/>
              </w:rPr>
              <w:t>00.000</w:t>
            </w:r>
          </w:p>
        </w:tc>
      </w:tr>
      <w:tr w:rsidR="00D613E7" w:rsidRPr="00AC781E" w:rsidTr="00774994">
        <w:tblPrEx>
          <w:tblLook w:val="04A0" w:firstRow="1" w:lastRow="0" w:firstColumn="1" w:lastColumn="0" w:noHBand="0" w:noVBand="1"/>
        </w:tblPrEx>
        <w:trPr>
          <w:trHeight w:val="288"/>
          <w:jc w:val="center"/>
        </w:trPr>
        <w:tc>
          <w:tcPr>
            <w:tcW w:w="5000" w:type="pct"/>
            <w:gridSpan w:val="13"/>
            <w:vAlign w:val="center"/>
          </w:tcPr>
          <w:p w:rsidR="00D613E7" w:rsidRPr="00695895" w:rsidRDefault="00D613E7" w:rsidP="00D613E7">
            <w:pPr>
              <w:spacing w:before="0" w:after="0"/>
              <w:jc w:val="left"/>
              <w:rPr>
                <w:noProof/>
                <w:sz w:val="22"/>
                <w:lang w:val="en-IE" w:eastAsia="en-IE"/>
              </w:rPr>
            </w:pPr>
          </w:p>
        </w:tc>
      </w:tr>
      <w:tr w:rsidR="00D613E7" w:rsidRPr="00AC781E" w:rsidTr="00774994">
        <w:tblPrEx>
          <w:tblLook w:val="04A0" w:firstRow="1" w:lastRow="0" w:firstColumn="1" w:lastColumn="0" w:noHBand="0" w:noVBand="1"/>
        </w:tblPrEx>
        <w:trPr>
          <w:trHeight w:val="288"/>
          <w:jc w:val="center"/>
        </w:trPr>
        <w:tc>
          <w:tcPr>
            <w:tcW w:w="864" w:type="pct"/>
            <w:vAlign w:val="center"/>
            <w:hideMark/>
          </w:tcPr>
          <w:p w:rsidR="00D613E7" w:rsidRPr="00695895" w:rsidRDefault="00D613E7" w:rsidP="00D613E7">
            <w:pPr>
              <w:spacing w:before="0" w:after="0"/>
              <w:rPr>
                <w:noProof/>
                <w:sz w:val="20"/>
                <w:szCs w:val="20"/>
                <w:lang w:val="en-IE" w:eastAsia="en-IE"/>
              </w:rPr>
            </w:pPr>
            <w:r w:rsidRPr="00695895">
              <w:rPr>
                <w:noProof/>
                <w:sz w:val="20"/>
                <w:szCs w:val="20"/>
                <w:lang w:val="en-IE" w:eastAsia="en-IE"/>
              </w:rPr>
              <w:t>Budget line</w:t>
            </w:r>
          </w:p>
        </w:tc>
        <w:tc>
          <w:tcPr>
            <w:tcW w:w="348" w:type="pct"/>
            <w:vAlign w:val="center"/>
            <w:hideMark/>
          </w:tcPr>
          <w:p w:rsidR="00D613E7" w:rsidRPr="00695895" w:rsidRDefault="00D613E7" w:rsidP="00D613E7">
            <w:pPr>
              <w:spacing w:before="0" w:after="0"/>
              <w:jc w:val="right"/>
              <w:rPr>
                <w:noProof/>
                <w:sz w:val="18"/>
                <w:szCs w:val="18"/>
                <w:lang w:val="en-IE" w:eastAsia="en-IE"/>
              </w:rPr>
            </w:pP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(3)</w:t>
            </w:r>
          </w:p>
        </w:tc>
        <w:tc>
          <w:tcPr>
            <w:tcW w:w="528" w:type="pct"/>
            <w:vAlign w:val="center"/>
          </w:tcPr>
          <w:p w:rsidR="00D613E7" w:rsidRPr="00695895" w:rsidRDefault="00D613E7" w:rsidP="00D613E7">
            <w:pPr>
              <w:spacing w:before="0" w:after="0"/>
              <w:jc w:val="right"/>
              <w:rPr>
                <w:b/>
                <w:bCs/>
                <w:noProof/>
                <w:sz w:val="20"/>
                <w:szCs w:val="20"/>
                <w:lang w:val="en-IE" w:eastAsia="en-IE"/>
              </w:rPr>
            </w:pPr>
            <w:r w:rsidRPr="00AE4C6C">
              <w:rPr>
                <w:noProof/>
                <w:sz w:val="20"/>
                <w:szCs w:val="20"/>
                <w:lang w:val="en-IE" w:eastAsia="en-IE"/>
              </w:rPr>
              <w:t>0.000</w:t>
            </w:r>
          </w:p>
        </w:tc>
        <w:tc>
          <w:tcPr>
            <w:tcW w:w="555" w:type="pct"/>
            <w:vAlign w:val="center"/>
          </w:tcPr>
          <w:p w:rsidR="00D613E7" w:rsidRPr="00695895" w:rsidRDefault="00D613E7" w:rsidP="00D613E7">
            <w:pPr>
              <w:spacing w:before="0" w:after="0"/>
              <w:jc w:val="right"/>
              <w:rPr>
                <w:b/>
                <w:bCs/>
                <w:noProof/>
                <w:sz w:val="20"/>
                <w:szCs w:val="20"/>
                <w:lang w:val="en-IE" w:eastAsia="en-IE"/>
              </w:rPr>
            </w:pPr>
            <w:r w:rsidRPr="00AE4C6C">
              <w:rPr>
                <w:noProof/>
                <w:sz w:val="20"/>
                <w:szCs w:val="20"/>
                <w:lang w:val="en-IE" w:eastAsia="en-IE"/>
              </w:rPr>
              <w:t>0.000</w:t>
            </w:r>
          </w:p>
        </w:tc>
        <w:tc>
          <w:tcPr>
            <w:tcW w:w="573" w:type="pct"/>
            <w:gridSpan w:val="2"/>
            <w:vAlign w:val="center"/>
          </w:tcPr>
          <w:p w:rsidR="00D613E7" w:rsidRPr="00695895" w:rsidRDefault="00D613E7" w:rsidP="00D613E7">
            <w:pPr>
              <w:spacing w:before="0" w:after="0"/>
              <w:jc w:val="right"/>
              <w:rPr>
                <w:b/>
                <w:bCs/>
                <w:noProof/>
                <w:sz w:val="20"/>
                <w:szCs w:val="20"/>
                <w:lang w:val="en-IE" w:eastAsia="en-IE"/>
              </w:rPr>
            </w:pPr>
            <w:r w:rsidRPr="00AE4C6C">
              <w:rPr>
                <w:noProof/>
                <w:sz w:val="20"/>
                <w:szCs w:val="20"/>
                <w:lang w:val="en-IE" w:eastAsia="en-IE"/>
              </w:rPr>
              <w:t>0.000</w:t>
            </w:r>
          </w:p>
        </w:tc>
        <w:tc>
          <w:tcPr>
            <w:tcW w:w="435" w:type="pct"/>
            <w:vAlign w:val="center"/>
            <w:hideMark/>
          </w:tcPr>
          <w:p w:rsidR="00D613E7" w:rsidRPr="00695895" w:rsidRDefault="00D613E7" w:rsidP="00D613E7">
            <w:pPr>
              <w:spacing w:before="0" w:after="0"/>
              <w:jc w:val="right"/>
              <w:rPr>
                <w:b/>
                <w:bCs/>
                <w:noProof/>
                <w:sz w:val="20"/>
                <w:szCs w:val="20"/>
                <w:lang w:val="en-IE" w:eastAsia="en-IE"/>
              </w:rPr>
            </w:pPr>
            <w:r w:rsidRPr="00AE4C6C">
              <w:rPr>
                <w:noProof/>
                <w:sz w:val="20"/>
                <w:szCs w:val="20"/>
                <w:lang w:val="en-IE" w:eastAsia="en-IE"/>
              </w:rPr>
              <w:t>0.000</w:t>
            </w:r>
          </w:p>
        </w:tc>
        <w:tc>
          <w:tcPr>
            <w:tcW w:w="315" w:type="pct"/>
            <w:vAlign w:val="center"/>
          </w:tcPr>
          <w:p w:rsidR="00D613E7" w:rsidRPr="00695895"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289" w:type="pct"/>
            <w:vAlign w:val="center"/>
          </w:tcPr>
          <w:p w:rsidR="00D613E7" w:rsidRPr="00695895"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289" w:type="pct"/>
            <w:vAlign w:val="center"/>
          </w:tcPr>
          <w:p w:rsidR="00D613E7" w:rsidRPr="00695895"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695895">
              <w:rPr>
                <w:b/>
                <w:bCs/>
                <w:noProof/>
                <w:sz w:val="20"/>
                <w:szCs w:val="20"/>
                <w:lang w:val="en-IE" w:eastAsia="en-IE"/>
              </w:rPr>
              <w:t>0.000</w:t>
            </w:r>
          </w:p>
        </w:tc>
      </w:tr>
      <w:tr w:rsidR="00D613E7" w:rsidRPr="00AC781E" w:rsidTr="00774994">
        <w:tblPrEx>
          <w:tblLook w:val="04A0" w:firstRow="1" w:lastRow="0" w:firstColumn="1" w:lastColumn="0" w:noHBand="0" w:noVBand="1"/>
        </w:tblPrEx>
        <w:trPr>
          <w:trHeight w:val="288"/>
          <w:jc w:val="center"/>
        </w:trPr>
        <w:tc>
          <w:tcPr>
            <w:tcW w:w="864" w:type="pct"/>
            <w:vMerge w:val="restart"/>
            <w:vAlign w:val="center"/>
            <w:hideMark/>
          </w:tcPr>
          <w:p w:rsidR="00D613E7" w:rsidRPr="00695895" w:rsidRDefault="00D613E7" w:rsidP="00D613E7">
            <w:pPr>
              <w:spacing w:before="0" w:after="0"/>
              <w:jc w:val="center"/>
              <w:rPr>
                <w:b/>
                <w:bCs/>
                <w:noProof/>
                <w:sz w:val="22"/>
                <w:lang w:val="en-IE" w:eastAsia="en-IE"/>
              </w:rPr>
            </w:pPr>
            <w:r w:rsidRPr="00695895">
              <w:rPr>
                <w:b/>
                <w:bCs/>
                <w:noProof/>
                <w:sz w:val="22"/>
                <w:lang w:val="en-IE" w:eastAsia="en-IE"/>
              </w:rPr>
              <w:t>TOTAL appropriations</w:t>
            </w:r>
            <w:r>
              <w:rPr>
                <w:b/>
                <w:bCs/>
                <w:noProof/>
                <w:sz w:val="22"/>
                <w:lang w:val="en-IE" w:eastAsia="en-IE"/>
              </w:rPr>
              <w:t xml:space="preserve"> for DG</w:t>
            </w:r>
          </w:p>
          <w:p w:rsidR="00D613E7" w:rsidRPr="00695895" w:rsidRDefault="00D613E7" w:rsidP="00D613E7">
            <w:pPr>
              <w:spacing w:before="0" w:after="0"/>
              <w:jc w:val="center"/>
              <w:rPr>
                <w:b/>
                <w:bCs/>
                <w:noProof/>
                <w:sz w:val="22"/>
                <w:lang w:val="en-IE" w:eastAsia="en-IE"/>
              </w:rPr>
            </w:pP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Commitments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=1a+1b+3</w:t>
            </w:r>
          </w:p>
        </w:tc>
        <w:tc>
          <w:tcPr>
            <w:tcW w:w="528" w:type="pct"/>
            <w:shd w:val="clear" w:color="auto" w:fill="D9D9D9" w:themeFill="background1" w:themeFillShade="D9"/>
            <w:vAlign w:val="center"/>
          </w:tcPr>
          <w:p w:rsidR="00D613E7" w:rsidRPr="00D613E7" w:rsidRDefault="00D613E7" w:rsidP="00D613E7">
            <w:pPr>
              <w:spacing w:before="0" w:after="0"/>
              <w:jc w:val="right"/>
              <w:rPr>
                <w:b/>
                <w:bCs/>
                <w:noProof/>
                <w:sz w:val="20"/>
                <w:szCs w:val="20"/>
                <w:lang w:val="en-IE" w:eastAsia="en-IE"/>
              </w:rPr>
            </w:pPr>
            <w:r w:rsidRPr="00774994">
              <w:rPr>
                <w:b/>
                <w:bCs/>
                <w:noProof/>
                <w:sz w:val="20"/>
                <w:szCs w:val="20"/>
                <w:lang w:val="en-IE" w:eastAsia="en-IE"/>
              </w:rPr>
              <w:t>4.300.000</w:t>
            </w:r>
          </w:p>
        </w:tc>
        <w:tc>
          <w:tcPr>
            <w:tcW w:w="555" w:type="pct"/>
            <w:shd w:val="clear" w:color="auto" w:fill="D9D9D9" w:themeFill="background1" w:themeFillShade="D9"/>
            <w:vAlign w:val="center"/>
          </w:tcPr>
          <w:p w:rsidR="00D613E7" w:rsidRPr="0004199A" w:rsidRDefault="00D613E7" w:rsidP="00D613E7">
            <w:pPr>
              <w:spacing w:before="0" w:after="0"/>
              <w:jc w:val="right"/>
              <w:rPr>
                <w:b/>
                <w:bCs/>
                <w:noProof/>
                <w:sz w:val="20"/>
                <w:szCs w:val="20"/>
                <w:lang w:val="en-IE" w:eastAsia="en-IE"/>
              </w:rPr>
            </w:pPr>
            <w:r w:rsidRPr="0004199A">
              <w:rPr>
                <w:b/>
                <w:bCs/>
                <w:noProof/>
                <w:sz w:val="20"/>
                <w:szCs w:val="20"/>
                <w:lang w:val="en-IE" w:eastAsia="en-IE"/>
              </w:rPr>
              <w:t>10.500</w:t>
            </w:r>
            <w:r>
              <w:rPr>
                <w:b/>
                <w:bCs/>
                <w:noProof/>
                <w:sz w:val="20"/>
                <w:szCs w:val="20"/>
                <w:lang w:val="en-IE" w:eastAsia="en-IE"/>
              </w:rPr>
              <w:t>.000</w:t>
            </w:r>
          </w:p>
        </w:tc>
        <w:tc>
          <w:tcPr>
            <w:tcW w:w="573" w:type="pct"/>
            <w:gridSpan w:val="2"/>
            <w:shd w:val="clear" w:color="auto" w:fill="D9D9D9" w:themeFill="background1" w:themeFillShade="D9"/>
            <w:vAlign w:val="center"/>
          </w:tcPr>
          <w:p w:rsidR="00D613E7" w:rsidRPr="0004199A" w:rsidRDefault="00D613E7" w:rsidP="00D613E7">
            <w:pPr>
              <w:spacing w:before="0" w:after="0"/>
              <w:jc w:val="right"/>
              <w:rPr>
                <w:b/>
                <w:bCs/>
                <w:noProof/>
                <w:sz w:val="20"/>
                <w:szCs w:val="20"/>
                <w:lang w:val="en-IE" w:eastAsia="en-IE"/>
              </w:rPr>
            </w:pPr>
            <w:r w:rsidRPr="0004199A">
              <w:rPr>
                <w:b/>
                <w:bCs/>
                <w:noProof/>
                <w:sz w:val="20"/>
                <w:szCs w:val="20"/>
                <w:lang w:val="en-IE" w:eastAsia="en-IE"/>
              </w:rPr>
              <w:t>10.700</w:t>
            </w:r>
            <w:r>
              <w:rPr>
                <w:b/>
                <w:bCs/>
                <w:noProof/>
                <w:sz w:val="20"/>
                <w:szCs w:val="20"/>
                <w:lang w:val="en-IE" w:eastAsia="en-IE"/>
              </w:rPr>
              <w:t>.000</w:t>
            </w:r>
          </w:p>
        </w:tc>
        <w:tc>
          <w:tcPr>
            <w:tcW w:w="43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04199A">
              <w:rPr>
                <w:b/>
                <w:bCs/>
                <w:noProof/>
                <w:sz w:val="20"/>
                <w:szCs w:val="20"/>
                <w:lang w:val="en-IE" w:eastAsia="en-IE"/>
              </w:rPr>
              <w:t>11.000</w:t>
            </w:r>
            <w:r>
              <w:rPr>
                <w:b/>
                <w:bCs/>
                <w:noProof/>
                <w:sz w:val="20"/>
                <w:szCs w:val="20"/>
                <w:lang w:val="en-IE" w:eastAsia="en-IE"/>
              </w:rPr>
              <w:t>.000</w:t>
            </w:r>
          </w:p>
        </w:tc>
        <w:tc>
          <w:tcPr>
            <w:tcW w:w="315" w:type="pct"/>
            <w:shd w:val="clear" w:color="auto" w:fill="D9D9D9" w:themeFill="background1" w:themeFillShade="D9"/>
            <w:vAlign w:val="center"/>
          </w:tcPr>
          <w:p w:rsidR="00D613E7"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289" w:type="pct"/>
            <w:shd w:val="clear" w:color="auto" w:fill="D9D9D9" w:themeFill="background1" w:themeFillShade="D9"/>
            <w:vAlign w:val="center"/>
          </w:tcPr>
          <w:p w:rsidR="00D613E7"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289" w:type="pct"/>
            <w:shd w:val="clear" w:color="auto" w:fill="D9D9D9" w:themeFill="background1" w:themeFillShade="D9"/>
            <w:vAlign w:val="center"/>
          </w:tcPr>
          <w:p w:rsidR="00D613E7"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4F2CFA">
              <w:rPr>
                <w:b/>
                <w:bCs/>
                <w:noProof/>
                <w:sz w:val="20"/>
                <w:szCs w:val="20"/>
                <w:lang w:val="en-IE" w:eastAsia="en-IE"/>
              </w:rPr>
              <w:t>36.500.000</w:t>
            </w:r>
          </w:p>
        </w:tc>
      </w:tr>
      <w:tr w:rsidR="00D613E7" w:rsidRPr="00AC781E" w:rsidTr="00774994">
        <w:tblPrEx>
          <w:tblLook w:val="04A0" w:firstRow="1" w:lastRow="0" w:firstColumn="1" w:lastColumn="0" w:noHBand="0" w:noVBand="1"/>
        </w:tblPrEx>
        <w:trPr>
          <w:trHeight w:val="288"/>
          <w:jc w:val="center"/>
        </w:trPr>
        <w:tc>
          <w:tcPr>
            <w:tcW w:w="864" w:type="pct"/>
            <w:vMerge/>
            <w:vAlign w:val="center"/>
            <w:hideMark/>
          </w:tcPr>
          <w:p w:rsidR="00D613E7" w:rsidRPr="00695895" w:rsidRDefault="00D613E7" w:rsidP="00D613E7">
            <w:pPr>
              <w:spacing w:before="0" w:after="0"/>
              <w:jc w:val="center"/>
              <w:rPr>
                <w:b/>
                <w:bCs/>
                <w:noProof/>
                <w:sz w:val="22"/>
                <w:lang w:val="en-IE" w:eastAsia="en-IE"/>
              </w:rPr>
            </w:pP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Payments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=2a+2b+3</w:t>
            </w:r>
          </w:p>
        </w:tc>
        <w:tc>
          <w:tcPr>
            <w:tcW w:w="528" w:type="pct"/>
            <w:shd w:val="clear" w:color="auto" w:fill="D9D9D9" w:themeFill="background1" w:themeFillShade="D9"/>
            <w:vAlign w:val="center"/>
          </w:tcPr>
          <w:p w:rsidR="00D613E7" w:rsidRPr="00D613E7" w:rsidRDefault="00D613E7" w:rsidP="00D613E7">
            <w:pPr>
              <w:spacing w:before="0" w:after="0"/>
              <w:jc w:val="right"/>
              <w:rPr>
                <w:b/>
                <w:bCs/>
                <w:noProof/>
                <w:sz w:val="20"/>
                <w:szCs w:val="20"/>
                <w:lang w:val="en-IE" w:eastAsia="en-IE"/>
              </w:rPr>
            </w:pPr>
            <w:r w:rsidRPr="00774994">
              <w:rPr>
                <w:b/>
                <w:bCs/>
                <w:noProof/>
                <w:sz w:val="20"/>
                <w:szCs w:val="20"/>
                <w:lang w:val="en-IE" w:eastAsia="en-IE"/>
              </w:rPr>
              <w:t>4.300.000</w:t>
            </w:r>
          </w:p>
        </w:tc>
        <w:tc>
          <w:tcPr>
            <w:tcW w:w="555" w:type="pct"/>
            <w:shd w:val="clear" w:color="auto" w:fill="D9D9D9" w:themeFill="background1" w:themeFillShade="D9"/>
            <w:vAlign w:val="center"/>
          </w:tcPr>
          <w:p w:rsidR="00D613E7" w:rsidRPr="0004199A" w:rsidRDefault="00D613E7" w:rsidP="00D613E7">
            <w:pPr>
              <w:spacing w:before="0" w:after="0"/>
              <w:jc w:val="right"/>
              <w:rPr>
                <w:b/>
                <w:bCs/>
                <w:noProof/>
                <w:sz w:val="20"/>
                <w:szCs w:val="20"/>
                <w:lang w:val="en-IE" w:eastAsia="en-IE"/>
              </w:rPr>
            </w:pPr>
            <w:r w:rsidRPr="0004199A">
              <w:rPr>
                <w:b/>
                <w:bCs/>
                <w:noProof/>
                <w:sz w:val="20"/>
                <w:szCs w:val="20"/>
                <w:lang w:val="en-IE" w:eastAsia="en-IE"/>
              </w:rPr>
              <w:t>10.500</w:t>
            </w:r>
            <w:r>
              <w:rPr>
                <w:b/>
                <w:bCs/>
                <w:noProof/>
                <w:sz w:val="20"/>
                <w:szCs w:val="20"/>
                <w:lang w:val="en-IE" w:eastAsia="en-IE"/>
              </w:rPr>
              <w:t>.000</w:t>
            </w:r>
          </w:p>
        </w:tc>
        <w:tc>
          <w:tcPr>
            <w:tcW w:w="573" w:type="pct"/>
            <w:gridSpan w:val="2"/>
            <w:shd w:val="clear" w:color="auto" w:fill="D9D9D9" w:themeFill="background1" w:themeFillShade="D9"/>
            <w:vAlign w:val="center"/>
          </w:tcPr>
          <w:p w:rsidR="00D613E7" w:rsidRPr="0004199A" w:rsidRDefault="00D613E7" w:rsidP="00D613E7">
            <w:pPr>
              <w:spacing w:before="0" w:after="0"/>
              <w:jc w:val="right"/>
              <w:rPr>
                <w:b/>
                <w:bCs/>
                <w:noProof/>
                <w:sz w:val="20"/>
                <w:szCs w:val="20"/>
                <w:lang w:val="en-IE" w:eastAsia="en-IE"/>
              </w:rPr>
            </w:pPr>
            <w:r w:rsidRPr="0004199A">
              <w:rPr>
                <w:b/>
                <w:bCs/>
                <w:noProof/>
                <w:sz w:val="20"/>
                <w:szCs w:val="20"/>
                <w:lang w:val="en-IE" w:eastAsia="en-IE"/>
              </w:rPr>
              <w:t>10.700</w:t>
            </w:r>
            <w:r>
              <w:rPr>
                <w:b/>
                <w:bCs/>
                <w:noProof/>
                <w:sz w:val="20"/>
                <w:szCs w:val="20"/>
                <w:lang w:val="en-IE" w:eastAsia="en-IE"/>
              </w:rPr>
              <w:t>.000</w:t>
            </w:r>
          </w:p>
        </w:tc>
        <w:tc>
          <w:tcPr>
            <w:tcW w:w="43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04199A">
              <w:rPr>
                <w:b/>
                <w:bCs/>
                <w:noProof/>
                <w:sz w:val="20"/>
                <w:szCs w:val="20"/>
                <w:lang w:val="en-IE" w:eastAsia="en-IE"/>
              </w:rPr>
              <w:t>11.000</w:t>
            </w:r>
            <w:r>
              <w:rPr>
                <w:b/>
                <w:bCs/>
                <w:noProof/>
                <w:sz w:val="20"/>
                <w:szCs w:val="20"/>
                <w:lang w:val="en-IE" w:eastAsia="en-IE"/>
              </w:rPr>
              <w:t>.000</w:t>
            </w:r>
          </w:p>
        </w:tc>
        <w:tc>
          <w:tcPr>
            <w:tcW w:w="315" w:type="pct"/>
            <w:shd w:val="clear" w:color="auto" w:fill="D9D9D9" w:themeFill="background1" w:themeFillShade="D9"/>
            <w:vAlign w:val="center"/>
          </w:tcPr>
          <w:p w:rsidR="00D613E7"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289" w:type="pct"/>
            <w:shd w:val="clear" w:color="auto" w:fill="D9D9D9" w:themeFill="background1" w:themeFillShade="D9"/>
            <w:vAlign w:val="center"/>
          </w:tcPr>
          <w:p w:rsidR="00D613E7"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289" w:type="pct"/>
            <w:shd w:val="clear" w:color="auto" w:fill="D9D9D9" w:themeFill="background1" w:themeFillShade="D9"/>
            <w:vAlign w:val="center"/>
          </w:tcPr>
          <w:p w:rsidR="00D613E7" w:rsidRDefault="00D613E7" w:rsidP="00D613E7">
            <w:pPr>
              <w:spacing w:before="0" w:after="0"/>
              <w:jc w:val="right"/>
              <w:rPr>
                <w:b/>
                <w:bCs/>
                <w:noProof/>
                <w:sz w:val="20"/>
                <w:szCs w:val="20"/>
                <w:lang w:val="en-IE" w:eastAsia="en-IE"/>
              </w:rPr>
            </w:pPr>
            <w:r w:rsidRPr="00EC37EB">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4F2CFA">
              <w:rPr>
                <w:b/>
                <w:bCs/>
                <w:noProof/>
                <w:sz w:val="20"/>
                <w:szCs w:val="20"/>
                <w:lang w:val="en-IE" w:eastAsia="en-IE"/>
              </w:rPr>
              <w:t>36.500.000</w:t>
            </w:r>
          </w:p>
        </w:tc>
      </w:tr>
      <w:tr w:rsidR="00D613E7" w:rsidRPr="00AC781E" w:rsidTr="00774994">
        <w:tblPrEx>
          <w:tblLook w:val="04A0" w:firstRow="1" w:lastRow="0" w:firstColumn="1" w:lastColumn="0" w:noHBand="0" w:noVBand="1"/>
        </w:tblPrEx>
        <w:trPr>
          <w:trHeight w:val="300"/>
          <w:jc w:val="center"/>
        </w:trPr>
        <w:tc>
          <w:tcPr>
            <w:tcW w:w="1461" w:type="pct"/>
            <w:gridSpan w:val="4"/>
            <w:vMerge w:val="restart"/>
            <w:vAlign w:val="center"/>
            <w:hideMark/>
          </w:tcPr>
          <w:p w:rsidR="00D613E7" w:rsidRPr="00695895" w:rsidRDefault="00D613E7" w:rsidP="00D613E7">
            <w:pPr>
              <w:spacing w:before="0" w:after="0"/>
              <w:jc w:val="center"/>
              <w:rPr>
                <w:b/>
                <w:bCs/>
                <w:noProof/>
                <w:sz w:val="22"/>
                <w:lang w:val="en-IE" w:eastAsia="en-IE"/>
              </w:rPr>
            </w:pPr>
          </w:p>
        </w:tc>
        <w:tc>
          <w:tcPr>
            <w:tcW w:w="528" w:type="pct"/>
            <w:vAlign w:val="center"/>
          </w:tcPr>
          <w:p w:rsidR="00D613E7" w:rsidRPr="00695895" w:rsidRDefault="00D613E7" w:rsidP="00D613E7">
            <w:pPr>
              <w:spacing w:before="0" w:after="0"/>
              <w:jc w:val="center"/>
              <w:rPr>
                <w:noProof/>
                <w:sz w:val="20"/>
                <w:szCs w:val="20"/>
                <w:lang w:val="en-IE" w:eastAsia="en-IE"/>
              </w:rPr>
            </w:pPr>
            <w:r w:rsidRPr="00BB2868">
              <w:rPr>
                <w:noProof/>
                <w:sz w:val="20"/>
                <w:szCs w:val="20"/>
                <w:lang w:val="en-IE" w:eastAsia="en-IE"/>
              </w:rPr>
              <w:t>Year</w:t>
            </w:r>
          </w:p>
        </w:tc>
        <w:tc>
          <w:tcPr>
            <w:tcW w:w="555" w:type="pct"/>
            <w:vAlign w:val="center"/>
          </w:tcPr>
          <w:p w:rsidR="00D613E7" w:rsidRPr="00695895" w:rsidRDefault="00D613E7" w:rsidP="00D613E7">
            <w:pPr>
              <w:spacing w:before="0" w:after="0"/>
              <w:jc w:val="center"/>
              <w:rPr>
                <w:noProof/>
                <w:sz w:val="20"/>
                <w:szCs w:val="20"/>
                <w:lang w:val="en-IE" w:eastAsia="en-IE"/>
              </w:rPr>
            </w:pPr>
            <w:r w:rsidRPr="00BB2868">
              <w:rPr>
                <w:noProof/>
                <w:sz w:val="20"/>
                <w:szCs w:val="20"/>
                <w:lang w:val="en-IE" w:eastAsia="en-IE"/>
              </w:rPr>
              <w:t>Year</w:t>
            </w:r>
          </w:p>
        </w:tc>
        <w:tc>
          <w:tcPr>
            <w:tcW w:w="573" w:type="pct"/>
            <w:gridSpan w:val="2"/>
            <w:vAlign w:val="center"/>
          </w:tcPr>
          <w:p w:rsidR="00D613E7" w:rsidRPr="00695895" w:rsidRDefault="00D613E7" w:rsidP="00D613E7">
            <w:pPr>
              <w:spacing w:before="0" w:after="0"/>
              <w:jc w:val="center"/>
              <w:rPr>
                <w:noProof/>
                <w:sz w:val="20"/>
                <w:szCs w:val="20"/>
                <w:lang w:val="en-IE" w:eastAsia="en-IE"/>
              </w:rPr>
            </w:pPr>
            <w:r w:rsidRPr="00BB2868">
              <w:rPr>
                <w:noProof/>
                <w:sz w:val="20"/>
                <w:szCs w:val="20"/>
                <w:lang w:val="en-IE" w:eastAsia="en-IE"/>
              </w:rPr>
              <w:t>Year</w:t>
            </w:r>
          </w:p>
        </w:tc>
        <w:tc>
          <w:tcPr>
            <w:tcW w:w="435" w:type="pct"/>
            <w:vAlign w:val="center"/>
            <w:hideMark/>
          </w:tcPr>
          <w:p w:rsidR="00D613E7" w:rsidRPr="00695895" w:rsidRDefault="00D613E7" w:rsidP="00D613E7">
            <w:pPr>
              <w:spacing w:before="0" w:after="0"/>
              <w:jc w:val="center"/>
              <w:rPr>
                <w:noProof/>
                <w:sz w:val="20"/>
                <w:szCs w:val="20"/>
                <w:lang w:val="en-IE" w:eastAsia="en-IE"/>
              </w:rPr>
            </w:pPr>
            <w:r w:rsidRPr="00BB2868">
              <w:rPr>
                <w:noProof/>
                <w:sz w:val="20"/>
                <w:szCs w:val="20"/>
                <w:lang w:val="en-IE" w:eastAsia="en-IE"/>
              </w:rPr>
              <w:t>Year</w:t>
            </w:r>
          </w:p>
        </w:tc>
        <w:tc>
          <w:tcPr>
            <w:tcW w:w="315" w:type="pct"/>
            <w:vAlign w:val="center"/>
          </w:tcPr>
          <w:p w:rsidR="00D613E7" w:rsidRPr="00695895" w:rsidRDefault="00D613E7" w:rsidP="00D613E7">
            <w:pPr>
              <w:spacing w:before="0" w:after="0"/>
              <w:jc w:val="center"/>
              <w:rPr>
                <w:b/>
                <w:bCs/>
                <w:noProof/>
                <w:sz w:val="20"/>
                <w:szCs w:val="20"/>
                <w:lang w:val="en-IE" w:eastAsia="en-IE"/>
              </w:rPr>
            </w:pPr>
            <w:r w:rsidRPr="00695895">
              <w:rPr>
                <w:noProof/>
                <w:sz w:val="20"/>
                <w:szCs w:val="20"/>
                <w:lang w:val="en-IE" w:eastAsia="en-IE"/>
              </w:rPr>
              <w:t>Year</w:t>
            </w:r>
          </w:p>
        </w:tc>
        <w:tc>
          <w:tcPr>
            <w:tcW w:w="289" w:type="pct"/>
            <w:vAlign w:val="center"/>
          </w:tcPr>
          <w:p w:rsidR="00D613E7" w:rsidRPr="00695895" w:rsidRDefault="00D613E7" w:rsidP="00D613E7">
            <w:pPr>
              <w:spacing w:before="0" w:after="0"/>
              <w:jc w:val="center"/>
              <w:rPr>
                <w:b/>
                <w:bCs/>
                <w:noProof/>
                <w:sz w:val="20"/>
                <w:szCs w:val="20"/>
                <w:lang w:val="en-IE" w:eastAsia="en-IE"/>
              </w:rPr>
            </w:pPr>
            <w:r w:rsidRPr="00695895">
              <w:rPr>
                <w:noProof/>
                <w:sz w:val="20"/>
                <w:szCs w:val="20"/>
                <w:lang w:val="en-IE" w:eastAsia="en-IE"/>
              </w:rPr>
              <w:t>Year</w:t>
            </w:r>
          </w:p>
        </w:tc>
        <w:tc>
          <w:tcPr>
            <w:tcW w:w="289" w:type="pct"/>
            <w:vAlign w:val="center"/>
          </w:tcPr>
          <w:p w:rsidR="00D613E7" w:rsidRPr="00695895" w:rsidRDefault="00D613E7" w:rsidP="00D613E7">
            <w:pPr>
              <w:spacing w:before="0" w:after="0"/>
              <w:jc w:val="center"/>
              <w:rPr>
                <w:b/>
                <w:bCs/>
                <w:noProof/>
                <w:sz w:val="20"/>
                <w:szCs w:val="20"/>
                <w:lang w:val="en-IE" w:eastAsia="en-IE"/>
              </w:rPr>
            </w:pPr>
            <w:r w:rsidRPr="00FE7E6B">
              <w:rPr>
                <w:noProof/>
                <w:sz w:val="20"/>
                <w:szCs w:val="20"/>
                <w:lang w:val="en-IE" w:eastAsia="en-IE"/>
              </w:rPr>
              <w:t>Year</w:t>
            </w:r>
          </w:p>
        </w:tc>
        <w:tc>
          <w:tcPr>
            <w:tcW w:w="555" w:type="pct"/>
            <w:vMerge w:val="restart"/>
            <w:vAlign w:val="center"/>
            <w:hideMark/>
          </w:tcPr>
          <w:p w:rsidR="00D613E7" w:rsidRPr="00695895" w:rsidRDefault="00D613E7" w:rsidP="00D613E7">
            <w:pPr>
              <w:spacing w:before="0" w:after="0"/>
              <w:jc w:val="center"/>
              <w:rPr>
                <w:b/>
                <w:bCs/>
                <w:noProof/>
                <w:sz w:val="20"/>
                <w:szCs w:val="20"/>
                <w:lang w:val="en-IE" w:eastAsia="en-IE"/>
              </w:rPr>
            </w:pPr>
            <w:r w:rsidRPr="00695895">
              <w:rPr>
                <w:b/>
                <w:bCs/>
                <w:noProof/>
                <w:sz w:val="20"/>
                <w:szCs w:val="20"/>
                <w:lang w:val="en-IE" w:eastAsia="en-IE"/>
              </w:rPr>
              <w:t>TOTAL MFF 202</w:t>
            </w:r>
            <w:r>
              <w:rPr>
                <w:b/>
                <w:bCs/>
                <w:noProof/>
                <w:sz w:val="20"/>
                <w:szCs w:val="20"/>
                <w:lang w:val="en-IE" w:eastAsia="en-IE"/>
              </w:rPr>
              <w:t>8</w:t>
            </w:r>
            <w:r w:rsidRPr="00695895">
              <w:rPr>
                <w:b/>
                <w:bCs/>
                <w:noProof/>
                <w:sz w:val="20"/>
                <w:szCs w:val="20"/>
                <w:lang w:val="en-IE" w:eastAsia="en-IE"/>
              </w:rPr>
              <w:t>-20</w:t>
            </w:r>
            <w:r>
              <w:rPr>
                <w:b/>
                <w:bCs/>
                <w:noProof/>
                <w:sz w:val="20"/>
                <w:szCs w:val="20"/>
                <w:lang w:val="en-IE" w:eastAsia="en-IE"/>
              </w:rPr>
              <w:t>34</w:t>
            </w:r>
          </w:p>
        </w:tc>
      </w:tr>
      <w:tr w:rsidR="00D613E7" w:rsidRPr="00AC781E" w:rsidTr="00774994">
        <w:tblPrEx>
          <w:tblLook w:val="04A0" w:firstRow="1" w:lastRow="0" w:firstColumn="1" w:lastColumn="0" w:noHBand="0" w:noVBand="1"/>
        </w:tblPrEx>
        <w:trPr>
          <w:trHeight w:val="300"/>
          <w:jc w:val="center"/>
        </w:trPr>
        <w:tc>
          <w:tcPr>
            <w:tcW w:w="1461" w:type="pct"/>
            <w:gridSpan w:val="4"/>
            <w:vMerge/>
            <w:vAlign w:val="center"/>
            <w:hideMark/>
          </w:tcPr>
          <w:p w:rsidR="00D613E7" w:rsidRPr="00695895" w:rsidRDefault="00D613E7" w:rsidP="00D613E7">
            <w:pPr>
              <w:spacing w:before="0" w:after="0"/>
              <w:jc w:val="left"/>
              <w:rPr>
                <w:b/>
                <w:bCs/>
                <w:noProof/>
                <w:sz w:val="22"/>
                <w:lang w:val="en-IE" w:eastAsia="en-IE"/>
              </w:rPr>
            </w:pPr>
          </w:p>
        </w:tc>
        <w:tc>
          <w:tcPr>
            <w:tcW w:w="528" w:type="pct"/>
            <w:vAlign w:val="center"/>
          </w:tcPr>
          <w:p w:rsidR="00D613E7" w:rsidRPr="00695895" w:rsidRDefault="00D613E7" w:rsidP="00D613E7">
            <w:pPr>
              <w:spacing w:before="0" w:after="0"/>
              <w:jc w:val="center"/>
              <w:rPr>
                <w:b/>
                <w:bCs/>
                <w:noProof/>
                <w:sz w:val="20"/>
                <w:szCs w:val="20"/>
                <w:lang w:val="en-IE" w:eastAsia="en-IE"/>
              </w:rPr>
            </w:pPr>
            <w:r w:rsidRPr="00695895">
              <w:rPr>
                <w:b/>
                <w:bCs/>
                <w:noProof/>
                <w:sz w:val="20"/>
                <w:szCs w:val="20"/>
                <w:lang w:val="en-IE" w:eastAsia="en-IE"/>
              </w:rPr>
              <w:t>202</w:t>
            </w:r>
            <w:r>
              <w:rPr>
                <w:b/>
                <w:bCs/>
                <w:noProof/>
                <w:sz w:val="20"/>
                <w:szCs w:val="20"/>
                <w:lang w:val="en-IE" w:eastAsia="en-IE"/>
              </w:rPr>
              <w:t>8</w:t>
            </w:r>
          </w:p>
        </w:tc>
        <w:tc>
          <w:tcPr>
            <w:tcW w:w="555" w:type="pct"/>
            <w:vAlign w:val="center"/>
          </w:tcPr>
          <w:p w:rsidR="00D613E7" w:rsidRPr="00695895" w:rsidRDefault="00D613E7" w:rsidP="00D613E7">
            <w:pPr>
              <w:spacing w:before="0" w:after="0"/>
              <w:jc w:val="center"/>
              <w:rPr>
                <w:b/>
                <w:bCs/>
                <w:noProof/>
                <w:sz w:val="20"/>
                <w:szCs w:val="20"/>
                <w:lang w:val="en-IE" w:eastAsia="en-IE"/>
              </w:rPr>
            </w:pPr>
            <w:r w:rsidRPr="00695895">
              <w:rPr>
                <w:b/>
                <w:bCs/>
                <w:noProof/>
                <w:sz w:val="20"/>
                <w:szCs w:val="20"/>
                <w:lang w:val="en-IE" w:eastAsia="en-IE"/>
              </w:rPr>
              <w:t>202</w:t>
            </w:r>
            <w:r>
              <w:rPr>
                <w:b/>
                <w:bCs/>
                <w:noProof/>
                <w:sz w:val="20"/>
                <w:szCs w:val="20"/>
                <w:lang w:val="en-IE" w:eastAsia="en-IE"/>
              </w:rPr>
              <w:t>9</w:t>
            </w:r>
          </w:p>
        </w:tc>
        <w:tc>
          <w:tcPr>
            <w:tcW w:w="573" w:type="pct"/>
            <w:gridSpan w:val="2"/>
            <w:vAlign w:val="center"/>
          </w:tcPr>
          <w:p w:rsidR="00D613E7" w:rsidRPr="00695895" w:rsidRDefault="00D613E7" w:rsidP="00D613E7">
            <w:pPr>
              <w:spacing w:before="0" w:after="0"/>
              <w:jc w:val="center"/>
              <w:rPr>
                <w:b/>
                <w:bCs/>
                <w:noProof/>
                <w:sz w:val="20"/>
                <w:szCs w:val="20"/>
                <w:lang w:val="en-IE" w:eastAsia="en-IE"/>
              </w:rPr>
            </w:pPr>
            <w:r w:rsidRPr="00695895">
              <w:rPr>
                <w:b/>
                <w:bCs/>
                <w:noProof/>
                <w:sz w:val="20"/>
                <w:szCs w:val="20"/>
                <w:lang w:val="en-IE" w:eastAsia="en-IE"/>
              </w:rPr>
              <w:t>20</w:t>
            </w:r>
            <w:r>
              <w:rPr>
                <w:b/>
                <w:bCs/>
                <w:noProof/>
                <w:sz w:val="20"/>
                <w:szCs w:val="20"/>
                <w:lang w:val="en-IE" w:eastAsia="en-IE"/>
              </w:rPr>
              <w:t>30</w:t>
            </w:r>
          </w:p>
        </w:tc>
        <w:tc>
          <w:tcPr>
            <w:tcW w:w="435" w:type="pct"/>
            <w:vAlign w:val="center"/>
          </w:tcPr>
          <w:p w:rsidR="00D613E7" w:rsidRPr="00695895" w:rsidRDefault="00D613E7" w:rsidP="00D613E7">
            <w:pPr>
              <w:spacing w:before="0" w:after="0"/>
              <w:jc w:val="center"/>
              <w:rPr>
                <w:b/>
                <w:bCs/>
                <w:noProof/>
                <w:sz w:val="20"/>
                <w:szCs w:val="20"/>
                <w:lang w:val="en-IE" w:eastAsia="en-IE"/>
              </w:rPr>
            </w:pPr>
            <w:r w:rsidRPr="03E2E087">
              <w:rPr>
                <w:b/>
                <w:bCs/>
                <w:noProof/>
                <w:sz w:val="20"/>
                <w:szCs w:val="20"/>
                <w:lang w:val="en-IE" w:eastAsia="en-IE"/>
              </w:rPr>
              <w:t>2031</w:t>
            </w:r>
          </w:p>
        </w:tc>
        <w:tc>
          <w:tcPr>
            <w:tcW w:w="315" w:type="pct"/>
            <w:vAlign w:val="center"/>
          </w:tcPr>
          <w:p w:rsidR="00D613E7" w:rsidRPr="00695895" w:rsidRDefault="00D613E7" w:rsidP="00D613E7">
            <w:pPr>
              <w:spacing w:before="0" w:after="0"/>
              <w:jc w:val="left"/>
              <w:rPr>
                <w:b/>
                <w:bCs/>
                <w:noProof/>
                <w:sz w:val="20"/>
                <w:szCs w:val="20"/>
                <w:lang w:val="en-IE" w:eastAsia="en-IE"/>
              </w:rPr>
            </w:pPr>
            <w:r>
              <w:rPr>
                <w:b/>
                <w:bCs/>
                <w:noProof/>
                <w:sz w:val="20"/>
                <w:szCs w:val="20"/>
                <w:lang w:val="en-IE" w:eastAsia="en-IE"/>
              </w:rPr>
              <w:t>2032</w:t>
            </w:r>
          </w:p>
        </w:tc>
        <w:tc>
          <w:tcPr>
            <w:tcW w:w="289" w:type="pct"/>
            <w:vAlign w:val="center"/>
          </w:tcPr>
          <w:p w:rsidR="00D613E7" w:rsidRPr="00695895" w:rsidRDefault="00D613E7" w:rsidP="00D613E7">
            <w:pPr>
              <w:spacing w:before="0" w:after="0"/>
              <w:jc w:val="left"/>
              <w:rPr>
                <w:b/>
                <w:bCs/>
                <w:noProof/>
                <w:sz w:val="20"/>
                <w:szCs w:val="20"/>
                <w:lang w:val="en-IE" w:eastAsia="en-IE"/>
              </w:rPr>
            </w:pPr>
            <w:r>
              <w:rPr>
                <w:b/>
                <w:bCs/>
                <w:noProof/>
                <w:sz w:val="20"/>
                <w:szCs w:val="20"/>
                <w:lang w:val="en-IE" w:eastAsia="en-IE"/>
              </w:rPr>
              <w:t>2033</w:t>
            </w:r>
          </w:p>
        </w:tc>
        <w:tc>
          <w:tcPr>
            <w:tcW w:w="289" w:type="pct"/>
            <w:vAlign w:val="center"/>
          </w:tcPr>
          <w:p w:rsidR="00D613E7" w:rsidRPr="00695895" w:rsidRDefault="00D613E7" w:rsidP="00D613E7">
            <w:pPr>
              <w:spacing w:before="0" w:after="0"/>
              <w:jc w:val="left"/>
              <w:rPr>
                <w:b/>
                <w:bCs/>
                <w:noProof/>
                <w:sz w:val="20"/>
                <w:szCs w:val="20"/>
                <w:lang w:val="en-IE" w:eastAsia="en-IE"/>
              </w:rPr>
            </w:pPr>
            <w:r>
              <w:rPr>
                <w:b/>
                <w:bCs/>
                <w:noProof/>
                <w:sz w:val="20"/>
                <w:szCs w:val="20"/>
                <w:lang w:val="en-IE" w:eastAsia="en-IE"/>
              </w:rPr>
              <w:t>2034</w:t>
            </w:r>
          </w:p>
        </w:tc>
        <w:tc>
          <w:tcPr>
            <w:tcW w:w="555" w:type="pct"/>
            <w:vMerge/>
            <w:vAlign w:val="center"/>
            <w:hideMark/>
          </w:tcPr>
          <w:p w:rsidR="00D613E7" w:rsidRPr="00695895" w:rsidRDefault="00D613E7" w:rsidP="00D613E7">
            <w:pPr>
              <w:spacing w:before="0" w:after="0"/>
              <w:jc w:val="left"/>
              <w:rPr>
                <w:b/>
                <w:bCs/>
                <w:noProof/>
                <w:sz w:val="20"/>
                <w:szCs w:val="20"/>
                <w:lang w:val="en-IE" w:eastAsia="en-IE"/>
              </w:rPr>
            </w:pPr>
          </w:p>
        </w:tc>
      </w:tr>
      <w:tr w:rsidR="00D613E7" w:rsidRPr="00AC781E" w:rsidTr="00774994">
        <w:tblPrEx>
          <w:tblLook w:val="04A0" w:firstRow="1" w:lastRow="0" w:firstColumn="1" w:lastColumn="0" w:noHBand="0" w:noVBand="1"/>
        </w:tblPrEx>
        <w:trPr>
          <w:trHeight w:val="432"/>
          <w:jc w:val="center"/>
        </w:trPr>
        <w:tc>
          <w:tcPr>
            <w:tcW w:w="864" w:type="pct"/>
            <w:vMerge w:val="restart"/>
            <w:vAlign w:val="center"/>
            <w:hideMark/>
          </w:tcPr>
          <w:p w:rsidR="00D613E7" w:rsidRPr="00695895" w:rsidRDefault="00D613E7" w:rsidP="00D613E7">
            <w:pPr>
              <w:spacing w:before="0" w:after="0"/>
              <w:rPr>
                <w:noProof/>
                <w:sz w:val="21"/>
                <w:szCs w:val="21"/>
                <w:lang w:val="en-IE" w:eastAsia="en-IE"/>
              </w:rPr>
            </w:pPr>
            <w:r w:rsidRPr="00695895">
              <w:rPr>
                <w:noProof/>
                <w:sz w:val="21"/>
                <w:szCs w:val="21"/>
                <w:lang w:val="en-IE" w:eastAsia="en-IE"/>
              </w:rPr>
              <w:t xml:space="preserve">TOTAL operational appropriations </w:t>
            </w:r>
            <w:r w:rsidRPr="00695895">
              <w:rPr>
                <w:noProof/>
                <w:sz w:val="21"/>
                <w:szCs w:val="21"/>
                <w:lang w:val="en-IE" w:eastAsia="en-IE"/>
              </w:rPr>
              <w:br/>
            </w: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Commitments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(4)</w:t>
            </w:r>
          </w:p>
        </w:tc>
        <w:tc>
          <w:tcPr>
            <w:tcW w:w="528" w:type="pct"/>
            <w:shd w:val="clear" w:color="auto" w:fill="D9D9D9" w:themeFill="background1" w:themeFillShade="D9"/>
            <w:vAlign w:val="center"/>
          </w:tcPr>
          <w:p w:rsidR="00D613E7" w:rsidRPr="00D613E7" w:rsidRDefault="00D613E7" w:rsidP="00D613E7">
            <w:pPr>
              <w:spacing w:before="0" w:after="0"/>
              <w:jc w:val="right"/>
              <w:rPr>
                <w:b/>
                <w:bCs/>
                <w:noProof/>
                <w:sz w:val="20"/>
                <w:szCs w:val="20"/>
                <w:lang w:val="en-IE" w:eastAsia="en-IE"/>
              </w:rPr>
            </w:pPr>
            <w:r w:rsidRPr="00774994">
              <w:rPr>
                <w:b/>
                <w:bCs/>
                <w:noProof/>
                <w:sz w:val="20"/>
                <w:szCs w:val="20"/>
                <w:lang w:val="en-IE" w:eastAsia="en-IE"/>
              </w:rPr>
              <w:t>4.300.000</w:t>
            </w:r>
          </w:p>
        </w:tc>
        <w:tc>
          <w:tcPr>
            <w:tcW w:w="555" w:type="pct"/>
            <w:shd w:val="clear" w:color="auto" w:fill="D9D9D9" w:themeFill="background1" w:themeFillShade="D9"/>
            <w:vAlign w:val="center"/>
          </w:tcPr>
          <w:p w:rsidR="00D613E7" w:rsidRPr="009E6311" w:rsidRDefault="00D613E7" w:rsidP="00D613E7">
            <w:pPr>
              <w:spacing w:before="0" w:after="0"/>
              <w:jc w:val="right"/>
              <w:rPr>
                <w:b/>
                <w:bCs/>
                <w:noProof/>
                <w:sz w:val="20"/>
                <w:szCs w:val="20"/>
                <w:lang w:val="en-IE" w:eastAsia="en-IE"/>
              </w:rPr>
            </w:pPr>
            <w:r w:rsidRPr="009E6311">
              <w:rPr>
                <w:b/>
                <w:bCs/>
                <w:noProof/>
                <w:sz w:val="20"/>
                <w:szCs w:val="20"/>
                <w:lang w:val="en-IE" w:eastAsia="en-IE"/>
              </w:rPr>
              <w:t>10.500.000</w:t>
            </w:r>
          </w:p>
        </w:tc>
        <w:tc>
          <w:tcPr>
            <w:tcW w:w="573" w:type="pct"/>
            <w:gridSpan w:val="2"/>
            <w:shd w:val="clear" w:color="auto" w:fill="D9D9D9" w:themeFill="background1" w:themeFillShade="D9"/>
            <w:vAlign w:val="center"/>
          </w:tcPr>
          <w:p w:rsidR="00D613E7" w:rsidRPr="00695895" w:rsidRDefault="00D613E7" w:rsidP="00D613E7">
            <w:pPr>
              <w:spacing w:before="0" w:after="0"/>
              <w:jc w:val="right"/>
              <w:rPr>
                <w:noProof/>
                <w:sz w:val="20"/>
                <w:szCs w:val="20"/>
                <w:lang w:val="en-IE" w:eastAsia="en-IE"/>
              </w:rPr>
            </w:pPr>
            <w:r w:rsidRPr="009E6311">
              <w:rPr>
                <w:b/>
                <w:bCs/>
                <w:noProof/>
                <w:sz w:val="20"/>
                <w:szCs w:val="20"/>
                <w:lang w:val="en-IE" w:eastAsia="en-IE"/>
              </w:rPr>
              <w:t>10.700.000</w:t>
            </w:r>
          </w:p>
        </w:tc>
        <w:tc>
          <w:tcPr>
            <w:tcW w:w="435" w:type="pct"/>
            <w:shd w:val="clear" w:color="auto" w:fill="D9D9D9" w:themeFill="background1" w:themeFillShade="D9"/>
            <w:vAlign w:val="center"/>
            <w:hideMark/>
          </w:tcPr>
          <w:p w:rsidR="00D613E7" w:rsidRPr="00492235" w:rsidRDefault="00D613E7" w:rsidP="00D613E7">
            <w:pPr>
              <w:spacing w:before="0" w:after="0"/>
              <w:jc w:val="right"/>
              <w:rPr>
                <w:noProof/>
                <w:sz w:val="20"/>
                <w:szCs w:val="20"/>
                <w:lang w:val="en-IE" w:eastAsia="en-IE"/>
              </w:rPr>
            </w:pPr>
            <w:r w:rsidRPr="000A6D54">
              <w:rPr>
                <w:b/>
                <w:bCs/>
                <w:noProof/>
                <w:sz w:val="20"/>
                <w:szCs w:val="20"/>
                <w:lang w:val="en-IE" w:eastAsia="en-IE"/>
              </w:rPr>
              <w:t>11.000.000</w:t>
            </w:r>
          </w:p>
        </w:tc>
        <w:tc>
          <w:tcPr>
            <w:tcW w:w="315" w:type="pct"/>
            <w:shd w:val="clear" w:color="auto" w:fill="D9D9D9" w:themeFill="background1" w:themeFillShade="D9"/>
            <w:vAlign w:val="center"/>
          </w:tcPr>
          <w:p w:rsidR="00D613E7" w:rsidRPr="00B3033D" w:rsidRDefault="00D613E7" w:rsidP="00D613E7">
            <w:pPr>
              <w:spacing w:before="0" w:after="0"/>
              <w:jc w:val="right"/>
              <w:rPr>
                <w:b/>
                <w:bCs/>
                <w:noProof/>
                <w:sz w:val="20"/>
                <w:szCs w:val="20"/>
                <w:lang w:val="en-IE" w:eastAsia="en-IE"/>
              </w:rPr>
            </w:pPr>
            <w:r w:rsidRPr="00114A3F">
              <w:rPr>
                <w:noProof/>
                <w:sz w:val="20"/>
                <w:szCs w:val="20"/>
                <w:lang w:val="en-IE" w:eastAsia="en-IE"/>
              </w:rPr>
              <w:t>0.000</w:t>
            </w:r>
          </w:p>
        </w:tc>
        <w:tc>
          <w:tcPr>
            <w:tcW w:w="289" w:type="pct"/>
            <w:shd w:val="clear" w:color="auto" w:fill="D9D9D9" w:themeFill="background1" w:themeFillShade="D9"/>
            <w:vAlign w:val="center"/>
          </w:tcPr>
          <w:p w:rsidR="00D613E7" w:rsidRPr="00B3033D" w:rsidRDefault="00D613E7" w:rsidP="00D613E7">
            <w:pPr>
              <w:spacing w:before="0" w:after="0"/>
              <w:jc w:val="right"/>
              <w:rPr>
                <w:b/>
                <w:bCs/>
                <w:noProof/>
                <w:sz w:val="20"/>
                <w:szCs w:val="20"/>
                <w:lang w:val="en-IE" w:eastAsia="en-IE"/>
              </w:rPr>
            </w:pPr>
            <w:r w:rsidRPr="00114A3F">
              <w:rPr>
                <w:noProof/>
                <w:sz w:val="20"/>
                <w:szCs w:val="20"/>
                <w:lang w:val="en-IE" w:eastAsia="en-IE"/>
              </w:rPr>
              <w:t>0.000</w:t>
            </w:r>
          </w:p>
        </w:tc>
        <w:tc>
          <w:tcPr>
            <w:tcW w:w="289" w:type="pct"/>
            <w:shd w:val="clear" w:color="auto" w:fill="D9D9D9" w:themeFill="background1" w:themeFillShade="D9"/>
            <w:vAlign w:val="center"/>
          </w:tcPr>
          <w:p w:rsidR="00D613E7" w:rsidRPr="00B3033D" w:rsidRDefault="00D613E7" w:rsidP="00D613E7">
            <w:pPr>
              <w:spacing w:before="0" w:after="0"/>
              <w:jc w:val="right"/>
              <w:rPr>
                <w:b/>
                <w:bCs/>
                <w:noProof/>
                <w:sz w:val="20"/>
                <w:szCs w:val="20"/>
                <w:lang w:val="en-IE" w:eastAsia="en-IE"/>
              </w:rPr>
            </w:pPr>
            <w:r w:rsidRPr="00114A3F">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6A60FC">
              <w:rPr>
                <w:b/>
                <w:bCs/>
                <w:noProof/>
                <w:sz w:val="20"/>
                <w:szCs w:val="20"/>
                <w:lang w:val="en-IE" w:eastAsia="en-IE"/>
              </w:rPr>
              <w:t>36.500.000</w:t>
            </w:r>
          </w:p>
        </w:tc>
      </w:tr>
      <w:tr w:rsidR="00D613E7" w:rsidRPr="00AC781E" w:rsidTr="00774994">
        <w:tblPrEx>
          <w:tblLook w:val="04A0" w:firstRow="1" w:lastRow="0" w:firstColumn="1" w:lastColumn="0" w:noHBand="0" w:noVBand="1"/>
        </w:tblPrEx>
        <w:trPr>
          <w:trHeight w:val="456"/>
          <w:jc w:val="center"/>
        </w:trPr>
        <w:tc>
          <w:tcPr>
            <w:tcW w:w="864" w:type="pct"/>
            <w:vMerge/>
            <w:vAlign w:val="center"/>
            <w:hideMark/>
          </w:tcPr>
          <w:p w:rsidR="00D613E7" w:rsidRPr="00695895" w:rsidRDefault="00D613E7" w:rsidP="00D613E7">
            <w:pPr>
              <w:spacing w:before="0" w:after="0"/>
              <w:jc w:val="left"/>
              <w:rPr>
                <w:noProof/>
                <w:sz w:val="21"/>
                <w:szCs w:val="21"/>
                <w:lang w:val="en-IE" w:eastAsia="en-IE"/>
              </w:rPr>
            </w:pP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Payments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(5)</w:t>
            </w:r>
          </w:p>
        </w:tc>
        <w:tc>
          <w:tcPr>
            <w:tcW w:w="528" w:type="pct"/>
            <w:shd w:val="clear" w:color="auto" w:fill="D9D9D9" w:themeFill="background1" w:themeFillShade="D9"/>
            <w:vAlign w:val="center"/>
          </w:tcPr>
          <w:p w:rsidR="00D613E7" w:rsidRPr="00D613E7" w:rsidRDefault="00D613E7" w:rsidP="00D613E7">
            <w:pPr>
              <w:spacing w:before="0" w:after="0"/>
              <w:jc w:val="right"/>
              <w:rPr>
                <w:b/>
                <w:bCs/>
                <w:noProof/>
                <w:sz w:val="20"/>
                <w:szCs w:val="20"/>
                <w:lang w:val="en-IE" w:eastAsia="en-IE"/>
              </w:rPr>
            </w:pPr>
            <w:r w:rsidRPr="00774994">
              <w:rPr>
                <w:b/>
                <w:bCs/>
                <w:noProof/>
                <w:sz w:val="20"/>
                <w:szCs w:val="20"/>
                <w:lang w:val="en-IE" w:eastAsia="en-IE"/>
              </w:rPr>
              <w:t>4.300.000</w:t>
            </w:r>
          </w:p>
        </w:tc>
        <w:tc>
          <w:tcPr>
            <w:tcW w:w="555" w:type="pct"/>
            <w:shd w:val="clear" w:color="auto" w:fill="D9D9D9" w:themeFill="background1" w:themeFillShade="D9"/>
            <w:vAlign w:val="center"/>
          </w:tcPr>
          <w:p w:rsidR="00D613E7" w:rsidRPr="009E6311" w:rsidRDefault="00D613E7" w:rsidP="00D613E7">
            <w:pPr>
              <w:spacing w:before="0" w:after="0"/>
              <w:jc w:val="right"/>
              <w:rPr>
                <w:b/>
                <w:bCs/>
                <w:noProof/>
                <w:sz w:val="20"/>
                <w:szCs w:val="20"/>
                <w:lang w:val="en-IE" w:eastAsia="en-IE"/>
              </w:rPr>
            </w:pPr>
            <w:r w:rsidRPr="009E6311">
              <w:rPr>
                <w:b/>
                <w:bCs/>
                <w:noProof/>
                <w:sz w:val="20"/>
                <w:szCs w:val="20"/>
                <w:lang w:val="en-IE" w:eastAsia="en-IE"/>
              </w:rPr>
              <w:t>10.500.000</w:t>
            </w:r>
          </w:p>
        </w:tc>
        <w:tc>
          <w:tcPr>
            <w:tcW w:w="573" w:type="pct"/>
            <w:gridSpan w:val="2"/>
            <w:shd w:val="clear" w:color="auto" w:fill="D9D9D9" w:themeFill="background1" w:themeFillShade="D9"/>
            <w:vAlign w:val="center"/>
          </w:tcPr>
          <w:p w:rsidR="00D613E7" w:rsidRPr="00695895" w:rsidRDefault="00D613E7" w:rsidP="00D613E7">
            <w:pPr>
              <w:spacing w:before="0" w:after="0"/>
              <w:jc w:val="right"/>
              <w:rPr>
                <w:noProof/>
                <w:sz w:val="20"/>
                <w:szCs w:val="20"/>
                <w:lang w:val="en-IE" w:eastAsia="en-IE"/>
              </w:rPr>
            </w:pPr>
            <w:r w:rsidRPr="009E6311">
              <w:rPr>
                <w:b/>
                <w:bCs/>
                <w:noProof/>
                <w:sz w:val="20"/>
                <w:szCs w:val="20"/>
                <w:lang w:val="en-IE" w:eastAsia="en-IE"/>
              </w:rPr>
              <w:t>10.700.000</w:t>
            </w:r>
          </w:p>
        </w:tc>
        <w:tc>
          <w:tcPr>
            <w:tcW w:w="435" w:type="pct"/>
            <w:shd w:val="clear" w:color="auto" w:fill="D9D9D9" w:themeFill="background1" w:themeFillShade="D9"/>
            <w:vAlign w:val="center"/>
            <w:hideMark/>
          </w:tcPr>
          <w:p w:rsidR="00D613E7" w:rsidRPr="00492235" w:rsidRDefault="00D613E7" w:rsidP="00D613E7">
            <w:pPr>
              <w:spacing w:before="0" w:after="0"/>
              <w:jc w:val="right"/>
              <w:rPr>
                <w:noProof/>
                <w:sz w:val="20"/>
                <w:szCs w:val="20"/>
                <w:lang w:val="en-IE" w:eastAsia="en-IE"/>
              </w:rPr>
            </w:pPr>
            <w:r w:rsidRPr="000A6D54">
              <w:rPr>
                <w:b/>
                <w:bCs/>
                <w:noProof/>
                <w:sz w:val="20"/>
                <w:szCs w:val="20"/>
                <w:lang w:val="en-IE" w:eastAsia="en-IE"/>
              </w:rPr>
              <w:t>11.000.000</w:t>
            </w:r>
          </w:p>
        </w:tc>
        <w:tc>
          <w:tcPr>
            <w:tcW w:w="315" w:type="pct"/>
            <w:shd w:val="clear" w:color="auto" w:fill="D9D9D9" w:themeFill="background1" w:themeFillShade="D9"/>
            <w:vAlign w:val="center"/>
          </w:tcPr>
          <w:p w:rsidR="00D613E7" w:rsidRPr="00B3033D"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289" w:type="pct"/>
            <w:shd w:val="clear" w:color="auto" w:fill="D9D9D9" w:themeFill="background1" w:themeFillShade="D9"/>
            <w:vAlign w:val="center"/>
          </w:tcPr>
          <w:p w:rsidR="00D613E7" w:rsidRPr="00B3033D"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289" w:type="pct"/>
            <w:shd w:val="clear" w:color="auto" w:fill="D9D9D9" w:themeFill="background1" w:themeFillShade="D9"/>
            <w:vAlign w:val="center"/>
          </w:tcPr>
          <w:p w:rsidR="00D613E7" w:rsidRPr="00B3033D"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6A60FC">
              <w:rPr>
                <w:b/>
                <w:bCs/>
                <w:noProof/>
                <w:sz w:val="20"/>
                <w:szCs w:val="20"/>
                <w:lang w:val="en-IE" w:eastAsia="en-IE"/>
              </w:rPr>
              <w:t>36.500.000</w:t>
            </w:r>
          </w:p>
        </w:tc>
      </w:tr>
      <w:tr w:rsidR="00774994" w:rsidRPr="00AC781E" w:rsidTr="00774994">
        <w:tblPrEx>
          <w:tblLook w:val="04A0" w:firstRow="1" w:lastRow="0" w:firstColumn="1" w:lastColumn="0" w:noHBand="0" w:noVBand="1"/>
        </w:tblPrEx>
        <w:trPr>
          <w:trHeight w:val="924"/>
          <w:jc w:val="center"/>
        </w:trPr>
        <w:tc>
          <w:tcPr>
            <w:tcW w:w="1212" w:type="pct"/>
            <w:gridSpan w:val="2"/>
            <w:vAlign w:val="center"/>
            <w:hideMark/>
          </w:tcPr>
          <w:p w:rsidR="00D613E7" w:rsidRPr="00695895" w:rsidRDefault="00D613E7" w:rsidP="00D613E7">
            <w:pPr>
              <w:spacing w:before="0" w:after="0"/>
              <w:rPr>
                <w:noProof/>
                <w:sz w:val="21"/>
                <w:szCs w:val="21"/>
                <w:lang w:val="en-IE" w:eastAsia="en-IE"/>
              </w:rPr>
            </w:pPr>
            <w:r w:rsidRPr="00695895">
              <w:rPr>
                <w:noProof/>
                <w:sz w:val="21"/>
                <w:szCs w:val="21"/>
                <w:lang w:val="en-IE" w:eastAsia="en-IE"/>
              </w:rPr>
              <w:t xml:space="preserve">TOTAL appropriations of an administrative nature financed from the envelope for specific programmes </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(6)</w:t>
            </w:r>
          </w:p>
        </w:tc>
        <w:tc>
          <w:tcPr>
            <w:tcW w:w="528" w:type="pct"/>
            <w:shd w:val="clear" w:color="auto" w:fill="D9D9D9" w:themeFill="background1" w:themeFillShade="D9"/>
            <w:vAlign w:val="center"/>
          </w:tcPr>
          <w:p w:rsidR="00D613E7" w:rsidRPr="00695895" w:rsidRDefault="00D613E7" w:rsidP="00D613E7">
            <w:pPr>
              <w:spacing w:before="0" w:after="0"/>
              <w:jc w:val="right"/>
              <w:rPr>
                <w:noProof/>
                <w:sz w:val="20"/>
                <w:szCs w:val="20"/>
                <w:lang w:val="en-IE" w:eastAsia="en-IE"/>
              </w:rPr>
            </w:pPr>
            <w:r w:rsidRPr="00695895">
              <w:rPr>
                <w:noProof/>
                <w:sz w:val="20"/>
                <w:szCs w:val="20"/>
                <w:lang w:val="en-IE" w:eastAsia="en-IE"/>
              </w:rPr>
              <w:t>0.000</w:t>
            </w:r>
          </w:p>
        </w:tc>
        <w:tc>
          <w:tcPr>
            <w:tcW w:w="555" w:type="pct"/>
            <w:shd w:val="clear" w:color="auto" w:fill="D9D9D9" w:themeFill="background1" w:themeFillShade="D9"/>
            <w:vAlign w:val="center"/>
          </w:tcPr>
          <w:p w:rsidR="00D613E7" w:rsidRPr="00695895" w:rsidRDefault="00D613E7" w:rsidP="00D613E7">
            <w:pPr>
              <w:spacing w:before="0" w:after="0"/>
              <w:jc w:val="right"/>
              <w:rPr>
                <w:noProof/>
                <w:sz w:val="20"/>
                <w:szCs w:val="20"/>
                <w:lang w:val="en-IE" w:eastAsia="en-IE"/>
              </w:rPr>
            </w:pPr>
            <w:r w:rsidRPr="00695895">
              <w:rPr>
                <w:noProof/>
                <w:sz w:val="20"/>
                <w:szCs w:val="20"/>
                <w:lang w:val="en-IE" w:eastAsia="en-IE"/>
              </w:rPr>
              <w:t>0.000</w:t>
            </w:r>
          </w:p>
        </w:tc>
        <w:tc>
          <w:tcPr>
            <w:tcW w:w="573" w:type="pct"/>
            <w:gridSpan w:val="2"/>
            <w:shd w:val="clear" w:color="auto" w:fill="D9D9D9" w:themeFill="background1" w:themeFillShade="D9"/>
            <w:vAlign w:val="center"/>
          </w:tcPr>
          <w:p w:rsidR="00D613E7" w:rsidRPr="00695895" w:rsidRDefault="00D613E7" w:rsidP="00D613E7">
            <w:pPr>
              <w:spacing w:before="0" w:after="0"/>
              <w:jc w:val="right"/>
              <w:rPr>
                <w:noProof/>
                <w:sz w:val="20"/>
                <w:szCs w:val="20"/>
                <w:lang w:val="en-IE" w:eastAsia="en-IE"/>
              </w:rPr>
            </w:pPr>
            <w:r w:rsidRPr="00695895">
              <w:rPr>
                <w:noProof/>
                <w:sz w:val="20"/>
                <w:szCs w:val="20"/>
                <w:lang w:val="en-IE" w:eastAsia="en-IE"/>
              </w:rPr>
              <w:t>0.000</w:t>
            </w:r>
          </w:p>
        </w:tc>
        <w:tc>
          <w:tcPr>
            <w:tcW w:w="435" w:type="pct"/>
            <w:shd w:val="clear" w:color="auto" w:fill="D9D9D9" w:themeFill="background1" w:themeFillShade="D9"/>
            <w:vAlign w:val="center"/>
            <w:hideMark/>
          </w:tcPr>
          <w:p w:rsidR="00D613E7" w:rsidRPr="00695895" w:rsidRDefault="00D613E7" w:rsidP="00D613E7">
            <w:pPr>
              <w:spacing w:before="0" w:after="0"/>
              <w:jc w:val="right"/>
              <w:rPr>
                <w:noProof/>
                <w:sz w:val="20"/>
                <w:szCs w:val="20"/>
                <w:lang w:val="en-IE" w:eastAsia="en-IE"/>
              </w:rPr>
            </w:pPr>
            <w:r w:rsidRPr="00695895">
              <w:rPr>
                <w:noProof/>
                <w:sz w:val="20"/>
                <w:szCs w:val="20"/>
                <w:lang w:val="en-IE" w:eastAsia="en-IE"/>
              </w:rPr>
              <w:t>0.000</w:t>
            </w:r>
          </w:p>
        </w:tc>
        <w:tc>
          <w:tcPr>
            <w:tcW w:w="315" w:type="pct"/>
            <w:shd w:val="clear" w:color="auto" w:fill="D9D9D9" w:themeFill="background1" w:themeFillShade="D9"/>
            <w:vAlign w:val="center"/>
          </w:tcPr>
          <w:p w:rsidR="00D613E7" w:rsidRPr="00150B34" w:rsidRDefault="00D613E7" w:rsidP="00D613E7">
            <w:pPr>
              <w:spacing w:before="0" w:after="0"/>
              <w:jc w:val="right"/>
              <w:rPr>
                <w:noProof/>
                <w:sz w:val="20"/>
                <w:szCs w:val="20"/>
                <w:lang w:val="en-IE" w:eastAsia="en-IE"/>
              </w:rPr>
            </w:pPr>
            <w:r w:rsidRPr="00695895">
              <w:rPr>
                <w:noProof/>
                <w:sz w:val="20"/>
                <w:szCs w:val="20"/>
                <w:lang w:val="en-IE" w:eastAsia="en-IE"/>
              </w:rPr>
              <w:t>0.000</w:t>
            </w:r>
          </w:p>
        </w:tc>
        <w:tc>
          <w:tcPr>
            <w:tcW w:w="289" w:type="pct"/>
            <w:shd w:val="clear" w:color="auto" w:fill="D9D9D9" w:themeFill="background1" w:themeFillShade="D9"/>
            <w:vAlign w:val="center"/>
          </w:tcPr>
          <w:p w:rsidR="00D613E7" w:rsidRPr="00150B34" w:rsidRDefault="00D613E7" w:rsidP="00D613E7">
            <w:pPr>
              <w:spacing w:before="0" w:after="0"/>
              <w:jc w:val="right"/>
              <w:rPr>
                <w:noProof/>
                <w:sz w:val="20"/>
                <w:szCs w:val="20"/>
                <w:lang w:val="en-IE" w:eastAsia="en-IE"/>
              </w:rPr>
            </w:pPr>
            <w:r w:rsidRPr="006500D8">
              <w:rPr>
                <w:noProof/>
                <w:sz w:val="20"/>
                <w:szCs w:val="20"/>
                <w:lang w:val="en-IE" w:eastAsia="en-IE"/>
              </w:rPr>
              <w:t>0.000</w:t>
            </w:r>
          </w:p>
        </w:tc>
        <w:tc>
          <w:tcPr>
            <w:tcW w:w="289" w:type="pct"/>
            <w:shd w:val="clear" w:color="auto" w:fill="D9D9D9" w:themeFill="background1" w:themeFillShade="D9"/>
            <w:vAlign w:val="center"/>
          </w:tcPr>
          <w:p w:rsidR="00D613E7" w:rsidRPr="00150B34" w:rsidRDefault="00D613E7" w:rsidP="00D613E7">
            <w:pPr>
              <w:spacing w:before="0" w:after="0"/>
              <w:jc w:val="right"/>
              <w:rPr>
                <w:noProof/>
                <w:sz w:val="20"/>
                <w:szCs w:val="20"/>
                <w:lang w:val="en-IE" w:eastAsia="en-IE"/>
              </w:rPr>
            </w:pPr>
            <w:r w:rsidRPr="006500D8">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r>
      <w:tr w:rsidR="00D613E7" w:rsidRPr="00AC781E" w:rsidTr="00774994">
        <w:tblPrEx>
          <w:tblLook w:val="04A0" w:firstRow="1" w:lastRow="0" w:firstColumn="1" w:lastColumn="0" w:noHBand="0" w:noVBand="1"/>
        </w:tblPrEx>
        <w:trPr>
          <w:trHeight w:val="564"/>
          <w:jc w:val="center"/>
        </w:trPr>
        <w:tc>
          <w:tcPr>
            <w:tcW w:w="864" w:type="pct"/>
            <w:shd w:val="clear" w:color="auto" w:fill="F1F1F1"/>
            <w:vAlign w:val="center"/>
            <w:hideMark/>
          </w:tcPr>
          <w:p w:rsidR="00D613E7" w:rsidRPr="00695895" w:rsidRDefault="00D613E7" w:rsidP="00D613E7">
            <w:pPr>
              <w:spacing w:before="0" w:after="0"/>
              <w:jc w:val="center"/>
              <w:rPr>
                <w:b/>
                <w:bCs/>
                <w:noProof/>
                <w:sz w:val="22"/>
                <w:lang w:val="en-IE" w:eastAsia="en-IE"/>
              </w:rPr>
            </w:pPr>
            <w:r w:rsidRPr="00695895">
              <w:rPr>
                <w:b/>
                <w:bCs/>
                <w:noProof/>
                <w:sz w:val="22"/>
                <w:lang w:val="en-IE" w:eastAsia="en-IE"/>
              </w:rPr>
              <w:t>TOTAL appropriations under HEADING &lt;</w:t>
            </w:r>
            <w:r>
              <w:rPr>
                <w:b/>
                <w:bCs/>
                <w:noProof/>
                <w:sz w:val="22"/>
                <w:lang w:val="en-IE" w:eastAsia="en-IE"/>
              </w:rPr>
              <w:t>0</w:t>
            </w:r>
            <w:r w:rsidRPr="00695895">
              <w:rPr>
                <w:b/>
                <w:bCs/>
                <w:noProof/>
                <w:sz w:val="22"/>
                <w:lang w:val="en-IE" w:eastAsia="en-IE"/>
              </w:rPr>
              <w:t>&gt;</w:t>
            </w: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Commitments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=4+6</w:t>
            </w:r>
          </w:p>
        </w:tc>
        <w:tc>
          <w:tcPr>
            <w:tcW w:w="528" w:type="pct"/>
            <w:shd w:val="clear" w:color="auto" w:fill="D9D9D9" w:themeFill="background1" w:themeFillShade="D9"/>
            <w:vAlign w:val="center"/>
          </w:tcPr>
          <w:p w:rsidR="00D613E7" w:rsidRPr="00D613E7" w:rsidRDefault="00D613E7" w:rsidP="00D613E7">
            <w:pPr>
              <w:spacing w:before="0" w:after="0"/>
              <w:jc w:val="right"/>
              <w:rPr>
                <w:b/>
                <w:bCs/>
                <w:noProof/>
                <w:sz w:val="20"/>
                <w:szCs w:val="20"/>
                <w:lang w:val="en-IE" w:eastAsia="en-IE"/>
              </w:rPr>
            </w:pPr>
            <w:r w:rsidRPr="00774994">
              <w:rPr>
                <w:b/>
                <w:bCs/>
                <w:noProof/>
                <w:sz w:val="20"/>
                <w:szCs w:val="20"/>
                <w:lang w:val="en-IE" w:eastAsia="en-IE"/>
              </w:rPr>
              <w:t>4.300.000</w:t>
            </w:r>
          </w:p>
        </w:tc>
        <w:tc>
          <w:tcPr>
            <w:tcW w:w="555" w:type="pct"/>
            <w:shd w:val="clear" w:color="auto" w:fill="D9D9D9" w:themeFill="background1" w:themeFillShade="D9"/>
            <w:vAlign w:val="center"/>
          </w:tcPr>
          <w:p w:rsidR="00D613E7" w:rsidRPr="002F5675" w:rsidRDefault="00D613E7" w:rsidP="00D613E7">
            <w:pPr>
              <w:spacing w:before="0" w:after="0"/>
              <w:jc w:val="right"/>
              <w:rPr>
                <w:b/>
                <w:bCs/>
                <w:noProof/>
                <w:sz w:val="20"/>
                <w:szCs w:val="20"/>
                <w:lang w:val="en-IE" w:eastAsia="en-IE"/>
              </w:rPr>
            </w:pPr>
            <w:r w:rsidRPr="002F5675">
              <w:rPr>
                <w:b/>
                <w:bCs/>
                <w:noProof/>
                <w:sz w:val="20"/>
                <w:szCs w:val="20"/>
                <w:lang w:val="en-IE" w:eastAsia="en-IE"/>
              </w:rPr>
              <w:t>10.500.000</w:t>
            </w:r>
          </w:p>
        </w:tc>
        <w:tc>
          <w:tcPr>
            <w:tcW w:w="573" w:type="pct"/>
            <w:gridSpan w:val="2"/>
            <w:shd w:val="clear" w:color="auto" w:fill="D9D9D9" w:themeFill="background1" w:themeFillShade="D9"/>
            <w:vAlign w:val="center"/>
          </w:tcPr>
          <w:p w:rsidR="00D613E7" w:rsidRPr="00695895" w:rsidRDefault="00D613E7" w:rsidP="00D613E7">
            <w:pPr>
              <w:spacing w:before="0" w:after="0"/>
              <w:jc w:val="right"/>
              <w:rPr>
                <w:b/>
                <w:bCs/>
                <w:noProof/>
                <w:sz w:val="20"/>
                <w:szCs w:val="20"/>
                <w:lang w:val="en-IE" w:eastAsia="en-IE"/>
              </w:rPr>
            </w:pPr>
            <w:r w:rsidRPr="002F5675">
              <w:rPr>
                <w:b/>
                <w:bCs/>
                <w:noProof/>
                <w:sz w:val="20"/>
                <w:szCs w:val="20"/>
                <w:lang w:val="en-IE" w:eastAsia="en-IE"/>
              </w:rPr>
              <w:t>10.700.000</w:t>
            </w:r>
          </w:p>
        </w:tc>
        <w:tc>
          <w:tcPr>
            <w:tcW w:w="43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23779C">
              <w:rPr>
                <w:b/>
                <w:bCs/>
                <w:noProof/>
                <w:sz w:val="20"/>
                <w:szCs w:val="20"/>
                <w:lang w:val="en-IE" w:eastAsia="en-IE"/>
              </w:rPr>
              <w:t>11.000.000</w:t>
            </w:r>
          </w:p>
        </w:tc>
        <w:tc>
          <w:tcPr>
            <w:tcW w:w="315" w:type="pct"/>
            <w:shd w:val="clear" w:color="auto" w:fill="D9D9D9" w:themeFill="background1" w:themeFillShade="D9"/>
            <w:vAlign w:val="center"/>
          </w:tcPr>
          <w:p w:rsidR="00D613E7" w:rsidRPr="00C754EA"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289" w:type="pct"/>
            <w:shd w:val="clear" w:color="auto" w:fill="D9D9D9" w:themeFill="background1" w:themeFillShade="D9"/>
            <w:vAlign w:val="center"/>
          </w:tcPr>
          <w:p w:rsidR="00D613E7" w:rsidRPr="00C754EA"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289" w:type="pct"/>
            <w:shd w:val="clear" w:color="auto" w:fill="D9D9D9" w:themeFill="background1" w:themeFillShade="D9"/>
            <w:vAlign w:val="center"/>
          </w:tcPr>
          <w:p w:rsidR="00D613E7" w:rsidRPr="00C754EA"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0522C9">
              <w:rPr>
                <w:b/>
                <w:bCs/>
                <w:noProof/>
                <w:sz w:val="20"/>
                <w:szCs w:val="20"/>
                <w:lang w:val="en-IE" w:eastAsia="en-IE"/>
              </w:rPr>
              <w:t>36.500.000</w:t>
            </w:r>
          </w:p>
        </w:tc>
      </w:tr>
      <w:tr w:rsidR="00D613E7" w:rsidRPr="00AC781E" w:rsidTr="00774994">
        <w:tblPrEx>
          <w:tblLook w:val="04A0" w:firstRow="1" w:lastRow="0" w:firstColumn="1" w:lastColumn="0" w:noHBand="0" w:noVBand="1"/>
        </w:tblPrEx>
        <w:trPr>
          <w:trHeight w:val="528"/>
          <w:jc w:val="center"/>
        </w:trPr>
        <w:tc>
          <w:tcPr>
            <w:tcW w:w="864" w:type="pct"/>
            <w:shd w:val="clear" w:color="auto" w:fill="F1F1F1"/>
            <w:vAlign w:val="center"/>
            <w:hideMark/>
          </w:tcPr>
          <w:p w:rsidR="00D613E7" w:rsidRPr="00695895" w:rsidRDefault="00D613E7" w:rsidP="00D613E7">
            <w:pPr>
              <w:spacing w:before="0" w:after="0"/>
              <w:jc w:val="center"/>
              <w:rPr>
                <w:noProof/>
                <w:sz w:val="22"/>
                <w:lang w:val="en-IE" w:eastAsia="en-IE"/>
              </w:rPr>
            </w:pPr>
            <w:r w:rsidRPr="00695895">
              <w:rPr>
                <w:noProof/>
                <w:sz w:val="22"/>
                <w:lang w:val="en-IE" w:eastAsia="en-IE"/>
              </w:rPr>
              <w:t>of the multiannual financial framework</w:t>
            </w:r>
          </w:p>
        </w:tc>
        <w:tc>
          <w:tcPr>
            <w:tcW w:w="348" w:type="pct"/>
            <w:vAlign w:val="center"/>
            <w:hideMark/>
          </w:tcPr>
          <w:p w:rsidR="00D613E7" w:rsidRPr="00695895" w:rsidRDefault="00D613E7" w:rsidP="00D613E7">
            <w:pPr>
              <w:spacing w:before="0" w:after="0"/>
              <w:rPr>
                <w:noProof/>
                <w:sz w:val="18"/>
                <w:szCs w:val="18"/>
                <w:lang w:val="en-IE" w:eastAsia="en-IE"/>
              </w:rPr>
            </w:pPr>
            <w:r w:rsidRPr="00695895">
              <w:rPr>
                <w:noProof/>
                <w:sz w:val="18"/>
                <w:szCs w:val="18"/>
                <w:lang w:val="en-IE" w:eastAsia="en-IE"/>
              </w:rPr>
              <w:t>Payments</w:t>
            </w:r>
          </w:p>
        </w:tc>
        <w:tc>
          <w:tcPr>
            <w:tcW w:w="249" w:type="pct"/>
            <w:gridSpan w:val="2"/>
            <w:vAlign w:val="center"/>
            <w:hideMark/>
          </w:tcPr>
          <w:p w:rsidR="00D613E7" w:rsidRPr="00695895" w:rsidRDefault="00D613E7" w:rsidP="00D613E7">
            <w:pPr>
              <w:spacing w:before="0" w:after="0"/>
              <w:jc w:val="center"/>
              <w:rPr>
                <w:noProof/>
                <w:sz w:val="14"/>
                <w:szCs w:val="14"/>
                <w:lang w:val="en-IE" w:eastAsia="en-IE"/>
              </w:rPr>
            </w:pPr>
            <w:r w:rsidRPr="00695895">
              <w:rPr>
                <w:noProof/>
                <w:sz w:val="14"/>
                <w:szCs w:val="14"/>
                <w:lang w:val="en-IE" w:eastAsia="en-IE"/>
              </w:rPr>
              <w:t>=5+6</w:t>
            </w:r>
          </w:p>
        </w:tc>
        <w:tc>
          <w:tcPr>
            <w:tcW w:w="528" w:type="pct"/>
            <w:shd w:val="clear" w:color="auto" w:fill="D9D9D9" w:themeFill="background1" w:themeFillShade="D9"/>
            <w:vAlign w:val="center"/>
          </w:tcPr>
          <w:p w:rsidR="00D613E7" w:rsidRPr="00D613E7" w:rsidRDefault="00D613E7" w:rsidP="00D613E7">
            <w:pPr>
              <w:spacing w:before="0" w:after="0"/>
              <w:jc w:val="right"/>
              <w:rPr>
                <w:b/>
                <w:bCs/>
                <w:noProof/>
                <w:sz w:val="20"/>
                <w:szCs w:val="20"/>
                <w:lang w:val="en-IE" w:eastAsia="en-IE"/>
              </w:rPr>
            </w:pPr>
            <w:r w:rsidRPr="00774994">
              <w:rPr>
                <w:b/>
                <w:bCs/>
                <w:noProof/>
                <w:sz w:val="20"/>
                <w:szCs w:val="20"/>
                <w:lang w:val="en-IE" w:eastAsia="en-IE"/>
              </w:rPr>
              <w:t>4.300.000</w:t>
            </w:r>
          </w:p>
        </w:tc>
        <w:tc>
          <w:tcPr>
            <w:tcW w:w="555" w:type="pct"/>
            <w:shd w:val="clear" w:color="auto" w:fill="D9D9D9" w:themeFill="background1" w:themeFillShade="D9"/>
            <w:vAlign w:val="center"/>
          </w:tcPr>
          <w:p w:rsidR="00D613E7" w:rsidRPr="002F5675" w:rsidRDefault="00D613E7" w:rsidP="00D613E7">
            <w:pPr>
              <w:spacing w:before="0" w:after="0"/>
              <w:jc w:val="right"/>
              <w:rPr>
                <w:b/>
                <w:bCs/>
                <w:noProof/>
                <w:sz w:val="20"/>
                <w:szCs w:val="20"/>
                <w:lang w:val="en-IE" w:eastAsia="en-IE"/>
              </w:rPr>
            </w:pPr>
            <w:r w:rsidRPr="002F5675">
              <w:rPr>
                <w:b/>
                <w:bCs/>
                <w:noProof/>
                <w:sz w:val="20"/>
                <w:szCs w:val="20"/>
                <w:lang w:val="en-IE" w:eastAsia="en-IE"/>
              </w:rPr>
              <w:t>10.500.000</w:t>
            </w:r>
          </w:p>
        </w:tc>
        <w:tc>
          <w:tcPr>
            <w:tcW w:w="573" w:type="pct"/>
            <w:gridSpan w:val="2"/>
            <w:shd w:val="clear" w:color="auto" w:fill="D9D9D9" w:themeFill="background1" w:themeFillShade="D9"/>
            <w:vAlign w:val="center"/>
          </w:tcPr>
          <w:p w:rsidR="00D613E7" w:rsidRPr="00695895" w:rsidRDefault="00D613E7" w:rsidP="00D613E7">
            <w:pPr>
              <w:spacing w:before="0" w:after="0"/>
              <w:jc w:val="right"/>
              <w:rPr>
                <w:b/>
                <w:bCs/>
                <w:noProof/>
                <w:sz w:val="20"/>
                <w:szCs w:val="20"/>
                <w:lang w:val="en-IE" w:eastAsia="en-IE"/>
              </w:rPr>
            </w:pPr>
            <w:r w:rsidRPr="002F5675">
              <w:rPr>
                <w:b/>
                <w:bCs/>
                <w:noProof/>
                <w:sz w:val="20"/>
                <w:szCs w:val="20"/>
                <w:lang w:val="en-IE" w:eastAsia="en-IE"/>
              </w:rPr>
              <w:t>10.700.000</w:t>
            </w:r>
          </w:p>
        </w:tc>
        <w:tc>
          <w:tcPr>
            <w:tcW w:w="43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23779C">
              <w:rPr>
                <w:b/>
                <w:bCs/>
                <w:noProof/>
                <w:sz w:val="20"/>
                <w:szCs w:val="20"/>
                <w:lang w:val="en-IE" w:eastAsia="en-IE"/>
              </w:rPr>
              <w:t>11.000.000</w:t>
            </w:r>
          </w:p>
        </w:tc>
        <w:tc>
          <w:tcPr>
            <w:tcW w:w="315" w:type="pct"/>
            <w:shd w:val="clear" w:color="auto" w:fill="D9D9D9" w:themeFill="background1" w:themeFillShade="D9"/>
            <w:vAlign w:val="center"/>
          </w:tcPr>
          <w:p w:rsidR="00D613E7" w:rsidRPr="00C754EA"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289" w:type="pct"/>
            <w:shd w:val="clear" w:color="auto" w:fill="D9D9D9" w:themeFill="background1" w:themeFillShade="D9"/>
            <w:vAlign w:val="center"/>
          </w:tcPr>
          <w:p w:rsidR="00D613E7" w:rsidRPr="00C754EA"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289" w:type="pct"/>
            <w:shd w:val="clear" w:color="auto" w:fill="D9D9D9" w:themeFill="background1" w:themeFillShade="D9"/>
            <w:vAlign w:val="center"/>
          </w:tcPr>
          <w:p w:rsidR="00D613E7" w:rsidRPr="00C754EA" w:rsidRDefault="00D613E7" w:rsidP="00D613E7">
            <w:pPr>
              <w:spacing w:before="0" w:after="0"/>
              <w:jc w:val="right"/>
              <w:rPr>
                <w:b/>
                <w:bCs/>
                <w:noProof/>
                <w:sz w:val="20"/>
                <w:szCs w:val="20"/>
                <w:lang w:val="en-IE" w:eastAsia="en-IE"/>
              </w:rPr>
            </w:pPr>
            <w:r w:rsidRPr="006500D8">
              <w:rPr>
                <w:noProof/>
                <w:sz w:val="20"/>
                <w:szCs w:val="20"/>
                <w:lang w:val="en-IE" w:eastAsia="en-IE"/>
              </w:rPr>
              <w:t>0.000</w:t>
            </w:r>
          </w:p>
        </w:tc>
        <w:tc>
          <w:tcPr>
            <w:tcW w:w="555" w:type="pct"/>
            <w:shd w:val="clear" w:color="auto" w:fill="D9D9D9" w:themeFill="background1" w:themeFillShade="D9"/>
            <w:vAlign w:val="center"/>
            <w:hideMark/>
          </w:tcPr>
          <w:p w:rsidR="00D613E7" w:rsidRPr="00695895" w:rsidRDefault="00D613E7" w:rsidP="00D613E7">
            <w:pPr>
              <w:spacing w:before="0" w:after="0"/>
              <w:jc w:val="right"/>
              <w:rPr>
                <w:b/>
                <w:bCs/>
                <w:noProof/>
                <w:sz w:val="20"/>
                <w:szCs w:val="20"/>
                <w:lang w:val="en-IE" w:eastAsia="en-IE"/>
              </w:rPr>
            </w:pPr>
            <w:r w:rsidRPr="000522C9">
              <w:rPr>
                <w:b/>
                <w:bCs/>
                <w:noProof/>
                <w:sz w:val="20"/>
                <w:szCs w:val="20"/>
                <w:lang w:val="en-IE" w:eastAsia="en-IE"/>
              </w:rPr>
              <w:t>36.500.000</w:t>
            </w:r>
          </w:p>
        </w:tc>
      </w:tr>
    </w:tbl>
    <w:p w:rsidR="009E6311" w:rsidRDefault="009E6311">
      <w:pPr>
        <w:pStyle w:val="ManualHeading3"/>
        <w:rPr>
          <w:noProof/>
        </w:rPr>
      </w:pPr>
      <w:bookmarkStart w:id="148" w:name="_Toc160804596"/>
      <w:bookmarkStart w:id="149" w:name="_Toc167220288"/>
      <w:bookmarkStart w:id="150" w:name="_Toc177549021"/>
    </w:p>
    <w:p w:rsidR="00DE314D" w:rsidRPr="00AC781E" w:rsidRDefault="00DE314D">
      <w:pPr>
        <w:pStyle w:val="ManualHeading3"/>
        <w:rPr>
          <w:noProof/>
        </w:rPr>
      </w:pPr>
      <w:r w:rsidRPr="77BC4F07">
        <w:rPr>
          <w:noProof/>
        </w:rPr>
        <w:t>3.2.1.2.</w:t>
      </w:r>
      <w:r>
        <w:rPr>
          <w:noProof/>
        </w:rPr>
        <w:tab/>
      </w:r>
      <w:r w:rsidRPr="77BC4F07">
        <w:rPr>
          <w:noProof/>
        </w:rPr>
        <w:t>Appropriations from external assigned revenues</w:t>
      </w:r>
      <w:bookmarkEnd w:id="148"/>
      <w:bookmarkEnd w:id="149"/>
      <w:bookmarkEnd w:id="150"/>
    </w:p>
    <w:p w:rsidR="00DE314D" w:rsidRPr="009E6311" w:rsidRDefault="00DE314D" w:rsidP="009E6311">
      <w:pPr>
        <w:jc w:val="right"/>
        <w:rPr>
          <w:noProof/>
          <w:sz w:val="18"/>
          <w:szCs w:val="18"/>
          <w:lang w:val="en-IE"/>
        </w:rPr>
      </w:pPr>
      <w:r w:rsidRPr="00AC781E">
        <w:rPr>
          <w:noProof/>
          <w:sz w:val="18"/>
          <w:szCs w:val="18"/>
          <w:lang w:val="en-IE"/>
        </w:rPr>
        <w:t>EUR million (to three decimal places)</w:t>
      </w:r>
    </w:p>
    <w:tbl>
      <w:tblPr>
        <w:tblW w:w="5000" w:type="pct"/>
        <w:tblLook w:val="04A0" w:firstRow="1" w:lastRow="0" w:firstColumn="1" w:lastColumn="0" w:noHBand="0" w:noVBand="1"/>
      </w:tblPr>
      <w:tblGrid>
        <w:gridCol w:w="4035"/>
        <w:gridCol w:w="909"/>
        <w:gridCol w:w="594"/>
        <w:gridCol w:w="532"/>
        <w:gridCol w:w="879"/>
        <w:gridCol w:w="1411"/>
        <w:gridCol w:w="1411"/>
        <w:gridCol w:w="1402"/>
        <w:gridCol w:w="9"/>
        <w:gridCol w:w="1394"/>
        <w:gridCol w:w="1644"/>
      </w:tblGrid>
      <w:tr w:rsidR="00AC781E" w:rsidRPr="00AC781E" w:rsidTr="006C58F6">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 w:val="22"/>
                <w:lang w:val="en-IE" w:eastAsia="en-IE"/>
              </w:rPr>
            </w:pPr>
            <w:r w:rsidRPr="00695895">
              <w:rPr>
                <w:noProof/>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2"/>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1"/>
                <w:szCs w:val="21"/>
                <w:lang w:val="en-IE" w:eastAsia="en-IE"/>
              </w:rPr>
            </w:pPr>
            <w:r w:rsidRPr="00695895">
              <w:rPr>
                <w:noProof/>
                <w:sz w:val="21"/>
                <w:szCs w:val="21"/>
                <w:lang w:val="en-IE" w:eastAsia="en-IE"/>
              </w:rPr>
              <w:t xml:space="preserve">Operational appropriations </w:t>
            </w:r>
          </w:p>
        </w:tc>
      </w:tr>
      <w:tr w:rsidR="00AC781E" w:rsidRPr="00AC781E"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95895" w:rsidRDefault="00DE314D">
            <w:pPr>
              <w:spacing w:before="0" w:after="0"/>
              <w:jc w:val="left"/>
              <w:rPr>
                <w:noProof/>
                <w:sz w:val="22"/>
                <w:lang w:val="en-IE" w:eastAsia="en-IE"/>
              </w:rPr>
            </w:pPr>
            <w:r w:rsidRPr="00695895">
              <w:rPr>
                <w:noProof/>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(1b)</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(2b)</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rsidR="00DE314D" w:rsidRPr="00695895" w:rsidRDefault="00DE314D">
            <w:pPr>
              <w:spacing w:before="0" w:after="0"/>
              <w:jc w:val="left"/>
              <w:rPr>
                <w:noProof/>
                <w:sz w:val="22"/>
                <w:lang w:val="en-IE" w:eastAsia="en-IE"/>
              </w:rPr>
            </w:pPr>
            <w:r w:rsidRPr="00695895">
              <w:rPr>
                <w:noProof/>
                <w:sz w:val="22"/>
                <w:lang w:val="en-IE" w:eastAsia="en-IE"/>
              </w:rPr>
              <w:t>Appropriations of an administrative nature financed from the envelope of specific programmes</w:t>
            </w:r>
            <w:r w:rsidRPr="00AC781E">
              <w:rPr>
                <w:noProof/>
              </w:rPr>
              <w:t xml:space="preserve"> </w:t>
            </w:r>
          </w:p>
        </w:tc>
      </w:tr>
      <w:tr w:rsidR="00AC781E" w:rsidRPr="00AC781E"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18"/>
                <w:szCs w:val="18"/>
                <w:lang w:val="en-IE" w:eastAsia="en-IE"/>
              </w:rPr>
            </w:pP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(3)</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w:t>
            </w:r>
          </w:p>
          <w:p w:rsidR="00DE314D" w:rsidRPr="00695895" w:rsidRDefault="00DE314D">
            <w:pPr>
              <w:spacing w:before="0" w:after="0"/>
              <w:jc w:val="center"/>
              <w:rPr>
                <w:b/>
                <w:bCs/>
                <w:noProof/>
                <w:sz w:val="22"/>
                <w:lang w:val="en-IE" w:eastAsia="en-IE"/>
              </w:rPr>
            </w:pPr>
            <w:r w:rsidRPr="00695895">
              <w:rPr>
                <w:b/>
                <w:bCs/>
                <w:noProof/>
                <w:sz w:val="22"/>
                <w:lang w:val="en-IE" w:eastAsia="en-IE"/>
              </w:rPr>
              <w:t xml:space="preserve">for DG </w:t>
            </w:r>
            <w:r w:rsidRPr="00695895">
              <w:rPr>
                <w:noProof/>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420"/>
        </w:trPr>
        <w:tc>
          <w:tcPr>
            <w:tcW w:w="2444" w:type="pct"/>
            <w:gridSpan w:val="5"/>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 w:val="22"/>
                <w:lang w:val="en-IE" w:eastAsia="en-IE"/>
              </w:rPr>
            </w:pPr>
            <w:r w:rsidRPr="00695895">
              <w:rPr>
                <w:noProof/>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288"/>
        </w:trPr>
        <w:tc>
          <w:tcPr>
            <w:tcW w:w="2444" w:type="pct"/>
            <w:gridSpan w:val="5"/>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2"/>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1"/>
                <w:szCs w:val="21"/>
                <w:lang w:val="en-IE" w:eastAsia="en-IE"/>
              </w:rPr>
            </w:pPr>
            <w:r w:rsidRPr="00695895">
              <w:rPr>
                <w:noProof/>
                <w:sz w:val="21"/>
                <w:szCs w:val="21"/>
                <w:lang w:val="en-IE" w:eastAsia="en-IE"/>
              </w:rPr>
              <w:t xml:space="preserve">Operational appropriations </w:t>
            </w:r>
          </w:p>
        </w:tc>
      </w:tr>
      <w:tr w:rsidR="00AC781E" w:rsidRPr="00AC781E"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95895" w:rsidRDefault="00DE314D">
            <w:pPr>
              <w:spacing w:before="0" w:after="0"/>
              <w:jc w:val="left"/>
              <w:rPr>
                <w:noProof/>
                <w:sz w:val="22"/>
                <w:lang w:val="en-IE" w:eastAsia="en-IE"/>
              </w:rPr>
            </w:pPr>
            <w:r w:rsidRPr="00695895">
              <w:rPr>
                <w:noProof/>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(1b)</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(2b)</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5000" w:type="pct"/>
            <w:gridSpan w:val="11"/>
            <w:tcBorders>
              <w:top w:val="single" w:sz="8" w:space="0" w:color="auto"/>
              <w:left w:val="single" w:sz="8" w:space="0" w:color="auto"/>
              <w:bottom w:val="single" w:sz="8" w:space="0" w:color="auto"/>
              <w:right w:val="single" w:sz="8" w:space="0" w:color="auto"/>
            </w:tcBorders>
            <w:noWrap/>
            <w:vAlign w:val="bottom"/>
            <w:hideMark/>
          </w:tcPr>
          <w:p w:rsidR="00DE314D" w:rsidRPr="00695895" w:rsidRDefault="00DE314D">
            <w:pPr>
              <w:spacing w:before="0" w:after="0"/>
              <w:jc w:val="left"/>
              <w:rPr>
                <w:noProof/>
                <w:sz w:val="22"/>
                <w:lang w:val="en-IE" w:eastAsia="en-IE"/>
              </w:rPr>
            </w:pPr>
            <w:r w:rsidRPr="00695895">
              <w:rPr>
                <w:noProof/>
                <w:sz w:val="22"/>
                <w:lang w:val="en-IE" w:eastAsia="en-IE"/>
              </w:rPr>
              <w:t>Appropriations of an administrative nature financed from the envelope of specific programmes</w:t>
            </w:r>
            <w:r w:rsidRPr="00AC781E">
              <w:rPr>
                <w:noProof/>
              </w:rPr>
              <w:t xml:space="preserve"> </w:t>
            </w:r>
          </w:p>
        </w:tc>
      </w:tr>
      <w:tr w:rsidR="00AC781E" w:rsidRPr="00AC781E"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18"/>
                <w:szCs w:val="18"/>
                <w:lang w:val="en-IE" w:eastAsia="en-IE"/>
              </w:rPr>
            </w:pP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(3)</w:t>
            </w: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78" w:type="pct"/>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w:t>
            </w:r>
          </w:p>
          <w:p w:rsidR="00DE314D" w:rsidRPr="00695895" w:rsidRDefault="00DE314D">
            <w:pPr>
              <w:spacing w:before="0" w:after="0"/>
              <w:jc w:val="center"/>
              <w:rPr>
                <w:b/>
                <w:bCs/>
                <w:noProof/>
                <w:sz w:val="22"/>
                <w:lang w:val="en-IE" w:eastAsia="en-IE"/>
              </w:rPr>
            </w:pPr>
            <w:r w:rsidRPr="00695895">
              <w:rPr>
                <w:b/>
                <w:bCs/>
                <w:noProof/>
                <w:sz w:val="22"/>
                <w:lang w:val="en-IE" w:eastAsia="en-IE"/>
              </w:rPr>
              <w:t xml:space="preserve">for DG </w:t>
            </w:r>
            <w:r w:rsidRPr="00695895">
              <w:rPr>
                <w:noProof/>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2432" w:type="pct"/>
            <w:gridSpan w:val="5"/>
            <w:vMerge w:val="restart"/>
            <w:tcBorders>
              <w:top w:val="single" w:sz="8" w:space="0" w:color="auto"/>
              <w:left w:val="single" w:sz="8" w:space="0" w:color="auto"/>
              <w:bottom w:val="single" w:sz="8" w:space="0" w:color="000000"/>
              <w:right w:val="single" w:sz="8" w:space="0" w:color="000000"/>
            </w:tcBorders>
            <w:vAlign w:val="center"/>
            <w:hideMark/>
          </w:tcPr>
          <w:p w:rsidR="00DE314D" w:rsidRPr="00695895" w:rsidRDefault="00DE314D">
            <w:pPr>
              <w:spacing w:before="0" w:after="0"/>
              <w:jc w:val="center"/>
              <w:rPr>
                <w:b/>
                <w:bCs/>
                <w:noProof/>
                <w:sz w:val="22"/>
                <w:lang w:val="en-IE" w:eastAsia="en-IE"/>
              </w:rPr>
            </w:pPr>
          </w:p>
        </w:tc>
        <w:tc>
          <w:tcPr>
            <w:tcW w:w="493"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300"/>
        </w:trPr>
        <w:tc>
          <w:tcPr>
            <w:tcW w:w="2432" w:type="pct"/>
            <w:gridSpan w:val="5"/>
            <w:vMerge/>
            <w:tcBorders>
              <w:top w:val="single" w:sz="8" w:space="0" w:color="auto"/>
              <w:left w:val="single" w:sz="8" w:space="0" w:color="auto"/>
              <w:bottom w:val="single" w:sz="8" w:space="0" w:color="000000"/>
              <w:right w:val="single" w:sz="8" w:space="0" w:color="000000"/>
            </w:tcBorders>
            <w:vAlign w:val="center"/>
            <w:hideMark/>
          </w:tcPr>
          <w:p w:rsidR="00DE314D" w:rsidRPr="00695895" w:rsidRDefault="00DE314D">
            <w:pPr>
              <w:spacing w:before="0" w:after="0"/>
              <w:jc w:val="left"/>
              <w:rPr>
                <w:b/>
                <w:bCs/>
                <w:noProof/>
                <w:sz w:val="22"/>
                <w:lang w:val="en-IE" w:eastAsia="en-IE"/>
              </w:rPr>
            </w:pPr>
          </w:p>
        </w:tc>
        <w:tc>
          <w:tcPr>
            <w:tcW w:w="49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1"/>
                <w:szCs w:val="21"/>
                <w:lang w:val="en-IE" w:eastAsia="en-IE"/>
              </w:rPr>
            </w:pPr>
            <w:r w:rsidRPr="00695895">
              <w:rPr>
                <w:noProof/>
                <w:sz w:val="21"/>
                <w:szCs w:val="21"/>
                <w:lang w:val="en-IE" w:eastAsia="en-IE"/>
              </w:rPr>
              <w:t xml:space="preserve">TOTAL operational appropriations </w:t>
            </w:r>
            <w:r w:rsidRPr="00695895">
              <w:rPr>
                <w:noProof/>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456"/>
        </w:trPr>
        <w:tc>
          <w:tcPr>
            <w:tcW w:w="1411"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1"/>
                <w:szCs w:val="21"/>
                <w:lang w:val="en-IE" w:eastAsia="en-IE"/>
              </w:rPr>
            </w:pPr>
            <w:r w:rsidRPr="00695895">
              <w:rPr>
                <w:noProof/>
                <w:sz w:val="21"/>
                <w:szCs w:val="21"/>
                <w:lang w:val="en-IE" w:eastAsia="en-IE"/>
              </w:rPr>
              <w:t xml:space="preserve">TOTAL appropriations of an administrative nature financed from the envelope for specific programmes </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E314D" w:rsidRPr="00695895" w:rsidRDefault="00DE314D">
            <w:pPr>
              <w:spacing w:before="0" w:after="0"/>
              <w:jc w:val="center"/>
              <w:rPr>
                <w:noProof/>
                <w:sz w:val="22"/>
                <w:lang w:val="en-IE" w:eastAsia="en-IE"/>
              </w:rPr>
            </w:pPr>
            <w:r w:rsidRPr="00695895">
              <w:rPr>
                <w:noProof/>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2"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2"/>
            <w:shd w:val="thinDiagStripe" w:color="C0C0C0" w:fill="auto"/>
            <w:vAlign w:val="center"/>
          </w:tcPr>
          <w:p w:rsidR="00DE314D" w:rsidRPr="00AC781E" w:rsidRDefault="00DE314D">
            <w:pPr>
              <w:spacing w:before="60" w:after="60"/>
              <w:jc w:val="center"/>
              <w:rPr>
                <w:b/>
                <w:noProof/>
                <w:lang w:val="en-IE"/>
              </w:rPr>
            </w:pPr>
            <w:r w:rsidRPr="00AC781E">
              <w:rPr>
                <w:b/>
                <w:noProof/>
                <w:sz w:val="22"/>
                <w:lang w:val="en-IE"/>
              </w:rPr>
              <w:t xml:space="preserve">Heading of multiannual financial framework </w:t>
            </w:r>
          </w:p>
        </w:tc>
        <w:tc>
          <w:tcPr>
            <w:tcW w:w="396" w:type="pct"/>
            <w:gridSpan w:val="2"/>
            <w:vAlign w:val="center"/>
          </w:tcPr>
          <w:p w:rsidR="00DE314D" w:rsidRPr="00AC781E" w:rsidRDefault="00DE314D">
            <w:pPr>
              <w:spacing w:before="60" w:after="60"/>
              <w:jc w:val="center"/>
              <w:rPr>
                <w:noProof/>
              </w:rPr>
            </w:pPr>
            <w:r w:rsidRPr="00AC781E">
              <w:rPr>
                <w:noProof/>
                <w:sz w:val="22"/>
              </w:rPr>
              <w:t>Number</w:t>
            </w:r>
          </w:p>
        </w:tc>
        <w:tc>
          <w:tcPr>
            <w:tcW w:w="2865" w:type="pct"/>
            <w:gridSpan w:val="7"/>
            <w:vAlign w:val="center"/>
          </w:tcPr>
          <w:p w:rsidR="00DE314D" w:rsidRPr="00AC781E" w:rsidRDefault="00DE314D">
            <w:pPr>
              <w:spacing w:before="60" w:after="60"/>
              <w:rPr>
                <w:noProof/>
              </w:rPr>
            </w:pPr>
          </w:p>
        </w:tc>
      </w:tr>
    </w:tbl>
    <w:p w:rsidR="00DE314D" w:rsidRPr="00AC781E" w:rsidRDefault="00DE314D">
      <w:pPr>
        <w:spacing w:before="0" w:after="200" w:line="276" w:lineRule="auto"/>
        <w:jc w:val="left"/>
        <w:rPr>
          <w:noProof/>
          <w:sz w:val="16"/>
        </w:rPr>
      </w:pPr>
    </w:p>
    <w:tbl>
      <w:tblPr>
        <w:tblW w:w="5000" w:type="pct"/>
        <w:tblLook w:val="04A0" w:firstRow="1" w:lastRow="0" w:firstColumn="1" w:lastColumn="0" w:noHBand="0" w:noVBand="1"/>
      </w:tblPr>
      <w:tblGrid>
        <w:gridCol w:w="4035"/>
        <w:gridCol w:w="292"/>
        <w:gridCol w:w="1212"/>
        <w:gridCol w:w="128"/>
        <w:gridCol w:w="1038"/>
        <w:gridCol w:w="245"/>
        <w:gridCol w:w="796"/>
        <w:gridCol w:w="614"/>
        <w:gridCol w:w="629"/>
        <w:gridCol w:w="782"/>
        <w:gridCol w:w="461"/>
        <w:gridCol w:w="941"/>
        <w:gridCol w:w="9"/>
        <w:gridCol w:w="293"/>
        <w:gridCol w:w="1101"/>
        <w:gridCol w:w="142"/>
        <w:gridCol w:w="1502"/>
      </w:tblGrid>
      <w:tr w:rsidR="00AC781E" w:rsidRPr="00AC781E" w:rsidTr="006C58F6">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 w:val="22"/>
                <w:lang w:val="en-IE" w:eastAsia="en-IE"/>
              </w:rPr>
            </w:pPr>
            <w:r w:rsidRPr="00695895">
              <w:rPr>
                <w:noProof/>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288"/>
        </w:trPr>
        <w:tc>
          <w:tcPr>
            <w:tcW w:w="2444" w:type="pct"/>
            <w:gridSpan w:val="6"/>
            <w:vMerge/>
            <w:vAlign w:val="center"/>
            <w:hideMark/>
          </w:tcPr>
          <w:p w:rsidR="00DE314D" w:rsidRPr="00695895" w:rsidRDefault="00DE314D">
            <w:pPr>
              <w:spacing w:before="0" w:after="0"/>
              <w:jc w:val="left"/>
              <w:rPr>
                <w:noProof/>
                <w:sz w:val="22"/>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590" w:type="pct"/>
            <w:gridSpan w:val="2"/>
            <w:vMerge/>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1"/>
                <w:szCs w:val="21"/>
                <w:lang w:val="en-IE" w:eastAsia="en-IE"/>
              </w:rPr>
            </w:pPr>
            <w:r w:rsidRPr="00695895">
              <w:rPr>
                <w:noProof/>
                <w:sz w:val="21"/>
                <w:szCs w:val="21"/>
                <w:lang w:val="en-IE" w:eastAsia="en-IE"/>
              </w:rPr>
              <w:t xml:space="preserve">Operational appropriations </w:t>
            </w:r>
          </w:p>
        </w:tc>
      </w:tr>
      <w:tr w:rsidR="00AC781E" w:rsidRPr="00AC781E"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95895" w:rsidRDefault="00DE314D">
            <w:pPr>
              <w:spacing w:before="0" w:after="0"/>
              <w:jc w:val="left"/>
              <w:rPr>
                <w:noProof/>
                <w:sz w:val="22"/>
                <w:lang w:val="en-IE" w:eastAsia="en-IE"/>
              </w:rPr>
            </w:pPr>
            <w:r w:rsidRPr="00695895">
              <w:rPr>
                <w:noProof/>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vAlign w:val="center"/>
            <w:hideMark/>
          </w:tcPr>
          <w:p w:rsidR="00DE314D" w:rsidRPr="00695895" w:rsidRDefault="00DE314D">
            <w:pPr>
              <w:spacing w:before="0" w:after="0"/>
              <w:jc w:val="left"/>
              <w:rPr>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vAlign w:val="center"/>
            <w:hideMark/>
          </w:tcPr>
          <w:p w:rsidR="00DE314D" w:rsidRPr="00695895" w:rsidRDefault="00DE314D">
            <w:pPr>
              <w:spacing w:before="0" w:after="0"/>
              <w:jc w:val="left"/>
              <w:rPr>
                <w:noProof/>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rsidR="00DE314D" w:rsidRPr="00695895" w:rsidRDefault="00DE314D">
            <w:pPr>
              <w:spacing w:before="0" w:after="0"/>
              <w:jc w:val="left"/>
              <w:rPr>
                <w:noProof/>
                <w:sz w:val="22"/>
                <w:lang w:val="en-IE" w:eastAsia="en-IE"/>
              </w:rPr>
            </w:pPr>
            <w:r w:rsidRPr="00695895">
              <w:rPr>
                <w:noProof/>
                <w:sz w:val="22"/>
                <w:lang w:val="en-IE" w:eastAsia="en-IE"/>
              </w:rPr>
              <w:t>Appropriations of an administrative nature financed from the envelope of specific programmes</w:t>
            </w:r>
            <w:r w:rsidRPr="00AC781E">
              <w:rPr>
                <w:noProof/>
              </w:rPr>
              <w:t xml:space="preserve"> </w:t>
            </w:r>
          </w:p>
        </w:tc>
      </w:tr>
      <w:tr w:rsidR="00AC781E" w:rsidRPr="00AC781E"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18"/>
                <w:szCs w:val="18"/>
                <w:lang w:val="en-IE" w:eastAsia="en-IE"/>
              </w:rPr>
            </w:pP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w:t>
            </w:r>
          </w:p>
          <w:p w:rsidR="00DE314D" w:rsidRPr="00695895" w:rsidRDefault="00DE314D">
            <w:pPr>
              <w:spacing w:before="0" w:after="0"/>
              <w:jc w:val="center"/>
              <w:rPr>
                <w:b/>
                <w:bCs/>
                <w:noProof/>
                <w:sz w:val="22"/>
                <w:lang w:val="en-IE" w:eastAsia="en-IE"/>
              </w:rPr>
            </w:pPr>
            <w:r w:rsidRPr="00695895">
              <w:rPr>
                <w:b/>
                <w:bCs/>
                <w:noProof/>
                <w:sz w:val="22"/>
                <w:lang w:val="en-IE" w:eastAsia="en-IE"/>
              </w:rPr>
              <w:t xml:space="preserve">for DG </w:t>
            </w:r>
            <w:r w:rsidRPr="00695895">
              <w:rPr>
                <w:noProof/>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vAlign w:val="center"/>
            <w:hideMark/>
          </w:tcPr>
          <w:p w:rsidR="00DE314D" w:rsidRPr="00695895" w:rsidRDefault="00DE314D">
            <w:pPr>
              <w:spacing w:before="0" w:after="0"/>
              <w:jc w:val="center"/>
              <w:rPr>
                <w:b/>
                <w:bCs/>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3"/>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 w:val="22"/>
                <w:lang w:val="en-IE" w:eastAsia="en-IE"/>
              </w:rPr>
            </w:pPr>
            <w:r w:rsidRPr="00695895">
              <w:rPr>
                <w:noProof/>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90"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2"/>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590"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1"/>
                <w:szCs w:val="21"/>
                <w:lang w:val="en-IE" w:eastAsia="en-IE"/>
              </w:rPr>
            </w:pPr>
            <w:r w:rsidRPr="00695895">
              <w:rPr>
                <w:noProof/>
                <w:sz w:val="21"/>
                <w:szCs w:val="21"/>
                <w:lang w:val="en-IE" w:eastAsia="en-IE"/>
              </w:rPr>
              <w:t xml:space="preserve">Operational appropriations </w:t>
            </w:r>
          </w:p>
        </w:tc>
      </w:tr>
      <w:tr w:rsidR="00AC781E" w:rsidRPr="00AC781E" w:rsidTr="006C58F6">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DE314D" w:rsidRPr="00695895" w:rsidRDefault="00DE314D">
            <w:pPr>
              <w:spacing w:before="0" w:after="0"/>
              <w:jc w:val="left"/>
              <w:rPr>
                <w:noProof/>
                <w:sz w:val="22"/>
                <w:lang w:val="en-IE" w:eastAsia="en-IE"/>
              </w:rPr>
            </w:pPr>
            <w:r w:rsidRPr="00695895">
              <w:rPr>
                <w:noProof/>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15"/>
        </w:trPr>
        <w:tc>
          <w:tcPr>
            <w:tcW w:w="1419"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rsidR="00DE314D" w:rsidRPr="00695895" w:rsidRDefault="00DE314D">
            <w:pPr>
              <w:spacing w:before="0" w:after="0"/>
              <w:jc w:val="left"/>
              <w:rPr>
                <w:noProof/>
                <w:sz w:val="22"/>
                <w:lang w:val="en-IE" w:eastAsia="en-IE"/>
              </w:rPr>
            </w:pPr>
            <w:r w:rsidRPr="00695895">
              <w:rPr>
                <w:noProof/>
                <w:sz w:val="22"/>
                <w:lang w:val="en-IE" w:eastAsia="en-IE"/>
              </w:rPr>
              <w:t>Appropriations of an administrative nature financed from the envelope of specific programmes</w:t>
            </w:r>
            <w:r w:rsidRPr="00AC781E">
              <w:rPr>
                <w:noProof/>
              </w:rPr>
              <w:t xml:space="preserve"> </w:t>
            </w:r>
          </w:p>
        </w:tc>
      </w:tr>
      <w:tr w:rsidR="00AC781E" w:rsidRPr="00AC781E" w:rsidTr="006C58F6">
        <w:trPr>
          <w:trHeight w:val="288"/>
        </w:trPr>
        <w:tc>
          <w:tcPr>
            <w:tcW w:w="1419"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0"/>
                <w:szCs w:val="20"/>
                <w:lang w:val="en-IE" w:eastAsia="en-IE"/>
              </w:rPr>
            </w:pPr>
            <w:r w:rsidRPr="00695895">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noProof/>
                <w:sz w:val="18"/>
                <w:szCs w:val="18"/>
                <w:lang w:val="en-IE" w:eastAsia="en-IE"/>
              </w:rPr>
            </w:pP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96"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478"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right"/>
              <w:rPr>
                <w:b/>
                <w:bCs/>
                <w:noProof/>
                <w:sz w:val="20"/>
                <w:szCs w:val="20"/>
                <w:lang w:val="en-IE" w:eastAsia="en-IE"/>
              </w:rPr>
            </w:pP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val="restart"/>
            <w:tcBorders>
              <w:top w:val="nil"/>
              <w:left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w:t>
            </w:r>
          </w:p>
          <w:p w:rsidR="00DE314D" w:rsidRPr="00695895" w:rsidRDefault="00DE314D">
            <w:pPr>
              <w:spacing w:before="0" w:after="0"/>
              <w:jc w:val="center"/>
              <w:rPr>
                <w:b/>
                <w:bCs/>
                <w:noProof/>
                <w:sz w:val="22"/>
                <w:lang w:val="en-IE" w:eastAsia="en-IE"/>
              </w:rPr>
            </w:pPr>
            <w:r w:rsidRPr="00695895">
              <w:rPr>
                <w:b/>
                <w:bCs/>
                <w:noProof/>
                <w:sz w:val="22"/>
                <w:lang w:val="en-IE" w:eastAsia="en-IE"/>
              </w:rPr>
              <w:t xml:space="preserve">for DG </w:t>
            </w:r>
            <w:r w:rsidRPr="00695895">
              <w:rPr>
                <w:noProof/>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419" w:type="pct"/>
            <w:vMerge/>
            <w:tcBorders>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6"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6"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0"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rsidR="00DE314D" w:rsidRPr="00695895" w:rsidRDefault="00DE314D">
            <w:pPr>
              <w:spacing w:before="0" w:after="0"/>
              <w:jc w:val="center"/>
              <w:rPr>
                <w:b/>
                <w:bCs/>
                <w:noProof/>
                <w:sz w:val="22"/>
                <w:lang w:val="en-IE" w:eastAsia="en-IE"/>
              </w:rPr>
            </w:pP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93"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DE314D" w:rsidRPr="00695895" w:rsidRDefault="00DE314D">
            <w:pPr>
              <w:spacing w:before="0" w:after="0"/>
              <w:jc w:val="left"/>
              <w:rPr>
                <w:b/>
                <w:bCs/>
                <w:noProof/>
                <w:sz w:val="22"/>
                <w:lang w:val="en-IE" w:eastAsia="en-IE"/>
              </w:rPr>
            </w:pPr>
          </w:p>
        </w:tc>
        <w:tc>
          <w:tcPr>
            <w:tcW w:w="493"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493"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1"/>
                <w:szCs w:val="21"/>
                <w:lang w:val="en-IE" w:eastAsia="en-IE"/>
              </w:rPr>
            </w:pPr>
            <w:r w:rsidRPr="00695895">
              <w:rPr>
                <w:noProof/>
                <w:sz w:val="21"/>
                <w:szCs w:val="21"/>
                <w:lang w:val="en-IE" w:eastAsia="en-IE"/>
              </w:rPr>
              <w:t xml:space="preserve">TOTAL operational appropriations </w:t>
            </w:r>
            <w:r w:rsidRPr="00695895">
              <w:rPr>
                <w:noProof/>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456"/>
        </w:trPr>
        <w:tc>
          <w:tcPr>
            <w:tcW w:w="1411"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1"/>
                <w:szCs w:val="21"/>
                <w:lang w:val="en-IE" w:eastAsia="en-IE"/>
              </w:rPr>
            </w:pPr>
            <w:r w:rsidRPr="00695895">
              <w:rPr>
                <w:noProof/>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E314D" w:rsidRPr="00695895" w:rsidRDefault="00DE314D">
            <w:pPr>
              <w:spacing w:before="0" w:after="0"/>
              <w:jc w:val="center"/>
              <w:rPr>
                <w:noProof/>
                <w:sz w:val="22"/>
                <w:lang w:val="en-IE" w:eastAsia="en-IE"/>
              </w:rPr>
            </w:pPr>
            <w:r w:rsidRPr="00695895">
              <w:rPr>
                <w:noProof/>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93"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288"/>
        </w:trPr>
        <w:tc>
          <w:tcPr>
            <w:tcW w:w="1522" w:type="pct"/>
            <w:gridSpan w:val="2"/>
            <w:tcBorders>
              <w:top w:val="nil"/>
              <w:left w:val="nil"/>
              <w:bottom w:val="nil"/>
              <w:right w:val="nil"/>
            </w:tcBorders>
            <w:noWrap/>
            <w:vAlign w:val="bottom"/>
            <w:hideMark/>
          </w:tcPr>
          <w:p w:rsidR="00DE314D" w:rsidRPr="00AC781E" w:rsidRDefault="00DE314D">
            <w:pPr>
              <w:spacing w:before="0" w:after="0"/>
              <w:jc w:val="left"/>
              <w:rPr>
                <w:noProof/>
                <w:sz w:val="20"/>
                <w:szCs w:val="24"/>
                <w:lang w:val="en-IE" w:eastAsia="en-IE"/>
              </w:rPr>
            </w:pPr>
          </w:p>
        </w:tc>
        <w:tc>
          <w:tcPr>
            <w:tcW w:w="471" w:type="pct"/>
            <w:gridSpan w:val="2"/>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rsidR="00DE314D" w:rsidRPr="00AC781E" w:rsidRDefault="00DE314D">
            <w:pPr>
              <w:spacing w:before="0" w:after="0"/>
              <w:jc w:val="left"/>
              <w:rPr>
                <w:noProof/>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37" w:type="pct"/>
            <w:gridSpan w:val="3"/>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300"/>
        </w:trPr>
        <w:tc>
          <w:tcPr>
            <w:tcW w:w="1522" w:type="pct"/>
            <w:gridSpan w:val="2"/>
            <w:tcBorders>
              <w:top w:val="nil"/>
              <w:left w:val="nil"/>
              <w:bottom w:val="nil"/>
              <w:right w:val="nil"/>
            </w:tcBorders>
            <w:noWrap/>
            <w:vAlign w:val="bottom"/>
            <w:hideMark/>
          </w:tcPr>
          <w:p w:rsidR="00DE314D" w:rsidRPr="00695895" w:rsidRDefault="00DE314D">
            <w:pPr>
              <w:spacing w:before="0" w:after="0"/>
              <w:jc w:val="center"/>
              <w:rPr>
                <w:b/>
                <w:bCs/>
                <w:noProof/>
                <w:sz w:val="20"/>
                <w:szCs w:val="20"/>
                <w:lang w:val="en-IE" w:eastAsia="en-IE"/>
              </w:rPr>
            </w:pPr>
          </w:p>
        </w:tc>
        <w:tc>
          <w:tcPr>
            <w:tcW w:w="471" w:type="pct"/>
            <w:gridSpan w:val="2"/>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rsidR="00DE314D" w:rsidRPr="00AC781E" w:rsidRDefault="00DE314D">
            <w:pPr>
              <w:spacing w:before="0" w:after="0"/>
              <w:jc w:val="left"/>
              <w:rPr>
                <w:noProof/>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437" w:type="pct"/>
            <w:gridSpan w:val="3"/>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rPr>
                <w:noProof/>
                <w:sz w:val="21"/>
                <w:szCs w:val="21"/>
                <w:lang w:val="en-IE" w:eastAsia="en-IE"/>
              </w:rPr>
            </w:pPr>
            <w:r w:rsidRPr="00695895">
              <w:rPr>
                <w:rFonts w:ascii="Calibri" w:hAnsi="Calibri" w:cs="Calibri"/>
                <w:noProof/>
                <w:sz w:val="21"/>
                <w:szCs w:val="21"/>
                <w:lang w:val="en-IE" w:eastAsia="en-IE"/>
              </w:rPr>
              <w:t xml:space="preserve">• </w:t>
            </w:r>
            <w:r w:rsidRPr="00695895">
              <w:rPr>
                <w:noProof/>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rsidR="00DE314D" w:rsidRPr="00695895" w:rsidRDefault="00DE314D">
            <w:pPr>
              <w:spacing w:before="0" w:after="0"/>
              <w:rPr>
                <w:noProof/>
                <w:sz w:val="21"/>
                <w:szCs w:val="21"/>
                <w:lang w:val="en-IE" w:eastAsia="en-IE"/>
              </w:rPr>
            </w:pPr>
            <w:r w:rsidRPr="00695895">
              <w:rPr>
                <w:rFonts w:ascii="Calibri" w:hAnsi="Calibri" w:cs="Calibri"/>
                <w:noProof/>
                <w:sz w:val="21"/>
                <w:szCs w:val="21"/>
                <w:lang w:val="en-IE" w:eastAsia="en-IE"/>
              </w:rPr>
              <w:t>•</w:t>
            </w:r>
            <w:r w:rsidRPr="00695895">
              <w:rPr>
                <w:noProof/>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 under Headings 1 to 6</w:t>
            </w:r>
          </w:p>
        </w:tc>
        <w:tc>
          <w:tcPr>
            <w:tcW w:w="471" w:type="pct"/>
            <w:gridSpan w:val="2"/>
            <w:tcBorders>
              <w:top w:val="nil"/>
              <w:left w:val="nil"/>
              <w:bottom w:val="nil"/>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of the multiannual financial framework (Reference amount)</w:t>
            </w:r>
          </w:p>
        </w:tc>
        <w:tc>
          <w:tcPr>
            <w:tcW w:w="471" w:type="pct"/>
            <w:gridSpan w:val="2"/>
            <w:tcBorders>
              <w:top w:val="nil"/>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rsidR="00DE314D" w:rsidRPr="00695895" w:rsidRDefault="00DE314D">
            <w:pPr>
              <w:spacing w:before="0" w:after="0"/>
              <w:jc w:val="center"/>
              <w:rPr>
                <w:noProof/>
                <w:sz w:val="14"/>
                <w:szCs w:val="14"/>
                <w:lang w:val="en-IE" w:eastAsia="en-IE"/>
              </w:rPr>
            </w:pPr>
            <w:r w:rsidRPr="00695895">
              <w:rPr>
                <w:noProof/>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37" w:type="pct"/>
            <w:gridSpan w:val="3"/>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bl>
    <w:p w:rsidR="00DE314D" w:rsidRPr="00AC781E" w:rsidRDefault="00DE314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AC781E" w:rsidRPr="00AC781E">
        <w:trPr>
          <w:jc w:val="center"/>
        </w:trPr>
        <w:tc>
          <w:tcPr>
            <w:tcW w:w="1668" w:type="pct"/>
            <w:shd w:val="thinDiagStripe" w:color="C0C0C0" w:fill="auto"/>
            <w:vAlign w:val="center"/>
          </w:tcPr>
          <w:p w:rsidR="00DE314D" w:rsidRPr="00AC781E" w:rsidRDefault="00DE314D">
            <w:pPr>
              <w:spacing w:before="60" w:after="60"/>
              <w:jc w:val="center"/>
              <w:rPr>
                <w:b/>
                <w:noProof/>
                <w:lang w:val="en-IE"/>
              </w:rPr>
            </w:pPr>
            <w:r w:rsidRPr="00AC781E">
              <w:rPr>
                <w:noProof/>
                <w:sz w:val="22"/>
                <w:lang w:val="en-IE"/>
              </w:rPr>
              <w:br w:type="page"/>
            </w:r>
            <w:r w:rsidRPr="00AC781E">
              <w:rPr>
                <w:b/>
                <w:noProof/>
                <w:sz w:val="22"/>
                <w:lang w:val="en-IE"/>
              </w:rPr>
              <w:t xml:space="preserve">Heading of multiannual financial framework </w:t>
            </w:r>
          </w:p>
        </w:tc>
        <w:tc>
          <w:tcPr>
            <w:tcW w:w="380" w:type="pct"/>
            <w:shd w:val="thinDiagStripe" w:color="C0C0C0" w:fill="auto"/>
            <w:vAlign w:val="center"/>
          </w:tcPr>
          <w:p w:rsidR="00DE314D" w:rsidRPr="00AC781E" w:rsidRDefault="00DE314D">
            <w:pPr>
              <w:spacing w:before="60" w:after="60"/>
              <w:jc w:val="center"/>
              <w:rPr>
                <w:noProof/>
              </w:rPr>
            </w:pPr>
            <w:r w:rsidRPr="00AC781E">
              <w:rPr>
                <w:b/>
                <w:noProof/>
                <w:sz w:val="22"/>
              </w:rPr>
              <w:t>7</w:t>
            </w:r>
          </w:p>
        </w:tc>
        <w:tc>
          <w:tcPr>
            <w:tcW w:w="2749" w:type="pct"/>
            <w:vAlign w:val="center"/>
          </w:tcPr>
          <w:p w:rsidR="00DE314D" w:rsidRPr="00AC781E" w:rsidRDefault="00DE314D">
            <w:pPr>
              <w:spacing w:before="60" w:after="60"/>
              <w:rPr>
                <w:noProof/>
              </w:rPr>
            </w:pPr>
            <w:r w:rsidRPr="00AC781E">
              <w:rPr>
                <w:noProof/>
                <w:sz w:val="22"/>
              </w:rPr>
              <w:t>‘Administrative expenditure’</w:t>
            </w:r>
            <w:r w:rsidRPr="00AC781E">
              <w:rPr>
                <w:noProof/>
              </w:rPr>
              <w:t xml:space="preserve"> </w:t>
            </w:r>
          </w:p>
        </w:tc>
      </w:tr>
    </w:tbl>
    <w:p w:rsidR="00DE314D" w:rsidRPr="00695895" w:rsidRDefault="00DE314D">
      <w:pPr>
        <w:jc w:val="left"/>
        <w:rPr>
          <w:noProof/>
        </w:rPr>
      </w:pPr>
      <w:r w:rsidRPr="00695895">
        <w:rPr>
          <w:noProof/>
        </w:rPr>
        <w:t>If you report the use of appropriations under Heading 7, completing Annex 5 is a compulsory requirement)</w:t>
      </w:r>
    </w:p>
    <w:p w:rsidR="00DE314D" w:rsidRPr="00AC781E" w:rsidRDefault="00DE314D">
      <w:pPr>
        <w:jc w:val="right"/>
        <w:rPr>
          <w:noProof/>
          <w:sz w:val="20"/>
          <w:lang w:val="en-IE"/>
        </w:rPr>
      </w:pPr>
      <w:r w:rsidRPr="00AC781E">
        <w:rPr>
          <w:noProof/>
          <w:sz w:val="20"/>
          <w:lang w:val="en-IE"/>
        </w:rPr>
        <w:t>EUR million (to three decimal places)</w:t>
      </w:r>
    </w:p>
    <w:tbl>
      <w:tblPr>
        <w:tblW w:w="13140"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AC781E" w:rsidRPr="00AC781E" w:rsidTr="006C58F6">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Cs w:val="24"/>
                <w:lang w:val="en-IE" w:eastAsia="en-IE"/>
              </w:rPr>
            </w:pPr>
            <w:r w:rsidRPr="00695895">
              <w:rPr>
                <w:noProof/>
                <w:szCs w:val="24"/>
                <w:lang w:val="en-IE" w:eastAsia="en-IE"/>
              </w:rPr>
              <w:t>DG: &lt;…….&gt;</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Cs w:val="24"/>
                <w:lang w:val="en-IE" w:eastAsia="en-IE"/>
              </w:rPr>
            </w:pP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rFonts w:ascii="Wingdings" w:hAnsi="Wingdings" w:cs="Calibri"/>
                <w:noProof/>
                <w:sz w:val="22"/>
                <w:lang w:val="en-IE" w:eastAsia="en-IE"/>
              </w:rPr>
            </w:pPr>
            <w:r w:rsidRPr="00695895">
              <w:rPr>
                <w:rFonts w:ascii="Wingdings" w:hAnsi="Wingdings" w:cs="Calibri"/>
                <w:noProof/>
                <w:sz w:val="22"/>
                <w:lang w:val="en-IE" w:eastAsia="en-IE"/>
              </w:rPr>
              <w:t></w:t>
            </w:r>
            <w:r w:rsidRPr="00695895">
              <w:rPr>
                <w:noProof/>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rFonts w:ascii="Wingdings" w:hAnsi="Wingdings" w:cs="Calibri"/>
                <w:noProof/>
                <w:sz w:val="22"/>
                <w:lang w:val="en-IE" w:eastAsia="en-IE"/>
              </w:rPr>
            </w:pPr>
            <w:r w:rsidRPr="00695895">
              <w:rPr>
                <w:rFonts w:ascii="Wingdings" w:hAnsi="Wingdings" w:cs="Calibri"/>
                <w:noProof/>
                <w:sz w:val="22"/>
                <w:lang w:val="en-IE" w:eastAsia="en-IE"/>
              </w:rPr>
              <w:t></w:t>
            </w:r>
            <w:r w:rsidRPr="00695895">
              <w:rPr>
                <w:noProof/>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4405" w:type="dxa"/>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 xml:space="preserve">TOTAL DG </w:t>
            </w:r>
            <w:r w:rsidRPr="00695895">
              <w:rPr>
                <w:noProof/>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left"/>
              <w:rPr>
                <w:noProof/>
                <w:sz w:val="18"/>
                <w:szCs w:val="18"/>
                <w:lang w:val="en-IE" w:eastAsia="en-IE"/>
              </w:rPr>
            </w:pPr>
            <w:r w:rsidRPr="00695895">
              <w:rPr>
                <w:noProof/>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4405" w:type="dxa"/>
            <w:tcBorders>
              <w:top w:val="nil"/>
              <w:left w:val="nil"/>
              <w:bottom w:val="nil"/>
              <w:right w:val="nil"/>
            </w:tcBorders>
            <w:noWrap/>
            <w:vAlign w:val="bottom"/>
            <w:hideMark/>
          </w:tcPr>
          <w:p w:rsidR="00DE314D" w:rsidRPr="00695895" w:rsidRDefault="00DE314D">
            <w:pPr>
              <w:spacing w:before="0" w:after="0"/>
              <w:jc w:val="right"/>
              <w:rPr>
                <w:b/>
                <w:bCs/>
                <w:noProof/>
                <w:sz w:val="20"/>
                <w:szCs w:val="20"/>
                <w:lang w:val="en-IE" w:eastAsia="en-IE"/>
              </w:rPr>
            </w:pPr>
          </w:p>
        </w:tc>
        <w:tc>
          <w:tcPr>
            <w:tcW w:w="2477"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244"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r>
      <w:tr w:rsidR="00AC781E" w:rsidRPr="00AC781E" w:rsidTr="006C58F6">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Cs w:val="24"/>
                <w:lang w:val="en-IE" w:eastAsia="en-IE"/>
              </w:rPr>
            </w:pPr>
            <w:r w:rsidRPr="00695895">
              <w:rPr>
                <w:noProof/>
                <w:szCs w:val="24"/>
                <w:lang w:val="en-IE" w:eastAsia="en-IE"/>
              </w:rPr>
              <w:t>DG: &lt;…….&gt;</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Cs w:val="24"/>
                <w:lang w:val="en-IE" w:eastAsia="en-IE"/>
              </w:rPr>
            </w:pP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rFonts w:ascii="Wingdings" w:hAnsi="Wingdings" w:cs="Calibri"/>
                <w:noProof/>
                <w:sz w:val="22"/>
                <w:lang w:val="en-IE" w:eastAsia="en-IE"/>
              </w:rPr>
            </w:pPr>
            <w:r w:rsidRPr="00695895">
              <w:rPr>
                <w:rFonts w:ascii="Wingdings" w:hAnsi="Wingdings" w:cs="Calibri"/>
                <w:noProof/>
                <w:sz w:val="22"/>
                <w:lang w:val="en-IE" w:eastAsia="en-IE"/>
              </w:rPr>
              <w:t></w:t>
            </w:r>
            <w:r w:rsidRPr="00695895">
              <w:rPr>
                <w:noProof/>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rFonts w:ascii="Wingdings" w:hAnsi="Wingdings" w:cs="Calibri"/>
                <w:noProof/>
                <w:sz w:val="22"/>
                <w:lang w:val="en-IE" w:eastAsia="en-IE"/>
              </w:rPr>
            </w:pPr>
            <w:r w:rsidRPr="00695895">
              <w:rPr>
                <w:rFonts w:ascii="Wingdings" w:hAnsi="Wingdings" w:cs="Calibri"/>
                <w:noProof/>
                <w:sz w:val="22"/>
                <w:lang w:val="en-IE" w:eastAsia="en-IE"/>
              </w:rPr>
              <w:t></w:t>
            </w:r>
            <w:r w:rsidRPr="00695895">
              <w:rPr>
                <w:noProof/>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20"/>
                <w:szCs w:val="20"/>
                <w:lang w:val="en-IE" w:eastAsia="en-IE"/>
              </w:rPr>
            </w:pPr>
            <w:r w:rsidRPr="00695895">
              <w:rPr>
                <w:noProof/>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4405" w:type="dxa"/>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 xml:space="preserve">TOTAL DG </w:t>
            </w:r>
            <w:r w:rsidRPr="00695895">
              <w:rPr>
                <w:noProof/>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left"/>
              <w:rPr>
                <w:noProof/>
                <w:sz w:val="18"/>
                <w:szCs w:val="18"/>
                <w:lang w:val="en-IE" w:eastAsia="en-IE"/>
              </w:rPr>
            </w:pPr>
            <w:r w:rsidRPr="00695895">
              <w:rPr>
                <w:noProof/>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r w:rsidR="00AC781E" w:rsidRPr="00AC781E" w:rsidTr="006C58F6">
        <w:trPr>
          <w:trHeight w:val="300"/>
        </w:trPr>
        <w:tc>
          <w:tcPr>
            <w:tcW w:w="4405" w:type="dxa"/>
            <w:tcBorders>
              <w:top w:val="nil"/>
              <w:left w:val="nil"/>
              <w:bottom w:val="nil"/>
              <w:right w:val="nil"/>
            </w:tcBorders>
            <w:noWrap/>
            <w:vAlign w:val="bottom"/>
            <w:hideMark/>
          </w:tcPr>
          <w:p w:rsidR="00DE314D" w:rsidRPr="00695895" w:rsidRDefault="00DE314D">
            <w:pPr>
              <w:spacing w:before="0" w:after="0"/>
              <w:jc w:val="right"/>
              <w:rPr>
                <w:b/>
                <w:bCs/>
                <w:noProof/>
                <w:sz w:val="20"/>
                <w:szCs w:val="20"/>
                <w:lang w:val="en-IE" w:eastAsia="en-IE"/>
              </w:rPr>
            </w:pPr>
          </w:p>
        </w:tc>
        <w:tc>
          <w:tcPr>
            <w:tcW w:w="2477"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c>
          <w:tcPr>
            <w:tcW w:w="1244" w:type="dxa"/>
            <w:tcBorders>
              <w:top w:val="nil"/>
              <w:left w:val="nil"/>
              <w:bottom w:val="nil"/>
              <w:right w:val="nil"/>
            </w:tcBorders>
            <w:noWrap/>
            <w:vAlign w:val="bottom"/>
            <w:hideMark/>
          </w:tcPr>
          <w:p w:rsidR="00DE314D" w:rsidRPr="00AC781E" w:rsidRDefault="00DE314D">
            <w:pPr>
              <w:spacing w:before="0" w:after="0"/>
              <w:jc w:val="left"/>
              <w:rPr>
                <w:noProof/>
                <w:sz w:val="20"/>
                <w:szCs w:val="20"/>
                <w:lang w:val="en-IE" w:eastAsia="en-IE"/>
              </w:rPr>
            </w:pPr>
          </w:p>
        </w:tc>
      </w:tr>
      <w:tr w:rsidR="00AC781E" w:rsidRPr="00AC781E" w:rsidTr="006C58F6">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 xml:space="preserve">TOTAL appropriations under HEADING 7 of the multiannual financial framework </w:t>
            </w:r>
          </w:p>
        </w:tc>
        <w:tc>
          <w:tcPr>
            <w:tcW w:w="1010" w:type="dxa"/>
            <w:gridSpan w:val="2"/>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(Total commitments = Total payments)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20"/>
                <w:szCs w:val="20"/>
                <w:lang w:val="en-IE" w:eastAsia="en-IE"/>
              </w:rPr>
            </w:pPr>
            <w:r w:rsidRPr="00695895">
              <w:rPr>
                <w:b/>
                <w:bCs/>
                <w:noProof/>
                <w:sz w:val="20"/>
                <w:szCs w:val="20"/>
                <w:lang w:val="en-IE" w:eastAsia="en-IE"/>
              </w:rPr>
              <w:t>0.000</w:t>
            </w:r>
          </w:p>
        </w:tc>
      </w:tr>
    </w:tbl>
    <w:p w:rsidR="00DE314D" w:rsidRPr="00AC781E" w:rsidRDefault="00DE314D">
      <w:pPr>
        <w:jc w:val="right"/>
        <w:rPr>
          <w:noProof/>
          <w:sz w:val="20"/>
          <w:lang w:val="en-IE"/>
        </w:rPr>
      </w:pPr>
      <w:r w:rsidRPr="00AC781E">
        <w:rPr>
          <w:noProof/>
          <w:sz w:val="20"/>
          <w:lang w:val="en-IE"/>
        </w:rPr>
        <w:t>EUR million (to three decimal places)</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AC781E" w:rsidRPr="00AC781E" w:rsidTr="006C58F6">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Cs w:val="24"/>
                <w:lang w:val="en-IE" w:eastAsia="en-IE"/>
              </w:rPr>
            </w:pPr>
          </w:p>
        </w:tc>
        <w:tc>
          <w:tcPr>
            <w:tcW w:w="11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TOTAL MFF 2021-2027</w:t>
            </w:r>
          </w:p>
        </w:tc>
      </w:tr>
      <w:tr w:rsidR="00AC781E" w:rsidRPr="00AC781E" w:rsidTr="006C58F6">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Cs w:val="24"/>
                <w:lang w:val="en-IE" w:eastAsia="en-IE"/>
              </w:rPr>
            </w:pPr>
          </w:p>
        </w:tc>
        <w:tc>
          <w:tcPr>
            <w:tcW w:w="11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11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11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11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left"/>
              <w:rPr>
                <w:b/>
                <w:bCs/>
                <w:noProof/>
                <w:sz w:val="20"/>
                <w:szCs w:val="20"/>
                <w:lang w:val="en-IE" w:eastAsia="en-IE"/>
              </w:rPr>
            </w:pPr>
          </w:p>
        </w:tc>
      </w:tr>
      <w:tr w:rsidR="00AC781E" w:rsidRPr="00AC781E" w:rsidTr="006C58F6">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DE314D" w:rsidRPr="00695895" w:rsidRDefault="00DE314D">
            <w:pPr>
              <w:spacing w:before="0" w:after="0"/>
              <w:jc w:val="center"/>
              <w:rPr>
                <w:b/>
                <w:bCs/>
                <w:noProof/>
                <w:sz w:val="22"/>
                <w:lang w:val="en-IE" w:eastAsia="en-IE"/>
              </w:rPr>
            </w:pPr>
            <w:r w:rsidRPr="00695895">
              <w:rPr>
                <w:b/>
                <w:bCs/>
                <w:noProof/>
                <w:sz w:val="22"/>
                <w:lang w:val="en-IE" w:eastAsia="en-IE"/>
              </w:rPr>
              <w:t>TOTAL appropriations under HEADINGS 1 to 7</w:t>
            </w:r>
          </w:p>
        </w:tc>
        <w:tc>
          <w:tcPr>
            <w:tcW w:w="1920" w:type="dxa"/>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Commitments</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r>
      <w:tr w:rsidR="00AC781E" w:rsidRPr="00AC781E" w:rsidTr="006C58F6">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DE314D" w:rsidRPr="00695895" w:rsidRDefault="00DE314D">
            <w:pPr>
              <w:spacing w:before="0" w:after="0"/>
              <w:jc w:val="center"/>
              <w:rPr>
                <w:noProof/>
                <w:sz w:val="22"/>
                <w:lang w:val="en-IE" w:eastAsia="en-IE"/>
              </w:rPr>
            </w:pPr>
            <w:r w:rsidRPr="00695895">
              <w:rPr>
                <w:noProof/>
                <w:sz w:val="22"/>
                <w:lang w:val="en-IE" w:eastAsia="en-IE"/>
              </w:rPr>
              <w:t>of the multiannual financial framework</w:t>
            </w:r>
            <w:r w:rsidRPr="00695895">
              <w:rPr>
                <w:b/>
                <w:bCs/>
                <w:noProof/>
                <w:sz w:val="22"/>
                <w:lang w:val="en-IE" w:eastAsia="en-IE"/>
              </w:rPr>
              <w:t xml:space="preserve"> </w:t>
            </w:r>
          </w:p>
        </w:tc>
        <w:tc>
          <w:tcPr>
            <w:tcW w:w="1920" w:type="dxa"/>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rPr>
                <w:noProof/>
                <w:sz w:val="18"/>
                <w:szCs w:val="18"/>
                <w:lang w:val="en-IE" w:eastAsia="en-IE"/>
              </w:rPr>
            </w:pPr>
            <w:r w:rsidRPr="00695895">
              <w:rPr>
                <w:noProof/>
                <w:sz w:val="18"/>
                <w:szCs w:val="18"/>
                <w:lang w:val="en-IE" w:eastAsia="en-IE"/>
              </w:rPr>
              <w:t>Payments</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Cs w:val="24"/>
                <w:lang w:val="en-IE" w:eastAsia="en-IE"/>
              </w:rPr>
            </w:pPr>
            <w:r w:rsidRPr="00695895">
              <w:rPr>
                <w:b/>
                <w:bCs/>
                <w:noProof/>
                <w:szCs w:val="24"/>
                <w:lang w:val="en-IE" w:eastAsia="en-IE"/>
              </w:rPr>
              <w:t>0.000</w:t>
            </w:r>
          </w:p>
        </w:tc>
      </w:tr>
    </w:tbl>
    <w:p w:rsidR="00DE314D" w:rsidRPr="00AC781E" w:rsidRDefault="00DE314D">
      <w:pPr>
        <w:pStyle w:val="ManualHeading3"/>
        <w:rPr>
          <w:bCs/>
          <w:noProof/>
          <w:szCs w:val="24"/>
        </w:rPr>
      </w:pPr>
      <w:bookmarkStart w:id="151" w:name="_Toc514938054"/>
      <w:bookmarkStart w:id="152" w:name="_Toc520485053"/>
      <w:bookmarkStart w:id="153" w:name="_Toc160804597"/>
      <w:bookmarkStart w:id="154" w:name="_Toc167220289"/>
      <w:bookmarkStart w:id="155" w:name="_Toc177549022"/>
      <w:r w:rsidRPr="00AC781E">
        <w:rPr>
          <w:noProof/>
        </w:rPr>
        <w:t>3.2.2.</w:t>
      </w:r>
      <w:r w:rsidRPr="00AC781E">
        <w:rPr>
          <w:noProof/>
        </w:rPr>
        <w:tab/>
        <w:t>Estimated output funded from operational appropriations</w:t>
      </w:r>
      <w:bookmarkEnd w:id="151"/>
      <w:bookmarkEnd w:id="152"/>
      <w:r w:rsidRPr="00AC781E">
        <w:rPr>
          <w:noProof/>
        </w:rPr>
        <w:t xml:space="preserve"> (not to be completed for decentralised agencies)</w:t>
      </w:r>
      <w:bookmarkEnd w:id="153"/>
      <w:bookmarkEnd w:id="154"/>
      <w:bookmarkEnd w:id="155"/>
    </w:p>
    <w:p w:rsidR="00DE314D" w:rsidRPr="00AC781E" w:rsidRDefault="00DE314D">
      <w:pPr>
        <w:jc w:val="right"/>
        <w:rPr>
          <w:noProof/>
          <w:sz w:val="20"/>
          <w:lang w:val="en-IE"/>
        </w:rPr>
      </w:pPr>
      <w:r w:rsidRPr="00AC781E">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AC781E" w:rsidRPr="00AC781E" w:rsidTr="3CFC5CC3">
        <w:trPr>
          <w:jc w:val="center"/>
        </w:trPr>
        <w:tc>
          <w:tcPr>
            <w:tcW w:w="1423" w:type="dxa"/>
            <w:vMerge w:val="restart"/>
            <w:vAlign w:val="center"/>
          </w:tcPr>
          <w:p w:rsidR="00DE314D" w:rsidRPr="00AC781E" w:rsidRDefault="00DE314D">
            <w:pPr>
              <w:ind w:right="-29"/>
              <w:jc w:val="center"/>
              <w:rPr>
                <w:b/>
                <w:noProof/>
                <w:sz w:val="18"/>
                <w:szCs w:val="18"/>
              </w:rPr>
            </w:pPr>
            <w:r w:rsidRPr="00AC781E">
              <w:rPr>
                <w:b/>
                <w:noProof/>
                <w:sz w:val="18"/>
              </w:rPr>
              <w:t xml:space="preserve">Indicate objectives and outputs </w:t>
            </w:r>
          </w:p>
          <w:p w:rsidR="00DE314D" w:rsidRPr="00AC781E" w:rsidRDefault="00DE314D">
            <w:pPr>
              <w:ind w:right="-29"/>
              <w:jc w:val="center"/>
              <w:rPr>
                <w:b/>
                <w:noProof/>
                <w:sz w:val="18"/>
                <w:szCs w:val="18"/>
              </w:rPr>
            </w:pPr>
          </w:p>
          <w:p w:rsidR="00DE314D" w:rsidRPr="00AC781E" w:rsidRDefault="00DE314D">
            <w:pPr>
              <w:ind w:right="-29"/>
              <w:jc w:val="center"/>
              <w:rPr>
                <w:noProof/>
                <w:sz w:val="18"/>
                <w:szCs w:val="18"/>
              </w:rPr>
            </w:pPr>
            <w:r w:rsidRPr="00AC781E">
              <w:rPr>
                <w:rFonts w:ascii="Wingdings" w:eastAsia="Wingdings" w:hAnsi="Wingdings" w:cs="Wingdings"/>
                <w:noProof/>
                <w:sz w:val="18"/>
              </w:rPr>
              <w:t></w:t>
            </w:r>
          </w:p>
        </w:tc>
        <w:tc>
          <w:tcPr>
            <w:tcW w:w="720" w:type="dxa"/>
            <w:vAlign w:val="center"/>
          </w:tcPr>
          <w:p w:rsidR="00DE314D" w:rsidRPr="00AC781E" w:rsidRDefault="00DE314D">
            <w:pPr>
              <w:ind w:right="-29"/>
              <w:jc w:val="center"/>
              <w:rPr>
                <w:noProof/>
                <w:sz w:val="18"/>
                <w:szCs w:val="18"/>
              </w:rPr>
            </w:pPr>
          </w:p>
        </w:tc>
        <w:tc>
          <w:tcPr>
            <w:tcW w:w="701" w:type="dxa"/>
            <w:vAlign w:val="center"/>
          </w:tcPr>
          <w:p w:rsidR="00DE314D" w:rsidRPr="00AC781E" w:rsidRDefault="00DE314D">
            <w:pPr>
              <w:ind w:right="-29"/>
              <w:jc w:val="center"/>
              <w:rPr>
                <w:noProof/>
                <w:sz w:val="18"/>
                <w:szCs w:val="18"/>
              </w:rPr>
            </w:pPr>
          </w:p>
        </w:tc>
        <w:tc>
          <w:tcPr>
            <w:tcW w:w="1224" w:type="dxa"/>
            <w:gridSpan w:val="2"/>
            <w:tcBorders>
              <w:left w:val="nil"/>
            </w:tcBorders>
            <w:vAlign w:val="center"/>
          </w:tcPr>
          <w:p w:rsidR="00DE314D" w:rsidRPr="00AC781E" w:rsidRDefault="00DE314D">
            <w:pPr>
              <w:ind w:right="-29"/>
              <w:jc w:val="center"/>
              <w:rPr>
                <w:noProof/>
                <w:sz w:val="18"/>
                <w:szCs w:val="18"/>
              </w:rPr>
            </w:pPr>
            <w:r w:rsidRPr="00AC781E">
              <w:rPr>
                <w:noProof/>
                <w:sz w:val="18"/>
              </w:rPr>
              <w:t xml:space="preserve">Year </w:t>
            </w:r>
            <w:r w:rsidRPr="00AC781E">
              <w:rPr>
                <w:noProof/>
                <w:sz w:val="22"/>
              </w:rPr>
              <w:br/>
            </w:r>
            <w:r w:rsidRPr="00AC781E">
              <w:rPr>
                <w:b/>
                <w:noProof/>
                <w:sz w:val="18"/>
              </w:rPr>
              <w:t>2024</w:t>
            </w:r>
          </w:p>
        </w:tc>
        <w:tc>
          <w:tcPr>
            <w:tcW w:w="1260" w:type="dxa"/>
            <w:gridSpan w:val="2"/>
            <w:vAlign w:val="center"/>
          </w:tcPr>
          <w:p w:rsidR="00DE314D" w:rsidRPr="00AC781E" w:rsidRDefault="00DE314D">
            <w:pPr>
              <w:ind w:right="-29"/>
              <w:jc w:val="center"/>
              <w:rPr>
                <w:noProof/>
                <w:sz w:val="18"/>
                <w:szCs w:val="18"/>
              </w:rPr>
            </w:pPr>
            <w:r w:rsidRPr="00AC781E">
              <w:rPr>
                <w:noProof/>
                <w:sz w:val="18"/>
              </w:rPr>
              <w:t xml:space="preserve">Year </w:t>
            </w:r>
            <w:r w:rsidRPr="00AC781E">
              <w:rPr>
                <w:noProof/>
                <w:sz w:val="22"/>
              </w:rPr>
              <w:br/>
            </w:r>
            <w:r w:rsidRPr="00AC781E">
              <w:rPr>
                <w:b/>
                <w:noProof/>
                <w:sz w:val="18"/>
              </w:rPr>
              <w:t>2025</w:t>
            </w:r>
          </w:p>
        </w:tc>
        <w:tc>
          <w:tcPr>
            <w:tcW w:w="1440" w:type="dxa"/>
            <w:gridSpan w:val="2"/>
            <w:vAlign w:val="center"/>
          </w:tcPr>
          <w:p w:rsidR="00DE314D" w:rsidRPr="00AC781E" w:rsidRDefault="00DE314D">
            <w:pPr>
              <w:ind w:right="-29"/>
              <w:jc w:val="center"/>
              <w:rPr>
                <w:noProof/>
                <w:sz w:val="18"/>
                <w:szCs w:val="18"/>
              </w:rPr>
            </w:pPr>
            <w:r w:rsidRPr="00AC781E">
              <w:rPr>
                <w:noProof/>
                <w:sz w:val="18"/>
              </w:rPr>
              <w:t xml:space="preserve">Year </w:t>
            </w:r>
            <w:r w:rsidRPr="00AC781E">
              <w:rPr>
                <w:noProof/>
                <w:sz w:val="22"/>
              </w:rPr>
              <w:br/>
            </w:r>
            <w:r w:rsidRPr="00AC781E">
              <w:rPr>
                <w:b/>
                <w:noProof/>
                <w:sz w:val="18"/>
              </w:rPr>
              <w:t>2026</w:t>
            </w:r>
          </w:p>
        </w:tc>
        <w:tc>
          <w:tcPr>
            <w:tcW w:w="1620" w:type="dxa"/>
            <w:gridSpan w:val="3"/>
            <w:vAlign w:val="center"/>
          </w:tcPr>
          <w:p w:rsidR="00DE314D" w:rsidRPr="00AC781E" w:rsidRDefault="00DE314D">
            <w:pPr>
              <w:ind w:right="-29"/>
              <w:jc w:val="center"/>
              <w:rPr>
                <w:noProof/>
                <w:sz w:val="18"/>
                <w:szCs w:val="18"/>
              </w:rPr>
            </w:pPr>
            <w:r w:rsidRPr="00AC781E">
              <w:rPr>
                <w:noProof/>
                <w:sz w:val="18"/>
              </w:rPr>
              <w:t xml:space="preserve">Year </w:t>
            </w:r>
            <w:r w:rsidRPr="00AC781E">
              <w:rPr>
                <w:noProof/>
                <w:sz w:val="22"/>
              </w:rPr>
              <w:br/>
            </w:r>
            <w:r w:rsidRPr="00AC781E">
              <w:rPr>
                <w:b/>
                <w:noProof/>
                <w:sz w:val="18"/>
              </w:rPr>
              <w:t>2027</w:t>
            </w:r>
          </w:p>
        </w:tc>
        <w:tc>
          <w:tcPr>
            <w:tcW w:w="3600" w:type="dxa"/>
            <w:gridSpan w:val="6"/>
            <w:vAlign w:val="center"/>
          </w:tcPr>
          <w:p w:rsidR="00DE314D" w:rsidRPr="00AC781E" w:rsidRDefault="00DE314D">
            <w:pPr>
              <w:jc w:val="center"/>
              <w:rPr>
                <w:noProof/>
                <w:sz w:val="18"/>
                <w:szCs w:val="18"/>
                <w:lang w:val="en-IE"/>
              </w:rPr>
            </w:pPr>
            <w:r w:rsidRPr="00AC781E">
              <w:rPr>
                <w:noProof/>
                <w:sz w:val="18"/>
                <w:lang w:val="en-IE"/>
              </w:rPr>
              <w:t>Enter as many years as necessary to show the duration of the impact (see Section1.6)</w:t>
            </w:r>
          </w:p>
        </w:tc>
        <w:tc>
          <w:tcPr>
            <w:tcW w:w="1620" w:type="dxa"/>
            <w:gridSpan w:val="2"/>
            <w:tcBorders>
              <w:left w:val="nil"/>
              <w:bottom w:val="nil"/>
            </w:tcBorders>
            <w:vAlign w:val="center"/>
          </w:tcPr>
          <w:p w:rsidR="00DE314D" w:rsidRPr="00AC781E" w:rsidRDefault="00DE314D">
            <w:pPr>
              <w:ind w:right="-29"/>
              <w:jc w:val="center"/>
              <w:rPr>
                <w:noProof/>
                <w:sz w:val="18"/>
                <w:szCs w:val="18"/>
              </w:rPr>
            </w:pPr>
            <w:r w:rsidRPr="00AC781E">
              <w:rPr>
                <w:b/>
                <w:noProof/>
                <w:sz w:val="18"/>
              </w:rPr>
              <w:t>TOTAL</w:t>
            </w:r>
          </w:p>
        </w:tc>
      </w:tr>
      <w:tr w:rsidR="00AC781E" w:rsidRPr="00AC781E" w:rsidTr="3CFC5CC3">
        <w:trPr>
          <w:jc w:val="center"/>
        </w:trPr>
        <w:tc>
          <w:tcPr>
            <w:tcW w:w="1423" w:type="dxa"/>
            <w:vMerge/>
            <w:vAlign w:val="center"/>
          </w:tcPr>
          <w:p w:rsidR="00DE314D" w:rsidRPr="00AC781E" w:rsidRDefault="00DE314D">
            <w:pPr>
              <w:ind w:right="-29"/>
              <w:jc w:val="center"/>
              <w:rPr>
                <w:noProof/>
                <w:sz w:val="18"/>
                <w:szCs w:val="18"/>
              </w:rPr>
            </w:pPr>
          </w:p>
        </w:tc>
        <w:tc>
          <w:tcPr>
            <w:tcW w:w="12185" w:type="dxa"/>
            <w:gridSpan w:val="19"/>
            <w:vAlign w:val="center"/>
          </w:tcPr>
          <w:p w:rsidR="00DE314D" w:rsidRPr="00AC781E" w:rsidRDefault="00DE314D">
            <w:pPr>
              <w:spacing w:before="60" w:after="60"/>
              <w:ind w:right="-29"/>
              <w:jc w:val="center"/>
              <w:rPr>
                <w:noProof/>
                <w:sz w:val="18"/>
                <w:szCs w:val="18"/>
              </w:rPr>
            </w:pPr>
            <w:r w:rsidRPr="00AC781E">
              <w:rPr>
                <w:b/>
                <w:noProof/>
                <w:sz w:val="18"/>
              </w:rPr>
              <w:t>OUTPUTS</w:t>
            </w:r>
          </w:p>
        </w:tc>
      </w:tr>
      <w:tr w:rsidR="00AC781E" w:rsidRPr="00AC781E" w:rsidTr="3CFC5CC3">
        <w:trPr>
          <w:cantSplit/>
          <w:trHeight w:val="1134"/>
          <w:jc w:val="center"/>
        </w:trPr>
        <w:tc>
          <w:tcPr>
            <w:tcW w:w="1423" w:type="dxa"/>
            <w:vMerge/>
            <w:vAlign w:val="center"/>
          </w:tcPr>
          <w:p w:rsidR="00DE314D" w:rsidRPr="00AC781E" w:rsidRDefault="00DE314D">
            <w:pPr>
              <w:rPr>
                <w:noProof/>
                <w:sz w:val="18"/>
                <w:szCs w:val="18"/>
              </w:rPr>
            </w:pPr>
          </w:p>
        </w:tc>
        <w:tc>
          <w:tcPr>
            <w:tcW w:w="720" w:type="dxa"/>
            <w:vAlign w:val="center"/>
          </w:tcPr>
          <w:p w:rsidR="00DE314D" w:rsidRPr="00AC781E" w:rsidRDefault="00DE314D">
            <w:pPr>
              <w:jc w:val="center"/>
              <w:rPr>
                <w:noProof/>
                <w:sz w:val="18"/>
                <w:szCs w:val="18"/>
              </w:rPr>
            </w:pPr>
            <w:r w:rsidRPr="00AC781E">
              <w:rPr>
                <w:noProof/>
                <w:sz w:val="18"/>
                <w:szCs w:val="18"/>
              </w:rPr>
              <w:t>Type</w:t>
            </w:r>
            <w:r w:rsidRPr="00AC781E">
              <w:rPr>
                <w:rStyle w:val="FootnoteReference"/>
                <w:noProof/>
                <w:sz w:val="18"/>
                <w:szCs w:val="18"/>
              </w:rPr>
              <w:footnoteReference w:id="49"/>
            </w:r>
          </w:p>
          <w:p w:rsidR="00DE314D" w:rsidRPr="00AC781E" w:rsidRDefault="00DE314D">
            <w:pPr>
              <w:spacing w:before="0" w:after="0"/>
              <w:jc w:val="center"/>
              <w:rPr>
                <w:noProof/>
                <w:sz w:val="18"/>
                <w:szCs w:val="18"/>
              </w:rPr>
            </w:pPr>
          </w:p>
        </w:tc>
        <w:tc>
          <w:tcPr>
            <w:tcW w:w="701" w:type="dxa"/>
            <w:vAlign w:val="center"/>
          </w:tcPr>
          <w:p w:rsidR="00DE314D" w:rsidRPr="00AC781E" w:rsidRDefault="00DE314D">
            <w:pPr>
              <w:jc w:val="center"/>
              <w:rPr>
                <w:noProof/>
                <w:sz w:val="18"/>
                <w:szCs w:val="18"/>
              </w:rPr>
            </w:pPr>
            <w:r w:rsidRPr="00AC781E">
              <w:rPr>
                <w:noProof/>
                <w:sz w:val="18"/>
              </w:rPr>
              <w:t>Average cost</w:t>
            </w:r>
          </w:p>
        </w:tc>
        <w:tc>
          <w:tcPr>
            <w:tcW w:w="504" w:type="dxa"/>
            <w:tcBorders>
              <w:left w:val="nil"/>
              <w:right w:val="dashSmallGap" w:sz="4" w:space="0" w:color="auto"/>
            </w:tcBorders>
            <w:textDirection w:val="btLr"/>
            <w:vAlign w:val="center"/>
          </w:tcPr>
          <w:p w:rsidR="00DE314D" w:rsidRPr="00AC781E" w:rsidRDefault="00DE314D">
            <w:pPr>
              <w:ind w:left="113" w:right="113"/>
              <w:jc w:val="center"/>
              <w:rPr>
                <w:noProof/>
                <w:sz w:val="18"/>
                <w:szCs w:val="18"/>
              </w:rPr>
            </w:pPr>
            <w:r w:rsidRPr="00AC781E">
              <w:rPr>
                <w:noProof/>
                <w:sz w:val="18"/>
              </w:rPr>
              <w:t>No</w:t>
            </w:r>
          </w:p>
        </w:tc>
        <w:tc>
          <w:tcPr>
            <w:tcW w:w="720" w:type="dxa"/>
            <w:tcBorders>
              <w:left w:val="dashSmallGap" w:sz="4" w:space="0" w:color="auto"/>
            </w:tcBorders>
            <w:vAlign w:val="center"/>
          </w:tcPr>
          <w:p w:rsidR="00DE314D" w:rsidRPr="00AC781E" w:rsidRDefault="00DE314D">
            <w:pPr>
              <w:jc w:val="center"/>
              <w:rPr>
                <w:noProof/>
                <w:sz w:val="18"/>
                <w:szCs w:val="18"/>
              </w:rPr>
            </w:pPr>
            <w:r w:rsidRPr="00AC781E">
              <w:rPr>
                <w:noProof/>
                <w:sz w:val="18"/>
              </w:rPr>
              <w:t>Cost</w:t>
            </w:r>
          </w:p>
        </w:tc>
        <w:tc>
          <w:tcPr>
            <w:tcW w:w="540" w:type="dxa"/>
            <w:tcBorders>
              <w:right w:val="dashSmallGap" w:sz="4" w:space="0" w:color="auto"/>
            </w:tcBorders>
            <w:textDirection w:val="btLr"/>
            <w:vAlign w:val="center"/>
          </w:tcPr>
          <w:p w:rsidR="00DE314D" w:rsidRPr="00AC781E" w:rsidRDefault="00DE314D">
            <w:pPr>
              <w:ind w:left="113" w:right="113"/>
              <w:jc w:val="center"/>
              <w:rPr>
                <w:noProof/>
                <w:sz w:val="18"/>
                <w:szCs w:val="18"/>
              </w:rPr>
            </w:pPr>
            <w:r w:rsidRPr="00AC781E">
              <w:rPr>
                <w:noProof/>
                <w:sz w:val="18"/>
              </w:rPr>
              <w:t>No</w:t>
            </w:r>
          </w:p>
        </w:tc>
        <w:tc>
          <w:tcPr>
            <w:tcW w:w="720" w:type="dxa"/>
            <w:tcBorders>
              <w:left w:val="dashSmallGap" w:sz="4" w:space="0" w:color="auto"/>
            </w:tcBorders>
            <w:vAlign w:val="center"/>
          </w:tcPr>
          <w:p w:rsidR="00DE314D" w:rsidRPr="00AC781E" w:rsidRDefault="00DE314D">
            <w:pPr>
              <w:jc w:val="center"/>
              <w:rPr>
                <w:noProof/>
                <w:sz w:val="18"/>
                <w:szCs w:val="18"/>
              </w:rPr>
            </w:pPr>
            <w:r w:rsidRPr="00AC781E">
              <w:rPr>
                <w:noProof/>
                <w:sz w:val="18"/>
              </w:rPr>
              <w:t>Cost</w:t>
            </w:r>
          </w:p>
        </w:tc>
        <w:tc>
          <w:tcPr>
            <w:tcW w:w="720" w:type="dxa"/>
            <w:tcBorders>
              <w:right w:val="dashSmallGap" w:sz="4" w:space="0" w:color="auto"/>
            </w:tcBorders>
            <w:textDirection w:val="btLr"/>
            <w:vAlign w:val="center"/>
          </w:tcPr>
          <w:p w:rsidR="00DE314D" w:rsidRPr="00AC781E" w:rsidRDefault="00DE314D">
            <w:pPr>
              <w:ind w:left="113" w:right="113"/>
              <w:jc w:val="center"/>
              <w:rPr>
                <w:noProof/>
                <w:sz w:val="18"/>
                <w:szCs w:val="18"/>
              </w:rPr>
            </w:pPr>
            <w:r w:rsidRPr="00AC781E">
              <w:rPr>
                <w:noProof/>
                <w:sz w:val="18"/>
              </w:rPr>
              <w:t>No</w:t>
            </w:r>
          </w:p>
        </w:tc>
        <w:tc>
          <w:tcPr>
            <w:tcW w:w="720" w:type="dxa"/>
            <w:tcBorders>
              <w:left w:val="dashSmallGap" w:sz="4" w:space="0" w:color="auto"/>
            </w:tcBorders>
            <w:vAlign w:val="center"/>
          </w:tcPr>
          <w:p w:rsidR="00DE314D" w:rsidRPr="00AC781E" w:rsidRDefault="00DE314D">
            <w:pPr>
              <w:jc w:val="center"/>
              <w:rPr>
                <w:noProof/>
                <w:sz w:val="18"/>
                <w:szCs w:val="18"/>
              </w:rPr>
            </w:pPr>
            <w:r w:rsidRPr="00AC781E">
              <w:rPr>
                <w:noProof/>
                <w:sz w:val="18"/>
              </w:rPr>
              <w:t>Cost</w:t>
            </w:r>
          </w:p>
        </w:tc>
        <w:tc>
          <w:tcPr>
            <w:tcW w:w="900" w:type="dxa"/>
            <w:tcBorders>
              <w:right w:val="dashSmallGap" w:sz="4" w:space="0" w:color="auto"/>
            </w:tcBorders>
            <w:textDirection w:val="btLr"/>
            <w:vAlign w:val="center"/>
          </w:tcPr>
          <w:p w:rsidR="00DE314D" w:rsidRPr="00AC781E" w:rsidRDefault="00DE314D">
            <w:pPr>
              <w:ind w:left="113" w:right="113"/>
              <w:jc w:val="center"/>
              <w:rPr>
                <w:noProof/>
                <w:sz w:val="18"/>
                <w:szCs w:val="18"/>
              </w:rPr>
            </w:pPr>
            <w:r w:rsidRPr="00AC781E">
              <w:rPr>
                <w:noProof/>
                <w:sz w:val="18"/>
              </w:rPr>
              <w:t>No</w:t>
            </w:r>
          </w:p>
        </w:tc>
        <w:tc>
          <w:tcPr>
            <w:tcW w:w="720" w:type="dxa"/>
            <w:gridSpan w:val="2"/>
            <w:tcBorders>
              <w:left w:val="dashSmallGap" w:sz="4" w:space="0" w:color="auto"/>
            </w:tcBorders>
            <w:vAlign w:val="center"/>
          </w:tcPr>
          <w:p w:rsidR="00DE314D" w:rsidRPr="00AC781E" w:rsidRDefault="00DE314D">
            <w:pPr>
              <w:jc w:val="center"/>
              <w:rPr>
                <w:noProof/>
                <w:sz w:val="18"/>
                <w:szCs w:val="18"/>
              </w:rPr>
            </w:pPr>
            <w:r w:rsidRPr="00AC781E">
              <w:rPr>
                <w:noProof/>
                <w:sz w:val="18"/>
              </w:rPr>
              <w:t>Cost</w:t>
            </w:r>
          </w:p>
        </w:tc>
        <w:tc>
          <w:tcPr>
            <w:tcW w:w="540" w:type="dxa"/>
            <w:tcBorders>
              <w:right w:val="dashSmallGap" w:sz="4" w:space="0" w:color="auto"/>
            </w:tcBorders>
            <w:textDirection w:val="btLr"/>
            <w:vAlign w:val="center"/>
          </w:tcPr>
          <w:p w:rsidR="00DE314D" w:rsidRPr="00AC781E" w:rsidRDefault="00DE314D">
            <w:pPr>
              <w:ind w:left="113" w:right="113"/>
              <w:jc w:val="center"/>
              <w:rPr>
                <w:noProof/>
                <w:sz w:val="18"/>
                <w:szCs w:val="18"/>
              </w:rPr>
            </w:pPr>
            <w:r w:rsidRPr="00AC781E">
              <w:rPr>
                <w:noProof/>
                <w:sz w:val="18"/>
              </w:rPr>
              <w:t>No</w:t>
            </w:r>
          </w:p>
        </w:tc>
        <w:tc>
          <w:tcPr>
            <w:tcW w:w="648" w:type="dxa"/>
            <w:tcBorders>
              <w:left w:val="dashSmallGap" w:sz="4" w:space="0" w:color="auto"/>
            </w:tcBorders>
            <w:vAlign w:val="center"/>
          </w:tcPr>
          <w:p w:rsidR="00DE314D" w:rsidRPr="00AC781E" w:rsidRDefault="00DE314D">
            <w:pPr>
              <w:jc w:val="center"/>
              <w:rPr>
                <w:noProof/>
                <w:sz w:val="18"/>
                <w:szCs w:val="18"/>
              </w:rPr>
            </w:pPr>
            <w:r w:rsidRPr="00AC781E">
              <w:rPr>
                <w:noProof/>
                <w:sz w:val="18"/>
              </w:rPr>
              <w:t>Cost</w:t>
            </w:r>
          </w:p>
        </w:tc>
        <w:tc>
          <w:tcPr>
            <w:tcW w:w="432" w:type="dxa"/>
            <w:tcBorders>
              <w:right w:val="dashSmallGap" w:sz="4" w:space="0" w:color="auto"/>
            </w:tcBorders>
            <w:textDirection w:val="btLr"/>
            <w:vAlign w:val="center"/>
          </w:tcPr>
          <w:p w:rsidR="00DE314D" w:rsidRPr="00AC781E" w:rsidRDefault="00DE314D">
            <w:pPr>
              <w:ind w:left="113" w:right="113"/>
              <w:jc w:val="center"/>
              <w:rPr>
                <w:noProof/>
                <w:sz w:val="18"/>
                <w:szCs w:val="18"/>
              </w:rPr>
            </w:pPr>
            <w:r w:rsidRPr="00AC781E">
              <w:rPr>
                <w:noProof/>
                <w:sz w:val="18"/>
              </w:rPr>
              <w:t>No</w:t>
            </w:r>
          </w:p>
        </w:tc>
        <w:tc>
          <w:tcPr>
            <w:tcW w:w="720" w:type="dxa"/>
            <w:tcBorders>
              <w:left w:val="dashSmallGap" w:sz="4" w:space="0" w:color="auto"/>
            </w:tcBorders>
            <w:vAlign w:val="center"/>
          </w:tcPr>
          <w:p w:rsidR="00DE314D" w:rsidRPr="00AC781E" w:rsidRDefault="00DE314D">
            <w:pPr>
              <w:jc w:val="center"/>
              <w:rPr>
                <w:noProof/>
                <w:sz w:val="18"/>
                <w:szCs w:val="18"/>
              </w:rPr>
            </w:pPr>
            <w:r w:rsidRPr="00AC781E">
              <w:rPr>
                <w:noProof/>
                <w:sz w:val="18"/>
              </w:rPr>
              <w:t>Cost</w:t>
            </w:r>
          </w:p>
        </w:tc>
        <w:tc>
          <w:tcPr>
            <w:tcW w:w="540" w:type="dxa"/>
            <w:tcBorders>
              <w:right w:val="dashSmallGap" w:sz="4" w:space="0" w:color="auto"/>
            </w:tcBorders>
            <w:textDirection w:val="btLr"/>
            <w:vAlign w:val="center"/>
          </w:tcPr>
          <w:p w:rsidR="00DE314D" w:rsidRPr="00AC781E" w:rsidRDefault="00DE314D">
            <w:pPr>
              <w:ind w:left="113" w:right="113"/>
              <w:jc w:val="center"/>
              <w:rPr>
                <w:noProof/>
                <w:sz w:val="18"/>
                <w:szCs w:val="18"/>
              </w:rPr>
            </w:pPr>
            <w:r w:rsidRPr="00AC781E">
              <w:rPr>
                <w:noProof/>
                <w:sz w:val="18"/>
              </w:rPr>
              <w:t>No</w:t>
            </w:r>
          </w:p>
        </w:tc>
        <w:tc>
          <w:tcPr>
            <w:tcW w:w="720" w:type="dxa"/>
            <w:tcBorders>
              <w:left w:val="dashSmallGap" w:sz="4" w:space="0" w:color="auto"/>
            </w:tcBorders>
            <w:vAlign w:val="center"/>
          </w:tcPr>
          <w:p w:rsidR="00DE314D" w:rsidRPr="00AC781E" w:rsidRDefault="00DE314D">
            <w:pPr>
              <w:jc w:val="center"/>
              <w:rPr>
                <w:noProof/>
                <w:sz w:val="18"/>
                <w:szCs w:val="18"/>
              </w:rPr>
            </w:pPr>
            <w:r w:rsidRPr="00AC781E">
              <w:rPr>
                <w:noProof/>
                <w:sz w:val="18"/>
              </w:rPr>
              <w:t>Cost</w:t>
            </w:r>
          </w:p>
        </w:tc>
        <w:tc>
          <w:tcPr>
            <w:tcW w:w="720" w:type="dxa"/>
            <w:tcBorders>
              <w:right w:val="dashSmallGap" w:sz="4" w:space="0" w:color="auto"/>
            </w:tcBorders>
            <w:vAlign w:val="center"/>
          </w:tcPr>
          <w:p w:rsidR="00DE314D" w:rsidRPr="00AC781E" w:rsidRDefault="00DE314D">
            <w:pPr>
              <w:jc w:val="center"/>
              <w:rPr>
                <w:noProof/>
                <w:sz w:val="18"/>
                <w:szCs w:val="18"/>
              </w:rPr>
            </w:pPr>
            <w:r w:rsidRPr="00AC781E">
              <w:rPr>
                <w:noProof/>
                <w:sz w:val="18"/>
              </w:rPr>
              <w:t>Total No</w:t>
            </w:r>
          </w:p>
        </w:tc>
        <w:tc>
          <w:tcPr>
            <w:tcW w:w="900" w:type="dxa"/>
            <w:tcBorders>
              <w:left w:val="dashSmallGap" w:sz="4" w:space="0" w:color="auto"/>
            </w:tcBorders>
            <w:vAlign w:val="center"/>
          </w:tcPr>
          <w:p w:rsidR="00DE314D" w:rsidRPr="00AC781E" w:rsidRDefault="00DE314D">
            <w:pPr>
              <w:jc w:val="center"/>
              <w:rPr>
                <w:noProof/>
                <w:sz w:val="18"/>
                <w:szCs w:val="18"/>
              </w:rPr>
            </w:pPr>
            <w:r w:rsidRPr="00AC781E">
              <w:rPr>
                <w:noProof/>
                <w:sz w:val="18"/>
              </w:rPr>
              <w:t>Total cost</w:t>
            </w:r>
          </w:p>
        </w:tc>
      </w:tr>
      <w:tr w:rsidR="00AC781E" w:rsidRPr="00AC781E" w:rsidTr="3CFC5CC3">
        <w:trPr>
          <w:jc w:val="center"/>
        </w:trPr>
        <w:tc>
          <w:tcPr>
            <w:tcW w:w="2844" w:type="dxa"/>
            <w:gridSpan w:val="3"/>
            <w:vAlign w:val="center"/>
          </w:tcPr>
          <w:p w:rsidR="00DE314D" w:rsidRPr="00AC781E" w:rsidRDefault="00DE314D">
            <w:pPr>
              <w:spacing w:before="60" w:after="60"/>
              <w:ind w:right="-29"/>
              <w:jc w:val="center"/>
              <w:rPr>
                <w:noProof/>
                <w:sz w:val="18"/>
                <w:szCs w:val="18"/>
              </w:rPr>
            </w:pPr>
            <w:r w:rsidRPr="00AC781E">
              <w:rPr>
                <w:noProof/>
                <w:sz w:val="18"/>
                <w:szCs w:val="18"/>
              </w:rPr>
              <w:t>SPECIFIC OBJECTIVE No 1</w:t>
            </w:r>
            <w:r w:rsidRPr="00AC781E">
              <w:rPr>
                <w:rStyle w:val="FootnoteReference"/>
                <w:noProof/>
                <w:sz w:val="18"/>
                <w:szCs w:val="18"/>
              </w:rPr>
              <w:footnoteReference w:id="50"/>
            </w:r>
            <w:r w:rsidRPr="00AC781E">
              <w:rPr>
                <w:noProof/>
                <w:sz w:val="18"/>
                <w:szCs w:val="18"/>
              </w:rPr>
              <w:t>…</w:t>
            </w:r>
          </w:p>
        </w:tc>
        <w:tc>
          <w:tcPr>
            <w:tcW w:w="504"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gridSpan w:val="2"/>
            <w:tcBorders>
              <w:top w:val="nil"/>
              <w:left w:val="nil"/>
              <w:bottom w:val="nil"/>
              <w:right w:val="nil"/>
            </w:tcBorders>
          </w:tcPr>
          <w:p w:rsidR="00DE314D" w:rsidRPr="00AC781E"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648"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432"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AC781E" w:rsidRDefault="00DE314D">
            <w:pPr>
              <w:spacing w:before="60" w:after="60"/>
              <w:ind w:right="-29"/>
              <w:jc w:val="center"/>
              <w:rPr>
                <w:noProof/>
                <w:sz w:val="18"/>
                <w:szCs w:val="18"/>
              </w:rPr>
            </w:pPr>
          </w:p>
        </w:tc>
      </w:tr>
      <w:tr w:rsidR="00AC781E" w:rsidRPr="00AC781E" w:rsidTr="3CFC5CC3">
        <w:trPr>
          <w:trHeight w:hRule="exact" w:val="369"/>
          <w:jc w:val="center"/>
        </w:trPr>
        <w:tc>
          <w:tcPr>
            <w:tcW w:w="1423" w:type="dxa"/>
          </w:tcPr>
          <w:p w:rsidR="00DE314D" w:rsidRPr="00AC781E" w:rsidRDefault="00DE314D">
            <w:pPr>
              <w:ind w:right="-29"/>
              <w:jc w:val="center"/>
              <w:rPr>
                <w:noProof/>
                <w:sz w:val="18"/>
                <w:szCs w:val="18"/>
              </w:rPr>
            </w:pPr>
            <w:r w:rsidRPr="00AC781E">
              <w:rPr>
                <w:noProof/>
                <w:sz w:val="18"/>
              </w:rPr>
              <w:t>- Output</w:t>
            </w:r>
          </w:p>
        </w:tc>
        <w:tc>
          <w:tcPr>
            <w:tcW w:w="720" w:type="dxa"/>
          </w:tcPr>
          <w:p w:rsidR="00DE314D" w:rsidRPr="00AC781E" w:rsidRDefault="00DE314D">
            <w:pPr>
              <w:ind w:right="-29"/>
              <w:jc w:val="center"/>
              <w:rPr>
                <w:noProof/>
                <w:sz w:val="18"/>
                <w:szCs w:val="18"/>
              </w:rPr>
            </w:pPr>
          </w:p>
        </w:tc>
        <w:tc>
          <w:tcPr>
            <w:tcW w:w="701" w:type="dxa"/>
          </w:tcPr>
          <w:p w:rsidR="00DE314D" w:rsidRPr="00AC781E" w:rsidRDefault="00DE314D">
            <w:pPr>
              <w:ind w:right="-29"/>
              <w:jc w:val="center"/>
              <w:rPr>
                <w:noProof/>
                <w:sz w:val="18"/>
                <w:szCs w:val="18"/>
              </w:rPr>
            </w:pPr>
          </w:p>
        </w:tc>
        <w:tc>
          <w:tcPr>
            <w:tcW w:w="504"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540"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720"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900" w:type="dxa"/>
            <w:tcBorders>
              <w:right w:val="dashSmallGap" w:sz="4" w:space="0" w:color="auto"/>
            </w:tcBorders>
          </w:tcPr>
          <w:p w:rsidR="00DE314D" w:rsidRPr="00AC781E" w:rsidRDefault="00DE314D">
            <w:pPr>
              <w:ind w:right="-29"/>
              <w:jc w:val="center"/>
              <w:rPr>
                <w:noProof/>
                <w:sz w:val="18"/>
                <w:szCs w:val="18"/>
              </w:rPr>
            </w:pPr>
          </w:p>
        </w:tc>
        <w:tc>
          <w:tcPr>
            <w:tcW w:w="720" w:type="dxa"/>
            <w:gridSpan w:val="2"/>
            <w:tcBorders>
              <w:left w:val="dashSmallGap" w:sz="4" w:space="0" w:color="auto"/>
            </w:tcBorders>
          </w:tcPr>
          <w:p w:rsidR="00DE314D" w:rsidRPr="00AC781E" w:rsidRDefault="00DE314D">
            <w:pPr>
              <w:ind w:right="-29"/>
              <w:jc w:val="center"/>
              <w:rPr>
                <w:noProof/>
                <w:sz w:val="18"/>
                <w:szCs w:val="18"/>
              </w:rPr>
            </w:pPr>
          </w:p>
        </w:tc>
        <w:tc>
          <w:tcPr>
            <w:tcW w:w="540" w:type="dxa"/>
            <w:tcBorders>
              <w:right w:val="dashSmallGap" w:sz="4" w:space="0" w:color="auto"/>
            </w:tcBorders>
          </w:tcPr>
          <w:p w:rsidR="00DE314D" w:rsidRPr="00AC781E" w:rsidRDefault="00DE314D">
            <w:pPr>
              <w:ind w:right="-29"/>
              <w:jc w:val="center"/>
              <w:rPr>
                <w:noProof/>
                <w:sz w:val="18"/>
                <w:szCs w:val="18"/>
              </w:rPr>
            </w:pPr>
          </w:p>
        </w:tc>
        <w:tc>
          <w:tcPr>
            <w:tcW w:w="648" w:type="dxa"/>
            <w:tcBorders>
              <w:left w:val="dashSmallGap" w:sz="4" w:space="0" w:color="auto"/>
            </w:tcBorders>
          </w:tcPr>
          <w:p w:rsidR="00DE314D" w:rsidRPr="00AC781E" w:rsidRDefault="00DE314D">
            <w:pPr>
              <w:ind w:right="-29"/>
              <w:jc w:val="center"/>
              <w:rPr>
                <w:noProof/>
                <w:sz w:val="18"/>
                <w:szCs w:val="18"/>
              </w:rPr>
            </w:pPr>
          </w:p>
        </w:tc>
        <w:tc>
          <w:tcPr>
            <w:tcW w:w="432"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540"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900" w:type="dxa"/>
          </w:tcPr>
          <w:p w:rsidR="00DE314D" w:rsidRPr="00AC781E" w:rsidRDefault="00DE314D">
            <w:pPr>
              <w:ind w:right="-29"/>
              <w:jc w:val="center"/>
              <w:rPr>
                <w:noProof/>
                <w:sz w:val="18"/>
                <w:szCs w:val="18"/>
              </w:rPr>
            </w:pPr>
          </w:p>
        </w:tc>
      </w:tr>
      <w:tr w:rsidR="00AC781E" w:rsidRPr="00AC781E" w:rsidTr="3CFC5CC3">
        <w:trPr>
          <w:trHeight w:hRule="exact" w:val="369"/>
          <w:jc w:val="center"/>
        </w:trPr>
        <w:tc>
          <w:tcPr>
            <w:tcW w:w="1423" w:type="dxa"/>
          </w:tcPr>
          <w:p w:rsidR="00DE314D" w:rsidRPr="00AC781E" w:rsidRDefault="00DE314D">
            <w:pPr>
              <w:ind w:right="-29"/>
              <w:jc w:val="center"/>
              <w:rPr>
                <w:noProof/>
                <w:sz w:val="18"/>
                <w:szCs w:val="18"/>
              </w:rPr>
            </w:pPr>
            <w:r w:rsidRPr="00AC781E">
              <w:rPr>
                <w:noProof/>
                <w:sz w:val="18"/>
              </w:rPr>
              <w:t>- Output</w:t>
            </w:r>
          </w:p>
        </w:tc>
        <w:tc>
          <w:tcPr>
            <w:tcW w:w="720" w:type="dxa"/>
          </w:tcPr>
          <w:p w:rsidR="00DE314D" w:rsidRPr="00AC781E" w:rsidRDefault="00DE314D">
            <w:pPr>
              <w:ind w:right="-29"/>
              <w:jc w:val="center"/>
              <w:rPr>
                <w:noProof/>
                <w:sz w:val="18"/>
                <w:szCs w:val="18"/>
              </w:rPr>
            </w:pPr>
          </w:p>
        </w:tc>
        <w:tc>
          <w:tcPr>
            <w:tcW w:w="701" w:type="dxa"/>
          </w:tcPr>
          <w:p w:rsidR="00DE314D" w:rsidRPr="00AC781E" w:rsidRDefault="00DE314D">
            <w:pPr>
              <w:ind w:right="-29"/>
              <w:jc w:val="center"/>
              <w:rPr>
                <w:noProof/>
                <w:sz w:val="18"/>
                <w:szCs w:val="18"/>
              </w:rPr>
            </w:pPr>
          </w:p>
        </w:tc>
        <w:tc>
          <w:tcPr>
            <w:tcW w:w="504"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540"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720"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900" w:type="dxa"/>
            <w:tcBorders>
              <w:right w:val="dashSmallGap" w:sz="4" w:space="0" w:color="auto"/>
            </w:tcBorders>
          </w:tcPr>
          <w:p w:rsidR="00DE314D" w:rsidRPr="00AC781E" w:rsidRDefault="00DE314D">
            <w:pPr>
              <w:ind w:right="-29"/>
              <w:jc w:val="center"/>
              <w:rPr>
                <w:noProof/>
                <w:sz w:val="18"/>
                <w:szCs w:val="18"/>
              </w:rPr>
            </w:pPr>
          </w:p>
        </w:tc>
        <w:tc>
          <w:tcPr>
            <w:tcW w:w="720" w:type="dxa"/>
            <w:gridSpan w:val="2"/>
            <w:tcBorders>
              <w:left w:val="dashSmallGap" w:sz="4" w:space="0" w:color="auto"/>
            </w:tcBorders>
          </w:tcPr>
          <w:p w:rsidR="00DE314D" w:rsidRPr="00AC781E" w:rsidRDefault="00DE314D">
            <w:pPr>
              <w:ind w:right="-29"/>
              <w:jc w:val="center"/>
              <w:rPr>
                <w:noProof/>
                <w:sz w:val="18"/>
                <w:szCs w:val="18"/>
              </w:rPr>
            </w:pPr>
          </w:p>
        </w:tc>
        <w:tc>
          <w:tcPr>
            <w:tcW w:w="540" w:type="dxa"/>
            <w:tcBorders>
              <w:right w:val="dashSmallGap" w:sz="4" w:space="0" w:color="auto"/>
            </w:tcBorders>
          </w:tcPr>
          <w:p w:rsidR="00DE314D" w:rsidRPr="00AC781E" w:rsidRDefault="00DE314D">
            <w:pPr>
              <w:ind w:right="-29"/>
              <w:jc w:val="center"/>
              <w:rPr>
                <w:noProof/>
                <w:sz w:val="18"/>
                <w:szCs w:val="18"/>
              </w:rPr>
            </w:pPr>
          </w:p>
        </w:tc>
        <w:tc>
          <w:tcPr>
            <w:tcW w:w="648" w:type="dxa"/>
            <w:tcBorders>
              <w:left w:val="dashSmallGap" w:sz="4" w:space="0" w:color="auto"/>
            </w:tcBorders>
          </w:tcPr>
          <w:p w:rsidR="00DE314D" w:rsidRPr="00AC781E" w:rsidRDefault="00DE314D">
            <w:pPr>
              <w:ind w:right="-29"/>
              <w:jc w:val="center"/>
              <w:rPr>
                <w:noProof/>
                <w:sz w:val="18"/>
                <w:szCs w:val="18"/>
              </w:rPr>
            </w:pPr>
          </w:p>
        </w:tc>
        <w:tc>
          <w:tcPr>
            <w:tcW w:w="432"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540" w:type="dxa"/>
            <w:tcBorders>
              <w:right w:val="dashSmallGap" w:sz="4" w:space="0" w:color="auto"/>
            </w:tcBorders>
          </w:tcPr>
          <w:p w:rsidR="00DE314D" w:rsidRPr="00AC781E" w:rsidRDefault="00DE314D">
            <w:pPr>
              <w:ind w:right="-29"/>
              <w:jc w:val="center"/>
              <w:rPr>
                <w:noProof/>
                <w:sz w:val="18"/>
                <w:szCs w:val="18"/>
              </w:rPr>
            </w:pPr>
          </w:p>
        </w:tc>
        <w:tc>
          <w:tcPr>
            <w:tcW w:w="720" w:type="dxa"/>
            <w:tcBorders>
              <w:left w:val="dashSmallGap" w:sz="4" w:space="0" w:color="auto"/>
            </w:tcBorders>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900" w:type="dxa"/>
          </w:tcPr>
          <w:p w:rsidR="00DE314D" w:rsidRPr="00AC781E" w:rsidRDefault="00DE314D">
            <w:pPr>
              <w:ind w:right="-29"/>
              <w:jc w:val="center"/>
              <w:rPr>
                <w:noProof/>
                <w:sz w:val="18"/>
                <w:szCs w:val="18"/>
              </w:rPr>
            </w:pPr>
          </w:p>
        </w:tc>
      </w:tr>
      <w:tr w:rsidR="00AC781E" w:rsidRPr="00AC781E" w:rsidTr="3CFC5CC3">
        <w:trPr>
          <w:trHeight w:hRule="exact" w:val="369"/>
          <w:jc w:val="center"/>
        </w:trPr>
        <w:tc>
          <w:tcPr>
            <w:tcW w:w="1423" w:type="dxa"/>
          </w:tcPr>
          <w:p w:rsidR="00DE314D" w:rsidRPr="00AC781E" w:rsidRDefault="00DE314D">
            <w:pPr>
              <w:ind w:right="-29"/>
              <w:jc w:val="center"/>
              <w:rPr>
                <w:noProof/>
                <w:sz w:val="18"/>
                <w:szCs w:val="18"/>
              </w:rPr>
            </w:pPr>
            <w:r w:rsidRPr="00AC781E">
              <w:rPr>
                <w:noProof/>
                <w:sz w:val="18"/>
              </w:rPr>
              <w:t>- Output</w:t>
            </w:r>
          </w:p>
        </w:tc>
        <w:tc>
          <w:tcPr>
            <w:tcW w:w="720" w:type="dxa"/>
          </w:tcPr>
          <w:p w:rsidR="00DE314D" w:rsidRPr="00AC781E" w:rsidRDefault="00DE314D">
            <w:pPr>
              <w:ind w:right="-29"/>
              <w:jc w:val="center"/>
              <w:rPr>
                <w:noProof/>
                <w:sz w:val="18"/>
                <w:szCs w:val="18"/>
              </w:rPr>
            </w:pPr>
          </w:p>
        </w:tc>
        <w:tc>
          <w:tcPr>
            <w:tcW w:w="701" w:type="dxa"/>
          </w:tcPr>
          <w:p w:rsidR="00DE314D" w:rsidRPr="00AC781E" w:rsidRDefault="00DE314D">
            <w:pPr>
              <w:ind w:right="-29"/>
              <w:jc w:val="center"/>
              <w:rPr>
                <w:noProof/>
                <w:sz w:val="18"/>
                <w:szCs w:val="18"/>
              </w:rPr>
            </w:pPr>
          </w:p>
        </w:tc>
        <w:tc>
          <w:tcPr>
            <w:tcW w:w="504"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54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900" w:type="dxa"/>
          </w:tcPr>
          <w:p w:rsidR="00DE314D" w:rsidRPr="00AC781E" w:rsidRDefault="00DE314D">
            <w:pPr>
              <w:ind w:right="-29"/>
              <w:jc w:val="center"/>
              <w:rPr>
                <w:noProof/>
                <w:sz w:val="18"/>
                <w:szCs w:val="18"/>
              </w:rPr>
            </w:pPr>
          </w:p>
        </w:tc>
        <w:tc>
          <w:tcPr>
            <w:tcW w:w="720" w:type="dxa"/>
            <w:gridSpan w:val="2"/>
          </w:tcPr>
          <w:p w:rsidR="00DE314D" w:rsidRPr="00AC781E" w:rsidRDefault="00DE314D">
            <w:pPr>
              <w:ind w:right="-29"/>
              <w:jc w:val="center"/>
              <w:rPr>
                <w:noProof/>
                <w:sz w:val="18"/>
                <w:szCs w:val="18"/>
              </w:rPr>
            </w:pPr>
          </w:p>
        </w:tc>
        <w:tc>
          <w:tcPr>
            <w:tcW w:w="540" w:type="dxa"/>
          </w:tcPr>
          <w:p w:rsidR="00DE314D" w:rsidRPr="00AC781E" w:rsidRDefault="00DE314D">
            <w:pPr>
              <w:ind w:right="-29"/>
              <w:jc w:val="center"/>
              <w:rPr>
                <w:noProof/>
                <w:sz w:val="18"/>
                <w:szCs w:val="18"/>
              </w:rPr>
            </w:pPr>
          </w:p>
        </w:tc>
        <w:tc>
          <w:tcPr>
            <w:tcW w:w="648" w:type="dxa"/>
          </w:tcPr>
          <w:p w:rsidR="00DE314D" w:rsidRPr="00AC781E" w:rsidRDefault="00DE314D">
            <w:pPr>
              <w:ind w:right="-29"/>
              <w:jc w:val="center"/>
              <w:rPr>
                <w:noProof/>
                <w:sz w:val="18"/>
                <w:szCs w:val="18"/>
              </w:rPr>
            </w:pPr>
          </w:p>
        </w:tc>
        <w:tc>
          <w:tcPr>
            <w:tcW w:w="432"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54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900" w:type="dxa"/>
          </w:tcPr>
          <w:p w:rsidR="00DE314D" w:rsidRPr="00AC781E" w:rsidRDefault="00DE314D">
            <w:pPr>
              <w:ind w:right="-29"/>
              <w:jc w:val="center"/>
              <w:rPr>
                <w:noProof/>
                <w:sz w:val="18"/>
                <w:szCs w:val="18"/>
              </w:rPr>
            </w:pPr>
          </w:p>
        </w:tc>
      </w:tr>
      <w:tr w:rsidR="00AC781E" w:rsidRPr="00AC781E" w:rsidTr="3CFC5CC3">
        <w:trPr>
          <w:trHeight w:val="77"/>
          <w:jc w:val="center"/>
        </w:trPr>
        <w:tc>
          <w:tcPr>
            <w:tcW w:w="2844" w:type="dxa"/>
            <w:gridSpan w:val="3"/>
            <w:tcBorders>
              <w:bottom w:val="single" w:sz="12" w:space="0" w:color="auto"/>
            </w:tcBorders>
            <w:vAlign w:val="center"/>
          </w:tcPr>
          <w:p w:rsidR="00DE314D" w:rsidRPr="00AC781E" w:rsidRDefault="00DE314D">
            <w:pPr>
              <w:ind w:right="-29"/>
              <w:jc w:val="center"/>
              <w:rPr>
                <w:noProof/>
                <w:sz w:val="18"/>
                <w:szCs w:val="18"/>
                <w:lang w:val="en-IE"/>
              </w:rPr>
            </w:pPr>
            <w:r w:rsidRPr="00AC781E">
              <w:rPr>
                <w:noProof/>
                <w:sz w:val="18"/>
                <w:lang w:val="en-IE"/>
              </w:rPr>
              <w:t>Subtotal for specific objective No 1</w:t>
            </w:r>
          </w:p>
        </w:tc>
        <w:tc>
          <w:tcPr>
            <w:tcW w:w="504"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54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900" w:type="dxa"/>
            <w:tcBorders>
              <w:bottom w:val="single" w:sz="12" w:space="0" w:color="auto"/>
            </w:tcBorders>
          </w:tcPr>
          <w:p w:rsidR="00DE314D" w:rsidRPr="00AC781E" w:rsidRDefault="00DE314D">
            <w:pPr>
              <w:ind w:right="-29"/>
              <w:jc w:val="center"/>
              <w:rPr>
                <w:noProof/>
                <w:sz w:val="18"/>
                <w:szCs w:val="18"/>
                <w:lang w:val="en-IE"/>
              </w:rPr>
            </w:pPr>
          </w:p>
        </w:tc>
        <w:tc>
          <w:tcPr>
            <w:tcW w:w="720" w:type="dxa"/>
            <w:gridSpan w:val="2"/>
            <w:tcBorders>
              <w:bottom w:val="single" w:sz="12" w:space="0" w:color="auto"/>
            </w:tcBorders>
          </w:tcPr>
          <w:p w:rsidR="00DE314D" w:rsidRPr="00AC781E" w:rsidRDefault="00DE314D">
            <w:pPr>
              <w:ind w:right="-29"/>
              <w:jc w:val="center"/>
              <w:rPr>
                <w:noProof/>
                <w:sz w:val="18"/>
                <w:szCs w:val="18"/>
                <w:lang w:val="en-IE"/>
              </w:rPr>
            </w:pPr>
          </w:p>
        </w:tc>
        <w:tc>
          <w:tcPr>
            <w:tcW w:w="540" w:type="dxa"/>
            <w:tcBorders>
              <w:bottom w:val="single" w:sz="12" w:space="0" w:color="auto"/>
            </w:tcBorders>
          </w:tcPr>
          <w:p w:rsidR="00DE314D" w:rsidRPr="00AC781E" w:rsidRDefault="00DE314D">
            <w:pPr>
              <w:ind w:right="-29"/>
              <w:jc w:val="center"/>
              <w:rPr>
                <w:noProof/>
                <w:sz w:val="18"/>
                <w:szCs w:val="18"/>
                <w:lang w:val="en-IE"/>
              </w:rPr>
            </w:pPr>
          </w:p>
        </w:tc>
        <w:tc>
          <w:tcPr>
            <w:tcW w:w="648" w:type="dxa"/>
            <w:tcBorders>
              <w:bottom w:val="single" w:sz="12" w:space="0" w:color="auto"/>
            </w:tcBorders>
          </w:tcPr>
          <w:p w:rsidR="00DE314D" w:rsidRPr="00AC781E" w:rsidRDefault="00DE314D">
            <w:pPr>
              <w:ind w:right="-29"/>
              <w:jc w:val="center"/>
              <w:rPr>
                <w:noProof/>
                <w:sz w:val="18"/>
                <w:szCs w:val="18"/>
                <w:lang w:val="en-IE"/>
              </w:rPr>
            </w:pPr>
          </w:p>
        </w:tc>
        <w:tc>
          <w:tcPr>
            <w:tcW w:w="432"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54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900" w:type="dxa"/>
            <w:tcBorders>
              <w:bottom w:val="single" w:sz="12" w:space="0" w:color="auto"/>
            </w:tcBorders>
          </w:tcPr>
          <w:p w:rsidR="00DE314D" w:rsidRPr="00AC781E" w:rsidRDefault="00DE314D">
            <w:pPr>
              <w:ind w:right="-29"/>
              <w:jc w:val="center"/>
              <w:rPr>
                <w:noProof/>
                <w:sz w:val="18"/>
                <w:szCs w:val="18"/>
                <w:lang w:val="en-IE"/>
              </w:rPr>
            </w:pPr>
          </w:p>
        </w:tc>
      </w:tr>
      <w:tr w:rsidR="00AC781E" w:rsidRPr="00AC781E" w:rsidTr="3CFC5CC3">
        <w:trPr>
          <w:jc w:val="center"/>
        </w:trPr>
        <w:tc>
          <w:tcPr>
            <w:tcW w:w="2844" w:type="dxa"/>
            <w:gridSpan w:val="3"/>
            <w:vAlign w:val="center"/>
          </w:tcPr>
          <w:p w:rsidR="00DE314D" w:rsidRPr="00AC781E" w:rsidRDefault="00DE314D">
            <w:pPr>
              <w:spacing w:before="60" w:after="60"/>
              <w:ind w:right="-29"/>
              <w:jc w:val="center"/>
              <w:rPr>
                <w:noProof/>
                <w:sz w:val="18"/>
                <w:szCs w:val="18"/>
              </w:rPr>
            </w:pPr>
            <w:r w:rsidRPr="00AC781E">
              <w:rPr>
                <w:noProof/>
                <w:sz w:val="18"/>
              </w:rPr>
              <w:t>SPECIFIC OBJECTIVE No 2 ...</w:t>
            </w:r>
          </w:p>
        </w:tc>
        <w:tc>
          <w:tcPr>
            <w:tcW w:w="504"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gridSpan w:val="2"/>
            <w:tcBorders>
              <w:top w:val="nil"/>
              <w:left w:val="nil"/>
              <w:bottom w:val="nil"/>
              <w:right w:val="nil"/>
            </w:tcBorders>
          </w:tcPr>
          <w:p w:rsidR="00DE314D" w:rsidRPr="00AC781E"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648"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432"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54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720" w:type="dxa"/>
            <w:tcBorders>
              <w:top w:val="nil"/>
              <w:left w:val="nil"/>
              <w:bottom w:val="nil"/>
              <w:right w:val="nil"/>
            </w:tcBorders>
          </w:tcPr>
          <w:p w:rsidR="00DE314D" w:rsidRPr="00AC781E" w:rsidRDefault="00DE314D">
            <w:pPr>
              <w:spacing w:before="60" w:after="60"/>
              <w:ind w:right="-29"/>
              <w:jc w:val="center"/>
              <w:rPr>
                <w:noProof/>
                <w:sz w:val="18"/>
                <w:szCs w:val="18"/>
              </w:rPr>
            </w:pPr>
          </w:p>
        </w:tc>
        <w:tc>
          <w:tcPr>
            <w:tcW w:w="900" w:type="dxa"/>
            <w:tcBorders>
              <w:top w:val="nil"/>
              <w:left w:val="nil"/>
              <w:bottom w:val="nil"/>
              <w:right w:val="nil"/>
            </w:tcBorders>
          </w:tcPr>
          <w:p w:rsidR="00DE314D" w:rsidRPr="00AC781E" w:rsidRDefault="00DE314D">
            <w:pPr>
              <w:spacing w:before="60" w:after="60"/>
              <w:ind w:right="-29"/>
              <w:jc w:val="center"/>
              <w:rPr>
                <w:noProof/>
                <w:sz w:val="18"/>
                <w:szCs w:val="18"/>
              </w:rPr>
            </w:pPr>
          </w:p>
        </w:tc>
      </w:tr>
      <w:tr w:rsidR="00AC781E" w:rsidRPr="00AC781E" w:rsidTr="3CFC5CC3">
        <w:trPr>
          <w:trHeight w:hRule="exact" w:val="369"/>
          <w:jc w:val="center"/>
        </w:trPr>
        <w:tc>
          <w:tcPr>
            <w:tcW w:w="1423" w:type="dxa"/>
          </w:tcPr>
          <w:p w:rsidR="00DE314D" w:rsidRPr="00AC781E" w:rsidRDefault="00DE314D">
            <w:pPr>
              <w:ind w:right="-29"/>
              <w:jc w:val="center"/>
              <w:rPr>
                <w:noProof/>
                <w:sz w:val="18"/>
                <w:szCs w:val="18"/>
              </w:rPr>
            </w:pPr>
            <w:r w:rsidRPr="00AC781E">
              <w:rPr>
                <w:noProof/>
                <w:sz w:val="18"/>
              </w:rPr>
              <w:t>- Output</w:t>
            </w:r>
          </w:p>
        </w:tc>
        <w:tc>
          <w:tcPr>
            <w:tcW w:w="720" w:type="dxa"/>
          </w:tcPr>
          <w:p w:rsidR="00DE314D" w:rsidRPr="00AC781E" w:rsidRDefault="00DE314D">
            <w:pPr>
              <w:ind w:right="-29"/>
              <w:jc w:val="center"/>
              <w:rPr>
                <w:noProof/>
                <w:sz w:val="18"/>
                <w:szCs w:val="18"/>
              </w:rPr>
            </w:pPr>
          </w:p>
        </w:tc>
        <w:tc>
          <w:tcPr>
            <w:tcW w:w="701" w:type="dxa"/>
          </w:tcPr>
          <w:p w:rsidR="00DE314D" w:rsidRPr="00AC781E" w:rsidRDefault="00DE314D">
            <w:pPr>
              <w:ind w:right="-29"/>
              <w:jc w:val="center"/>
              <w:rPr>
                <w:noProof/>
                <w:sz w:val="18"/>
                <w:szCs w:val="18"/>
              </w:rPr>
            </w:pPr>
          </w:p>
        </w:tc>
        <w:tc>
          <w:tcPr>
            <w:tcW w:w="504"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54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900" w:type="dxa"/>
          </w:tcPr>
          <w:p w:rsidR="00DE314D" w:rsidRPr="00AC781E" w:rsidRDefault="00DE314D">
            <w:pPr>
              <w:ind w:right="-29"/>
              <w:jc w:val="center"/>
              <w:rPr>
                <w:noProof/>
                <w:sz w:val="18"/>
                <w:szCs w:val="18"/>
              </w:rPr>
            </w:pPr>
          </w:p>
        </w:tc>
        <w:tc>
          <w:tcPr>
            <w:tcW w:w="720" w:type="dxa"/>
            <w:gridSpan w:val="2"/>
          </w:tcPr>
          <w:p w:rsidR="00DE314D" w:rsidRPr="00AC781E" w:rsidRDefault="00DE314D">
            <w:pPr>
              <w:ind w:right="-29"/>
              <w:jc w:val="center"/>
              <w:rPr>
                <w:noProof/>
                <w:sz w:val="18"/>
                <w:szCs w:val="18"/>
              </w:rPr>
            </w:pPr>
          </w:p>
        </w:tc>
        <w:tc>
          <w:tcPr>
            <w:tcW w:w="540" w:type="dxa"/>
          </w:tcPr>
          <w:p w:rsidR="00DE314D" w:rsidRPr="00AC781E" w:rsidRDefault="00DE314D">
            <w:pPr>
              <w:ind w:right="-29"/>
              <w:jc w:val="center"/>
              <w:rPr>
                <w:noProof/>
                <w:sz w:val="18"/>
                <w:szCs w:val="18"/>
              </w:rPr>
            </w:pPr>
          </w:p>
        </w:tc>
        <w:tc>
          <w:tcPr>
            <w:tcW w:w="648" w:type="dxa"/>
          </w:tcPr>
          <w:p w:rsidR="00DE314D" w:rsidRPr="00AC781E" w:rsidRDefault="00DE314D">
            <w:pPr>
              <w:ind w:right="-29"/>
              <w:jc w:val="center"/>
              <w:rPr>
                <w:noProof/>
                <w:sz w:val="18"/>
                <w:szCs w:val="18"/>
              </w:rPr>
            </w:pPr>
          </w:p>
        </w:tc>
        <w:tc>
          <w:tcPr>
            <w:tcW w:w="432"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54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720" w:type="dxa"/>
          </w:tcPr>
          <w:p w:rsidR="00DE314D" w:rsidRPr="00AC781E" w:rsidRDefault="00DE314D">
            <w:pPr>
              <w:ind w:right="-29"/>
              <w:jc w:val="center"/>
              <w:rPr>
                <w:noProof/>
                <w:sz w:val="18"/>
                <w:szCs w:val="18"/>
              </w:rPr>
            </w:pPr>
          </w:p>
        </w:tc>
        <w:tc>
          <w:tcPr>
            <w:tcW w:w="900" w:type="dxa"/>
          </w:tcPr>
          <w:p w:rsidR="00DE314D" w:rsidRPr="00AC781E" w:rsidRDefault="00DE314D">
            <w:pPr>
              <w:ind w:right="-29"/>
              <w:jc w:val="center"/>
              <w:rPr>
                <w:noProof/>
                <w:sz w:val="18"/>
                <w:szCs w:val="18"/>
              </w:rPr>
            </w:pPr>
          </w:p>
        </w:tc>
      </w:tr>
      <w:tr w:rsidR="00AC781E" w:rsidRPr="00AC781E" w:rsidTr="3CFC5CC3">
        <w:trPr>
          <w:jc w:val="center"/>
        </w:trPr>
        <w:tc>
          <w:tcPr>
            <w:tcW w:w="2844" w:type="dxa"/>
            <w:gridSpan w:val="3"/>
            <w:tcBorders>
              <w:bottom w:val="single" w:sz="12" w:space="0" w:color="auto"/>
            </w:tcBorders>
            <w:vAlign w:val="center"/>
          </w:tcPr>
          <w:p w:rsidR="00DE314D" w:rsidRPr="00AC781E" w:rsidRDefault="00DE314D">
            <w:pPr>
              <w:jc w:val="center"/>
              <w:rPr>
                <w:noProof/>
                <w:sz w:val="18"/>
                <w:szCs w:val="18"/>
                <w:lang w:val="en-IE"/>
              </w:rPr>
            </w:pPr>
            <w:r w:rsidRPr="00AC781E">
              <w:rPr>
                <w:noProof/>
                <w:sz w:val="18"/>
                <w:lang w:val="en-IE"/>
              </w:rPr>
              <w:t>Subtotal for specific objective No 2</w:t>
            </w:r>
          </w:p>
        </w:tc>
        <w:tc>
          <w:tcPr>
            <w:tcW w:w="504"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54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951" w:type="dxa"/>
            <w:gridSpan w:val="2"/>
            <w:tcBorders>
              <w:bottom w:val="single" w:sz="12" w:space="0" w:color="auto"/>
            </w:tcBorders>
          </w:tcPr>
          <w:p w:rsidR="00DE314D" w:rsidRPr="00AC781E" w:rsidRDefault="00DE314D">
            <w:pPr>
              <w:ind w:right="-29"/>
              <w:jc w:val="center"/>
              <w:rPr>
                <w:noProof/>
                <w:sz w:val="18"/>
                <w:szCs w:val="18"/>
                <w:lang w:val="en-IE"/>
              </w:rPr>
            </w:pPr>
          </w:p>
        </w:tc>
        <w:tc>
          <w:tcPr>
            <w:tcW w:w="669" w:type="dxa"/>
            <w:tcBorders>
              <w:bottom w:val="single" w:sz="12" w:space="0" w:color="auto"/>
            </w:tcBorders>
          </w:tcPr>
          <w:p w:rsidR="00DE314D" w:rsidRPr="00AC781E" w:rsidRDefault="00DE314D">
            <w:pPr>
              <w:ind w:right="-29"/>
              <w:jc w:val="center"/>
              <w:rPr>
                <w:noProof/>
                <w:sz w:val="18"/>
                <w:szCs w:val="18"/>
                <w:lang w:val="en-IE"/>
              </w:rPr>
            </w:pPr>
          </w:p>
        </w:tc>
        <w:tc>
          <w:tcPr>
            <w:tcW w:w="540" w:type="dxa"/>
            <w:tcBorders>
              <w:bottom w:val="single" w:sz="12" w:space="0" w:color="auto"/>
            </w:tcBorders>
          </w:tcPr>
          <w:p w:rsidR="00DE314D" w:rsidRPr="00AC781E" w:rsidRDefault="00DE314D">
            <w:pPr>
              <w:ind w:right="-29"/>
              <w:jc w:val="center"/>
              <w:rPr>
                <w:noProof/>
                <w:sz w:val="18"/>
                <w:szCs w:val="18"/>
                <w:lang w:val="en-IE"/>
              </w:rPr>
            </w:pPr>
          </w:p>
        </w:tc>
        <w:tc>
          <w:tcPr>
            <w:tcW w:w="648" w:type="dxa"/>
            <w:tcBorders>
              <w:bottom w:val="single" w:sz="12" w:space="0" w:color="auto"/>
            </w:tcBorders>
          </w:tcPr>
          <w:p w:rsidR="00DE314D" w:rsidRPr="00AC781E" w:rsidRDefault="00DE314D">
            <w:pPr>
              <w:ind w:right="-29"/>
              <w:jc w:val="center"/>
              <w:rPr>
                <w:noProof/>
                <w:sz w:val="18"/>
                <w:szCs w:val="18"/>
                <w:lang w:val="en-IE"/>
              </w:rPr>
            </w:pPr>
          </w:p>
        </w:tc>
        <w:tc>
          <w:tcPr>
            <w:tcW w:w="432"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54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720" w:type="dxa"/>
            <w:tcBorders>
              <w:bottom w:val="single" w:sz="12" w:space="0" w:color="auto"/>
            </w:tcBorders>
          </w:tcPr>
          <w:p w:rsidR="00DE314D" w:rsidRPr="00AC781E" w:rsidRDefault="00DE314D">
            <w:pPr>
              <w:ind w:right="-29"/>
              <w:jc w:val="center"/>
              <w:rPr>
                <w:noProof/>
                <w:sz w:val="18"/>
                <w:szCs w:val="18"/>
                <w:lang w:val="en-IE"/>
              </w:rPr>
            </w:pPr>
          </w:p>
        </w:tc>
        <w:tc>
          <w:tcPr>
            <w:tcW w:w="900" w:type="dxa"/>
            <w:tcBorders>
              <w:bottom w:val="single" w:sz="12" w:space="0" w:color="auto"/>
            </w:tcBorders>
          </w:tcPr>
          <w:p w:rsidR="00DE314D" w:rsidRPr="00AC781E" w:rsidRDefault="00DE314D">
            <w:pPr>
              <w:ind w:right="-29"/>
              <w:jc w:val="center"/>
              <w:rPr>
                <w:noProof/>
                <w:sz w:val="18"/>
                <w:szCs w:val="18"/>
                <w:lang w:val="en-IE"/>
              </w:rPr>
            </w:pPr>
          </w:p>
        </w:tc>
      </w:tr>
      <w:tr w:rsidR="00AC781E" w:rsidRPr="00AC781E" w:rsidTr="3CFC5CC3">
        <w:trPr>
          <w:jc w:val="center"/>
        </w:trPr>
        <w:tc>
          <w:tcPr>
            <w:tcW w:w="2844" w:type="dxa"/>
            <w:gridSpan w:val="3"/>
            <w:tcBorders>
              <w:top w:val="single" w:sz="12" w:space="0" w:color="auto"/>
              <w:left w:val="single" w:sz="12" w:space="0" w:color="auto"/>
              <w:bottom w:val="single" w:sz="12" w:space="0" w:color="auto"/>
            </w:tcBorders>
            <w:vAlign w:val="center"/>
          </w:tcPr>
          <w:p w:rsidR="00DE314D" w:rsidRPr="00AC781E" w:rsidRDefault="00DE314D">
            <w:pPr>
              <w:ind w:right="-29"/>
              <w:jc w:val="center"/>
              <w:rPr>
                <w:noProof/>
                <w:sz w:val="18"/>
                <w:szCs w:val="18"/>
              </w:rPr>
            </w:pPr>
            <w:r w:rsidRPr="00AC781E">
              <w:rPr>
                <w:b/>
                <w:noProof/>
                <w:sz w:val="18"/>
              </w:rPr>
              <w:t>TOTALS</w:t>
            </w:r>
          </w:p>
        </w:tc>
        <w:tc>
          <w:tcPr>
            <w:tcW w:w="504"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90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648"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432"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54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720" w:type="dxa"/>
            <w:tcBorders>
              <w:top w:val="single" w:sz="12" w:space="0" w:color="auto"/>
              <w:bottom w:val="single" w:sz="12" w:space="0" w:color="auto"/>
            </w:tcBorders>
          </w:tcPr>
          <w:p w:rsidR="00DE314D" w:rsidRPr="00AC781E" w:rsidRDefault="00DE314D">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DE314D" w:rsidRPr="00AC781E" w:rsidRDefault="00DE314D">
            <w:pPr>
              <w:spacing w:before="180" w:after="180"/>
              <w:ind w:right="-29"/>
              <w:jc w:val="center"/>
              <w:rPr>
                <w:noProof/>
                <w:sz w:val="18"/>
                <w:szCs w:val="18"/>
              </w:rPr>
            </w:pPr>
          </w:p>
        </w:tc>
      </w:tr>
    </w:tbl>
    <w:p w:rsidR="00DE314D" w:rsidRPr="00AC781E" w:rsidRDefault="00DE314D">
      <w:pPr>
        <w:rPr>
          <w:noProof/>
        </w:rPr>
        <w:sectPr w:rsidR="00DE314D" w:rsidRPr="00AC781E" w:rsidSect="00185F1C">
          <w:headerReference w:type="default" r:id="rId19"/>
          <w:footerReference w:type="default" r:id="rId20"/>
          <w:pgSz w:w="16840" w:h="11907" w:orient="landscape" w:code="9"/>
          <w:pgMar w:top="1134" w:right="1418" w:bottom="567" w:left="1418" w:header="709" w:footer="709" w:gutter="0"/>
          <w:cols w:space="708"/>
          <w:docGrid w:linePitch="360"/>
        </w:sectPr>
      </w:pPr>
    </w:p>
    <w:p w:rsidR="00DE314D" w:rsidRPr="00AC781E" w:rsidRDefault="00DE314D">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AC781E">
        <w:rPr>
          <w:noProof/>
        </w:rPr>
        <w:t>3.2.3.</w:t>
      </w:r>
      <w:r w:rsidRPr="00AC781E">
        <w:rPr>
          <w:noProof/>
        </w:rPr>
        <w:tab/>
        <w:t>Summary of estimated impact on administrative appropriations</w:t>
      </w:r>
      <w:bookmarkEnd w:id="156"/>
      <w:bookmarkEnd w:id="157"/>
      <w:bookmarkEnd w:id="158"/>
      <w:bookmarkEnd w:id="159"/>
      <w:bookmarkEnd w:id="160"/>
      <w:r w:rsidRPr="00AC781E">
        <w:rPr>
          <w:noProof/>
        </w:rPr>
        <w:t xml:space="preserve"> </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 xml:space="preserve">The proposal/initiative does not require the use of appropriations of an administrative nature </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The proposal/initiative requires the use of appropriations of an administrative nature, as explained below</w:t>
      </w:r>
    </w:p>
    <w:p w:rsidR="00DE314D" w:rsidRPr="00AC781E" w:rsidRDefault="00DE314D">
      <w:pPr>
        <w:pStyle w:val="ManualHeading3"/>
        <w:rPr>
          <w:noProof/>
        </w:rPr>
      </w:pPr>
      <w:bookmarkStart w:id="161" w:name="_Toc167220291"/>
      <w:bookmarkStart w:id="162" w:name="_Toc177549024"/>
      <w:r w:rsidRPr="00AC781E">
        <w:rPr>
          <w:noProof/>
        </w:rPr>
        <w:t xml:space="preserve">3.2.3.1. Appropriations </w:t>
      </w:r>
      <w:r w:rsidRPr="00AC781E">
        <w:rPr>
          <w:rFonts w:eastAsia="Calibri"/>
          <w:noProof/>
        </w:rPr>
        <w:t>from</w:t>
      </w:r>
      <w:r w:rsidRPr="00AC781E">
        <w:rPr>
          <w:noProof/>
        </w:rPr>
        <w:t xml:space="preserve"> voted budget</w:t>
      </w:r>
      <w:bookmarkEnd w:id="161"/>
      <w:bookmarkEnd w:id="162"/>
    </w:p>
    <w:tbl>
      <w:tblPr>
        <w:tblW w:w="5000" w:type="pct"/>
        <w:tblLook w:val="04A0" w:firstRow="1" w:lastRow="0" w:firstColumn="1" w:lastColumn="0" w:noHBand="0" w:noVBand="1"/>
      </w:tblPr>
      <w:tblGrid>
        <w:gridCol w:w="4027"/>
        <w:gridCol w:w="1027"/>
        <w:gridCol w:w="1027"/>
        <w:gridCol w:w="1027"/>
        <w:gridCol w:w="1027"/>
        <w:gridCol w:w="1154"/>
      </w:tblGrid>
      <w:tr w:rsidR="00AC781E" w:rsidRPr="00AC781E" w:rsidTr="006C58F6">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TOTAL 2021 - 2027</w:t>
            </w:r>
          </w:p>
        </w:tc>
      </w:tr>
      <w:tr w:rsidR="00AC781E" w:rsidRPr="00AC781E" w:rsidTr="006C58F6">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18"/>
                <w:szCs w:val="18"/>
                <w:lang w:val="en-IE" w:eastAsia="en-IE"/>
              </w:rPr>
            </w:pP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18"/>
                <w:szCs w:val="18"/>
                <w:lang w:val="en-IE" w:eastAsia="en-IE"/>
              </w:rPr>
            </w:pP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AC781E" w:rsidRDefault="00DE314D">
            <w:pPr>
              <w:spacing w:before="0" w:after="0"/>
              <w:jc w:val="left"/>
              <w:rPr>
                <w:b/>
                <w:bCs/>
                <w:noProof/>
                <w:sz w:val="16"/>
                <w:szCs w:val="16"/>
                <w:lang w:val="en-IE" w:eastAsia="en-IE"/>
              </w:rPr>
            </w:pPr>
            <w:r w:rsidRPr="00AC781E">
              <w:rPr>
                <w:b/>
                <w:bCs/>
                <w:noProof/>
                <w:sz w:val="16"/>
                <w:szCs w:val="16"/>
                <w:lang w:val="en-IE" w:eastAsia="en-IE"/>
              </w:rPr>
              <w:t>HEADING 7</w:t>
            </w:r>
          </w:p>
        </w:tc>
      </w:tr>
      <w:tr w:rsidR="00AC781E" w:rsidRPr="00AC781E"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AC781E" w:rsidRDefault="00DE314D">
            <w:pPr>
              <w:spacing w:before="0" w:after="0"/>
              <w:jc w:val="left"/>
              <w:rPr>
                <w:b/>
                <w:bCs/>
                <w:noProof/>
                <w:sz w:val="16"/>
                <w:szCs w:val="16"/>
                <w:lang w:val="en-IE" w:eastAsia="en-IE"/>
              </w:rPr>
            </w:pPr>
            <w:r w:rsidRPr="00AC781E">
              <w:rPr>
                <w:b/>
                <w:bCs/>
                <w:noProof/>
                <w:sz w:val="16"/>
                <w:szCs w:val="16"/>
                <w:lang w:val="en-IE" w:eastAsia="en-IE"/>
              </w:rPr>
              <w:t>Outside HEADING 7</w:t>
            </w:r>
          </w:p>
        </w:tc>
      </w:tr>
      <w:tr w:rsidR="00AC781E" w:rsidRPr="00AC781E"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E314D" w:rsidRPr="00695895" w:rsidRDefault="00DE314D">
            <w:pPr>
              <w:spacing w:before="0" w:after="0"/>
              <w:jc w:val="center"/>
              <w:rPr>
                <w:noProof/>
                <w:sz w:val="16"/>
                <w:szCs w:val="16"/>
                <w:lang w:val="en-IE" w:eastAsia="en-IE"/>
              </w:rPr>
            </w:pPr>
          </w:p>
        </w:tc>
      </w:tr>
      <w:tr w:rsidR="00AC781E" w:rsidRPr="00AC781E" w:rsidTr="006C58F6">
        <w:trPr>
          <w:trHeight w:val="300"/>
        </w:trPr>
        <w:tc>
          <w:tcPr>
            <w:tcW w:w="2167"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bl>
    <w:p w:rsidR="00DE314D" w:rsidRPr="00AC781E" w:rsidRDefault="00DE314D">
      <w:pPr>
        <w:pStyle w:val="ManualHeading3"/>
        <w:rPr>
          <w:noProof/>
        </w:rPr>
      </w:pPr>
      <w:bookmarkStart w:id="163" w:name="_Toc167220292"/>
      <w:bookmarkStart w:id="164" w:name="_Toc177549025"/>
      <w:r w:rsidRPr="77BC4F07">
        <w:rPr>
          <w:noProof/>
        </w:rPr>
        <w:t>3.2.3.2.</w:t>
      </w:r>
      <w:r>
        <w:rPr>
          <w:noProof/>
        </w:rPr>
        <w:tab/>
      </w:r>
      <w:r w:rsidRPr="77BC4F07">
        <w:rPr>
          <w:noProof/>
        </w:rPr>
        <w:t>Appropriations from external assigned revenues</w:t>
      </w:r>
      <w:bookmarkEnd w:id="163"/>
      <w:bookmarkEnd w:id="164"/>
    </w:p>
    <w:tbl>
      <w:tblPr>
        <w:tblW w:w="5000" w:type="pct"/>
        <w:tblLook w:val="04A0" w:firstRow="1" w:lastRow="0" w:firstColumn="1" w:lastColumn="0" w:noHBand="0" w:noVBand="1"/>
      </w:tblPr>
      <w:tblGrid>
        <w:gridCol w:w="4025"/>
        <w:gridCol w:w="1027"/>
        <w:gridCol w:w="1027"/>
        <w:gridCol w:w="1027"/>
        <w:gridCol w:w="1027"/>
        <w:gridCol w:w="1156"/>
      </w:tblGrid>
      <w:tr w:rsidR="00AC781E" w:rsidRPr="00AC781E" w:rsidTr="006C58F6">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EXTERNAL ASSIGNED REVENUES</w:t>
            </w:r>
          </w:p>
        </w:tc>
        <w:tc>
          <w:tcPr>
            <w:tcW w:w="553"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TOTAL 2021 - 2027</w:t>
            </w:r>
          </w:p>
        </w:tc>
      </w:tr>
      <w:tr w:rsidR="00AC781E" w:rsidRPr="00AC781E" w:rsidTr="006C58F6">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18"/>
                <w:szCs w:val="18"/>
                <w:lang w:val="en-IE" w:eastAsia="en-IE"/>
              </w:rPr>
            </w:pP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18"/>
                <w:szCs w:val="18"/>
                <w:lang w:val="en-IE" w:eastAsia="en-IE"/>
              </w:rPr>
            </w:pP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AC781E" w:rsidRDefault="00DE314D">
            <w:pPr>
              <w:spacing w:before="0" w:after="0"/>
              <w:jc w:val="left"/>
              <w:rPr>
                <w:b/>
                <w:bCs/>
                <w:noProof/>
                <w:sz w:val="16"/>
                <w:szCs w:val="16"/>
                <w:lang w:val="en-IE" w:eastAsia="en-IE"/>
              </w:rPr>
            </w:pPr>
            <w:r w:rsidRPr="00AC781E">
              <w:rPr>
                <w:b/>
                <w:bCs/>
                <w:noProof/>
                <w:sz w:val="16"/>
                <w:szCs w:val="16"/>
                <w:lang w:val="en-IE" w:eastAsia="en-IE"/>
              </w:rPr>
              <w:t>HEADING 7</w:t>
            </w:r>
          </w:p>
        </w:tc>
      </w:tr>
      <w:tr w:rsidR="00AC781E" w:rsidRPr="00AC781E"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AC781E" w:rsidRDefault="00DE314D">
            <w:pPr>
              <w:spacing w:before="0" w:after="0"/>
              <w:jc w:val="left"/>
              <w:rPr>
                <w:b/>
                <w:bCs/>
                <w:noProof/>
                <w:sz w:val="16"/>
                <w:szCs w:val="16"/>
                <w:lang w:val="en-IE" w:eastAsia="en-IE"/>
              </w:rPr>
            </w:pPr>
            <w:r w:rsidRPr="00AC781E">
              <w:rPr>
                <w:b/>
                <w:bCs/>
                <w:noProof/>
                <w:sz w:val="16"/>
                <w:szCs w:val="16"/>
                <w:lang w:val="en-IE" w:eastAsia="en-IE"/>
              </w:rPr>
              <w:t>Outside HEADING 7</w:t>
            </w:r>
          </w:p>
        </w:tc>
      </w:tr>
      <w:tr w:rsidR="00AC781E" w:rsidRPr="00AC781E"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2166" w:type="pc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E314D" w:rsidRPr="00695895" w:rsidRDefault="00DE314D">
            <w:pPr>
              <w:spacing w:before="0" w:after="0"/>
              <w:jc w:val="center"/>
              <w:rPr>
                <w:noProof/>
                <w:sz w:val="16"/>
                <w:szCs w:val="16"/>
                <w:lang w:val="en-IE" w:eastAsia="en-IE"/>
              </w:rPr>
            </w:pPr>
          </w:p>
        </w:tc>
      </w:tr>
      <w:tr w:rsidR="00AC781E" w:rsidRPr="00AC781E" w:rsidTr="006C58F6">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bl>
    <w:p w:rsidR="00DE314D" w:rsidRPr="00AC781E" w:rsidRDefault="00DE314D">
      <w:pPr>
        <w:pStyle w:val="ManualHeading3"/>
        <w:rPr>
          <w:noProof/>
        </w:rPr>
      </w:pPr>
      <w:bookmarkStart w:id="165" w:name="_Toc167220293"/>
      <w:bookmarkStart w:id="166" w:name="_Toc177549026"/>
      <w:r w:rsidRPr="77BC4F07">
        <w:rPr>
          <w:noProof/>
        </w:rPr>
        <w:t>3.2.3.3.</w:t>
      </w:r>
      <w:r>
        <w:rPr>
          <w:noProof/>
        </w:rPr>
        <w:tab/>
      </w:r>
      <w:r w:rsidRPr="77BC4F07">
        <w:rPr>
          <w:noProof/>
        </w:rPr>
        <w:t>Total appropriations</w:t>
      </w:r>
      <w:bookmarkEnd w:id="165"/>
      <w:bookmarkEnd w:id="166"/>
    </w:p>
    <w:tbl>
      <w:tblPr>
        <w:tblW w:w="8680" w:type="dxa"/>
        <w:tblLook w:val="04A0" w:firstRow="1" w:lastRow="0" w:firstColumn="1" w:lastColumn="0" w:noHBand="0" w:noVBand="1"/>
      </w:tblPr>
      <w:tblGrid>
        <w:gridCol w:w="3760"/>
        <w:gridCol w:w="960"/>
        <w:gridCol w:w="960"/>
        <w:gridCol w:w="960"/>
        <w:gridCol w:w="960"/>
        <w:gridCol w:w="1080"/>
      </w:tblGrid>
      <w:tr w:rsidR="00AC781E" w:rsidRPr="00AC781E" w:rsidTr="006C58F6">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TOTAL</w:t>
            </w:r>
            <w:r w:rsidRPr="00695895">
              <w:rPr>
                <w:b/>
                <w:bCs/>
                <w:noProof/>
                <w:sz w:val="18"/>
                <w:szCs w:val="18"/>
                <w:lang w:val="en-IE" w:eastAsia="en-IE"/>
              </w:rPr>
              <w:br/>
              <w:t>VOTED APPROPRIATIONS + EXTERNAL ASSIGNED REVENUES</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18"/>
                <w:szCs w:val="18"/>
                <w:lang w:val="en-IE" w:eastAsia="en-IE"/>
              </w:rPr>
            </w:pPr>
            <w:r w:rsidRPr="00695895">
              <w:rPr>
                <w:noProof/>
                <w:sz w:val="18"/>
                <w:szCs w:val="18"/>
                <w:lang w:val="en-IE"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TOTAL 2021 - 2027</w:t>
            </w:r>
          </w:p>
        </w:tc>
      </w:tr>
      <w:tr w:rsidR="00AC781E" w:rsidRPr="00AC781E" w:rsidTr="006C58F6">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18"/>
                <w:szCs w:val="18"/>
                <w:lang w:val="en-IE" w:eastAsia="en-IE"/>
              </w:rPr>
            </w:pP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2024</w:t>
            </w: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2025</w:t>
            </w: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2026</w:t>
            </w: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b/>
                <w:bCs/>
                <w:noProof/>
                <w:sz w:val="18"/>
                <w:szCs w:val="18"/>
                <w:lang w:val="en-IE" w:eastAsia="en-IE"/>
              </w:rPr>
            </w:pPr>
          </w:p>
        </w:tc>
      </w:tr>
      <w:tr w:rsidR="00AC781E" w:rsidRPr="00AC781E"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DE314D" w:rsidRPr="00AC781E" w:rsidRDefault="00DE314D">
            <w:pPr>
              <w:spacing w:before="0" w:after="0"/>
              <w:jc w:val="left"/>
              <w:rPr>
                <w:b/>
                <w:bCs/>
                <w:noProof/>
                <w:sz w:val="16"/>
                <w:szCs w:val="16"/>
                <w:lang w:val="en-IE" w:eastAsia="en-IE"/>
              </w:rPr>
            </w:pPr>
            <w:r w:rsidRPr="00AC781E">
              <w:rPr>
                <w:b/>
                <w:bCs/>
                <w:noProof/>
                <w:sz w:val="16"/>
                <w:szCs w:val="16"/>
                <w:lang w:val="en-IE" w:eastAsia="en-IE"/>
              </w:rPr>
              <w:t>HEADING 7</w:t>
            </w:r>
          </w:p>
        </w:tc>
      </w:tr>
      <w:tr w:rsidR="00AC781E" w:rsidRPr="00AC781E"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DE314D" w:rsidRPr="00AC781E" w:rsidRDefault="00DE314D">
            <w:pPr>
              <w:spacing w:before="0" w:after="0"/>
              <w:jc w:val="left"/>
              <w:rPr>
                <w:b/>
                <w:bCs/>
                <w:noProof/>
                <w:sz w:val="16"/>
                <w:szCs w:val="16"/>
                <w:lang w:val="en-IE" w:eastAsia="en-IE"/>
              </w:rPr>
            </w:pPr>
            <w:r w:rsidRPr="00AC781E">
              <w:rPr>
                <w:b/>
                <w:bCs/>
                <w:noProof/>
                <w:sz w:val="16"/>
                <w:szCs w:val="16"/>
                <w:lang w:val="en-IE" w:eastAsia="en-IE"/>
              </w:rPr>
              <w:t>Outside HEADING 7</w:t>
            </w:r>
          </w:p>
        </w:tc>
      </w:tr>
      <w:tr w:rsidR="00AC781E" w:rsidRPr="00AC781E"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3760" w:type="dxa"/>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r w:rsidRPr="00695895">
              <w:rPr>
                <w:noProof/>
                <w:sz w:val="16"/>
                <w:szCs w:val="16"/>
                <w:lang w:val="en-IE" w:eastAsia="en-IE"/>
              </w:rPr>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noProof/>
                <w:sz w:val="16"/>
                <w:szCs w:val="16"/>
                <w:lang w:val="en-IE" w:eastAsia="en-IE"/>
              </w:rPr>
            </w:pPr>
            <w:r w:rsidRPr="00695895">
              <w:rPr>
                <w:noProof/>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r w:rsidR="00AC781E" w:rsidRPr="00AC781E" w:rsidTr="006C58F6">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rsidR="00DE314D" w:rsidRPr="00695895" w:rsidRDefault="00DE314D">
            <w:pPr>
              <w:spacing w:before="0" w:after="0"/>
              <w:jc w:val="center"/>
              <w:rPr>
                <w:noProof/>
                <w:sz w:val="16"/>
                <w:szCs w:val="16"/>
                <w:lang w:val="en-IE" w:eastAsia="en-IE"/>
              </w:rPr>
            </w:pPr>
          </w:p>
        </w:tc>
      </w:tr>
      <w:tr w:rsidR="00AC781E" w:rsidRPr="00AC781E" w:rsidTr="006C58F6">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DE314D" w:rsidRPr="00695895" w:rsidRDefault="00DE314D">
            <w:pPr>
              <w:spacing w:before="0" w:after="0"/>
              <w:jc w:val="right"/>
              <w:rPr>
                <w:b/>
                <w:bCs/>
                <w:noProof/>
                <w:sz w:val="16"/>
                <w:szCs w:val="16"/>
                <w:lang w:val="en-IE" w:eastAsia="en-IE"/>
              </w:rPr>
            </w:pPr>
            <w:r w:rsidRPr="00695895">
              <w:rPr>
                <w:b/>
                <w:bCs/>
                <w:noProof/>
                <w:sz w:val="16"/>
                <w:szCs w:val="16"/>
                <w:lang w:val="en-IE" w:eastAsia="en-IE"/>
              </w:rPr>
              <w:t>0.000</w:t>
            </w:r>
          </w:p>
        </w:tc>
      </w:tr>
    </w:tbl>
    <w:p w:rsidR="00DE314D" w:rsidRPr="00AC781E" w:rsidRDefault="00DE314D">
      <w:pPr>
        <w:rPr>
          <w:noProof/>
          <w:sz w:val="22"/>
          <w:szCs w:val="28"/>
          <w:lang w:val="en-IE"/>
        </w:rPr>
      </w:pPr>
      <w:r w:rsidRPr="00AC781E">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rsidR="00DE314D" w:rsidRPr="00AC781E" w:rsidRDefault="00DE314D">
      <w:pPr>
        <w:pStyle w:val="ManualHeading3"/>
        <w:rPr>
          <w:bCs/>
          <w:noProof/>
          <w:szCs w:val="24"/>
        </w:rPr>
      </w:pPr>
      <w:bookmarkStart w:id="167" w:name="_Toc167220294"/>
      <w:bookmarkStart w:id="168" w:name="_Toc177549027"/>
      <w:r w:rsidRPr="00AC781E">
        <w:rPr>
          <w:noProof/>
        </w:rPr>
        <w:t>3.2.4.</w:t>
      </w:r>
      <w:r w:rsidRPr="00AC781E">
        <w:rPr>
          <w:noProof/>
        </w:rPr>
        <w:tab/>
        <w:t>Estimated requirements of human resources</w:t>
      </w:r>
      <w:bookmarkEnd w:id="167"/>
      <w:bookmarkEnd w:id="168"/>
      <w:r w:rsidRPr="00AC781E">
        <w:rPr>
          <w:noProof/>
        </w:rPr>
        <w:t xml:space="preserve"> </w:t>
      </w:r>
    </w:p>
    <w:p w:rsidR="00DE314D" w:rsidRPr="00AC781E" w:rsidRDefault="007E0AF1">
      <w:pPr>
        <w:pStyle w:val="ListDash1"/>
        <w:rPr>
          <w:noProof/>
        </w:rPr>
      </w:pPr>
      <w:r>
        <w:rPr>
          <w:rFonts w:ascii="Wingdings" w:eastAsia="Wingdings" w:hAnsi="Wingdings" w:cs="Wingdings"/>
          <w:noProof/>
        </w:rPr>
        <w:t></w:t>
      </w:r>
      <w:r w:rsidR="00DE314D" w:rsidRPr="00AC781E">
        <w:rPr>
          <w:noProof/>
        </w:rPr>
        <w:tab/>
        <w:t xml:space="preserve">The proposal/initiative does not require the use of human resources </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The proposal/initiative requires the use of human resources, as explained below</w:t>
      </w:r>
    </w:p>
    <w:p w:rsidR="00DE314D" w:rsidRPr="00AC781E" w:rsidRDefault="00DE314D">
      <w:pPr>
        <w:pStyle w:val="ManualHeading3"/>
        <w:rPr>
          <w:noProof/>
        </w:rPr>
      </w:pPr>
      <w:bookmarkStart w:id="169" w:name="_Toc167220295"/>
      <w:bookmarkStart w:id="170" w:name="_Toc177549028"/>
      <w:r w:rsidRPr="77BC4F07">
        <w:rPr>
          <w:noProof/>
        </w:rPr>
        <w:t>3.2.4.1.</w:t>
      </w:r>
      <w:r>
        <w:rPr>
          <w:noProof/>
        </w:rPr>
        <w:tab/>
      </w:r>
      <w:r w:rsidRPr="77BC4F07">
        <w:rPr>
          <w:noProof/>
        </w:rPr>
        <w:t>Financed from voted budget</w:t>
      </w:r>
      <w:bookmarkEnd w:id="169"/>
      <w:bookmarkEnd w:id="170"/>
    </w:p>
    <w:p w:rsidR="00DE314D" w:rsidRPr="00AC781E" w:rsidRDefault="00DE314D">
      <w:pPr>
        <w:spacing w:after="60"/>
        <w:jc w:val="right"/>
        <w:rPr>
          <w:i/>
          <w:noProof/>
          <w:sz w:val="20"/>
          <w:lang w:val="en-IE"/>
        </w:rPr>
      </w:pPr>
      <w:r w:rsidRPr="00AC781E">
        <w:rPr>
          <w:i/>
          <w:noProof/>
          <w:sz w:val="20"/>
          <w:lang w:val="en-IE"/>
        </w:rPr>
        <w:t>Estimate to be expressed in full-time equivalent units (FTEs)</w:t>
      </w:r>
    </w:p>
    <w:tbl>
      <w:tblPr>
        <w:tblW w:w="5000" w:type="pct"/>
        <w:tblLook w:val="04A0" w:firstRow="1" w:lastRow="0" w:firstColumn="1" w:lastColumn="0" w:noHBand="0" w:noVBand="1"/>
      </w:tblPr>
      <w:tblGrid>
        <w:gridCol w:w="1513"/>
        <w:gridCol w:w="3898"/>
        <w:gridCol w:w="970"/>
        <w:gridCol w:w="970"/>
        <w:gridCol w:w="970"/>
        <w:gridCol w:w="968"/>
      </w:tblGrid>
      <w:tr w:rsidR="00AC781E" w:rsidRPr="00AC781E" w:rsidTr="006C58F6">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695895" w:rsidRDefault="00DE314D">
            <w:pPr>
              <w:spacing w:before="0" w:after="0"/>
              <w:jc w:val="center"/>
              <w:rPr>
                <w:b/>
                <w:bCs/>
                <w:noProof/>
                <w:sz w:val="18"/>
                <w:szCs w:val="18"/>
                <w:lang w:val="en-IE" w:eastAsia="en-IE"/>
              </w:rPr>
            </w:pPr>
            <w:bookmarkStart w:id="171" w:name="_Hlk156979231"/>
            <w:r w:rsidRPr="00695895">
              <w:rPr>
                <w:b/>
                <w:bCs/>
                <w:noProof/>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r>
      <w:tr w:rsidR="00AC781E" w:rsidRPr="00AC781E" w:rsidTr="006C58F6">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E314D" w:rsidRPr="00695895" w:rsidRDefault="00DE314D">
            <w:pPr>
              <w:spacing w:before="0" w:after="0"/>
              <w:jc w:val="left"/>
              <w:rPr>
                <w:b/>
                <w:bCs/>
                <w:noProof/>
                <w:sz w:val="18"/>
                <w:szCs w:val="18"/>
                <w:lang w:val="en-IE" w:eastAsia="en-IE"/>
              </w:rPr>
            </w:pP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95895" w:rsidRDefault="00DE314D">
            <w:pPr>
              <w:spacing w:before="0" w:after="0"/>
              <w:jc w:val="left"/>
              <w:rPr>
                <w:rFonts w:ascii="Wingdings" w:hAnsi="Wingdings" w:cs="Calibri"/>
                <w:b/>
                <w:bCs/>
                <w:noProof/>
                <w:sz w:val="16"/>
                <w:szCs w:val="16"/>
                <w:lang w:val="en-IE" w:eastAsia="en-IE"/>
              </w:rPr>
            </w:pPr>
            <w:r w:rsidRPr="00695895">
              <w:rPr>
                <w:rFonts w:ascii="Wingdings" w:hAnsi="Wingdings" w:cs="Calibri"/>
                <w:b/>
                <w:bCs/>
                <w:noProof/>
                <w:sz w:val="16"/>
                <w:szCs w:val="16"/>
                <w:lang w:val="en-IE" w:eastAsia="en-IE"/>
              </w:rPr>
              <w:t></w:t>
            </w:r>
            <w:r w:rsidRPr="00695895">
              <w:rPr>
                <w:b/>
                <w:bCs/>
                <w:noProof/>
                <w:sz w:val="16"/>
                <w:szCs w:val="16"/>
                <w:lang w:val="en-IE" w:eastAsia="en-IE"/>
              </w:rPr>
              <w:t xml:space="preserve"> Establishment plan posts (officials and temporary staff)</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20 01 02 01</w:t>
            </w:r>
            <w:r w:rsidRPr="00695895">
              <w:rPr>
                <w:rFonts w:ascii="Arial Narrow" w:hAnsi="Arial Narrow"/>
                <w:noProof/>
                <w:sz w:val="20"/>
                <w:szCs w:val="20"/>
                <w:lang w:val="en-IE" w:eastAsia="en-IE"/>
              </w:rPr>
              <w:t xml:space="preserve"> </w:t>
            </w:r>
            <w:r w:rsidRPr="00695895">
              <w:rPr>
                <w:noProof/>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01 01 01 01</w:t>
            </w:r>
            <w:r w:rsidRPr="00695895">
              <w:rPr>
                <w:rFonts w:ascii="Arial Narrow" w:hAnsi="Arial Narrow"/>
                <w:noProof/>
                <w:sz w:val="20"/>
                <w:szCs w:val="20"/>
                <w:lang w:val="en-IE" w:eastAsia="en-IE"/>
              </w:rPr>
              <w:t xml:space="preserve"> </w:t>
            </w:r>
            <w:r w:rsidRPr="00695895">
              <w:rPr>
                <w:noProof/>
                <w:sz w:val="16"/>
                <w:szCs w:val="16"/>
                <w:lang w:val="en-IE"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95895" w:rsidRDefault="00DE314D">
            <w:pPr>
              <w:spacing w:before="0" w:after="0"/>
              <w:jc w:val="left"/>
              <w:rPr>
                <w:rFonts w:ascii="Wingdings" w:hAnsi="Wingdings" w:cs="Calibri"/>
                <w:b/>
                <w:bCs/>
                <w:noProof/>
                <w:sz w:val="16"/>
                <w:szCs w:val="16"/>
                <w:lang w:val="en-IE" w:eastAsia="en-IE"/>
              </w:rPr>
            </w:pPr>
            <w:r w:rsidRPr="00695895">
              <w:rPr>
                <w:rFonts w:ascii="Calibri" w:hAnsi="Calibri" w:cs="Calibri"/>
                <w:b/>
                <w:bCs/>
                <w:noProof/>
                <w:sz w:val="16"/>
                <w:szCs w:val="16"/>
                <w:lang w:val="en-IE" w:eastAsia="en-IE"/>
              </w:rPr>
              <w:t>•</w:t>
            </w:r>
            <w:r w:rsidRPr="00695895">
              <w:rPr>
                <w:b/>
                <w:bCs/>
                <w:noProof/>
                <w:sz w:val="16"/>
                <w:szCs w:val="16"/>
                <w:lang w:val="en-IE" w:eastAsia="en-IE"/>
              </w:rPr>
              <w:t xml:space="preserve"> External staff (inFTEs)</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20 02 01</w:t>
            </w:r>
            <w:r w:rsidRPr="00695895">
              <w:rPr>
                <w:rFonts w:ascii="Arial Narrow" w:hAnsi="Arial Narrow"/>
                <w:noProof/>
                <w:sz w:val="20"/>
                <w:szCs w:val="20"/>
                <w:lang w:val="en-IE" w:eastAsia="en-IE"/>
              </w:rPr>
              <w:t xml:space="preserve"> </w:t>
            </w:r>
            <w:r w:rsidRPr="00695895">
              <w:rPr>
                <w:noProof/>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Admin. Support line</w:t>
            </w:r>
            <w:r w:rsidRPr="00695895">
              <w:rPr>
                <w:noProof/>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815"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p>
        </w:tc>
        <w:tc>
          <w:tcPr>
            <w:tcW w:w="2098" w:type="pct"/>
            <w:tcBorders>
              <w:top w:val="nil"/>
              <w:left w:val="nil"/>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01 01 01 02</w:t>
            </w:r>
            <w:r w:rsidRPr="00695895">
              <w:rPr>
                <w:rFonts w:ascii="Arial Narrow" w:hAnsi="Arial Narrow"/>
                <w:noProof/>
                <w:sz w:val="20"/>
                <w:szCs w:val="20"/>
                <w:lang w:val="en-IE" w:eastAsia="en-IE"/>
              </w:rPr>
              <w:t xml:space="preserve"> </w:t>
            </w:r>
            <w:r w:rsidRPr="00695895">
              <w:rPr>
                <w:noProof/>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b/>
                <w:bCs/>
                <w:noProof/>
                <w:sz w:val="16"/>
                <w:szCs w:val="16"/>
                <w:lang w:val="en-IE" w:eastAsia="en-IE"/>
              </w:rPr>
            </w:pPr>
            <w:r w:rsidRPr="00695895">
              <w:rPr>
                <w:b/>
                <w:bCs/>
                <w:noProof/>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r>
    </w:tbl>
    <w:p w:rsidR="00DE314D" w:rsidRPr="00AC781E" w:rsidRDefault="00DE314D">
      <w:pPr>
        <w:pStyle w:val="ManualHeading3"/>
        <w:rPr>
          <w:noProof/>
        </w:rPr>
      </w:pPr>
      <w:bookmarkStart w:id="172" w:name="_Toc167220296"/>
      <w:bookmarkStart w:id="173" w:name="_Toc177549029"/>
      <w:r w:rsidRPr="77BC4F07">
        <w:rPr>
          <w:noProof/>
        </w:rPr>
        <w:t>3.2.4.2.</w:t>
      </w:r>
      <w:r>
        <w:rPr>
          <w:noProof/>
        </w:rPr>
        <w:tab/>
      </w:r>
      <w:r w:rsidRPr="77BC4F07">
        <w:rPr>
          <w:noProof/>
        </w:rPr>
        <w:t>Financed from external assigned revenues</w:t>
      </w:r>
      <w:bookmarkEnd w:id="172"/>
      <w:bookmarkEnd w:id="173"/>
    </w:p>
    <w:tbl>
      <w:tblPr>
        <w:tblW w:w="5000" w:type="pct"/>
        <w:tblLook w:val="04A0" w:firstRow="1" w:lastRow="0" w:firstColumn="1" w:lastColumn="0" w:noHBand="0" w:noVBand="1"/>
      </w:tblPr>
      <w:tblGrid>
        <w:gridCol w:w="1513"/>
        <w:gridCol w:w="3898"/>
        <w:gridCol w:w="970"/>
        <w:gridCol w:w="970"/>
        <w:gridCol w:w="970"/>
        <w:gridCol w:w="968"/>
      </w:tblGrid>
      <w:tr w:rsidR="00AC781E" w:rsidRPr="00AC781E" w:rsidTr="006C58F6">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EXTERNAL ASSIGNED REVENUES</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r>
      <w:tr w:rsidR="00AC781E" w:rsidRPr="00AC781E" w:rsidTr="006C58F6">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E314D" w:rsidRPr="00695895" w:rsidRDefault="00DE314D">
            <w:pPr>
              <w:spacing w:before="0" w:after="0"/>
              <w:jc w:val="left"/>
              <w:rPr>
                <w:b/>
                <w:bCs/>
                <w:noProof/>
                <w:sz w:val="18"/>
                <w:szCs w:val="18"/>
                <w:lang w:val="en-IE" w:eastAsia="en-IE"/>
              </w:rPr>
            </w:pP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95895" w:rsidRDefault="00DE314D">
            <w:pPr>
              <w:spacing w:before="0" w:after="0"/>
              <w:jc w:val="left"/>
              <w:rPr>
                <w:rFonts w:ascii="Wingdings" w:hAnsi="Wingdings" w:cs="Calibri"/>
                <w:b/>
                <w:bCs/>
                <w:noProof/>
                <w:sz w:val="16"/>
                <w:szCs w:val="16"/>
                <w:lang w:val="en-IE" w:eastAsia="en-IE"/>
              </w:rPr>
            </w:pPr>
            <w:r w:rsidRPr="00695895">
              <w:rPr>
                <w:rFonts w:ascii="Wingdings" w:hAnsi="Wingdings" w:cs="Calibri"/>
                <w:b/>
                <w:bCs/>
                <w:noProof/>
                <w:sz w:val="16"/>
                <w:szCs w:val="16"/>
                <w:lang w:val="en-IE" w:eastAsia="en-IE"/>
              </w:rPr>
              <w:t></w:t>
            </w:r>
            <w:r w:rsidRPr="00695895">
              <w:rPr>
                <w:b/>
                <w:bCs/>
                <w:noProof/>
                <w:sz w:val="16"/>
                <w:szCs w:val="16"/>
                <w:lang w:val="en-IE" w:eastAsia="en-IE"/>
              </w:rPr>
              <w:t xml:space="preserve"> Establishment plan posts (officials and temporary staff)</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20 01 02 01</w:t>
            </w:r>
            <w:r w:rsidRPr="00695895">
              <w:rPr>
                <w:rFonts w:ascii="Arial Narrow" w:hAnsi="Arial Narrow"/>
                <w:noProof/>
                <w:sz w:val="20"/>
                <w:szCs w:val="20"/>
                <w:lang w:val="en-IE" w:eastAsia="en-IE"/>
              </w:rPr>
              <w:t xml:space="preserve"> </w:t>
            </w:r>
            <w:r w:rsidRPr="00695895">
              <w:rPr>
                <w:noProof/>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E314D" w:rsidRPr="00695895" w:rsidRDefault="00DE314D">
            <w:pPr>
              <w:spacing w:before="0" w:after="0"/>
              <w:jc w:val="left"/>
              <w:rPr>
                <w:rFonts w:ascii="Wingdings" w:hAnsi="Wingdings" w:cs="Calibri"/>
                <w:b/>
                <w:bCs/>
                <w:noProof/>
                <w:sz w:val="16"/>
                <w:szCs w:val="16"/>
                <w:lang w:val="en-IE" w:eastAsia="en-IE"/>
              </w:rPr>
            </w:pPr>
            <w:r w:rsidRPr="00695895">
              <w:rPr>
                <w:rFonts w:ascii="Calibri" w:hAnsi="Calibri" w:cs="Calibri"/>
                <w:b/>
                <w:bCs/>
                <w:noProof/>
                <w:sz w:val="16"/>
                <w:szCs w:val="16"/>
                <w:lang w:val="en-IE" w:eastAsia="en-IE"/>
              </w:rPr>
              <w:t>•</w:t>
            </w:r>
            <w:r w:rsidRPr="00695895">
              <w:rPr>
                <w:b/>
                <w:bCs/>
                <w:noProof/>
                <w:sz w:val="16"/>
                <w:szCs w:val="16"/>
                <w:lang w:val="en-IE" w:eastAsia="en-IE"/>
              </w:rPr>
              <w:t xml:space="preserve"> External staff (in full time equivalent units)</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20 02 01</w:t>
            </w:r>
            <w:r w:rsidRPr="00695895">
              <w:rPr>
                <w:rFonts w:ascii="Arial Narrow" w:hAnsi="Arial Narrow"/>
                <w:noProof/>
                <w:sz w:val="20"/>
                <w:szCs w:val="20"/>
                <w:lang w:val="en-IE" w:eastAsia="en-IE"/>
              </w:rPr>
              <w:t xml:space="preserve"> </w:t>
            </w:r>
            <w:r w:rsidRPr="00695895">
              <w:rPr>
                <w:noProof/>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 xml:space="preserve">Admin. Support line </w:t>
            </w:r>
            <w:r w:rsidRPr="00695895">
              <w:rPr>
                <w:noProof/>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815" w:type="pct"/>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p>
        </w:tc>
        <w:tc>
          <w:tcPr>
            <w:tcW w:w="2098" w:type="pct"/>
            <w:tcBorders>
              <w:top w:val="nil"/>
              <w:left w:val="nil"/>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01 01 01 02</w:t>
            </w:r>
            <w:r w:rsidRPr="00695895">
              <w:rPr>
                <w:rFonts w:ascii="Arial Narrow" w:hAnsi="Arial Narrow"/>
                <w:noProof/>
                <w:sz w:val="20"/>
                <w:szCs w:val="20"/>
                <w:lang w:val="en-IE" w:eastAsia="en-IE"/>
              </w:rPr>
              <w:t xml:space="preserve"> </w:t>
            </w:r>
            <w:r w:rsidRPr="00695895">
              <w:rPr>
                <w:noProof/>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b/>
                <w:bCs/>
                <w:noProof/>
                <w:sz w:val="16"/>
                <w:szCs w:val="16"/>
                <w:lang w:val="en-IE" w:eastAsia="en-IE"/>
              </w:rPr>
            </w:pPr>
            <w:r w:rsidRPr="00695895">
              <w:rPr>
                <w:b/>
                <w:bCs/>
                <w:noProof/>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r>
    </w:tbl>
    <w:p w:rsidR="00DE314D" w:rsidRPr="00AC781E" w:rsidRDefault="00DE314D">
      <w:pPr>
        <w:pStyle w:val="ManualHeading3"/>
        <w:rPr>
          <w:noProof/>
        </w:rPr>
      </w:pPr>
      <w:bookmarkStart w:id="174" w:name="_Toc167220297"/>
      <w:bookmarkStart w:id="175" w:name="_Toc177549030"/>
      <w:r w:rsidRPr="00AC781E">
        <w:rPr>
          <w:noProof/>
        </w:rPr>
        <w:t>3.2.4.3.</w:t>
      </w:r>
      <w:r w:rsidRPr="00AC781E">
        <w:rPr>
          <w:noProof/>
        </w:rPr>
        <w:tab/>
        <w:t>Total requirements of human resources</w:t>
      </w:r>
      <w:bookmarkEnd w:id="174"/>
      <w:bookmarkEnd w:id="175"/>
    </w:p>
    <w:tbl>
      <w:tblPr>
        <w:tblW w:w="9200" w:type="dxa"/>
        <w:tblLook w:val="04A0" w:firstRow="1" w:lastRow="0" w:firstColumn="1" w:lastColumn="0" w:noHBand="0" w:noVBand="1"/>
      </w:tblPr>
      <w:tblGrid>
        <w:gridCol w:w="1500"/>
        <w:gridCol w:w="3860"/>
        <w:gridCol w:w="960"/>
        <w:gridCol w:w="960"/>
        <w:gridCol w:w="960"/>
        <w:gridCol w:w="960"/>
      </w:tblGrid>
      <w:tr w:rsidR="00AC781E" w:rsidRPr="00AC781E" w:rsidTr="006C58F6">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rsidR="00DE314D" w:rsidRPr="00695895" w:rsidRDefault="00DE314D">
            <w:pPr>
              <w:spacing w:before="0" w:after="0"/>
              <w:jc w:val="center"/>
              <w:rPr>
                <w:b/>
                <w:bCs/>
                <w:noProof/>
                <w:sz w:val="18"/>
                <w:szCs w:val="18"/>
                <w:lang w:val="en-IE" w:eastAsia="en-IE"/>
              </w:rPr>
            </w:pPr>
            <w:r w:rsidRPr="00695895">
              <w:rPr>
                <w:b/>
                <w:bCs/>
                <w:noProof/>
                <w:sz w:val="18"/>
                <w:szCs w:val="18"/>
                <w:lang w:val="en-IE" w:eastAsia="en-IE"/>
              </w:rPr>
              <w:t>TOTAL VOTED APPROPRIATIONS + EXTERNAL ASSIGNED REVENUES</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rsidR="00DE314D" w:rsidRPr="00695895" w:rsidRDefault="00DE314D">
            <w:pPr>
              <w:spacing w:before="0" w:after="0"/>
              <w:jc w:val="center"/>
              <w:rPr>
                <w:noProof/>
                <w:sz w:val="20"/>
                <w:szCs w:val="20"/>
                <w:lang w:val="en-IE" w:eastAsia="en-IE"/>
              </w:rPr>
            </w:pPr>
            <w:r w:rsidRPr="00695895">
              <w:rPr>
                <w:noProof/>
                <w:sz w:val="20"/>
                <w:szCs w:val="20"/>
                <w:lang w:val="en-IE" w:eastAsia="en-IE"/>
              </w:rPr>
              <w:t>Year</w:t>
            </w:r>
          </w:p>
        </w:tc>
      </w:tr>
      <w:tr w:rsidR="00AC781E" w:rsidRPr="00AC781E" w:rsidTr="006C58F6">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DE314D" w:rsidRPr="00695895" w:rsidRDefault="00DE314D">
            <w:pPr>
              <w:spacing w:before="0" w:after="0"/>
              <w:jc w:val="left"/>
              <w:rPr>
                <w:b/>
                <w:bCs/>
                <w:noProof/>
                <w:sz w:val="18"/>
                <w:szCs w:val="18"/>
                <w:lang w:val="en-IE" w:eastAsia="en-IE"/>
              </w:rPr>
            </w:pP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2024</w:t>
            </w: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2025</w:t>
            </w: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2026</w:t>
            </w:r>
          </w:p>
        </w:tc>
        <w:tc>
          <w:tcPr>
            <w:tcW w:w="960" w:type="dxa"/>
            <w:tcBorders>
              <w:top w:val="nil"/>
              <w:left w:val="nil"/>
              <w:bottom w:val="single" w:sz="8" w:space="0" w:color="auto"/>
              <w:right w:val="single" w:sz="8" w:space="0" w:color="auto"/>
            </w:tcBorders>
            <w:vAlign w:val="center"/>
            <w:hideMark/>
          </w:tcPr>
          <w:p w:rsidR="00DE314D" w:rsidRPr="00695895" w:rsidRDefault="00DE314D">
            <w:pPr>
              <w:spacing w:before="0" w:after="0"/>
              <w:jc w:val="center"/>
              <w:rPr>
                <w:b/>
                <w:bCs/>
                <w:noProof/>
                <w:sz w:val="20"/>
                <w:szCs w:val="20"/>
                <w:lang w:val="en-IE" w:eastAsia="en-IE"/>
              </w:rPr>
            </w:pPr>
            <w:r w:rsidRPr="00695895">
              <w:rPr>
                <w:b/>
                <w:bCs/>
                <w:noProof/>
                <w:sz w:val="20"/>
                <w:szCs w:val="20"/>
                <w:lang w:val="en-IE" w:eastAsia="en-IE"/>
              </w:rPr>
              <w:t>2027</w:t>
            </w:r>
          </w:p>
        </w:tc>
      </w:tr>
      <w:tr w:rsidR="00AC781E" w:rsidRPr="00AC781E" w:rsidTr="006C58F6">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DE314D" w:rsidRPr="00695895" w:rsidRDefault="00DE314D">
            <w:pPr>
              <w:spacing w:before="0" w:after="0"/>
              <w:jc w:val="left"/>
              <w:rPr>
                <w:rFonts w:ascii="Wingdings" w:hAnsi="Wingdings" w:cs="Calibri"/>
                <w:b/>
                <w:bCs/>
                <w:noProof/>
                <w:sz w:val="16"/>
                <w:szCs w:val="16"/>
                <w:lang w:val="en-IE" w:eastAsia="en-IE"/>
              </w:rPr>
            </w:pPr>
            <w:r w:rsidRPr="00695895">
              <w:rPr>
                <w:rFonts w:ascii="Wingdings" w:hAnsi="Wingdings" w:cs="Calibri"/>
                <w:b/>
                <w:bCs/>
                <w:noProof/>
                <w:sz w:val="16"/>
                <w:szCs w:val="16"/>
                <w:lang w:val="en-IE" w:eastAsia="en-IE"/>
              </w:rPr>
              <w:t></w:t>
            </w:r>
            <w:r w:rsidRPr="00695895">
              <w:rPr>
                <w:b/>
                <w:bCs/>
                <w:noProof/>
                <w:sz w:val="16"/>
                <w:szCs w:val="16"/>
                <w:lang w:val="en-IE" w:eastAsia="en-IE"/>
              </w:rPr>
              <w:t xml:space="preserve"> Establishment plan posts (officials and temporary staff)</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20 01 02 01</w:t>
            </w:r>
            <w:r w:rsidRPr="00695895">
              <w:rPr>
                <w:rFonts w:ascii="Arial Narrow" w:hAnsi="Arial Narrow"/>
                <w:noProof/>
                <w:sz w:val="20"/>
                <w:szCs w:val="20"/>
                <w:lang w:val="en-IE" w:eastAsia="en-IE"/>
              </w:rPr>
              <w:t xml:space="preserve"> </w:t>
            </w:r>
            <w:r w:rsidRPr="00695895">
              <w:rPr>
                <w:noProof/>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01 01 01 01</w:t>
            </w:r>
            <w:r w:rsidRPr="00695895">
              <w:rPr>
                <w:rFonts w:ascii="Arial Narrow" w:hAnsi="Arial Narrow"/>
                <w:noProof/>
                <w:sz w:val="20"/>
                <w:szCs w:val="20"/>
                <w:lang w:val="en-IE" w:eastAsia="en-IE"/>
              </w:rPr>
              <w:t xml:space="preserve"> </w:t>
            </w:r>
            <w:r w:rsidRPr="00695895">
              <w:rPr>
                <w:noProof/>
                <w:sz w:val="16"/>
                <w:szCs w:val="16"/>
                <w:lang w:val="en-IE" w:eastAsia="en-IE"/>
              </w:rPr>
              <w:t>(Indirect research)</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DE314D" w:rsidRPr="00695895" w:rsidRDefault="00DE314D">
            <w:pPr>
              <w:spacing w:before="0" w:after="0"/>
              <w:jc w:val="left"/>
              <w:rPr>
                <w:rFonts w:ascii="Wingdings" w:hAnsi="Wingdings" w:cs="Calibri"/>
                <w:b/>
                <w:bCs/>
                <w:noProof/>
                <w:sz w:val="16"/>
                <w:szCs w:val="16"/>
                <w:lang w:val="en-IE" w:eastAsia="en-IE"/>
              </w:rPr>
            </w:pPr>
            <w:r w:rsidRPr="00695895">
              <w:rPr>
                <w:rFonts w:ascii="Calibri" w:hAnsi="Calibri" w:cs="Calibri"/>
                <w:b/>
                <w:bCs/>
                <w:noProof/>
                <w:sz w:val="16"/>
                <w:szCs w:val="16"/>
                <w:lang w:val="en-IE" w:eastAsia="en-IE"/>
              </w:rPr>
              <w:t>•</w:t>
            </w:r>
            <w:r w:rsidRPr="00695895">
              <w:rPr>
                <w:b/>
                <w:bCs/>
                <w:noProof/>
                <w:sz w:val="16"/>
                <w:szCs w:val="16"/>
                <w:lang w:val="en-IE" w:eastAsia="en-IE"/>
              </w:rPr>
              <w:t xml:space="preserve"> External staff (in full time equivalent units)</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20 02 01</w:t>
            </w:r>
            <w:r w:rsidRPr="00695895">
              <w:rPr>
                <w:rFonts w:ascii="Arial Narrow" w:hAnsi="Arial Narrow"/>
                <w:noProof/>
                <w:sz w:val="20"/>
                <w:szCs w:val="20"/>
                <w:lang w:val="en-IE" w:eastAsia="en-IE"/>
              </w:rPr>
              <w:t xml:space="preserve"> </w:t>
            </w:r>
            <w:r w:rsidRPr="00695895">
              <w:rPr>
                <w:noProof/>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 xml:space="preserve">Admin. Support line </w:t>
            </w:r>
            <w:r w:rsidRPr="00695895">
              <w:rPr>
                <w:noProof/>
                <w:sz w:val="16"/>
                <w:szCs w:val="16"/>
                <w:lang w:val="en-IE" w:eastAsia="en-IE"/>
              </w:rPr>
              <w:br/>
              <w:t>[XX.01.YY.YY]</w:t>
            </w:r>
          </w:p>
        </w:tc>
        <w:tc>
          <w:tcPr>
            <w:tcW w:w="3860" w:type="dxa"/>
            <w:tcBorders>
              <w:top w:val="nil"/>
              <w:left w:val="nil"/>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 at Headquarters</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1500" w:type="dxa"/>
            <w:vMerge/>
            <w:tcBorders>
              <w:top w:val="nil"/>
              <w:left w:val="single" w:sz="8" w:space="0" w:color="auto"/>
              <w:bottom w:val="single" w:sz="8" w:space="0" w:color="auto"/>
              <w:right w:val="single" w:sz="8" w:space="0" w:color="auto"/>
            </w:tcBorders>
            <w:vAlign w:val="center"/>
            <w:hideMark/>
          </w:tcPr>
          <w:p w:rsidR="00DE314D" w:rsidRPr="00695895" w:rsidRDefault="00DE314D">
            <w:pPr>
              <w:spacing w:before="0" w:after="0"/>
              <w:jc w:val="left"/>
              <w:rPr>
                <w:noProof/>
                <w:sz w:val="16"/>
                <w:szCs w:val="16"/>
                <w:lang w:val="en-IE" w:eastAsia="en-IE"/>
              </w:rPr>
            </w:pPr>
          </w:p>
        </w:tc>
        <w:tc>
          <w:tcPr>
            <w:tcW w:w="3860" w:type="dxa"/>
            <w:tcBorders>
              <w:top w:val="nil"/>
              <w:left w:val="nil"/>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01 01 01 02</w:t>
            </w:r>
            <w:r w:rsidRPr="00695895">
              <w:rPr>
                <w:rFonts w:ascii="Arial Narrow" w:hAnsi="Arial Narrow"/>
                <w:noProof/>
                <w:sz w:val="20"/>
                <w:szCs w:val="20"/>
                <w:lang w:val="en-IE" w:eastAsia="en-IE"/>
              </w:rPr>
              <w:t xml:space="preserve"> </w:t>
            </w:r>
            <w:r w:rsidRPr="00695895">
              <w:rPr>
                <w:noProof/>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01 01 01 12 (AC, END - Direct research)</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noProof/>
                <w:sz w:val="16"/>
                <w:szCs w:val="16"/>
                <w:lang w:val="en-IE" w:eastAsia="en-IE"/>
              </w:rPr>
            </w:pPr>
            <w:r w:rsidRPr="00695895">
              <w:rPr>
                <w:noProof/>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noProof/>
                <w:sz w:val="16"/>
                <w:szCs w:val="16"/>
                <w:lang w:val="en-IE" w:eastAsia="en-IE"/>
              </w:rPr>
            </w:pPr>
            <w:r w:rsidRPr="00695895">
              <w:rPr>
                <w:noProof/>
                <w:sz w:val="16"/>
                <w:szCs w:val="16"/>
                <w:lang w:val="en-IE" w:eastAsia="en-IE"/>
              </w:rPr>
              <w:t>0</w:t>
            </w:r>
          </w:p>
        </w:tc>
      </w:tr>
      <w:tr w:rsidR="00AC781E" w:rsidRPr="00AC781E" w:rsidTr="006C58F6">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DE314D" w:rsidRPr="00695895" w:rsidRDefault="00DE314D">
            <w:pPr>
              <w:spacing w:before="0" w:after="0"/>
              <w:ind w:firstLineChars="100" w:firstLine="160"/>
              <w:jc w:val="left"/>
              <w:rPr>
                <w:b/>
                <w:bCs/>
                <w:noProof/>
                <w:sz w:val="16"/>
                <w:szCs w:val="16"/>
                <w:lang w:val="en-IE" w:eastAsia="en-IE"/>
              </w:rPr>
            </w:pPr>
            <w:r w:rsidRPr="00695895">
              <w:rPr>
                <w:b/>
                <w:bCs/>
                <w:noProof/>
                <w:sz w:val="16"/>
                <w:szCs w:val="16"/>
                <w:lang w:val="en-IE" w:eastAsia="en-IE"/>
              </w:rPr>
              <w:t>TOTAL</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rsidR="00DE314D" w:rsidRPr="00695895" w:rsidRDefault="00DE314D">
            <w:pPr>
              <w:spacing w:before="0" w:after="0"/>
              <w:jc w:val="center"/>
              <w:rPr>
                <w:b/>
                <w:bCs/>
                <w:noProof/>
                <w:sz w:val="16"/>
                <w:szCs w:val="16"/>
                <w:lang w:val="en-IE" w:eastAsia="en-IE"/>
              </w:rPr>
            </w:pPr>
            <w:r w:rsidRPr="00695895">
              <w:rPr>
                <w:b/>
                <w:bCs/>
                <w:noProof/>
                <w:sz w:val="16"/>
                <w:szCs w:val="16"/>
                <w:lang w:val="en-IE" w:eastAsia="en-IE"/>
              </w:rPr>
              <w:t>0</w:t>
            </w:r>
          </w:p>
        </w:tc>
      </w:tr>
    </w:tbl>
    <w:p w:rsidR="00DE314D" w:rsidRPr="00695895" w:rsidRDefault="00DE314D" w:rsidP="00853C97">
      <w:pPr>
        <w:pStyle w:val="Text1"/>
        <w:rPr>
          <w:noProof/>
        </w:rPr>
      </w:pPr>
      <w:bookmarkStart w:id="176" w:name="_Hlk167692843"/>
      <w:bookmarkEnd w:id="171"/>
      <w:r w:rsidRPr="77BC4F07">
        <w:rPr>
          <w:noProof/>
        </w:rPr>
        <w:t>For the purpose of estimating workload and staff needs, you may use the guidance on workload assessment prepared by DG HR)</w:t>
      </w:r>
    </w:p>
    <w:p w:rsidR="00DE314D" w:rsidRPr="00695895" w:rsidRDefault="00DE314D" w:rsidP="00853C97">
      <w:pPr>
        <w:pStyle w:val="Text1"/>
        <w:rPr>
          <w:noProof/>
        </w:rPr>
      </w:pPr>
      <w:r w:rsidRPr="00695895">
        <w:rPr>
          <w:noProof/>
        </w:rPr>
        <w:t>[Considering the overall strained situation in Heading 7, in terms of both staffing and the level of appropriations, the human resources required will be met by staff from the DG who are already assigned to the management of the action and/or have been redeployed within the DG or other Commission services.]</w:t>
      </w:r>
    </w:p>
    <w:p w:rsidR="00DE314D" w:rsidRPr="00695895" w:rsidRDefault="00DE314D" w:rsidP="00853C97">
      <w:pPr>
        <w:pStyle w:val="Text1"/>
        <w:rPr>
          <w:noProof/>
        </w:rPr>
      </w:pPr>
      <w:r w:rsidRPr="00695895">
        <w:rPr>
          <w:noProof/>
        </w:rPr>
        <w:t>Please note that such exception needs to be agreed with central services before the launch of the ISC) </w:t>
      </w:r>
    </w:p>
    <w:p w:rsidR="00DE314D" w:rsidRPr="00695895" w:rsidRDefault="00DE314D" w:rsidP="00853C97">
      <w:pPr>
        <w:pStyle w:val="Text1"/>
        <w:rPr>
          <w:noProof/>
        </w:rPr>
      </w:pPr>
      <w:r w:rsidRPr="00695895">
        <w:rPr>
          <w:noProof/>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AC781E" w:rsidRPr="00AC781E" w:rsidTr="004032ED">
        <w:trPr>
          <w:trHeight w:val="300"/>
        </w:trPr>
        <w:tc>
          <w:tcPr>
            <w:tcW w:w="1845" w:type="dxa"/>
          </w:tcPr>
          <w:p w:rsidR="00DE314D" w:rsidRPr="00AC781E" w:rsidRDefault="00DE314D">
            <w:pPr>
              <w:pStyle w:val="Text1"/>
              <w:ind w:left="0"/>
              <w:jc w:val="center"/>
              <w:rPr>
                <w:b/>
                <w:bCs/>
                <w:noProof/>
                <w:sz w:val="22"/>
                <w:szCs w:val="28"/>
              </w:rPr>
            </w:pPr>
          </w:p>
        </w:tc>
        <w:tc>
          <w:tcPr>
            <w:tcW w:w="2031" w:type="dxa"/>
          </w:tcPr>
          <w:p w:rsidR="00DE314D" w:rsidRPr="00AC781E" w:rsidRDefault="00DE314D">
            <w:pPr>
              <w:pStyle w:val="Text1"/>
              <w:ind w:left="0"/>
              <w:jc w:val="center"/>
              <w:rPr>
                <w:b/>
                <w:bCs/>
                <w:noProof/>
                <w:sz w:val="22"/>
              </w:rPr>
            </w:pPr>
            <w:r w:rsidRPr="00AC781E">
              <w:rPr>
                <w:b/>
                <w:bCs/>
                <w:noProof/>
                <w:sz w:val="22"/>
              </w:rPr>
              <w:t xml:space="preserve">To be covered by current staff available in the Commission services </w:t>
            </w:r>
          </w:p>
        </w:tc>
        <w:tc>
          <w:tcPr>
            <w:tcW w:w="5611" w:type="dxa"/>
            <w:gridSpan w:val="3"/>
          </w:tcPr>
          <w:p w:rsidR="00DE314D" w:rsidRPr="00AC781E" w:rsidRDefault="00DE314D">
            <w:pPr>
              <w:pStyle w:val="Text1"/>
              <w:ind w:left="0"/>
              <w:jc w:val="center"/>
              <w:rPr>
                <w:b/>
                <w:bCs/>
                <w:noProof/>
                <w:sz w:val="22"/>
              </w:rPr>
            </w:pPr>
            <w:r w:rsidRPr="00AC781E">
              <w:rPr>
                <w:b/>
                <w:bCs/>
                <w:noProof/>
                <w:sz w:val="22"/>
              </w:rPr>
              <w:t>Exceptional additional staff*</w:t>
            </w:r>
          </w:p>
        </w:tc>
      </w:tr>
      <w:tr w:rsidR="00AC781E" w:rsidRPr="00AC781E" w:rsidTr="004032ED">
        <w:trPr>
          <w:trHeight w:val="300"/>
        </w:trPr>
        <w:tc>
          <w:tcPr>
            <w:tcW w:w="1845" w:type="dxa"/>
          </w:tcPr>
          <w:p w:rsidR="00DE314D" w:rsidRPr="00AC781E" w:rsidRDefault="00DE314D">
            <w:pPr>
              <w:pStyle w:val="Text1"/>
              <w:ind w:left="0"/>
              <w:jc w:val="center"/>
              <w:rPr>
                <w:b/>
                <w:bCs/>
                <w:noProof/>
                <w:sz w:val="22"/>
                <w:szCs w:val="28"/>
              </w:rPr>
            </w:pPr>
          </w:p>
        </w:tc>
        <w:tc>
          <w:tcPr>
            <w:tcW w:w="2031" w:type="dxa"/>
          </w:tcPr>
          <w:p w:rsidR="00DE314D" w:rsidRPr="00AC781E" w:rsidRDefault="00DE314D">
            <w:pPr>
              <w:pStyle w:val="Text1"/>
              <w:ind w:left="0"/>
              <w:jc w:val="center"/>
              <w:rPr>
                <w:b/>
                <w:bCs/>
                <w:noProof/>
                <w:sz w:val="22"/>
                <w:szCs w:val="28"/>
              </w:rPr>
            </w:pPr>
          </w:p>
        </w:tc>
        <w:tc>
          <w:tcPr>
            <w:tcW w:w="1925" w:type="dxa"/>
          </w:tcPr>
          <w:p w:rsidR="00DE314D" w:rsidRPr="00AC781E" w:rsidRDefault="00DE314D">
            <w:pPr>
              <w:pStyle w:val="Text1"/>
              <w:ind w:left="0"/>
              <w:jc w:val="center"/>
              <w:rPr>
                <w:b/>
                <w:bCs/>
                <w:noProof/>
                <w:sz w:val="22"/>
              </w:rPr>
            </w:pPr>
            <w:r w:rsidRPr="00AC781E">
              <w:rPr>
                <w:b/>
                <w:bCs/>
                <w:noProof/>
                <w:sz w:val="22"/>
              </w:rPr>
              <w:t>To be financed under Heading 7 or Research</w:t>
            </w:r>
          </w:p>
        </w:tc>
        <w:tc>
          <w:tcPr>
            <w:tcW w:w="1938" w:type="dxa"/>
          </w:tcPr>
          <w:p w:rsidR="00DE314D" w:rsidRPr="00AC781E" w:rsidRDefault="00DE314D">
            <w:pPr>
              <w:pStyle w:val="Text1"/>
              <w:ind w:left="0"/>
              <w:jc w:val="center"/>
              <w:rPr>
                <w:b/>
                <w:bCs/>
                <w:noProof/>
                <w:sz w:val="22"/>
                <w:szCs w:val="28"/>
              </w:rPr>
            </w:pPr>
            <w:r w:rsidRPr="00AC781E">
              <w:rPr>
                <w:b/>
                <w:bCs/>
                <w:noProof/>
                <w:sz w:val="22"/>
                <w:szCs w:val="28"/>
              </w:rPr>
              <w:t>To be financed from BA line</w:t>
            </w:r>
          </w:p>
        </w:tc>
        <w:tc>
          <w:tcPr>
            <w:tcW w:w="1748" w:type="dxa"/>
          </w:tcPr>
          <w:p w:rsidR="00DE314D" w:rsidRPr="00AC781E" w:rsidRDefault="00DE314D">
            <w:pPr>
              <w:pStyle w:val="Text1"/>
              <w:ind w:left="0"/>
              <w:jc w:val="center"/>
              <w:rPr>
                <w:b/>
                <w:bCs/>
                <w:noProof/>
                <w:sz w:val="22"/>
                <w:szCs w:val="28"/>
              </w:rPr>
            </w:pPr>
            <w:r w:rsidRPr="00AC781E">
              <w:rPr>
                <w:b/>
                <w:bCs/>
                <w:noProof/>
                <w:sz w:val="22"/>
                <w:szCs w:val="28"/>
              </w:rPr>
              <w:t>To be financed from fees</w:t>
            </w:r>
          </w:p>
        </w:tc>
      </w:tr>
      <w:tr w:rsidR="00AC781E" w:rsidRPr="00AC781E" w:rsidTr="004032ED">
        <w:trPr>
          <w:trHeight w:val="300"/>
        </w:trPr>
        <w:tc>
          <w:tcPr>
            <w:tcW w:w="1845" w:type="dxa"/>
          </w:tcPr>
          <w:p w:rsidR="00DE314D" w:rsidRPr="00AC781E" w:rsidRDefault="00DE314D">
            <w:pPr>
              <w:pStyle w:val="Text1"/>
              <w:ind w:left="0"/>
              <w:rPr>
                <w:noProof/>
                <w:sz w:val="22"/>
                <w:szCs w:val="28"/>
              </w:rPr>
            </w:pPr>
            <w:r w:rsidRPr="00AC781E">
              <w:rPr>
                <w:noProof/>
                <w:sz w:val="22"/>
                <w:szCs w:val="28"/>
              </w:rPr>
              <w:t>Establishment plan posts</w:t>
            </w:r>
          </w:p>
        </w:tc>
        <w:tc>
          <w:tcPr>
            <w:tcW w:w="2031" w:type="dxa"/>
          </w:tcPr>
          <w:p w:rsidR="00DE314D" w:rsidRPr="00AC781E" w:rsidRDefault="00DE314D">
            <w:pPr>
              <w:pStyle w:val="Text1"/>
              <w:ind w:left="0"/>
              <w:rPr>
                <w:noProof/>
                <w:sz w:val="22"/>
                <w:szCs w:val="28"/>
              </w:rPr>
            </w:pPr>
          </w:p>
        </w:tc>
        <w:tc>
          <w:tcPr>
            <w:tcW w:w="1925" w:type="dxa"/>
          </w:tcPr>
          <w:p w:rsidR="00DE314D" w:rsidRPr="00AC781E" w:rsidRDefault="00DE314D">
            <w:pPr>
              <w:pStyle w:val="Text1"/>
              <w:ind w:left="0"/>
              <w:rPr>
                <w:noProof/>
                <w:sz w:val="22"/>
                <w:szCs w:val="28"/>
              </w:rPr>
            </w:pPr>
          </w:p>
        </w:tc>
        <w:tc>
          <w:tcPr>
            <w:tcW w:w="1938" w:type="dxa"/>
          </w:tcPr>
          <w:p w:rsidR="00DE314D" w:rsidRPr="00AC781E" w:rsidRDefault="00DE314D">
            <w:pPr>
              <w:pStyle w:val="Text1"/>
              <w:ind w:left="0"/>
              <w:rPr>
                <w:noProof/>
                <w:sz w:val="22"/>
                <w:szCs w:val="28"/>
              </w:rPr>
            </w:pPr>
            <w:r w:rsidRPr="00AC781E">
              <w:rPr>
                <w:noProof/>
                <w:sz w:val="22"/>
                <w:szCs w:val="28"/>
              </w:rPr>
              <w:t>N/A</w:t>
            </w:r>
          </w:p>
        </w:tc>
        <w:tc>
          <w:tcPr>
            <w:tcW w:w="1748" w:type="dxa"/>
          </w:tcPr>
          <w:p w:rsidR="00DE314D" w:rsidRPr="00AC781E" w:rsidRDefault="00DE314D">
            <w:pPr>
              <w:pStyle w:val="Text1"/>
              <w:ind w:left="0"/>
              <w:rPr>
                <w:noProof/>
                <w:sz w:val="22"/>
                <w:szCs w:val="28"/>
              </w:rPr>
            </w:pPr>
          </w:p>
        </w:tc>
      </w:tr>
      <w:tr w:rsidR="00AC781E" w:rsidRPr="00AC781E" w:rsidTr="004032ED">
        <w:trPr>
          <w:trHeight w:val="300"/>
        </w:trPr>
        <w:tc>
          <w:tcPr>
            <w:tcW w:w="1845" w:type="dxa"/>
          </w:tcPr>
          <w:p w:rsidR="00DE314D" w:rsidRPr="00AC781E" w:rsidRDefault="00DE314D">
            <w:pPr>
              <w:pStyle w:val="Text1"/>
              <w:ind w:left="0"/>
              <w:rPr>
                <w:noProof/>
                <w:sz w:val="22"/>
                <w:szCs w:val="28"/>
              </w:rPr>
            </w:pPr>
            <w:r w:rsidRPr="00AC781E">
              <w:rPr>
                <w:noProof/>
                <w:sz w:val="22"/>
                <w:szCs w:val="28"/>
              </w:rPr>
              <w:t>External staff (CA, SNEs, INT)</w:t>
            </w:r>
          </w:p>
        </w:tc>
        <w:tc>
          <w:tcPr>
            <w:tcW w:w="2031" w:type="dxa"/>
          </w:tcPr>
          <w:p w:rsidR="00DE314D" w:rsidRPr="00AC781E" w:rsidRDefault="00DE314D">
            <w:pPr>
              <w:pStyle w:val="Text1"/>
              <w:ind w:left="0"/>
              <w:rPr>
                <w:noProof/>
                <w:sz w:val="22"/>
                <w:szCs w:val="28"/>
              </w:rPr>
            </w:pPr>
          </w:p>
        </w:tc>
        <w:tc>
          <w:tcPr>
            <w:tcW w:w="1925" w:type="dxa"/>
          </w:tcPr>
          <w:p w:rsidR="00DE314D" w:rsidRPr="00AC781E" w:rsidRDefault="00DE314D">
            <w:pPr>
              <w:pStyle w:val="Text1"/>
              <w:ind w:left="0"/>
              <w:rPr>
                <w:noProof/>
                <w:sz w:val="22"/>
                <w:szCs w:val="28"/>
              </w:rPr>
            </w:pPr>
          </w:p>
        </w:tc>
        <w:tc>
          <w:tcPr>
            <w:tcW w:w="1938" w:type="dxa"/>
          </w:tcPr>
          <w:p w:rsidR="00DE314D" w:rsidRPr="00AC781E" w:rsidRDefault="00DE314D">
            <w:pPr>
              <w:pStyle w:val="Text1"/>
              <w:ind w:left="0"/>
              <w:rPr>
                <w:noProof/>
                <w:sz w:val="22"/>
                <w:szCs w:val="28"/>
              </w:rPr>
            </w:pPr>
          </w:p>
        </w:tc>
        <w:tc>
          <w:tcPr>
            <w:tcW w:w="1748" w:type="dxa"/>
          </w:tcPr>
          <w:p w:rsidR="00DE314D" w:rsidRPr="00AC781E" w:rsidRDefault="00DE314D">
            <w:pPr>
              <w:pStyle w:val="Text1"/>
              <w:ind w:left="0"/>
              <w:rPr>
                <w:noProof/>
                <w:sz w:val="22"/>
                <w:szCs w:val="28"/>
              </w:rPr>
            </w:pPr>
          </w:p>
        </w:tc>
      </w:tr>
    </w:tbl>
    <w:p w:rsidR="00DE314D" w:rsidRPr="00695895" w:rsidRDefault="00DE314D">
      <w:pPr>
        <w:rPr>
          <w:noProof/>
        </w:rPr>
      </w:pPr>
      <w:r w:rsidRPr="00AC781E">
        <w:rPr>
          <w:noProof/>
        </w:rPr>
        <w:t>*</w:t>
      </w:r>
    </w:p>
    <w:p w:rsidR="00DE314D" w:rsidRPr="00AC781E" w:rsidRDefault="00DE314D" w:rsidP="00853C97">
      <w:pPr>
        <w:pStyle w:val="Text1"/>
        <w:rPr>
          <w:noProof/>
          <w:lang w:val="en-IE"/>
        </w:rPr>
      </w:pPr>
      <w:r w:rsidRPr="00AC781E">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AC781E" w:rsidRPr="00AC781E" w:rsidTr="005217BD">
        <w:tc>
          <w:tcPr>
            <w:tcW w:w="3240" w:type="dxa"/>
          </w:tcPr>
          <w:p w:rsidR="00DE314D" w:rsidRPr="00AC781E" w:rsidRDefault="00DE314D">
            <w:pPr>
              <w:rPr>
                <w:noProof/>
                <w:sz w:val="20"/>
              </w:rPr>
            </w:pPr>
            <w:r w:rsidRPr="00AC781E">
              <w:rPr>
                <w:noProof/>
                <w:sz w:val="20"/>
              </w:rPr>
              <w:t>Officials and temporary staff</w:t>
            </w:r>
          </w:p>
        </w:tc>
        <w:tc>
          <w:tcPr>
            <w:tcW w:w="7200" w:type="dxa"/>
          </w:tcPr>
          <w:p w:rsidR="00DE314D" w:rsidRPr="00AC781E" w:rsidRDefault="00DE314D">
            <w:pPr>
              <w:rPr>
                <w:noProof/>
                <w:sz w:val="20"/>
              </w:rPr>
            </w:pPr>
          </w:p>
        </w:tc>
      </w:tr>
      <w:tr w:rsidR="00AC781E" w:rsidRPr="00AC781E" w:rsidTr="005217BD">
        <w:tc>
          <w:tcPr>
            <w:tcW w:w="3240" w:type="dxa"/>
          </w:tcPr>
          <w:p w:rsidR="00DE314D" w:rsidRPr="00AC781E" w:rsidRDefault="00DE314D">
            <w:pPr>
              <w:spacing w:before="60" w:after="60"/>
              <w:rPr>
                <w:noProof/>
                <w:sz w:val="20"/>
              </w:rPr>
            </w:pPr>
            <w:r w:rsidRPr="00AC781E">
              <w:rPr>
                <w:noProof/>
                <w:sz w:val="20"/>
              </w:rPr>
              <w:t>External staff</w:t>
            </w:r>
          </w:p>
        </w:tc>
        <w:tc>
          <w:tcPr>
            <w:tcW w:w="7200" w:type="dxa"/>
          </w:tcPr>
          <w:p w:rsidR="00DE314D" w:rsidRPr="00AC781E" w:rsidRDefault="00DE314D">
            <w:pPr>
              <w:rPr>
                <w:noProof/>
                <w:sz w:val="20"/>
              </w:rPr>
            </w:pPr>
          </w:p>
        </w:tc>
      </w:tr>
    </w:tbl>
    <w:p w:rsidR="00DE314D" w:rsidRPr="00AC781E" w:rsidRDefault="00DE314D">
      <w:pPr>
        <w:pStyle w:val="ManualHeading3"/>
        <w:rPr>
          <w:noProof/>
        </w:rPr>
      </w:pPr>
      <w:bookmarkStart w:id="177" w:name="_Toc177549031"/>
      <w:r w:rsidRPr="77BC4F07">
        <w:rPr>
          <w:noProof/>
        </w:rPr>
        <w:t>3.2.5.</w:t>
      </w:r>
      <w:r>
        <w:rPr>
          <w:noProof/>
        </w:rPr>
        <w:tab/>
      </w:r>
      <w:r w:rsidRPr="77BC4F07">
        <w:rPr>
          <w:noProof/>
        </w:rPr>
        <w:t>Overview of estimated impact on digital technology-related investments</w:t>
      </w:r>
      <w:bookmarkEnd w:id="177"/>
    </w:p>
    <w:p w:rsidR="00DE314D" w:rsidRPr="00AC781E" w:rsidRDefault="00DE314D">
      <w:pPr>
        <w:pStyle w:val="Text1"/>
        <w:spacing w:line="259" w:lineRule="auto"/>
        <w:rPr>
          <w:noProof/>
        </w:rPr>
      </w:pPr>
      <w:r w:rsidRPr="00AC781E">
        <w:rPr>
          <w:noProof/>
        </w:rPr>
        <w:t xml:space="preserve">Compulsory: the best estimate of the digital technology-related investments entailed by the proposal/initiative should be included in the table below. </w:t>
      </w:r>
    </w:p>
    <w:p w:rsidR="00DE314D" w:rsidRPr="00AC781E" w:rsidRDefault="00DE314D">
      <w:pPr>
        <w:pStyle w:val="Text1"/>
        <w:spacing w:line="259" w:lineRule="auto"/>
        <w:rPr>
          <w:noProof/>
        </w:rPr>
      </w:pPr>
      <w:r w:rsidRPr="77BC4F07">
        <w:rPr>
          <w:noProof/>
        </w:rPr>
        <w:t xml:space="preserve">Exceptionally, when required for the implementation of the proposal/initiative, the appropriations under Heading 7 should be presented in the designated line. </w:t>
      </w:r>
    </w:p>
    <w:p w:rsidR="00DE314D" w:rsidRPr="00AC781E" w:rsidRDefault="00DE314D">
      <w:pPr>
        <w:pStyle w:val="Text1"/>
        <w:spacing w:line="259" w:lineRule="auto"/>
        <w:rPr>
          <w:noProof/>
        </w:rPr>
      </w:pPr>
      <w:r w:rsidRPr="77BC4F07">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tblLayout w:type="fixed"/>
        <w:tblLook w:val="04A0" w:firstRow="1" w:lastRow="0" w:firstColumn="1" w:lastColumn="0" w:noHBand="0" w:noVBand="1"/>
      </w:tblPr>
      <w:tblGrid>
        <w:gridCol w:w="3214"/>
        <w:gridCol w:w="835"/>
        <w:gridCol w:w="835"/>
        <w:gridCol w:w="835"/>
        <w:gridCol w:w="835"/>
        <w:gridCol w:w="981"/>
      </w:tblGrid>
      <w:tr w:rsidR="00AC781E" w:rsidRPr="00AC781E">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DE314D" w:rsidRPr="00695895" w:rsidRDefault="00DE314D">
            <w:pPr>
              <w:spacing w:before="0" w:after="0"/>
              <w:jc w:val="center"/>
              <w:rPr>
                <w:b/>
                <w:bCs/>
                <w:noProof/>
                <w:sz w:val="18"/>
                <w:szCs w:val="18"/>
              </w:rPr>
            </w:pPr>
            <w:r w:rsidRPr="00695895">
              <w:rPr>
                <w:b/>
                <w:bCs/>
                <w:noProof/>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DE314D" w:rsidRPr="00695895" w:rsidRDefault="00DE314D">
            <w:pPr>
              <w:spacing w:before="0" w:after="0"/>
              <w:jc w:val="center"/>
              <w:rPr>
                <w:noProof/>
                <w:sz w:val="18"/>
                <w:szCs w:val="18"/>
              </w:rPr>
            </w:pPr>
            <w:r w:rsidRPr="00695895">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695895" w:rsidRDefault="00DE314D">
            <w:pPr>
              <w:spacing w:before="0" w:after="0"/>
              <w:jc w:val="center"/>
              <w:rPr>
                <w:noProof/>
                <w:sz w:val="18"/>
                <w:szCs w:val="18"/>
              </w:rPr>
            </w:pPr>
            <w:r w:rsidRPr="00695895">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695895" w:rsidRDefault="00DE314D">
            <w:pPr>
              <w:spacing w:before="0" w:after="0"/>
              <w:jc w:val="center"/>
              <w:rPr>
                <w:noProof/>
                <w:sz w:val="18"/>
                <w:szCs w:val="18"/>
              </w:rPr>
            </w:pPr>
            <w:r w:rsidRPr="00695895">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E314D" w:rsidRPr="00695895" w:rsidRDefault="00DE314D">
            <w:pPr>
              <w:spacing w:before="0" w:after="0"/>
              <w:jc w:val="center"/>
              <w:rPr>
                <w:noProof/>
                <w:sz w:val="18"/>
                <w:szCs w:val="18"/>
              </w:rPr>
            </w:pPr>
            <w:r w:rsidRPr="00695895">
              <w:rPr>
                <w:noProof/>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DE314D" w:rsidRPr="00695895" w:rsidRDefault="00DE314D">
            <w:pPr>
              <w:spacing w:before="0" w:after="0"/>
              <w:jc w:val="center"/>
              <w:rPr>
                <w:b/>
                <w:bCs/>
                <w:noProof/>
                <w:sz w:val="18"/>
                <w:szCs w:val="18"/>
              </w:rPr>
            </w:pPr>
            <w:r w:rsidRPr="00695895">
              <w:rPr>
                <w:b/>
                <w:bCs/>
                <w:noProof/>
                <w:sz w:val="18"/>
                <w:szCs w:val="18"/>
              </w:rPr>
              <w:t>TOTAL MFF 2021 - 2027</w:t>
            </w:r>
          </w:p>
        </w:tc>
      </w:tr>
      <w:tr w:rsidR="00AC781E" w:rsidRPr="00AC781E">
        <w:trPr>
          <w:trHeight w:val="525"/>
        </w:trPr>
        <w:tc>
          <w:tcPr>
            <w:tcW w:w="3214" w:type="dxa"/>
            <w:vMerge/>
            <w:tcBorders>
              <w:top w:val="single" w:sz="8" w:space="0" w:color="auto"/>
              <w:left w:val="single" w:sz="4" w:space="0" w:color="auto"/>
              <w:right w:val="single" w:sz="4" w:space="0" w:color="auto"/>
            </w:tcBorders>
            <w:vAlign w:val="center"/>
          </w:tcPr>
          <w:p w:rsidR="00DE314D" w:rsidRPr="00AC781E" w:rsidRDefault="00DE314D">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DE314D" w:rsidRPr="00695895" w:rsidRDefault="00DE314D">
            <w:pPr>
              <w:spacing w:before="0" w:after="0"/>
              <w:jc w:val="center"/>
              <w:rPr>
                <w:b/>
                <w:bCs/>
                <w:noProof/>
                <w:sz w:val="18"/>
                <w:szCs w:val="18"/>
              </w:rPr>
            </w:pPr>
            <w:r w:rsidRPr="00695895">
              <w:rPr>
                <w:b/>
                <w:bCs/>
                <w:noProof/>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695895" w:rsidRDefault="00DE314D">
            <w:pPr>
              <w:spacing w:before="0" w:after="0"/>
              <w:jc w:val="center"/>
              <w:rPr>
                <w:b/>
                <w:bCs/>
                <w:noProof/>
                <w:sz w:val="18"/>
                <w:szCs w:val="18"/>
              </w:rPr>
            </w:pPr>
            <w:r w:rsidRPr="00695895">
              <w:rPr>
                <w:b/>
                <w:bCs/>
                <w:noProof/>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695895" w:rsidRDefault="00DE314D">
            <w:pPr>
              <w:spacing w:before="0" w:after="0"/>
              <w:jc w:val="center"/>
              <w:rPr>
                <w:b/>
                <w:bCs/>
                <w:noProof/>
                <w:sz w:val="18"/>
                <w:szCs w:val="18"/>
              </w:rPr>
            </w:pPr>
            <w:r w:rsidRPr="00695895">
              <w:rPr>
                <w:b/>
                <w:bCs/>
                <w:noProof/>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E314D" w:rsidRPr="00695895" w:rsidRDefault="00DE314D">
            <w:pPr>
              <w:spacing w:before="0" w:after="0"/>
              <w:jc w:val="center"/>
              <w:rPr>
                <w:b/>
                <w:bCs/>
                <w:noProof/>
                <w:sz w:val="18"/>
                <w:szCs w:val="18"/>
              </w:rPr>
            </w:pPr>
            <w:r w:rsidRPr="00695895">
              <w:rPr>
                <w:b/>
                <w:bCs/>
                <w:noProof/>
                <w:sz w:val="18"/>
                <w:szCs w:val="18"/>
              </w:rPr>
              <w:t>2027</w:t>
            </w:r>
          </w:p>
        </w:tc>
        <w:tc>
          <w:tcPr>
            <w:tcW w:w="981" w:type="dxa"/>
            <w:vMerge/>
            <w:tcBorders>
              <w:bottom w:val="single" w:sz="4" w:space="0" w:color="auto"/>
              <w:right w:val="single" w:sz="4" w:space="0" w:color="auto"/>
            </w:tcBorders>
            <w:vAlign w:val="center"/>
          </w:tcPr>
          <w:p w:rsidR="00DE314D" w:rsidRPr="00AC781E" w:rsidRDefault="00DE314D">
            <w:pPr>
              <w:rPr>
                <w:noProof/>
              </w:rPr>
            </w:pPr>
          </w:p>
        </w:tc>
      </w:tr>
      <w:tr w:rsidR="00AC781E" w:rsidRPr="00AC781E">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DE314D" w:rsidRPr="00AC781E" w:rsidRDefault="00DE314D">
            <w:pPr>
              <w:spacing w:before="0" w:after="0"/>
              <w:jc w:val="left"/>
              <w:rPr>
                <w:b/>
                <w:bCs/>
                <w:noProof/>
                <w:sz w:val="16"/>
                <w:szCs w:val="16"/>
              </w:rPr>
            </w:pPr>
            <w:r w:rsidRPr="00AC781E">
              <w:rPr>
                <w:b/>
                <w:bCs/>
                <w:noProof/>
                <w:sz w:val="16"/>
                <w:szCs w:val="16"/>
              </w:rPr>
              <w:t>HEADING 7</w:t>
            </w:r>
          </w:p>
        </w:tc>
      </w:tr>
      <w:tr w:rsidR="00AC781E" w:rsidRPr="00AC781E">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695895" w:rsidRDefault="00DE314D">
            <w:pPr>
              <w:spacing w:before="0" w:after="0"/>
              <w:jc w:val="left"/>
              <w:rPr>
                <w:noProof/>
                <w:sz w:val="16"/>
                <w:szCs w:val="16"/>
              </w:rPr>
            </w:pPr>
            <w:r w:rsidRPr="00695895">
              <w:rPr>
                <w:rFonts w:ascii="Arial Narrow" w:eastAsia="Arial Narrow" w:hAnsi="Arial Narrow" w:cs="Arial Narrow"/>
                <w:noProof/>
                <w:sz w:val="20"/>
                <w:szCs w:val="20"/>
              </w:rPr>
              <w:t>IT expenditure (corporate)</w:t>
            </w:r>
            <w:r w:rsidRPr="00695895">
              <w:rPr>
                <w:noProof/>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r>
      <w:tr w:rsidR="00AC781E" w:rsidRPr="00AC781E">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E314D" w:rsidRPr="00695895" w:rsidRDefault="00DE314D">
            <w:pPr>
              <w:spacing w:before="0" w:after="0"/>
              <w:jc w:val="center"/>
              <w:rPr>
                <w:b/>
                <w:bCs/>
                <w:noProof/>
                <w:sz w:val="16"/>
                <w:szCs w:val="16"/>
              </w:rPr>
            </w:pPr>
            <w:r w:rsidRPr="00695895">
              <w:rPr>
                <w:b/>
                <w:bCs/>
                <w:noProof/>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r>
      <w:tr w:rsidR="00AC781E" w:rsidRPr="00AC781E">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AC781E" w:rsidRDefault="00DE314D">
            <w:pPr>
              <w:spacing w:before="0" w:after="0"/>
              <w:jc w:val="left"/>
              <w:rPr>
                <w:b/>
                <w:bCs/>
                <w:noProof/>
                <w:sz w:val="16"/>
                <w:szCs w:val="16"/>
              </w:rPr>
            </w:pPr>
            <w:r w:rsidRPr="00AC781E">
              <w:rPr>
                <w:b/>
                <w:bCs/>
                <w:noProof/>
                <w:sz w:val="16"/>
                <w:szCs w:val="16"/>
              </w:rPr>
              <w:t>Outside HEADING 7</w:t>
            </w:r>
          </w:p>
        </w:tc>
      </w:tr>
      <w:tr w:rsidR="00AC781E" w:rsidRPr="00AC781E">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695895" w:rsidRDefault="00DE314D">
            <w:pPr>
              <w:spacing w:before="0" w:after="0"/>
              <w:jc w:val="left"/>
              <w:rPr>
                <w:rFonts w:ascii="Arial Narrow" w:eastAsia="Arial Narrow" w:hAnsi="Arial Narrow" w:cs="Arial Narrow"/>
                <w:noProof/>
                <w:sz w:val="20"/>
                <w:szCs w:val="20"/>
              </w:rPr>
            </w:pPr>
            <w:r w:rsidRPr="00695895">
              <w:rPr>
                <w:rFonts w:ascii="Arial Narrow" w:eastAsia="Arial Narrow" w:hAnsi="Arial Narrow" w:cs="Arial Narrow"/>
                <w:noProof/>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noProof/>
                <w:sz w:val="16"/>
                <w:szCs w:val="16"/>
              </w:rPr>
            </w:pPr>
            <w:r w:rsidRPr="00695895">
              <w:rPr>
                <w:noProof/>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r>
      <w:tr w:rsidR="00AC781E" w:rsidRPr="00AC781E">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E314D" w:rsidRPr="00695895" w:rsidRDefault="00DE314D">
            <w:pPr>
              <w:spacing w:before="0" w:after="0"/>
              <w:jc w:val="center"/>
              <w:rPr>
                <w:b/>
                <w:bCs/>
                <w:noProof/>
                <w:sz w:val="16"/>
                <w:szCs w:val="16"/>
              </w:rPr>
            </w:pPr>
            <w:r w:rsidRPr="00695895">
              <w:rPr>
                <w:b/>
                <w:bCs/>
                <w:noProof/>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r>
      <w:tr w:rsidR="00AC781E" w:rsidRPr="00AC781E">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E314D" w:rsidRPr="00695895" w:rsidRDefault="00DE314D">
            <w:pPr>
              <w:spacing w:before="0" w:after="0"/>
              <w:jc w:val="center"/>
              <w:rPr>
                <w:noProof/>
                <w:sz w:val="16"/>
                <w:szCs w:val="16"/>
              </w:rPr>
            </w:pPr>
          </w:p>
        </w:tc>
      </w:tr>
      <w:tr w:rsidR="00AC781E" w:rsidRPr="00AC781E">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DE314D" w:rsidRPr="00695895" w:rsidRDefault="00DE314D">
            <w:pPr>
              <w:spacing w:before="0" w:after="0"/>
              <w:jc w:val="center"/>
              <w:rPr>
                <w:b/>
                <w:bCs/>
                <w:noProof/>
                <w:sz w:val="16"/>
                <w:szCs w:val="16"/>
              </w:rPr>
            </w:pPr>
            <w:r w:rsidRPr="00695895">
              <w:rPr>
                <w:b/>
                <w:bCs/>
                <w:noProof/>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E314D" w:rsidRPr="00695895" w:rsidRDefault="00DE314D">
            <w:pPr>
              <w:spacing w:before="0" w:after="0"/>
              <w:jc w:val="right"/>
              <w:rPr>
                <w:b/>
                <w:bCs/>
                <w:noProof/>
                <w:sz w:val="16"/>
                <w:szCs w:val="16"/>
              </w:rPr>
            </w:pPr>
            <w:r w:rsidRPr="00695895">
              <w:rPr>
                <w:b/>
                <w:bCs/>
                <w:noProof/>
                <w:sz w:val="16"/>
                <w:szCs w:val="16"/>
              </w:rPr>
              <w:t>0.000</w:t>
            </w:r>
          </w:p>
        </w:tc>
      </w:tr>
    </w:tbl>
    <w:p w:rsidR="00DE314D" w:rsidRPr="00AC781E" w:rsidRDefault="00DE314D">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6"/>
      <w:r w:rsidRPr="00AC781E">
        <w:rPr>
          <w:noProof/>
        </w:rPr>
        <w:t>3.2.6.</w:t>
      </w:r>
      <w:r w:rsidRPr="00AC781E">
        <w:rPr>
          <w:noProof/>
        </w:rPr>
        <w:tab/>
        <w:t>Compatibility with the current multiannual financial framework</w:t>
      </w:r>
      <w:bookmarkEnd w:id="178"/>
      <w:bookmarkEnd w:id="179"/>
      <w:bookmarkEnd w:id="180"/>
      <w:bookmarkEnd w:id="181"/>
      <w:bookmarkEnd w:id="182"/>
      <w:r w:rsidRPr="00AC781E">
        <w:rPr>
          <w:noProof/>
        </w:rPr>
        <w:t xml:space="preserve"> </w:t>
      </w:r>
    </w:p>
    <w:p w:rsidR="00DE314D" w:rsidRPr="00AC781E" w:rsidRDefault="00DE314D">
      <w:pPr>
        <w:pStyle w:val="Text1"/>
        <w:rPr>
          <w:noProof/>
        </w:rPr>
      </w:pPr>
      <w:r w:rsidRPr="00AC781E">
        <w:rPr>
          <w:noProof/>
        </w:rPr>
        <w:t>The proposal/initiative:</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can be fully financed through redeployment within the relevant heading of the multiannual financial framework (MFF)</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requires use of the unallocated margin under the relevant heading of the MFF and/or use of the special instruments as defined in the MFF Regulation</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requires a revision of the MFF</w:t>
      </w:r>
    </w:p>
    <w:p w:rsidR="00DE314D" w:rsidRPr="00AC781E" w:rsidRDefault="00DE314D">
      <w:pPr>
        <w:pStyle w:val="ManualHeading3"/>
        <w:rPr>
          <w:noProof/>
        </w:rPr>
      </w:pPr>
      <w:bookmarkStart w:id="183" w:name="_Toc514938058"/>
      <w:bookmarkStart w:id="184" w:name="_Toc520485056"/>
      <w:bookmarkStart w:id="185" w:name="_Toc160804600"/>
      <w:bookmarkStart w:id="186" w:name="_Toc167220299"/>
      <w:bookmarkStart w:id="187" w:name="_Toc177549033"/>
      <w:r w:rsidRPr="00AC781E">
        <w:rPr>
          <w:noProof/>
        </w:rPr>
        <w:t>3.2.7.</w:t>
      </w:r>
      <w:r w:rsidRPr="00AC781E">
        <w:rPr>
          <w:noProof/>
        </w:rPr>
        <w:tab/>
        <w:t>Third-party contributions</w:t>
      </w:r>
      <w:bookmarkEnd w:id="183"/>
      <w:bookmarkEnd w:id="184"/>
      <w:bookmarkEnd w:id="185"/>
      <w:bookmarkEnd w:id="186"/>
      <w:bookmarkEnd w:id="187"/>
      <w:r w:rsidRPr="00AC781E">
        <w:rPr>
          <w:noProof/>
        </w:rPr>
        <w:t xml:space="preserve"> </w:t>
      </w:r>
    </w:p>
    <w:p w:rsidR="00DE314D" w:rsidRPr="00AC781E" w:rsidRDefault="00DE314D">
      <w:pPr>
        <w:pStyle w:val="Text1"/>
        <w:rPr>
          <w:noProof/>
        </w:rPr>
      </w:pPr>
      <w:r w:rsidRPr="00AC781E">
        <w:rPr>
          <w:noProof/>
        </w:rPr>
        <w:t>The proposal/initiative:</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does not provide for co-financing by third parties</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provides for the co-financing by third parties estimated below:</w:t>
      </w:r>
    </w:p>
    <w:p w:rsidR="00DE314D" w:rsidRPr="00AC781E" w:rsidRDefault="00DE314D">
      <w:pPr>
        <w:jc w:val="right"/>
        <w:rPr>
          <w:noProof/>
          <w:sz w:val="20"/>
          <w:lang w:val="en-IE"/>
        </w:rPr>
      </w:pPr>
      <w:r w:rsidRPr="00AC781E">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AC781E" w:rsidRPr="00AC781E">
        <w:trPr>
          <w:cantSplit/>
        </w:trPr>
        <w:tc>
          <w:tcPr>
            <w:tcW w:w="1591" w:type="pct"/>
          </w:tcPr>
          <w:p w:rsidR="00DE314D" w:rsidRPr="00AC781E" w:rsidRDefault="00DE314D">
            <w:pPr>
              <w:spacing w:before="60" w:after="60"/>
              <w:rPr>
                <w:noProof/>
                <w:sz w:val="20"/>
                <w:lang w:val="en-IE"/>
              </w:rPr>
            </w:pPr>
          </w:p>
        </w:tc>
        <w:tc>
          <w:tcPr>
            <w:tcW w:w="655" w:type="pct"/>
            <w:vAlign w:val="center"/>
          </w:tcPr>
          <w:p w:rsidR="00DE314D" w:rsidRPr="00AC781E" w:rsidRDefault="00DE314D">
            <w:pPr>
              <w:jc w:val="center"/>
              <w:rPr>
                <w:noProof/>
                <w:sz w:val="20"/>
              </w:rPr>
            </w:pPr>
            <w:r w:rsidRPr="00AC781E">
              <w:rPr>
                <w:noProof/>
                <w:sz w:val="20"/>
              </w:rPr>
              <w:t xml:space="preserve">Year </w:t>
            </w:r>
            <w:r w:rsidRPr="00AC781E">
              <w:rPr>
                <w:noProof/>
                <w:sz w:val="22"/>
              </w:rPr>
              <w:br/>
            </w:r>
            <w:r w:rsidRPr="00AC781E">
              <w:rPr>
                <w:b/>
                <w:noProof/>
                <w:sz w:val="20"/>
              </w:rPr>
              <w:t>2024</w:t>
            </w:r>
          </w:p>
        </w:tc>
        <w:tc>
          <w:tcPr>
            <w:tcW w:w="655" w:type="pct"/>
            <w:vAlign w:val="center"/>
          </w:tcPr>
          <w:p w:rsidR="00DE314D" w:rsidRPr="00AC781E" w:rsidRDefault="00DE314D">
            <w:pPr>
              <w:jc w:val="center"/>
              <w:rPr>
                <w:noProof/>
                <w:sz w:val="20"/>
              </w:rPr>
            </w:pPr>
            <w:r w:rsidRPr="00AC781E">
              <w:rPr>
                <w:noProof/>
                <w:sz w:val="20"/>
              </w:rPr>
              <w:t xml:space="preserve">Year </w:t>
            </w:r>
            <w:r w:rsidRPr="00AC781E">
              <w:rPr>
                <w:noProof/>
                <w:sz w:val="22"/>
              </w:rPr>
              <w:br/>
            </w:r>
            <w:r w:rsidRPr="00AC781E">
              <w:rPr>
                <w:b/>
                <w:noProof/>
                <w:sz w:val="20"/>
              </w:rPr>
              <w:t>2025</w:t>
            </w:r>
          </w:p>
        </w:tc>
        <w:tc>
          <w:tcPr>
            <w:tcW w:w="655" w:type="pct"/>
            <w:vAlign w:val="center"/>
          </w:tcPr>
          <w:p w:rsidR="00DE314D" w:rsidRPr="00AC781E" w:rsidRDefault="00DE314D">
            <w:pPr>
              <w:jc w:val="center"/>
              <w:rPr>
                <w:noProof/>
                <w:sz w:val="20"/>
              </w:rPr>
            </w:pPr>
            <w:r w:rsidRPr="00AC781E">
              <w:rPr>
                <w:noProof/>
                <w:sz w:val="20"/>
              </w:rPr>
              <w:t xml:space="preserve">Year </w:t>
            </w:r>
            <w:r w:rsidRPr="00AC781E">
              <w:rPr>
                <w:noProof/>
                <w:sz w:val="22"/>
              </w:rPr>
              <w:br/>
            </w:r>
            <w:r w:rsidRPr="00AC781E">
              <w:rPr>
                <w:b/>
                <w:noProof/>
                <w:sz w:val="20"/>
              </w:rPr>
              <w:t>2026</w:t>
            </w:r>
          </w:p>
        </w:tc>
        <w:tc>
          <w:tcPr>
            <w:tcW w:w="655" w:type="pct"/>
            <w:vAlign w:val="center"/>
          </w:tcPr>
          <w:p w:rsidR="00DE314D" w:rsidRPr="00AC781E" w:rsidRDefault="00DE314D">
            <w:pPr>
              <w:jc w:val="center"/>
              <w:rPr>
                <w:noProof/>
                <w:sz w:val="20"/>
              </w:rPr>
            </w:pPr>
            <w:r w:rsidRPr="00AC781E">
              <w:rPr>
                <w:noProof/>
                <w:sz w:val="20"/>
              </w:rPr>
              <w:t xml:space="preserve">Year </w:t>
            </w:r>
            <w:r w:rsidRPr="00AC781E">
              <w:rPr>
                <w:noProof/>
                <w:sz w:val="22"/>
              </w:rPr>
              <w:br/>
            </w:r>
            <w:r w:rsidRPr="00AC781E">
              <w:rPr>
                <w:b/>
                <w:noProof/>
                <w:sz w:val="20"/>
              </w:rPr>
              <w:t>2027</w:t>
            </w:r>
          </w:p>
        </w:tc>
        <w:tc>
          <w:tcPr>
            <w:tcW w:w="787" w:type="pct"/>
            <w:vAlign w:val="center"/>
          </w:tcPr>
          <w:p w:rsidR="00DE314D" w:rsidRPr="00AC781E" w:rsidRDefault="00DE314D">
            <w:pPr>
              <w:spacing w:before="60" w:after="60"/>
              <w:jc w:val="center"/>
              <w:rPr>
                <w:noProof/>
                <w:sz w:val="20"/>
              </w:rPr>
            </w:pPr>
            <w:r w:rsidRPr="00AC781E">
              <w:rPr>
                <w:noProof/>
                <w:sz w:val="20"/>
              </w:rPr>
              <w:t>Total</w:t>
            </w:r>
          </w:p>
        </w:tc>
      </w:tr>
      <w:tr w:rsidR="00AC781E" w:rsidRPr="00AC781E">
        <w:trPr>
          <w:cantSplit/>
        </w:trPr>
        <w:tc>
          <w:tcPr>
            <w:tcW w:w="1591" w:type="pct"/>
          </w:tcPr>
          <w:p w:rsidR="00DE314D" w:rsidRPr="00AC781E" w:rsidRDefault="00DE314D">
            <w:pPr>
              <w:rPr>
                <w:noProof/>
                <w:lang w:val="en-IE"/>
              </w:rPr>
            </w:pPr>
            <w:r w:rsidRPr="00AC781E">
              <w:rPr>
                <w:noProof/>
                <w:sz w:val="20"/>
                <w:lang w:val="en-IE"/>
              </w:rPr>
              <w:t>Specify the co-financing body</w:t>
            </w:r>
            <w:r w:rsidRPr="00AC781E">
              <w:rPr>
                <w:i/>
                <w:noProof/>
                <w:sz w:val="20"/>
                <w:lang w:val="en-IE"/>
              </w:rPr>
              <w:t xml:space="preserve"> </w:t>
            </w:r>
          </w:p>
        </w:tc>
        <w:tc>
          <w:tcPr>
            <w:tcW w:w="655" w:type="pct"/>
            <w:vAlign w:val="center"/>
          </w:tcPr>
          <w:p w:rsidR="00DE314D" w:rsidRPr="00AC781E" w:rsidRDefault="00DE314D">
            <w:pPr>
              <w:spacing w:before="60" w:after="60"/>
              <w:jc w:val="center"/>
              <w:rPr>
                <w:noProof/>
                <w:sz w:val="20"/>
                <w:lang w:val="en-IE"/>
              </w:rPr>
            </w:pPr>
          </w:p>
        </w:tc>
        <w:tc>
          <w:tcPr>
            <w:tcW w:w="655" w:type="pct"/>
            <w:vAlign w:val="center"/>
          </w:tcPr>
          <w:p w:rsidR="00DE314D" w:rsidRPr="00AC781E" w:rsidRDefault="00DE314D">
            <w:pPr>
              <w:spacing w:before="60" w:after="60"/>
              <w:jc w:val="center"/>
              <w:rPr>
                <w:noProof/>
                <w:sz w:val="20"/>
                <w:lang w:val="en-IE"/>
              </w:rPr>
            </w:pPr>
          </w:p>
        </w:tc>
        <w:tc>
          <w:tcPr>
            <w:tcW w:w="655" w:type="pct"/>
            <w:vAlign w:val="center"/>
          </w:tcPr>
          <w:p w:rsidR="00DE314D" w:rsidRPr="00AC781E" w:rsidRDefault="00DE314D">
            <w:pPr>
              <w:spacing w:before="60" w:after="60"/>
              <w:jc w:val="center"/>
              <w:rPr>
                <w:noProof/>
                <w:sz w:val="20"/>
                <w:lang w:val="en-IE"/>
              </w:rPr>
            </w:pPr>
          </w:p>
        </w:tc>
        <w:tc>
          <w:tcPr>
            <w:tcW w:w="655" w:type="pct"/>
            <w:vAlign w:val="center"/>
          </w:tcPr>
          <w:p w:rsidR="00DE314D" w:rsidRPr="00AC781E" w:rsidRDefault="00DE314D">
            <w:pPr>
              <w:spacing w:before="60" w:after="60"/>
              <w:jc w:val="center"/>
              <w:rPr>
                <w:noProof/>
                <w:sz w:val="20"/>
                <w:lang w:val="en-IE"/>
              </w:rPr>
            </w:pPr>
          </w:p>
        </w:tc>
        <w:tc>
          <w:tcPr>
            <w:tcW w:w="787" w:type="pct"/>
            <w:vAlign w:val="center"/>
          </w:tcPr>
          <w:p w:rsidR="00DE314D" w:rsidRPr="00AC781E" w:rsidRDefault="00DE314D">
            <w:pPr>
              <w:spacing w:before="60" w:after="60"/>
              <w:jc w:val="center"/>
              <w:rPr>
                <w:noProof/>
                <w:sz w:val="20"/>
                <w:lang w:val="en-IE"/>
              </w:rPr>
            </w:pPr>
          </w:p>
        </w:tc>
      </w:tr>
      <w:tr w:rsidR="00AC781E" w:rsidRPr="00AC781E">
        <w:trPr>
          <w:cantSplit/>
        </w:trPr>
        <w:tc>
          <w:tcPr>
            <w:tcW w:w="1591" w:type="pct"/>
          </w:tcPr>
          <w:p w:rsidR="00DE314D" w:rsidRPr="00AC781E" w:rsidRDefault="00DE314D">
            <w:pPr>
              <w:spacing w:before="60" w:after="60"/>
              <w:jc w:val="left"/>
              <w:rPr>
                <w:noProof/>
                <w:sz w:val="20"/>
              </w:rPr>
            </w:pPr>
            <w:r w:rsidRPr="00AC781E">
              <w:rPr>
                <w:noProof/>
                <w:sz w:val="20"/>
              </w:rPr>
              <w:t xml:space="preserve">TOTAL appropriations co-financed </w:t>
            </w:r>
          </w:p>
        </w:tc>
        <w:tc>
          <w:tcPr>
            <w:tcW w:w="655" w:type="pct"/>
            <w:vAlign w:val="center"/>
          </w:tcPr>
          <w:p w:rsidR="00DE314D" w:rsidRPr="00AC781E" w:rsidRDefault="00DE314D">
            <w:pPr>
              <w:spacing w:before="60" w:after="60"/>
              <w:jc w:val="center"/>
              <w:rPr>
                <w:noProof/>
                <w:sz w:val="20"/>
              </w:rPr>
            </w:pPr>
          </w:p>
        </w:tc>
        <w:tc>
          <w:tcPr>
            <w:tcW w:w="655" w:type="pct"/>
            <w:vAlign w:val="center"/>
          </w:tcPr>
          <w:p w:rsidR="00DE314D" w:rsidRPr="00AC781E" w:rsidRDefault="00DE314D">
            <w:pPr>
              <w:spacing w:before="60" w:after="60"/>
              <w:jc w:val="center"/>
              <w:rPr>
                <w:noProof/>
                <w:sz w:val="20"/>
              </w:rPr>
            </w:pPr>
          </w:p>
        </w:tc>
        <w:tc>
          <w:tcPr>
            <w:tcW w:w="655" w:type="pct"/>
            <w:vAlign w:val="center"/>
          </w:tcPr>
          <w:p w:rsidR="00DE314D" w:rsidRPr="00AC781E" w:rsidRDefault="00DE314D">
            <w:pPr>
              <w:spacing w:before="60" w:after="60"/>
              <w:jc w:val="center"/>
              <w:rPr>
                <w:noProof/>
                <w:sz w:val="20"/>
              </w:rPr>
            </w:pPr>
          </w:p>
        </w:tc>
        <w:tc>
          <w:tcPr>
            <w:tcW w:w="655" w:type="pct"/>
            <w:vAlign w:val="center"/>
          </w:tcPr>
          <w:p w:rsidR="00DE314D" w:rsidRPr="00AC781E" w:rsidRDefault="00DE314D">
            <w:pPr>
              <w:spacing w:before="60" w:after="60"/>
              <w:jc w:val="center"/>
              <w:rPr>
                <w:noProof/>
                <w:sz w:val="20"/>
              </w:rPr>
            </w:pPr>
          </w:p>
        </w:tc>
        <w:tc>
          <w:tcPr>
            <w:tcW w:w="787" w:type="pct"/>
            <w:vAlign w:val="center"/>
          </w:tcPr>
          <w:p w:rsidR="00DE314D" w:rsidRPr="00AC781E" w:rsidRDefault="00DE314D">
            <w:pPr>
              <w:spacing w:before="60" w:after="60"/>
              <w:jc w:val="center"/>
              <w:rPr>
                <w:noProof/>
                <w:sz w:val="20"/>
              </w:rPr>
            </w:pPr>
          </w:p>
        </w:tc>
      </w:tr>
    </w:tbl>
    <w:p w:rsidR="00DE314D" w:rsidRPr="00AC781E" w:rsidRDefault="00DE314D">
      <w:pPr>
        <w:outlineLvl w:val="1"/>
        <w:rPr>
          <w:noProof/>
          <w:szCs w:val="24"/>
        </w:rPr>
      </w:pPr>
      <w:r w:rsidRPr="00AC781E">
        <w:rPr>
          <w:noProof/>
        </w:rPr>
        <w:br/>
      </w:r>
      <w:bookmarkStart w:id="188" w:name="_Toc514938059"/>
      <w:bookmarkStart w:id="189" w:name="_Toc520485057"/>
      <w:bookmarkStart w:id="190" w:name="_Toc160804602"/>
      <w:bookmarkStart w:id="191" w:name="_Toc167220300"/>
      <w:bookmarkStart w:id="192" w:name="_Toc177549034"/>
      <w:bookmarkStart w:id="193" w:name="_Hlk166860179"/>
      <w:r w:rsidRPr="00AC781E">
        <w:rPr>
          <w:noProof/>
        </w:rPr>
        <w:t>3.3.</w:t>
      </w:r>
      <w:r w:rsidRPr="00AC781E">
        <w:rPr>
          <w:noProof/>
        </w:rPr>
        <w:tab/>
        <w:t>Estimated impact on revenue</w:t>
      </w:r>
      <w:bookmarkEnd w:id="188"/>
      <w:bookmarkEnd w:id="189"/>
      <w:bookmarkEnd w:id="190"/>
      <w:bookmarkEnd w:id="191"/>
      <w:bookmarkEnd w:id="192"/>
      <w:r w:rsidRPr="00AC781E">
        <w:rPr>
          <w:noProof/>
        </w:rPr>
        <w:t xml:space="preserve"> </w:t>
      </w:r>
    </w:p>
    <w:bookmarkEnd w:id="193"/>
    <w:p w:rsidR="00DE314D" w:rsidRPr="00AC781E" w:rsidRDefault="00DE314D">
      <w:pPr>
        <w:pStyle w:val="ListDash1"/>
        <w:rPr>
          <w:noProof/>
        </w:rPr>
      </w:pPr>
      <w:r w:rsidRPr="00AC781E">
        <w:rPr>
          <w:rFonts w:ascii="Wingdings" w:eastAsia="Wingdings" w:hAnsi="Wingdings" w:cs="Wingdings"/>
          <w:noProof/>
        </w:rPr>
        <w:t></w:t>
      </w:r>
      <w:r w:rsidRPr="00AC781E">
        <w:rPr>
          <w:noProof/>
        </w:rPr>
        <w:tab/>
        <w:t>The proposal/initiative has no financial impact on revenue.</w:t>
      </w:r>
    </w:p>
    <w:p w:rsidR="00DE314D" w:rsidRPr="00AC781E" w:rsidRDefault="00DE314D">
      <w:pPr>
        <w:pStyle w:val="ListDash1"/>
        <w:rPr>
          <w:noProof/>
        </w:rPr>
      </w:pPr>
      <w:r w:rsidRPr="00AC781E">
        <w:rPr>
          <w:rFonts w:ascii="Wingdings" w:eastAsia="Wingdings" w:hAnsi="Wingdings" w:cs="Wingdings"/>
          <w:noProof/>
        </w:rPr>
        <w:t></w:t>
      </w:r>
      <w:r w:rsidRPr="00AC781E">
        <w:rPr>
          <w:noProof/>
        </w:rPr>
        <w:tab/>
        <w:t>The proposal/initiative has the following financial impact:</w:t>
      </w:r>
    </w:p>
    <w:p w:rsidR="00DE314D" w:rsidRPr="00AC781E" w:rsidRDefault="00DE314D" w:rsidP="00DE314D">
      <w:pPr>
        <w:pStyle w:val="ListNumberLevel3"/>
        <w:rPr>
          <w:noProof/>
        </w:rPr>
      </w:pPr>
      <w:r w:rsidRPr="00AC781E">
        <w:rPr>
          <w:rFonts w:ascii="Wingdings" w:eastAsia="Wingdings" w:hAnsi="Wingdings" w:cs="Wingdings"/>
          <w:noProof/>
        </w:rPr>
        <w:t></w:t>
      </w:r>
      <w:r w:rsidRPr="00AC781E">
        <w:rPr>
          <w:noProof/>
        </w:rPr>
        <w:tab/>
        <w:t xml:space="preserve">on own resources </w:t>
      </w:r>
    </w:p>
    <w:p w:rsidR="00DE314D" w:rsidRPr="00AC781E" w:rsidRDefault="00DE314D" w:rsidP="00DE314D">
      <w:pPr>
        <w:pStyle w:val="ListNumberLevel3"/>
        <w:rPr>
          <w:noProof/>
        </w:rPr>
      </w:pPr>
      <w:r w:rsidRPr="00AC781E">
        <w:rPr>
          <w:rFonts w:ascii="Wingdings" w:eastAsia="Wingdings" w:hAnsi="Wingdings" w:cs="Wingdings"/>
          <w:noProof/>
        </w:rPr>
        <w:t></w:t>
      </w:r>
      <w:r w:rsidRPr="00AC781E">
        <w:rPr>
          <w:noProof/>
        </w:rPr>
        <w:tab/>
        <w:t>on other revenue</w:t>
      </w:r>
    </w:p>
    <w:p w:rsidR="00DE314D" w:rsidRPr="00AC781E" w:rsidRDefault="00DE314D" w:rsidP="00DE314D">
      <w:pPr>
        <w:pStyle w:val="ListNumberLevel3"/>
        <w:rPr>
          <w:noProof/>
        </w:rPr>
      </w:pPr>
      <w:r w:rsidRPr="00AC781E">
        <w:rPr>
          <w:rFonts w:ascii="Wingdings" w:eastAsia="Wingdings" w:hAnsi="Wingdings" w:cs="Wingdings"/>
          <w:noProof/>
        </w:rPr>
        <w:t></w:t>
      </w:r>
      <w:r w:rsidRPr="00AC781E">
        <w:rPr>
          <w:rFonts w:ascii="Wingdings" w:eastAsia="Wingdings" w:hAnsi="Wingdings" w:cs="Wingdings"/>
          <w:noProof/>
        </w:rPr>
        <w:tab/>
      </w:r>
      <w:r w:rsidRPr="00AC781E">
        <w:rPr>
          <w:noProof/>
        </w:rPr>
        <w:t>please indicate, if the revenue is assigned to expenditure lines</w:t>
      </w:r>
    </w:p>
    <w:p w:rsidR="00DE314D" w:rsidRPr="00AC781E" w:rsidRDefault="00DE314D">
      <w:pPr>
        <w:jc w:val="right"/>
        <w:rPr>
          <w:noProof/>
          <w:sz w:val="20"/>
          <w:lang w:val="en-IE"/>
        </w:rPr>
      </w:pPr>
      <w:r w:rsidRPr="00AC781E">
        <w:rPr>
          <w:noProof/>
          <w:sz w:val="20"/>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AC781E" w:rsidRPr="00AC781E" w:rsidTr="3CFC5CC3">
        <w:trPr>
          <w:trHeight w:val="388"/>
        </w:trPr>
        <w:tc>
          <w:tcPr>
            <w:tcW w:w="1423" w:type="pct"/>
            <w:vMerge w:val="restart"/>
            <w:vAlign w:val="center"/>
          </w:tcPr>
          <w:p w:rsidR="00DE314D" w:rsidRPr="00AC781E" w:rsidRDefault="00DE314D">
            <w:pPr>
              <w:spacing w:before="40" w:after="40"/>
              <w:rPr>
                <w:noProof/>
                <w:sz w:val="18"/>
              </w:rPr>
            </w:pPr>
            <w:r w:rsidRPr="00AC781E">
              <w:rPr>
                <w:noProof/>
                <w:sz w:val="18"/>
              </w:rPr>
              <w:t>Budget revenue line:</w:t>
            </w:r>
          </w:p>
        </w:tc>
        <w:tc>
          <w:tcPr>
            <w:tcW w:w="869" w:type="pct"/>
            <w:vMerge w:val="restart"/>
            <w:vAlign w:val="center"/>
          </w:tcPr>
          <w:p w:rsidR="00DE314D" w:rsidRPr="00AC781E" w:rsidRDefault="00DE314D">
            <w:pPr>
              <w:jc w:val="center"/>
              <w:rPr>
                <w:noProof/>
                <w:sz w:val="18"/>
                <w:lang w:val="en-IE"/>
              </w:rPr>
            </w:pPr>
            <w:r w:rsidRPr="00AC781E">
              <w:rPr>
                <w:noProof/>
                <w:sz w:val="18"/>
                <w:lang w:val="en-IE"/>
              </w:rPr>
              <w:t>Appropriations available for the current financial year</w:t>
            </w:r>
          </w:p>
        </w:tc>
        <w:tc>
          <w:tcPr>
            <w:tcW w:w="2709" w:type="pct"/>
            <w:gridSpan w:val="4"/>
            <w:vAlign w:val="center"/>
          </w:tcPr>
          <w:p w:rsidR="00DE314D" w:rsidRPr="00AC781E" w:rsidRDefault="00DE314D">
            <w:pPr>
              <w:jc w:val="center"/>
              <w:rPr>
                <w:noProof/>
                <w:sz w:val="18"/>
                <w:lang w:val="en-IE"/>
              </w:rPr>
            </w:pPr>
            <w:r w:rsidRPr="00AC781E">
              <w:rPr>
                <w:noProof/>
                <w:sz w:val="18"/>
                <w:szCs w:val="18"/>
                <w:lang w:val="en-IE"/>
              </w:rPr>
              <w:t>Impact of the proposal/initiative</w:t>
            </w:r>
            <w:r w:rsidRPr="00AC781E">
              <w:rPr>
                <w:rStyle w:val="FootnoteReference"/>
                <w:noProof/>
                <w:sz w:val="18"/>
                <w:szCs w:val="18"/>
              </w:rPr>
              <w:footnoteReference w:id="51"/>
            </w:r>
          </w:p>
        </w:tc>
      </w:tr>
      <w:tr w:rsidR="00AC781E" w:rsidRPr="00AC781E" w:rsidTr="3CFC5CC3">
        <w:trPr>
          <w:trHeight w:val="388"/>
        </w:trPr>
        <w:tc>
          <w:tcPr>
            <w:tcW w:w="1423" w:type="pct"/>
            <w:vMerge/>
          </w:tcPr>
          <w:p w:rsidR="00DE314D" w:rsidRPr="00AC781E" w:rsidRDefault="00DE314D">
            <w:pPr>
              <w:spacing w:before="40" w:after="40"/>
              <w:rPr>
                <w:noProof/>
                <w:sz w:val="18"/>
                <w:lang w:val="en-IE"/>
              </w:rPr>
            </w:pPr>
          </w:p>
        </w:tc>
        <w:tc>
          <w:tcPr>
            <w:tcW w:w="869" w:type="pct"/>
            <w:vMerge/>
          </w:tcPr>
          <w:p w:rsidR="00DE314D" w:rsidRPr="00AC781E" w:rsidRDefault="00DE314D">
            <w:pPr>
              <w:spacing w:beforeLines="40" w:before="96" w:afterLines="40" w:after="96"/>
              <w:rPr>
                <w:i/>
                <w:noProof/>
                <w:sz w:val="18"/>
                <w:lang w:val="en-IE"/>
              </w:rPr>
            </w:pPr>
          </w:p>
        </w:tc>
        <w:tc>
          <w:tcPr>
            <w:tcW w:w="911" w:type="pct"/>
            <w:vAlign w:val="center"/>
          </w:tcPr>
          <w:p w:rsidR="00DE314D" w:rsidRPr="00AC781E" w:rsidRDefault="00DE314D">
            <w:pPr>
              <w:jc w:val="center"/>
              <w:rPr>
                <w:noProof/>
                <w:sz w:val="18"/>
              </w:rPr>
            </w:pPr>
            <w:r w:rsidRPr="00AC781E">
              <w:rPr>
                <w:noProof/>
                <w:sz w:val="18"/>
              </w:rPr>
              <w:t xml:space="preserve">Year </w:t>
            </w:r>
            <w:r w:rsidRPr="00AC781E">
              <w:rPr>
                <w:b/>
                <w:noProof/>
                <w:sz w:val="18"/>
              </w:rPr>
              <w:t>2024</w:t>
            </w:r>
          </w:p>
        </w:tc>
        <w:tc>
          <w:tcPr>
            <w:tcW w:w="562" w:type="pct"/>
            <w:vAlign w:val="center"/>
          </w:tcPr>
          <w:p w:rsidR="00DE314D" w:rsidRPr="00AC781E" w:rsidRDefault="00DE314D">
            <w:pPr>
              <w:jc w:val="center"/>
              <w:rPr>
                <w:noProof/>
                <w:sz w:val="18"/>
              </w:rPr>
            </w:pPr>
            <w:r w:rsidRPr="00AC781E">
              <w:rPr>
                <w:noProof/>
                <w:sz w:val="18"/>
              </w:rPr>
              <w:t xml:space="preserve">Year </w:t>
            </w:r>
            <w:r w:rsidRPr="00AC781E">
              <w:rPr>
                <w:b/>
                <w:noProof/>
                <w:sz w:val="18"/>
              </w:rPr>
              <w:t>2025</w:t>
            </w:r>
          </w:p>
        </w:tc>
        <w:tc>
          <w:tcPr>
            <w:tcW w:w="557" w:type="pct"/>
            <w:vAlign w:val="center"/>
          </w:tcPr>
          <w:p w:rsidR="00DE314D" w:rsidRPr="00AC781E" w:rsidRDefault="00DE314D">
            <w:pPr>
              <w:jc w:val="center"/>
              <w:rPr>
                <w:noProof/>
                <w:sz w:val="18"/>
              </w:rPr>
            </w:pPr>
            <w:r w:rsidRPr="00AC781E">
              <w:rPr>
                <w:noProof/>
                <w:sz w:val="18"/>
              </w:rPr>
              <w:t xml:space="preserve">Year </w:t>
            </w:r>
            <w:r w:rsidRPr="00AC781E">
              <w:rPr>
                <w:b/>
                <w:noProof/>
                <w:sz w:val="18"/>
              </w:rPr>
              <w:t>2026</w:t>
            </w:r>
          </w:p>
        </w:tc>
        <w:tc>
          <w:tcPr>
            <w:tcW w:w="679" w:type="pct"/>
            <w:vAlign w:val="center"/>
          </w:tcPr>
          <w:p w:rsidR="00DE314D" w:rsidRPr="00AC781E" w:rsidRDefault="00DE314D">
            <w:pPr>
              <w:jc w:val="center"/>
              <w:rPr>
                <w:noProof/>
                <w:sz w:val="18"/>
              </w:rPr>
            </w:pPr>
            <w:r w:rsidRPr="00AC781E">
              <w:rPr>
                <w:noProof/>
                <w:sz w:val="18"/>
              </w:rPr>
              <w:t xml:space="preserve">Year </w:t>
            </w:r>
            <w:r w:rsidRPr="00AC781E">
              <w:rPr>
                <w:b/>
                <w:noProof/>
                <w:sz w:val="18"/>
              </w:rPr>
              <w:t>2027</w:t>
            </w:r>
          </w:p>
        </w:tc>
      </w:tr>
      <w:tr w:rsidR="00AC781E" w:rsidRPr="00AC781E" w:rsidTr="3CFC5CC3">
        <w:trPr>
          <w:trHeight w:val="388"/>
        </w:trPr>
        <w:tc>
          <w:tcPr>
            <w:tcW w:w="1423" w:type="pct"/>
            <w:vAlign w:val="center"/>
          </w:tcPr>
          <w:p w:rsidR="00DE314D" w:rsidRPr="00AC781E" w:rsidRDefault="00DE314D">
            <w:pPr>
              <w:spacing w:before="40" w:after="40"/>
              <w:rPr>
                <w:noProof/>
                <w:sz w:val="18"/>
              </w:rPr>
            </w:pPr>
            <w:r w:rsidRPr="00AC781E">
              <w:rPr>
                <w:noProof/>
                <w:sz w:val="18"/>
              </w:rPr>
              <w:t>Article ………….</w:t>
            </w:r>
          </w:p>
        </w:tc>
        <w:tc>
          <w:tcPr>
            <w:tcW w:w="869" w:type="pct"/>
          </w:tcPr>
          <w:p w:rsidR="00DE314D" w:rsidRPr="00AC781E" w:rsidRDefault="00DE314D">
            <w:pPr>
              <w:spacing w:beforeLines="40" w:before="96" w:afterLines="40" w:after="96"/>
              <w:jc w:val="center"/>
              <w:rPr>
                <w:i/>
                <w:noProof/>
                <w:sz w:val="18"/>
              </w:rPr>
            </w:pPr>
          </w:p>
        </w:tc>
        <w:tc>
          <w:tcPr>
            <w:tcW w:w="911" w:type="pct"/>
          </w:tcPr>
          <w:p w:rsidR="00DE314D" w:rsidRPr="00AC781E" w:rsidRDefault="00DE314D">
            <w:pPr>
              <w:spacing w:beforeLines="40" w:before="96" w:afterLines="40" w:after="96"/>
              <w:jc w:val="center"/>
              <w:rPr>
                <w:noProof/>
                <w:sz w:val="18"/>
              </w:rPr>
            </w:pPr>
          </w:p>
        </w:tc>
        <w:tc>
          <w:tcPr>
            <w:tcW w:w="562" w:type="pct"/>
          </w:tcPr>
          <w:p w:rsidR="00DE314D" w:rsidRPr="00AC781E" w:rsidRDefault="00DE314D">
            <w:pPr>
              <w:spacing w:beforeLines="40" w:before="96" w:afterLines="40" w:after="96"/>
              <w:jc w:val="center"/>
              <w:rPr>
                <w:noProof/>
                <w:sz w:val="18"/>
              </w:rPr>
            </w:pPr>
          </w:p>
        </w:tc>
        <w:tc>
          <w:tcPr>
            <w:tcW w:w="557" w:type="pct"/>
          </w:tcPr>
          <w:p w:rsidR="00DE314D" w:rsidRPr="00AC781E" w:rsidRDefault="00DE314D">
            <w:pPr>
              <w:spacing w:beforeLines="40" w:before="96" w:afterLines="40" w:after="96"/>
              <w:jc w:val="center"/>
              <w:rPr>
                <w:noProof/>
                <w:sz w:val="18"/>
              </w:rPr>
            </w:pPr>
          </w:p>
        </w:tc>
        <w:tc>
          <w:tcPr>
            <w:tcW w:w="679" w:type="pct"/>
          </w:tcPr>
          <w:p w:rsidR="00DE314D" w:rsidRPr="00AC781E" w:rsidRDefault="00DE314D">
            <w:pPr>
              <w:spacing w:beforeLines="40" w:before="96" w:afterLines="40" w:after="96"/>
              <w:jc w:val="center"/>
              <w:rPr>
                <w:noProof/>
                <w:sz w:val="18"/>
              </w:rPr>
            </w:pPr>
          </w:p>
        </w:tc>
      </w:tr>
    </w:tbl>
    <w:p w:rsidR="00DE314D" w:rsidRPr="00AC781E" w:rsidRDefault="00DE314D">
      <w:pPr>
        <w:pStyle w:val="Text1"/>
        <w:rPr>
          <w:noProof/>
          <w:szCs w:val="24"/>
        </w:rPr>
      </w:pPr>
      <w:r w:rsidRPr="00AC781E">
        <w:rPr>
          <w:noProof/>
          <w:szCs w:val="24"/>
        </w:rPr>
        <w:t>For assigned revenue, specify the budget expenditure line(s) affected.</w:t>
      </w:r>
    </w:p>
    <w:p w:rsidR="00DE314D" w:rsidRPr="00AC781E" w:rsidRDefault="00DE314D">
      <w:pPr>
        <w:pStyle w:val="Text1"/>
        <w:rPr>
          <w:noProof/>
          <w:szCs w:val="24"/>
        </w:rPr>
      </w:pPr>
      <w:r w:rsidRPr="00AC781E">
        <w:rPr>
          <w:noProof/>
          <w:szCs w:val="24"/>
        </w:rPr>
        <w:t>Other remarks (e.g. method/formula used for calculating the impact on revenue or any other information).</w:t>
      </w:r>
    </w:p>
    <w:p w:rsidR="00DE314D" w:rsidRPr="00AC781E" w:rsidRDefault="00DE314D">
      <w:pPr>
        <w:pStyle w:val="ManualHeading1"/>
        <w:rPr>
          <w:caps/>
          <w:noProof/>
        </w:rPr>
      </w:pPr>
      <w:bookmarkStart w:id="194" w:name="_Toc167220301"/>
      <w:bookmarkStart w:id="195" w:name="_Toc177549035"/>
      <w:r w:rsidRPr="00AC781E">
        <w:rPr>
          <w:noProof/>
        </w:rPr>
        <w:t>4.</w:t>
      </w:r>
      <w:r w:rsidRPr="00AC781E">
        <w:rPr>
          <w:noProof/>
        </w:rPr>
        <w:tab/>
      </w:r>
      <w:bookmarkStart w:id="196" w:name="_Hlk167692977"/>
      <w:r w:rsidRPr="00AC781E">
        <w:rPr>
          <w:caps/>
          <w:noProof/>
        </w:rPr>
        <w:t>Digital dimensions</w:t>
      </w:r>
      <w:bookmarkEnd w:id="194"/>
      <w:bookmarkEnd w:id="195"/>
    </w:p>
    <w:p w:rsidR="00DE314D" w:rsidRPr="00AC781E" w:rsidRDefault="00DE314D">
      <w:pPr>
        <w:pStyle w:val="ManualHeading2"/>
        <w:rPr>
          <w:noProof/>
        </w:rPr>
      </w:pPr>
      <w:bookmarkStart w:id="197" w:name="_Toc167220302"/>
      <w:bookmarkStart w:id="198" w:name="_Toc177549037"/>
      <w:r w:rsidRPr="77BC4F07">
        <w:rPr>
          <w:noProof/>
        </w:rPr>
        <w:t>4.1.</w:t>
      </w:r>
      <w:r>
        <w:rPr>
          <w:noProof/>
        </w:rPr>
        <w:tab/>
      </w:r>
      <w:r w:rsidRPr="77BC4F07">
        <w:rPr>
          <w:noProof/>
        </w:rPr>
        <w:t>Requirements of digital relevance</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rsidR="00AC781E" w:rsidRPr="00AC781E" w:rsidTr="77BC4F07">
        <w:trPr>
          <w:trHeight w:val="300"/>
        </w:trPr>
        <w:tc>
          <w:tcPr>
            <w:tcW w:w="9072" w:type="dxa"/>
          </w:tcPr>
          <w:p w:rsidR="00DE314D" w:rsidRPr="0017445D" w:rsidRDefault="0017445D" w:rsidP="0017445D">
            <w:pPr>
              <w:rPr>
                <w:noProof/>
              </w:rPr>
            </w:pPr>
            <w:r>
              <w:rPr>
                <w:noProof/>
              </w:rPr>
              <w:t>Not applicable.</w:t>
            </w:r>
          </w:p>
        </w:tc>
      </w:tr>
    </w:tbl>
    <w:p w:rsidR="00DE314D" w:rsidRPr="00AC781E" w:rsidRDefault="00DE314D">
      <w:pPr>
        <w:pStyle w:val="ManualHeading2"/>
        <w:rPr>
          <w:noProof/>
        </w:rPr>
      </w:pPr>
      <w:bookmarkStart w:id="199" w:name="_Toc167220303"/>
      <w:bookmarkStart w:id="200" w:name="_Toc177549038"/>
      <w:r w:rsidRPr="77BC4F07">
        <w:rPr>
          <w:noProof/>
        </w:rPr>
        <w:t>4.2.</w:t>
      </w:r>
      <w:r>
        <w:rPr>
          <w:noProof/>
        </w:rPr>
        <w:tab/>
      </w:r>
      <w:r w:rsidRPr="77BC4F07">
        <w:rPr>
          <w:noProof/>
        </w:rPr>
        <w:t>Data</w:t>
      </w:r>
      <w:bookmarkEnd w:id="199"/>
      <w:bookmarkEnd w:id="200"/>
    </w:p>
    <w:tbl>
      <w:tblPr>
        <w:tblStyle w:val="TableGrid"/>
        <w:tblW w:w="0" w:type="auto"/>
        <w:tblLook w:val="04A0" w:firstRow="1" w:lastRow="0" w:firstColumn="1" w:lastColumn="0" w:noHBand="0" w:noVBand="1"/>
      </w:tblPr>
      <w:tblGrid>
        <w:gridCol w:w="9063"/>
      </w:tblGrid>
      <w:tr w:rsidR="00AC781E" w:rsidRPr="00AC781E" w:rsidTr="004032ED">
        <w:tc>
          <w:tcPr>
            <w:tcW w:w="9063" w:type="dxa"/>
          </w:tcPr>
          <w:p w:rsidR="00DE314D" w:rsidRPr="0017445D" w:rsidRDefault="0017445D" w:rsidP="0017445D">
            <w:pPr>
              <w:rPr>
                <w:noProof/>
              </w:rPr>
            </w:pPr>
            <w:r>
              <w:rPr>
                <w:noProof/>
              </w:rPr>
              <w:t>Not applicable.</w:t>
            </w:r>
          </w:p>
        </w:tc>
      </w:tr>
    </w:tbl>
    <w:p w:rsidR="00DE314D" w:rsidRPr="00AC781E" w:rsidRDefault="00DE314D">
      <w:pPr>
        <w:pStyle w:val="ManualHeading2"/>
        <w:rPr>
          <w:noProof/>
        </w:rPr>
      </w:pPr>
      <w:bookmarkStart w:id="201" w:name="_Toc167220305"/>
      <w:bookmarkStart w:id="202" w:name="_Toc177549039"/>
      <w:r w:rsidRPr="77BC4F07">
        <w:rPr>
          <w:noProof/>
        </w:rPr>
        <w:t>4.3.</w:t>
      </w:r>
      <w:r>
        <w:rPr>
          <w:noProof/>
        </w:rPr>
        <w:tab/>
      </w:r>
      <w:r w:rsidRPr="77BC4F07">
        <w:rPr>
          <w:noProof/>
        </w:rPr>
        <w:t>Digital solutions</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AC781E" w:rsidRPr="00AC781E" w:rsidTr="193F07E0">
        <w:tc>
          <w:tcPr>
            <w:tcW w:w="9067" w:type="dxa"/>
          </w:tcPr>
          <w:p w:rsidR="00DE314D" w:rsidRPr="00695895" w:rsidRDefault="0017445D">
            <w:pPr>
              <w:rPr>
                <w:noProof/>
              </w:rPr>
            </w:pPr>
            <w:r>
              <w:rPr>
                <w:noProof/>
              </w:rPr>
              <w:t>Not applicable.</w:t>
            </w:r>
          </w:p>
        </w:tc>
      </w:tr>
    </w:tbl>
    <w:p w:rsidR="00DE314D" w:rsidRPr="00AC781E" w:rsidRDefault="00DE314D" w:rsidP="77BC4F07">
      <w:pPr>
        <w:pStyle w:val="ManualHeading2"/>
        <w:rPr>
          <w:rStyle w:val="Emphasis"/>
          <w:b w:val="0"/>
          <w:i w:val="0"/>
          <w:iCs w:val="0"/>
          <w:noProof/>
        </w:rPr>
      </w:pPr>
      <w:bookmarkStart w:id="203" w:name="_Toc167220304"/>
      <w:bookmarkStart w:id="204" w:name="_Toc177549040"/>
      <w:r w:rsidRPr="77BC4F07">
        <w:rPr>
          <w:rStyle w:val="Emphasis"/>
          <w:noProof/>
        </w:rPr>
        <w:t>4.4.</w:t>
      </w:r>
      <w:r>
        <w:rPr>
          <w:noProof/>
        </w:rPr>
        <w:tab/>
      </w:r>
      <w:r w:rsidRPr="77BC4F07">
        <w:rPr>
          <w:rStyle w:val="Emphasis"/>
          <w:noProof/>
        </w:rPr>
        <w:t>Interoperability assessment</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AC781E" w:rsidRPr="00AC781E" w:rsidTr="193F07E0">
        <w:trPr>
          <w:trHeight w:val="300"/>
        </w:trPr>
        <w:tc>
          <w:tcPr>
            <w:tcW w:w="9067" w:type="dxa"/>
          </w:tcPr>
          <w:p w:rsidR="00DE314D" w:rsidRPr="00695895" w:rsidRDefault="0017445D" w:rsidP="193F07E0">
            <w:pPr>
              <w:rPr>
                <w:i/>
                <w:iCs/>
                <w:noProof/>
              </w:rPr>
            </w:pPr>
            <w:r>
              <w:rPr>
                <w:noProof/>
              </w:rPr>
              <w:t>Not applicable.</w:t>
            </w:r>
          </w:p>
        </w:tc>
      </w:tr>
    </w:tbl>
    <w:p w:rsidR="00DE314D" w:rsidRPr="00AC781E" w:rsidRDefault="00DE314D">
      <w:pPr>
        <w:pStyle w:val="ManualHeading2"/>
        <w:rPr>
          <w:noProof/>
        </w:rPr>
      </w:pPr>
      <w:bookmarkStart w:id="205" w:name="_Toc167220306"/>
      <w:bookmarkStart w:id="206" w:name="_Toc177549041"/>
      <w:r w:rsidRPr="77BC4F07">
        <w:rPr>
          <w:noProof/>
        </w:rPr>
        <w:t>4.5.</w:t>
      </w:r>
      <w:r>
        <w:rPr>
          <w:noProof/>
        </w:rPr>
        <w:tab/>
      </w:r>
      <w:r w:rsidRPr="77BC4F07">
        <w:rPr>
          <w:noProof/>
        </w:rPr>
        <w:t>Measures to support digital implementation</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AC781E" w:rsidRPr="00AC781E" w:rsidTr="193F07E0">
        <w:tc>
          <w:tcPr>
            <w:tcW w:w="9067" w:type="dxa"/>
          </w:tcPr>
          <w:p w:rsidR="00DE314D" w:rsidRPr="0017445D" w:rsidRDefault="0017445D" w:rsidP="0017445D">
            <w:pPr>
              <w:rPr>
                <w:noProof/>
              </w:rPr>
            </w:pPr>
            <w:r>
              <w:rPr>
                <w:noProof/>
              </w:rPr>
              <w:t>Not applicable.</w:t>
            </w:r>
          </w:p>
        </w:tc>
      </w:tr>
      <w:bookmarkEnd w:id="196"/>
    </w:tbl>
    <w:p w:rsidR="00DE314D" w:rsidRPr="0004579E" w:rsidRDefault="00DE314D">
      <w:pPr>
        <w:rPr>
          <w:noProof/>
        </w:rPr>
      </w:pPr>
    </w:p>
    <w:sectPr w:rsidR="00DE314D" w:rsidRPr="0004579E" w:rsidSect="00185F1C">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4FB" w:rsidRDefault="006504FB" w:rsidP="00DE314D">
      <w:pPr>
        <w:spacing w:before="0" w:after="0"/>
      </w:pPr>
      <w:r>
        <w:separator/>
      </w:r>
    </w:p>
  </w:endnote>
  <w:endnote w:type="continuationSeparator" w:id="0">
    <w:p w:rsidR="006504FB" w:rsidRDefault="006504FB" w:rsidP="00DE314D">
      <w:pPr>
        <w:spacing w:before="0" w:after="0"/>
      </w:pPr>
      <w:r>
        <w:continuationSeparator/>
      </w:r>
    </w:p>
  </w:endnote>
  <w:endnote w:type="continuationNotice" w:id="1">
    <w:p w:rsidR="006504FB" w:rsidRDefault="006504F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Arial Unicode MS">
    <w:panose1 w:val="020B0604020202020204"/>
    <w:charset w:val="00"/>
    <w:family w:val="roman"/>
    <w:pitch w:val="default"/>
  </w:font>
  <w:font w:name="MS Mincho">
    <w:altName w:val="Yu Gothic UI"/>
    <w:panose1 w:val="02020609040205080304"/>
    <w:charset w:val="80"/>
    <w:family w:val="modern"/>
    <w:pitch w:val="fixed"/>
    <w:sig w:usb0="E00002FF" w:usb1="6AC7FDFB" w:usb2="08000012" w:usb3="00000000" w:csb0="0002009F"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Pr="00185F1C" w:rsidRDefault="00185F1C" w:rsidP="00185F1C">
    <w:pPr>
      <w:pStyle w:val="Footer"/>
      <w:rPr>
        <w:rFonts w:ascii="Arial" w:hAnsi="Arial" w:cs="Arial"/>
        <w:b/>
        <w:sz w:val="48"/>
      </w:rPr>
    </w:pPr>
    <w:r w:rsidRPr="00185F1C">
      <w:rPr>
        <w:rFonts w:ascii="Arial" w:hAnsi="Arial" w:cs="Arial"/>
        <w:b/>
        <w:sz w:val="48"/>
      </w:rPr>
      <w:t>EN</w:t>
    </w:r>
    <w:r w:rsidRPr="00185F1C">
      <w:rPr>
        <w:rFonts w:ascii="Arial" w:hAnsi="Arial" w:cs="Arial"/>
        <w:b/>
        <w:sz w:val="48"/>
      </w:rPr>
      <w:tab/>
    </w:r>
    <w:r w:rsidRPr="00185F1C">
      <w:rPr>
        <w:rFonts w:ascii="Arial" w:hAnsi="Arial" w:cs="Arial"/>
        <w:b/>
        <w:sz w:val="48"/>
      </w:rPr>
      <w:tab/>
    </w:r>
    <w:r w:rsidRPr="00185F1C">
      <w:tab/>
    </w:r>
    <w:r w:rsidRPr="00185F1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Pr="00185F1C" w:rsidRDefault="00185F1C" w:rsidP="00185F1C">
    <w:pPr>
      <w:pStyle w:val="Footer"/>
      <w:rPr>
        <w:rFonts w:ascii="Arial" w:hAnsi="Arial" w:cs="Arial"/>
        <w:b/>
        <w:sz w:val="48"/>
      </w:rPr>
    </w:pPr>
    <w:r w:rsidRPr="00185F1C">
      <w:rPr>
        <w:rFonts w:ascii="Arial" w:hAnsi="Arial" w:cs="Arial"/>
        <w:b/>
        <w:sz w:val="48"/>
      </w:rPr>
      <w:t>EN</w:t>
    </w:r>
    <w:r w:rsidRPr="00185F1C">
      <w:rPr>
        <w:rFonts w:ascii="Arial" w:hAnsi="Arial" w:cs="Arial"/>
        <w:b/>
        <w:sz w:val="48"/>
      </w:rPr>
      <w:tab/>
    </w:r>
    <w:r w:rsidRPr="00185F1C">
      <w:rPr>
        <w:rFonts w:ascii="Arial" w:hAnsi="Arial" w:cs="Arial"/>
        <w:b/>
        <w:sz w:val="48"/>
      </w:rPr>
      <w:tab/>
    </w:r>
    <w:r w:rsidRPr="00185F1C">
      <w:tab/>
    </w:r>
    <w:r w:rsidRPr="00185F1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Default="00185F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Pr="00185F1C" w:rsidRDefault="00185F1C" w:rsidP="00185F1C">
    <w:pPr>
      <w:pStyle w:val="Footer"/>
      <w:rPr>
        <w:rFonts w:ascii="Arial" w:hAnsi="Arial" w:cs="Arial"/>
        <w:b/>
        <w:sz w:val="48"/>
      </w:rPr>
    </w:pPr>
    <w:r w:rsidRPr="00185F1C">
      <w:rPr>
        <w:rFonts w:ascii="Arial" w:hAnsi="Arial" w:cs="Arial"/>
        <w:b/>
        <w:sz w:val="48"/>
      </w:rPr>
      <w:t>EN</w:t>
    </w:r>
    <w:r w:rsidRPr="00185F1C">
      <w:rPr>
        <w:rFonts w:ascii="Arial" w:hAnsi="Arial" w:cs="Arial"/>
        <w:b/>
        <w:sz w:val="48"/>
      </w:rPr>
      <w:tab/>
    </w:r>
    <w:r>
      <w:fldChar w:fldCharType="begin"/>
    </w:r>
    <w:r>
      <w:instrText xml:space="preserve"> PAGE  \* MERGEFORMAT </w:instrText>
    </w:r>
    <w:r>
      <w:fldChar w:fldCharType="separate"/>
    </w:r>
    <w:r w:rsidR="009E1E22">
      <w:rPr>
        <w:noProof/>
      </w:rPr>
      <w:t>15</w:t>
    </w:r>
    <w:r>
      <w:fldChar w:fldCharType="end"/>
    </w:r>
    <w:r>
      <w:tab/>
    </w:r>
    <w:r w:rsidRPr="00185F1C">
      <w:tab/>
    </w:r>
    <w:r w:rsidRPr="00185F1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Default="00185F1C" w:rsidP="00185F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Pr="00185F1C" w:rsidRDefault="00185F1C" w:rsidP="00185F1C">
    <w:pPr>
      <w:pStyle w:val="FooterLandscape"/>
      <w:rPr>
        <w:rFonts w:ascii="Arial" w:hAnsi="Arial" w:cs="Arial"/>
        <w:b/>
        <w:sz w:val="48"/>
      </w:rPr>
    </w:pPr>
    <w:r w:rsidRPr="00185F1C">
      <w:rPr>
        <w:rFonts w:ascii="Arial" w:hAnsi="Arial" w:cs="Arial"/>
        <w:b/>
        <w:sz w:val="48"/>
      </w:rPr>
      <w:t>EN</w:t>
    </w:r>
    <w:r w:rsidRPr="00185F1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85F1C">
      <w:tab/>
    </w:r>
    <w:r w:rsidRPr="00185F1C">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Pr="00185F1C" w:rsidRDefault="00185F1C" w:rsidP="00185F1C">
    <w:pPr>
      <w:pStyle w:val="Footer"/>
      <w:rPr>
        <w:rFonts w:ascii="Arial" w:hAnsi="Arial" w:cs="Arial"/>
        <w:b/>
        <w:sz w:val="48"/>
      </w:rPr>
    </w:pPr>
    <w:r w:rsidRPr="00185F1C">
      <w:rPr>
        <w:rFonts w:ascii="Arial" w:hAnsi="Arial" w:cs="Arial"/>
        <w:b/>
        <w:sz w:val="48"/>
      </w:rPr>
      <w:t>EN</w:t>
    </w:r>
    <w:r w:rsidRPr="00185F1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85F1C">
      <w:tab/>
    </w:r>
    <w:r w:rsidRPr="00185F1C">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4FB" w:rsidRDefault="006504FB" w:rsidP="00DE314D">
      <w:pPr>
        <w:spacing w:before="0" w:after="0"/>
      </w:pPr>
      <w:r>
        <w:separator/>
      </w:r>
    </w:p>
  </w:footnote>
  <w:footnote w:type="continuationSeparator" w:id="0">
    <w:p w:rsidR="006504FB" w:rsidRDefault="006504FB" w:rsidP="00DE314D">
      <w:pPr>
        <w:spacing w:before="0" w:after="0"/>
      </w:pPr>
      <w:r>
        <w:continuationSeparator/>
      </w:r>
    </w:p>
  </w:footnote>
  <w:footnote w:type="continuationNotice" w:id="1">
    <w:p w:rsidR="006504FB" w:rsidRDefault="006504FB">
      <w:pPr>
        <w:spacing w:before="0" w:after="0"/>
      </w:pPr>
    </w:p>
  </w:footnote>
  <w:footnote w:id="2">
    <w:p w:rsidR="005C5BC3" w:rsidRDefault="005C5BC3" w:rsidP="00853C97">
      <w:pPr>
        <w:pStyle w:val="FootnoteText"/>
      </w:pPr>
      <w:r w:rsidRPr="000D13A7">
        <w:rPr>
          <w:rStyle w:val="FootnoteReference"/>
        </w:rPr>
        <w:footnoteRef/>
      </w:r>
      <w:r>
        <w:tab/>
      </w:r>
      <w:r w:rsidR="00475EB1" w:rsidRPr="005E3170">
        <w:t xml:space="preserve">Conclusions of the European Council of </w:t>
      </w:r>
      <w:r>
        <w:t>24 February 2022</w:t>
      </w:r>
      <w:r w:rsidR="00475EB1">
        <w:t xml:space="preserve"> (special meeting)</w:t>
      </w:r>
      <w:r>
        <w:t>, EUCO 18/22</w:t>
      </w:r>
      <w:r w:rsidR="00834FE1">
        <w:t>, para. 1</w:t>
      </w:r>
      <w:r>
        <w:t>.</w:t>
      </w:r>
    </w:p>
  </w:footnote>
  <w:footnote w:id="3">
    <w:p w:rsidR="005C5BC3" w:rsidRDefault="005C5BC3" w:rsidP="00853C97">
      <w:pPr>
        <w:pStyle w:val="FootnoteText"/>
      </w:pPr>
      <w:r w:rsidRPr="000D13A7">
        <w:rPr>
          <w:rStyle w:val="FootnoteReference"/>
        </w:rPr>
        <w:footnoteRef/>
      </w:r>
      <w:r>
        <w:tab/>
        <w:t>United Nations General Assembly, Aggression against Ukraine, 2 March 2022, a/res/es-11/1, in particular operative paragraphs 2–4.</w:t>
      </w:r>
    </w:p>
  </w:footnote>
  <w:footnote w:id="4">
    <w:p w:rsidR="005C5BC3" w:rsidRPr="00190FD1" w:rsidRDefault="005C5BC3" w:rsidP="00853C97">
      <w:pPr>
        <w:pStyle w:val="FootnoteText"/>
      </w:pPr>
      <w:r w:rsidRPr="000D13A7">
        <w:rPr>
          <w:rStyle w:val="FootnoteReference"/>
        </w:rPr>
        <w:footnoteRef/>
      </w:r>
      <w:r>
        <w:tab/>
        <w:t xml:space="preserve">Subsequently, four </w:t>
      </w:r>
      <w:r w:rsidR="000133BD">
        <w:t xml:space="preserve">additional </w:t>
      </w:r>
      <w:r>
        <w:t xml:space="preserve">States Parties referred the situation in Ukraine to the ICC, bringing the total number of States Parties having done so to 43. See Statement of ICC Prosecutor, Karim A.A. Khan </w:t>
      </w:r>
      <w:r w:rsidR="00EC272D">
        <w:t>QC</w:t>
      </w:r>
      <w:r>
        <w:t>, on the Situation in Ukraine: Receipt of Referrals from 39 States Parties and the Opening of an Investigation, 2 March 2022.</w:t>
      </w:r>
    </w:p>
  </w:footnote>
  <w:footnote w:id="5">
    <w:p w:rsidR="005C5BC3" w:rsidRDefault="005C5BC3" w:rsidP="00853C97">
      <w:pPr>
        <w:pStyle w:val="FootnoteText"/>
      </w:pPr>
      <w:r w:rsidRPr="000D13A7">
        <w:rPr>
          <w:rStyle w:val="FootnoteReference"/>
        </w:rPr>
        <w:footnoteRef/>
      </w:r>
      <w:r>
        <w:tab/>
      </w:r>
      <w:r w:rsidR="00834FE1" w:rsidRPr="005E3170">
        <w:t xml:space="preserve">Conclusions of the European Council of </w:t>
      </w:r>
      <w:r w:rsidRPr="00BD6E20">
        <w:t xml:space="preserve">20 and 21 October 2022, </w:t>
      </w:r>
      <w:r>
        <w:t>EUCO</w:t>
      </w:r>
      <w:r w:rsidRPr="00BD6E20">
        <w:t xml:space="preserve"> 31/22, </w:t>
      </w:r>
      <w:r>
        <w:t xml:space="preserve"> para. 6</w:t>
      </w:r>
      <w:r w:rsidRPr="00BD6E20">
        <w:t>.</w:t>
      </w:r>
    </w:p>
  </w:footnote>
  <w:footnote w:id="6">
    <w:p w:rsidR="005C5BC3" w:rsidRDefault="005C5BC3" w:rsidP="00853C97">
      <w:pPr>
        <w:pStyle w:val="FootnoteText"/>
      </w:pPr>
      <w:r w:rsidRPr="000D13A7">
        <w:rPr>
          <w:rStyle w:val="FootnoteReference"/>
        </w:rPr>
        <w:footnoteRef/>
      </w:r>
      <w:r>
        <w:rPr>
          <w:i/>
          <w:iCs/>
        </w:rPr>
        <w:tab/>
      </w:r>
      <w:r w:rsidRPr="0050636A">
        <w:rPr>
          <w:i/>
          <w:iCs/>
        </w:rPr>
        <w:t>Options paper by the High Representative of the European Union for Foreign Affairs and Security Policy and the European Commission on ensuring full accountability of individuals responsible for international crimes in Ukraine</w:t>
      </w:r>
      <w:r>
        <w:t>, Brussels, 30 November 2022, 15321/22.</w:t>
      </w:r>
    </w:p>
  </w:footnote>
  <w:footnote w:id="7">
    <w:p w:rsidR="00EC272D" w:rsidRPr="00EA3D49" w:rsidRDefault="00EC272D">
      <w:pPr>
        <w:pStyle w:val="FootnoteText"/>
        <w:rPr>
          <w:lang w:val="en-US"/>
        </w:rPr>
      </w:pPr>
      <w:r w:rsidRPr="001B04CB">
        <w:rPr>
          <w:rStyle w:val="FootnoteReference"/>
        </w:rPr>
        <w:footnoteRef/>
      </w:r>
      <w:r w:rsidR="001B04CB">
        <w:tab/>
      </w:r>
      <w:r w:rsidR="00834FE1" w:rsidRPr="005E3170">
        <w:t xml:space="preserve">Conclusions of the European Council of </w:t>
      </w:r>
      <w:r w:rsidRPr="00EA3D49">
        <w:rPr>
          <w:lang w:val="en-US"/>
        </w:rPr>
        <w:t>15 December 2022</w:t>
      </w:r>
      <w:r>
        <w:rPr>
          <w:lang w:val="en-US"/>
        </w:rPr>
        <w:t xml:space="preserve">, </w:t>
      </w:r>
      <w:r w:rsidRPr="00EA3D49">
        <w:rPr>
          <w:lang w:val="en-US"/>
        </w:rPr>
        <w:t>EUCO 34/22</w:t>
      </w:r>
      <w:r>
        <w:rPr>
          <w:lang w:val="en-US"/>
        </w:rPr>
        <w:t>, para.</w:t>
      </w:r>
      <w:r w:rsidR="00834FE1">
        <w:rPr>
          <w:lang w:val="en-US"/>
        </w:rPr>
        <w:t xml:space="preserve"> 8.</w:t>
      </w:r>
    </w:p>
  </w:footnote>
  <w:footnote w:id="8">
    <w:p w:rsidR="005C5BC3" w:rsidRDefault="005C5BC3" w:rsidP="00853C97">
      <w:pPr>
        <w:pStyle w:val="FootnoteText"/>
      </w:pPr>
      <w:r w:rsidRPr="000D13A7">
        <w:rPr>
          <w:rStyle w:val="FootnoteReference"/>
        </w:rPr>
        <w:footnoteRef/>
      </w:r>
      <w:r>
        <w:tab/>
        <w:t>United Nations General Assembly, Principles of the Charter of the United Nations underlying a comprehensive, just, and lasting peace in Ukraine, 23 February 2023, a/res/es-11/6.</w:t>
      </w:r>
    </w:p>
  </w:footnote>
  <w:footnote w:id="9">
    <w:p w:rsidR="005C5BC3" w:rsidRPr="00491877" w:rsidRDefault="005C5BC3">
      <w:pPr>
        <w:pStyle w:val="FootnoteText"/>
      </w:pPr>
      <w:r w:rsidRPr="004915D8">
        <w:rPr>
          <w:rStyle w:val="FootnoteReference"/>
        </w:rPr>
        <w:footnoteRef/>
      </w:r>
      <w:r w:rsidR="004915D8">
        <w:tab/>
      </w:r>
      <w:r w:rsidRPr="005E3170">
        <w:t xml:space="preserve">Conclusions of the European Council of </w:t>
      </w:r>
      <w:r>
        <w:t>29 and 30 June</w:t>
      </w:r>
      <w:r w:rsidRPr="005E3170">
        <w:t xml:space="preserve"> 2023, EUCO </w:t>
      </w:r>
      <w:r>
        <w:t>7</w:t>
      </w:r>
      <w:r w:rsidRPr="005E3170">
        <w:t>/23 para. 7</w:t>
      </w:r>
      <w:r>
        <w:t xml:space="preserve">; </w:t>
      </w:r>
      <w:r w:rsidRPr="005E3170">
        <w:t>Conclusions of the European Council of</w:t>
      </w:r>
      <w:r w:rsidRPr="00D60C92">
        <w:t xml:space="preserve"> </w:t>
      </w:r>
      <w:r>
        <w:t xml:space="preserve">26-27 October 2023, EUCO 14/23 para. 7; </w:t>
      </w:r>
      <w:r w:rsidRPr="004679AE">
        <w:t>Conclusions of the European Council of</w:t>
      </w:r>
      <w:r w:rsidRPr="00D60C92">
        <w:t xml:space="preserve"> </w:t>
      </w:r>
      <w:r>
        <w:t>14-15 December 2023, EUCO 20/23 para. 7</w:t>
      </w:r>
      <w:r w:rsidR="00840096">
        <w:t>.</w:t>
      </w:r>
      <w:r>
        <w:t xml:space="preserve"> </w:t>
      </w:r>
    </w:p>
  </w:footnote>
  <w:footnote w:id="10">
    <w:p w:rsidR="0068689B" w:rsidRPr="00D60C92" w:rsidRDefault="005C5BC3" w:rsidP="0068689B">
      <w:pPr>
        <w:pStyle w:val="FootnoteText"/>
      </w:pPr>
      <w:r w:rsidRPr="004915D8">
        <w:rPr>
          <w:rStyle w:val="FootnoteReference"/>
        </w:rPr>
        <w:footnoteRef/>
      </w:r>
      <w:r w:rsidR="004915D8">
        <w:tab/>
      </w:r>
      <w:r w:rsidRPr="004679AE">
        <w:t>Conclusions of the European Council of</w:t>
      </w:r>
      <w:r w:rsidRPr="00D60C92">
        <w:t xml:space="preserve"> </w:t>
      </w:r>
      <w:r>
        <w:t>21-22 March 2024, EUCO 7/24, para. 9.</w:t>
      </w:r>
    </w:p>
  </w:footnote>
  <w:footnote w:id="11">
    <w:p w:rsidR="0068689B" w:rsidRPr="00945508" w:rsidRDefault="0068689B" w:rsidP="0068689B">
      <w:pPr>
        <w:pStyle w:val="FootnoteText"/>
        <w:rPr>
          <w:lang w:val="en-IE"/>
        </w:rPr>
      </w:pPr>
      <w:r w:rsidRPr="004915D8">
        <w:rPr>
          <w:rStyle w:val="FootnoteReference"/>
        </w:rPr>
        <w:footnoteRef/>
      </w:r>
      <w:r w:rsidR="004915D8">
        <w:tab/>
      </w:r>
      <w:r w:rsidRPr="0068689B">
        <w:t xml:space="preserve">Core Group on the Establishment of a Special Tribunal for the Crime of Aggression against Ukraine, </w:t>
      </w:r>
      <w:r w:rsidRPr="00945508">
        <w:rPr>
          <w:i/>
          <w:iCs/>
        </w:rPr>
        <w:t>‘Joint Statement of the Foreign Ministers Meeting on the Special Tribunal for the Crime of Aggression against Ukraine’</w:t>
      </w:r>
      <w:r w:rsidRPr="0068689B">
        <w:t xml:space="preserve"> (Lviv, 9 May 2025).</w:t>
      </w:r>
    </w:p>
  </w:footnote>
  <w:footnote w:id="12">
    <w:p w:rsidR="005C5BC3" w:rsidRPr="00A04336" w:rsidRDefault="005C5BC3">
      <w:pPr>
        <w:pStyle w:val="FootnoteText"/>
      </w:pPr>
      <w:r w:rsidRPr="004915D8">
        <w:rPr>
          <w:rStyle w:val="FootnoteReference"/>
        </w:rPr>
        <w:footnoteRef/>
      </w:r>
      <w:r w:rsidR="004915D8">
        <w:tab/>
      </w:r>
      <w:r w:rsidR="0068689B" w:rsidRPr="0068689B">
        <w:t>CM/Del/Dec(2025)1530/1.6 - 134th Session of the Committee of Ministers (Luxembourg, 13-14 May 2025) – Follow-up</w:t>
      </w:r>
      <w:r w:rsidR="00840096">
        <w:t>.</w:t>
      </w:r>
    </w:p>
  </w:footnote>
  <w:footnote w:id="13">
    <w:p w:rsidR="006825AA" w:rsidRPr="00945508" w:rsidRDefault="006825AA">
      <w:pPr>
        <w:pStyle w:val="FootnoteText"/>
        <w:rPr>
          <w:lang w:val="en-IE"/>
        </w:rPr>
      </w:pPr>
      <w:r w:rsidRPr="004915D8">
        <w:rPr>
          <w:rStyle w:val="FootnoteReference"/>
        </w:rPr>
        <w:footnoteRef/>
      </w:r>
      <w:r w:rsidR="004915D8">
        <w:tab/>
      </w:r>
      <w:r w:rsidRPr="0068689B">
        <w:t>CM/Del/Dec(2025)1532/2.3 - Consequences of the aggression of the Russian Federation against Ukraine - Special Tribunal for the Crime of Aggression against Ukraine (Strasbourg, 24 June 2025)</w:t>
      </w:r>
      <w:r w:rsidR="00840096">
        <w:t>.</w:t>
      </w:r>
    </w:p>
  </w:footnote>
  <w:footnote w:id="14">
    <w:p w:rsidR="000E7A7F" w:rsidRPr="00945508" w:rsidRDefault="000E7A7F">
      <w:pPr>
        <w:pStyle w:val="FootnoteText"/>
        <w:rPr>
          <w:lang w:val="en-IE"/>
        </w:rPr>
      </w:pPr>
      <w:r w:rsidRPr="004915D8">
        <w:rPr>
          <w:rStyle w:val="FootnoteReference"/>
        </w:rPr>
        <w:footnoteRef/>
      </w:r>
      <w:r w:rsidR="004915D8">
        <w:tab/>
      </w:r>
      <w:r w:rsidRPr="000E7A7F">
        <w:rPr>
          <w:lang w:val="en-IE"/>
        </w:rPr>
        <w:t>CM(2025)104-final - [1532/2.3] Consequences of the aggression of the Russian Federation against Ukraine - Agreement between the Council of Europe and Ukraine on the Establishment of the Special Tribunal for the Crime of Aggression against Ukraine</w:t>
      </w:r>
      <w:r>
        <w:rPr>
          <w:lang w:val="en-IE"/>
        </w:rPr>
        <w:t>. (Strasbourg, 24 June 2025).</w:t>
      </w:r>
    </w:p>
  </w:footnote>
  <w:footnote w:id="15">
    <w:p w:rsidR="00203F73" w:rsidRDefault="00203F73">
      <w:pPr>
        <w:pStyle w:val="FootnoteText"/>
      </w:pPr>
      <w:r w:rsidRPr="004915D8">
        <w:rPr>
          <w:rStyle w:val="FootnoteReference"/>
        </w:rPr>
        <w:footnoteRef/>
      </w:r>
      <w:r w:rsidR="004915D8">
        <w:tab/>
      </w:r>
      <w:r w:rsidR="00183B29" w:rsidRPr="00183B29">
        <w:t>CM/Del/Dec(2026)1548/2.3 - Consequences of the aggression of the Russian Federation against Ukraine - Special Tribunal for the Crime of Aggression against Ukraine (GT-TRIBUNAL)</w:t>
      </w:r>
      <w:r w:rsidR="00183B29">
        <w:t xml:space="preserve"> (Strasbourg, 21 January 2026)</w:t>
      </w:r>
      <w:r w:rsidR="00840096">
        <w:t>.</w:t>
      </w:r>
    </w:p>
  </w:footnote>
  <w:footnote w:id="16">
    <w:p w:rsidR="005C5BC3" w:rsidRDefault="005C5BC3" w:rsidP="00951157">
      <w:pPr>
        <w:pStyle w:val="FootnoteText"/>
      </w:pPr>
      <w:r w:rsidRPr="000D13A7">
        <w:rPr>
          <w:rStyle w:val="FootnoteReference"/>
        </w:rPr>
        <w:footnoteRef/>
      </w:r>
      <w:r>
        <w:tab/>
      </w:r>
      <w:r w:rsidR="006825AA" w:rsidRPr="006825AA">
        <w:t>Regulation (EU) 2022/838 of the European Parliament and of the Council of 30 May 2022 amending Regulation (EU) 2018/1727 as regards the preservation, analysis and storage at Eurojust of evidence relating to genocide, crimes against humanity, war crimes and related criminal offences</w:t>
      </w:r>
      <w:r w:rsidR="00DE15E1">
        <w:t>,</w:t>
      </w:r>
      <w:r w:rsidR="006825AA">
        <w:t xml:space="preserve"> </w:t>
      </w:r>
      <w:r w:rsidR="006825AA" w:rsidRPr="006825AA">
        <w:t>OJ L 148, 31.5.2022</w:t>
      </w:r>
      <w:r w:rsidR="006825AA">
        <w:t>.</w:t>
      </w:r>
    </w:p>
  </w:footnote>
  <w:footnote w:id="17">
    <w:p w:rsidR="005C5BC3" w:rsidRPr="006825AA" w:rsidRDefault="005C5BC3" w:rsidP="00853C97">
      <w:pPr>
        <w:pStyle w:val="FootnoteText"/>
        <w:rPr>
          <w:lang w:val="en-IE"/>
        </w:rPr>
      </w:pPr>
      <w:r w:rsidRPr="000D13A7">
        <w:rPr>
          <w:rStyle w:val="FootnoteReference"/>
        </w:rPr>
        <w:footnoteRef/>
      </w:r>
      <w:r>
        <w:tab/>
      </w:r>
      <w:hyperlink r:id="rId1" w:anchor="{%22CoEIdentifier%22:[%220900001680b678ca%22],%22sort%22:[%22CoEValidationDate%20Descending%22]}" w:history="1">
        <w:r w:rsidRPr="00945508">
          <w:rPr>
            <w:rStyle w:val="Hyperlink"/>
            <w:color w:val="auto"/>
            <w:u w:val="none"/>
            <w:lang w:val="en-IE"/>
          </w:rPr>
          <w:t>CM(2025)103-final - [1532/2.3] Consequences of the aggression of the Russian Federation against Ukraine - Statute of the Special Tribunal for the Crime of Aggression against Ukraine</w:t>
        </w:r>
      </w:hyperlink>
      <w:r w:rsidRPr="006825AA">
        <w:rPr>
          <w:lang w:val="en-IE"/>
        </w:rPr>
        <w:t>.</w:t>
      </w:r>
    </w:p>
  </w:footnote>
  <w:footnote w:id="18">
    <w:p w:rsidR="00F044B3" w:rsidRPr="00BA16BD" w:rsidRDefault="00F044B3" w:rsidP="00F044B3">
      <w:pPr>
        <w:pStyle w:val="FootnoteText"/>
      </w:pPr>
      <w:r w:rsidRPr="006825AA">
        <w:rPr>
          <w:rStyle w:val="FootnoteReference"/>
        </w:rPr>
        <w:footnoteRef/>
      </w:r>
      <w:r w:rsidRPr="006825AA">
        <w:tab/>
        <w:t>Regulation (EU) 2024/792 of the European Parliament and of the Council of 29 February 2024 establishing the Ukraine Facility</w:t>
      </w:r>
      <w:r w:rsidR="00DE15E1">
        <w:t xml:space="preserve">, </w:t>
      </w:r>
      <w:r w:rsidRPr="006825AA">
        <w:t xml:space="preserve">OJ L 2024/792, </w:t>
      </w:r>
      <w:r>
        <w:t>29.2.2024</w:t>
      </w:r>
      <w:r w:rsidR="00C554EA">
        <w:t>.</w:t>
      </w:r>
    </w:p>
  </w:footnote>
  <w:footnote w:id="19">
    <w:p w:rsidR="005C5BC3" w:rsidRPr="007F6F45" w:rsidRDefault="005C5BC3" w:rsidP="00853C97">
      <w:pPr>
        <w:pStyle w:val="FootnoteText"/>
      </w:pPr>
      <w:r w:rsidRPr="000D13A7">
        <w:rPr>
          <w:rStyle w:val="FootnoteReference"/>
        </w:rPr>
        <w:footnoteRef/>
      </w:r>
      <w:r>
        <w:tab/>
      </w:r>
      <w:r w:rsidRPr="007F6F45">
        <w:t xml:space="preserve">UNGA </w:t>
      </w:r>
      <w:r>
        <w:t>R</w:t>
      </w:r>
      <w:r w:rsidRPr="007F6F45">
        <w:t>esolution A/RES/ES-11/5,</w:t>
      </w:r>
      <w:r>
        <w:t xml:space="preserve"> </w:t>
      </w:r>
      <w:r w:rsidRPr="007F6F45">
        <w:t>Furtherance of remedy and reparation for aggression against Ukraine</w:t>
      </w:r>
      <w:r>
        <w:t>, 14 November 2022.</w:t>
      </w:r>
    </w:p>
  </w:footnote>
  <w:footnote w:id="20">
    <w:p w:rsidR="005C5BC3" w:rsidRPr="008C72B9" w:rsidRDefault="005C5BC3">
      <w:pPr>
        <w:pStyle w:val="FootnoteText"/>
        <w:rPr>
          <w:lang w:val="en-IE"/>
        </w:rPr>
      </w:pPr>
      <w:r w:rsidRPr="000D13A7">
        <w:rPr>
          <w:rStyle w:val="FootnoteReference"/>
        </w:rPr>
        <w:footnoteRef/>
      </w:r>
      <w:r>
        <w:tab/>
      </w:r>
      <w:r w:rsidR="00A44879" w:rsidRPr="00A44879">
        <w:rPr>
          <w:rFonts w:eastAsia="Times New Roman"/>
        </w:rPr>
        <w:t>Council Decision (EU) 2024/2045 of 22 July 2024 on the position to be taken on behalf of the Union within the Council of Europe bodies as regards the status of the European Union in the Enlarged Partial Agreement on the Register of Damage caused by the Aggression of the Russian Federation against Ukraine</w:t>
      </w:r>
      <w:r w:rsidR="00A44879">
        <w:rPr>
          <w:rFonts w:eastAsia="Times New Roman"/>
        </w:rPr>
        <w:t xml:space="preserve">. </w:t>
      </w:r>
      <w:r w:rsidR="00A44879" w:rsidRPr="00A44879">
        <w:rPr>
          <w:rFonts w:eastAsia="Times New Roman"/>
        </w:rPr>
        <w:t>OJ L, 2024/2045, 24.7.2024</w:t>
      </w:r>
      <w:r w:rsidR="00A44879">
        <w:rPr>
          <w:rFonts w:eastAsia="Times New Roman"/>
        </w:rPr>
        <w:t>.</w:t>
      </w:r>
    </w:p>
  </w:footnote>
  <w:footnote w:id="21">
    <w:p w:rsidR="00BF3861" w:rsidRPr="00BF3861" w:rsidRDefault="00BF3861">
      <w:pPr>
        <w:pStyle w:val="FootnoteText"/>
        <w:rPr>
          <w:lang w:val="en-IE"/>
        </w:rPr>
      </w:pPr>
      <w:r w:rsidRPr="004915D8">
        <w:rPr>
          <w:rStyle w:val="FootnoteReference"/>
        </w:rPr>
        <w:footnoteRef/>
      </w:r>
      <w:r w:rsidR="004915D8">
        <w:tab/>
      </w:r>
      <w:r w:rsidRPr="003A5AF4">
        <w:t xml:space="preserve">Council Decision (EU) </w:t>
      </w:r>
      <w:bookmarkStart w:id="3" w:name="_Hlk221539036"/>
      <w:r w:rsidRPr="003A5AF4">
        <w:t xml:space="preserve">2025/702 </w:t>
      </w:r>
      <w:bookmarkEnd w:id="3"/>
      <w:r w:rsidRPr="003A5AF4">
        <w:t>of 17 March 2025 authorising the European Commission to take part, on behalf of the Union, in the negotiations for an international instrument setting up an International Claims Commission for Ukraine. OJ L, 2025/702, 8.4.2025.</w:t>
      </w:r>
    </w:p>
  </w:footnote>
  <w:footnote w:id="22">
    <w:p w:rsidR="00172415" w:rsidRPr="00945508" w:rsidRDefault="00172415">
      <w:pPr>
        <w:pStyle w:val="FootnoteText"/>
        <w:rPr>
          <w:lang w:val="en-IE"/>
        </w:rPr>
      </w:pPr>
      <w:r w:rsidRPr="004915D8">
        <w:rPr>
          <w:rStyle w:val="FootnoteReference"/>
        </w:rPr>
        <w:footnoteRef/>
      </w:r>
      <w:r w:rsidR="004915D8">
        <w:tab/>
      </w:r>
      <w:bookmarkStart w:id="4" w:name="_Hlk221538192"/>
      <w:r w:rsidRPr="00172415">
        <w:t>Council Decision (EU) 2025/2655 of 16 December 2025 on the signing, on behalf of the European Union, of the Convention Establishing the International Claims Commission for Ukraine</w:t>
      </w:r>
      <w:r>
        <w:t xml:space="preserve">. </w:t>
      </w:r>
      <w:r w:rsidRPr="00172415">
        <w:t>OJ L, 2025/2655, 23.12.2025</w:t>
      </w:r>
      <w:r>
        <w:t>.</w:t>
      </w:r>
      <w:bookmarkEnd w:id="4"/>
    </w:p>
  </w:footnote>
  <w:footnote w:id="23">
    <w:p w:rsidR="00C446DB" w:rsidRPr="00945508" w:rsidRDefault="00C446DB" w:rsidP="00C446DB">
      <w:pPr>
        <w:pStyle w:val="FootnoteText"/>
        <w:rPr>
          <w:lang w:val="en-IE"/>
        </w:rPr>
      </w:pPr>
      <w:r w:rsidRPr="004915D8">
        <w:rPr>
          <w:rStyle w:val="FootnoteReference"/>
        </w:rPr>
        <w:footnoteRef/>
      </w:r>
      <w:r w:rsidR="004915D8">
        <w:tab/>
      </w:r>
      <w:bookmarkStart w:id="5" w:name="_Hlk221538768"/>
      <w:r>
        <w:rPr>
          <w:lang w:val="en-IE"/>
        </w:rPr>
        <w:t xml:space="preserve">Most recent: </w:t>
      </w:r>
      <w:r w:rsidRPr="00C446DB">
        <w:rPr>
          <w:lang w:val="en-IE"/>
        </w:rPr>
        <w:t>Council Decision (CFSP) 2026/260 of 29 January 2026 amending Decision (CFSP) 2024/2643 concerning restrictive measures in view of Russia’s destabilising activities</w:t>
      </w:r>
      <w:r>
        <w:rPr>
          <w:lang w:val="en-IE"/>
        </w:rPr>
        <w:t xml:space="preserve">. </w:t>
      </w:r>
      <w:r w:rsidRPr="00C446DB">
        <w:rPr>
          <w:lang w:val="en-IE"/>
        </w:rPr>
        <w:t>OJ L, 2026/260, 29.1.2026</w:t>
      </w:r>
      <w:r>
        <w:rPr>
          <w:lang w:val="en-IE"/>
        </w:rPr>
        <w:t xml:space="preserve">; </w:t>
      </w:r>
      <w:r w:rsidRPr="00C446DB">
        <w:rPr>
          <w:lang w:val="en-IE"/>
        </w:rPr>
        <w:t>Council Decision (CFSP) 2025/2648 of 22 December 2025 amending Decision 2014/512/CFSP concerning restrictive measures in view of Russia’s actions destabilising the situation in Ukraine</w:t>
      </w:r>
      <w:r>
        <w:rPr>
          <w:lang w:val="en-IE"/>
        </w:rPr>
        <w:t xml:space="preserve">. </w:t>
      </w:r>
      <w:r w:rsidRPr="00C446DB">
        <w:rPr>
          <w:lang w:val="en-IE"/>
        </w:rPr>
        <w:t>OJ L, 2025/2648, 23.12.2025</w:t>
      </w:r>
      <w:r>
        <w:rPr>
          <w:lang w:val="en-IE"/>
        </w:rPr>
        <w:t xml:space="preserve">; </w:t>
      </w:r>
      <w:r w:rsidRPr="00C446DB">
        <w:rPr>
          <w:lang w:val="en-IE"/>
        </w:rPr>
        <w:t>Council Decision (CFSP) 2025/2572 of 15 December 2025 amending Decision (CFSP) 2024/2643 concerning restrictive measures in view of Russia’s destabilising activities</w:t>
      </w:r>
      <w:r>
        <w:rPr>
          <w:lang w:val="en-IE"/>
        </w:rPr>
        <w:t xml:space="preserve">. </w:t>
      </w:r>
      <w:r w:rsidRPr="00C446DB">
        <w:rPr>
          <w:lang w:val="en-IE"/>
        </w:rPr>
        <w:t>OJ L, 2025/2572, 15.12.2025</w:t>
      </w:r>
      <w:r>
        <w:rPr>
          <w:lang w:val="en-IE"/>
        </w:rPr>
        <w:t>.</w:t>
      </w:r>
      <w:bookmarkEnd w:id="5"/>
    </w:p>
  </w:footnote>
  <w:footnote w:id="24">
    <w:p w:rsidR="005C5BC3" w:rsidRPr="009C386E" w:rsidRDefault="005C5BC3" w:rsidP="00853C97">
      <w:pPr>
        <w:pStyle w:val="FootnoteText"/>
        <w:rPr>
          <w:lang w:val="en-IE"/>
        </w:rPr>
      </w:pPr>
      <w:r w:rsidRPr="000D13A7">
        <w:rPr>
          <w:rStyle w:val="FootnoteReference"/>
        </w:rPr>
        <w:footnoteRef/>
      </w:r>
      <w:r>
        <w:tab/>
      </w:r>
      <w:r w:rsidRPr="00CE43CB">
        <w:t>Directive (EU) 2024/1226 of the European Parliament and of the Council of 24 April 2024 on the definition of criminal offences and penalties for the violation of Union restrictive measures and amending Directive (EU) 2018/1673, OJ L, 2024/1226, 29.4.2024</w:t>
      </w:r>
      <w:r w:rsidR="00DE15E1">
        <w:t>.</w:t>
      </w:r>
    </w:p>
  </w:footnote>
  <w:footnote w:id="25">
    <w:p w:rsidR="00A44879" w:rsidRPr="00A44879" w:rsidRDefault="00A44879">
      <w:pPr>
        <w:pStyle w:val="FootnoteText"/>
        <w:rPr>
          <w:lang w:val="en-IE"/>
        </w:rPr>
      </w:pPr>
      <w:r w:rsidRPr="004915D8">
        <w:rPr>
          <w:rStyle w:val="FootnoteReference"/>
        </w:rPr>
        <w:footnoteRef/>
      </w:r>
      <w:r w:rsidR="004915D8">
        <w:tab/>
      </w:r>
      <w:r w:rsidRPr="00A44879">
        <w:t>Vienna Convention on the Law of Treaties (adopted 23 May 1969, entered into force 27 January 1980) 1155 UNTS 331.</w:t>
      </w:r>
      <w:r>
        <w:t xml:space="preserve"> </w:t>
      </w:r>
      <w:r w:rsidRPr="00A44879">
        <w:t>Art 18(a</w:t>
      </w:r>
      <w:r>
        <w:t xml:space="preserve">): </w:t>
      </w:r>
      <w:r w:rsidRPr="00A44879">
        <w:rPr>
          <w:i/>
          <w:iCs/>
        </w:rPr>
        <w:t>“A State is obliged to refrain from acts which would defeat the object and purpose of a treaty when it has signed the treaty or has exchanged instruments constituting the treaty subject to ratification, acceptance or approval, until it shall have made its intention clear not to become a party to the treaty”.</w:t>
      </w:r>
    </w:p>
  </w:footnote>
  <w:footnote w:id="26">
    <w:p w:rsidR="005C5BC3" w:rsidRPr="00B702AB" w:rsidRDefault="005C5BC3" w:rsidP="00853C97">
      <w:pPr>
        <w:pStyle w:val="FootnoteText"/>
      </w:pPr>
      <w:r w:rsidRPr="000D13A7">
        <w:rPr>
          <w:rStyle w:val="FootnoteReference"/>
        </w:rPr>
        <w:footnoteRef/>
      </w:r>
      <w:r>
        <w:tab/>
      </w:r>
      <w:r w:rsidRPr="00B702AB">
        <w:t xml:space="preserve">Judgment of 24 June 2014 (Grand Chamber), </w:t>
      </w:r>
      <w:r w:rsidRPr="00B702AB">
        <w:rPr>
          <w:i/>
          <w:iCs/>
        </w:rPr>
        <w:t>European Parliament v Council</w:t>
      </w:r>
      <w:r w:rsidRPr="00B702AB">
        <w:t xml:space="preserve">, C-658/11, para 55-57 and Judgment of the Court of Justice in case C-130/10 </w:t>
      </w:r>
      <w:r w:rsidRPr="00B702AB">
        <w:rPr>
          <w:i/>
          <w:iCs/>
        </w:rPr>
        <w:t>European Parliament v Council</w:t>
      </w:r>
      <w:r w:rsidRPr="00B702AB">
        <w:t>, para 80.</w:t>
      </w:r>
    </w:p>
  </w:footnote>
  <w:footnote w:id="27">
    <w:p w:rsidR="002A59CD" w:rsidRPr="002A59CD" w:rsidRDefault="002A59CD" w:rsidP="002A59CD">
      <w:pPr>
        <w:pStyle w:val="FootnoteText"/>
        <w:ind w:firstLine="0"/>
        <w:rPr>
          <w:lang w:val="en-IE"/>
        </w:rPr>
      </w:pPr>
      <w:r w:rsidRPr="001B04CB">
        <w:rPr>
          <w:rStyle w:val="FootnoteReference"/>
        </w:rPr>
        <w:footnoteRef/>
      </w:r>
      <w:r w:rsidR="001B04CB">
        <w:tab/>
      </w:r>
      <w:r w:rsidRPr="005E3170">
        <w:t xml:space="preserve">Conclusions of the European Council of </w:t>
      </w:r>
      <w:r>
        <w:t>24 February 2022 (special meeting), EUCO 18/22, para. 1.</w:t>
      </w:r>
    </w:p>
  </w:footnote>
  <w:footnote w:id="28">
    <w:p w:rsidR="002A59CD" w:rsidRPr="002A59CD" w:rsidRDefault="002A59CD" w:rsidP="002A59CD">
      <w:pPr>
        <w:pStyle w:val="FootnoteText"/>
        <w:ind w:firstLine="0"/>
      </w:pPr>
      <w:r w:rsidRPr="001B04CB">
        <w:rPr>
          <w:rStyle w:val="FootnoteReference"/>
        </w:rPr>
        <w:footnoteRef/>
      </w:r>
      <w:r w:rsidR="001B04CB">
        <w:tab/>
      </w:r>
      <w:r>
        <w:t>United Nations General Assembly, Aggression against Ukraine, 2 March 2022, a/res/es-11/1, in particular operative paragraphs 2–4.</w:t>
      </w:r>
    </w:p>
  </w:footnote>
  <w:footnote w:id="29">
    <w:p w:rsidR="00F2211E" w:rsidRPr="00F2211E" w:rsidRDefault="00F2211E" w:rsidP="00F2211E">
      <w:pPr>
        <w:pStyle w:val="FootnoteText"/>
        <w:ind w:firstLine="0"/>
        <w:rPr>
          <w:lang w:val="en-IE"/>
        </w:rPr>
      </w:pPr>
      <w:r w:rsidRPr="001B04CB">
        <w:rPr>
          <w:rStyle w:val="FootnoteReference"/>
        </w:rPr>
        <w:footnoteRef/>
      </w:r>
      <w:r w:rsidR="001B04CB">
        <w:tab/>
      </w:r>
      <w:r w:rsidRPr="005E3170">
        <w:t xml:space="preserve">Conclusions of the European Council of </w:t>
      </w:r>
      <w:r w:rsidRPr="00BD6E20">
        <w:t xml:space="preserve">20 and 21 October 2022, </w:t>
      </w:r>
      <w:r>
        <w:t>EUCO</w:t>
      </w:r>
      <w:r w:rsidRPr="00BD6E20">
        <w:t xml:space="preserve"> 31/22, </w:t>
      </w:r>
      <w:r>
        <w:t>para. 6</w:t>
      </w:r>
      <w:r w:rsidRPr="00BD6E20">
        <w:t>.</w:t>
      </w:r>
    </w:p>
  </w:footnote>
  <w:footnote w:id="30">
    <w:p w:rsidR="00F2211E" w:rsidRPr="00F2211E" w:rsidRDefault="00F2211E" w:rsidP="00F2211E">
      <w:pPr>
        <w:pStyle w:val="FootnoteText"/>
        <w:rPr>
          <w:lang w:val="en-US"/>
        </w:rPr>
      </w:pPr>
      <w:r w:rsidRPr="001B04CB">
        <w:rPr>
          <w:rStyle w:val="FootnoteReference"/>
        </w:rPr>
        <w:footnoteRef/>
      </w:r>
      <w:r w:rsidR="001B04CB">
        <w:tab/>
      </w:r>
      <w:r w:rsidRPr="005E3170">
        <w:t xml:space="preserve">Conclusions of the European Council of </w:t>
      </w:r>
      <w:r w:rsidRPr="000F639C">
        <w:rPr>
          <w:lang w:val="en-US"/>
        </w:rPr>
        <w:t>15 December 2022</w:t>
      </w:r>
      <w:r>
        <w:rPr>
          <w:lang w:val="en-US"/>
        </w:rPr>
        <w:t xml:space="preserve">, </w:t>
      </w:r>
      <w:r w:rsidRPr="000F639C">
        <w:rPr>
          <w:lang w:val="en-US"/>
        </w:rPr>
        <w:t>EUCO 34/22</w:t>
      </w:r>
      <w:r>
        <w:rPr>
          <w:lang w:val="en-US"/>
        </w:rPr>
        <w:t>, para. 8.</w:t>
      </w:r>
    </w:p>
  </w:footnote>
  <w:footnote w:id="31">
    <w:p w:rsidR="00F2211E" w:rsidRPr="00F2211E" w:rsidRDefault="00F2211E">
      <w:pPr>
        <w:pStyle w:val="FootnoteText"/>
        <w:rPr>
          <w:lang w:val="en-IE"/>
        </w:rPr>
      </w:pPr>
      <w:r w:rsidRPr="001B04CB">
        <w:rPr>
          <w:rStyle w:val="FootnoteReference"/>
        </w:rPr>
        <w:footnoteRef/>
      </w:r>
      <w:r w:rsidR="001B04CB">
        <w:tab/>
      </w:r>
      <w:r>
        <w:t>United Nations General Assembly, Principles of the Charter of the United Nations underlying a comprehensive, just, and lasting peace in Ukraine, 23 February 2023, a/res/es-11/6.</w:t>
      </w:r>
    </w:p>
  </w:footnote>
  <w:footnote w:id="32">
    <w:p w:rsidR="006825AA" w:rsidRPr="00945508" w:rsidRDefault="006825AA">
      <w:pPr>
        <w:pStyle w:val="FootnoteText"/>
        <w:rPr>
          <w:lang w:val="en-IE"/>
        </w:rPr>
      </w:pPr>
      <w:r w:rsidRPr="004915D8">
        <w:rPr>
          <w:rStyle w:val="FootnoteReference"/>
        </w:rPr>
        <w:footnoteRef/>
      </w:r>
      <w:r w:rsidR="004915D8">
        <w:tab/>
      </w:r>
      <w:r w:rsidRPr="006825AA">
        <w:t>Regulation (EU) 2022/838 of the European Parliament and of the Council of 30 May 2022 amending Regulation (EU) 2018/1727 as regards the preservation, analysis and storage at Eurojust of evidence relating to genocide, crimes against humanity, war crimes and related criminal offences</w:t>
      </w:r>
      <w:r w:rsidR="00194950">
        <w:t>,</w:t>
      </w:r>
      <w:r>
        <w:t xml:space="preserve"> </w:t>
      </w:r>
      <w:r w:rsidRPr="006825AA">
        <w:t>OJ L 148, 31.5.2022</w:t>
      </w:r>
      <w:r>
        <w:t>.</w:t>
      </w:r>
    </w:p>
  </w:footnote>
  <w:footnote w:id="33">
    <w:p w:rsidR="005C5BC3" w:rsidRPr="00491877" w:rsidRDefault="005C5BC3" w:rsidP="00C25F36">
      <w:pPr>
        <w:pStyle w:val="FootnoteText"/>
      </w:pPr>
      <w:r w:rsidRPr="004915D8">
        <w:rPr>
          <w:rStyle w:val="FootnoteReference"/>
        </w:rPr>
        <w:footnoteRef/>
      </w:r>
      <w:r w:rsidR="004915D8">
        <w:tab/>
      </w:r>
      <w:r w:rsidR="00052DB6" w:rsidRPr="005E3170">
        <w:t xml:space="preserve">Conclusions of the European Council of </w:t>
      </w:r>
      <w:r w:rsidR="00052DB6">
        <w:t>29 and 30 June</w:t>
      </w:r>
      <w:r w:rsidR="00052DB6" w:rsidRPr="005E3170">
        <w:t xml:space="preserve"> 2023, EUCO </w:t>
      </w:r>
      <w:r w:rsidR="00052DB6">
        <w:t>7</w:t>
      </w:r>
      <w:r w:rsidR="00052DB6" w:rsidRPr="005E3170">
        <w:t>/23 para. 7</w:t>
      </w:r>
      <w:r w:rsidR="00052DB6">
        <w:t xml:space="preserve">; </w:t>
      </w:r>
      <w:r w:rsidR="00052DB6" w:rsidRPr="005E3170">
        <w:t>Conclusions of the European Council of</w:t>
      </w:r>
      <w:r w:rsidR="00052DB6" w:rsidRPr="00D60C92">
        <w:t xml:space="preserve"> </w:t>
      </w:r>
      <w:r w:rsidR="00052DB6">
        <w:t xml:space="preserve">26-27 October 2023, EUCO 14/23 para. 7; </w:t>
      </w:r>
      <w:r w:rsidR="00052DB6" w:rsidRPr="004679AE">
        <w:t>Conclusions of the European Council of</w:t>
      </w:r>
      <w:r w:rsidR="00052DB6" w:rsidRPr="00D60C92">
        <w:t xml:space="preserve"> </w:t>
      </w:r>
      <w:r w:rsidR="00052DB6">
        <w:t>14-15 December 2023, EUCO 20/23 para. 7.</w:t>
      </w:r>
    </w:p>
  </w:footnote>
  <w:footnote w:id="34">
    <w:p w:rsidR="005C5BC3" w:rsidRPr="00D60C92" w:rsidRDefault="005C5BC3" w:rsidP="00C25F36">
      <w:pPr>
        <w:pStyle w:val="FootnoteText"/>
      </w:pPr>
      <w:r w:rsidRPr="004915D8">
        <w:rPr>
          <w:rStyle w:val="FootnoteReference"/>
        </w:rPr>
        <w:footnoteRef/>
      </w:r>
      <w:r w:rsidR="004915D8">
        <w:tab/>
      </w:r>
      <w:r w:rsidR="00052DB6" w:rsidRPr="004679AE">
        <w:t>Conclusions of the European Council of</w:t>
      </w:r>
      <w:r w:rsidR="00052DB6" w:rsidRPr="00D60C92">
        <w:t xml:space="preserve"> </w:t>
      </w:r>
      <w:r w:rsidR="00052DB6">
        <w:t>21-22 March 2024, EUCO 7/24, para. 9.</w:t>
      </w:r>
    </w:p>
  </w:footnote>
  <w:footnote w:id="35">
    <w:p w:rsidR="00052DB6" w:rsidRPr="00052DB6" w:rsidRDefault="00052DB6">
      <w:pPr>
        <w:pStyle w:val="FootnoteText"/>
        <w:rPr>
          <w:lang w:val="en-IE"/>
        </w:rPr>
      </w:pPr>
      <w:r w:rsidRPr="001B04CB">
        <w:rPr>
          <w:rStyle w:val="FootnoteReference"/>
        </w:rPr>
        <w:footnoteRef/>
      </w:r>
      <w:r w:rsidR="001B04CB">
        <w:tab/>
      </w:r>
      <w:r w:rsidRPr="0068689B">
        <w:t xml:space="preserve">Core Group on the Establishment of a Special Tribunal for the Crime of Aggression against Ukraine, </w:t>
      </w:r>
      <w:r w:rsidRPr="00945508">
        <w:rPr>
          <w:i/>
          <w:iCs/>
        </w:rPr>
        <w:t>‘Joint Statement of the Foreign Ministers Meeting on the Special Tribunal for the Crime of Aggression against Ukraine’</w:t>
      </w:r>
      <w:r w:rsidRPr="0068689B">
        <w:t xml:space="preserve"> (Lviv, 9 May 2025).</w:t>
      </w:r>
    </w:p>
  </w:footnote>
  <w:footnote w:id="36">
    <w:p w:rsidR="00F55D37" w:rsidRPr="00F55D37" w:rsidRDefault="00F55D37">
      <w:pPr>
        <w:pStyle w:val="FootnoteText"/>
        <w:rPr>
          <w:lang w:val="en-IE"/>
        </w:rPr>
      </w:pPr>
      <w:r w:rsidRPr="001B04CB">
        <w:rPr>
          <w:rStyle w:val="FootnoteReference"/>
        </w:rPr>
        <w:footnoteRef/>
      </w:r>
      <w:r w:rsidR="001B04CB">
        <w:tab/>
      </w:r>
      <w:r w:rsidRPr="0068689B">
        <w:t>CM/Del/Dec(2025)1532/2.3 - Consequences of the aggression of the Russian Federation against Ukraine - Special Tribunal for the Crime of Aggression against Ukraine (Strasbourg, 24 June 2025)</w:t>
      </w:r>
      <w:r>
        <w:t>.</w:t>
      </w:r>
    </w:p>
  </w:footnote>
  <w:footnote w:id="37">
    <w:p w:rsidR="004221E3" w:rsidRPr="006C5F1D" w:rsidRDefault="004221E3">
      <w:pPr>
        <w:pStyle w:val="FootnoteText"/>
        <w:rPr>
          <w:lang w:val="en-IE"/>
        </w:rPr>
      </w:pPr>
      <w:r w:rsidRPr="00383453">
        <w:rPr>
          <w:rStyle w:val="FootnoteReference"/>
        </w:rPr>
        <w:footnoteRef/>
      </w:r>
      <w:r w:rsidR="00383453">
        <w:tab/>
      </w:r>
      <w:r>
        <w:rPr>
          <w:lang w:val="en-IE"/>
        </w:rPr>
        <w:t>idem</w:t>
      </w:r>
    </w:p>
  </w:footnote>
  <w:footnote w:id="38">
    <w:p w:rsidR="00194950" w:rsidRPr="00945508" w:rsidRDefault="00194950" w:rsidP="00194950">
      <w:pPr>
        <w:pStyle w:val="FootnoteText"/>
        <w:rPr>
          <w:lang w:val="en-IE"/>
        </w:rPr>
      </w:pPr>
      <w:r w:rsidRPr="004915D8">
        <w:rPr>
          <w:rStyle w:val="FootnoteReference"/>
        </w:rPr>
        <w:footnoteRef/>
      </w:r>
      <w:r w:rsidR="004915D8">
        <w:tab/>
      </w:r>
      <w:r w:rsidR="00F55D37" w:rsidRPr="00183B29">
        <w:t>CM/Del/Dec(2026)1548/2.3 - Consequences of the aggression of the Russian Federation against Ukraine - Special Tribunal for the Crime of Aggression against Ukraine (GT-TRIBUNAL)</w:t>
      </w:r>
      <w:r w:rsidR="00F55D37">
        <w:t xml:space="preserve"> (Strasbourg, 21 January 2026).</w:t>
      </w:r>
    </w:p>
  </w:footnote>
  <w:footnote w:id="39">
    <w:p w:rsidR="005C5BC3" w:rsidRPr="008D5A0D" w:rsidRDefault="005C5BC3">
      <w:pPr>
        <w:pStyle w:val="FootnoteText"/>
        <w:rPr>
          <w:lang w:val="en-US"/>
        </w:rPr>
      </w:pPr>
      <w:r w:rsidRPr="004915D8">
        <w:rPr>
          <w:rStyle w:val="FootnoteReference"/>
        </w:rPr>
        <w:footnoteRef/>
      </w:r>
      <w:r w:rsidR="004915D8">
        <w:tab/>
      </w:r>
      <w:r w:rsidRPr="00B94B4B">
        <w:t xml:space="preserve">The text of the Agreement is published in OJ L, </w:t>
      </w:r>
      <w:r>
        <w:t>…., ELI …</w:t>
      </w:r>
    </w:p>
  </w:footnote>
  <w:footnote w:id="40">
    <w:p w:rsidR="001C54EA" w:rsidRPr="003A5AF4" w:rsidRDefault="001C54EA" w:rsidP="001C54EA">
      <w:pPr>
        <w:pStyle w:val="FootnoteText"/>
        <w:tabs>
          <w:tab w:val="left" w:pos="816"/>
        </w:tabs>
        <w:rPr>
          <w:i/>
          <w:iCs/>
        </w:rPr>
      </w:pPr>
      <w:r w:rsidRPr="00383453">
        <w:rPr>
          <w:rStyle w:val="FootnoteReference"/>
        </w:rPr>
        <w:footnoteRef/>
      </w:r>
      <w:r w:rsidR="00383453">
        <w:tab/>
      </w:r>
      <w:r w:rsidRPr="002F5675">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p w:rsidR="001C54EA" w:rsidRPr="006C5F1D" w:rsidRDefault="001C54EA">
      <w:pPr>
        <w:pStyle w:val="FootnoteText"/>
        <w:rPr>
          <w:lang w:val="en-IE"/>
        </w:rPr>
      </w:pPr>
    </w:p>
  </w:footnote>
  <w:footnote w:id="41">
    <w:p w:rsidR="005C5BC3" w:rsidRDefault="005C5BC3">
      <w:pPr>
        <w:pStyle w:val="FootnoteText"/>
      </w:pPr>
      <w:r w:rsidRPr="00760368">
        <w:rPr>
          <w:rStyle w:val="FootnoteReference"/>
        </w:rPr>
        <w:footnoteRef/>
      </w:r>
      <w:r>
        <w:tab/>
        <w:t>As referred to in Article 58(2), point (a) or (b) of the Financial Regulation.</w:t>
      </w:r>
    </w:p>
  </w:footnote>
  <w:footnote w:id="42">
    <w:p w:rsidR="001C54EA" w:rsidRPr="003A5AF4" w:rsidRDefault="001C54EA" w:rsidP="001C54EA">
      <w:pPr>
        <w:pStyle w:val="FootnoteText"/>
        <w:tabs>
          <w:tab w:val="left" w:pos="816"/>
        </w:tabs>
        <w:rPr>
          <w:i/>
          <w:iCs/>
        </w:rPr>
      </w:pPr>
      <w:r w:rsidRPr="00383453">
        <w:rPr>
          <w:rStyle w:val="FootnoteReference"/>
        </w:rPr>
        <w:footnoteRef/>
      </w:r>
      <w:r w:rsidR="00383453">
        <w:tab/>
      </w:r>
      <w:r w:rsidRPr="002F5675">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p w:rsidR="001C54EA" w:rsidRPr="006C5F1D" w:rsidRDefault="001C54EA">
      <w:pPr>
        <w:pStyle w:val="FootnoteText"/>
        <w:rPr>
          <w:lang w:val="en-IE"/>
        </w:rPr>
      </w:pPr>
    </w:p>
  </w:footnote>
  <w:footnote w:id="43">
    <w:p w:rsidR="00D1491A" w:rsidRPr="003A5AF4" w:rsidRDefault="00D1491A" w:rsidP="00D1491A">
      <w:pPr>
        <w:pStyle w:val="FootnoteText"/>
        <w:rPr>
          <w:szCs w:val="24"/>
        </w:rPr>
      </w:pPr>
      <w:r w:rsidRPr="003A5AF4">
        <w:rPr>
          <w:rStyle w:val="FootnoteReference"/>
        </w:rPr>
        <w:footnoteRef/>
      </w:r>
      <w:r w:rsidRPr="003A5AF4">
        <w:tab/>
        <w:t>Diff. = Differentiated appropriations / Non-diff. = Non-differentiated appropriations.</w:t>
      </w:r>
    </w:p>
  </w:footnote>
  <w:footnote w:id="44">
    <w:p w:rsidR="00D1491A" w:rsidRPr="003A5AF4" w:rsidRDefault="00D1491A" w:rsidP="00D1491A">
      <w:pPr>
        <w:pStyle w:val="FootnoteText"/>
        <w:rPr>
          <w:szCs w:val="24"/>
        </w:rPr>
      </w:pPr>
      <w:r w:rsidRPr="003A5AF4">
        <w:rPr>
          <w:rStyle w:val="FootnoteReference"/>
        </w:rPr>
        <w:footnoteRef/>
      </w:r>
      <w:r w:rsidRPr="003A5AF4">
        <w:tab/>
        <w:t xml:space="preserve">EFTA: European Free Trade Association. </w:t>
      </w:r>
    </w:p>
  </w:footnote>
  <w:footnote w:id="45">
    <w:p w:rsidR="00D1491A" w:rsidRPr="003A5AF4" w:rsidRDefault="00D1491A" w:rsidP="00D1491A">
      <w:pPr>
        <w:pStyle w:val="FootnoteText"/>
        <w:rPr>
          <w:szCs w:val="24"/>
        </w:rPr>
      </w:pPr>
      <w:r w:rsidRPr="003A5AF4">
        <w:rPr>
          <w:rStyle w:val="FootnoteReference"/>
        </w:rPr>
        <w:footnoteRef/>
      </w:r>
      <w:r w:rsidRPr="003A5AF4">
        <w:tab/>
        <w:t>Candidate countries and, where applicable, potential candidates from the Western Balkans.</w:t>
      </w:r>
    </w:p>
  </w:footnote>
  <w:footnote w:id="46">
    <w:p w:rsidR="00D1491A" w:rsidRPr="003A5AF4" w:rsidRDefault="00D1491A" w:rsidP="00D1491A">
      <w:pPr>
        <w:pStyle w:val="FootnoteText"/>
        <w:tabs>
          <w:tab w:val="left" w:pos="816"/>
        </w:tabs>
        <w:rPr>
          <w:i/>
          <w:iCs/>
        </w:rPr>
      </w:pPr>
      <w:r w:rsidRPr="004915D8">
        <w:rPr>
          <w:rStyle w:val="FootnoteReference"/>
        </w:rPr>
        <w:footnoteRef/>
      </w:r>
      <w:r w:rsidR="004915D8">
        <w:tab/>
      </w:r>
      <w:r w:rsidR="002F5675" w:rsidRPr="002F5675">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p w:rsidR="002F5675" w:rsidRPr="00814848" w:rsidRDefault="002F5675" w:rsidP="002F5675">
      <w:pPr>
        <w:pStyle w:val="FootnoteText"/>
        <w:tabs>
          <w:tab w:val="left" w:pos="816"/>
        </w:tabs>
        <w:ind w:left="0" w:firstLine="0"/>
      </w:pPr>
    </w:p>
    <w:p w:rsidR="00D1491A" w:rsidRPr="003A5AF4" w:rsidRDefault="00D1491A" w:rsidP="00D1491A">
      <w:pPr>
        <w:pStyle w:val="FootnoteText"/>
        <w:tabs>
          <w:tab w:val="left" w:pos="816"/>
        </w:tabs>
      </w:pPr>
    </w:p>
  </w:footnote>
  <w:footnote w:id="47">
    <w:p w:rsidR="009460B9" w:rsidRDefault="009460B9" w:rsidP="00492235">
      <w:pPr>
        <w:pStyle w:val="FootnoteText"/>
      </w:pPr>
      <w:r w:rsidRPr="006E2DA8">
        <w:rPr>
          <w:rStyle w:val="FootnoteReference"/>
        </w:rPr>
        <w:footnoteRef/>
      </w:r>
      <w:r>
        <w:tab/>
      </w:r>
      <w:r w:rsidRPr="002F5675">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footnote>
  <w:footnote w:id="48">
    <w:p w:rsidR="00D613E7" w:rsidRPr="00AC1C9B" w:rsidRDefault="00D613E7" w:rsidP="00793465">
      <w:pPr>
        <w:pStyle w:val="FootnoteText"/>
        <w:rPr>
          <w:lang w:val="en-IE"/>
        </w:rPr>
      </w:pPr>
      <w:r w:rsidRPr="004915D8">
        <w:rPr>
          <w:rStyle w:val="FootnoteReference"/>
        </w:rPr>
        <w:footnoteRef/>
      </w:r>
      <w:r>
        <w:tab/>
      </w:r>
      <w:r w:rsidRPr="002F5675">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and the steering mechanism. All appropriations and staffing allocations as of 2028 are indicative.</w:t>
      </w:r>
    </w:p>
  </w:footnote>
  <w:footnote w:id="49">
    <w:p w:rsidR="005C5BC3" w:rsidRDefault="005C5BC3">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50">
    <w:p w:rsidR="005C5BC3" w:rsidRDefault="005C5BC3">
      <w:pPr>
        <w:pStyle w:val="FootnoteText"/>
        <w:rPr>
          <w:szCs w:val="24"/>
        </w:rPr>
      </w:pPr>
      <w:r>
        <w:rPr>
          <w:rStyle w:val="FootnoteReference"/>
        </w:rPr>
        <w:footnoteRef/>
      </w:r>
      <w:r>
        <w:tab/>
        <w:t xml:space="preserve">As described in Section 1.3.2. ‘Specific objective(s)’ </w:t>
      </w:r>
    </w:p>
  </w:footnote>
  <w:footnote w:id="51">
    <w:p w:rsidR="005C5BC3" w:rsidRDefault="005C5BC3">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Default="00185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Default="00185F1C" w:rsidP="00185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Pr="00185F1C" w:rsidRDefault="00185F1C" w:rsidP="00185F1C">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F1C" w:rsidRPr="00185F1C" w:rsidRDefault="00185F1C" w:rsidP="00185F1C">
    <w:pPr>
      <w:pStyle w:val="Header"/>
    </w:pPr>
  </w:p>
</w:hdr>
</file>

<file path=word/intelligence2.xml><?xml version="1.0" encoding="utf-8"?>
<int2:intelligence xmlns:int2="http://schemas.microsoft.com/office/intelligence/2020/intelligence" xmlns:oel="http://schemas.microsoft.com/office/2019/extlst">
  <int2:observations>
    <int2:textHash int2:hashCode="YwL6FPuwxnkr4X" int2:id="izmlwmI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4F27"/>
    <w:multiLevelType w:val="hybridMultilevel"/>
    <w:tmpl w:val="9A065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C3D1349"/>
    <w:multiLevelType w:val="hybridMultilevel"/>
    <w:tmpl w:val="2C9CE1DC"/>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22"/>
  </w:num>
  <w:num w:numId="3">
    <w:abstractNumId w:val="10"/>
  </w:num>
  <w:num w:numId="4">
    <w:abstractNumId w:val="19"/>
  </w:num>
  <w:num w:numId="5">
    <w:abstractNumId w:val="18"/>
  </w:num>
  <w:num w:numId="6">
    <w:abstractNumId w:val="29"/>
  </w:num>
  <w:num w:numId="7">
    <w:abstractNumId w:val="26"/>
  </w:num>
  <w:num w:numId="8">
    <w:abstractNumId w:val="30"/>
  </w:num>
  <w:num w:numId="9">
    <w:abstractNumId w:val="31"/>
  </w:num>
  <w:num w:numId="10">
    <w:abstractNumId w:val="2"/>
  </w:num>
  <w:num w:numId="11">
    <w:abstractNumId w:val="12"/>
  </w:num>
  <w:num w:numId="12">
    <w:abstractNumId w:val="3"/>
  </w:num>
  <w:num w:numId="13">
    <w:abstractNumId w:val="13"/>
  </w:num>
  <w:num w:numId="14">
    <w:abstractNumId w:val="11"/>
  </w:num>
  <w:num w:numId="15">
    <w:abstractNumId w:val="20"/>
  </w:num>
  <w:num w:numId="16">
    <w:abstractNumId w:val="9"/>
  </w:num>
  <w:num w:numId="17">
    <w:abstractNumId w:val="0"/>
  </w:num>
  <w:num w:numId="18">
    <w:abstractNumId w:val="17"/>
    <w:lvlOverride w:ilvl="0">
      <w:startOverride w:val="1"/>
    </w:lvlOverride>
  </w:num>
  <w:num w:numId="19">
    <w:abstractNumId w:val="5"/>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num>
  <w:num w:numId="22">
    <w:abstractNumId w:val="25"/>
  </w:num>
  <w:num w:numId="23">
    <w:abstractNumId w:val="14"/>
  </w:num>
  <w:num w:numId="24">
    <w:abstractNumId w:val="28"/>
  </w:num>
  <w:num w:numId="25">
    <w:abstractNumId w:val="8"/>
  </w:num>
  <w:num w:numId="26">
    <w:abstractNumId w:val="15"/>
  </w:num>
  <w:num w:numId="27">
    <w:abstractNumId w:val="16"/>
  </w:num>
  <w:num w:numId="28">
    <w:abstractNumId w:val="6"/>
  </w:num>
  <w:num w:numId="29">
    <w:abstractNumId w:val="27"/>
  </w:num>
  <w:num w:numId="30">
    <w:abstractNumId w:val="4"/>
  </w:num>
  <w:num w:numId="31">
    <w:abstractNumId w:val="17"/>
  </w:num>
  <w:num w:numId="32">
    <w:abstractNumId w:val="23"/>
  </w:num>
  <w:num w:numId="33">
    <w:abstractNumId w:val="24"/>
  </w:num>
  <w:num w:numId="34">
    <w:abstractNumId w:val="7"/>
  </w:num>
  <w:num w:numId="35">
    <w:abstractNumId w:val="21"/>
  </w:num>
  <w:num w:numId="36">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A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23 16:22: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93908EB-4ADA-40BA-9EC0-B2055F688F26"/>
    <w:docVar w:name="LW_COVERPAGE_TYPE" w:val="1"/>
    <w:docVar w:name="LW_CreatedUtc" w:val="2025-07-11T16:38:27.3590377Z"/>
    <w:docVar w:name="LW_CROSSREFERENCE" w:val="&lt;UNUSED&gt;"/>
    <w:docVar w:name="LW_DocType" w:val="COM"/>
    <w:docVar w:name="LW_EMISSION" w:val="24.3.2026"/>
    <w:docVar w:name="LW_EMISSION_ISODATE" w:val="2026-03-24"/>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0"/>
    <w:docVar w:name="LW_REF.II.NEW.CP_YEAR" w:val="2026"/>
    <w:docVar w:name="LW_REF.INST.NEW" w:val="COM"/>
    <w:docVar w:name="LW_REF.INST.NEW_ADOPTED" w:val="final"/>
    <w:docVar w:name="LW_REF.INST.NEW_TEXT" w:val="(2026)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n behalf of the European Union, of the Enlarged Partial Agreement on the Management Committee of the Special Tribunal for the Crime of Aggression against Ukraine "/>
    <w:docVar w:name="LW_TYPE.DOC.CP" w:val="COUNCIL DECISION"/>
    <w:docVar w:name="LwApiVersions" w:val="LW4CoDe 1.24.5.0; LW 9.2, Build 20251112"/>
  </w:docVars>
  <w:rsids>
    <w:rsidRoot w:val="00DE314D"/>
    <w:rsid w:val="00001668"/>
    <w:rsid w:val="00001879"/>
    <w:rsid w:val="0000222B"/>
    <w:rsid w:val="00002AD6"/>
    <w:rsid w:val="000030AA"/>
    <w:rsid w:val="00004C83"/>
    <w:rsid w:val="000069D1"/>
    <w:rsid w:val="00007195"/>
    <w:rsid w:val="00007227"/>
    <w:rsid w:val="0001069B"/>
    <w:rsid w:val="000107EF"/>
    <w:rsid w:val="00011903"/>
    <w:rsid w:val="00011B74"/>
    <w:rsid w:val="00011E59"/>
    <w:rsid w:val="000133BD"/>
    <w:rsid w:val="0001420F"/>
    <w:rsid w:val="000146FD"/>
    <w:rsid w:val="00017FD8"/>
    <w:rsid w:val="00021A98"/>
    <w:rsid w:val="0002206A"/>
    <w:rsid w:val="0002612F"/>
    <w:rsid w:val="00026B01"/>
    <w:rsid w:val="0003181C"/>
    <w:rsid w:val="000332AD"/>
    <w:rsid w:val="00033533"/>
    <w:rsid w:val="00035D26"/>
    <w:rsid w:val="0003699E"/>
    <w:rsid w:val="00037495"/>
    <w:rsid w:val="00040CFE"/>
    <w:rsid w:val="00040DB1"/>
    <w:rsid w:val="0004199A"/>
    <w:rsid w:val="000427E6"/>
    <w:rsid w:val="00042DC5"/>
    <w:rsid w:val="00044555"/>
    <w:rsid w:val="0004579E"/>
    <w:rsid w:val="00045FEA"/>
    <w:rsid w:val="000463F2"/>
    <w:rsid w:val="00046690"/>
    <w:rsid w:val="00047C2C"/>
    <w:rsid w:val="00050632"/>
    <w:rsid w:val="00050964"/>
    <w:rsid w:val="00050F94"/>
    <w:rsid w:val="00051114"/>
    <w:rsid w:val="00052DB6"/>
    <w:rsid w:val="00053DC9"/>
    <w:rsid w:val="00056EB0"/>
    <w:rsid w:val="00060C16"/>
    <w:rsid w:val="0006245E"/>
    <w:rsid w:val="000628CB"/>
    <w:rsid w:val="000706E6"/>
    <w:rsid w:val="000726D1"/>
    <w:rsid w:val="00072B14"/>
    <w:rsid w:val="0007572D"/>
    <w:rsid w:val="00077BFB"/>
    <w:rsid w:val="00083956"/>
    <w:rsid w:val="000847BF"/>
    <w:rsid w:val="00086AB3"/>
    <w:rsid w:val="000874D0"/>
    <w:rsid w:val="00093678"/>
    <w:rsid w:val="0009581A"/>
    <w:rsid w:val="00095928"/>
    <w:rsid w:val="00096EF2"/>
    <w:rsid w:val="00097358"/>
    <w:rsid w:val="000A2439"/>
    <w:rsid w:val="000A65F1"/>
    <w:rsid w:val="000A6A0B"/>
    <w:rsid w:val="000B647D"/>
    <w:rsid w:val="000C001A"/>
    <w:rsid w:val="000C03E6"/>
    <w:rsid w:val="000C0565"/>
    <w:rsid w:val="000C0FA3"/>
    <w:rsid w:val="000C10EE"/>
    <w:rsid w:val="000C5F30"/>
    <w:rsid w:val="000C718C"/>
    <w:rsid w:val="000C7276"/>
    <w:rsid w:val="000C7D55"/>
    <w:rsid w:val="000D0D15"/>
    <w:rsid w:val="000D13A7"/>
    <w:rsid w:val="000D2979"/>
    <w:rsid w:val="000D4008"/>
    <w:rsid w:val="000D401D"/>
    <w:rsid w:val="000D494F"/>
    <w:rsid w:val="000E08BA"/>
    <w:rsid w:val="000E1BC6"/>
    <w:rsid w:val="000E4793"/>
    <w:rsid w:val="000E5882"/>
    <w:rsid w:val="000E7A7F"/>
    <w:rsid w:val="000E7C3F"/>
    <w:rsid w:val="000F0ACC"/>
    <w:rsid w:val="000F1766"/>
    <w:rsid w:val="000F18C4"/>
    <w:rsid w:val="000F43A8"/>
    <w:rsid w:val="000F440F"/>
    <w:rsid w:val="000F45F8"/>
    <w:rsid w:val="000F5436"/>
    <w:rsid w:val="000F5A3C"/>
    <w:rsid w:val="000F7710"/>
    <w:rsid w:val="00100444"/>
    <w:rsid w:val="001018C4"/>
    <w:rsid w:val="00104AAB"/>
    <w:rsid w:val="001065F5"/>
    <w:rsid w:val="00112897"/>
    <w:rsid w:val="001143F5"/>
    <w:rsid w:val="00114697"/>
    <w:rsid w:val="00116763"/>
    <w:rsid w:val="00121892"/>
    <w:rsid w:val="00122184"/>
    <w:rsid w:val="00123116"/>
    <w:rsid w:val="001234F1"/>
    <w:rsid w:val="001235F8"/>
    <w:rsid w:val="001238EF"/>
    <w:rsid w:val="00124513"/>
    <w:rsid w:val="001314B1"/>
    <w:rsid w:val="001317FC"/>
    <w:rsid w:val="0013629D"/>
    <w:rsid w:val="001401A2"/>
    <w:rsid w:val="001409D1"/>
    <w:rsid w:val="00140C96"/>
    <w:rsid w:val="00141895"/>
    <w:rsid w:val="00141FF3"/>
    <w:rsid w:val="001450F1"/>
    <w:rsid w:val="00146810"/>
    <w:rsid w:val="00147D10"/>
    <w:rsid w:val="00151528"/>
    <w:rsid w:val="0015296D"/>
    <w:rsid w:val="0015376F"/>
    <w:rsid w:val="00154CB5"/>
    <w:rsid w:val="0015609F"/>
    <w:rsid w:val="0015736B"/>
    <w:rsid w:val="00160326"/>
    <w:rsid w:val="00160B56"/>
    <w:rsid w:val="0016179A"/>
    <w:rsid w:val="00171972"/>
    <w:rsid w:val="00172415"/>
    <w:rsid w:val="00173C56"/>
    <w:rsid w:val="00174015"/>
    <w:rsid w:val="0017408D"/>
    <w:rsid w:val="0017445D"/>
    <w:rsid w:val="00174F8F"/>
    <w:rsid w:val="0017566F"/>
    <w:rsid w:val="0017655E"/>
    <w:rsid w:val="001809FB"/>
    <w:rsid w:val="00183431"/>
    <w:rsid w:val="00183B29"/>
    <w:rsid w:val="001857E9"/>
    <w:rsid w:val="00185F1C"/>
    <w:rsid w:val="00187028"/>
    <w:rsid w:val="00187510"/>
    <w:rsid w:val="001907A0"/>
    <w:rsid w:val="00190FD1"/>
    <w:rsid w:val="001915E6"/>
    <w:rsid w:val="00193A8D"/>
    <w:rsid w:val="00194950"/>
    <w:rsid w:val="001952A1"/>
    <w:rsid w:val="00197613"/>
    <w:rsid w:val="001A0F49"/>
    <w:rsid w:val="001A12CF"/>
    <w:rsid w:val="001A2140"/>
    <w:rsid w:val="001A3EC1"/>
    <w:rsid w:val="001A4C83"/>
    <w:rsid w:val="001A5C1E"/>
    <w:rsid w:val="001B04CB"/>
    <w:rsid w:val="001B0BEB"/>
    <w:rsid w:val="001B0EA0"/>
    <w:rsid w:val="001B1446"/>
    <w:rsid w:val="001B7C19"/>
    <w:rsid w:val="001C035D"/>
    <w:rsid w:val="001C0CAE"/>
    <w:rsid w:val="001C3565"/>
    <w:rsid w:val="001C35FC"/>
    <w:rsid w:val="001C489D"/>
    <w:rsid w:val="001C4E02"/>
    <w:rsid w:val="001C544F"/>
    <w:rsid w:val="001C54EA"/>
    <w:rsid w:val="001C5EBB"/>
    <w:rsid w:val="001C60E4"/>
    <w:rsid w:val="001C634D"/>
    <w:rsid w:val="001C6793"/>
    <w:rsid w:val="001C6CB1"/>
    <w:rsid w:val="001C6FFE"/>
    <w:rsid w:val="001D2172"/>
    <w:rsid w:val="001D4847"/>
    <w:rsid w:val="001D6532"/>
    <w:rsid w:val="001D77E5"/>
    <w:rsid w:val="001E2E8F"/>
    <w:rsid w:val="001E408A"/>
    <w:rsid w:val="001E5729"/>
    <w:rsid w:val="001E7215"/>
    <w:rsid w:val="001E7284"/>
    <w:rsid w:val="001E7ABA"/>
    <w:rsid w:val="001E7C37"/>
    <w:rsid w:val="001F02C8"/>
    <w:rsid w:val="001F2241"/>
    <w:rsid w:val="001F2D59"/>
    <w:rsid w:val="001F50E7"/>
    <w:rsid w:val="001F558E"/>
    <w:rsid w:val="001F6448"/>
    <w:rsid w:val="00200132"/>
    <w:rsid w:val="00201C5F"/>
    <w:rsid w:val="00201F52"/>
    <w:rsid w:val="00203F73"/>
    <w:rsid w:val="00204033"/>
    <w:rsid w:val="00205160"/>
    <w:rsid w:val="002056C6"/>
    <w:rsid w:val="00205D01"/>
    <w:rsid w:val="00210A98"/>
    <w:rsid w:val="00212444"/>
    <w:rsid w:val="00213AAA"/>
    <w:rsid w:val="002207AA"/>
    <w:rsid w:val="002215F8"/>
    <w:rsid w:val="00222D6C"/>
    <w:rsid w:val="00223359"/>
    <w:rsid w:val="0022446D"/>
    <w:rsid w:val="00225729"/>
    <w:rsid w:val="00227771"/>
    <w:rsid w:val="00231862"/>
    <w:rsid w:val="002339F1"/>
    <w:rsid w:val="00233DC7"/>
    <w:rsid w:val="00234AE9"/>
    <w:rsid w:val="00235E8C"/>
    <w:rsid w:val="002367E3"/>
    <w:rsid w:val="00240BFA"/>
    <w:rsid w:val="00240C8C"/>
    <w:rsid w:val="00246D77"/>
    <w:rsid w:val="00247779"/>
    <w:rsid w:val="00251645"/>
    <w:rsid w:val="0025200A"/>
    <w:rsid w:val="002528DF"/>
    <w:rsid w:val="00253178"/>
    <w:rsid w:val="0025338A"/>
    <w:rsid w:val="00253CE3"/>
    <w:rsid w:val="00253E39"/>
    <w:rsid w:val="002559C6"/>
    <w:rsid w:val="0026014A"/>
    <w:rsid w:val="00261A4D"/>
    <w:rsid w:val="00263053"/>
    <w:rsid w:val="00264DE4"/>
    <w:rsid w:val="0028203D"/>
    <w:rsid w:val="00282E4D"/>
    <w:rsid w:val="002832A0"/>
    <w:rsid w:val="0028412E"/>
    <w:rsid w:val="0028460A"/>
    <w:rsid w:val="00285BEE"/>
    <w:rsid w:val="00285CA2"/>
    <w:rsid w:val="00287425"/>
    <w:rsid w:val="00290AB4"/>
    <w:rsid w:val="0029445C"/>
    <w:rsid w:val="002946B9"/>
    <w:rsid w:val="002947B8"/>
    <w:rsid w:val="0029517C"/>
    <w:rsid w:val="0029533F"/>
    <w:rsid w:val="002973C0"/>
    <w:rsid w:val="00297893"/>
    <w:rsid w:val="00297ED0"/>
    <w:rsid w:val="002A0129"/>
    <w:rsid w:val="002A2A03"/>
    <w:rsid w:val="002A32B1"/>
    <w:rsid w:val="002A4092"/>
    <w:rsid w:val="002A4FA3"/>
    <w:rsid w:val="002A53BD"/>
    <w:rsid w:val="002A59CD"/>
    <w:rsid w:val="002A5A10"/>
    <w:rsid w:val="002B0692"/>
    <w:rsid w:val="002B0FDF"/>
    <w:rsid w:val="002B30AF"/>
    <w:rsid w:val="002B37D8"/>
    <w:rsid w:val="002B6AFE"/>
    <w:rsid w:val="002C042E"/>
    <w:rsid w:val="002C148F"/>
    <w:rsid w:val="002C5812"/>
    <w:rsid w:val="002C5A51"/>
    <w:rsid w:val="002D20A9"/>
    <w:rsid w:val="002D3EEA"/>
    <w:rsid w:val="002D638C"/>
    <w:rsid w:val="002D79A4"/>
    <w:rsid w:val="002E1858"/>
    <w:rsid w:val="002E3E89"/>
    <w:rsid w:val="002E69FE"/>
    <w:rsid w:val="002E7D8B"/>
    <w:rsid w:val="002F0A48"/>
    <w:rsid w:val="002F25F4"/>
    <w:rsid w:val="002F2606"/>
    <w:rsid w:val="002F3070"/>
    <w:rsid w:val="002F4735"/>
    <w:rsid w:val="002F5675"/>
    <w:rsid w:val="002F79CC"/>
    <w:rsid w:val="00300EA5"/>
    <w:rsid w:val="003014FE"/>
    <w:rsid w:val="00301896"/>
    <w:rsid w:val="003035C9"/>
    <w:rsid w:val="003037F2"/>
    <w:rsid w:val="003039A0"/>
    <w:rsid w:val="0030585F"/>
    <w:rsid w:val="00306C28"/>
    <w:rsid w:val="003123E1"/>
    <w:rsid w:val="00312895"/>
    <w:rsid w:val="0031511A"/>
    <w:rsid w:val="00315F16"/>
    <w:rsid w:val="00320D5B"/>
    <w:rsid w:val="00323842"/>
    <w:rsid w:val="00325051"/>
    <w:rsid w:val="003260E2"/>
    <w:rsid w:val="00326D52"/>
    <w:rsid w:val="00331611"/>
    <w:rsid w:val="003323B8"/>
    <w:rsid w:val="0033344A"/>
    <w:rsid w:val="003353F9"/>
    <w:rsid w:val="003365F7"/>
    <w:rsid w:val="00336F24"/>
    <w:rsid w:val="0033789B"/>
    <w:rsid w:val="00340597"/>
    <w:rsid w:val="00341EB2"/>
    <w:rsid w:val="003438E6"/>
    <w:rsid w:val="0034518D"/>
    <w:rsid w:val="003567B4"/>
    <w:rsid w:val="003575E2"/>
    <w:rsid w:val="00360B70"/>
    <w:rsid w:val="00363D17"/>
    <w:rsid w:val="003642E7"/>
    <w:rsid w:val="00364864"/>
    <w:rsid w:val="0036609C"/>
    <w:rsid w:val="00367F89"/>
    <w:rsid w:val="003710AE"/>
    <w:rsid w:val="0037163C"/>
    <w:rsid w:val="00371A97"/>
    <w:rsid w:val="00377C1D"/>
    <w:rsid w:val="00383453"/>
    <w:rsid w:val="0038395C"/>
    <w:rsid w:val="00387F12"/>
    <w:rsid w:val="00392ADD"/>
    <w:rsid w:val="00394783"/>
    <w:rsid w:val="00397373"/>
    <w:rsid w:val="003A0498"/>
    <w:rsid w:val="003A1143"/>
    <w:rsid w:val="003A3207"/>
    <w:rsid w:val="003A4A0F"/>
    <w:rsid w:val="003A677E"/>
    <w:rsid w:val="003A7218"/>
    <w:rsid w:val="003B07CC"/>
    <w:rsid w:val="003B287D"/>
    <w:rsid w:val="003B3714"/>
    <w:rsid w:val="003B5B4F"/>
    <w:rsid w:val="003B7C27"/>
    <w:rsid w:val="003C1E21"/>
    <w:rsid w:val="003C2661"/>
    <w:rsid w:val="003C649E"/>
    <w:rsid w:val="003C666D"/>
    <w:rsid w:val="003C73A6"/>
    <w:rsid w:val="003D03A0"/>
    <w:rsid w:val="003D4443"/>
    <w:rsid w:val="003D452C"/>
    <w:rsid w:val="003D4A1D"/>
    <w:rsid w:val="003D6323"/>
    <w:rsid w:val="003D7797"/>
    <w:rsid w:val="003E04D4"/>
    <w:rsid w:val="003E0677"/>
    <w:rsid w:val="003E1088"/>
    <w:rsid w:val="003E1527"/>
    <w:rsid w:val="003E2CD7"/>
    <w:rsid w:val="003E2D8B"/>
    <w:rsid w:val="003E69BF"/>
    <w:rsid w:val="003E7864"/>
    <w:rsid w:val="003F1B2B"/>
    <w:rsid w:val="003F1D03"/>
    <w:rsid w:val="003F2234"/>
    <w:rsid w:val="003F2BD9"/>
    <w:rsid w:val="003F4372"/>
    <w:rsid w:val="003F7E1D"/>
    <w:rsid w:val="004032ED"/>
    <w:rsid w:val="00403EC4"/>
    <w:rsid w:val="0040611F"/>
    <w:rsid w:val="00406279"/>
    <w:rsid w:val="00407025"/>
    <w:rsid w:val="00407569"/>
    <w:rsid w:val="004077C1"/>
    <w:rsid w:val="00410DE6"/>
    <w:rsid w:val="00411E3F"/>
    <w:rsid w:val="004130A4"/>
    <w:rsid w:val="00415FBF"/>
    <w:rsid w:val="00417968"/>
    <w:rsid w:val="004221E3"/>
    <w:rsid w:val="004254FA"/>
    <w:rsid w:val="00425854"/>
    <w:rsid w:val="00425BA4"/>
    <w:rsid w:val="0042648E"/>
    <w:rsid w:val="0042683D"/>
    <w:rsid w:val="00426C27"/>
    <w:rsid w:val="004304C4"/>
    <w:rsid w:val="00431449"/>
    <w:rsid w:val="0043316D"/>
    <w:rsid w:val="004336E7"/>
    <w:rsid w:val="00434302"/>
    <w:rsid w:val="00435041"/>
    <w:rsid w:val="00437061"/>
    <w:rsid w:val="004466E9"/>
    <w:rsid w:val="00446D07"/>
    <w:rsid w:val="00450A43"/>
    <w:rsid w:val="00451177"/>
    <w:rsid w:val="00454149"/>
    <w:rsid w:val="0046000A"/>
    <w:rsid w:val="00461666"/>
    <w:rsid w:val="004662A1"/>
    <w:rsid w:val="0046657E"/>
    <w:rsid w:val="004673B1"/>
    <w:rsid w:val="004678F4"/>
    <w:rsid w:val="00475EB1"/>
    <w:rsid w:val="00481610"/>
    <w:rsid w:val="00483F0E"/>
    <w:rsid w:val="004841E0"/>
    <w:rsid w:val="00485F8D"/>
    <w:rsid w:val="00486310"/>
    <w:rsid w:val="00486A10"/>
    <w:rsid w:val="0048781C"/>
    <w:rsid w:val="004915D8"/>
    <w:rsid w:val="00491877"/>
    <w:rsid w:val="00492235"/>
    <w:rsid w:val="004924D6"/>
    <w:rsid w:val="004936D2"/>
    <w:rsid w:val="00493B04"/>
    <w:rsid w:val="004958F3"/>
    <w:rsid w:val="00497389"/>
    <w:rsid w:val="00497C40"/>
    <w:rsid w:val="004A111F"/>
    <w:rsid w:val="004A2C2E"/>
    <w:rsid w:val="004A4FD3"/>
    <w:rsid w:val="004A5913"/>
    <w:rsid w:val="004A7A39"/>
    <w:rsid w:val="004B1638"/>
    <w:rsid w:val="004B4B17"/>
    <w:rsid w:val="004C0590"/>
    <w:rsid w:val="004C32EE"/>
    <w:rsid w:val="004C44D1"/>
    <w:rsid w:val="004C48B8"/>
    <w:rsid w:val="004C54B6"/>
    <w:rsid w:val="004D036D"/>
    <w:rsid w:val="004D04F8"/>
    <w:rsid w:val="004D3BB3"/>
    <w:rsid w:val="004E1218"/>
    <w:rsid w:val="004E3DED"/>
    <w:rsid w:val="004E4BCE"/>
    <w:rsid w:val="004E6749"/>
    <w:rsid w:val="004F097E"/>
    <w:rsid w:val="004F2BD7"/>
    <w:rsid w:val="004F57A8"/>
    <w:rsid w:val="004F5DC7"/>
    <w:rsid w:val="00500920"/>
    <w:rsid w:val="00500941"/>
    <w:rsid w:val="00502649"/>
    <w:rsid w:val="0050381E"/>
    <w:rsid w:val="0050636A"/>
    <w:rsid w:val="00506E1A"/>
    <w:rsid w:val="00507A8C"/>
    <w:rsid w:val="00510082"/>
    <w:rsid w:val="00510981"/>
    <w:rsid w:val="00513B84"/>
    <w:rsid w:val="00515AAE"/>
    <w:rsid w:val="0052070B"/>
    <w:rsid w:val="005207FF"/>
    <w:rsid w:val="005217BD"/>
    <w:rsid w:val="005222B6"/>
    <w:rsid w:val="00525230"/>
    <w:rsid w:val="00526A4D"/>
    <w:rsid w:val="00526ECF"/>
    <w:rsid w:val="005275A8"/>
    <w:rsid w:val="005275ED"/>
    <w:rsid w:val="005353DF"/>
    <w:rsid w:val="00535E3E"/>
    <w:rsid w:val="00540D0E"/>
    <w:rsid w:val="00540E88"/>
    <w:rsid w:val="00542DC7"/>
    <w:rsid w:val="005430CC"/>
    <w:rsid w:val="00547619"/>
    <w:rsid w:val="00547D60"/>
    <w:rsid w:val="0055039F"/>
    <w:rsid w:val="005514EB"/>
    <w:rsid w:val="005525F4"/>
    <w:rsid w:val="00552879"/>
    <w:rsid w:val="00552D09"/>
    <w:rsid w:val="0055569B"/>
    <w:rsid w:val="005563C4"/>
    <w:rsid w:val="00557151"/>
    <w:rsid w:val="0056058C"/>
    <w:rsid w:val="00560AA6"/>
    <w:rsid w:val="00560E3E"/>
    <w:rsid w:val="00561A21"/>
    <w:rsid w:val="00563BEF"/>
    <w:rsid w:val="00563C69"/>
    <w:rsid w:val="00566868"/>
    <w:rsid w:val="00566CAC"/>
    <w:rsid w:val="00567C8E"/>
    <w:rsid w:val="00575AC5"/>
    <w:rsid w:val="00577835"/>
    <w:rsid w:val="00580DBF"/>
    <w:rsid w:val="005813A7"/>
    <w:rsid w:val="0058161C"/>
    <w:rsid w:val="00581A56"/>
    <w:rsid w:val="00582C6D"/>
    <w:rsid w:val="00582E45"/>
    <w:rsid w:val="00583642"/>
    <w:rsid w:val="00585BEB"/>
    <w:rsid w:val="00585C83"/>
    <w:rsid w:val="00585EEE"/>
    <w:rsid w:val="0059043A"/>
    <w:rsid w:val="005913BA"/>
    <w:rsid w:val="005931BD"/>
    <w:rsid w:val="005939A2"/>
    <w:rsid w:val="00594672"/>
    <w:rsid w:val="0059480B"/>
    <w:rsid w:val="005952F9"/>
    <w:rsid w:val="00595B78"/>
    <w:rsid w:val="00595CA3"/>
    <w:rsid w:val="005960B8"/>
    <w:rsid w:val="005961B3"/>
    <w:rsid w:val="00597835"/>
    <w:rsid w:val="005978F9"/>
    <w:rsid w:val="005A05BA"/>
    <w:rsid w:val="005A05FD"/>
    <w:rsid w:val="005A09F7"/>
    <w:rsid w:val="005A13D2"/>
    <w:rsid w:val="005A355A"/>
    <w:rsid w:val="005A3A87"/>
    <w:rsid w:val="005A5779"/>
    <w:rsid w:val="005A591B"/>
    <w:rsid w:val="005A7129"/>
    <w:rsid w:val="005A7A6B"/>
    <w:rsid w:val="005A7BD6"/>
    <w:rsid w:val="005B01E8"/>
    <w:rsid w:val="005B1EB6"/>
    <w:rsid w:val="005B2CCB"/>
    <w:rsid w:val="005B32B1"/>
    <w:rsid w:val="005B35FD"/>
    <w:rsid w:val="005B3E6D"/>
    <w:rsid w:val="005B5151"/>
    <w:rsid w:val="005B5EAB"/>
    <w:rsid w:val="005B63D9"/>
    <w:rsid w:val="005C05DB"/>
    <w:rsid w:val="005C07D4"/>
    <w:rsid w:val="005C3D3D"/>
    <w:rsid w:val="005C5BC3"/>
    <w:rsid w:val="005C7A0B"/>
    <w:rsid w:val="005D0503"/>
    <w:rsid w:val="005D06E4"/>
    <w:rsid w:val="005D3408"/>
    <w:rsid w:val="005D4CB9"/>
    <w:rsid w:val="005E183C"/>
    <w:rsid w:val="005E25B5"/>
    <w:rsid w:val="005E3170"/>
    <w:rsid w:val="005E358C"/>
    <w:rsid w:val="005E3FB1"/>
    <w:rsid w:val="005E67D3"/>
    <w:rsid w:val="005E7F1B"/>
    <w:rsid w:val="005F035A"/>
    <w:rsid w:val="005F136B"/>
    <w:rsid w:val="005F2ECD"/>
    <w:rsid w:val="005F4577"/>
    <w:rsid w:val="005F4B5B"/>
    <w:rsid w:val="005F6EB8"/>
    <w:rsid w:val="005F733E"/>
    <w:rsid w:val="005F744F"/>
    <w:rsid w:val="005F7AA2"/>
    <w:rsid w:val="005F7E1B"/>
    <w:rsid w:val="005F7EF4"/>
    <w:rsid w:val="00601C47"/>
    <w:rsid w:val="006028FF"/>
    <w:rsid w:val="0060347E"/>
    <w:rsid w:val="00604D13"/>
    <w:rsid w:val="00605132"/>
    <w:rsid w:val="006055EF"/>
    <w:rsid w:val="00605C42"/>
    <w:rsid w:val="00605DA8"/>
    <w:rsid w:val="00606FA0"/>
    <w:rsid w:val="00612843"/>
    <w:rsid w:val="0062190F"/>
    <w:rsid w:val="00622B9C"/>
    <w:rsid w:val="00622F83"/>
    <w:rsid w:val="00625019"/>
    <w:rsid w:val="00626B60"/>
    <w:rsid w:val="0063139C"/>
    <w:rsid w:val="00631AA8"/>
    <w:rsid w:val="00632697"/>
    <w:rsid w:val="00632A10"/>
    <w:rsid w:val="00632EBB"/>
    <w:rsid w:val="00633E71"/>
    <w:rsid w:val="00636908"/>
    <w:rsid w:val="00636C67"/>
    <w:rsid w:val="0064039E"/>
    <w:rsid w:val="006432E9"/>
    <w:rsid w:val="00647BBC"/>
    <w:rsid w:val="0065045C"/>
    <w:rsid w:val="006504FB"/>
    <w:rsid w:val="00650591"/>
    <w:rsid w:val="00652468"/>
    <w:rsid w:val="0065251E"/>
    <w:rsid w:val="00652A4E"/>
    <w:rsid w:val="006530AC"/>
    <w:rsid w:val="0065393C"/>
    <w:rsid w:val="00654023"/>
    <w:rsid w:val="00655325"/>
    <w:rsid w:val="00656FC4"/>
    <w:rsid w:val="00657943"/>
    <w:rsid w:val="00663556"/>
    <w:rsid w:val="00665E0A"/>
    <w:rsid w:val="00666D45"/>
    <w:rsid w:val="00667235"/>
    <w:rsid w:val="00671670"/>
    <w:rsid w:val="00672BB3"/>
    <w:rsid w:val="00674C86"/>
    <w:rsid w:val="0067620A"/>
    <w:rsid w:val="006769A1"/>
    <w:rsid w:val="00677AF9"/>
    <w:rsid w:val="006817E1"/>
    <w:rsid w:val="006825AA"/>
    <w:rsid w:val="006825F7"/>
    <w:rsid w:val="00682FD2"/>
    <w:rsid w:val="00684124"/>
    <w:rsid w:val="00685754"/>
    <w:rsid w:val="006857DE"/>
    <w:rsid w:val="0068689B"/>
    <w:rsid w:val="00686A98"/>
    <w:rsid w:val="0068705A"/>
    <w:rsid w:val="00690098"/>
    <w:rsid w:val="00690C9D"/>
    <w:rsid w:val="00690EAA"/>
    <w:rsid w:val="006910BE"/>
    <w:rsid w:val="00692118"/>
    <w:rsid w:val="00692801"/>
    <w:rsid w:val="00693312"/>
    <w:rsid w:val="00693B03"/>
    <w:rsid w:val="006951A9"/>
    <w:rsid w:val="00695895"/>
    <w:rsid w:val="00695CB9"/>
    <w:rsid w:val="00696B50"/>
    <w:rsid w:val="00696FC4"/>
    <w:rsid w:val="006A25FD"/>
    <w:rsid w:val="006A2B65"/>
    <w:rsid w:val="006A4698"/>
    <w:rsid w:val="006A6E55"/>
    <w:rsid w:val="006A713E"/>
    <w:rsid w:val="006A7840"/>
    <w:rsid w:val="006B1594"/>
    <w:rsid w:val="006B16DC"/>
    <w:rsid w:val="006B21C4"/>
    <w:rsid w:val="006B43A3"/>
    <w:rsid w:val="006B5C4E"/>
    <w:rsid w:val="006B6168"/>
    <w:rsid w:val="006B6169"/>
    <w:rsid w:val="006C25C7"/>
    <w:rsid w:val="006C4214"/>
    <w:rsid w:val="006C58F6"/>
    <w:rsid w:val="006C5AED"/>
    <w:rsid w:val="006C5F1D"/>
    <w:rsid w:val="006C75AD"/>
    <w:rsid w:val="006D1DBB"/>
    <w:rsid w:val="006D21F4"/>
    <w:rsid w:val="006D2767"/>
    <w:rsid w:val="006D4602"/>
    <w:rsid w:val="006D7343"/>
    <w:rsid w:val="006D7BD8"/>
    <w:rsid w:val="006E1385"/>
    <w:rsid w:val="006E2174"/>
    <w:rsid w:val="006E30F2"/>
    <w:rsid w:val="006E3764"/>
    <w:rsid w:val="006E4D3C"/>
    <w:rsid w:val="006E5034"/>
    <w:rsid w:val="006F1C1E"/>
    <w:rsid w:val="006F2D97"/>
    <w:rsid w:val="006F4C37"/>
    <w:rsid w:val="006F69CB"/>
    <w:rsid w:val="00700714"/>
    <w:rsid w:val="0070144B"/>
    <w:rsid w:val="0070156A"/>
    <w:rsid w:val="00701EB1"/>
    <w:rsid w:val="007051B2"/>
    <w:rsid w:val="007066D4"/>
    <w:rsid w:val="00706CE0"/>
    <w:rsid w:val="00706E2E"/>
    <w:rsid w:val="007109B1"/>
    <w:rsid w:val="007110D0"/>
    <w:rsid w:val="007140D9"/>
    <w:rsid w:val="00716C1E"/>
    <w:rsid w:val="007178B4"/>
    <w:rsid w:val="00718881"/>
    <w:rsid w:val="007212F5"/>
    <w:rsid w:val="00721412"/>
    <w:rsid w:val="00727279"/>
    <w:rsid w:val="0073109C"/>
    <w:rsid w:val="00731A44"/>
    <w:rsid w:val="00731FB2"/>
    <w:rsid w:val="00732BE6"/>
    <w:rsid w:val="00733398"/>
    <w:rsid w:val="00733DEA"/>
    <w:rsid w:val="00737563"/>
    <w:rsid w:val="00740B1A"/>
    <w:rsid w:val="00741BC8"/>
    <w:rsid w:val="00741E59"/>
    <w:rsid w:val="00742552"/>
    <w:rsid w:val="00743DF4"/>
    <w:rsid w:val="00747931"/>
    <w:rsid w:val="007507C7"/>
    <w:rsid w:val="00752403"/>
    <w:rsid w:val="00761DDF"/>
    <w:rsid w:val="00761E7C"/>
    <w:rsid w:val="00764A3B"/>
    <w:rsid w:val="0076648A"/>
    <w:rsid w:val="007702BD"/>
    <w:rsid w:val="007703F1"/>
    <w:rsid w:val="00770A3F"/>
    <w:rsid w:val="007711D1"/>
    <w:rsid w:val="00772D4F"/>
    <w:rsid w:val="00773331"/>
    <w:rsid w:val="00774945"/>
    <w:rsid w:val="00774994"/>
    <w:rsid w:val="00774EB0"/>
    <w:rsid w:val="00777C7C"/>
    <w:rsid w:val="0078428F"/>
    <w:rsid w:val="00786D8D"/>
    <w:rsid w:val="00787488"/>
    <w:rsid w:val="00790B22"/>
    <w:rsid w:val="0079134D"/>
    <w:rsid w:val="0079192A"/>
    <w:rsid w:val="00792467"/>
    <w:rsid w:val="007932EF"/>
    <w:rsid w:val="00793465"/>
    <w:rsid w:val="00795ED6"/>
    <w:rsid w:val="00797746"/>
    <w:rsid w:val="00797AA4"/>
    <w:rsid w:val="007A43A5"/>
    <w:rsid w:val="007A53D0"/>
    <w:rsid w:val="007B39A8"/>
    <w:rsid w:val="007B584F"/>
    <w:rsid w:val="007B58C0"/>
    <w:rsid w:val="007B5954"/>
    <w:rsid w:val="007B6F70"/>
    <w:rsid w:val="007B7852"/>
    <w:rsid w:val="007C008C"/>
    <w:rsid w:val="007C059A"/>
    <w:rsid w:val="007C21FB"/>
    <w:rsid w:val="007C3B2D"/>
    <w:rsid w:val="007C3B6A"/>
    <w:rsid w:val="007C6253"/>
    <w:rsid w:val="007C7FB8"/>
    <w:rsid w:val="007D02E1"/>
    <w:rsid w:val="007D0512"/>
    <w:rsid w:val="007D0B2C"/>
    <w:rsid w:val="007D0D0D"/>
    <w:rsid w:val="007D111F"/>
    <w:rsid w:val="007D1D14"/>
    <w:rsid w:val="007D3529"/>
    <w:rsid w:val="007D3670"/>
    <w:rsid w:val="007D5642"/>
    <w:rsid w:val="007E05B0"/>
    <w:rsid w:val="007E0AF1"/>
    <w:rsid w:val="007E29AE"/>
    <w:rsid w:val="007E4744"/>
    <w:rsid w:val="007E47F9"/>
    <w:rsid w:val="007E4877"/>
    <w:rsid w:val="007E5DD6"/>
    <w:rsid w:val="007E66A8"/>
    <w:rsid w:val="007E67B8"/>
    <w:rsid w:val="007E76BD"/>
    <w:rsid w:val="007E7E9B"/>
    <w:rsid w:val="007F07CB"/>
    <w:rsid w:val="007F1201"/>
    <w:rsid w:val="007F2A36"/>
    <w:rsid w:val="007F6DA4"/>
    <w:rsid w:val="007F6F45"/>
    <w:rsid w:val="00803D59"/>
    <w:rsid w:val="0080445C"/>
    <w:rsid w:val="00804E10"/>
    <w:rsid w:val="00805006"/>
    <w:rsid w:val="0080556F"/>
    <w:rsid w:val="00805755"/>
    <w:rsid w:val="00806E93"/>
    <w:rsid w:val="0081158D"/>
    <w:rsid w:val="0081406F"/>
    <w:rsid w:val="00814FF8"/>
    <w:rsid w:val="00815433"/>
    <w:rsid w:val="0082136C"/>
    <w:rsid w:val="00823115"/>
    <w:rsid w:val="0082331B"/>
    <w:rsid w:val="00824718"/>
    <w:rsid w:val="00825126"/>
    <w:rsid w:val="00827988"/>
    <w:rsid w:val="00831B0B"/>
    <w:rsid w:val="00832336"/>
    <w:rsid w:val="00834FE1"/>
    <w:rsid w:val="00836492"/>
    <w:rsid w:val="00840096"/>
    <w:rsid w:val="00840F0F"/>
    <w:rsid w:val="008417BD"/>
    <w:rsid w:val="008431B5"/>
    <w:rsid w:val="00843265"/>
    <w:rsid w:val="00843841"/>
    <w:rsid w:val="008449E7"/>
    <w:rsid w:val="00846401"/>
    <w:rsid w:val="0084641E"/>
    <w:rsid w:val="00847591"/>
    <w:rsid w:val="00847985"/>
    <w:rsid w:val="00850096"/>
    <w:rsid w:val="00850756"/>
    <w:rsid w:val="00852AC7"/>
    <w:rsid w:val="00853C97"/>
    <w:rsid w:val="008543A3"/>
    <w:rsid w:val="008556C2"/>
    <w:rsid w:val="0085614C"/>
    <w:rsid w:val="00860EF0"/>
    <w:rsid w:val="008621A3"/>
    <w:rsid w:val="00863BE8"/>
    <w:rsid w:val="00863F33"/>
    <w:rsid w:val="00865354"/>
    <w:rsid w:val="008670F9"/>
    <w:rsid w:val="00867D99"/>
    <w:rsid w:val="00867E97"/>
    <w:rsid w:val="00867F4B"/>
    <w:rsid w:val="008723B0"/>
    <w:rsid w:val="0087353B"/>
    <w:rsid w:val="00874D22"/>
    <w:rsid w:val="00876CB1"/>
    <w:rsid w:val="00877523"/>
    <w:rsid w:val="00877645"/>
    <w:rsid w:val="008808A7"/>
    <w:rsid w:val="008813E8"/>
    <w:rsid w:val="00881624"/>
    <w:rsid w:val="00882CA6"/>
    <w:rsid w:val="008860F4"/>
    <w:rsid w:val="00886F2A"/>
    <w:rsid w:val="00887361"/>
    <w:rsid w:val="008904D5"/>
    <w:rsid w:val="008A2914"/>
    <w:rsid w:val="008A33E9"/>
    <w:rsid w:val="008A3D0F"/>
    <w:rsid w:val="008A4C56"/>
    <w:rsid w:val="008A6203"/>
    <w:rsid w:val="008A72B0"/>
    <w:rsid w:val="008A7EDE"/>
    <w:rsid w:val="008B29D1"/>
    <w:rsid w:val="008B2CFF"/>
    <w:rsid w:val="008B745F"/>
    <w:rsid w:val="008C05A5"/>
    <w:rsid w:val="008C1A6E"/>
    <w:rsid w:val="008C1B1D"/>
    <w:rsid w:val="008C3DD7"/>
    <w:rsid w:val="008C40A4"/>
    <w:rsid w:val="008C424D"/>
    <w:rsid w:val="008C54C1"/>
    <w:rsid w:val="008C72B9"/>
    <w:rsid w:val="008D1C4A"/>
    <w:rsid w:val="008D38F6"/>
    <w:rsid w:val="008D49DF"/>
    <w:rsid w:val="008D5A0D"/>
    <w:rsid w:val="008D5B3B"/>
    <w:rsid w:val="008E1068"/>
    <w:rsid w:val="008E16B8"/>
    <w:rsid w:val="008E1EE4"/>
    <w:rsid w:val="008E3107"/>
    <w:rsid w:val="008E43C3"/>
    <w:rsid w:val="008E4D8E"/>
    <w:rsid w:val="008E4F91"/>
    <w:rsid w:val="008E67FE"/>
    <w:rsid w:val="008F0065"/>
    <w:rsid w:val="008F045B"/>
    <w:rsid w:val="008F3183"/>
    <w:rsid w:val="008F461C"/>
    <w:rsid w:val="00902AFA"/>
    <w:rsid w:val="00903380"/>
    <w:rsid w:val="009050E2"/>
    <w:rsid w:val="00905270"/>
    <w:rsid w:val="00906259"/>
    <w:rsid w:val="00906C54"/>
    <w:rsid w:val="00907DCD"/>
    <w:rsid w:val="0091154D"/>
    <w:rsid w:val="0091301A"/>
    <w:rsid w:val="00915E0C"/>
    <w:rsid w:val="009164ED"/>
    <w:rsid w:val="009206DF"/>
    <w:rsid w:val="00920799"/>
    <w:rsid w:val="00921063"/>
    <w:rsid w:val="00921500"/>
    <w:rsid w:val="00926B56"/>
    <w:rsid w:val="009273E1"/>
    <w:rsid w:val="0093263C"/>
    <w:rsid w:val="009364DC"/>
    <w:rsid w:val="0093731A"/>
    <w:rsid w:val="00937841"/>
    <w:rsid w:val="00942D7C"/>
    <w:rsid w:val="00944F12"/>
    <w:rsid w:val="00945508"/>
    <w:rsid w:val="009460B9"/>
    <w:rsid w:val="00947E7B"/>
    <w:rsid w:val="00950854"/>
    <w:rsid w:val="00951157"/>
    <w:rsid w:val="009517EE"/>
    <w:rsid w:val="00956B29"/>
    <w:rsid w:val="00962FE8"/>
    <w:rsid w:val="009635B5"/>
    <w:rsid w:val="009708E9"/>
    <w:rsid w:val="009734F6"/>
    <w:rsid w:val="00974792"/>
    <w:rsid w:val="00974D78"/>
    <w:rsid w:val="0098091E"/>
    <w:rsid w:val="00981176"/>
    <w:rsid w:val="00982A1E"/>
    <w:rsid w:val="00984FCF"/>
    <w:rsid w:val="00986F16"/>
    <w:rsid w:val="0098760C"/>
    <w:rsid w:val="00990082"/>
    <w:rsid w:val="00992CD1"/>
    <w:rsid w:val="00994048"/>
    <w:rsid w:val="00994491"/>
    <w:rsid w:val="0099646B"/>
    <w:rsid w:val="00997EEC"/>
    <w:rsid w:val="009A0308"/>
    <w:rsid w:val="009A11AB"/>
    <w:rsid w:val="009A1A7E"/>
    <w:rsid w:val="009A37B1"/>
    <w:rsid w:val="009A49A9"/>
    <w:rsid w:val="009A5BF6"/>
    <w:rsid w:val="009A7F9A"/>
    <w:rsid w:val="009B060F"/>
    <w:rsid w:val="009B31DB"/>
    <w:rsid w:val="009B34E3"/>
    <w:rsid w:val="009B4FE0"/>
    <w:rsid w:val="009C018E"/>
    <w:rsid w:val="009C0A88"/>
    <w:rsid w:val="009C11BA"/>
    <w:rsid w:val="009C386E"/>
    <w:rsid w:val="009C3A01"/>
    <w:rsid w:val="009C3C9B"/>
    <w:rsid w:val="009C3ED4"/>
    <w:rsid w:val="009C5B8C"/>
    <w:rsid w:val="009C6A5A"/>
    <w:rsid w:val="009C807B"/>
    <w:rsid w:val="009D44D5"/>
    <w:rsid w:val="009D7224"/>
    <w:rsid w:val="009D78D7"/>
    <w:rsid w:val="009E0034"/>
    <w:rsid w:val="009E1E22"/>
    <w:rsid w:val="009E1FB5"/>
    <w:rsid w:val="009E4162"/>
    <w:rsid w:val="009E46E1"/>
    <w:rsid w:val="009E6311"/>
    <w:rsid w:val="009E64DA"/>
    <w:rsid w:val="009F0481"/>
    <w:rsid w:val="009F2065"/>
    <w:rsid w:val="009F2A08"/>
    <w:rsid w:val="009F6D02"/>
    <w:rsid w:val="009F7AEF"/>
    <w:rsid w:val="00A01791"/>
    <w:rsid w:val="00A03A6A"/>
    <w:rsid w:val="00A03FF9"/>
    <w:rsid w:val="00A04336"/>
    <w:rsid w:val="00A07FEB"/>
    <w:rsid w:val="00A13CEF"/>
    <w:rsid w:val="00A13FCA"/>
    <w:rsid w:val="00A15823"/>
    <w:rsid w:val="00A15C33"/>
    <w:rsid w:val="00A15E45"/>
    <w:rsid w:val="00A167DD"/>
    <w:rsid w:val="00A178B2"/>
    <w:rsid w:val="00A17A28"/>
    <w:rsid w:val="00A2027F"/>
    <w:rsid w:val="00A225BE"/>
    <w:rsid w:val="00A2328D"/>
    <w:rsid w:val="00A27002"/>
    <w:rsid w:val="00A27EFF"/>
    <w:rsid w:val="00A30DB5"/>
    <w:rsid w:val="00A31D48"/>
    <w:rsid w:val="00A3488A"/>
    <w:rsid w:val="00A35772"/>
    <w:rsid w:val="00A35FE6"/>
    <w:rsid w:val="00A36557"/>
    <w:rsid w:val="00A410C1"/>
    <w:rsid w:val="00A4192D"/>
    <w:rsid w:val="00A41E3E"/>
    <w:rsid w:val="00A424E9"/>
    <w:rsid w:val="00A42534"/>
    <w:rsid w:val="00A44879"/>
    <w:rsid w:val="00A451FE"/>
    <w:rsid w:val="00A46584"/>
    <w:rsid w:val="00A46FE7"/>
    <w:rsid w:val="00A47FC0"/>
    <w:rsid w:val="00A51600"/>
    <w:rsid w:val="00A52ECE"/>
    <w:rsid w:val="00A54673"/>
    <w:rsid w:val="00A56EC9"/>
    <w:rsid w:val="00A57A3D"/>
    <w:rsid w:val="00A60311"/>
    <w:rsid w:val="00A6265E"/>
    <w:rsid w:val="00A649E6"/>
    <w:rsid w:val="00A65277"/>
    <w:rsid w:val="00A66A16"/>
    <w:rsid w:val="00A71BDC"/>
    <w:rsid w:val="00A74BBD"/>
    <w:rsid w:val="00A7643D"/>
    <w:rsid w:val="00A76689"/>
    <w:rsid w:val="00A76D79"/>
    <w:rsid w:val="00A810DD"/>
    <w:rsid w:val="00A83A78"/>
    <w:rsid w:val="00A851E1"/>
    <w:rsid w:val="00A85C73"/>
    <w:rsid w:val="00A8646B"/>
    <w:rsid w:val="00A8766A"/>
    <w:rsid w:val="00A91ED3"/>
    <w:rsid w:val="00A92E82"/>
    <w:rsid w:val="00A94843"/>
    <w:rsid w:val="00A964DB"/>
    <w:rsid w:val="00A97C50"/>
    <w:rsid w:val="00A97DB2"/>
    <w:rsid w:val="00AA0199"/>
    <w:rsid w:val="00AA0435"/>
    <w:rsid w:val="00AA3723"/>
    <w:rsid w:val="00AA4923"/>
    <w:rsid w:val="00AA64CE"/>
    <w:rsid w:val="00AA6547"/>
    <w:rsid w:val="00AB2D19"/>
    <w:rsid w:val="00AB31F6"/>
    <w:rsid w:val="00AB468E"/>
    <w:rsid w:val="00AB49C1"/>
    <w:rsid w:val="00AB57E6"/>
    <w:rsid w:val="00AB61F7"/>
    <w:rsid w:val="00AB6F0E"/>
    <w:rsid w:val="00AB787A"/>
    <w:rsid w:val="00AC0235"/>
    <w:rsid w:val="00AC0FB1"/>
    <w:rsid w:val="00AC1C9B"/>
    <w:rsid w:val="00AC287A"/>
    <w:rsid w:val="00AC5D12"/>
    <w:rsid w:val="00AC6F4F"/>
    <w:rsid w:val="00AC781E"/>
    <w:rsid w:val="00AD0C31"/>
    <w:rsid w:val="00AD2ABA"/>
    <w:rsid w:val="00AD30E0"/>
    <w:rsid w:val="00AD3802"/>
    <w:rsid w:val="00AD4476"/>
    <w:rsid w:val="00AD4995"/>
    <w:rsid w:val="00AE0CDF"/>
    <w:rsid w:val="00AE2516"/>
    <w:rsid w:val="00AE4316"/>
    <w:rsid w:val="00AE6C8B"/>
    <w:rsid w:val="00AF08D5"/>
    <w:rsid w:val="00AF1572"/>
    <w:rsid w:val="00AF3150"/>
    <w:rsid w:val="00AF3481"/>
    <w:rsid w:val="00AF392D"/>
    <w:rsid w:val="00AF396B"/>
    <w:rsid w:val="00AF3FF5"/>
    <w:rsid w:val="00AF4497"/>
    <w:rsid w:val="00AF470C"/>
    <w:rsid w:val="00AF4763"/>
    <w:rsid w:val="00AF5186"/>
    <w:rsid w:val="00B00304"/>
    <w:rsid w:val="00B00417"/>
    <w:rsid w:val="00B02FCE"/>
    <w:rsid w:val="00B05A00"/>
    <w:rsid w:val="00B1058A"/>
    <w:rsid w:val="00B20459"/>
    <w:rsid w:val="00B221C3"/>
    <w:rsid w:val="00B229BA"/>
    <w:rsid w:val="00B22B5F"/>
    <w:rsid w:val="00B23340"/>
    <w:rsid w:val="00B23705"/>
    <w:rsid w:val="00B264FE"/>
    <w:rsid w:val="00B267E5"/>
    <w:rsid w:val="00B30819"/>
    <w:rsid w:val="00B3274F"/>
    <w:rsid w:val="00B3373E"/>
    <w:rsid w:val="00B376AB"/>
    <w:rsid w:val="00B37EE6"/>
    <w:rsid w:val="00B425E1"/>
    <w:rsid w:val="00B43B96"/>
    <w:rsid w:val="00B43C39"/>
    <w:rsid w:val="00B449FA"/>
    <w:rsid w:val="00B4537F"/>
    <w:rsid w:val="00B46797"/>
    <w:rsid w:val="00B479CC"/>
    <w:rsid w:val="00B5100B"/>
    <w:rsid w:val="00B52E63"/>
    <w:rsid w:val="00B53306"/>
    <w:rsid w:val="00B538D0"/>
    <w:rsid w:val="00B556C7"/>
    <w:rsid w:val="00B55726"/>
    <w:rsid w:val="00B5677D"/>
    <w:rsid w:val="00B60523"/>
    <w:rsid w:val="00B60696"/>
    <w:rsid w:val="00B613AF"/>
    <w:rsid w:val="00B614DB"/>
    <w:rsid w:val="00B637C1"/>
    <w:rsid w:val="00B63EE0"/>
    <w:rsid w:val="00B64203"/>
    <w:rsid w:val="00B65673"/>
    <w:rsid w:val="00B65A19"/>
    <w:rsid w:val="00B65AE3"/>
    <w:rsid w:val="00B67275"/>
    <w:rsid w:val="00B67AD0"/>
    <w:rsid w:val="00B702AB"/>
    <w:rsid w:val="00B7118A"/>
    <w:rsid w:val="00B80098"/>
    <w:rsid w:val="00B805A7"/>
    <w:rsid w:val="00B828DB"/>
    <w:rsid w:val="00B912DA"/>
    <w:rsid w:val="00B92EA5"/>
    <w:rsid w:val="00B937D3"/>
    <w:rsid w:val="00B955C7"/>
    <w:rsid w:val="00B96E22"/>
    <w:rsid w:val="00B97D51"/>
    <w:rsid w:val="00BA055C"/>
    <w:rsid w:val="00BA0BB8"/>
    <w:rsid w:val="00BA16BD"/>
    <w:rsid w:val="00BA1AD9"/>
    <w:rsid w:val="00BA223D"/>
    <w:rsid w:val="00BA29FE"/>
    <w:rsid w:val="00BA4353"/>
    <w:rsid w:val="00BA44AB"/>
    <w:rsid w:val="00BA560A"/>
    <w:rsid w:val="00BB0A20"/>
    <w:rsid w:val="00BB0D5C"/>
    <w:rsid w:val="00BB282B"/>
    <w:rsid w:val="00BB59B9"/>
    <w:rsid w:val="00BB5B41"/>
    <w:rsid w:val="00BB6460"/>
    <w:rsid w:val="00BB67C3"/>
    <w:rsid w:val="00BC134B"/>
    <w:rsid w:val="00BC239C"/>
    <w:rsid w:val="00BC4575"/>
    <w:rsid w:val="00BC5528"/>
    <w:rsid w:val="00BC6DB4"/>
    <w:rsid w:val="00BD1B68"/>
    <w:rsid w:val="00BD4239"/>
    <w:rsid w:val="00BD6E20"/>
    <w:rsid w:val="00BE1D0B"/>
    <w:rsid w:val="00BE229B"/>
    <w:rsid w:val="00BE74EA"/>
    <w:rsid w:val="00BF2D56"/>
    <w:rsid w:val="00BF35ED"/>
    <w:rsid w:val="00BF3861"/>
    <w:rsid w:val="00BF3B1D"/>
    <w:rsid w:val="00BF5E66"/>
    <w:rsid w:val="00C0125C"/>
    <w:rsid w:val="00C01665"/>
    <w:rsid w:val="00C03AAF"/>
    <w:rsid w:val="00C070DA"/>
    <w:rsid w:val="00C11348"/>
    <w:rsid w:val="00C12301"/>
    <w:rsid w:val="00C153CA"/>
    <w:rsid w:val="00C16DE3"/>
    <w:rsid w:val="00C175FB"/>
    <w:rsid w:val="00C201F0"/>
    <w:rsid w:val="00C212BF"/>
    <w:rsid w:val="00C2207D"/>
    <w:rsid w:val="00C25F36"/>
    <w:rsid w:val="00C3405F"/>
    <w:rsid w:val="00C34682"/>
    <w:rsid w:val="00C3521D"/>
    <w:rsid w:val="00C353D5"/>
    <w:rsid w:val="00C37170"/>
    <w:rsid w:val="00C417E3"/>
    <w:rsid w:val="00C446DB"/>
    <w:rsid w:val="00C476FB"/>
    <w:rsid w:val="00C50D45"/>
    <w:rsid w:val="00C554EA"/>
    <w:rsid w:val="00C568F2"/>
    <w:rsid w:val="00C60D34"/>
    <w:rsid w:val="00C629F6"/>
    <w:rsid w:val="00C64AE8"/>
    <w:rsid w:val="00C712C2"/>
    <w:rsid w:val="00C72AC0"/>
    <w:rsid w:val="00C77AFC"/>
    <w:rsid w:val="00C77D1F"/>
    <w:rsid w:val="00C80011"/>
    <w:rsid w:val="00C817E3"/>
    <w:rsid w:val="00C81AC3"/>
    <w:rsid w:val="00C820F1"/>
    <w:rsid w:val="00C8217F"/>
    <w:rsid w:val="00C838DA"/>
    <w:rsid w:val="00C85140"/>
    <w:rsid w:val="00C85C7A"/>
    <w:rsid w:val="00C85CE7"/>
    <w:rsid w:val="00C86F8D"/>
    <w:rsid w:val="00C901DB"/>
    <w:rsid w:val="00C93AA6"/>
    <w:rsid w:val="00C93DFB"/>
    <w:rsid w:val="00C96038"/>
    <w:rsid w:val="00CA2CD9"/>
    <w:rsid w:val="00CA41C4"/>
    <w:rsid w:val="00CB065A"/>
    <w:rsid w:val="00CB0795"/>
    <w:rsid w:val="00CB14E0"/>
    <w:rsid w:val="00CB2C65"/>
    <w:rsid w:val="00CB363E"/>
    <w:rsid w:val="00CB450B"/>
    <w:rsid w:val="00CB5486"/>
    <w:rsid w:val="00CB5B1C"/>
    <w:rsid w:val="00CB69D2"/>
    <w:rsid w:val="00CC2CBA"/>
    <w:rsid w:val="00CC4600"/>
    <w:rsid w:val="00CC4A2B"/>
    <w:rsid w:val="00CC60C6"/>
    <w:rsid w:val="00CC79B1"/>
    <w:rsid w:val="00CC79D0"/>
    <w:rsid w:val="00CD0863"/>
    <w:rsid w:val="00CD2E79"/>
    <w:rsid w:val="00CD5303"/>
    <w:rsid w:val="00CD5668"/>
    <w:rsid w:val="00CD79C3"/>
    <w:rsid w:val="00CE0830"/>
    <w:rsid w:val="00CE1E66"/>
    <w:rsid w:val="00CE2D04"/>
    <w:rsid w:val="00CE43CB"/>
    <w:rsid w:val="00CE66E5"/>
    <w:rsid w:val="00CE67E6"/>
    <w:rsid w:val="00CF12F8"/>
    <w:rsid w:val="00CF23D9"/>
    <w:rsid w:val="00CF3C53"/>
    <w:rsid w:val="00CF6109"/>
    <w:rsid w:val="00CF6537"/>
    <w:rsid w:val="00CF756F"/>
    <w:rsid w:val="00D00D59"/>
    <w:rsid w:val="00D03110"/>
    <w:rsid w:val="00D11DE1"/>
    <w:rsid w:val="00D1297F"/>
    <w:rsid w:val="00D12C96"/>
    <w:rsid w:val="00D14289"/>
    <w:rsid w:val="00D14379"/>
    <w:rsid w:val="00D1491A"/>
    <w:rsid w:val="00D153BC"/>
    <w:rsid w:val="00D20381"/>
    <w:rsid w:val="00D218B5"/>
    <w:rsid w:val="00D22DD8"/>
    <w:rsid w:val="00D22F0C"/>
    <w:rsid w:val="00D24090"/>
    <w:rsid w:val="00D2465C"/>
    <w:rsid w:val="00D251EC"/>
    <w:rsid w:val="00D268CC"/>
    <w:rsid w:val="00D274D8"/>
    <w:rsid w:val="00D30108"/>
    <w:rsid w:val="00D322E6"/>
    <w:rsid w:val="00D351FB"/>
    <w:rsid w:val="00D36846"/>
    <w:rsid w:val="00D43A46"/>
    <w:rsid w:val="00D449E4"/>
    <w:rsid w:val="00D44E82"/>
    <w:rsid w:val="00D4514F"/>
    <w:rsid w:val="00D46433"/>
    <w:rsid w:val="00D47CD4"/>
    <w:rsid w:val="00D47D31"/>
    <w:rsid w:val="00D502E1"/>
    <w:rsid w:val="00D502E4"/>
    <w:rsid w:val="00D51988"/>
    <w:rsid w:val="00D51EC1"/>
    <w:rsid w:val="00D5265F"/>
    <w:rsid w:val="00D53B9E"/>
    <w:rsid w:val="00D53BAB"/>
    <w:rsid w:val="00D543F1"/>
    <w:rsid w:val="00D55D06"/>
    <w:rsid w:val="00D57A18"/>
    <w:rsid w:val="00D60143"/>
    <w:rsid w:val="00D60BCF"/>
    <w:rsid w:val="00D60C92"/>
    <w:rsid w:val="00D613E7"/>
    <w:rsid w:val="00D620BC"/>
    <w:rsid w:val="00D621BE"/>
    <w:rsid w:val="00D62C26"/>
    <w:rsid w:val="00D6398A"/>
    <w:rsid w:val="00D662D4"/>
    <w:rsid w:val="00D71E62"/>
    <w:rsid w:val="00D71F39"/>
    <w:rsid w:val="00D72F77"/>
    <w:rsid w:val="00D7578F"/>
    <w:rsid w:val="00D75EEC"/>
    <w:rsid w:val="00D77C43"/>
    <w:rsid w:val="00D8265C"/>
    <w:rsid w:val="00D83039"/>
    <w:rsid w:val="00D830C3"/>
    <w:rsid w:val="00D85AF3"/>
    <w:rsid w:val="00D86117"/>
    <w:rsid w:val="00D8776C"/>
    <w:rsid w:val="00D906F1"/>
    <w:rsid w:val="00D913F7"/>
    <w:rsid w:val="00D915DC"/>
    <w:rsid w:val="00D945A9"/>
    <w:rsid w:val="00D95288"/>
    <w:rsid w:val="00D95ED3"/>
    <w:rsid w:val="00D95F95"/>
    <w:rsid w:val="00D9618E"/>
    <w:rsid w:val="00D964B7"/>
    <w:rsid w:val="00D96A09"/>
    <w:rsid w:val="00DA228D"/>
    <w:rsid w:val="00DA2D9C"/>
    <w:rsid w:val="00DA3928"/>
    <w:rsid w:val="00DA50AB"/>
    <w:rsid w:val="00DA5498"/>
    <w:rsid w:val="00DB0192"/>
    <w:rsid w:val="00DB1CD4"/>
    <w:rsid w:val="00DB2003"/>
    <w:rsid w:val="00DB316B"/>
    <w:rsid w:val="00DB389A"/>
    <w:rsid w:val="00DB4493"/>
    <w:rsid w:val="00DB4AD9"/>
    <w:rsid w:val="00DC1148"/>
    <w:rsid w:val="00DC1D27"/>
    <w:rsid w:val="00DC2ACB"/>
    <w:rsid w:val="00DC2C40"/>
    <w:rsid w:val="00DC2ED3"/>
    <w:rsid w:val="00DC3A36"/>
    <w:rsid w:val="00DC6052"/>
    <w:rsid w:val="00DD14F4"/>
    <w:rsid w:val="00DD3097"/>
    <w:rsid w:val="00DD441E"/>
    <w:rsid w:val="00DE15E1"/>
    <w:rsid w:val="00DE220C"/>
    <w:rsid w:val="00DE314D"/>
    <w:rsid w:val="00DE4028"/>
    <w:rsid w:val="00DE4B50"/>
    <w:rsid w:val="00DE50DE"/>
    <w:rsid w:val="00DF3C8C"/>
    <w:rsid w:val="00DF452E"/>
    <w:rsid w:val="00DF4BE4"/>
    <w:rsid w:val="00E01FF0"/>
    <w:rsid w:val="00E0222F"/>
    <w:rsid w:val="00E023FE"/>
    <w:rsid w:val="00E03358"/>
    <w:rsid w:val="00E036CA"/>
    <w:rsid w:val="00E03A48"/>
    <w:rsid w:val="00E049FB"/>
    <w:rsid w:val="00E05E1B"/>
    <w:rsid w:val="00E05EE3"/>
    <w:rsid w:val="00E066C3"/>
    <w:rsid w:val="00E1130F"/>
    <w:rsid w:val="00E20522"/>
    <w:rsid w:val="00E22C6D"/>
    <w:rsid w:val="00E23DF8"/>
    <w:rsid w:val="00E24F2B"/>
    <w:rsid w:val="00E26E13"/>
    <w:rsid w:val="00E27D5C"/>
    <w:rsid w:val="00E30F4E"/>
    <w:rsid w:val="00E340DB"/>
    <w:rsid w:val="00E34396"/>
    <w:rsid w:val="00E35512"/>
    <w:rsid w:val="00E3748C"/>
    <w:rsid w:val="00E4043C"/>
    <w:rsid w:val="00E41B1B"/>
    <w:rsid w:val="00E43440"/>
    <w:rsid w:val="00E47B14"/>
    <w:rsid w:val="00E52C09"/>
    <w:rsid w:val="00E54CF8"/>
    <w:rsid w:val="00E61222"/>
    <w:rsid w:val="00E62077"/>
    <w:rsid w:val="00E63923"/>
    <w:rsid w:val="00E6508E"/>
    <w:rsid w:val="00E658A2"/>
    <w:rsid w:val="00E670F0"/>
    <w:rsid w:val="00E67DDB"/>
    <w:rsid w:val="00E67E66"/>
    <w:rsid w:val="00E76623"/>
    <w:rsid w:val="00E76C08"/>
    <w:rsid w:val="00E7748E"/>
    <w:rsid w:val="00E82D1B"/>
    <w:rsid w:val="00E85494"/>
    <w:rsid w:val="00E854BE"/>
    <w:rsid w:val="00E878C5"/>
    <w:rsid w:val="00E87FAE"/>
    <w:rsid w:val="00E90F8E"/>
    <w:rsid w:val="00E91A74"/>
    <w:rsid w:val="00E9267D"/>
    <w:rsid w:val="00E92AF1"/>
    <w:rsid w:val="00E93A02"/>
    <w:rsid w:val="00E94B8F"/>
    <w:rsid w:val="00E9758A"/>
    <w:rsid w:val="00E97F76"/>
    <w:rsid w:val="00EA0AC5"/>
    <w:rsid w:val="00EA12B4"/>
    <w:rsid w:val="00EA3D49"/>
    <w:rsid w:val="00EB0629"/>
    <w:rsid w:val="00EB1A9A"/>
    <w:rsid w:val="00EB1ED0"/>
    <w:rsid w:val="00EB42AB"/>
    <w:rsid w:val="00EB4DB6"/>
    <w:rsid w:val="00EB7EA3"/>
    <w:rsid w:val="00EC0272"/>
    <w:rsid w:val="00EC04C2"/>
    <w:rsid w:val="00EC0A85"/>
    <w:rsid w:val="00EC1138"/>
    <w:rsid w:val="00EC204A"/>
    <w:rsid w:val="00EC2424"/>
    <w:rsid w:val="00EC272D"/>
    <w:rsid w:val="00EC4604"/>
    <w:rsid w:val="00ED08E1"/>
    <w:rsid w:val="00ED17E9"/>
    <w:rsid w:val="00ED2103"/>
    <w:rsid w:val="00ED4654"/>
    <w:rsid w:val="00EE246F"/>
    <w:rsid w:val="00EE4D0B"/>
    <w:rsid w:val="00EE4EF2"/>
    <w:rsid w:val="00EE583D"/>
    <w:rsid w:val="00EE62CB"/>
    <w:rsid w:val="00EF00CB"/>
    <w:rsid w:val="00EF070B"/>
    <w:rsid w:val="00EF1CF7"/>
    <w:rsid w:val="00EF6E8C"/>
    <w:rsid w:val="00EF7987"/>
    <w:rsid w:val="00F00A0E"/>
    <w:rsid w:val="00F044B3"/>
    <w:rsid w:val="00F0578D"/>
    <w:rsid w:val="00F05C1E"/>
    <w:rsid w:val="00F05E99"/>
    <w:rsid w:val="00F06160"/>
    <w:rsid w:val="00F06226"/>
    <w:rsid w:val="00F0676B"/>
    <w:rsid w:val="00F0691D"/>
    <w:rsid w:val="00F108E1"/>
    <w:rsid w:val="00F13CF5"/>
    <w:rsid w:val="00F21254"/>
    <w:rsid w:val="00F2211E"/>
    <w:rsid w:val="00F23953"/>
    <w:rsid w:val="00F272E4"/>
    <w:rsid w:val="00F310AA"/>
    <w:rsid w:val="00F3364C"/>
    <w:rsid w:val="00F338E0"/>
    <w:rsid w:val="00F347C3"/>
    <w:rsid w:val="00F34A06"/>
    <w:rsid w:val="00F34AA4"/>
    <w:rsid w:val="00F35B9E"/>
    <w:rsid w:val="00F42E01"/>
    <w:rsid w:val="00F4480F"/>
    <w:rsid w:val="00F44BF0"/>
    <w:rsid w:val="00F44F56"/>
    <w:rsid w:val="00F466D2"/>
    <w:rsid w:val="00F4677D"/>
    <w:rsid w:val="00F4726C"/>
    <w:rsid w:val="00F47357"/>
    <w:rsid w:val="00F47AE7"/>
    <w:rsid w:val="00F5056F"/>
    <w:rsid w:val="00F50819"/>
    <w:rsid w:val="00F51C8E"/>
    <w:rsid w:val="00F51F4E"/>
    <w:rsid w:val="00F530D8"/>
    <w:rsid w:val="00F5359C"/>
    <w:rsid w:val="00F54DBD"/>
    <w:rsid w:val="00F5588B"/>
    <w:rsid w:val="00F55D37"/>
    <w:rsid w:val="00F64A36"/>
    <w:rsid w:val="00F6558B"/>
    <w:rsid w:val="00F6696A"/>
    <w:rsid w:val="00F66C73"/>
    <w:rsid w:val="00F70598"/>
    <w:rsid w:val="00F7090F"/>
    <w:rsid w:val="00F71F3B"/>
    <w:rsid w:val="00F75A49"/>
    <w:rsid w:val="00F76902"/>
    <w:rsid w:val="00F80511"/>
    <w:rsid w:val="00F8067F"/>
    <w:rsid w:val="00F81FE9"/>
    <w:rsid w:val="00F82CE2"/>
    <w:rsid w:val="00F86123"/>
    <w:rsid w:val="00F8625D"/>
    <w:rsid w:val="00F869D8"/>
    <w:rsid w:val="00F901E6"/>
    <w:rsid w:val="00F91FB7"/>
    <w:rsid w:val="00F93537"/>
    <w:rsid w:val="00F94407"/>
    <w:rsid w:val="00F94998"/>
    <w:rsid w:val="00F95E94"/>
    <w:rsid w:val="00F961EE"/>
    <w:rsid w:val="00F969A6"/>
    <w:rsid w:val="00F9779F"/>
    <w:rsid w:val="00FA0381"/>
    <w:rsid w:val="00FA6F5A"/>
    <w:rsid w:val="00FA7243"/>
    <w:rsid w:val="00FB324B"/>
    <w:rsid w:val="00FB350F"/>
    <w:rsid w:val="00FB41D9"/>
    <w:rsid w:val="00FB5CBD"/>
    <w:rsid w:val="00FB6198"/>
    <w:rsid w:val="00FC06D8"/>
    <w:rsid w:val="00FC08A6"/>
    <w:rsid w:val="00FC0DC2"/>
    <w:rsid w:val="00FC234E"/>
    <w:rsid w:val="00FC2DC5"/>
    <w:rsid w:val="00FC3577"/>
    <w:rsid w:val="00FC38F8"/>
    <w:rsid w:val="00FC52DD"/>
    <w:rsid w:val="00FC5345"/>
    <w:rsid w:val="00FC5511"/>
    <w:rsid w:val="00FC6A26"/>
    <w:rsid w:val="00FC7C89"/>
    <w:rsid w:val="00FD0066"/>
    <w:rsid w:val="00FD070A"/>
    <w:rsid w:val="00FD2B7D"/>
    <w:rsid w:val="00FD468E"/>
    <w:rsid w:val="00FD4D1A"/>
    <w:rsid w:val="00FD5EF8"/>
    <w:rsid w:val="00FD7499"/>
    <w:rsid w:val="00FE086D"/>
    <w:rsid w:val="00FE1319"/>
    <w:rsid w:val="00FE4CE3"/>
    <w:rsid w:val="00FE5A4B"/>
    <w:rsid w:val="00FF3122"/>
    <w:rsid w:val="00FF5A3E"/>
    <w:rsid w:val="00FF6774"/>
    <w:rsid w:val="016A0284"/>
    <w:rsid w:val="01F49314"/>
    <w:rsid w:val="02579553"/>
    <w:rsid w:val="026F6C26"/>
    <w:rsid w:val="0297E0FB"/>
    <w:rsid w:val="02A17CB1"/>
    <w:rsid w:val="02A4BC8A"/>
    <w:rsid w:val="02AA8488"/>
    <w:rsid w:val="038C81B1"/>
    <w:rsid w:val="03BF4511"/>
    <w:rsid w:val="03E2E087"/>
    <w:rsid w:val="047A6820"/>
    <w:rsid w:val="047C1584"/>
    <w:rsid w:val="04FEB5F4"/>
    <w:rsid w:val="0554ED57"/>
    <w:rsid w:val="05A51E74"/>
    <w:rsid w:val="05B58B52"/>
    <w:rsid w:val="05BA0D24"/>
    <w:rsid w:val="05BA4AFB"/>
    <w:rsid w:val="05D80EAE"/>
    <w:rsid w:val="062CA418"/>
    <w:rsid w:val="0689E5E6"/>
    <w:rsid w:val="06FEFD88"/>
    <w:rsid w:val="07114823"/>
    <w:rsid w:val="073C119D"/>
    <w:rsid w:val="075CB0A6"/>
    <w:rsid w:val="0762B350"/>
    <w:rsid w:val="077E9340"/>
    <w:rsid w:val="07A8AE38"/>
    <w:rsid w:val="07E85053"/>
    <w:rsid w:val="08286DFA"/>
    <w:rsid w:val="087FED2B"/>
    <w:rsid w:val="08BE9CE8"/>
    <w:rsid w:val="08E16EF9"/>
    <w:rsid w:val="0938B582"/>
    <w:rsid w:val="0953BA49"/>
    <w:rsid w:val="097A0893"/>
    <w:rsid w:val="09A46F6B"/>
    <w:rsid w:val="09B5C4FB"/>
    <w:rsid w:val="09F69529"/>
    <w:rsid w:val="0A09DBD4"/>
    <w:rsid w:val="0A6B03BB"/>
    <w:rsid w:val="0B24FFBC"/>
    <w:rsid w:val="0B420806"/>
    <w:rsid w:val="0B757083"/>
    <w:rsid w:val="0BA4E207"/>
    <w:rsid w:val="0BC69D93"/>
    <w:rsid w:val="0BC9DE03"/>
    <w:rsid w:val="0C1204CA"/>
    <w:rsid w:val="0C592B4D"/>
    <w:rsid w:val="0C70947D"/>
    <w:rsid w:val="0CF24DD3"/>
    <w:rsid w:val="0D0ECA7B"/>
    <w:rsid w:val="0D292F47"/>
    <w:rsid w:val="0D3A59E3"/>
    <w:rsid w:val="0D81FD02"/>
    <w:rsid w:val="0DC6EF10"/>
    <w:rsid w:val="0DDCD245"/>
    <w:rsid w:val="0E4B363B"/>
    <w:rsid w:val="0E8DBBA4"/>
    <w:rsid w:val="0E9483AA"/>
    <w:rsid w:val="0EC07B67"/>
    <w:rsid w:val="0EF929E7"/>
    <w:rsid w:val="0F37269C"/>
    <w:rsid w:val="0F55EF2D"/>
    <w:rsid w:val="0F732EF8"/>
    <w:rsid w:val="0F8018FC"/>
    <w:rsid w:val="0F921AC5"/>
    <w:rsid w:val="0F947AB5"/>
    <w:rsid w:val="1004ED2F"/>
    <w:rsid w:val="108F88AB"/>
    <w:rsid w:val="10DEFE0F"/>
    <w:rsid w:val="10EECE67"/>
    <w:rsid w:val="111864C2"/>
    <w:rsid w:val="11714ABE"/>
    <w:rsid w:val="117BA9D6"/>
    <w:rsid w:val="11F0F310"/>
    <w:rsid w:val="1240F062"/>
    <w:rsid w:val="12442A14"/>
    <w:rsid w:val="12DDEDC3"/>
    <w:rsid w:val="1359DA31"/>
    <w:rsid w:val="1378FCE7"/>
    <w:rsid w:val="13E3F15D"/>
    <w:rsid w:val="14635FDE"/>
    <w:rsid w:val="14BDA2E4"/>
    <w:rsid w:val="14D02C20"/>
    <w:rsid w:val="15CDA7F0"/>
    <w:rsid w:val="15E05330"/>
    <w:rsid w:val="15E47CAF"/>
    <w:rsid w:val="161F917E"/>
    <w:rsid w:val="166296F7"/>
    <w:rsid w:val="1723CF11"/>
    <w:rsid w:val="17740148"/>
    <w:rsid w:val="178EB50D"/>
    <w:rsid w:val="1795E6A4"/>
    <w:rsid w:val="179D57A9"/>
    <w:rsid w:val="17B50B87"/>
    <w:rsid w:val="17CAF123"/>
    <w:rsid w:val="18269A9E"/>
    <w:rsid w:val="1831C13B"/>
    <w:rsid w:val="18E538F4"/>
    <w:rsid w:val="18EA4107"/>
    <w:rsid w:val="193F07E0"/>
    <w:rsid w:val="1940D87E"/>
    <w:rsid w:val="19466730"/>
    <w:rsid w:val="1A409599"/>
    <w:rsid w:val="1A5B619A"/>
    <w:rsid w:val="1AD71723"/>
    <w:rsid w:val="1B160A50"/>
    <w:rsid w:val="1B613CA7"/>
    <w:rsid w:val="1C068326"/>
    <w:rsid w:val="1C169A02"/>
    <w:rsid w:val="1C547272"/>
    <w:rsid w:val="1CC9B181"/>
    <w:rsid w:val="1CE95DE4"/>
    <w:rsid w:val="1D13AAE7"/>
    <w:rsid w:val="1DA6DE9D"/>
    <w:rsid w:val="1E638D9F"/>
    <w:rsid w:val="1F1CAB15"/>
    <w:rsid w:val="1F2237CC"/>
    <w:rsid w:val="1F5D6F95"/>
    <w:rsid w:val="1F91C964"/>
    <w:rsid w:val="1FEA6230"/>
    <w:rsid w:val="20021A6B"/>
    <w:rsid w:val="2043E15E"/>
    <w:rsid w:val="21627CA7"/>
    <w:rsid w:val="21A035FF"/>
    <w:rsid w:val="21C02F1F"/>
    <w:rsid w:val="21C93792"/>
    <w:rsid w:val="21D7FE94"/>
    <w:rsid w:val="22661EC8"/>
    <w:rsid w:val="228DE548"/>
    <w:rsid w:val="22AAA327"/>
    <w:rsid w:val="22D05A24"/>
    <w:rsid w:val="23028B90"/>
    <w:rsid w:val="23901943"/>
    <w:rsid w:val="24233510"/>
    <w:rsid w:val="2432E0A3"/>
    <w:rsid w:val="2436734D"/>
    <w:rsid w:val="24694A96"/>
    <w:rsid w:val="248A2D26"/>
    <w:rsid w:val="24A9B327"/>
    <w:rsid w:val="2511FC8F"/>
    <w:rsid w:val="251857B4"/>
    <w:rsid w:val="251FE823"/>
    <w:rsid w:val="25770064"/>
    <w:rsid w:val="261276B5"/>
    <w:rsid w:val="265644C0"/>
    <w:rsid w:val="26B08A7C"/>
    <w:rsid w:val="26B88693"/>
    <w:rsid w:val="26BD6981"/>
    <w:rsid w:val="26E993B1"/>
    <w:rsid w:val="27036272"/>
    <w:rsid w:val="2737C0BA"/>
    <w:rsid w:val="2745EDE7"/>
    <w:rsid w:val="27461D72"/>
    <w:rsid w:val="275D4D0D"/>
    <w:rsid w:val="27F7F902"/>
    <w:rsid w:val="2827F392"/>
    <w:rsid w:val="282ABAB8"/>
    <w:rsid w:val="28338E60"/>
    <w:rsid w:val="2847B8D3"/>
    <w:rsid w:val="284D463E"/>
    <w:rsid w:val="28C8E2BF"/>
    <w:rsid w:val="28F709A1"/>
    <w:rsid w:val="2AC2BD62"/>
    <w:rsid w:val="2AD61213"/>
    <w:rsid w:val="2B0DF2B7"/>
    <w:rsid w:val="2B37824E"/>
    <w:rsid w:val="2B4A4107"/>
    <w:rsid w:val="2B4B9376"/>
    <w:rsid w:val="2C680544"/>
    <w:rsid w:val="2C771790"/>
    <w:rsid w:val="2CA22866"/>
    <w:rsid w:val="2D04AEFE"/>
    <w:rsid w:val="2D5B79BF"/>
    <w:rsid w:val="2D5C1473"/>
    <w:rsid w:val="2D60B6EE"/>
    <w:rsid w:val="2D8594DB"/>
    <w:rsid w:val="2D9009DC"/>
    <w:rsid w:val="2D9C826A"/>
    <w:rsid w:val="2DAE0CC9"/>
    <w:rsid w:val="2E3D857A"/>
    <w:rsid w:val="2EB3459D"/>
    <w:rsid w:val="2F0BF9B6"/>
    <w:rsid w:val="2F3D3330"/>
    <w:rsid w:val="2F6005F5"/>
    <w:rsid w:val="2F8F355E"/>
    <w:rsid w:val="2F980F81"/>
    <w:rsid w:val="2FED00C9"/>
    <w:rsid w:val="2FF798A8"/>
    <w:rsid w:val="30032CA0"/>
    <w:rsid w:val="302CC7A5"/>
    <w:rsid w:val="3171F4AC"/>
    <w:rsid w:val="31A8E1B1"/>
    <w:rsid w:val="31F2577E"/>
    <w:rsid w:val="3228D9DF"/>
    <w:rsid w:val="32CD429B"/>
    <w:rsid w:val="32EEFA96"/>
    <w:rsid w:val="3329F315"/>
    <w:rsid w:val="340E6378"/>
    <w:rsid w:val="34CC3CAF"/>
    <w:rsid w:val="34E21989"/>
    <w:rsid w:val="34F3A33C"/>
    <w:rsid w:val="350C6784"/>
    <w:rsid w:val="3519EE9E"/>
    <w:rsid w:val="351E24D1"/>
    <w:rsid w:val="35672EA2"/>
    <w:rsid w:val="35700432"/>
    <w:rsid w:val="360C5DF5"/>
    <w:rsid w:val="360C8EEB"/>
    <w:rsid w:val="3657B7C6"/>
    <w:rsid w:val="368BD1C9"/>
    <w:rsid w:val="3701F05C"/>
    <w:rsid w:val="3706AD08"/>
    <w:rsid w:val="37143189"/>
    <w:rsid w:val="371D6E1B"/>
    <w:rsid w:val="373B4432"/>
    <w:rsid w:val="37A67773"/>
    <w:rsid w:val="37AA39D6"/>
    <w:rsid w:val="37E7349D"/>
    <w:rsid w:val="388971CA"/>
    <w:rsid w:val="38906817"/>
    <w:rsid w:val="38E72455"/>
    <w:rsid w:val="392FA571"/>
    <w:rsid w:val="39D16BB6"/>
    <w:rsid w:val="39D1FA7F"/>
    <w:rsid w:val="39DDA748"/>
    <w:rsid w:val="39E6A1CF"/>
    <w:rsid w:val="3A073ABF"/>
    <w:rsid w:val="3A5595AF"/>
    <w:rsid w:val="3A8D85BB"/>
    <w:rsid w:val="3AAF7167"/>
    <w:rsid w:val="3AF79D0F"/>
    <w:rsid w:val="3B227EC8"/>
    <w:rsid w:val="3BC3BFA3"/>
    <w:rsid w:val="3BFF6E80"/>
    <w:rsid w:val="3C8ADE0A"/>
    <w:rsid w:val="3CDCDDFF"/>
    <w:rsid w:val="3CFC5CC3"/>
    <w:rsid w:val="3D35B68A"/>
    <w:rsid w:val="3DF23470"/>
    <w:rsid w:val="3E1383CA"/>
    <w:rsid w:val="3E59051C"/>
    <w:rsid w:val="3EA1713F"/>
    <w:rsid w:val="3F1B8311"/>
    <w:rsid w:val="3F25329D"/>
    <w:rsid w:val="4025E235"/>
    <w:rsid w:val="403E684A"/>
    <w:rsid w:val="40B744FA"/>
    <w:rsid w:val="40B94C2C"/>
    <w:rsid w:val="41520A89"/>
    <w:rsid w:val="418D61CC"/>
    <w:rsid w:val="41A57D64"/>
    <w:rsid w:val="4207C161"/>
    <w:rsid w:val="4222E1F5"/>
    <w:rsid w:val="42E7AEF2"/>
    <w:rsid w:val="42F92772"/>
    <w:rsid w:val="43621CAF"/>
    <w:rsid w:val="43718B7B"/>
    <w:rsid w:val="439E83D9"/>
    <w:rsid w:val="43A824AF"/>
    <w:rsid w:val="43BCB0BA"/>
    <w:rsid w:val="43DEE4FD"/>
    <w:rsid w:val="442DC85F"/>
    <w:rsid w:val="44B8AEA0"/>
    <w:rsid w:val="44D56E20"/>
    <w:rsid w:val="454BB842"/>
    <w:rsid w:val="45B56109"/>
    <w:rsid w:val="45EA2638"/>
    <w:rsid w:val="464B61BF"/>
    <w:rsid w:val="46ADD21C"/>
    <w:rsid w:val="47061766"/>
    <w:rsid w:val="471CEA44"/>
    <w:rsid w:val="4727D26C"/>
    <w:rsid w:val="472B01EF"/>
    <w:rsid w:val="4735EB1D"/>
    <w:rsid w:val="47387BF8"/>
    <w:rsid w:val="47B4283C"/>
    <w:rsid w:val="47EEDCD5"/>
    <w:rsid w:val="48022A46"/>
    <w:rsid w:val="48433421"/>
    <w:rsid w:val="488CF016"/>
    <w:rsid w:val="48D00024"/>
    <w:rsid w:val="48D3A9B3"/>
    <w:rsid w:val="48E93FCA"/>
    <w:rsid w:val="4906463B"/>
    <w:rsid w:val="4915FD36"/>
    <w:rsid w:val="491FC231"/>
    <w:rsid w:val="494484DD"/>
    <w:rsid w:val="4954D99F"/>
    <w:rsid w:val="49598E38"/>
    <w:rsid w:val="49FC007A"/>
    <w:rsid w:val="4A21DBF2"/>
    <w:rsid w:val="4A23522D"/>
    <w:rsid w:val="4A3B0324"/>
    <w:rsid w:val="4A72E431"/>
    <w:rsid w:val="4A9C4B78"/>
    <w:rsid w:val="4AD46C2D"/>
    <w:rsid w:val="4B283948"/>
    <w:rsid w:val="4B9F3F2C"/>
    <w:rsid w:val="4BC6AD3F"/>
    <w:rsid w:val="4BE4AA0D"/>
    <w:rsid w:val="4C3198CF"/>
    <w:rsid w:val="4C5630F2"/>
    <w:rsid w:val="4C9075A0"/>
    <w:rsid w:val="4CA0C377"/>
    <w:rsid w:val="4CD74070"/>
    <w:rsid w:val="4D6723AA"/>
    <w:rsid w:val="4D80D92D"/>
    <w:rsid w:val="4DAAE0C6"/>
    <w:rsid w:val="4E11020E"/>
    <w:rsid w:val="4E7C54CA"/>
    <w:rsid w:val="4ED21A79"/>
    <w:rsid w:val="4F6D77F2"/>
    <w:rsid w:val="4FFD14D7"/>
    <w:rsid w:val="5076991C"/>
    <w:rsid w:val="50804769"/>
    <w:rsid w:val="50CFD8A1"/>
    <w:rsid w:val="50DE664F"/>
    <w:rsid w:val="50EDC578"/>
    <w:rsid w:val="51364EFE"/>
    <w:rsid w:val="513C2304"/>
    <w:rsid w:val="51D621AA"/>
    <w:rsid w:val="51DA804F"/>
    <w:rsid w:val="51F6A129"/>
    <w:rsid w:val="523105F0"/>
    <w:rsid w:val="530DFED6"/>
    <w:rsid w:val="531A9B78"/>
    <w:rsid w:val="53709ED1"/>
    <w:rsid w:val="53B21726"/>
    <w:rsid w:val="54276986"/>
    <w:rsid w:val="5435EE8A"/>
    <w:rsid w:val="54409FDE"/>
    <w:rsid w:val="548F7CBF"/>
    <w:rsid w:val="550F6DF9"/>
    <w:rsid w:val="553B05C4"/>
    <w:rsid w:val="5554EB5D"/>
    <w:rsid w:val="5560DCAD"/>
    <w:rsid w:val="55D4DD91"/>
    <w:rsid w:val="5601B1E4"/>
    <w:rsid w:val="5632D007"/>
    <w:rsid w:val="56807B8F"/>
    <w:rsid w:val="56DC6611"/>
    <w:rsid w:val="56F80454"/>
    <w:rsid w:val="56F94F0E"/>
    <w:rsid w:val="57A460F3"/>
    <w:rsid w:val="57B8CFB5"/>
    <w:rsid w:val="5886ADD0"/>
    <w:rsid w:val="58D5406B"/>
    <w:rsid w:val="590276D7"/>
    <w:rsid w:val="5934819B"/>
    <w:rsid w:val="5992BE92"/>
    <w:rsid w:val="599ADCAF"/>
    <w:rsid w:val="59DD74D9"/>
    <w:rsid w:val="5A847F7E"/>
    <w:rsid w:val="5A8BB644"/>
    <w:rsid w:val="5A8D8F7E"/>
    <w:rsid w:val="5B7EE93B"/>
    <w:rsid w:val="5BD926FA"/>
    <w:rsid w:val="5BE4C7CE"/>
    <w:rsid w:val="5BF61620"/>
    <w:rsid w:val="5C1D454B"/>
    <w:rsid w:val="5C5191D8"/>
    <w:rsid w:val="5C909876"/>
    <w:rsid w:val="5C9481D1"/>
    <w:rsid w:val="5CC049CA"/>
    <w:rsid w:val="5CF36C5E"/>
    <w:rsid w:val="5D060B8A"/>
    <w:rsid w:val="5D17F1E9"/>
    <w:rsid w:val="5D34AD41"/>
    <w:rsid w:val="5D53595B"/>
    <w:rsid w:val="5E2FFD06"/>
    <w:rsid w:val="5E6624DD"/>
    <w:rsid w:val="5EBB8B7C"/>
    <w:rsid w:val="5EBCE032"/>
    <w:rsid w:val="5F057A4E"/>
    <w:rsid w:val="5F300CFA"/>
    <w:rsid w:val="5F62B235"/>
    <w:rsid w:val="5F7E24EE"/>
    <w:rsid w:val="5FDE7CDD"/>
    <w:rsid w:val="6019687E"/>
    <w:rsid w:val="6019B7DB"/>
    <w:rsid w:val="601F5305"/>
    <w:rsid w:val="608643AD"/>
    <w:rsid w:val="6086F1F5"/>
    <w:rsid w:val="60A99D46"/>
    <w:rsid w:val="60C49558"/>
    <w:rsid w:val="60EC2D09"/>
    <w:rsid w:val="60FF4462"/>
    <w:rsid w:val="614B8FD3"/>
    <w:rsid w:val="6161013E"/>
    <w:rsid w:val="618AD833"/>
    <w:rsid w:val="61AA3AFC"/>
    <w:rsid w:val="62022248"/>
    <w:rsid w:val="623A4DF3"/>
    <w:rsid w:val="625A870D"/>
    <w:rsid w:val="62DE5F4D"/>
    <w:rsid w:val="63551304"/>
    <w:rsid w:val="636CE0AC"/>
    <w:rsid w:val="63927340"/>
    <w:rsid w:val="6392DEEB"/>
    <w:rsid w:val="63CC82BA"/>
    <w:rsid w:val="63DDB2A6"/>
    <w:rsid w:val="641B622F"/>
    <w:rsid w:val="64317113"/>
    <w:rsid w:val="646279A9"/>
    <w:rsid w:val="648DB409"/>
    <w:rsid w:val="64B05129"/>
    <w:rsid w:val="64BEBB5C"/>
    <w:rsid w:val="6526D8FB"/>
    <w:rsid w:val="65B40534"/>
    <w:rsid w:val="65E874CC"/>
    <w:rsid w:val="66369EED"/>
    <w:rsid w:val="665438F2"/>
    <w:rsid w:val="6667EFD2"/>
    <w:rsid w:val="66830E72"/>
    <w:rsid w:val="66BC7469"/>
    <w:rsid w:val="66E8DC02"/>
    <w:rsid w:val="67FB0C08"/>
    <w:rsid w:val="68573E62"/>
    <w:rsid w:val="687E81A1"/>
    <w:rsid w:val="68AE5D29"/>
    <w:rsid w:val="68CDA576"/>
    <w:rsid w:val="693CBF78"/>
    <w:rsid w:val="69955443"/>
    <w:rsid w:val="699C8800"/>
    <w:rsid w:val="69BCB848"/>
    <w:rsid w:val="6A295189"/>
    <w:rsid w:val="6A8E946A"/>
    <w:rsid w:val="6AA700A1"/>
    <w:rsid w:val="6AE15ECD"/>
    <w:rsid w:val="6B19E10F"/>
    <w:rsid w:val="6B3A3B2B"/>
    <w:rsid w:val="6B67E387"/>
    <w:rsid w:val="6B8B7AB8"/>
    <w:rsid w:val="6BC33FC5"/>
    <w:rsid w:val="6CBA5400"/>
    <w:rsid w:val="6CFB0CAC"/>
    <w:rsid w:val="6D1C8AB2"/>
    <w:rsid w:val="6D5A913E"/>
    <w:rsid w:val="6D64B437"/>
    <w:rsid w:val="6D75A004"/>
    <w:rsid w:val="6D8ABE94"/>
    <w:rsid w:val="6D9FA550"/>
    <w:rsid w:val="6E19FDE6"/>
    <w:rsid w:val="6E1D005B"/>
    <w:rsid w:val="6E321610"/>
    <w:rsid w:val="6E3579D7"/>
    <w:rsid w:val="6E646F12"/>
    <w:rsid w:val="6EE9445F"/>
    <w:rsid w:val="6F088031"/>
    <w:rsid w:val="6F8808FA"/>
    <w:rsid w:val="6FAF5D1F"/>
    <w:rsid w:val="6FF892F7"/>
    <w:rsid w:val="7011E838"/>
    <w:rsid w:val="70FE3B78"/>
    <w:rsid w:val="7140F12A"/>
    <w:rsid w:val="71454EBB"/>
    <w:rsid w:val="718B4436"/>
    <w:rsid w:val="71CEAB60"/>
    <w:rsid w:val="7203036C"/>
    <w:rsid w:val="7212FF61"/>
    <w:rsid w:val="726F94E9"/>
    <w:rsid w:val="72B8FE52"/>
    <w:rsid w:val="72DA0333"/>
    <w:rsid w:val="7304CB05"/>
    <w:rsid w:val="733B369E"/>
    <w:rsid w:val="7357336A"/>
    <w:rsid w:val="7357F9E2"/>
    <w:rsid w:val="737BC232"/>
    <w:rsid w:val="73B27FB4"/>
    <w:rsid w:val="7464B1EC"/>
    <w:rsid w:val="748A452A"/>
    <w:rsid w:val="74C71A87"/>
    <w:rsid w:val="755BDB13"/>
    <w:rsid w:val="7583FF56"/>
    <w:rsid w:val="7591971C"/>
    <w:rsid w:val="76449BBD"/>
    <w:rsid w:val="76456FBD"/>
    <w:rsid w:val="76836E22"/>
    <w:rsid w:val="76938009"/>
    <w:rsid w:val="76ACA1EB"/>
    <w:rsid w:val="7707422E"/>
    <w:rsid w:val="773AE3F5"/>
    <w:rsid w:val="77BC4F07"/>
    <w:rsid w:val="7863884B"/>
    <w:rsid w:val="786B0823"/>
    <w:rsid w:val="787352E8"/>
    <w:rsid w:val="78772611"/>
    <w:rsid w:val="78E80568"/>
    <w:rsid w:val="79236A31"/>
    <w:rsid w:val="794AEFA9"/>
    <w:rsid w:val="79CB7AB0"/>
    <w:rsid w:val="7A1E1491"/>
    <w:rsid w:val="7B222450"/>
    <w:rsid w:val="7B8638A6"/>
    <w:rsid w:val="7B9746A4"/>
    <w:rsid w:val="7BB73F9E"/>
    <w:rsid w:val="7C2D79EC"/>
    <w:rsid w:val="7C3F9ADA"/>
    <w:rsid w:val="7C5F3C60"/>
    <w:rsid w:val="7C665D7B"/>
    <w:rsid w:val="7C74AE8C"/>
    <w:rsid w:val="7CA1697E"/>
    <w:rsid w:val="7D0834C5"/>
    <w:rsid w:val="7D2A3DF9"/>
    <w:rsid w:val="7E904D32"/>
    <w:rsid w:val="7EA5B7DB"/>
    <w:rsid w:val="7F36937A"/>
    <w:rsid w:val="7F3AC687"/>
    <w:rsid w:val="7F83CCE2"/>
    <w:rsid w:val="7FECF9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3A16A8B5-DCF2-475D-84F8-57451806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DE314D"/>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DE314D"/>
    <w:pPr>
      <w:numPr>
        <w:numId w:val="6"/>
      </w:numPr>
    </w:pPr>
    <w:rPr>
      <w:rFonts w:eastAsia="Times New Roman"/>
      <w:lang w:eastAsia="de-DE"/>
    </w:rPr>
  </w:style>
  <w:style w:type="paragraph" w:customStyle="1" w:styleId="ListBullet1">
    <w:name w:val="List Bullet 1"/>
    <w:basedOn w:val="Normal"/>
    <w:rsid w:val="00DE314D"/>
    <w:pPr>
      <w:numPr>
        <w:numId w:val="1"/>
      </w:numPr>
    </w:pPr>
    <w:rPr>
      <w:rFonts w:eastAsia="Times New Roman"/>
      <w:lang w:eastAsia="de-DE"/>
    </w:rPr>
  </w:style>
  <w:style w:type="paragraph" w:customStyle="1" w:styleId="ListDash">
    <w:name w:val="List Dash"/>
    <w:basedOn w:val="Normal"/>
    <w:rsid w:val="00DE314D"/>
    <w:pPr>
      <w:numPr>
        <w:numId w:val="3"/>
      </w:numPr>
    </w:pPr>
    <w:rPr>
      <w:rFonts w:eastAsia="Times New Roman"/>
      <w:lang w:eastAsia="de-DE"/>
    </w:rPr>
  </w:style>
  <w:style w:type="paragraph" w:customStyle="1" w:styleId="ListDash1">
    <w:name w:val="List Dash 1"/>
    <w:basedOn w:val="Normal"/>
    <w:rsid w:val="00DE314D"/>
    <w:pPr>
      <w:numPr>
        <w:numId w:val="4"/>
      </w:numPr>
    </w:pPr>
    <w:rPr>
      <w:rFonts w:eastAsia="Times New Roman"/>
      <w:lang w:eastAsia="de-DE"/>
    </w:rPr>
  </w:style>
  <w:style w:type="paragraph" w:customStyle="1" w:styleId="ListDash2">
    <w:name w:val="List Dash 2"/>
    <w:basedOn w:val="Normal"/>
    <w:rsid w:val="00DE314D"/>
    <w:pPr>
      <w:numPr>
        <w:numId w:val="5"/>
      </w:numPr>
    </w:pPr>
    <w:rPr>
      <w:rFonts w:eastAsia="Times New Roman"/>
      <w:lang w:eastAsia="de-DE"/>
    </w:rPr>
  </w:style>
  <w:style w:type="paragraph" w:customStyle="1" w:styleId="ListNumberLevel2">
    <w:name w:val="List Number (Level 2)"/>
    <w:basedOn w:val="Normal"/>
    <w:rsid w:val="00DE314D"/>
    <w:pPr>
      <w:numPr>
        <w:ilvl w:val="1"/>
        <w:numId w:val="6"/>
      </w:numPr>
    </w:pPr>
    <w:rPr>
      <w:rFonts w:eastAsia="Times New Roman"/>
      <w:lang w:eastAsia="de-DE"/>
    </w:rPr>
  </w:style>
  <w:style w:type="paragraph" w:customStyle="1" w:styleId="ListNumberLevel3">
    <w:name w:val="List Number (Level 3)"/>
    <w:basedOn w:val="Normal"/>
    <w:rsid w:val="00DE314D"/>
    <w:pPr>
      <w:numPr>
        <w:ilvl w:val="2"/>
        <w:numId w:val="6"/>
      </w:numPr>
    </w:pPr>
    <w:rPr>
      <w:rFonts w:eastAsia="Times New Roman"/>
      <w:lang w:eastAsia="de-DE"/>
    </w:rPr>
  </w:style>
  <w:style w:type="paragraph" w:customStyle="1" w:styleId="ListNumberLevel4">
    <w:name w:val="List Number (Level 4)"/>
    <w:basedOn w:val="Normal"/>
    <w:rsid w:val="00DE314D"/>
    <w:pPr>
      <w:numPr>
        <w:ilvl w:val="3"/>
        <w:numId w:val="6"/>
      </w:numPr>
    </w:pPr>
    <w:rPr>
      <w:rFonts w:eastAsia="Times New Roman"/>
      <w:lang w:eastAsia="de-DE"/>
    </w:rPr>
  </w:style>
  <w:style w:type="table" w:styleId="TableGrid">
    <w:name w:val="Table Grid"/>
    <w:basedOn w:val="TableNormal"/>
    <w:rsid w:val="00DE314D"/>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314D"/>
    <w:rPr>
      <w:color w:val="0000FF"/>
      <w:u w:val="single"/>
    </w:rPr>
  </w:style>
  <w:style w:type="paragraph" w:styleId="ListBullet">
    <w:name w:val="List Bullet"/>
    <w:basedOn w:val="Normal"/>
    <w:rsid w:val="00DE314D"/>
    <w:pPr>
      <w:numPr>
        <w:numId w:val="7"/>
      </w:numPr>
    </w:pPr>
    <w:rPr>
      <w:rFonts w:eastAsia="Times New Roman"/>
      <w:lang w:val="fr-FR" w:eastAsia="en-GB"/>
    </w:rPr>
  </w:style>
  <w:style w:type="paragraph" w:styleId="ListBullet2">
    <w:name w:val="List Bullet 2"/>
    <w:basedOn w:val="Normal"/>
    <w:rsid w:val="00DE314D"/>
    <w:pPr>
      <w:numPr>
        <w:numId w:val="8"/>
      </w:numPr>
    </w:pPr>
    <w:rPr>
      <w:rFonts w:eastAsia="Times New Roman"/>
      <w:lang w:val="fr-FR" w:eastAsia="en-GB"/>
    </w:rPr>
  </w:style>
  <w:style w:type="paragraph" w:styleId="ListBullet3">
    <w:name w:val="List Bullet 3"/>
    <w:basedOn w:val="Normal"/>
    <w:rsid w:val="00DE314D"/>
    <w:pPr>
      <w:numPr>
        <w:numId w:val="9"/>
      </w:numPr>
    </w:pPr>
    <w:rPr>
      <w:rFonts w:eastAsia="Times New Roman"/>
      <w:lang w:val="fr-FR" w:eastAsia="en-GB"/>
    </w:rPr>
  </w:style>
  <w:style w:type="paragraph" w:styleId="ListNumber2">
    <w:name w:val="List Number 2"/>
    <w:basedOn w:val="Normal"/>
    <w:rsid w:val="00DE314D"/>
    <w:pPr>
      <w:numPr>
        <w:numId w:val="13"/>
      </w:numPr>
    </w:pPr>
    <w:rPr>
      <w:rFonts w:eastAsia="Times New Roman"/>
      <w:lang w:val="fr-FR" w:eastAsia="en-GB"/>
    </w:rPr>
  </w:style>
  <w:style w:type="paragraph" w:styleId="ListNumber3">
    <w:name w:val="List Number 3"/>
    <w:basedOn w:val="Normal"/>
    <w:rsid w:val="00DE314D"/>
    <w:pPr>
      <w:numPr>
        <w:numId w:val="14"/>
      </w:numPr>
    </w:pPr>
    <w:rPr>
      <w:rFonts w:eastAsia="Times New Roman"/>
      <w:lang w:val="fr-FR" w:eastAsia="en-GB"/>
    </w:rPr>
  </w:style>
  <w:style w:type="paragraph" w:styleId="ListNumber4">
    <w:name w:val="List Number 4"/>
    <w:basedOn w:val="Normal"/>
    <w:rsid w:val="00DE314D"/>
    <w:pPr>
      <w:numPr>
        <w:numId w:val="15"/>
      </w:numPr>
    </w:pPr>
    <w:rPr>
      <w:rFonts w:eastAsia="Times New Roman"/>
      <w:lang w:val="fr-FR" w:eastAsia="en-GB"/>
    </w:rPr>
  </w:style>
  <w:style w:type="paragraph" w:customStyle="1" w:styleId="ListDash3">
    <w:name w:val="List Dash 3"/>
    <w:basedOn w:val="Normal"/>
    <w:rsid w:val="00DE314D"/>
    <w:pPr>
      <w:numPr>
        <w:numId w:val="10"/>
      </w:numPr>
    </w:pPr>
    <w:rPr>
      <w:rFonts w:eastAsia="Times New Roman"/>
      <w:lang w:val="fr-FR" w:eastAsia="en-GB"/>
    </w:rPr>
  </w:style>
  <w:style w:type="paragraph" w:customStyle="1" w:styleId="ListDash4">
    <w:name w:val="List Dash 4"/>
    <w:basedOn w:val="Normal"/>
    <w:rsid w:val="00DE314D"/>
    <w:pPr>
      <w:numPr>
        <w:numId w:val="11"/>
      </w:numPr>
    </w:pPr>
    <w:rPr>
      <w:rFonts w:eastAsia="Times New Roman"/>
      <w:lang w:val="fr-FR" w:eastAsia="en-GB"/>
    </w:rPr>
  </w:style>
  <w:style w:type="paragraph" w:customStyle="1" w:styleId="ListNumber1">
    <w:name w:val="List Number 1"/>
    <w:basedOn w:val="Text1"/>
    <w:rsid w:val="00DE314D"/>
    <w:pPr>
      <w:numPr>
        <w:numId w:val="12"/>
      </w:numPr>
    </w:pPr>
    <w:rPr>
      <w:rFonts w:eastAsia="Times New Roman"/>
      <w:lang w:val="fr-FR" w:eastAsia="en-GB"/>
    </w:rPr>
  </w:style>
  <w:style w:type="paragraph" w:customStyle="1" w:styleId="ListNumber1Level2">
    <w:name w:val="List Number 1 (Level 2)"/>
    <w:basedOn w:val="Text1"/>
    <w:rsid w:val="00DE314D"/>
    <w:pPr>
      <w:numPr>
        <w:ilvl w:val="1"/>
        <w:numId w:val="12"/>
      </w:numPr>
    </w:pPr>
    <w:rPr>
      <w:rFonts w:eastAsia="Times New Roman"/>
      <w:lang w:val="fr-FR" w:eastAsia="en-GB"/>
    </w:rPr>
  </w:style>
  <w:style w:type="paragraph" w:customStyle="1" w:styleId="ListNumber2Level2">
    <w:name w:val="List Number 2 (Level 2)"/>
    <w:basedOn w:val="Text2"/>
    <w:rsid w:val="00DE314D"/>
    <w:pPr>
      <w:numPr>
        <w:ilvl w:val="1"/>
        <w:numId w:val="13"/>
      </w:numPr>
    </w:pPr>
    <w:rPr>
      <w:rFonts w:eastAsia="Times New Roman"/>
      <w:lang w:val="fr-FR" w:eastAsia="en-GB"/>
    </w:rPr>
  </w:style>
  <w:style w:type="paragraph" w:customStyle="1" w:styleId="ListNumber3Level2">
    <w:name w:val="List Number 3 (Level 2)"/>
    <w:basedOn w:val="Text3"/>
    <w:rsid w:val="00DE314D"/>
    <w:pPr>
      <w:numPr>
        <w:ilvl w:val="1"/>
        <w:numId w:val="14"/>
      </w:numPr>
    </w:pPr>
    <w:rPr>
      <w:rFonts w:eastAsia="Times New Roman"/>
      <w:lang w:val="fr-FR" w:eastAsia="en-GB"/>
    </w:rPr>
  </w:style>
  <w:style w:type="paragraph" w:customStyle="1" w:styleId="ListNumber4Level2">
    <w:name w:val="List Number 4 (Level 2)"/>
    <w:basedOn w:val="Text4"/>
    <w:rsid w:val="00DE314D"/>
    <w:pPr>
      <w:numPr>
        <w:ilvl w:val="1"/>
        <w:numId w:val="15"/>
      </w:numPr>
    </w:pPr>
    <w:rPr>
      <w:rFonts w:eastAsia="Times New Roman"/>
      <w:lang w:val="fr-FR" w:eastAsia="en-GB"/>
    </w:rPr>
  </w:style>
  <w:style w:type="paragraph" w:customStyle="1" w:styleId="ListNumber1Level3">
    <w:name w:val="List Number 1 (Level 3)"/>
    <w:basedOn w:val="Text1"/>
    <w:rsid w:val="00DE314D"/>
    <w:pPr>
      <w:numPr>
        <w:ilvl w:val="2"/>
        <w:numId w:val="12"/>
      </w:numPr>
    </w:pPr>
    <w:rPr>
      <w:rFonts w:eastAsia="Times New Roman"/>
      <w:lang w:val="fr-FR" w:eastAsia="en-GB"/>
    </w:rPr>
  </w:style>
  <w:style w:type="paragraph" w:customStyle="1" w:styleId="ListNumber2Level3">
    <w:name w:val="List Number 2 (Level 3)"/>
    <w:basedOn w:val="Text2"/>
    <w:rsid w:val="00DE314D"/>
    <w:pPr>
      <w:numPr>
        <w:ilvl w:val="2"/>
        <w:numId w:val="13"/>
      </w:numPr>
    </w:pPr>
    <w:rPr>
      <w:rFonts w:eastAsia="Times New Roman"/>
      <w:lang w:val="fr-FR" w:eastAsia="en-GB"/>
    </w:rPr>
  </w:style>
  <w:style w:type="paragraph" w:customStyle="1" w:styleId="ListNumber3Level3">
    <w:name w:val="List Number 3 (Level 3)"/>
    <w:basedOn w:val="Text3"/>
    <w:rsid w:val="00DE314D"/>
    <w:pPr>
      <w:numPr>
        <w:ilvl w:val="2"/>
        <w:numId w:val="14"/>
      </w:numPr>
    </w:pPr>
    <w:rPr>
      <w:rFonts w:eastAsia="Times New Roman"/>
      <w:lang w:val="fr-FR" w:eastAsia="en-GB"/>
    </w:rPr>
  </w:style>
  <w:style w:type="paragraph" w:customStyle="1" w:styleId="ListNumber4Level3">
    <w:name w:val="List Number 4 (Level 3)"/>
    <w:basedOn w:val="Text4"/>
    <w:rsid w:val="00DE314D"/>
    <w:pPr>
      <w:numPr>
        <w:ilvl w:val="2"/>
        <w:numId w:val="15"/>
      </w:numPr>
    </w:pPr>
    <w:rPr>
      <w:rFonts w:eastAsia="Times New Roman"/>
      <w:lang w:val="fr-FR" w:eastAsia="en-GB"/>
    </w:rPr>
  </w:style>
  <w:style w:type="paragraph" w:customStyle="1" w:styleId="ListNumber1Level4">
    <w:name w:val="List Number 1 (Level 4)"/>
    <w:basedOn w:val="Text1"/>
    <w:rsid w:val="00DE314D"/>
    <w:pPr>
      <w:numPr>
        <w:ilvl w:val="3"/>
        <w:numId w:val="12"/>
      </w:numPr>
    </w:pPr>
    <w:rPr>
      <w:rFonts w:eastAsia="Times New Roman"/>
      <w:lang w:val="fr-FR" w:eastAsia="en-GB"/>
    </w:rPr>
  </w:style>
  <w:style w:type="paragraph" w:customStyle="1" w:styleId="ListNumber2Level4">
    <w:name w:val="List Number 2 (Level 4)"/>
    <w:basedOn w:val="Text2"/>
    <w:rsid w:val="00DE314D"/>
    <w:pPr>
      <w:numPr>
        <w:ilvl w:val="3"/>
        <w:numId w:val="13"/>
      </w:numPr>
    </w:pPr>
    <w:rPr>
      <w:rFonts w:eastAsia="Times New Roman"/>
      <w:lang w:val="fr-FR" w:eastAsia="en-GB"/>
    </w:rPr>
  </w:style>
  <w:style w:type="paragraph" w:customStyle="1" w:styleId="ListNumber3Level4">
    <w:name w:val="List Number 3 (Level 4)"/>
    <w:basedOn w:val="Text3"/>
    <w:rsid w:val="00DE314D"/>
    <w:pPr>
      <w:numPr>
        <w:ilvl w:val="3"/>
        <w:numId w:val="14"/>
      </w:numPr>
    </w:pPr>
    <w:rPr>
      <w:rFonts w:eastAsia="Times New Roman"/>
      <w:lang w:val="fr-FR" w:eastAsia="en-GB"/>
    </w:rPr>
  </w:style>
  <w:style w:type="paragraph" w:customStyle="1" w:styleId="ListNumber4Level4">
    <w:name w:val="List Number 4 (Level 4)"/>
    <w:basedOn w:val="Text4"/>
    <w:rsid w:val="00DE314D"/>
    <w:pPr>
      <w:numPr>
        <w:ilvl w:val="3"/>
        <w:numId w:val="15"/>
      </w:numPr>
    </w:pPr>
    <w:rPr>
      <w:rFonts w:eastAsia="Times New Roman"/>
      <w:lang w:val="fr-FR" w:eastAsia="en-GB"/>
    </w:rPr>
  </w:style>
  <w:style w:type="paragraph" w:customStyle="1" w:styleId="Annexetitreacte">
    <w:name w:val="Annexe titre (acte)"/>
    <w:basedOn w:val="Normal"/>
    <w:next w:val="Normal"/>
    <w:rsid w:val="00DE314D"/>
    <w:pPr>
      <w:jc w:val="center"/>
    </w:pPr>
    <w:rPr>
      <w:rFonts w:eastAsia="Times New Roman"/>
      <w:b/>
      <w:u w:val="single"/>
      <w:lang w:val="fr-FR" w:eastAsia="en-GB"/>
    </w:rPr>
  </w:style>
  <w:style w:type="paragraph" w:customStyle="1" w:styleId="Annexetitreexposglobal">
    <w:name w:val="Annexe titre (exposé global)"/>
    <w:basedOn w:val="Normal"/>
    <w:next w:val="Normal"/>
    <w:rsid w:val="00DE314D"/>
    <w:pPr>
      <w:jc w:val="center"/>
    </w:pPr>
    <w:rPr>
      <w:rFonts w:eastAsia="Times New Roman"/>
      <w:b/>
      <w:u w:val="single"/>
      <w:lang w:val="fr-FR" w:eastAsia="en-GB"/>
    </w:rPr>
  </w:style>
  <w:style w:type="paragraph" w:customStyle="1" w:styleId="Annexetitrefichefinacte">
    <w:name w:val="Annexe titre (fiche fin. acte)"/>
    <w:basedOn w:val="Normal"/>
    <w:next w:val="Normal"/>
    <w:rsid w:val="00DE314D"/>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DE314D"/>
    <w:pPr>
      <w:jc w:val="center"/>
    </w:pPr>
    <w:rPr>
      <w:rFonts w:eastAsia="Times New Roman"/>
      <w:b/>
      <w:u w:val="single"/>
      <w:lang w:val="fr-FR" w:eastAsia="en-GB"/>
    </w:rPr>
  </w:style>
  <w:style w:type="paragraph" w:customStyle="1" w:styleId="Annexetitreglobale">
    <w:name w:val="Annexe titre (globale)"/>
    <w:basedOn w:val="Normal"/>
    <w:next w:val="Normal"/>
    <w:rsid w:val="00DE314D"/>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DE314D"/>
    <w:pPr>
      <w:jc w:val="center"/>
    </w:pPr>
    <w:rPr>
      <w:rFonts w:eastAsia="Times New Roman"/>
      <w:b/>
      <w:u w:val="single"/>
      <w:lang w:val="fr-FR" w:eastAsia="en-GB"/>
    </w:rPr>
  </w:style>
  <w:style w:type="paragraph" w:customStyle="1" w:styleId="Langueoriginale">
    <w:name w:val="Langue originale"/>
    <w:basedOn w:val="Normal"/>
    <w:rsid w:val="00DE314D"/>
    <w:pPr>
      <w:spacing w:before="360"/>
      <w:jc w:val="center"/>
    </w:pPr>
    <w:rPr>
      <w:rFonts w:eastAsia="Times New Roman"/>
      <w:caps/>
      <w:lang w:val="fr-FR" w:eastAsia="en-GB"/>
    </w:rPr>
  </w:style>
  <w:style w:type="paragraph" w:customStyle="1" w:styleId="Phrasefinale">
    <w:name w:val="Phrase finale"/>
    <w:basedOn w:val="Normal"/>
    <w:next w:val="Normal"/>
    <w:rsid w:val="00DE314D"/>
    <w:pPr>
      <w:spacing w:before="360" w:after="0"/>
      <w:jc w:val="center"/>
    </w:pPr>
    <w:rPr>
      <w:rFonts w:eastAsia="Times New Roman"/>
      <w:lang w:val="fr-FR" w:eastAsia="en-GB"/>
    </w:rPr>
  </w:style>
  <w:style w:type="paragraph" w:customStyle="1" w:styleId="Prliminairetitre">
    <w:name w:val="Préliminaire titre"/>
    <w:basedOn w:val="Normal"/>
    <w:next w:val="Normal"/>
    <w:rsid w:val="00DE314D"/>
    <w:pPr>
      <w:spacing w:before="360" w:after="360"/>
      <w:jc w:val="center"/>
    </w:pPr>
    <w:rPr>
      <w:rFonts w:eastAsia="Times New Roman"/>
      <w:b/>
      <w:lang w:val="fr-FR" w:eastAsia="en-GB"/>
    </w:rPr>
  </w:style>
  <w:style w:type="paragraph" w:customStyle="1" w:styleId="Prliminairetype">
    <w:name w:val="Préliminaire type"/>
    <w:basedOn w:val="Normal"/>
    <w:next w:val="Normal"/>
    <w:rsid w:val="00DE314D"/>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DE314D"/>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DE314D"/>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DE314D"/>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DE314D"/>
    <w:pPr>
      <w:spacing w:before="0" w:after="0"/>
      <w:jc w:val="center"/>
    </w:pPr>
    <w:rPr>
      <w:rFonts w:eastAsia="Times New Roman"/>
      <w:b/>
      <w:lang w:val="fr-FR" w:eastAsia="en-GB"/>
    </w:rPr>
  </w:style>
  <w:style w:type="paragraph" w:customStyle="1" w:styleId="Statutprliminaire">
    <w:name w:val="Statut (préliminaire)"/>
    <w:basedOn w:val="Normal"/>
    <w:next w:val="Normal"/>
    <w:rsid w:val="00DE314D"/>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DE314D"/>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DE314D"/>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DE314D"/>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DE314D"/>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DE314D"/>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DE314D"/>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DE314D"/>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DE314D"/>
    <w:pPr>
      <w:jc w:val="center"/>
    </w:pPr>
    <w:rPr>
      <w:rFonts w:eastAsia="Times New Roman"/>
      <w:b/>
      <w:u w:val="single"/>
      <w:lang w:val="fr-FR" w:eastAsia="en-GB"/>
    </w:rPr>
  </w:style>
  <w:style w:type="character" w:styleId="CommentReference">
    <w:name w:val="annotation reference"/>
    <w:rsid w:val="00DE314D"/>
    <w:rPr>
      <w:rFonts w:cs="Times New Roman"/>
      <w:sz w:val="16"/>
      <w:szCs w:val="16"/>
    </w:rPr>
  </w:style>
  <w:style w:type="paragraph" w:styleId="CommentText">
    <w:name w:val="annotation text"/>
    <w:basedOn w:val="Normal"/>
    <w:link w:val="CommentTextChar"/>
    <w:rsid w:val="00DE314D"/>
    <w:rPr>
      <w:rFonts w:eastAsia="Times New Roman"/>
      <w:sz w:val="20"/>
      <w:szCs w:val="20"/>
      <w:lang w:val="fr-FR" w:eastAsia="en-GB"/>
    </w:rPr>
  </w:style>
  <w:style w:type="character" w:customStyle="1" w:styleId="CommentTextChar">
    <w:name w:val="Comment Text Char"/>
    <w:basedOn w:val="DefaultParagraphFont"/>
    <w:link w:val="CommentText"/>
    <w:rsid w:val="00DE314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DE314D"/>
    <w:rPr>
      <w:b/>
      <w:bCs/>
    </w:rPr>
  </w:style>
  <w:style w:type="character" w:customStyle="1" w:styleId="CommentSubjectChar">
    <w:name w:val="Comment Subject Char"/>
    <w:basedOn w:val="CommentTextChar"/>
    <w:link w:val="CommentSubject"/>
    <w:rsid w:val="00DE314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DE314D"/>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DE314D"/>
    <w:rPr>
      <w:rFonts w:ascii="Tahoma" w:eastAsia="Times New Roman" w:hAnsi="Tahoma" w:cs="Tahoma"/>
      <w:sz w:val="16"/>
      <w:szCs w:val="16"/>
      <w:lang w:val="fr-FR" w:eastAsia="en-GB"/>
    </w:rPr>
  </w:style>
  <w:style w:type="paragraph" w:styleId="Caption">
    <w:name w:val="caption"/>
    <w:basedOn w:val="Normal"/>
    <w:next w:val="Normal"/>
    <w:qFormat/>
    <w:rsid w:val="00DE314D"/>
    <w:rPr>
      <w:rFonts w:eastAsia="Times New Roman"/>
      <w:b/>
      <w:bCs/>
      <w:sz w:val="20"/>
      <w:szCs w:val="20"/>
      <w:lang w:val="fr-FR" w:eastAsia="en-GB"/>
    </w:rPr>
  </w:style>
  <w:style w:type="paragraph" w:styleId="TableofFigures">
    <w:name w:val="table of figures"/>
    <w:basedOn w:val="Normal"/>
    <w:next w:val="Normal"/>
    <w:rsid w:val="00DE314D"/>
    <w:rPr>
      <w:rFonts w:eastAsia="Times New Roman"/>
      <w:lang w:val="fr-FR" w:eastAsia="en-GB"/>
    </w:rPr>
  </w:style>
  <w:style w:type="character" w:styleId="PageNumber">
    <w:name w:val="page number"/>
    <w:rsid w:val="00DE314D"/>
  </w:style>
  <w:style w:type="character" w:customStyle="1" w:styleId="tw4winMark">
    <w:name w:val="tw4winMark"/>
    <w:rsid w:val="00DE314D"/>
    <w:rPr>
      <w:vanish/>
      <w:color w:val="800080"/>
      <w:vertAlign w:val="subscript"/>
    </w:rPr>
  </w:style>
  <w:style w:type="character" w:styleId="FollowedHyperlink">
    <w:name w:val="FollowedHyperlink"/>
    <w:rsid w:val="00DE314D"/>
    <w:rPr>
      <w:color w:val="800080"/>
      <w:u w:val="single"/>
    </w:rPr>
  </w:style>
  <w:style w:type="paragraph" w:customStyle="1" w:styleId="Sous-titreobjet">
    <w:name w:val="Sous-titre objet"/>
    <w:basedOn w:val="Normal"/>
    <w:rsid w:val="00DE314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DE314D"/>
  </w:style>
  <w:style w:type="paragraph" w:styleId="Revision">
    <w:name w:val="Revision"/>
    <w:hidden/>
    <w:uiPriority w:val="99"/>
    <w:semiHidden/>
    <w:rsid w:val="00DE314D"/>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DE314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DE314D"/>
    <w:rPr>
      <w:rFonts w:ascii="Times New Roman" w:hAnsi="Times New Roman" w:cs="Times New Roman"/>
      <w:b/>
      <w:sz w:val="28"/>
      <w:lang w:val="en-GB"/>
    </w:rPr>
  </w:style>
  <w:style w:type="character" w:customStyle="1" w:styleId="FooterCoverPageChar">
    <w:name w:val="Footer Cover Page Char"/>
    <w:link w:val="FooterCoverPage"/>
    <w:rsid w:val="00DE314D"/>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DE314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E314D"/>
    <w:rPr>
      <w:rFonts w:ascii="Times New Roman" w:eastAsia="Calibri" w:hAnsi="Times New Roman" w:cs="Times New Roman"/>
      <w:sz w:val="24"/>
      <w:lang w:val="en-GB" w:eastAsia="en-GB"/>
    </w:rPr>
  </w:style>
  <w:style w:type="character" w:customStyle="1" w:styleId="FooterSensitivityChar">
    <w:name w:val="Footer Sensitivity Char"/>
    <w:rsid w:val="00DE314D"/>
    <w:rPr>
      <w:rFonts w:ascii="Times New Roman" w:hAnsi="Times New Roman" w:cs="Times New Roman"/>
      <w:b/>
      <w:sz w:val="32"/>
      <w:lang w:val="en-GB"/>
    </w:rPr>
  </w:style>
  <w:style w:type="character" w:customStyle="1" w:styleId="HeaderSensitivityChar">
    <w:name w:val="Header Sensitivity Char"/>
    <w:rsid w:val="00DE314D"/>
    <w:rPr>
      <w:rFonts w:ascii="Times New Roman" w:hAnsi="Times New Roman" w:cs="Times New Roman"/>
      <w:b/>
      <w:sz w:val="32"/>
      <w:lang w:val="en-GB"/>
    </w:rPr>
  </w:style>
  <w:style w:type="character" w:customStyle="1" w:styleId="HeaderSensitivityRightChar">
    <w:name w:val="Header Sensitivity Right Char"/>
    <w:rsid w:val="00DE314D"/>
    <w:rPr>
      <w:rFonts w:ascii="Times New Roman" w:hAnsi="Times New Roman" w:cs="Times New Roman"/>
      <w:sz w:val="28"/>
      <w:lang w:val="en-GB"/>
    </w:rPr>
  </w:style>
  <w:style w:type="paragraph" w:customStyle="1" w:styleId="LegalNumPar">
    <w:name w:val="LegalNumPar"/>
    <w:basedOn w:val="Normal"/>
    <w:rsid w:val="00DE314D"/>
    <w:pPr>
      <w:numPr>
        <w:numId w:val="16"/>
      </w:numPr>
      <w:spacing w:line="360" w:lineRule="auto"/>
    </w:pPr>
    <w:rPr>
      <w:rFonts w:eastAsia="Times New Roman"/>
      <w:lang w:eastAsia="en-GB"/>
    </w:rPr>
  </w:style>
  <w:style w:type="paragraph" w:customStyle="1" w:styleId="LegalNumPar2">
    <w:name w:val="LegalNumPar2"/>
    <w:basedOn w:val="Normal"/>
    <w:rsid w:val="00DE314D"/>
    <w:pPr>
      <w:numPr>
        <w:ilvl w:val="1"/>
        <w:numId w:val="16"/>
      </w:numPr>
      <w:spacing w:line="360" w:lineRule="auto"/>
    </w:pPr>
    <w:rPr>
      <w:rFonts w:eastAsia="Times New Roman"/>
      <w:lang w:eastAsia="en-GB"/>
    </w:rPr>
  </w:style>
  <w:style w:type="paragraph" w:customStyle="1" w:styleId="LegalNumPar3">
    <w:name w:val="LegalNumPar3"/>
    <w:basedOn w:val="Normal"/>
    <w:rsid w:val="00DE314D"/>
    <w:pPr>
      <w:numPr>
        <w:ilvl w:val="2"/>
        <w:numId w:val="16"/>
      </w:numPr>
      <w:spacing w:line="360" w:lineRule="auto"/>
    </w:pPr>
    <w:rPr>
      <w:rFonts w:eastAsia="Times New Roman"/>
      <w:lang w:eastAsia="en-GB"/>
    </w:rPr>
  </w:style>
  <w:style w:type="paragraph" w:styleId="ListParagraph">
    <w:name w:val="List Paragraph"/>
    <w:aliases w:val="Bullets,Numbered List Paragraph,Dot pt,F5 List Paragraph,List Paragraph1,No Spacing1,List Paragraph Char Char Char,Indicator Text,Numbered Para 1,Colorful List - Accent 11,Bullet Points,List Paragraph2,MAIN CONTENT,ANNEX,EC,L,2,l"/>
    <w:basedOn w:val="Normal"/>
    <w:link w:val="ListParagraphChar"/>
    <w:uiPriority w:val="34"/>
    <w:qFormat/>
    <w:rsid w:val="00DE314D"/>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DE314D"/>
    <w:rPr>
      <w:color w:val="605E5C"/>
      <w:shd w:val="clear" w:color="auto" w:fill="E1DFDD"/>
    </w:rPr>
  </w:style>
  <w:style w:type="character" w:styleId="Strong">
    <w:name w:val="Strong"/>
    <w:basedOn w:val="DefaultParagraphFont"/>
    <w:qFormat/>
    <w:rsid w:val="00DE314D"/>
    <w:rPr>
      <w:b/>
      <w:bCs/>
    </w:rPr>
  </w:style>
  <w:style w:type="character" w:styleId="Emphasis">
    <w:name w:val="Emphasis"/>
    <w:basedOn w:val="DefaultParagraphFont"/>
    <w:qFormat/>
    <w:rsid w:val="00DE314D"/>
    <w:rPr>
      <w:i/>
      <w:iCs/>
    </w:rPr>
  </w:style>
  <w:style w:type="character" w:customStyle="1" w:styleId="Mention1">
    <w:name w:val="Mention1"/>
    <w:basedOn w:val="DefaultParagraphFont"/>
    <w:uiPriority w:val="99"/>
    <w:unhideWhenUsed/>
    <w:rsid w:val="00DE314D"/>
    <w:rPr>
      <w:color w:val="2B579A"/>
      <w:shd w:val="clear" w:color="auto" w:fill="E1DFDD"/>
    </w:rPr>
  </w:style>
  <w:style w:type="character" w:customStyle="1" w:styleId="normaltextrun">
    <w:name w:val="normaltextrun"/>
    <w:basedOn w:val="DefaultParagraphFont"/>
    <w:rsid w:val="00DE314D"/>
  </w:style>
  <w:style w:type="character" w:customStyle="1" w:styleId="eop">
    <w:name w:val="eop"/>
    <w:basedOn w:val="DefaultParagraphFont"/>
    <w:rsid w:val="00DE314D"/>
  </w:style>
  <w:style w:type="character" w:customStyle="1" w:styleId="ListParagraphChar">
    <w:name w:val="List Paragraph Char"/>
    <w:aliases w:val="Bullets Char,Numbered List Paragraph Char,Dot pt Char,F5 List Paragraph Char,List Paragraph1 Char,No Spacing1 Char,List Paragraph Char Char Char Char,Indicator Text Char,Numbered Para 1 Char,Colorful List - Accent 11 Char,ANNEX Char"/>
    <w:basedOn w:val="DefaultParagraphFont"/>
    <w:link w:val="ListParagraph"/>
    <w:uiPriority w:val="34"/>
    <w:qFormat/>
    <w:rsid w:val="005A591B"/>
    <w:rPr>
      <w:rFonts w:ascii="Times New Roman" w:eastAsia="Times New Roman" w:hAnsi="Times New Roman" w:cs="Times New Roman"/>
      <w:sz w:val="24"/>
      <w:lang w:val="en-GB" w:eastAsia="en-GB"/>
    </w:rPr>
  </w:style>
  <w:style w:type="paragraph" w:styleId="NormalWeb">
    <w:name w:val="Normal (Web)"/>
    <w:basedOn w:val="Normal"/>
    <w:uiPriority w:val="99"/>
    <w:unhideWhenUsed/>
    <w:rsid w:val="00EB7EA3"/>
    <w:pPr>
      <w:spacing w:before="100" w:beforeAutospacing="1" w:after="100" w:afterAutospacing="1"/>
      <w:jc w:val="left"/>
    </w:pPr>
    <w:rPr>
      <w:rFonts w:eastAsia="Times New Roman"/>
      <w:szCs w:val="24"/>
      <w:lang w:eastAsia="en-GB"/>
    </w:rPr>
  </w:style>
  <w:style w:type="character" w:customStyle="1" w:styleId="UnresolvedMention">
    <w:name w:val="Unresolved Mention"/>
    <w:basedOn w:val="DefaultParagraphFont"/>
    <w:uiPriority w:val="99"/>
    <w:semiHidden/>
    <w:unhideWhenUsed/>
    <w:rsid w:val="00B614DB"/>
    <w:rPr>
      <w:color w:val="605E5C"/>
      <w:shd w:val="clear" w:color="auto" w:fill="E1DFDD"/>
    </w:rPr>
  </w:style>
  <w:style w:type="character" w:customStyle="1" w:styleId="whitespace-normal">
    <w:name w:val="whitespace-normal"/>
    <w:basedOn w:val="DefaultParagraphFont"/>
    <w:rsid w:val="006E3764"/>
  </w:style>
  <w:style w:type="paragraph" w:customStyle="1" w:styleId="CharCharChar1">
    <w:name w:val="Char Char Char1"/>
    <w:basedOn w:val="Normal"/>
    <w:link w:val="FootnoteReference"/>
    <w:uiPriority w:val="99"/>
    <w:rsid w:val="00D1491A"/>
    <w:pPr>
      <w:spacing w:before="0" w:after="160" w:line="240" w:lineRule="exact"/>
    </w:pPr>
    <w:rPr>
      <w:rFonts w:asciiTheme="minorHAnsi" w:hAnsiTheme="minorHAnsi" w:cstheme="minorBidi"/>
      <w:sz w:val="22"/>
      <w:vertAlign w:val="superscript"/>
      <w:lang w:val="en-US"/>
    </w:rPr>
  </w:style>
  <w:style w:type="paragraph" w:customStyle="1" w:styleId="xxnull">
    <w:name w:val="x_xnull"/>
    <w:basedOn w:val="Normal"/>
    <w:rsid w:val="00B53306"/>
    <w:pPr>
      <w:spacing w:before="100" w:beforeAutospacing="1" w:after="100" w:afterAutospacing="1"/>
      <w:jc w:val="left"/>
    </w:pPr>
    <w:rPr>
      <w:rFonts w:ascii="Calibri" w:eastAsia="Aptos" w:hAnsi="Calibri" w:cs="Calibri"/>
      <w:sz w:val="22"/>
      <w:lang w:eastAsia="en-GB"/>
    </w:rPr>
  </w:style>
  <w:style w:type="character" w:customStyle="1" w:styleId="HeaderChar">
    <w:name w:val="Header Char"/>
    <w:basedOn w:val="DefaultParagraphFont"/>
    <w:link w:val="Header"/>
    <w:uiPriority w:val="99"/>
    <w:rsid w:val="00185F1C"/>
    <w:rPr>
      <w:rFonts w:ascii="Times New Roman" w:hAnsi="Times New Roman" w:cs="Times New Roman"/>
      <w:sz w:val="24"/>
      <w:lang w:val="en-GB"/>
    </w:rPr>
  </w:style>
  <w:style w:type="character" w:customStyle="1" w:styleId="FooterChar">
    <w:name w:val="Footer Char"/>
    <w:basedOn w:val="DefaultParagraphFont"/>
    <w:link w:val="Footer"/>
    <w:uiPriority w:val="99"/>
    <w:rsid w:val="00185F1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185F1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85F1C"/>
    <w:pPr>
      <w:spacing w:before="0"/>
      <w:jc w:val="right"/>
    </w:pPr>
    <w:rPr>
      <w:sz w:val="28"/>
    </w:rPr>
  </w:style>
  <w:style w:type="paragraph" w:customStyle="1" w:styleId="FooterSensitivity">
    <w:name w:val="Footer Sensitivity"/>
    <w:basedOn w:val="Normal"/>
    <w:rsid w:val="00185F1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85F1C"/>
    <w:pPr>
      <w:tabs>
        <w:tab w:val="center" w:pos="4535"/>
        <w:tab w:val="right" w:pos="9071"/>
      </w:tabs>
      <w:spacing w:before="0"/>
    </w:pPr>
  </w:style>
  <w:style w:type="paragraph" w:customStyle="1" w:styleId="HeaderLandscape">
    <w:name w:val="HeaderLandscape"/>
    <w:basedOn w:val="Normal"/>
    <w:rsid w:val="00185F1C"/>
    <w:pPr>
      <w:tabs>
        <w:tab w:val="center" w:pos="7285"/>
        <w:tab w:val="right" w:pos="14003"/>
      </w:tabs>
      <w:spacing w:before="0"/>
    </w:pPr>
  </w:style>
  <w:style w:type="paragraph" w:styleId="Footer">
    <w:name w:val="footer"/>
    <w:basedOn w:val="Normal"/>
    <w:link w:val="FooterChar"/>
    <w:uiPriority w:val="99"/>
    <w:unhideWhenUsed/>
    <w:rsid w:val="00185F1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85F1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4412">
      <w:bodyDiv w:val="1"/>
      <w:marLeft w:val="0"/>
      <w:marRight w:val="0"/>
      <w:marTop w:val="0"/>
      <w:marBottom w:val="0"/>
      <w:divBdr>
        <w:top w:val="none" w:sz="0" w:space="0" w:color="auto"/>
        <w:left w:val="none" w:sz="0" w:space="0" w:color="auto"/>
        <w:bottom w:val="none" w:sz="0" w:space="0" w:color="auto"/>
        <w:right w:val="none" w:sz="0" w:space="0" w:color="auto"/>
      </w:divBdr>
    </w:div>
    <w:div w:id="112215191">
      <w:bodyDiv w:val="1"/>
      <w:marLeft w:val="0"/>
      <w:marRight w:val="0"/>
      <w:marTop w:val="0"/>
      <w:marBottom w:val="0"/>
      <w:divBdr>
        <w:top w:val="none" w:sz="0" w:space="0" w:color="auto"/>
        <w:left w:val="none" w:sz="0" w:space="0" w:color="auto"/>
        <w:bottom w:val="none" w:sz="0" w:space="0" w:color="auto"/>
        <w:right w:val="none" w:sz="0" w:space="0" w:color="auto"/>
      </w:divBdr>
    </w:div>
    <w:div w:id="186410056">
      <w:bodyDiv w:val="1"/>
      <w:marLeft w:val="0"/>
      <w:marRight w:val="0"/>
      <w:marTop w:val="0"/>
      <w:marBottom w:val="0"/>
      <w:divBdr>
        <w:top w:val="none" w:sz="0" w:space="0" w:color="auto"/>
        <w:left w:val="none" w:sz="0" w:space="0" w:color="auto"/>
        <w:bottom w:val="none" w:sz="0" w:space="0" w:color="auto"/>
        <w:right w:val="none" w:sz="0" w:space="0" w:color="auto"/>
      </w:divBdr>
    </w:div>
    <w:div w:id="188958835">
      <w:bodyDiv w:val="1"/>
      <w:marLeft w:val="0"/>
      <w:marRight w:val="0"/>
      <w:marTop w:val="0"/>
      <w:marBottom w:val="0"/>
      <w:divBdr>
        <w:top w:val="none" w:sz="0" w:space="0" w:color="auto"/>
        <w:left w:val="none" w:sz="0" w:space="0" w:color="auto"/>
        <w:bottom w:val="none" w:sz="0" w:space="0" w:color="auto"/>
        <w:right w:val="none" w:sz="0" w:space="0" w:color="auto"/>
      </w:divBdr>
    </w:div>
    <w:div w:id="197204554">
      <w:bodyDiv w:val="1"/>
      <w:marLeft w:val="0"/>
      <w:marRight w:val="0"/>
      <w:marTop w:val="0"/>
      <w:marBottom w:val="0"/>
      <w:divBdr>
        <w:top w:val="none" w:sz="0" w:space="0" w:color="auto"/>
        <w:left w:val="none" w:sz="0" w:space="0" w:color="auto"/>
        <w:bottom w:val="none" w:sz="0" w:space="0" w:color="auto"/>
        <w:right w:val="none" w:sz="0" w:space="0" w:color="auto"/>
      </w:divBdr>
    </w:div>
    <w:div w:id="224032236">
      <w:bodyDiv w:val="1"/>
      <w:marLeft w:val="0"/>
      <w:marRight w:val="0"/>
      <w:marTop w:val="0"/>
      <w:marBottom w:val="0"/>
      <w:divBdr>
        <w:top w:val="none" w:sz="0" w:space="0" w:color="auto"/>
        <w:left w:val="none" w:sz="0" w:space="0" w:color="auto"/>
        <w:bottom w:val="none" w:sz="0" w:space="0" w:color="auto"/>
        <w:right w:val="none" w:sz="0" w:space="0" w:color="auto"/>
      </w:divBdr>
      <w:divsChild>
        <w:div w:id="1321813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415607">
      <w:bodyDiv w:val="1"/>
      <w:marLeft w:val="0"/>
      <w:marRight w:val="0"/>
      <w:marTop w:val="0"/>
      <w:marBottom w:val="0"/>
      <w:divBdr>
        <w:top w:val="none" w:sz="0" w:space="0" w:color="auto"/>
        <w:left w:val="none" w:sz="0" w:space="0" w:color="auto"/>
        <w:bottom w:val="none" w:sz="0" w:space="0" w:color="auto"/>
        <w:right w:val="none" w:sz="0" w:space="0" w:color="auto"/>
      </w:divBdr>
    </w:div>
    <w:div w:id="363138981">
      <w:bodyDiv w:val="1"/>
      <w:marLeft w:val="0"/>
      <w:marRight w:val="0"/>
      <w:marTop w:val="0"/>
      <w:marBottom w:val="0"/>
      <w:divBdr>
        <w:top w:val="none" w:sz="0" w:space="0" w:color="auto"/>
        <w:left w:val="none" w:sz="0" w:space="0" w:color="auto"/>
        <w:bottom w:val="none" w:sz="0" w:space="0" w:color="auto"/>
        <w:right w:val="none" w:sz="0" w:space="0" w:color="auto"/>
      </w:divBdr>
    </w:div>
    <w:div w:id="385379516">
      <w:bodyDiv w:val="1"/>
      <w:marLeft w:val="0"/>
      <w:marRight w:val="0"/>
      <w:marTop w:val="0"/>
      <w:marBottom w:val="0"/>
      <w:divBdr>
        <w:top w:val="none" w:sz="0" w:space="0" w:color="auto"/>
        <w:left w:val="none" w:sz="0" w:space="0" w:color="auto"/>
        <w:bottom w:val="none" w:sz="0" w:space="0" w:color="auto"/>
        <w:right w:val="none" w:sz="0" w:space="0" w:color="auto"/>
      </w:divBdr>
    </w:div>
    <w:div w:id="467629861">
      <w:bodyDiv w:val="1"/>
      <w:marLeft w:val="0"/>
      <w:marRight w:val="0"/>
      <w:marTop w:val="0"/>
      <w:marBottom w:val="0"/>
      <w:divBdr>
        <w:top w:val="none" w:sz="0" w:space="0" w:color="auto"/>
        <w:left w:val="none" w:sz="0" w:space="0" w:color="auto"/>
        <w:bottom w:val="none" w:sz="0" w:space="0" w:color="auto"/>
        <w:right w:val="none" w:sz="0" w:space="0" w:color="auto"/>
      </w:divBdr>
    </w:div>
    <w:div w:id="561798391">
      <w:bodyDiv w:val="1"/>
      <w:marLeft w:val="0"/>
      <w:marRight w:val="0"/>
      <w:marTop w:val="0"/>
      <w:marBottom w:val="0"/>
      <w:divBdr>
        <w:top w:val="none" w:sz="0" w:space="0" w:color="auto"/>
        <w:left w:val="none" w:sz="0" w:space="0" w:color="auto"/>
        <w:bottom w:val="none" w:sz="0" w:space="0" w:color="auto"/>
        <w:right w:val="none" w:sz="0" w:space="0" w:color="auto"/>
      </w:divBdr>
    </w:div>
    <w:div w:id="611741332">
      <w:bodyDiv w:val="1"/>
      <w:marLeft w:val="0"/>
      <w:marRight w:val="0"/>
      <w:marTop w:val="0"/>
      <w:marBottom w:val="0"/>
      <w:divBdr>
        <w:top w:val="none" w:sz="0" w:space="0" w:color="auto"/>
        <w:left w:val="none" w:sz="0" w:space="0" w:color="auto"/>
        <w:bottom w:val="none" w:sz="0" w:space="0" w:color="auto"/>
        <w:right w:val="none" w:sz="0" w:space="0" w:color="auto"/>
      </w:divBdr>
    </w:div>
    <w:div w:id="620695645">
      <w:bodyDiv w:val="1"/>
      <w:marLeft w:val="0"/>
      <w:marRight w:val="0"/>
      <w:marTop w:val="0"/>
      <w:marBottom w:val="0"/>
      <w:divBdr>
        <w:top w:val="none" w:sz="0" w:space="0" w:color="auto"/>
        <w:left w:val="none" w:sz="0" w:space="0" w:color="auto"/>
        <w:bottom w:val="none" w:sz="0" w:space="0" w:color="auto"/>
        <w:right w:val="none" w:sz="0" w:space="0" w:color="auto"/>
      </w:divBdr>
    </w:div>
    <w:div w:id="648748638">
      <w:bodyDiv w:val="1"/>
      <w:marLeft w:val="0"/>
      <w:marRight w:val="0"/>
      <w:marTop w:val="0"/>
      <w:marBottom w:val="0"/>
      <w:divBdr>
        <w:top w:val="none" w:sz="0" w:space="0" w:color="auto"/>
        <w:left w:val="none" w:sz="0" w:space="0" w:color="auto"/>
        <w:bottom w:val="none" w:sz="0" w:space="0" w:color="auto"/>
        <w:right w:val="none" w:sz="0" w:space="0" w:color="auto"/>
      </w:divBdr>
    </w:div>
    <w:div w:id="685249654">
      <w:bodyDiv w:val="1"/>
      <w:marLeft w:val="0"/>
      <w:marRight w:val="0"/>
      <w:marTop w:val="0"/>
      <w:marBottom w:val="0"/>
      <w:divBdr>
        <w:top w:val="none" w:sz="0" w:space="0" w:color="auto"/>
        <w:left w:val="none" w:sz="0" w:space="0" w:color="auto"/>
        <w:bottom w:val="none" w:sz="0" w:space="0" w:color="auto"/>
        <w:right w:val="none" w:sz="0" w:space="0" w:color="auto"/>
      </w:divBdr>
    </w:div>
    <w:div w:id="699860445">
      <w:bodyDiv w:val="1"/>
      <w:marLeft w:val="0"/>
      <w:marRight w:val="0"/>
      <w:marTop w:val="0"/>
      <w:marBottom w:val="0"/>
      <w:divBdr>
        <w:top w:val="none" w:sz="0" w:space="0" w:color="auto"/>
        <w:left w:val="none" w:sz="0" w:space="0" w:color="auto"/>
        <w:bottom w:val="none" w:sz="0" w:space="0" w:color="auto"/>
        <w:right w:val="none" w:sz="0" w:space="0" w:color="auto"/>
      </w:divBdr>
    </w:div>
    <w:div w:id="711424615">
      <w:bodyDiv w:val="1"/>
      <w:marLeft w:val="0"/>
      <w:marRight w:val="0"/>
      <w:marTop w:val="0"/>
      <w:marBottom w:val="0"/>
      <w:divBdr>
        <w:top w:val="none" w:sz="0" w:space="0" w:color="auto"/>
        <w:left w:val="none" w:sz="0" w:space="0" w:color="auto"/>
        <w:bottom w:val="none" w:sz="0" w:space="0" w:color="auto"/>
        <w:right w:val="none" w:sz="0" w:space="0" w:color="auto"/>
      </w:divBdr>
    </w:div>
    <w:div w:id="724984667">
      <w:bodyDiv w:val="1"/>
      <w:marLeft w:val="0"/>
      <w:marRight w:val="0"/>
      <w:marTop w:val="0"/>
      <w:marBottom w:val="0"/>
      <w:divBdr>
        <w:top w:val="none" w:sz="0" w:space="0" w:color="auto"/>
        <w:left w:val="none" w:sz="0" w:space="0" w:color="auto"/>
        <w:bottom w:val="none" w:sz="0" w:space="0" w:color="auto"/>
        <w:right w:val="none" w:sz="0" w:space="0" w:color="auto"/>
      </w:divBdr>
    </w:div>
    <w:div w:id="736127086">
      <w:bodyDiv w:val="1"/>
      <w:marLeft w:val="0"/>
      <w:marRight w:val="0"/>
      <w:marTop w:val="0"/>
      <w:marBottom w:val="0"/>
      <w:divBdr>
        <w:top w:val="none" w:sz="0" w:space="0" w:color="auto"/>
        <w:left w:val="none" w:sz="0" w:space="0" w:color="auto"/>
        <w:bottom w:val="none" w:sz="0" w:space="0" w:color="auto"/>
        <w:right w:val="none" w:sz="0" w:space="0" w:color="auto"/>
      </w:divBdr>
    </w:div>
    <w:div w:id="742873656">
      <w:bodyDiv w:val="1"/>
      <w:marLeft w:val="0"/>
      <w:marRight w:val="0"/>
      <w:marTop w:val="0"/>
      <w:marBottom w:val="0"/>
      <w:divBdr>
        <w:top w:val="none" w:sz="0" w:space="0" w:color="auto"/>
        <w:left w:val="none" w:sz="0" w:space="0" w:color="auto"/>
        <w:bottom w:val="none" w:sz="0" w:space="0" w:color="auto"/>
        <w:right w:val="none" w:sz="0" w:space="0" w:color="auto"/>
      </w:divBdr>
    </w:div>
    <w:div w:id="744643950">
      <w:bodyDiv w:val="1"/>
      <w:marLeft w:val="0"/>
      <w:marRight w:val="0"/>
      <w:marTop w:val="0"/>
      <w:marBottom w:val="0"/>
      <w:divBdr>
        <w:top w:val="none" w:sz="0" w:space="0" w:color="auto"/>
        <w:left w:val="none" w:sz="0" w:space="0" w:color="auto"/>
        <w:bottom w:val="none" w:sz="0" w:space="0" w:color="auto"/>
        <w:right w:val="none" w:sz="0" w:space="0" w:color="auto"/>
      </w:divBdr>
    </w:div>
    <w:div w:id="755051661">
      <w:bodyDiv w:val="1"/>
      <w:marLeft w:val="0"/>
      <w:marRight w:val="0"/>
      <w:marTop w:val="0"/>
      <w:marBottom w:val="0"/>
      <w:divBdr>
        <w:top w:val="none" w:sz="0" w:space="0" w:color="auto"/>
        <w:left w:val="none" w:sz="0" w:space="0" w:color="auto"/>
        <w:bottom w:val="none" w:sz="0" w:space="0" w:color="auto"/>
        <w:right w:val="none" w:sz="0" w:space="0" w:color="auto"/>
      </w:divBdr>
    </w:div>
    <w:div w:id="780759597">
      <w:bodyDiv w:val="1"/>
      <w:marLeft w:val="0"/>
      <w:marRight w:val="0"/>
      <w:marTop w:val="0"/>
      <w:marBottom w:val="0"/>
      <w:divBdr>
        <w:top w:val="none" w:sz="0" w:space="0" w:color="auto"/>
        <w:left w:val="none" w:sz="0" w:space="0" w:color="auto"/>
        <w:bottom w:val="none" w:sz="0" w:space="0" w:color="auto"/>
        <w:right w:val="none" w:sz="0" w:space="0" w:color="auto"/>
      </w:divBdr>
    </w:div>
    <w:div w:id="819462455">
      <w:bodyDiv w:val="1"/>
      <w:marLeft w:val="0"/>
      <w:marRight w:val="0"/>
      <w:marTop w:val="0"/>
      <w:marBottom w:val="0"/>
      <w:divBdr>
        <w:top w:val="none" w:sz="0" w:space="0" w:color="auto"/>
        <w:left w:val="none" w:sz="0" w:space="0" w:color="auto"/>
        <w:bottom w:val="none" w:sz="0" w:space="0" w:color="auto"/>
        <w:right w:val="none" w:sz="0" w:space="0" w:color="auto"/>
      </w:divBdr>
    </w:div>
    <w:div w:id="826896296">
      <w:bodyDiv w:val="1"/>
      <w:marLeft w:val="0"/>
      <w:marRight w:val="0"/>
      <w:marTop w:val="0"/>
      <w:marBottom w:val="0"/>
      <w:divBdr>
        <w:top w:val="none" w:sz="0" w:space="0" w:color="auto"/>
        <w:left w:val="none" w:sz="0" w:space="0" w:color="auto"/>
        <w:bottom w:val="none" w:sz="0" w:space="0" w:color="auto"/>
        <w:right w:val="none" w:sz="0" w:space="0" w:color="auto"/>
      </w:divBdr>
      <w:divsChild>
        <w:div w:id="754086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503543">
      <w:bodyDiv w:val="1"/>
      <w:marLeft w:val="0"/>
      <w:marRight w:val="0"/>
      <w:marTop w:val="0"/>
      <w:marBottom w:val="0"/>
      <w:divBdr>
        <w:top w:val="none" w:sz="0" w:space="0" w:color="auto"/>
        <w:left w:val="none" w:sz="0" w:space="0" w:color="auto"/>
        <w:bottom w:val="none" w:sz="0" w:space="0" w:color="auto"/>
        <w:right w:val="none" w:sz="0" w:space="0" w:color="auto"/>
      </w:divBdr>
    </w:div>
    <w:div w:id="1025867643">
      <w:bodyDiv w:val="1"/>
      <w:marLeft w:val="0"/>
      <w:marRight w:val="0"/>
      <w:marTop w:val="0"/>
      <w:marBottom w:val="0"/>
      <w:divBdr>
        <w:top w:val="none" w:sz="0" w:space="0" w:color="auto"/>
        <w:left w:val="none" w:sz="0" w:space="0" w:color="auto"/>
        <w:bottom w:val="none" w:sz="0" w:space="0" w:color="auto"/>
        <w:right w:val="none" w:sz="0" w:space="0" w:color="auto"/>
      </w:divBdr>
    </w:div>
    <w:div w:id="1138844785">
      <w:bodyDiv w:val="1"/>
      <w:marLeft w:val="0"/>
      <w:marRight w:val="0"/>
      <w:marTop w:val="0"/>
      <w:marBottom w:val="0"/>
      <w:divBdr>
        <w:top w:val="none" w:sz="0" w:space="0" w:color="auto"/>
        <w:left w:val="none" w:sz="0" w:space="0" w:color="auto"/>
        <w:bottom w:val="none" w:sz="0" w:space="0" w:color="auto"/>
        <w:right w:val="none" w:sz="0" w:space="0" w:color="auto"/>
      </w:divBdr>
    </w:div>
    <w:div w:id="1185480820">
      <w:bodyDiv w:val="1"/>
      <w:marLeft w:val="0"/>
      <w:marRight w:val="0"/>
      <w:marTop w:val="0"/>
      <w:marBottom w:val="0"/>
      <w:divBdr>
        <w:top w:val="none" w:sz="0" w:space="0" w:color="auto"/>
        <w:left w:val="none" w:sz="0" w:space="0" w:color="auto"/>
        <w:bottom w:val="none" w:sz="0" w:space="0" w:color="auto"/>
        <w:right w:val="none" w:sz="0" w:space="0" w:color="auto"/>
      </w:divBdr>
    </w:div>
    <w:div w:id="1206024107">
      <w:bodyDiv w:val="1"/>
      <w:marLeft w:val="0"/>
      <w:marRight w:val="0"/>
      <w:marTop w:val="0"/>
      <w:marBottom w:val="0"/>
      <w:divBdr>
        <w:top w:val="none" w:sz="0" w:space="0" w:color="auto"/>
        <w:left w:val="none" w:sz="0" w:space="0" w:color="auto"/>
        <w:bottom w:val="none" w:sz="0" w:space="0" w:color="auto"/>
        <w:right w:val="none" w:sz="0" w:space="0" w:color="auto"/>
      </w:divBdr>
    </w:div>
    <w:div w:id="1231231710">
      <w:bodyDiv w:val="1"/>
      <w:marLeft w:val="0"/>
      <w:marRight w:val="0"/>
      <w:marTop w:val="0"/>
      <w:marBottom w:val="0"/>
      <w:divBdr>
        <w:top w:val="none" w:sz="0" w:space="0" w:color="auto"/>
        <w:left w:val="none" w:sz="0" w:space="0" w:color="auto"/>
        <w:bottom w:val="none" w:sz="0" w:space="0" w:color="auto"/>
        <w:right w:val="none" w:sz="0" w:space="0" w:color="auto"/>
      </w:divBdr>
    </w:div>
    <w:div w:id="1243175529">
      <w:bodyDiv w:val="1"/>
      <w:marLeft w:val="0"/>
      <w:marRight w:val="0"/>
      <w:marTop w:val="0"/>
      <w:marBottom w:val="0"/>
      <w:divBdr>
        <w:top w:val="none" w:sz="0" w:space="0" w:color="auto"/>
        <w:left w:val="none" w:sz="0" w:space="0" w:color="auto"/>
        <w:bottom w:val="none" w:sz="0" w:space="0" w:color="auto"/>
        <w:right w:val="none" w:sz="0" w:space="0" w:color="auto"/>
      </w:divBdr>
    </w:div>
    <w:div w:id="1372025800">
      <w:bodyDiv w:val="1"/>
      <w:marLeft w:val="0"/>
      <w:marRight w:val="0"/>
      <w:marTop w:val="0"/>
      <w:marBottom w:val="0"/>
      <w:divBdr>
        <w:top w:val="none" w:sz="0" w:space="0" w:color="auto"/>
        <w:left w:val="none" w:sz="0" w:space="0" w:color="auto"/>
        <w:bottom w:val="none" w:sz="0" w:space="0" w:color="auto"/>
        <w:right w:val="none" w:sz="0" w:space="0" w:color="auto"/>
      </w:divBdr>
    </w:div>
    <w:div w:id="1376270841">
      <w:bodyDiv w:val="1"/>
      <w:marLeft w:val="0"/>
      <w:marRight w:val="0"/>
      <w:marTop w:val="0"/>
      <w:marBottom w:val="0"/>
      <w:divBdr>
        <w:top w:val="none" w:sz="0" w:space="0" w:color="auto"/>
        <w:left w:val="none" w:sz="0" w:space="0" w:color="auto"/>
        <w:bottom w:val="none" w:sz="0" w:space="0" w:color="auto"/>
        <w:right w:val="none" w:sz="0" w:space="0" w:color="auto"/>
      </w:divBdr>
    </w:div>
    <w:div w:id="1431658730">
      <w:bodyDiv w:val="1"/>
      <w:marLeft w:val="0"/>
      <w:marRight w:val="0"/>
      <w:marTop w:val="0"/>
      <w:marBottom w:val="0"/>
      <w:divBdr>
        <w:top w:val="none" w:sz="0" w:space="0" w:color="auto"/>
        <w:left w:val="none" w:sz="0" w:space="0" w:color="auto"/>
        <w:bottom w:val="none" w:sz="0" w:space="0" w:color="auto"/>
        <w:right w:val="none" w:sz="0" w:space="0" w:color="auto"/>
      </w:divBdr>
    </w:div>
    <w:div w:id="1444576371">
      <w:bodyDiv w:val="1"/>
      <w:marLeft w:val="0"/>
      <w:marRight w:val="0"/>
      <w:marTop w:val="0"/>
      <w:marBottom w:val="0"/>
      <w:divBdr>
        <w:top w:val="none" w:sz="0" w:space="0" w:color="auto"/>
        <w:left w:val="none" w:sz="0" w:space="0" w:color="auto"/>
        <w:bottom w:val="none" w:sz="0" w:space="0" w:color="auto"/>
        <w:right w:val="none" w:sz="0" w:space="0" w:color="auto"/>
      </w:divBdr>
    </w:div>
    <w:div w:id="1466779334">
      <w:bodyDiv w:val="1"/>
      <w:marLeft w:val="0"/>
      <w:marRight w:val="0"/>
      <w:marTop w:val="0"/>
      <w:marBottom w:val="0"/>
      <w:divBdr>
        <w:top w:val="none" w:sz="0" w:space="0" w:color="auto"/>
        <w:left w:val="none" w:sz="0" w:space="0" w:color="auto"/>
        <w:bottom w:val="none" w:sz="0" w:space="0" w:color="auto"/>
        <w:right w:val="none" w:sz="0" w:space="0" w:color="auto"/>
      </w:divBdr>
    </w:div>
    <w:div w:id="1479414514">
      <w:bodyDiv w:val="1"/>
      <w:marLeft w:val="0"/>
      <w:marRight w:val="0"/>
      <w:marTop w:val="0"/>
      <w:marBottom w:val="0"/>
      <w:divBdr>
        <w:top w:val="none" w:sz="0" w:space="0" w:color="auto"/>
        <w:left w:val="none" w:sz="0" w:space="0" w:color="auto"/>
        <w:bottom w:val="none" w:sz="0" w:space="0" w:color="auto"/>
        <w:right w:val="none" w:sz="0" w:space="0" w:color="auto"/>
      </w:divBdr>
    </w:div>
    <w:div w:id="1498762900">
      <w:bodyDiv w:val="1"/>
      <w:marLeft w:val="0"/>
      <w:marRight w:val="0"/>
      <w:marTop w:val="0"/>
      <w:marBottom w:val="0"/>
      <w:divBdr>
        <w:top w:val="none" w:sz="0" w:space="0" w:color="auto"/>
        <w:left w:val="none" w:sz="0" w:space="0" w:color="auto"/>
        <w:bottom w:val="none" w:sz="0" w:space="0" w:color="auto"/>
        <w:right w:val="none" w:sz="0" w:space="0" w:color="auto"/>
      </w:divBdr>
    </w:div>
    <w:div w:id="1537278045">
      <w:bodyDiv w:val="1"/>
      <w:marLeft w:val="0"/>
      <w:marRight w:val="0"/>
      <w:marTop w:val="0"/>
      <w:marBottom w:val="0"/>
      <w:divBdr>
        <w:top w:val="none" w:sz="0" w:space="0" w:color="auto"/>
        <w:left w:val="none" w:sz="0" w:space="0" w:color="auto"/>
        <w:bottom w:val="none" w:sz="0" w:space="0" w:color="auto"/>
        <w:right w:val="none" w:sz="0" w:space="0" w:color="auto"/>
      </w:divBdr>
    </w:div>
    <w:div w:id="1587105188">
      <w:bodyDiv w:val="1"/>
      <w:marLeft w:val="0"/>
      <w:marRight w:val="0"/>
      <w:marTop w:val="0"/>
      <w:marBottom w:val="0"/>
      <w:divBdr>
        <w:top w:val="none" w:sz="0" w:space="0" w:color="auto"/>
        <w:left w:val="none" w:sz="0" w:space="0" w:color="auto"/>
        <w:bottom w:val="none" w:sz="0" w:space="0" w:color="auto"/>
        <w:right w:val="none" w:sz="0" w:space="0" w:color="auto"/>
      </w:divBdr>
    </w:div>
    <w:div w:id="1638216901">
      <w:bodyDiv w:val="1"/>
      <w:marLeft w:val="0"/>
      <w:marRight w:val="0"/>
      <w:marTop w:val="0"/>
      <w:marBottom w:val="0"/>
      <w:divBdr>
        <w:top w:val="none" w:sz="0" w:space="0" w:color="auto"/>
        <w:left w:val="none" w:sz="0" w:space="0" w:color="auto"/>
        <w:bottom w:val="none" w:sz="0" w:space="0" w:color="auto"/>
        <w:right w:val="none" w:sz="0" w:space="0" w:color="auto"/>
      </w:divBdr>
    </w:div>
    <w:div w:id="1705522064">
      <w:bodyDiv w:val="1"/>
      <w:marLeft w:val="0"/>
      <w:marRight w:val="0"/>
      <w:marTop w:val="0"/>
      <w:marBottom w:val="0"/>
      <w:divBdr>
        <w:top w:val="none" w:sz="0" w:space="0" w:color="auto"/>
        <w:left w:val="none" w:sz="0" w:space="0" w:color="auto"/>
        <w:bottom w:val="none" w:sz="0" w:space="0" w:color="auto"/>
        <w:right w:val="none" w:sz="0" w:space="0" w:color="auto"/>
      </w:divBdr>
    </w:div>
    <w:div w:id="1740249940">
      <w:bodyDiv w:val="1"/>
      <w:marLeft w:val="0"/>
      <w:marRight w:val="0"/>
      <w:marTop w:val="0"/>
      <w:marBottom w:val="0"/>
      <w:divBdr>
        <w:top w:val="none" w:sz="0" w:space="0" w:color="auto"/>
        <w:left w:val="none" w:sz="0" w:space="0" w:color="auto"/>
        <w:bottom w:val="none" w:sz="0" w:space="0" w:color="auto"/>
        <w:right w:val="none" w:sz="0" w:space="0" w:color="auto"/>
      </w:divBdr>
    </w:div>
    <w:div w:id="1780298985">
      <w:bodyDiv w:val="1"/>
      <w:marLeft w:val="0"/>
      <w:marRight w:val="0"/>
      <w:marTop w:val="0"/>
      <w:marBottom w:val="0"/>
      <w:divBdr>
        <w:top w:val="none" w:sz="0" w:space="0" w:color="auto"/>
        <w:left w:val="none" w:sz="0" w:space="0" w:color="auto"/>
        <w:bottom w:val="none" w:sz="0" w:space="0" w:color="auto"/>
        <w:right w:val="none" w:sz="0" w:space="0" w:color="auto"/>
      </w:divBdr>
    </w:div>
    <w:div w:id="1791777715">
      <w:bodyDiv w:val="1"/>
      <w:marLeft w:val="0"/>
      <w:marRight w:val="0"/>
      <w:marTop w:val="0"/>
      <w:marBottom w:val="0"/>
      <w:divBdr>
        <w:top w:val="none" w:sz="0" w:space="0" w:color="auto"/>
        <w:left w:val="none" w:sz="0" w:space="0" w:color="auto"/>
        <w:bottom w:val="none" w:sz="0" w:space="0" w:color="auto"/>
        <w:right w:val="none" w:sz="0" w:space="0" w:color="auto"/>
      </w:divBdr>
    </w:div>
    <w:div w:id="1807818175">
      <w:bodyDiv w:val="1"/>
      <w:marLeft w:val="0"/>
      <w:marRight w:val="0"/>
      <w:marTop w:val="0"/>
      <w:marBottom w:val="0"/>
      <w:divBdr>
        <w:top w:val="none" w:sz="0" w:space="0" w:color="auto"/>
        <w:left w:val="none" w:sz="0" w:space="0" w:color="auto"/>
        <w:bottom w:val="none" w:sz="0" w:space="0" w:color="auto"/>
        <w:right w:val="none" w:sz="0" w:space="0" w:color="auto"/>
      </w:divBdr>
    </w:div>
    <w:div w:id="1928270035">
      <w:bodyDiv w:val="1"/>
      <w:marLeft w:val="0"/>
      <w:marRight w:val="0"/>
      <w:marTop w:val="0"/>
      <w:marBottom w:val="0"/>
      <w:divBdr>
        <w:top w:val="none" w:sz="0" w:space="0" w:color="auto"/>
        <w:left w:val="none" w:sz="0" w:space="0" w:color="auto"/>
        <w:bottom w:val="none" w:sz="0" w:space="0" w:color="auto"/>
        <w:right w:val="none" w:sz="0" w:space="0" w:color="auto"/>
      </w:divBdr>
    </w:div>
    <w:div w:id="2001808644">
      <w:bodyDiv w:val="1"/>
      <w:marLeft w:val="0"/>
      <w:marRight w:val="0"/>
      <w:marTop w:val="0"/>
      <w:marBottom w:val="0"/>
      <w:divBdr>
        <w:top w:val="none" w:sz="0" w:space="0" w:color="auto"/>
        <w:left w:val="none" w:sz="0" w:space="0" w:color="auto"/>
        <w:bottom w:val="none" w:sz="0" w:space="0" w:color="auto"/>
        <w:right w:val="none" w:sz="0" w:space="0" w:color="auto"/>
      </w:divBdr>
    </w:div>
    <w:div w:id="2004698645">
      <w:bodyDiv w:val="1"/>
      <w:marLeft w:val="0"/>
      <w:marRight w:val="0"/>
      <w:marTop w:val="0"/>
      <w:marBottom w:val="0"/>
      <w:divBdr>
        <w:top w:val="none" w:sz="0" w:space="0" w:color="auto"/>
        <w:left w:val="none" w:sz="0" w:space="0" w:color="auto"/>
        <w:bottom w:val="none" w:sz="0" w:space="0" w:color="auto"/>
        <w:right w:val="none" w:sz="0" w:space="0" w:color="auto"/>
      </w:divBdr>
    </w:div>
    <w:div w:id="2052413739">
      <w:bodyDiv w:val="1"/>
      <w:marLeft w:val="0"/>
      <w:marRight w:val="0"/>
      <w:marTop w:val="0"/>
      <w:marBottom w:val="0"/>
      <w:divBdr>
        <w:top w:val="none" w:sz="0" w:space="0" w:color="auto"/>
        <w:left w:val="none" w:sz="0" w:space="0" w:color="auto"/>
        <w:bottom w:val="none" w:sz="0" w:space="0" w:color="auto"/>
        <w:right w:val="none" w:sz="0" w:space="0" w:color="auto"/>
      </w:divBdr>
    </w:div>
    <w:div w:id="205974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search.coe.int/c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0E61352F2D740A023EB807E79BD8E" ma:contentTypeVersion="14" ma:contentTypeDescription="Create a new document." ma:contentTypeScope="" ma:versionID="b996e0804a88b7514a7ab6cde99a79f2">
  <xsd:schema xmlns:xsd="http://www.w3.org/2001/XMLSchema" xmlns:xs="http://www.w3.org/2001/XMLSchema" xmlns:p="http://schemas.microsoft.com/office/2006/metadata/properties" xmlns:ns1="http://schemas.microsoft.com/sharepoint/v3" xmlns:ns2="ab108156-68d2-4c3c-ba64-c0bf96163667" xmlns:ns3="e1b8e98d-2274-4a9c-a8af-402331d7adc0" xmlns:ns4="http://schemas.microsoft.com/sharepoint/v4" targetNamespace="http://schemas.microsoft.com/office/2006/metadata/properties" ma:root="true" ma:fieldsID="7369c6723f88b0688e75d02e212a26e2" ns1:_="" ns2:_="" ns3:_="" ns4:_="">
    <xsd:import namespace="http://schemas.microsoft.com/sharepoint/v3"/>
    <xsd:import namespace="ab108156-68d2-4c3c-ba64-c0bf96163667"/>
    <xsd:import namespace="e1b8e98d-2274-4a9c-a8af-402331d7adc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6" nillable="true" ma:displayName="Declared Record" ma:hidden="true" ma:internalName="_vti_ItemDeclaredRecord" ma:readOnly="true">
      <xsd:simpleType>
        <xsd:restriction base="dms:DateTime"/>
      </xsd:simpleType>
    </xsd:element>
    <xsd:element name="_vti_ItemHoldRecordStatus" ma:index="1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108156-68d2-4c3c-ba64-c0bf96163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b8e98d-2274-4a9c-a8af-402331d7adc0" elementFormDefault="qualified">
    <xsd:import namespace="http://schemas.microsoft.com/office/2006/documentManagement/types"/>
    <xsd:import namespace="http://schemas.microsoft.com/office/infopath/2007/PartnerControls"/>
    <xsd:element name="EC_ARES_NUMBER" ma:index="1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3" nillable="true" ma:displayName="Transferred to Ares" ma:format="DateTime" ma:hidden="true" ma:internalName="EC_ARES_DATE_TRANSFERRED">
      <xsd:simpleType>
        <xsd:restriction base="dms:DateTime"/>
      </xsd:simpleType>
    </xsd:element>
    <xsd:element name="EC_ARES_TRANSFERRED_BY" ma:index="14"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DATE_TRANSFERRED xmlns="e1b8e98d-2274-4a9c-a8af-402331d7adc0" xsi:nil="true"/>
    <EC_ARES_TRANSFERRED_BY xmlns="e1b8e98d-2274-4a9c-a8af-402331d7adc0" xsi:nil="true"/>
    <IconOverlay xmlns="http://schemas.microsoft.com/sharepoint/v4" xsi:nil="true"/>
    <EC_ARES_NUMBER xmlns="e1b8e98d-2274-4a9c-a8af-402331d7adc0">
      <Url xsi:nil="true"/>
      <Description xsi:nil="true"/>
    </EC_ARES_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B3A63-5DE8-45CB-936D-D13CCBC4A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108156-68d2-4c3c-ba64-c0bf96163667"/>
    <ds:schemaRef ds:uri="e1b8e98d-2274-4a9c-a8af-402331d7adc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75821A-9592-4667-B071-105608EFBAC3}">
  <ds:schemaRefs>
    <ds:schemaRef ds:uri="http://schemas.microsoft.com/sharepoint/v3/contenttype/forms"/>
  </ds:schemaRefs>
</ds:datastoreItem>
</file>

<file path=customXml/itemProps3.xml><?xml version="1.0" encoding="utf-8"?>
<ds:datastoreItem xmlns:ds="http://schemas.openxmlformats.org/officeDocument/2006/customXml" ds:itemID="{67B90ADE-C1A0-4DF6-AFB7-C2AAF7952E62}">
  <ds:schemaRefs>
    <ds:schemaRef ds:uri="http://schemas.microsoft.com/office/2006/metadata/properties"/>
    <ds:schemaRef ds:uri="http://schemas.microsoft.com/office/infopath/2007/PartnerControls"/>
    <ds:schemaRef ds:uri="e1b8e98d-2274-4a9c-a8af-402331d7adc0"/>
    <ds:schemaRef ds:uri="http://schemas.microsoft.com/sharepoint/v4"/>
  </ds:schemaRefs>
</ds:datastoreItem>
</file>

<file path=customXml/itemProps4.xml><?xml version="1.0" encoding="utf-8"?>
<ds:datastoreItem xmlns:ds="http://schemas.openxmlformats.org/officeDocument/2006/customXml" ds:itemID="{1611CBC7-5409-4FC6-8215-56050F58B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26</Pages>
  <Words>11339</Words>
  <Characters>64636</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2025-09-15T08:36:00Z</cp:lastPrinted>
  <dcterms:created xsi:type="dcterms:W3CDTF">2026-03-20T12:45:00Z</dcterms:created>
  <dcterms:modified xsi:type="dcterms:W3CDTF">2026-03-23T15:22:00Z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2025-07-11T16:50:27Z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6818ee7e-cc2f-4f57-9ed2-6c11103c0529</vt:lpwstr>
  </property>
  <property fmtid="{D5CDD505-2E9C-101B-9397-08002B2CF9AE}" pid="16" name="MSIP_Label_6bd9ddd1-4d20-43f6-abfa-fc3c07406f94_ContentBits">
    <vt:lpwstr>0</vt:lpwstr>
  </property>
  <property fmtid="{D5CDD505-2E9C-101B-9397-08002B2CF9AE}" pid="17" name="ContentTypeId">
    <vt:lpwstr>0x0101008820E61352F2D740A023EB807E79BD8E</vt:lpwstr>
  </property>
  <property fmtid="{D5CDD505-2E9C-101B-9397-08002B2CF9AE}" pid="18" name="DQCStatus">
    <vt:lpwstr>Green (DQC version 03)</vt:lpwstr>
  </property>
</Properties>
</file>