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14D" w:rsidRPr="009E7D16" w:rsidRDefault="008155FA" w:rsidP="008155F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75E671A-5874-465B-BB02-32CE6000DD65" style="width:455.25pt;height:342.75pt">
            <v:imagedata r:id="rId11" o:title=""/>
          </v:shape>
        </w:pict>
      </w:r>
    </w:p>
    <w:p w:rsidR="007C059A" w:rsidRPr="009E7D16" w:rsidRDefault="007C059A" w:rsidP="007C059A">
      <w:pPr>
        <w:rPr>
          <w:noProof/>
        </w:rPr>
        <w:sectPr w:rsidR="007C059A" w:rsidRPr="009E7D16" w:rsidSect="008155FA">
          <w:footerReference w:type="even" r:id="rId12"/>
          <w:footerReference w:type="default" r:id="rId13"/>
          <w:pgSz w:w="11907" w:h="16839"/>
          <w:pgMar w:top="1134" w:right="1417" w:bottom="1134" w:left="1417" w:header="709" w:footer="709" w:gutter="0"/>
          <w:pgNumType w:start="0"/>
          <w:cols w:space="720"/>
          <w:docGrid w:linePitch="360"/>
        </w:sectPr>
      </w:pPr>
    </w:p>
    <w:p w:rsidR="00DE314D" w:rsidRPr="009E7D16" w:rsidRDefault="00DE314D">
      <w:pPr>
        <w:pStyle w:val="Exposdesmotifstitre"/>
        <w:rPr>
          <w:noProof/>
        </w:rPr>
      </w:pPr>
      <w:bookmarkStart w:id="0" w:name="_GoBack"/>
      <w:bookmarkEnd w:id="0"/>
      <w:r w:rsidRPr="009E7D16">
        <w:rPr>
          <w:noProof/>
        </w:rPr>
        <w:lastRenderedPageBreak/>
        <w:t>EXPOSÉ DES MOTIFS</w:t>
      </w:r>
    </w:p>
    <w:p w:rsidR="007E4877" w:rsidRPr="009E7D16" w:rsidRDefault="007E4877" w:rsidP="007E4877">
      <w:pPr>
        <w:widowControl w:val="0"/>
        <w:shd w:val="clear" w:color="auto" w:fill="FFFFFF" w:themeFill="background1"/>
        <w:spacing w:before="230" w:after="0" w:line="269" w:lineRule="exact"/>
        <w:rPr>
          <w:rFonts w:eastAsia="Arial Unicode MS"/>
          <w:noProof/>
        </w:rPr>
      </w:pPr>
      <w:r w:rsidRPr="009E7D16">
        <w:rPr>
          <w:noProof/>
        </w:rPr>
        <w:t>La présente proposition concerne la signature, au nom de l’Union, de l’</w:t>
      </w:r>
      <w:bookmarkStart w:id="1" w:name="_Hlk207988583"/>
      <w:r w:rsidRPr="009E7D16">
        <w:rPr>
          <w:noProof/>
        </w:rPr>
        <w:t>accord partiel élargi (APE) sur le comité de direction du Tribunal spécial pour le crime d’agression contre l’Ukraine</w:t>
      </w:r>
      <w:bookmarkEnd w:id="1"/>
      <w:r w:rsidRPr="009E7D16">
        <w:rPr>
          <w:noProof/>
        </w:rPr>
        <w:t xml:space="preserve"> (ci-après le «Tribunal spécial»), en tant que membre fondateur.</w:t>
      </w:r>
    </w:p>
    <w:p w:rsidR="00DE314D" w:rsidRPr="009E7D16" w:rsidRDefault="00C64AE8" w:rsidP="00C64AE8">
      <w:pPr>
        <w:widowControl w:val="0"/>
        <w:shd w:val="clear" w:color="auto" w:fill="FFFFFF" w:themeFill="background1"/>
        <w:spacing w:before="230" w:after="0" w:line="269" w:lineRule="exact"/>
        <w:rPr>
          <w:b/>
          <w:bCs/>
          <w:noProof/>
        </w:rPr>
      </w:pPr>
      <w:r w:rsidRPr="009E7D16">
        <w:rPr>
          <w:b/>
          <w:noProof/>
        </w:rPr>
        <w:t xml:space="preserve">1. </w:t>
      </w:r>
      <w:r w:rsidRPr="009E7D16">
        <w:rPr>
          <w:noProof/>
        </w:rPr>
        <w:tab/>
      </w:r>
      <w:r w:rsidRPr="009E7D16">
        <w:rPr>
          <w:b/>
          <w:noProof/>
        </w:rPr>
        <w:t>CONTEXTE DE LA PROPOSITION</w:t>
      </w:r>
    </w:p>
    <w:p w:rsidR="00DE314D" w:rsidRPr="009E7D16" w:rsidRDefault="00DE314D" w:rsidP="00585C83">
      <w:pPr>
        <w:pStyle w:val="ListBullet"/>
        <w:rPr>
          <w:rFonts w:eastAsia="Arial Unicode MS"/>
          <w:b/>
          <w:bCs/>
          <w:noProof/>
        </w:rPr>
      </w:pPr>
      <w:r w:rsidRPr="009E7D16">
        <w:rPr>
          <w:b/>
          <w:noProof/>
        </w:rPr>
        <w:t>Justification et objectifs de la proposition</w:t>
      </w:r>
    </w:p>
    <w:p w:rsidR="00F338E0" w:rsidRPr="009E7D16" w:rsidRDefault="00C93DFB" w:rsidP="00853C97">
      <w:pPr>
        <w:rPr>
          <w:noProof/>
        </w:rPr>
      </w:pPr>
      <w:r w:rsidRPr="009E7D16">
        <w:rPr>
          <w:noProof/>
        </w:rPr>
        <w:t xml:space="preserve">Depuis le début de l’agression militaire de la Fédération de Russie contre l’Ukraine en février 2022, l’Union n’a cessé de soutenir les efforts internationaux et nationaux visant à faire en sorte que les auteurs des crimes les plus graves au regard du droit international commis dans le cadre de la guerre d’agression menée par la Russie contre l’Ukraine répondent pleinement de leurs actes. </w:t>
      </w:r>
    </w:p>
    <w:p w:rsidR="00F9779F" w:rsidRPr="009E7D16" w:rsidRDefault="00834FE1" w:rsidP="00853C97">
      <w:pPr>
        <w:rPr>
          <w:noProof/>
        </w:rPr>
      </w:pPr>
      <w:r w:rsidRPr="009E7D16">
        <w:rPr>
          <w:noProof/>
        </w:rPr>
        <w:t>Dans ses conclusions du 24 février 2022, le Conseil européen a condamné avec la plus grande fermeté l’agression militaire non provoquée et injustifiée de la Fédération de Russie contre l’Ukraine. Elle a en outre affirmé que la Russie portait l’entière responsabilité de cet acte d’agression et qu’elle devra répondre de ses actions</w:t>
      </w:r>
      <w:r w:rsidRPr="009E7D16">
        <w:rPr>
          <w:rStyle w:val="FootnoteReference"/>
          <w:rFonts w:eastAsia="Times New Roman"/>
          <w:noProof/>
        </w:rPr>
        <w:footnoteReference w:id="2"/>
      </w:r>
      <w:r w:rsidRPr="009E7D16">
        <w:rPr>
          <w:noProof/>
        </w:rPr>
        <w:t>.</w:t>
      </w:r>
    </w:p>
    <w:p w:rsidR="00F75A49" w:rsidRPr="009E7D16" w:rsidRDefault="00EC272D" w:rsidP="000726D1">
      <w:pPr>
        <w:rPr>
          <w:noProof/>
        </w:rPr>
      </w:pPr>
      <w:r w:rsidRPr="009E7D16">
        <w:rPr>
          <w:noProof/>
        </w:rPr>
        <w:t>Dans sa résolution A/RES/ES-11/1 du 2 mars 2022, l’Assemblée générale des Nations unies a constaté que les opérations militaires menées par la Fédération de Russie à l’intérieur du territoire souverain de l’Ukraine auxquelles la communauté internationale assiste sont d’une ampleur jamais vue en Europe depuis des décennies, a déploré dans les termes les plus vifs l’agression commise par la Fédération de Russie contre l’Ukraine en violation de l’article 2, paragraphe 4, de la charte des Nations Unies sur l’interdiction du recours à la force, et a exigé que la Fédération de Russie cesse immédiatement d’employer la force contre l’Ukraine et retire immédiatement, complètement et sans condition toutes ses forces militaires du territoire ukrainien à l’intérieur des frontières internationalement reconnues du pays</w:t>
      </w:r>
      <w:r w:rsidRPr="009E7D16">
        <w:rPr>
          <w:rStyle w:val="FootnoteReference"/>
          <w:rFonts w:eastAsia="Times New Roman"/>
          <w:noProof/>
        </w:rPr>
        <w:footnoteReference w:id="3"/>
      </w:r>
      <w:r w:rsidRPr="009E7D16">
        <w:rPr>
          <w:noProof/>
        </w:rPr>
        <w:t>.</w:t>
      </w:r>
    </w:p>
    <w:p w:rsidR="00BD6E20" w:rsidRPr="009E7D16" w:rsidRDefault="00BD6E20" w:rsidP="00BD6E20">
      <w:pPr>
        <w:spacing w:before="240" w:after="240"/>
        <w:rPr>
          <w:rFonts w:eastAsia="Times New Roman"/>
          <w:noProof/>
          <w:szCs w:val="24"/>
        </w:rPr>
      </w:pPr>
      <w:r w:rsidRPr="009E7D16">
        <w:rPr>
          <w:noProof/>
        </w:rPr>
        <w:t>Les 1</w:t>
      </w:r>
      <w:r w:rsidRPr="009E7D16">
        <w:rPr>
          <w:noProof/>
          <w:vertAlign w:val="superscript"/>
        </w:rPr>
        <w:t>er</w:t>
      </w:r>
      <w:r w:rsidRPr="009E7D16">
        <w:rPr>
          <w:noProof/>
        </w:rPr>
        <w:t xml:space="preserve"> et 2 mars 2022, 39 États parties au statut de Rome de la Cour pénale internationale (CPI), parmi lesquels figurent l’ensemble des États membres de l’Union européenne, ont saisi la CPI, demandant au bureau du procureur d’enquêter sur la situation en Ukraine. Le 2 mars 2022, le bureau du procureur a annoncé qu’il avait ouvert une enquête sur la situation en Ukraine sur la base des saisines reçues et après avoir conclu qu’il y avait raisonnablement lieu de penser que des crimes relevant de la compétence de la Cour avaient été commis</w:t>
      </w:r>
      <w:r w:rsidRPr="009E7D16">
        <w:rPr>
          <w:rStyle w:val="FootnoteReference"/>
          <w:rFonts w:eastAsia="Times New Roman"/>
          <w:noProof/>
          <w:szCs w:val="24"/>
        </w:rPr>
        <w:footnoteReference w:id="4"/>
      </w:r>
      <w:r w:rsidRPr="009E7D16">
        <w:rPr>
          <w:noProof/>
        </w:rPr>
        <w:t>. Pourtant, le régime juridictionnel prévu par le statut de Rome en matière de crime d’agression empêche actuellement la CPI d’exercer sa compétence à l’égard du crime d’agression dans le contexte de l’Ukraine.</w:t>
      </w:r>
    </w:p>
    <w:p w:rsidR="00A2027F" w:rsidRPr="009E7D16" w:rsidRDefault="00EC272D" w:rsidP="00F8625D">
      <w:pPr>
        <w:rPr>
          <w:noProof/>
        </w:rPr>
      </w:pPr>
      <w:r w:rsidRPr="009E7D16">
        <w:rPr>
          <w:noProof/>
        </w:rPr>
        <w:t xml:space="preserve">Dans ses conclusions des 20 et 21 octobre 2022, le Conseil européen a invité le haut représentant de l’Union européenne pour les affaires étrangères et la politique de sécurité (ci-après dénommé le «haut représentant» ou la «haute représentante») et la Commission à étudier les options permettant de faire en sorte que les responsables répondent pleinement de </w:t>
      </w:r>
      <w:r w:rsidRPr="009E7D16">
        <w:rPr>
          <w:noProof/>
        </w:rPr>
        <w:lastRenderedPageBreak/>
        <w:t>leurs actes, y compris en ce qui concerne le crime d’agression perpétré contre l’Ukraine</w:t>
      </w:r>
      <w:r w:rsidRPr="009E7D16">
        <w:rPr>
          <w:rStyle w:val="FootnoteReference"/>
          <w:rFonts w:eastAsia="Times New Roman"/>
          <w:noProof/>
        </w:rPr>
        <w:footnoteReference w:id="5"/>
      </w:r>
      <w:r w:rsidRPr="009E7D16">
        <w:rPr>
          <w:noProof/>
        </w:rPr>
        <w:t>. Par la suite, le 30 novembre 2022, le haut représentant et la Commission ont communiqué aux délégations du groupe «Droit international public» (COJUR) du Conseil un document proposant des options visant à recenser les pistes possibles pour veiller à ce que les personnes, y compris les dirigeants politiques et militaires russes, responsables de crimes internationaux, et notamment du crime d’agression, répondent pleinement de leurs actes</w:t>
      </w:r>
      <w:r w:rsidRPr="009E7D16">
        <w:rPr>
          <w:rStyle w:val="FootnoteReference"/>
          <w:rFonts w:eastAsia="Times New Roman"/>
          <w:noProof/>
        </w:rPr>
        <w:footnoteReference w:id="6"/>
      </w:r>
      <w:r w:rsidRPr="009E7D16">
        <w:rPr>
          <w:noProof/>
        </w:rPr>
        <w:t>.</w:t>
      </w:r>
    </w:p>
    <w:p w:rsidR="00C03AAF" w:rsidRPr="009E7D16" w:rsidRDefault="00EC272D" w:rsidP="00C03AAF">
      <w:pPr>
        <w:rPr>
          <w:noProof/>
        </w:rPr>
      </w:pPr>
      <w:r w:rsidRPr="009E7D16">
        <w:rPr>
          <w:noProof/>
        </w:rPr>
        <w:t>Dans ses conclusions du 15 décembre 2022, le Conseil européen a accueilli avec satisfaction les efforts visant à ce que les responsables de crimes de guerre et des autres crimes les plus graves liés à la guerre d’agression menée par la Russie contre l’Ukraine répondent pleinement de leurs actes, notamment pour ce qui concerne les moyens de faire en sorte que les auteurs du crime d’agression aient à en répondre, et s’est déclaré favorable à la poursuite de ces efforts. Il a invité la Commission, le haut représentant et le Conseil à faire avancer les travaux, conformément au droit de l’Union et au droit international, en soulignant que les poursuites relatives au crime d’agression concernent l’ensemble de la communauté internationale</w:t>
      </w:r>
      <w:r w:rsidRPr="009E7D16">
        <w:rPr>
          <w:rStyle w:val="FootnoteReference"/>
          <w:noProof/>
        </w:rPr>
        <w:footnoteReference w:id="7"/>
      </w:r>
      <w:r w:rsidRPr="009E7D16">
        <w:rPr>
          <w:noProof/>
        </w:rPr>
        <w:t>.</w:t>
      </w:r>
    </w:p>
    <w:p w:rsidR="00650591" w:rsidRPr="009E7D16" w:rsidRDefault="00834FE1" w:rsidP="00C03AAF">
      <w:pPr>
        <w:rPr>
          <w:noProof/>
        </w:rPr>
      </w:pPr>
      <w:r w:rsidRPr="009E7D16">
        <w:rPr>
          <w:noProof/>
        </w:rPr>
        <w:t>Dans sa résolution A/RES/ES-11/6 du 23 février 2023, l’Assemblée générale des Nations Unies a souligné qu’il fallait ouvrir des enquêtes et engager des poursuites appropriées, équitables et indépendantes au niveau national ou international pour que les auteurs des crimes les plus graves au regard du droit international qui auront été commis sur le territoire ukrainien répondent de leurs actes, et pour que justice soit rendue à toutes les victimes et que de futurs crimes soient évités</w:t>
      </w:r>
      <w:r w:rsidRPr="009E7D16">
        <w:rPr>
          <w:rStyle w:val="FootnoteReference"/>
          <w:rFonts w:eastAsia="Times New Roman"/>
          <w:noProof/>
        </w:rPr>
        <w:footnoteReference w:id="8"/>
      </w:r>
      <w:r w:rsidRPr="009E7D16">
        <w:rPr>
          <w:noProof/>
        </w:rPr>
        <w:t xml:space="preserve">. </w:t>
      </w:r>
    </w:p>
    <w:p w:rsidR="00C03AAF" w:rsidRPr="009E7D16" w:rsidRDefault="00F64A36" w:rsidP="00491877">
      <w:pPr>
        <w:rPr>
          <w:noProof/>
        </w:rPr>
      </w:pPr>
      <w:r w:rsidRPr="009E7D16">
        <w:rPr>
          <w:noProof/>
        </w:rPr>
        <w:t xml:space="preserve">Au niveau international, le groupe restreint sur la création du Tribunal spécial pour le crime d’agression contre l’Ukraine (ci-après le «groupe restreint») a constitué l’instance principale pour discuter des modalités de la création d’un tel Tribunal spécial habilité à enquêter sur les personnes qui portent la plus grande part de responsabilité dans le crime d’agression contre l’Ukraine, à les poursuivre et à les juger. Ce groupe restreint s’est réuni à 14 reprises entre janvier 2023 et mars 2025. Il était présidé par l’Ukraine et composé de représentants d’environ 40 États partageant les mêmes valeurs, des services de la Commission européenne et du Service européen pour l’action extérieure (SEAE), ainsi que du secrétariat du Conseil de l’Europe. </w:t>
      </w:r>
    </w:p>
    <w:p w:rsidR="0081158D" w:rsidRPr="009E7D16" w:rsidRDefault="00491877" w:rsidP="00491877">
      <w:pPr>
        <w:rPr>
          <w:noProof/>
        </w:rPr>
      </w:pPr>
      <w:r w:rsidRPr="009E7D16">
        <w:rPr>
          <w:noProof/>
        </w:rPr>
        <w:t>Tout au long du processus, le Conseil européen a réaffirmé à de nombreuses reprises son soutien à la création du Tribunal spécial</w:t>
      </w:r>
      <w:r w:rsidRPr="009E7D16">
        <w:rPr>
          <w:rStyle w:val="FootnoteReference"/>
          <w:noProof/>
        </w:rPr>
        <w:footnoteReference w:id="9"/>
      </w:r>
      <w:r w:rsidRPr="009E7D16">
        <w:rPr>
          <w:noProof/>
        </w:rPr>
        <w:t xml:space="preserve">. Dans ses conclusions des 21 et 22 mars 2024, le Conseil européen a fait la déclaration suivante: «la Russie et ses dirigeants doivent être tenus pleinement responsables de la conduite d’une guerre d’agression contre l’Ukraine et d’autres crimes parmi les plus graves au sens du droit international, ainsi que des dégâts considérables causés par leur guerre. Le Conseil européen soutient les efforts actuellement déployés, y compris au sein de la coalition concernée, en vue de mettre en place un tribunal chargé des </w:t>
      </w:r>
      <w:r w:rsidRPr="009E7D16">
        <w:rPr>
          <w:noProof/>
        </w:rPr>
        <w:lastRenderedPageBreak/>
        <w:t>poursuites pour le crime d’agression contre l’Ukraine, qui jouirait du soutien et de la légitimité les plus larges possible au niveau interrégional</w:t>
      </w:r>
      <w:r w:rsidRPr="009E7D16">
        <w:rPr>
          <w:rStyle w:val="FootnoteReference"/>
          <w:noProof/>
        </w:rPr>
        <w:footnoteReference w:id="10"/>
      </w:r>
      <w:r w:rsidRPr="009E7D16">
        <w:rPr>
          <w:noProof/>
        </w:rPr>
        <w:t>.».</w:t>
      </w:r>
    </w:p>
    <w:p w:rsidR="00475EB1" w:rsidRPr="009E7D16" w:rsidRDefault="007B5954" w:rsidP="693CBF78">
      <w:pPr>
        <w:spacing w:before="0"/>
        <w:rPr>
          <w:noProof/>
        </w:rPr>
      </w:pPr>
      <w:r w:rsidRPr="009E7D16">
        <w:rPr>
          <w:noProof/>
        </w:rPr>
        <w:t xml:space="preserve">Lors de sa réunion finale des 19 et 21 mars 2025, le groupe restreint a achevé ses travaux au niveau technique sur les projets d’instruments juridiques nécessaires à la création du Tribunal spécial, à savoir l’accord bilatéral entre l’Ukraine et le Conseil de l’Europe, le statut annexé à l’accord et la résolution établissant l’APE sur le comité de direction du Tribunal spécial. </w:t>
      </w:r>
    </w:p>
    <w:p w:rsidR="005A591B" w:rsidRPr="009E7D16" w:rsidRDefault="00847985" w:rsidP="00475EB1">
      <w:pPr>
        <w:spacing w:before="0"/>
        <w:rPr>
          <w:noProof/>
        </w:rPr>
      </w:pPr>
      <w:r w:rsidRPr="009E7D16">
        <w:rPr>
          <w:noProof/>
        </w:rPr>
        <w:t>Le 9 mai 2025, les ministres des affaires étrangères et d’autres représentants des États participant au groupe restreint ainsi que des représentants de l’Union se sont réunis à Lviv et ont adopté, en présence de la haute représentante et vice-présidente de la Commission et du commissaire à la démocratie, à la justice, à l’état de droit et à la protection des consommateurs, la «déclaration de Lviv»</w:t>
      </w:r>
      <w:r w:rsidRPr="009E7D16">
        <w:rPr>
          <w:rStyle w:val="FootnoteReference"/>
          <w:noProof/>
        </w:rPr>
        <w:footnoteReference w:id="11"/>
      </w:r>
      <w:r w:rsidRPr="009E7D16">
        <w:rPr>
          <w:noProof/>
        </w:rPr>
        <w:t xml:space="preserve">, par laquelle ils se sont engagés à mettre en place le Tribunal spécial dans le cadre du Conseil de l’Europe, à lui permettre de commencer rapidement ses activités et à soutenir son bon fonctionnement, </w:t>
      </w:r>
      <w:r w:rsidRPr="009E7D16">
        <w:rPr>
          <w:noProof/>
          <w:color w:val="000000" w:themeColor="text1"/>
        </w:rPr>
        <w:t>tout en soulignant le rôle central du Conseil de l’Europe dans la mise en place du Tribunal et en reconnaissant la contribution importante de la Commission et du SEAE tout au long du processus, notamment dans l’élaboration des instruments juridiques.</w:t>
      </w:r>
    </w:p>
    <w:p w:rsidR="00847985" w:rsidRPr="009E7D16" w:rsidRDefault="00AD30E0" w:rsidP="00853C97">
      <w:pPr>
        <w:rPr>
          <w:noProof/>
        </w:rPr>
      </w:pPr>
      <w:r w:rsidRPr="009E7D16">
        <w:rPr>
          <w:noProof/>
        </w:rPr>
        <w:t>Le 4 juin 2025, le Comité des ministres du Conseil de l’Europe a adopté une décision visant à créer un groupe de travail ad hoc sur le Tribunal spécial pour le crime d’agression contre l’Ukraine (GT-TRIBUNAL)</w:t>
      </w:r>
      <w:r w:rsidRPr="009E7D16">
        <w:rPr>
          <w:rStyle w:val="FootnoteReference"/>
          <w:noProof/>
        </w:rPr>
        <w:footnoteReference w:id="12"/>
      </w:r>
      <w:r w:rsidRPr="009E7D16">
        <w:rPr>
          <w:noProof/>
        </w:rPr>
        <w:t>, chargé d’examiner les projets d’instruments juridiques et de préparer les décisions nécessaires à la création du Tribunal spécial dans le cadre du Conseil de l’Europe. En conséquence, le 24 juin 2025, le Comité des ministres du Conseil de l’Europe a adopté une décision</w:t>
      </w:r>
      <w:r w:rsidRPr="009E7D16">
        <w:rPr>
          <w:rStyle w:val="FootnoteReference"/>
          <w:noProof/>
        </w:rPr>
        <w:footnoteReference w:id="13"/>
      </w:r>
      <w:r w:rsidRPr="009E7D16">
        <w:rPr>
          <w:noProof/>
        </w:rPr>
        <w:t xml:space="preserve"> autorisant i) le secrétaire général du Conseil de l’Europe à signer, au nom du Conseil de l’Europe, l’accord entre le Conseil de l’Europe et l’Ukraine relatif à la création du Tribunal spécial pour le crime d’agression contre l’Ukraine, auquel le statut du Tribunal spécial est annexé et ii) l’établissement d’un APE sur le comité de direction du Tribunal spécial pour le crime d’agression contre l’Ukraine par les États membres ou observateurs du Conseil de l’Europe intéressés, l’Union européenne et tout autre État ayant voté en faveur de la résolution A/RES/ES-11/6 de l’Assemblée générale des Nations unies du 23 février 2023, ou tout État ayant participé au groupe restreint. Le 25 juin 2025, le président ukrainien et le secrétaire général du Conseil de l’Europe ont signé l’accord</w:t>
      </w:r>
      <w:r w:rsidRPr="009E7D16">
        <w:rPr>
          <w:rStyle w:val="FootnoteReference"/>
          <w:noProof/>
        </w:rPr>
        <w:footnoteReference w:id="14"/>
      </w:r>
      <w:r w:rsidRPr="009E7D16">
        <w:rPr>
          <w:noProof/>
        </w:rPr>
        <w:t xml:space="preserve"> relatif à la création du Tribunal spécial. Le 15 juillet 2025, la Verkhovna Rada (Parlement ukrainien) a adopté la loi sur la ratification de l’accord.</w:t>
      </w:r>
    </w:p>
    <w:p w:rsidR="00761DDF" w:rsidRPr="009E7D16" w:rsidRDefault="00761DDF" w:rsidP="00853C97">
      <w:pPr>
        <w:rPr>
          <w:noProof/>
        </w:rPr>
      </w:pPr>
      <w:r w:rsidRPr="009E7D16">
        <w:rPr>
          <w:noProof/>
        </w:rPr>
        <w:t xml:space="preserve">Le 21 janvier 2026, le Comité des ministres du Conseil de l’Europe a adopté une décision saluant la finalisation du projet de résolution établissant l’APE sur le comité de direction du Tribunal spécial ainsi que le fait que l’équipe préparatoire soit prête à accomplir ses missions </w:t>
      </w:r>
      <w:r w:rsidRPr="009E7D16">
        <w:rPr>
          <w:noProof/>
        </w:rPr>
        <w:lastRenderedPageBreak/>
        <w:t>à partir du 1</w:t>
      </w:r>
      <w:r w:rsidRPr="009E7D16">
        <w:rPr>
          <w:noProof/>
          <w:vertAlign w:val="superscript"/>
        </w:rPr>
        <w:t>er</w:t>
      </w:r>
      <w:r w:rsidRPr="009E7D16">
        <w:rPr>
          <w:noProof/>
        </w:rPr>
        <w:t> janvier 2026, grâce à une contribution volontaire de l’Union européenne</w:t>
      </w:r>
      <w:r w:rsidRPr="009E7D16">
        <w:rPr>
          <w:rStyle w:val="FootnoteReference"/>
          <w:noProof/>
        </w:rPr>
        <w:footnoteReference w:id="15"/>
      </w:r>
      <w:r w:rsidRPr="009E7D16">
        <w:rPr>
          <w:noProof/>
        </w:rPr>
        <w:t>. En conséquence, le 22 janvier 2026, le Conseil de l’Europe et l’Union européenne ont signé une convention de contribution relative à une contribution financée par l’intermédiaire du service des instruments de politique étrangère de la Commission européenne. L’accord prévoit un projet d’une durée maximale de 24 mois visant à mettre en place une équipe préparatoire chargée de préparer les fondements institutionnels, logistiques et organisationnels des prochaines phases du Tribunal spécial.</w:t>
      </w:r>
    </w:p>
    <w:p w:rsidR="002C042E" w:rsidRPr="009E7D16" w:rsidRDefault="00AA0199">
      <w:pPr>
        <w:pBdr>
          <w:top w:val="nil"/>
          <w:left w:val="nil"/>
          <w:bottom w:val="nil"/>
          <w:right w:val="nil"/>
          <w:between w:val="nil"/>
        </w:pBdr>
        <w:spacing w:before="0" w:after="240"/>
        <w:rPr>
          <w:rFonts w:eastAsia="Times New Roman"/>
          <w:noProof/>
          <w:szCs w:val="24"/>
        </w:rPr>
      </w:pPr>
      <w:r w:rsidRPr="009E7D16">
        <w:rPr>
          <w:noProof/>
        </w:rPr>
        <w:t>Conformément à l’article 1</w:t>
      </w:r>
      <w:r w:rsidRPr="009E7D16">
        <w:rPr>
          <w:noProof/>
          <w:vertAlign w:val="superscript"/>
        </w:rPr>
        <w:t>er</w:t>
      </w:r>
      <w:r w:rsidRPr="009E7D16">
        <w:rPr>
          <w:noProof/>
        </w:rPr>
        <w:t xml:space="preserve">, paragraphe 2, de l’APE, son objectif est d’assurer le financement du Tribunal spécial et de l’assister dans certaines tâches administratives et de gestion afin de lui permettre de remplir son mandat. En particulier, comme le prévoit l’APE, le comité de direction, créé en tant que plateforme de coopération intergouvernementale, devrait se réunir aussi souvent que nécessaire et au moins une fois par an. Les décisions devraient être adoptées à la majorité des deux tiers de ses membres. Le comité de direction devrait être assisté par un secrétariat mis à disposition par le secrétaire général du Conseil de l’Europe. Ce dernier coordonne les activités du comité et assure la liaison avec les organismes nationaux et internationaux concernés sur les questions administratives et connexes. </w:t>
      </w:r>
    </w:p>
    <w:p w:rsidR="00F272E4" w:rsidRPr="009E7D16" w:rsidRDefault="00863F33" w:rsidP="000C718C">
      <w:pPr>
        <w:rPr>
          <w:rFonts w:eastAsia="Times New Roman"/>
          <w:noProof/>
        </w:rPr>
      </w:pPr>
      <w:r w:rsidRPr="009E7D16">
        <w:rPr>
          <w:noProof/>
        </w:rPr>
        <w:t>Conformément à l’article 3, paragraphe 1, de l’APE, l’Union peut acquérir le statut de membre du comité de direction par une notification adressée au secrétaire général du Conseil de l’Europe. Le comité de direction se verra confier, entre autres, les fonctions suivantes:</w:t>
      </w:r>
    </w:p>
    <w:p w:rsidR="007C6253" w:rsidRPr="009E7D16" w:rsidRDefault="007C6253" w:rsidP="00C01665">
      <w:pPr>
        <w:pStyle w:val="Bullet0"/>
        <w:numPr>
          <w:ilvl w:val="0"/>
          <w:numId w:val="18"/>
        </w:numPr>
        <w:rPr>
          <w:noProof/>
        </w:rPr>
      </w:pPr>
      <w:r w:rsidRPr="009E7D16">
        <w:rPr>
          <w:noProof/>
        </w:rPr>
        <w:t>s’assurer que les fonds nécessaires au fonctionnement du Tribunal spécial sont mis à disposition et approuver son budget annuel;</w:t>
      </w:r>
    </w:p>
    <w:p w:rsidR="0F55EF2D" w:rsidRPr="009E7D16" w:rsidRDefault="007C6253" w:rsidP="004915D8">
      <w:pPr>
        <w:pStyle w:val="Bullet0"/>
        <w:rPr>
          <w:noProof/>
        </w:rPr>
      </w:pPr>
      <w:r w:rsidRPr="009E7D16">
        <w:rPr>
          <w:noProof/>
        </w:rPr>
        <w:t>dispenser des conseils non judiciaires et des orientations opérationnelles sur tous les aspects administratifs du fonctionnement du Tribunal spécial;</w:t>
      </w:r>
    </w:p>
    <w:p w:rsidR="007C6253" w:rsidRPr="009E7D16" w:rsidRDefault="007C6253" w:rsidP="004915D8">
      <w:pPr>
        <w:pStyle w:val="Bullet0"/>
        <w:rPr>
          <w:noProof/>
        </w:rPr>
      </w:pPr>
      <w:r w:rsidRPr="009E7D16">
        <w:rPr>
          <w:noProof/>
        </w:rPr>
        <w:t>élire les juges, le procureur et le ou les procureurs adjoints du Tribunal spécial.</w:t>
      </w:r>
    </w:p>
    <w:p w:rsidR="00852AC7" w:rsidRPr="009E7D16" w:rsidRDefault="00852AC7" w:rsidP="006E3764">
      <w:pPr>
        <w:pBdr>
          <w:top w:val="nil"/>
          <w:left w:val="nil"/>
          <w:bottom w:val="nil"/>
          <w:right w:val="nil"/>
          <w:between w:val="nil"/>
        </w:pBdr>
        <w:spacing w:before="0" w:after="240"/>
        <w:rPr>
          <w:rFonts w:eastAsia="Times New Roman"/>
          <w:noProof/>
          <w:szCs w:val="24"/>
        </w:rPr>
      </w:pPr>
      <w:r w:rsidRPr="009E7D16">
        <w:rPr>
          <w:noProof/>
        </w:rPr>
        <w:t xml:space="preserve">Les membres du comité de direction sont tenus de verser une cotisation annuelle dont le montant est fixé par le comité de direction, conformément à l’article 8 de l’APE. </w:t>
      </w:r>
    </w:p>
    <w:p w:rsidR="00B53306" w:rsidRPr="009E7D16" w:rsidRDefault="003E0677" w:rsidP="00B53306">
      <w:pPr>
        <w:pStyle w:val="xxnull"/>
        <w:jc w:val="both"/>
        <w:rPr>
          <w:rFonts w:ascii="Times New Roman" w:hAnsi="Times New Roman" w:cs="Times New Roman"/>
          <w:noProof/>
          <w:color w:val="000000" w:themeColor="text1"/>
          <w:sz w:val="24"/>
          <w:szCs w:val="24"/>
        </w:rPr>
      </w:pPr>
      <w:r w:rsidRPr="009E7D16">
        <w:rPr>
          <w:rFonts w:ascii="Times New Roman" w:hAnsi="Times New Roman"/>
          <w:noProof/>
          <w:sz w:val="24"/>
        </w:rPr>
        <w:t xml:space="preserve">Dans l’attente de la communication d’informations concernant l’incidence budgétaire globale de l’ensemble des activités judiciaires du Tribunal spécial et afin de soutenir les procédures de ratification au niveau national, le Conseil de l’Europe a adopté, en ce qui concerne l’entrée en vigueur de l’APE, une approche par étapes, en faisant la distinction entre l’adoption de la résolution établissant le cadre, à savoir le statut, et son entrée en vigueur ultérieure. </w:t>
      </w:r>
      <w:bookmarkStart w:id="2" w:name="_Hlk224543033"/>
      <w:r w:rsidRPr="009E7D16">
        <w:rPr>
          <w:rFonts w:ascii="Times New Roman" w:hAnsi="Times New Roman"/>
          <w:noProof/>
          <w:sz w:val="24"/>
        </w:rPr>
        <w:t xml:space="preserve">Le projet de décision du Comité des ministres du Conseil de l’Europe, tel qu’approuvé par le GT-TRIBUNAL le 12 mars 2026, prévoit que les représentants d’au moins 16 États membres du Conseil de l’Europe et les représentants de l’Union européenne qui ont notifié au secrétaire général du Conseil de l’Europe leur intention d’adhérer à l’APE, sous réserve de l’accomplissement des procédures internes nécessaires pour exprimer leur consentement à être liés, le cas échéant, adoptent une résolution établissant l’APE avec entrée en vigueur suspendue. </w:t>
      </w:r>
      <w:bookmarkEnd w:id="2"/>
      <w:r w:rsidRPr="009E7D16">
        <w:rPr>
          <w:rFonts w:ascii="Times New Roman" w:hAnsi="Times New Roman"/>
          <w:noProof/>
          <w:sz w:val="24"/>
        </w:rPr>
        <w:t>Dans ce contexte, le projet de décision prévoit que la résolution entrera en vigueur une fois que le Comité des ministres, dans sa composition limitée aux États, ainsi que l’Union européenne, qui ont notifié leur intention d’adhérer à l’APE et l’accomplissement de leurs procédures internes nécessaires pour exprimer leur consentement à être liés, s’il y a lieu, aura décidé que:</w:t>
      </w:r>
    </w:p>
    <w:p w:rsidR="00B53306" w:rsidRPr="009E7D16" w:rsidRDefault="00CC4A2B" w:rsidP="00C01665">
      <w:pPr>
        <w:pStyle w:val="xxnull"/>
        <w:numPr>
          <w:ilvl w:val="0"/>
          <w:numId w:val="19"/>
        </w:numPr>
        <w:jc w:val="both"/>
        <w:rPr>
          <w:rFonts w:ascii="Times New Roman" w:hAnsi="Times New Roman" w:cs="Times New Roman"/>
          <w:noProof/>
          <w:color w:val="000000" w:themeColor="text1"/>
          <w:sz w:val="24"/>
          <w:szCs w:val="24"/>
        </w:rPr>
      </w:pPr>
      <w:r w:rsidRPr="009E7D16">
        <w:rPr>
          <w:rFonts w:ascii="Times New Roman" w:hAnsi="Times New Roman"/>
          <w:noProof/>
          <w:color w:val="000000" w:themeColor="text1"/>
          <w:sz w:val="24"/>
        </w:rPr>
        <w:lastRenderedPageBreak/>
        <w:t>le nombre d’États, ainsi que l’Union européenne, qui ont exprimé leur intention d’y adhérer, notamment les principaux contributeurs, est suffisant pour une telle entrée en vigueur, étant entendu que ce nombre sera supérieur à 16;</w:t>
      </w:r>
    </w:p>
    <w:p w:rsidR="00B53306" w:rsidRPr="009E7D16" w:rsidRDefault="00CC4A2B" w:rsidP="00C01665">
      <w:pPr>
        <w:pStyle w:val="xxnull"/>
        <w:numPr>
          <w:ilvl w:val="0"/>
          <w:numId w:val="19"/>
        </w:numPr>
        <w:jc w:val="both"/>
        <w:rPr>
          <w:rFonts w:ascii="Times New Roman" w:hAnsi="Times New Roman" w:cs="Times New Roman"/>
          <w:noProof/>
          <w:color w:val="000000" w:themeColor="text1"/>
          <w:sz w:val="24"/>
          <w:szCs w:val="24"/>
        </w:rPr>
      </w:pPr>
      <w:r w:rsidRPr="009E7D16">
        <w:rPr>
          <w:rFonts w:ascii="Times New Roman" w:hAnsi="Times New Roman"/>
          <w:noProof/>
          <w:color w:val="000000" w:themeColor="text1"/>
          <w:sz w:val="24"/>
        </w:rPr>
        <w:t>les paramètres budgétaires des activités du tribunal sont jugés adéquats et acceptables;</w:t>
      </w:r>
    </w:p>
    <w:p w:rsidR="00B53306" w:rsidRPr="009E7D16" w:rsidRDefault="00B53306" w:rsidP="00C01665">
      <w:pPr>
        <w:pStyle w:val="xxnull"/>
        <w:numPr>
          <w:ilvl w:val="0"/>
          <w:numId w:val="19"/>
        </w:numPr>
        <w:jc w:val="both"/>
        <w:rPr>
          <w:rFonts w:ascii="Times New Roman" w:hAnsi="Times New Roman" w:cs="Times New Roman"/>
          <w:noProof/>
          <w:color w:val="000000" w:themeColor="text1"/>
          <w:sz w:val="24"/>
          <w:szCs w:val="24"/>
        </w:rPr>
      </w:pPr>
      <w:r w:rsidRPr="009E7D16">
        <w:rPr>
          <w:rFonts w:ascii="Times New Roman" w:hAnsi="Times New Roman"/>
          <w:noProof/>
          <w:color w:val="000000" w:themeColor="text1"/>
          <w:sz w:val="24"/>
        </w:rPr>
        <w:t>les États qui sont les principaux contributeurs à l’APE en fonction de l’importance de leurs contributions, ainsi que l’Union européenne, ont accepté son entrée en vigueur.</w:t>
      </w:r>
    </w:p>
    <w:p w:rsidR="00A83A78" w:rsidRPr="009E7D16" w:rsidRDefault="00A97DB2" w:rsidP="00B53306">
      <w:pPr>
        <w:pStyle w:val="NormalWeb"/>
        <w:jc w:val="both"/>
        <w:rPr>
          <w:noProof/>
        </w:rPr>
      </w:pPr>
      <w:r w:rsidRPr="009E7D16">
        <w:rPr>
          <w:noProof/>
        </w:rPr>
        <w:t>Les États susmentionnés et l’Union européenne seront considérés comme les membres fondateurs de l’APE et sont autorisés à participer à l’adoption de la décision relative à l’entrée en vigueur.</w:t>
      </w:r>
    </w:p>
    <w:p w:rsidR="00F06160" w:rsidRPr="009E7D16" w:rsidRDefault="00E30F4E" w:rsidP="00B53306">
      <w:pPr>
        <w:pStyle w:val="NormalWeb"/>
        <w:jc w:val="both"/>
        <w:rPr>
          <w:noProof/>
        </w:rPr>
      </w:pPr>
      <w:r w:rsidRPr="009E7D16">
        <w:rPr>
          <w:noProof/>
        </w:rPr>
        <w:t xml:space="preserve">Conformément à l’article 3, paragraphe 5, du traité sur l’Union européenne (TUE), l’Union affirme et promeut ses valeurs et contribue au strict respect et au développement du droit international, notamment au respect des principes de la charte des Nations unies. En vertu de l’article 21, paragraphes 2 et 3, du TUE, ces principes guident également l’action de l’Union sur la scène internationale. </w:t>
      </w:r>
    </w:p>
    <w:p w:rsidR="002E69FE" w:rsidRPr="009E7D16" w:rsidRDefault="00CF12F8" w:rsidP="004915D8">
      <w:pPr>
        <w:rPr>
          <w:noProof/>
        </w:rPr>
      </w:pPr>
      <w:r w:rsidRPr="009E7D16">
        <w:rPr>
          <w:noProof/>
        </w:rPr>
        <w:t>Le Tribunal spécial a pour objet de poursuivre et de juger les dirigeants politiques et militaires responsables d’actes d’agression contre l’Ukraine constituant une violation de l’article 2, paragraphe 4, de la charte des Nations unies. Par conséquent, la notification adressée par l’Union au secrétaire général du Conseil de l’Europe en vue de devenir membre fondateur de l’accord partiel élargi sous réserve de l’accomplissement de procédures internes – ce qui, en vertu du droit de l’Union, équivaut à une décision relative à la signature conformément à l’article 218, paragraphe 5, du traité sur le fonctionnement de l’Union européenne (TFUE) – et la conclusion ultérieure de l’APE contribueront à la réalisation de ses objectifs.</w:t>
      </w:r>
    </w:p>
    <w:p w:rsidR="00843265" w:rsidRPr="009E7D16" w:rsidRDefault="00843265" w:rsidP="004915D8">
      <w:pPr>
        <w:rPr>
          <w:noProof/>
        </w:rPr>
      </w:pPr>
    </w:p>
    <w:p w:rsidR="00DE314D" w:rsidRPr="009E7D16" w:rsidRDefault="00DE314D" w:rsidP="00C01665">
      <w:pPr>
        <w:pStyle w:val="ListBullet"/>
        <w:numPr>
          <w:ilvl w:val="0"/>
          <w:numId w:val="17"/>
        </w:numPr>
        <w:rPr>
          <w:rFonts w:eastAsia="Arial Unicode MS"/>
          <w:b/>
          <w:bCs/>
          <w:noProof/>
        </w:rPr>
      </w:pPr>
      <w:r w:rsidRPr="009E7D16">
        <w:rPr>
          <w:b/>
          <w:noProof/>
        </w:rPr>
        <w:t>Cohérence avec les dispositions existantes dans le domaine d’action</w:t>
      </w:r>
    </w:p>
    <w:p w:rsidR="003A0498" w:rsidRPr="009E7D16" w:rsidRDefault="00CB450B" w:rsidP="3CFC5CC3">
      <w:pPr>
        <w:pBdr>
          <w:top w:val="nil"/>
          <w:left w:val="nil"/>
          <w:bottom w:val="nil"/>
          <w:right w:val="nil"/>
          <w:between w:val="nil"/>
          <w:bar w:val="nil"/>
        </w:pBdr>
        <w:spacing w:before="0" w:after="240"/>
        <w:rPr>
          <w:rFonts w:eastAsia="Times New Roman"/>
          <w:noProof/>
        </w:rPr>
      </w:pPr>
      <w:r w:rsidRPr="009E7D16">
        <w:rPr>
          <w:noProof/>
        </w:rPr>
        <w:t xml:space="preserve">En mars 2022, Eurojust a soutenu la création rapide d’une équipe commune d’enquête (ECE) sur les crimes internationaux commis en Ukraine, composée de l’Ukraine, de six États membres de l’UE, ainsi que de la CPI et d’Europol en tant que participants. Dans ce contexte, Eurojust fournit un soutien opérationnel, technique, logistique et financier à l’ECE. </w:t>
      </w:r>
    </w:p>
    <w:p w:rsidR="003A0498" w:rsidRPr="009E7D16" w:rsidRDefault="003A0498" w:rsidP="3CFC5CC3">
      <w:pPr>
        <w:pBdr>
          <w:top w:val="nil"/>
          <w:left w:val="nil"/>
          <w:bottom w:val="nil"/>
          <w:right w:val="nil"/>
          <w:between w:val="nil"/>
          <w:bar w:val="nil"/>
        </w:pBdr>
        <w:spacing w:before="0" w:after="240"/>
        <w:rPr>
          <w:rFonts w:eastAsia="Times New Roman"/>
          <w:noProof/>
        </w:rPr>
      </w:pPr>
      <w:r w:rsidRPr="009E7D16">
        <w:rPr>
          <w:noProof/>
        </w:rPr>
        <w:t>Le 30 mai 2022, le Parlement européen et le Conseil ont adopté le règlement (UE) 2022/838</w:t>
      </w:r>
      <w:r w:rsidRPr="009E7D16">
        <w:rPr>
          <w:rStyle w:val="FootnoteReference"/>
          <w:rFonts w:eastAsia="Times New Roman"/>
          <w:noProof/>
        </w:rPr>
        <w:footnoteReference w:id="16"/>
      </w:r>
      <w:r w:rsidRPr="009E7D16">
        <w:rPr>
          <w:noProof/>
        </w:rPr>
        <w:t xml:space="preserve"> afin de renforcer la capacité d’Eurojust à aider les autorités compétentes dans leurs enquêtes et leurs poursuites concernant les crimes internationaux, ce qui lui permet de conserver, d’analyser et de stocker des éléments de preuve relatifs aux génocides, aux crimes contre l’humanité, aux crimes de guerre et aux infractions pénales connexes. Depuis le 1</w:t>
      </w:r>
      <w:r w:rsidRPr="009E7D16">
        <w:rPr>
          <w:noProof/>
          <w:vertAlign w:val="superscript"/>
        </w:rPr>
        <w:t>er</w:t>
      </w:r>
      <w:r w:rsidRPr="009E7D16">
        <w:rPr>
          <w:noProof/>
        </w:rPr>
        <w:t> juin 2022, Eurojust est en mesure d’atteindre cet objectif grâce à l’élaboration et à la mise en œuvre de la base de données sur les preuves de grands crimes internationaux (CICED).</w:t>
      </w:r>
    </w:p>
    <w:p w:rsidR="00392ADD" w:rsidRPr="009E7D16" w:rsidRDefault="00392ADD" w:rsidP="3CFC5CC3">
      <w:pPr>
        <w:pBdr>
          <w:top w:val="nil"/>
          <w:left w:val="nil"/>
          <w:bottom w:val="nil"/>
          <w:right w:val="nil"/>
          <w:between w:val="nil"/>
          <w:bar w:val="nil"/>
        </w:pBdr>
        <w:spacing w:before="0" w:after="240"/>
        <w:rPr>
          <w:rFonts w:eastAsia="Times New Roman"/>
          <w:noProof/>
          <w:szCs w:val="24"/>
        </w:rPr>
      </w:pPr>
      <w:r w:rsidRPr="009E7D16">
        <w:rPr>
          <w:noProof/>
        </w:rPr>
        <w:t xml:space="preserve">Au moyen de sa mission civile relevant de la politique de sécurité et de défense commune (PSDC), à savoir la mission de conseil de l’UE en Ukraine (EUAM Ukraine), l’Union a également contribué à un effort plus large visant à faire en sorte que les auteurs de crimes </w:t>
      </w:r>
      <w:r w:rsidRPr="009E7D16">
        <w:rPr>
          <w:noProof/>
        </w:rPr>
        <w:lastRenderedPageBreak/>
        <w:t xml:space="preserve">internationaux répondent de leurs actes, notamment en renforçant les capacités des agences et institutions ukrainiennes à enquêter sur ces crimes et à engager des poursuites à leur encontre. </w:t>
      </w:r>
    </w:p>
    <w:p w:rsidR="00BA0BB8" w:rsidRPr="009E7D16" w:rsidRDefault="00BA0BB8" w:rsidP="00BA0BB8">
      <w:pPr>
        <w:rPr>
          <w:noProof/>
        </w:rPr>
      </w:pPr>
      <w:r w:rsidRPr="009E7D16">
        <w:rPr>
          <w:noProof/>
        </w:rPr>
        <w:t>Alors que les discussions étaient en cours au sein du groupe restreint, l’Ukraine a demandé la création d’un parquet provisoire pour le crime d’agression afin de conserver les éléments de preuve et de préparer les dossiers en vue de futurs procès. Le 2 février 2023, la présidente de la Commission européenne a annoncé, lors du 24</w:t>
      </w:r>
      <w:r w:rsidRPr="009E7D16">
        <w:rPr>
          <w:noProof/>
          <w:vertAlign w:val="superscript"/>
        </w:rPr>
        <w:t>e</w:t>
      </w:r>
      <w:r w:rsidRPr="009E7D16">
        <w:rPr>
          <w:noProof/>
        </w:rPr>
        <w:t xml:space="preserve"> sommet UE-Ukraine, la mise en place du centre international chargé des poursuites pour le crime d’agression contre l’Ukraine (International Centre for the Prosecution of Crimes of Aggression against Ukraine, ci-après l’«ICPA»), hébergé au sein d’Eurojust. Créé en juillet 2023, l’ICPA a joué un rôle déterminant pour renforcer les enquêtes nationales sur le crime d’agression menées par l’Ukraine et par cinq États membres en recueillant des éléments de preuve et en facilitant la constitution de dossiers communs en vue de futurs procès. Dans ses conclusions de mars et juin 2023, le Conseil européen a approuvé la mise en place de l’ICPA. </w:t>
      </w:r>
    </w:p>
    <w:p w:rsidR="00301896" w:rsidRPr="009E7D16" w:rsidRDefault="00C070DA" w:rsidP="00301896">
      <w:pPr>
        <w:pBdr>
          <w:top w:val="nil"/>
          <w:left w:val="nil"/>
          <w:bottom w:val="nil"/>
          <w:right w:val="nil"/>
          <w:between w:val="nil"/>
          <w:bar w:val="nil"/>
        </w:pBdr>
        <w:spacing w:before="0" w:after="240"/>
        <w:rPr>
          <w:rFonts w:eastAsia="Times New Roman"/>
          <w:noProof/>
        </w:rPr>
      </w:pPr>
      <w:r w:rsidRPr="009E7D16">
        <w:rPr>
          <w:noProof/>
        </w:rPr>
        <w:t>L’article 9 de la résolution établissant l’APE sur la coopération prévoit que le comité de direction s’efforce de coopérer avec les partenaires nationaux et internationaux concernés, y compris Eurojust, aux fins de l’exécution de son mandat. L’article 47 du statut du Tribunal spécial</w:t>
      </w:r>
      <w:r w:rsidRPr="009E7D16">
        <w:rPr>
          <w:rStyle w:val="FootnoteReference"/>
          <w:rFonts w:eastAsia="Times New Roman"/>
          <w:noProof/>
          <w:szCs w:val="24"/>
        </w:rPr>
        <w:footnoteReference w:id="17"/>
      </w:r>
      <w:r w:rsidRPr="009E7D16">
        <w:rPr>
          <w:noProof/>
        </w:rPr>
        <w:t xml:space="preserve"> prévoit en outre que le Tribunal spécial peut conclure des arrangements ou des accords de coopération avec des entités telles qu’Eurojust afin de recevoir des éléments de preuve recueillis avant la création du Tribunal spécial, y compris par les États participant à l’ICPA, conformément à l’article 31 dudit statut. Dans ce contexte, il sera dans l’intérêt de l’Union de veiller à ce que les éléments de preuve et les informations recueillis dans le cadre de l’ICPA soient transmis au Tribunal sur la base d’un accord international entre l’Union et le Tribunal spécial relatif à la coopération avec Eurojust. Le règlement (UE) 2024/792 (ci-après le «règlement établissant la facilité pour l’Ukraine»)</w:t>
      </w:r>
      <w:r w:rsidRPr="009E7D16">
        <w:rPr>
          <w:rStyle w:val="FootnoteReference"/>
          <w:rFonts w:eastAsia="Times New Roman"/>
          <w:noProof/>
          <w:szCs w:val="24"/>
        </w:rPr>
        <w:footnoteReference w:id="18"/>
      </w:r>
      <w:r w:rsidRPr="009E7D16">
        <w:rPr>
          <w:noProof/>
        </w:rPr>
        <w:t xml:space="preserve">, adopté sur la base de l’article 212 du TFUE, vise à «soutenir les initiatives, les organismes et les organisations qui contribuent à soutenir et à faire respecter la démocratie, la justice internationale et les efforts de lutte contre la corruption en Ukraine» [article 3, paragraphe 2), point i)] et à «améliorer le respect du droit international» [article 3, paragraphe 2, point h)]. Conformément à l’article 34, paragraphe 3, du règlement établissant la facilité pour l’Ukraine, l’Union soutient financièrement «des processus favorisant la justice, la recherche de la vérité, la réhabilitation générale après un conflit en faveur d’une société inclusive et pacifique, ainsi que la collecte de preuves des crimes commis pendant la guerre», tels que le registre des dommages et l’ICPA. </w:t>
      </w:r>
    </w:p>
    <w:p w:rsidR="00DE314D" w:rsidRPr="009E7D16" w:rsidRDefault="00DE314D" w:rsidP="00585C83">
      <w:pPr>
        <w:pStyle w:val="ListBullet"/>
        <w:rPr>
          <w:rFonts w:eastAsia="Arial Unicode MS"/>
          <w:b/>
          <w:bCs/>
          <w:noProof/>
        </w:rPr>
      </w:pPr>
      <w:r w:rsidRPr="009E7D16">
        <w:rPr>
          <w:b/>
          <w:noProof/>
        </w:rPr>
        <w:t>Cohérence avec les autres politiques de l’Union</w:t>
      </w:r>
    </w:p>
    <w:p w:rsidR="008A72B0" w:rsidRPr="009E7D16" w:rsidRDefault="4025E235" w:rsidP="39D16BB6">
      <w:pPr>
        <w:spacing w:before="240" w:after="240"/>
        <w:rPr>
          <w:rFonts w:eastAsia="Times New Roman"/>
          <w:noProof/>
        </w:rPr>
      </w:pPr>
      <w:r w:rsidRPr="009E7D16">
        <w:rPr>
          <w:noProof/>
        </w:rPr>
        <w:t xml:space="preserve">La présente proposition est pleinement alignée sur l’ensemble plus large d’actions entreprises par l’Union depuis le début de l’invasion à grande échelle de l’Ukraine par la Fédération de Russie en février 2022. Elle réitère l’engagement de l’Union à faire en sorte que les auteurs de violations du droit international répondent de leurs actes, y compris au moyen d’enquêtes et de poursuites contre des personnes responsables de crimes internationaux commis en Ukraine et contre l’Ukraine. </w:t>
      </w:r>
    </w:p>
    <w:p w:rsidR="00DE314D" w:rsidRPr="009E7D16" w:rsidRDefault="008A72B0" w:rsidP="39D16BB6">
      <w:pPr>
        <w:spacing w:before="240" w:after="240"/>
        <w:rPr>
          <w:rFonts w:eastAsia="Times New Roman"/>
          <w:noProof/>
          <w:szCs w:val="24"/>
        </w:rPr>
      </w:pPr>
      <w:r w:rsidRPr="009E7D16">
        <w:rPr>
          <w:noProof/>
        </w:rPr>
        <w:t>En particulier, la proposition complète la participation active de l’Union à des plateformes de coordination telles que le groupe consultatif sur les atrocités criminelles rassemblant les États-</w:t>
      </w:r>
      <w:r w:rsidRPr="009E7D16">
        <w:rPr>
          <w:noProof/>
        </w:rPr>
        <w:lastRenderedPageBreak/>
        <w:t>Unis, le Royaume-Uni et l’Union européenne, qui fournit l’aide d’experts au bureau du procureur général de l’Ukraine, les efforts plus larges déployés par l’EUAM Ukraine pour soutenir les autorités ukrainiennes dans les enquêtes et les poursuites relatives aux crimes internationaux, le soutien fourni par la délégation de l’UE en Ukraine dans le domaine de la justice et de l’obligation de rendre des comptes, et le groupe de dialogue, qui sert de plateforme pour coordonner le soutien apporté au secteur de la justice ukrainien par les organisations internationales, les acteurs de la société civile et les donateurs.</w:t>
      </w:r>
    </w:p>
    <w:p w:rsidR="00DE314D" w:rsidRPr="009E7D16" w:rsidRDefault="004A4FD3" w:rsidP="003D4A1D">
      <w:pPr>
        <w:pBdr>
          <w:top w:val="nil"/>
          <w:left w:val="nil"/>
          <w:bottom w:val="nil"/>
          <w:right w:val="nil"/>
          <w:between w:val="nil"/>
          <w:bar w:val="nil"/>
        </w:pBdr>
        <w:spacing w:before="0" w:after="240"/>
        <w:rPr>
          <w:rFonts w:eastAsia="Times New Roman"/>
          <w:noProof/>
          <w:szCs w:val="24"/>
        </w:rPr>
      </w:pPr>
      <w:r w:rsidRPr="009E7D16">
        <w:rPr>
          <w:noProof/>
        </w:rPr>
        <w:t>La présente proposition est également conforme à l’engagement pris par l’Union de veiller à ce que les dommages causés par l’agression de la Fédération de Russie contre l’Ukraine et d’autres violations du droit international soient dûment indemnisés, conformément à la résolution A/RES/ES-11/5 de l’Assemblée générale des Nations unies</w:t>
      </w:r>
      <w:r w:rsidRPr="009E7D16">
        <w:rPr>
          <w:rStyle w:val="FootnoteReference"/>
          <w:rFonts w:eastAsia="Times New Roman"/>
          <w:noProof/>
        </w:rPr>
        <w:footnoteReference w:id="19"/>
      </w:r>
      <w:r w:rsidRPr="009E7D16">
        <w:rPr>
          <w:noProof/>
        </w:rPr>
        <w:t>. À cette fin, l’Union soutient activement la mise en place d’un mécanisme international d’indemnisation. En guise de première étape vers ce mécanisme d’indemnisation, le registre des dommages (ci-après le «registre») a été institué le 16 mai 2023, sous les auspices du Conseil de l’Europe, au moyen d’une résolution établissant l’APE sur le registre. Il sert à consigner les réclamations. L’Union a adhéré à l’APE sur le registre d’abord en tant que membre associé fondateur, puis en tant que participant</w:t>
      </w:r>
      <w:r w:rsidRPr="009E7D16">
        <w:rPr>
          <w:rStyle w:val="FootnoteReference"/>
          <w:rFonts w:eastAsia="Times New Roman"/>
          <w:noProof/>
          <w:szCs w:val="24"/>
        </w:rPr>
        <w:footnoteReference w:id="20"/>
      </w:r>
      <w:r w:rsidRPr="009E7D16">
        <w:rPr>
          <w:noProof/>
        </w:rPr>
        <w:t>. La deuxième étape constituera en l’établissement de la future Commission des réclamations, qui aura pour objet de statuer sur les demandes inscrites au registre et de déterminer au cas par cas le montant de l’indemnisation due. Conformément à la décision du Conseil du 17 mars 2025</w:t>
      </w:r>
      <w:r w:rsidRPr="009E7D16">
        <w:rPr>
          <w:rStyle w:val="FootnoteReference"/>
          <w:rFonts w:eastAsia="Times New Roman"/>
          <w:noProof/>
        </w:rPr>
        <w:footnoteReference w:id="21"/>
      </w:r>
      <w:r w:rsidRPr="009E7D16">
        <w:rPr>
          <w:noProof/>
        </w:rPr>
        <w:t xml:space="preserve"> autorisant la Commission à négocier la création d’une commission internationale des demandes d’indemnisation (dénommée par la suite «Commission des réclamations») pour l’Ukraine, l’Union a participé activement, à partir de mars 2025, aux négociations relatives à l’instrument instituant la commission des demandes d’indemnisation avec plus de 50 États. Ces négociations ont été menées à bonne fin en septembre 2025 et la signature de la convention instituant la Commission des réclamations, y compris par l’Union, sur la base de la décision (UE) 2025/2655 du Conseil</w:t>
      </w:r>
      <w:r w:rsidRPr="009E7D16">
        <w:rPr>
          <w:rStyle w:val="FootnoteReference"/>
          <w:rFonts w:eastAsia="Times New Roman"/>
          <w:noProof/>
        </w:rPr>
        <w:footnoteReference w:id="22"/>
      </w:r>
      <w:r w:rsidRPr="009E7D16">
        <w:rPr>
          <w:noProof/>
        </w:rPr>
        <w:t xml:space="preserve">, et par 34 autres États, a eu lieu lors d’une conférence diplomatique à La Haye le 16 décembre 2025. </w:t>
      </w:r>
    </w:p>
    <w:p w:rsidR="009C386E" w:rsidRPr="009E7D16" w:rsidRDefault="009C386E" w:rsidP="003D4A1D">
      <w:pPr>
        <w:pBdr>
          <w:top w:val="nil"/>
          <w:left w:val="nil"/>
          <w:bottom w:val="nil"/>
          <w:right w:val="nil"/>
          <w:between w:val="nil"/>
          <w:bar w:val="nil"/>
        </w:pBdr>
        <w:spacing w:before="0" w:after="240"/>
        <w:rPr>
          <w:rFonts w:eastAsia="Times New Roman"/>
          <w:noProof/>
          <w:szCs w:val="24"/>
        </w:rPr>
      </w:pPr>
      <w:r w:rsidRPr="009E7D16">
        <w:rPr>
          <w:noProof/>
        </w:rPr>
        <w:t>Enfin, en vue notamment de préserver la paix, de prévenir les conflits et de renforcer la sécurité internationale, conformément à la charte des Nations unies, l’Union a adopté un nombre sans précédent de mesures restrictives contre de la Fédération de Russie afin d’accroître les coûts supportés par cette dernière du fait de ses actes illicites et de compromettre sa capacité à poursuivre son agression</w:t>
      </w:r>
      <w:r w:rsidRPr="009E7D16">
        <w:rPr>
          <w:rStyle w:val="FootnoteReference"/>
          <w:rFonts w:eastAsia="Times New Roman"/>
          <w:noProof/>
          <w:szCs w:val="24"/>
        </w:rPr>
        <w:footnoteReference w:id="23"/>
      </w:r>
      <w:r w:rsidRPr="009E7D16">
        <w:rPr>
          <w:noProof/>
        </w:rPr>
        <w:t xml:space="preserve">. Afin de renforcer l’application des </w:t>
      </w:r>
      <w:r w:rsidRPr="009E7D16">
        <w:rPr>
          <w:noProof/>
        </w:rPr>
        <w:lastRenderedPageBreak/>
        <w:t>mesures restrictives, l’Union a, entre autres, mis en place la task force «Gel et saisie» et adopté une directive qui harmonise la définition de la violation des mesures restrictives de l’Union et les sanctions pénales applicables</w:t>
      </w:r>
      <w:r w:rsidRPr="009E7D16">
        <w:rPr>
          <w:rStyle w:val="FootnoteReference"/>
          <w:rFonts w:eastAsia="Times New Roman"/>
          <w:noProof/>
          <w:szCs w:val="24"/>
        </w:rPr>
        <w:footnoteReference w:id="24"/>
      </w:r>
      <w:r w:rsidRPr="009E7D16">
        <w:rPr>
          <w:noProof/>
        </w:rPr>
        <w:t>. La Commission a nommé un envoyé spécial pour la mise en œuvre des sanctions de l’UE, chargé de mener des discussions permanentes à haut niveau avec les pays tiers sur la manière d’empêcher l’évitement et le contournement des mesures restrictives de l’Union, en particulier celles qui visent la Fédération de Russie, et elle a publié des orientations à l’intention des autorités nationales et des opérateurs privés sur l’interprétation des règles de l’Union applicables en la matière.</w:t>
      </w:r>
    </w:p>
    <w:p w:rsidR="00DE314D" w:rsidRPr="009E7D16" w:rsidRDefault="00DE314D" w:rsidP="006F1C1E">
      <w:pPr>
        <w:pStyle w:val="ManualHeading1"/>
        <w:rPr>
          <w:noProof/>
        </w:rPr>
      </w:pPr>
      <w:r>
        <w:rPr>
          <w:noProof/>
        </w:rPr>
        <w:t>1.</w:t>
      </w:r>
      <w:r>
        <w:rPr>
          <w:noProof/>
        </w:rPr>
        <w:tab/>
      </w:r>
      <w:r w:rsidRPr="009E7D16">
        <w:rPr>
          <w:noProof/>
        </w:rPr>
        <w:t>BASE JURIDIQUE, SUBSIDIARITÉ ET PROPORTIONNALITÉ</w:t>
      </w:r>
    </w:p>
    <w:p w:rsidR="00DE314D" w:rsidRPr="009E7D16" w:rsidRDefault="00DE314D" w:rsidP="00585C83">
      <w:pPr>
        <w:pStyle w:val="ListBullet"/>
        <w:rPr>
          <w:rFonts w:eastAsia="Arial Unicode MS"/>
          <w:b/>
          <w:bCs/>
          <w:noProof/>
        </w:rPr>
      </w:pPr>
      <w:r w:rsidRPr="009E7D16">
        <w:rPr>
          <w:b/>
          <w:noProof/>
        </w:rPr>
        <w:t>Base juridique</w:t>
      </w:r>
    </w:p>
    <w:p w:rsidR="00686A98" w:rsidRPr="009E7D16" w:rsidRDefault="006951A9" w:rsidP="004915D8">
      <w:pPr>
        <w:rPr>
          <w:noProof/>
        </w:rPr>
      </w:pPr>
      <w:r w:rsidRPr="009E7D16">
        <w:rPr>
          <w:noProof/>
        </w:rPr>
        <w:t>La base juridique procédurale pour l’adoption de la décision du Conseil autorisant la signature de l’APE par la participation à l’adoption de la décision du Comité des ministres portant adoption de la résolution CM/Res(202x)x établissant l’APE est l’article 218, paragraphe 5, du TFUE. La participation de l’Union à l’adoption de la résolution du Comité des ministres établissant l’APE sur le comité de direction du Tribunal spécial pour le crime d’agression contre l’Ukraine vise à authentifier le texte de la résolution établissant l’APE et à déclencher l’application de l’article 18, point a), de la convention de Vienne sur le droit des traités</w:t>
      </w:r>
      <w:r w:rsidRPr="009E7D16">
        <w:rPr>
          <w:rStyle w:val="FootnoteReference"/>
          <w:noProof/>
        </w:rPr>
        <w:footnoteReference w:id="25"/>
      </w:r>
      <w:r w:rsidRPr="009E7D16">
        <w:rPr>
          <w:noProof/>
        </w:rPr>
        <w:t>. Aux fins du droit de l’Union, cet acte équivaut à une décision relative à la signature au sens de l’article 218, paragraphe 5, du TFUE et n’implique pas, à ce stade, la prise d’engagements contraignants par l’Union.</w:t>
      </w:r>
    </w:p>
    <w:p w:rsidR="00EF7987" w:rsidRPr="009E7D16" w:rsidRDefault="006951A9" w:rsidP="009C3ED4">
      <w:pPr>
        <w:pBdr>
          <w:top w:val="nil"/>
          <w:left w:val="nil"/>
          <w:bottom w:val="nil"/>
          <w:right w:val="nil"/>
          <w:between w:val="nil"/>
          <w:bar w:val="nil"/>
        </w:pBdr>
        <w:spacing w:before="0" w:after="240"/>
        <w:rPr>
          <w:rFonts w:eastAsia="Arial Unicode MS"/>
          <w:noProof/>
        </w:rPr>
      </w:pPr>
      <w:r w:rsidRPr="009E7D16">
        <w:rPr>
          <w:noProof/>
        </w:rPr>
        <w:t>La base juridique matérielle pour l’adoption de la décision du Conseil autorisant la signature de la résolution établissant l’APE est l’article 212 du TFUE. Selon une jurisprudence constante de la Cour de justice de l’Union européenne</w:t>
      </w:r>
      <w:r w:rsidRPr="009E7D16">
        <w:rPr>
          <w:rStyle w:val="FootnoteReference"/>
          <w:rFonts w:eastAsia="Arial Unicode MS"/>
          <w:noProof/>
        </w:rPr>
        <w:footnoteReference w:id="26"/>
      </w:r>
      <w:r w:rsidRPr="009E7D16">
        <w:rPr>
          <w:noProof/>
        </w:rPr>
        <w:t xml:space="preserve">, la base juridique matérielle dépend avant tout de l’objectif et du contenu de l’acte envisagé. Si cet acte poursuit deux finalités ou a deux composantes et si l’une de ces finalités ou de ces composantes est identifiable comme étant principale tandis que l’autre n’est qu’accessoire, il doit être fondé sur une seule base juridique matérielle, à savoir celle exigée par la finalité ou la composante principale ou prépondérante. </w:t>
      </w:r>
    </w:p>
    <w:p w:rsidR="00B00304" w:rsidRPr="009E7D16" w:rsidRDefault="009C3ED4" w:rsidP="00B00304">
      <w:pPr>
        <w:pBdr>
          <w:top w:val="nil"/>
          <w:left w:val="nil"/>
          <w:bottom w:val="nil"/>
          <w:right w:val="nil"/>
          <w:between w:val="nil"/>
          <w:bar w:val="nil"/>
        </w:pBdr>
        <w:spacing w:before="0" w:after="240"/>
        <w:rPr>
          <w:rFonts w:eastAsia="Arial Unicode MS"/>
          <w:noProof/>
        </w:rPr>
      </w:pPr>
      <w:r w:rsidRPr="009E7D16">
        <w:rPr>
          <w:noProof/>
        </w:rPr>
        <w:t xml:space="preserve">L’article 212, paragraphe 1, du TFUE prévoit la possibilité pour l’Union de mener «des actions de coopération économique, financière et technique, y compris d’assistance en particulier dans le domaine financier, avec des pays tiers autres que les pays en développement.». Cet article précise en outre que ces actions «sont cohérentes avec la politique de développement de l’Union et sont menées dans le cadre des principes et objectifs de son action extérieure.». La présente proposition vise à permettre à l’Union de rejoindre l’APE sur le comité de direction du Tribunal spécial pour le crime d’agression contre </w:t>
      </w:r>
      <w:r w:rsidRPr="009E7D16">
        <w:rPr>
          <w:noProof/>
        </w:rPr>
        <w:lastRenderedPageBreak/>
        <w:t xml:space="preserve">l’Ukraine en tant que membre fondateur. L’objectif général de l’APE sur le comité de direction est double, à savoir assurer le financement du Tribunal spécial et l’assister dans certaines tâches administratives et de gestion afin de lui permettre de remplir son mandat. L’action proposée relève donc du champ d’application de l’article 212, paragraphe 1, étant donné que l’Union contribuerait à la gestion et au fonctionnement efficaces du Tribunal spécial, qui constitue une forme de coopération technique et financière. </w:t>
      </w:r>
    </w:p>
    <w:p w:rsidR="00E93A02" w:rsidRPr="009E7D16" w:rsidRDefault="00E93A02" w:rsidP="00B00304">
      <w:pPr>
        <w:pBdr>
          <w:top w:val="nil"/>
          <w:left w:val="nil"/>
          <w:bottom w:val="nil"/>
          <w:right w:val="nil"/>
          <w:between w:val="nil"/>
          <w:bar w:val="nil"/>
        </w:pBdr>
        <w:spacing w:before="0" w:after="240"/>
        <w:rPr>
          <w:rFonts w:eastAsia="Times New Roman"/>
          <w:noProof/>
          <w:szCs w:val="24"/>
        </w:rPr>
      </w:pPr>
      <w:r w:rsidRPr="009E7D16">
        <w:rPr>
          <w:noProof/>
        </w:rPr>
        <w:t xml:space="preserve">En outre, le recours à l’article 212 du TFUE est cohérent avec d’autres actions connexes de l’Union. Il est conforme à la décision (UE) 2024/2045 du Conseil relative au changement de statut de l’Union dans le registre des dommages (de membre associé à participant), à la décision (UE) 2025/702 du Conseil sur la participation aux négociations relatives à la commission des demandes d’indemnisation, à la décision (UE) 2025/2655 du Conseil relative à la signature de la convention établissant la commission des réclamations, et au règlement (UE) 2024/792 établissant la facilité pour l’Ukraine, source d’assistance financière pour le mécanisme d’indemnisation pour l’Ukraine, qui est également fondé sur l’article 212 du TFUE. </w:t>
      </w:r>
    </w:p>
    <w:p w:rsidR="001F558E" w:rsidRPr="009E7D16" w:rsidRDefault="00FD2B7D" w:rsidP="005A09F7">
      <w:pPr>
        <w:pBdr>
          <w:top w:val="nil"/>
          <w:left w:val="nil"/>
          <w:bottom w:val="nil"/>
          <w:right w:val="nil"/>
          <w:between w:val="nil"/>
          <w:bar w:val="nil"/>
        </w:pBdr>
        <w:spacing w:before="0" w:after="240"/>
        <w:rPr>
          <w:noProof/>
        </w:rPr>
      </w:pPr>
      <w:r w:rsidRPr="009E7D16">
        <w:rPr>
          <w:noProof/>
        </w:rPr>
        <w:t>Dans le même temps, le contexte de cette initiative et la résolution établissant l’APE démontrent que la création du Tribunal spécial poursuit l’objectif de veiller au respect du droit international et de tenir les dirigeants politiques et militaires russes responsables du crime d’agression qu’ils ont commis contre l’Ukraine. Ainsi qu’il ressort des résolutions de l’Assemblée générale des Nations unies mentionnées dans la résolution établissant l’APE et dans la présente proposition, le Tribunal spécial sera mis en place pour enquêter sur les personnes qui portent la plus grande part de responsabilité dans le crime d’agression commis par la Fédération de Russie contre l’Ukraine, lequel constitue une violation manifeste de l’article 2, paragraphe 4, de la charte des Nations unies, ainsi que pour les poursuivre et les juger. La création de ce mécanisme s’inscrira donc également dans le cadre des efforts déployés par la communauté internationale pour garantir la paix et la sécurité internationales. Du point de vue de l’Union, la participation à ce mécanisme correspond aux objectifs qui sous-tendent l’action extérieure de l’Union, tels qu’ils sont énoncés à l’article 21, paragraphe 2, du TUE. Conformément à l’article 205 et à l’article 212, paragraphe 1, du TFUE, l’action extérieure de l’Union, y compris les actions économiques, financières et techniques, repose sur les principes, poursuit les objectifs et est menée conformément aux dispositions générales visées au chapitre 1 du titre V du traité sur l’Union européenne.</w:t>
      </w:r>
    </w:p>
    <w:p w:rsidR="005A09F7" w:rsidRPr="009E7D16" w:rsidRDefault="005A09F7" w:rsidP="005A09F7">
      <w:pPr>
        <w:pBdr>
          <w:top w:val="nil"/>
          <w:left w:val="nil"/>
          <w:bottom w:val="nil"/>
          <w:right w:val="nil"/>
          <w:between w:val="nil"/>
          <w:bar w:val="nil"/>
        </w:pBdr>
        <w:spacing w:before="0" w:after="240"/>
        <w:rPr>
          <w:rFonts w:eastAsia="Arial Unicode MS"/>
          <w:noProof/>
        </w:rPr>
      </w:pPr>
      <w:r w:rsidRPr="009E7D16">
        <w:rPr>
          <w:noProof/>
        </w:rPr>
        <w:t xml:space="preserve">En conséquence, la présente proposition est fondée sur l’article 212 du TFUE, en liaison avec l’article 218, paragraphe 5, du TFUE. </w:t>
      </w:r>
    </w:p>
    <w:p w:rsidR="00DE314D" w:rsidRPr="009E7D16" w:rsidRDefault="00DE314D" w:rsidP="00585C83">
      <w:pPr>
        <w:pStyle w:val="ListBullet"/>
        <w:rPr>
          <w:rFonts w:eastAsia="Arial Unicode MS"/>
          <w:b/>
          <w:bCs/>
          <w:noProof/>
        </w:rPr>
      </w:pPr>
      <w:r w:rsidRPr="009E7D16">
        <w:rPr>
          <w:b/>
          <w:noProof/>
        </w:rPr>
        <w:t xml:space="preserve">Subsidiarité (en cas de compétence non exclusive) </w:t>
      </w:r>
    </w:p>
    <w:p w:rsidR="009C0A88" w:rsidRPr="009E7D16" w:rsidRDefault="00497389" w:rsidP="3CFC5CC3">
      <w:pPr>
        <w:pBdr>
          <w:top w:val="nil"/>
          <w:left w:val="nil"/>
          <w:bottom w:val="nil"/>
          <w:right w:val="nil"/>
          <w:between w:val="nil"/>
        </w:pBdr>
        <w:spacing w:before="0" w:after="240"/>
        <w:rPr>
          <w:rFonts w:eastAsia="Times New Roman"/>
          <w:noProof/>
        </w:rPr>
      </w:pPr>
      <w:r w:rsidRPr="009E7D16">
        <w:rPr>
          <w:noProof/>
        </w:rPr>
        <w:t xml:space="preserve">Conformément à l’article 212, paragraphe 3, deuxième alinéa, du TFUE, la conclusion par l’Union de l’APE ne préjuge en rien la capacité des États membres à engager des négociations parallèles et à conclure l’APE individuellement. </w:t>
      </w:r>
    </w:p>
    <w:p w:rsidR="00DE314D" w:rsidRPr="009E7D16" w:rsidRDefault="5C1D454B" w:rsidP="3CFC5CC3">
      <w:pPr>
        <w:pBdr>
          <w:top w:val="nil"/>
          <w:left w:val="nil"/>
          <w:bottom w:val="nil"/>
          <w:right w:val="nil"/>
          <w:between w:val="nil"/>
        </w:pBdr>
        <w:spacing w:before="0" w:after="240"/>
        <w:rPr>
          <w:rFonts w:eastAsia="Times New Roman"/>
          <w:noProof/>
        </w:rPr>
      </w:pPr>
      <w:r w:rsidRPr="009E7D16">
        <w:rPr>
          <w:noProof/>
        </w:rPr>
        <w:t xml:space="preserve">L’initiative proposée est également conforme au principe de subsidiarité, tel qu’il est énoncé à l’article 5, paragraphe 3, du TUE, étant donné que ses objectifs – à savoir l’adoption de la résolution établissant l’APE et l’acquisition ultérieure par l’Union du statut de membre du comité de direction – représentent une étape cohérente vers l’objectif plus large de l’Union et des États membres consistant à faire en sorte que les auteurs du crime d’agression contre l’Ukraine répondent de leurs actes, et ne peuvent pas être atteints de manière suffisante par l’action individuelle des États membres, en particulier en ce qui concerne la viabilité financière du Tribunal spécial et la coopération requise entre l’Union et ledit Tribunal pour </w:t>
      </w:r>
      <w:r w:rsidRPr="009E7D16">
        <w:rPr>
          <w:noProof/>
        </w:rPr>
        <w:lastRenderedPageBreak/>
        <w:t>permettre la coopération avec Eurojust et la transmission structurée des éléments de preuve recueillis par les autorités nationales au moyen de l’ICPA. La valeur ajoutée de l’action à l’échelle de l’Union réside en outre dans la capacité de l’Union à coordonner une position cohérente et unifiée au niveau international, à renforcer son engagement politique et juridique en faveur de l’obligation de rendre des comptes et à assurer la cohérence avec son action extérieure plus large et le soutien à l’Ukraine.</w:t>
      </w:r>
    </w:p>
    <w:p w:rsidR="00DE314D" w:rsidRPr="009E7D16" w:rsidRDefault="00DE314D" w:rsidP="00585C83">
      <w:pPr>
        <w:pStyle w:val="ListBullet"/>
        <w:rPr>
          <w:rFonts w:eastAsia="Arial Unicode MS"/>
          <w:b/>
          <w:bCs/>
          <w:noProof/>
        </w:rPr>
      </w:pPr>
      <w:r w:rsidRPr="009E7D16">
        <w:rPr>
          <w:b/>
          <w:noProof/>
        </w:rPr>
        <w:t>Proportionnalité</w:t>
      </w:r>
    </w:p>
    <w:p w:rsidR="00D60BCF" w:rsidRPr="009E7D16" w:rsidRDefault="00D60BCF" w:rsidP="002947B8">
      <w:pPr>
        <w:pBdr>
          <w:top w:val="nil"/>
          <w:left w:val="nil"/>
          <w:bottom w:val="nil"/>
          <w:right w:val="nil"/>
          <w:between w:val="nil"/>
          <w:bar w:val="nil"/>
        </w:pBdr>
        <w:spacing w:before="0" w:after="240"/>
        <w:rPr>
          <w:rFonts w:eastAsia="Arial Unicode MS"/>
          <w:noProof/>
        </w:rPr>
      </w:pPr>
      <w:r w:rsidRPr="009E7D16">
        <w:rPr>
          <w:noProof/>
        </w:rPr>
        <w:t xml:space="preserve">La proposition est conforme au principe de proportionnalité énoncé à l’article 5, paragraphe 4, du TUE, étant donné que les objectifs énoncés ci-dessus ne peuvent être atteints qu’au moyen de la participation de l’Union à l’adoption de la résolution établissant l’APE sur le comité de direction du Tribunal spécial. </w:t>
      </w:r>
    </w:p>
    <w:p w:rsidR="00DE314D" w:rsidRPr="009E7D16" w:rsidRDefault="00DE314D" w:rsidP="00585C83">
      <w:pPr>
        <w:pStyle w:val="ListBullet"/>
        <w:rPr>
          <w:rFonts w:eastAsia="Arial Unicode MS"/>
          <w:b/>
          <w:bCs/>
          <w:noProof/>
        </w:rPr>
      </w:pPr>
      <w:r w:rsidRPr="009E7D16">
        <w:rPr>
          <w:b/>
          <w:noProof/>
        </w:rPr>
        <w:t>Choix de l’instrument</w:t>
      </w:r>
    </w:p>
    <w:p w:rsidR="00DE314D" w:rsidRPr="009E7D16" w:rsidRDefault="007C008C" w:rsidP="00437061">
      <w:pPr>
        <w:pBdr>
          <w:top w:val="nil"/>
          <w:left w:val="nil"/>
          <w:bottom w:val="nil"/>
          <w:right w:val="nil"/>
          <w:between w:val="nil"/>
          <w:bar w:val="nil"/>
        </w:pBdr>
        <w:spacing w:before="0" w:after="240"/>
        <w:rPr>
          <w:rFonts w:eastAsia="Arial Unicode MS"/>
          <w:noProof/>
        </w:rPr>
      </w:pPr>
      <w:r w:rsidRPr="009E7D16">
        <w:rPr>
          <w:noProof/>
        </w:rPr>
        <w:t xml:space="preserve">La présente proposition de décision du Conseil est soumise conformément à l’article 218, paragraphe 5, du TFUE, qui prévoit l’adoption, par le Conseil, d’une décision portant conclusion de l’accord. Aucun autre instrument juridique ne permettrait d’atteindre l’objectif énoncé dans la proposition. </w:t>
      </w:r>
    </w:p>
    <w:p w:rsidR="00DE314D" w:rsidRPr="009E7D16" w:rsidRDefault="00DE314D" w:rsidP="00F66C73">
      <w:pPr>
        <w:pStyle w:val="ManualHeading1"/>
        <w:rPr>
          <w:noProof/>
        </w:rPr>
      </w:pPr>
      <w:r>
        <w:rPr>
          <w:noProof/>
        </w:rPr>
        <w:t>2.</w:t>
      </w:r>
      <w:r>
        <w:rPr>
          <w:noProof/>
        </w:rPr>
        <w:tab/>
      </w:r>
      <w:r w:rsidRPr="009E7D16">
        <w:rPr>
          <w:noProof/>
        </w:rPr>
        <w:t>RÉSULTATS DES ÉVALUATIONS EX POST, DES CONSULTATIONS DES PARTIES INTÉRESSÉES ET DES ANALYSES D’IMPACT</w:t>
      </w:r>
    </w:p>
    <w:p w:rsidR="00DE314D" w:rsidRPr="009E7D16" w:rsidRDefault="00DE314D" w:rsidP="00585C83">
      <w:pPr>
        <w:pStyle w:val="ListBullet"/>
        <w:rPr>
          <w:rFonts w:eastAsia="Arial Unicode MS"/>
          <w:b/>
          <w:bCs/>
          <w:noProof/>
        </w:rPr>
      </w:pPr>
      <w:r w:rsidRPr="009E7D16">
        <w:rPr>
          <w:b/>
          <w:noProof/>
        </w:rPr>
        <w:t>Évaluations ex post/bilans de qualité de la législation existante</w:t>
      </w:r>
    </w:p>
    <w:p w:rsidR="00DE314D" w:rsidRPr="009E7D16" w:rsidRDefault="00DE314D" w:rsidP="00DE314D">
      <w:pPr>
        <w:pBdr>
          <w:top w:val="nil"/>
          <w:left w:val="nil"/>
          <w:bottom w:val="nil"/>
          <w:right w:val="nil"/>
          <w:between w:val="nil"/>
          <w:bar w:val="nil"/>
        </w:pBdr>
        <w:spacing w:before="0" w:after="240"/>
        <w:rPr>
          <w:rFonts w:eastAsia="Arial Unicode MS"/>
          <w:noProof/>
        </w:rPr>
      </w:pPr>
      <w:r w:rsidRPr="009E7D16">
        <w:rPr>
          <w:noProof/>
        </w:rPr>
        <w:t>Sans objet.</w:t>
      </w:r>
    </w:p>
    <w:p w:rsidR="00DE314D" w:rsidRPr="009E7D16" w:rsidRDefault="00DE314D" w:rsidP="00585C83">
      <w:pPr>
        <w:pStyle w:val="ListBullet"/>
        <w:rPr>
          <w:rFonts w:eastAsia="Arial Unicode MS"/>
          <w:b/>
          <w:bCs/>
          <w:noProof/>
        </w:rPr>
      </w:pPr>
      <w:r w:rsidRPr="009E7D16">
        <w:rPr>
          <w:b/>
          <w:noProof/>
        </w:rPr>
        <w:t>Consultation des parties intéressées</w:t>
      </w:r>
    </w:p>
    <w:p w:rsidR="00DE314D" w:rsidRPr="009E7D16" w:rsidRDefault="00DE314D" w:rsidP="00DE314D">
      <w:pPr>
        <w:pBdr>
          <w:top w:val="nil"/>
          <w:left w:val="nil"/>
          <w:bottom w:val="nil"/>
          <w:right w:val="nil"/>
          <w:between w:val="nil"/>
          <w:bar w:val="nil"/>
        </w:pBdr>
        <w:spacing w:before="0" w:after="240"/>
        <w:rPr>
          <w:rFonts w:eastAsia="Arial Unicode MS"/>
          <w:noProof/>
        </w:rPr>
      </w:pPr>
      <w:r w:rsidRPr="009E7D16">
        <w:rPr>
          <w:noProof/>
        </w:rPr>
        <w:t>Sans objet.</w:t>
      </w:r>
    </w:p>
    <w:p w:rsidR="00DE314D" w:rsidRPr="009E7D16" w:rsidRDefault="00DE314D" w:rsidP="00585C83">
      <w:pPr>
        <w:pStyle w:val="ListBullet"/>
        <w:rPr>
          <w:rFonts w:eastAsia="Arial Unicode MS"/>
          <w:b/>
          <w:bCs/>
          <w:noProof/>
        </w:rPr>
      </w:pPr>
      <w:r w:rsidRPr="009E7D16">
        <w:rPr>
          <w:b/>
          <w:noProof/>
        </w:rPr>
        <w:t>Obtention et utilisation d’expertise</w:t>
      </w:r>
    </w:p>
    <w:p w:rsidR="00DE314D" w:rsidRPr="009E7D16" w:rsidRDefault="00DE314D" w:rsidP="00DE314D">
      <w:pPr>
        <w:pBdr>
          <w:top w:val="nil"/>
          <w:left w:val="nil"/>
          <w:bottom w:val="nil"/>
          <w:right w:val="nil"/>
          <w:between w:val="nil"/>
          <w:bar w:val="nil"/>
        </w:pBdr>
        <w:spacing w:before="0" w:after="240"/>
        <w:rPr>
          <w:rFonts w:eastAsia="Arial Unicode MS"/>
          <w:noProof/>
        </w:rPr>
      </w:pPr>
      <w:r w:rsidRPr="009E7D16">
        <w:rPr>
          <w:noProof/>
        </w:rPr>
        <w:t>Sans objet.</w:t>
      </w:r>
    </w:p>
    <w:p w:rsidR="00DE314D" w:rsidRPr="009E7D16" w:rsidRDefault="00DE314D" w:rsidP="00585C83">
      <w:pPr>
        <w:pStyle w:val="ListBullet"/>
        <w:rPr>
          <w:rFonts w:eastAsia="Arial Unicode MS"/>
          <w:b/>
          <w:bCs/>
          <w:noProof/>
        </w:rPr>
      </w:pPr>
      <w:r w:rsidRPr="009E7D16">
        <w:rPr>
          <w:b/>
          <w:noProof/>
        </w:rPr>
        <w:t>Analyse d’impact</w:t>
      </w:r>
    </w:p>
    <w:p w:rsidR="00DE314D" w:rsidRPr="009E7D16" w:rsidRDefault="00DE314D" w:rsidP="00DE314D">
      <w:pPr>
        <w:pBdr>
          <w:top w:val="nil"/>
          <w:left w:val="nil"/>
          <w:bottom w:val="nil"/>
          <w:right w:val="nil"/>
          <w:between w:val="nil"/>
          <w:bar w:val="nil"/>
        </w:pBdr>
        <w:spacing w:before="0" w:after="240"/>
        <w:rPr>
          <w:rFonts w:eastAsia="Arial Unicode MS"/>
          <w:noProof/>
        </w:rPr>
      </w:pPr>
      <w:r w:rsidRPr="009E7D16">
        <w:rPr>
          <w:noProof/>
        </w:rPr>
        <w:t>Sans objet.</w:t>
      </w:r>
    </w:p>
    <w:p w:rsidR="00DE314D" w:rsidRPr="009E7D16" w:rsidRDefault="00DE314D" w:rsidP="00585C83">
      <w:pPr>
        <w:pStyle w:val="ListBullet"/>
        <w:rPr>
          <w:rFonts w:eastAsia="Arial Unicode MS"/>
          <w:b/>
          <w:bCs/>
          <w:noProof/>
        </w:rPr>
      </w:pPr>
      <w:r w:rsidRPr="009E7D16">
        <w:rPr>
          <w:b/>
          <w:noProof/>
        </w:rPr>
        <w:t>Réglementation affûtée et simplification</w:t>
      </w:r>
    </w:p>
    <w:p w:rsidR="00DE314D" w:rsidRPr="009E7D16" w:rsidRDefault="00DE314D" w:rsidP="00DE314D">
      <w:pPr>
        <w:pBdr>
          <w:top w:val="nil"/>
          <w:left w:val="nil"/>
          <w:bottom w:val="nil"/>
          <w:right w:val="nil"/>
          <w:between w:val="nil"/>
          <w:bar w:val="nil"/>
        </w:pBdr>
        <w:spacing w:before="0" w:after="240"/>
        <w:rPr>
          <w:rFonts w:eastAsia="Arial Unicode MS"/>
          <w:noProof/>
        </w:rPr>
      </w:pPr>
      <w:r w:rsidRPr="009E7D16">
        <w:rPr>
          <w:noProof/>
        </w:rPr>
        <w:t>Sans objet.</w:t>
      </w:r>
    </w:p>
    <w:p w:rsidR="00DE314D" w:rsidRPr="009E7D16" w:rsidRDefault="00DE314D" w:rsidP="00585C83">
      <w:pPr>
        <w:pStyle w:val="ListBullet"/>
        <w:rPr>
          <w:rFonts w:eastAsia="Arial Unicode MS"/>
          <w:b/>
          <w:bCs/>
          <w:noProof/>
        </w:rPr>
      </w:pPr>
      <w:r w:rsidRPr="009E7D16">
        <w:rPr>
          <w:b/>
          <w:noProof/>
        </w:rPr>
        <w:t>Droits fondamentaux</w:t>
      </w:r>
    </w:p>
    <w:p w:rsidR="00DE314D" w:rsidRPr="009E7D16" w:rsidRDefault="00B02FCE" w:rsidP="00B02FCE">
      <w:pPr>
        <w:pBdr>
          <w:top w:val="nil"/>
          <w:left w:val="nil"/>
          <w:bottom w:val="nil"/>
          <w:right w:val="nil"/>
          <w:between w:val="nil"/>
          <w:bar w:val="nil"/>
        </w:pBdr>
        <w:spacing w:before="0" w:after="240"/>
        <w:rPr>
          <w:rFonts w:eastAsia="Arial Unicode MS"/>
          <w:noProof/>
        </w:rPr>
      </w:pPr>
      <w:r w:rsidRPr="009E7D16">
        <w:rPr>
          <w:noProof/>
        </w:rPr>
        <w:t xml:space="preserve">La participation de l’Union au comité de direction du Tribunal spécial est conforme à la charte des droits fondamentaux de l’Union européenne. </w:t>
      </w:r>
    </w:p>
    <w:p w:rsidR="00DE314D" w:rsidRPr="009E7D16" w:rsidRDefault="00DE314D" w:rsidP="000C10EE">
      <w:pPr>
        <w:pStyle w:val="ManualHeading1"/>
        <w:rPr>
          <w:noProof/>
        </w:rPr>
      </w:pPr>
      <w:r>
        <w:rPr>
          <w:noProof/>
        </w:rPr>
        <w:t>3.</w:t>
      </w:r>
      <w:r>
        <w:rPr>
          <w:noProof/>
        </w:rPr>
        <w:tab/>
      </w:r>
      <w:r w:rsidRPr="009E7D16">
        <w:rPr>
          <w:noProof/>
        </w:rPr>
        <w:t>INCIDENCE BUDGÉTAIRE</w:t>
      </w:r>
    </w:p>
    <w:p w:rsidR="00A8766A" w:rsidRPr="009E7D16" w:rsidRDefault="00B538D0">
      <w:pPr>
        <w:pBdr>
          <w:top w:val="nil"/>
          <w:left w:val="nil"/>
          <w:bottom w:val="nil"/>
          <w:right w:val="nil"/>
          <w:between w:val="nil"/>
          <w:bar w:val="nil"/>
        </w:pBdr>
        <w:spacing w:before="0" w:after="240"/>
        <w:rPr>
          <w:rFonts w:eastAsia="Arial Unicode MS"/>
          <w:noProof/>
        </w:rPr>
      </w:pPr>
      <w:bookmarkStart w:id="6" w:name="_Hlk221546235"/>
      <w:r w:rsidRPr="009E7D16">
        <w:rPr>
          <w:noProof/>
        </w:rPr>
        <w:t xml:space="preserve">L’établissement et l’entrée en vigueur de l’APE auront une incidence budgétaire, l’Union sera notamment tenue de contribuer chaque année à un budget spécifique couvrant les dépenses du Tribunal spécial et de son comité de direction. Par conséquent, la participation ultérieure de l’Union, en tant que membre, à l’APE impliquera le paiement d’une contribution annuelle. Les contributions annuelles obligatoires sont fixées par le comité de direction et calculées sur </w:t>
      </w:r>
      <w:r w:rsidRPr="009E7D16">
        <w:rPr>
          <w:noProof/>
        </w:rPr>
        <w:lastRenderedPageBreak/>
        <w:t xml:space="preserve">la base du barème standard des contributions du Conseil de l’Europe, sous réserve d’éventuels ajustements. </w:t>
      </w:r>
    </w:p>
    <w:p w:rsidR="007E0AF1" w:rsidRPr="009E7D16" w:rsidRDefault="00686A98" w:rsidP="03E2E087">
      <w:pPr>
        <w:pBdr>
          <w:top w:val="nil"/>
          <w:left w:val="nil"/>
          <w:bottom w:val="nil"/>
          <w:right w:val="nil"/>
          <w:between w:val="nil"/>
          <w:bar w:val="nil"/>
        </w:pBdr>
        <w:spacing w:before="0" w:after="240"/>
        <w:rPr>
          <w:rFonts w:eastAsia="Arial Unicode MS"/>
          <w:noProof/>
        </w:rPr>
      </w:pPr>
      <w:r w:rsidRPr="009E7D16">
        <w:rPr>
          <w:noProof/>
        </w:rPr>
        <w:t xml:space="preserve">En attendant de connaître la date d’entrée en vigueur de la résolution établissant l’APE, dont le premier budget annuel sera partagé entre les membres fondateurs, le Conseil de l’Europe a proposé d’adopter une «approche par étapes» en ce qui concerne les différentes phases relatives à la création du Tribunal. Cette approche prévoit, dans l’attente de l’entrée en vigueur de l’APE, la mise en place d’une équipe préparatoire pluridisciplinaire (phase 0) et d’un tribunal en formation réduite (phase 1). Les phases 0 et 1 sont destinées à jeter les bases nécessaires à la création du Tribunal spécial à part entière (phase 2). Bien que les estimations budgétaires concernant la phase 2 ne soient pas encore disponibles, des estimations préliminaires relatives aux phases 0 et 1 ont été fournies. Si l’on inclut les coûts liés aux adaptations nécessaires en matière de sécurité des locaux, la phase 0 s’élève à environ 30 millions d’EUR au total et la phase 1 à un montant compris entre 74 et 77 millions d’EUR par an pendant trois ans. Selon le Conseil de l’Europe, avant l’entrée en vigueur de l’APE, ces coûts peuvent être couverts par des contributions volontaires des États qui apportent leur soutien et de l’Union. </w:t>
      </w:r>
    </w:p>
    <w:p w:rsidR="007E0AF1" w:rsidRPr="009E7D16" w:rsidRDefault="007E0AF1" w:rsidP="03E2E087">
      <w:pPr>
        <w:pBdr>
          <w:top w:val="nil"/>
          <w:left w:val="nil"/>
          <w:bottom w:val="nil"/>
          <w:right w:val="nil"/>
          <w:between w:val="nil"/>
          <w:bar w:val="nil"/>
        </w:pBdr>
        <w:spacing w:before="0" w:after="240"/>
        <w:rPr>
          <w:rFonts w:eastAsia="Arial Unicode MS"/>
          <w:noProof/>
        </w:rPr>
      </w:pPr>
      <w:r w:rsidRPr="009E7D16">
        <w:rPr>
          <w:noProof/>
        </w:rPr>
        <w:t>À ce stade, sans connaître précisément le nombre d’États participants ni la date d’entrée en vigueur de l’APE, le montant exact de la contribution de l’Union en tant que membre du comité de direction ne peut être déterminé avec certitude. Toutefois, le Conseil de l’Europe a présenté le scénario suivant concernant la répartition des coûts au cours des phases 0 et 1: la contribution de l’Union, calculée sur la base du barème des contributions du registre des dommages (où la contribution de l’Union s’élève à 14 % du budget total), et en supposant la participation des 40 États ayant pris part au groupe restreint, s’élèverait à environ 4,3 millions d’EUR pour la phase 0 et se situerait entre 10,5 et 11 millions d’EUR par an pendant trois ans pour la phase 1. L’Union ne sera pas tenue de verser de contributions obligatoires avant l’entrée en vigueur de l’accord partiel élargi, qui n’aura probablement pas lieu avant 2028. Pour la période débutant en 2028, la contribution de l’Union pourra être fournie au titre de l’instrument «Europe dans le monde», sous réserve du résultat des négociations interinstitutionnelles sur le cadre financier pluriannuel 2028-2034, et ensuite être déterminée dans le cadre de la procédure budgétaire annuelle et du mécanisme de pilotage.</w:t>
      </w:r>
    </w:p>
    <w:p w:rsidR="007E0AF1" w:rsidRPr="009E7D16" w:rsidRDefault="00E23DF8" w:rsidP="007E0AF1">
      <w:pPr>
        <w:pBdr>
          <w:top w:val="nil"/>
          <w:left w:val="nil"/>
          <w:bottom w:val="nil"/>
          <w:right w:val="nil"/>
          <w:between w:val="nil"/>
          <w:bar w:val="nil"/>
        </w:pBdr>
        <w:spacing w:before="0" w:after="240"/>
        <w:rPr>
          <w:rFonts w:eastAsia="Arial Unicode MS"/>
          <w:noProof/>
        </w:rPr>
      </w:pPr>
      <w:r w:rsidRPr="009E7D16">
        <w:rPr>
          <w:noProof/>
        </w:rPr>
        <w:t>Outre les estimations de coûts fournies par le Conseil de l’Europe comme indiqué ci-dessus, le 22 janvier 2026, le Conseil de l’Europe et l’Union européenne ont signé une convention de contribution d’un montant de 10 millions d’EUR destinée à financer un projet d’une durée maximale de 24 mois par l’intermédiaire du service des instruments de politique étrangère de la Commission européenne. Cette convention vise à créer une équipe préparatoire chargée de jeter les bases institutionnelles, logistiques et organisationnelles nécessaires aux prochaines phases d’établissement du Tribunal spécial. Le soutien de l’Union couvre notamment les dépenses liées au personnel pour les années 2026 et 2027.</w:t>
      </w:r>
    </w:p>
    <w:bookmarkEnd w:id="6"/>
    <w:p w:rsidR="003642E7" w:rsidRPr="009E7D16" w:rsidRDefault="00287425">
      <w:pPr>
        <w:pBdr>
          <w:top w:val="nil"/>
          <w:left w:val="nil"/>
          <w:bottom w:val="nil"/>
          <w:right w:val="nil"/>
          <w:between w:val="nil"/>
          <w:bar w:val="nil"/>
        </w:pBdr>
        <w:spacing w:before="0" w:after="240"/>
        <w:rPr>
          <w:rFonts w:eastAsia="Arial Unicode MS"/>
          <w:noProof/>
        </w:rPr>
      </w:pPr>
      <w:r w:rsidRPr="009E7D16">
        <w:rPr>
          <w:noProof/>
        </w:rPr>
        <w:t xml:space="preserve">La fiche financière législative annexée à la présente proposition donne plus de précisions sur l’incidence financière de la présente proposition. </w:t>
      </w:r>
    </w:p>
    <w:p w:rsidR="00DE314D" w:rsidRPr="009E7D16" w:rsidRDefault="00DE314D" w:rsidP="000C10EE">
      <w:pPr>
        <w:pStyle w:val="ManualHeading1"/>
        <w:rPr>
          <w:noProof/>
        </w:rPr>
      </w:pPr>
      <w:r>
        <w:rPr>
          <w:noProof/>
        </w:rPr>
        <w:t>4.</w:t>
      </w:r>
      <w:r>
        <w:rPr>
          <w:noProof/>
        </w:rPr>
        <w:tab/>
      </w:r>
      <w:r w:rsidRPr="009E7D16">
        <w:rPr>
          <w:noProof/>
        </w:rPr>
        <w:t>AUTRES ÉLÉMENTS</w:t>
      </w:r>
    </w:p>
    <w:p w:rsidR="00A6265E" w:rsidRPr="009E7D16" w:rsidRDefault="00DE314D" w:rsidP="00585C83">
      <w:pPr>
        <w:pStyle w:val="ListBullet"/>
        <w:rPr>
          <w:rFonts w:eastAsia="Arial Unicode MS"/>
          <w:b/>
          <w:bCs/>
          <w:noProof/>
        </w:rPr>
      </w:pPr>
      <w:r w:rsidRPr="009E7D16">
        <w:rPr>
          <w:b/>
          <w:noProof/>
        </w:rPr>
        <w:t>Plans de mise en œuvre et modalités de suivi, d’évaluation et d’information</w:t>
      </w:r>
    </w:p>
    <w:p w:rsidR="00AD0C31" w:rsidRPr="009E7D16" w:rsidRDefault="00AD0C31" w:rsidP="00B23705">
      <w:pPr>
        <w:pBdr>
          <w:top w:val="nil"/>
          <w:left w:val="nil"/>
          <w:bottom w:val="nil"/>
          <w:right w:val="nil"/>
          <w:between w:val="nil"/>
          <w:bar w:val="nil"/>
        </w:pBdr>
        <w:spacing w:before="0" w:after="240"/>
        <w:rPr>
          <w:noProof/>
        </w:rPr>
      </w:pPr>
      <w:r w:rsidRPr="009E7D16">
        <w:rPr>
          <w:noProof/>
        </w:rPr>
        <w:t xml:space="preserve">Conformément à la résolution établissant l’APE, le comité de direction devrait également adopter le rapport d’activité du Tribunal spécial, tel qu’il a été préparé par son président. </w:t>
      </w:r>
    </w:p>
    <w:p w:rsidR="00B23705" w:rsidRPr="009E7D16" w:rsidRDefault="003C73A6" w:rsidP="00B23705">
      <w:pPr>
        <w:pBdr>
          <w:top w:val="nil"/>
          <w:left w:val="nil"/>
          <w:bottom w:val="nil"/>
          <w:right w:val="nil"/>
          <w:between w:val="nil"/>
          <w:bar w:val="nil"/>
        </w:pBdr>
        <w:spacing w:before="0" w:after="240"/>
        <w:rPr>
          <w:noProof/>
        </w:rPr>
      </w:pPr>
      <w:r w:rsidRPr="009E7D16">
        <w:rPr>
          <w:noProof/>
        </w:rPr>
        <w:lastRenderedPageBreak/>
        <w:t>Comme le prévoit la résolution établissant l’APE, le comité de direction devrait approuver chaque année les comptes de l’APE, qui sont établis par le secrétaire général du Conseil de l’Europe et accompagnés du rapport de l’auditeur externe, conformément au règlement financier.</w:t>
      </w:r>
    </w:p>
    <w:p w:rsidR="006769A1" w:rsidRPr="009E7D16" w:rsidRDefault="00B23705" w:rsidP="00B23705">
      <w:pPr>
        <w:pBdr>
          <w:top w:val="nil"/>
          <w:left w:val="nil"/>
          <w:bottom w:val="nil"/>
          <w:right w:val="nil"/>
          <w:between w:val="nil"/>
          <w:bar w:val="nil"/>
        </w:pBdr>
        <w:spacing w:before="0" w:after="240"/>
        <w:rPr>
          <w:noProof/>
        </w:rPr>
      </w:pPr>
      <w:r w:rsidRPr="009E7D16">
        <w:rPr>
          <w:noProof/>
        </w:rPr>
        <w:t>Afin de décharger le secrétaire général du Conseil de l’Europe de sa responsabilité pour l’année financière en question, le secrétaire exécutif doit transmettre au Comité des ministres les comptes, l’approbation ou les observations du Comité, ainsi que les rapports de l’auditeur.</w:t>
      </w:r>
    </w:p>
    <w:p w:rsidR="00DE314D" w:rsidRPr="009E7D16" w:rsidRDefault="00DE314D" w:rsidP="00585C83">
      <w:pPr>
        <w:pStyle w:val="ListBullet"/>
        <w:rPr>
          <w:rFonts w:eastAsia="Arial Unicode MS"/>
          <w:b/>
          <w:bCs/>
          <w:noProof/>
        </w:rPr>
      </w:pPr>
      <w:r w:rsidRPr="009E7D16">
        <w:rPr>
          <w:b/>
          <w:noProof/>
        </w:rPr>
        <w:t>Documents explicatifs (pour les directives)</w:t>
      </w:r>
    </w:p>
    <w:p w:rsidR="00DE314D" w:rsidRPr="009E7D16" w:rsidRDefault="00DE314D" w:rsidP="00DE314D">
      <w:pPr>
        <w:pBdr>
          <w:top w:val="nil"/>
          <w:left w:val="nil"/>
          <w:bottom w:val="nil"/>
          <w:right w:val="nil"/>
          <w:between w:val="nil"/>
          <w:bar w:val="nil"/>
        </w:pBdr>
        <w:spacing w:before="0" w:after="240"/>
        <w:rPr>
          <w:rFonts w:eastAsia="Arial Unicode MS"/>
          <w:noProof/>
        </w:rPr>
      </w:pPr>
      <w:r w:rsidRPr="009E7D16">
        <w:rPr>
          <w:noProof/>
        </w:rPr>
        <w:t>Sans objet.</w:t>
      </w:r>
    </w:p>
    <w:p w:rsidR="00DE314D" w:rsidRPr="009E7D16" w:rsidRDefault="00DE314D" w:rsidP="00585C83">
      <w:pPr>
        <w:pStyle w:val="ListBullet"/>
        <w:rPr>
          <w:rFonts w:eastAsia="Arial Unicode MS"/>
          <w:b/>
          <w:bCs/>
          <w:noProof/>
        </w:rPr>
      </w:pPr>
      <w:r w:rsidRPr="009E7D16">
        <w:rPr>
          <w:b/>
          <w:noProof/>
        </w:rPr>
        <w:t>Explication détaillée de certaines dispositions de la proposition</w:t>
      </w:r>
    </w:p>
    <w:p w:rsidR="00DE314D" w:rsidRPr="009E7D16" w:rsidRDefault="00C712C2" w:rsidP="693CBF78">
      <w:pPr>
        <w:pBdr>
          <w:top w:val="nil"/>
          <w:left w:val="nil"/>
          <w:bottom w:val="nil"/>
          <w:right w:val="nil"/>
          <w:between w:val="nil"/>
          <w:bar w:val="nil"/>
        </w:pBdr>
        <w:spacing w:before="0" w:after="240"/>
        <w:rPr>
          <w:noProof/>
        </w:rPr>
      </w:pPr>
      <w:r w:rsidRPr="009E7D16">
        <w:rPr>
          <w:noProof/>
        </w:rPr>
        <w:t>L’article 1</w:t>
      </w:r>
      <w:r w:rsidRPr="009E7D16">
        <w:rPr>
          <w:noProof/>
          <w:vertAlign w:val="superscript"/>
        </w:rPr>
        <w:t>er</w:t>
      </w:r>
      <w:r w:rsidRPr="009E7D16">
        <w:rPr>
          <w:noProof/>
        </w:rPr>
        <w:t xml:space="preserve"> concerne la signature de l’accord partiel élargi sur le comité de direction du Tribunal spécial pour le crime d’agression contre l’Ukraine par la participation à l’adoption de la résolution du Comité des ministres établissant l’APE.</w:t>
      </w:r>
    </w:p>
    <w:p w:rsidR="00A6265E" w:rsidRPr="009E7D16" w:rsidRDefault="00A6265E">
      <w:pPr>
        <w:pBdr>
          <w:top w:val="nil"/>
          <w:left w:val="nil"/>
          <w:bottom w:val="nil"/>
          <w:right w:val="nil"/>
          <w:between w:val="nil"/>
          <w:bar w:val="nil"/>
        </w:pBdr>
        <w:spacing w:before="0" w:after="240"/>
        <w:rPr>
          <w:noProof/>
        </w:rPr>
      </w:pPr>
      <w:r w:rsidRPr="009E7D16">
        <w:rPr>
          <w:noProof/>
        </w:rPr>
        <w:t xml:space="preserve">L’article 2 concerne l’entrée en vigueur de la décision proposée. </w:t>
      </w:r>
    </w:p>
    <w:p w:rsidR="007C008C" w:rsidRPr="009E7D16" w:rsidRDefault="007C008C" w:rsidP="007C008C">
      <w:pPr>
        <w:pStyle w:val="ManualHeading2"/>
        <w:rPr>
          <w:rFonts w:eastAsia="Arial Unicode MS"/>
          <w:noProof/>
          <w:u w:color="000000"/>
          <w:bdr w:val="nil"/>
        </w:rPr>
      </w:pPr>
      <w:r w:rsidRPr="009E7D16">
        <w:rPr>
          <w:noProof/>
          <w:u w:color="000000"/>
          <w:bdr w:val="nil"/>
        </w:rPr>
        <w:t>•</w:t>
      </w:r>
      <w:r w:rsidRPr="009E7D16">
        <w:rPr>
          <w:noProof/>
        </w:rPr>
        <w:tab/>
      </w:r>
      <w:r w:rsidRPr="009E7D16">
        <w:rPr>
          <w:noProof/>
          <w:u w:color="000000"/>
          <w:bdr w:val="nil"/>
        </w:rPr>
        <w:t>Texte de l’accord et notifications</w:t>
      </w:r>
    </w:p>
    <w:p w:rsidR="0065045C" w:rsidRPr="009E7D16" w:rsidRDefault="007C008C" w:rsidP="0065045C">
      <w:pPr>
        <w:rPr>
          <w:noProof/>
          <w:szCs w:val="24"/>
        </w:rPr>
      </w:pPr>
      <w:r w:rsidRPr="009E7D16">
        <w:rPr>
          <w:noProof/>
        </w:rPr>
        <w:t xml:space="preserve">Le texte de la résolution établissant l’APE et le projet de décision du Comité des ministres du Conseil de l’Europe sont soumis au Conseil en même temps que la présente proposition. </w:t>
      </w:r>
    </w:p>
    <w:p w:rsidR="0065045C" w:rsidRPr="009E7D16" w:rsidRDefault="0065045C">
      <w:pPr>
        <w:spacing w:before="0" w:after="200" w:line="276" w:lineRule="auto"/>
        <w:jc w:val="left"/>
        <w:rPr>
          <w:noProof/>
          <w:szCs w:val="24"/>
        </w:rPr>
      </w:pPr>
      <w:r w:rsidRPr="009E7D16">
        <w:rPr>
          <w:noProof/>
        </w:rPr>
        <w:br w:type="page"/>
      </w:r>
    </w:p>
    <w:p w:rsidR="00177EC1" w:rsidRDefault="0020230C">
      <w:pPr>
        <w:pStyle w:val="Rfrenceinterinstitutionnelle"/>
        <w:rPr>
          <w:noProof/>
        </w:rPr>
      </w:pPr>
      <w:r>
        <w:rPr>
          <w:noProof/>
        </w:rPr>
        <w:lastRenderedPageBreak/>
        <w:t>2026/0080 (NLE)</w:t>
      </w:r>
    </w:p>
    <w:p w:rsidR="003D6323" w:rsidRPr="009E7D16" w:rsidRDefault="009E7D16" w:rsidP="009E7D16">
      <w:pPr>
        <w:pStyle w:val="Statut"/>
        <w:rPr>
          <w:noProof/>
        </w:rPr>
      </w:pPr>
      <w:r w:rsidRPr="009E7D16">
        <w:rPr>
          <w:noProof/>
        </w:rPr>
        <w:t>Proposition de</w:t>
      </w:r>
    </w:p>
    <w:p w:rsidR="00DE314D" w:rsidRPr="009E7D16" w:rsidRDefault="009E7D16" w:rsidP="009E7D16">
      <w:pPr>
        <w:pStyle w:val="Typedudocument"/>
        <w:rPr>
          <w:noProof/>
        </w:rPr>
      </w:pPr>
      <w:r w:rsidRPr="009E7D16">
        <w:rPr>
          <w:noProof/>
        </w:rPr>
        <w:t>DÉCISION DU CONSEIL</w:t>
      </w:r>
    </w:p>
    <w:p w:rsidR="00DE314D" w:rsidRPr="009E7D16" w:rsidRDefault="009E7D16" w:rsidP="009E7D16">
      <w:pPr>
        <w:pStyle w:val="Titreobjet"/>
        <w:rPr>
          <w:noProof/>
        </w:rPr>
      </w:pPr>
      <w:r w:rsidRPr="009E7D16">
        <w:rPr>
          <w:noProof/>
        </w:rPr>
        <w:t xml:space="preserve">sur la signature, au nom de l’Union européenne, de l’accord partiel élargi sur le comité de direction du Tribunal spécial pour le crime d’agression contre l’Ukraine </w:t>
      </w:r>
    </w:p>
    <w:p w:rsidR="00DE314D" w:rsidRPr="009E7D16" w:rsidRDefault="00DE314D">
      <w:pPr>
        <w:pStyle w:val="Institutionquiagit"/>
        <w:rPr>
          <w:noProof/>
        </w:rPr>
      </w:pPr>
      <w:r w:rsidRPr="009E7D16">
        <w:rPr>
          <w:noProof/>
        </w:rPr>
        <w:t>LE CONSEIL DE L’UNION EUROPÉENNE,</w:t>
      </w:r>
    </w:p>
    <w:p w:rsidR="00DE314D" w:rsidRPr="009E7D16" w:rsidRDefault="00DE314D" w:rsidP="00B3373E">
      <w:pPr>
        <w:rPr>
          <w:noProof/>
        </w:rPr>
      </w:pPr>
      <w:r w:rsidRPr="009E7D16">
        <w:rPr>
          <w:noProof/>
        </w:rPr>
        <w:t>vu le traité sur le fonctionnement de l’Union européenne, et notamment son article 212, en liaison avec l’article 218, paragraphe 5,</w:t>
      </w:r>
    </w:p>
    <w:p w:rsidR="00DE314D" w:rsidRPr="009E7D16" w:rsidRDefault="00DE314D">
      <w:pPr>
        <w:rPr>
          <w:noProof/>
        </w:rPr>
      </w:pPr>
      <w:r w:rsidRPr="009E7D16">
        <w:rPr>
          <w:noProof/>
        </w:rPr>
        <w:t>vu la proposition de la Commission européenne,</w:t>
      </w:r>
    </w:p>
    <w:p w:rsidR="00DE314D" w:rsidRPr="009E7D16" w:rsidRDefault="00DE314D">
      <w:pPr>
        <w:rPr>
          <w:noProof/>
        </w:rPr>
      </w:pPr>
      <w:r w:rsidRPr="009E7D16">
        <w:rPr>
          <w:noProof/>
        </w:rPr>
        <w:t>considérant ce qui suit:</w:t>
      </w:r>
    </w:p>
    <w:p w:rsidR="002A59CD" w:rsidRPr="009E7D16" w:rsidRDefault="002A59CD" w:rsidP="00E658A2">
      <w:pPr>
        <w:pStyle w:val="ManualConsidrant"/>
        <w:rPr>
          <w:noProof/>
        </w:rPr>
      </w:pPr>
      <w:r>
        <w:rPr>
          <w:noProof/>
        </w:rPr>
        <w:t>(1)</w:t>
      </w:r>
      <w:r>
        <w:rPr>
          <w:noProof/>
        </w:rPr>
        <w:tab/>
      </w:r>
      <w:r w:rsidRPr="009E7D16">
        <w:rPr>
          <w:noProof/>
        </w:rPr>
        <w:t>Dans ses conclusions du 24 février 2022, le Conseil européen a condamné avec la plus grande fermeté l’agression militaire non provoquée et injustifiée de la Fédération de Russie contre l’Ukraine et a affirmé que la Russie portait l’entière responsabilité de cet acte d’agression, et qu’elle devra répondre de ses actions</w:t>
      </w:r>
      <w:r w:rsidRPr="009E7D16">
        <w:rPr>
          <w:rStyle w:val="FootnoteReference"/>
          <w:noProof/>
        </w:rPr>
        <w:footnoteReference w:id="27"/>
      </w:r>
      <w:r w:rsidRPr="009E7D16">
        <w:rPr>
          <w:noProof/>
        </w:rPr>
        <w:t xml:space="preserve">. </w:t>
      </w:r>
    </w:p>
    <w:p w:rsidR="002A59CD" w:rsidRPr="009E7D16" w:rsidRDefault="002A59CD" w:rsidP="00AC6F4F">
      <w:pPr>
        <w:pStyle w:val="ManualConsidrant"/>
        <w:rPr>
          <w:noProof/>
        </w:rPr>
      </w:pPr>
      <w:r>
        <w:rPr>
          <w:noProof/>
        </w:rPr>
        <w:t>(2)</w:t>
      </w:r>
      <w:r>
        <w:rPr>
          <w:noProof/>
        </w:rPr>
        <w:tab/>
      </w:r>
      <w:r w:rsidRPr="009E7D16">
        <w:rPr>
          <w:noProof/>
        </w:rPr>
        <w:t>Dans sa résolution A/RES/ES-11/1 du 2 mars 2022, l’Assemblée générale des Nations unies a constaté que les opérations militaires menées par la Fédération de Russie à l’intérieur du territoire souverain de l’Ukraine auxquelles la communauté internationale assiste sont d’une ampleur jamais vue en Europe depuis des décennies, a déploré dans les termes les plus vifs l’agression commise par la Fédération de Russie contre l’Ukraine en violation de l’article 2, paragraphe 4, de la charte des Nations Unies sur l’interdiction du recours à la force, et a exigé que la Fédération de Russie cesse immédiatement d’employer la force contre l’Ukraine et retire immédiatement, complètement et sans condition toutes ses forces militaires du territoire ukrainien à l’intérieur des frontières internationalement reconnues du pays</w:t>
      </w:r>
      <w:r w:rsidRPr="009E7D16">
        <w:rPr>
          <w:rStyle w:val="FootnoteReference"/>
          <w:noProof/>
        </w:rPr>
        <w:footnoteReference w:id="28"/>
      </w:r>
      <w:r w:rsidRPr="009E7D16">
        <w:rPr>
          <w:noProof/>
        </w:rPr>
        <w:t>.</w:t>
      </w:r>
    </w:p>
    <w:p w:rsidR="00AC6F4F" w:rsidRPr="009E7D16" w:rsidRDefault="00AC6F4F" w:rsidP="00AC6F4F">
      <w:pPr>
        <w:pStyle w:val="ManualConsidrant"/>
        <w:rPr>
          <w:noProof/>
        </w:rPr>
      </w:pPr>
      <w:r>
        <w:rPr>
          <w:noProof/>
        </w:rPr>
        <w:t>(3)</w:t>
      </w:r>
      <w:r>
        <w:rPr>
          <w:noProof/>
        </w:rPr>
        <w:tab/>
      </w:r>
      <w:r w:rsidRPr="009E7D16">
        <w:rPr>
          <w:noProof/>
        </w:rPr>
        <w:t>Le 2 mars 2022, le bureau du procureur de la Cour pénale internationale (CPI) a annoncé qu’il avait ouvert une enquête sur la situation en Ukraine sur la base des saisines reçues à ce sujet de 39 États parties à la CPI et de la constatation qu’il existait une base raisonnable permettant de penser que des crimes relevant de la compétence de la Cour avaient été commis. Pourtant, le régime juridictionnel prévu par le statut de Rome en matière de crime d’agression empêche actuellement la CPI d’exercer sa compétence à l’égard du crime d’agression dans le contexte de l’Ukraine.</w:t>
      </w:r>
    </w:p>
    <w:p w:rsidR="00AC6F4F" w:rsidRPr="009E7D16" w:rsidRDefault="00B55726" w:rsidP="39D16BB6">
      <w:pPr>
        <w:pStyle w:val="ManualConsidrant"/>
        <w:rPr>
          <w:noProof/>
        </w:rPr>
      </w:pPr>
      <w:r>
        <w:rPr>
          <w:noProof/>
        </w:rPr>
        <w:t>(4)</w:t>
      </w:r>
      <w:r>
        <w:rPr>
          <w:noProof/>
        </w:rPr>
        <w:tab/>
      </w:r>
      <w:r w:rsidRPr="009E7D16">
        <w:rPr>
          <w:noProof/>
        </w:rPr>
        <w:t>Dans ses conclusions des 20 et 21 octobre 2022, le Conseil européen a invité le haut représentant et la Commission à étudier les options permettant de faire en sorte que les responsables répondent pleinement de leurs actes, y compris les auteurs du crime d’agression contre l’Ukraine</w:t>
      </w:r>
      <w:r w:rsidRPr="009E7D16">
        <w:rPr>
          <w:rStyle w:val="FootnoteReference"/>
          <w:noProof/>
        </w:rPr>
        <w:footnoteReference w:id="29"/>
      </w:r>
      <w:r w:rsidRPr="009E7D16">
        <w:rPr>
          <w:noProof/>
        </w:rPr>
        <w:t xml:space="preserve">. Dans ses conclusions du 15 décembre 2022, le Conseil </w:t>
      </w:r>
      <w:r w:rsidRPr="009E7D16">
        <w:rPr>
          <w:noProof/>
        </w:rPr>
        <w:lastRenderedPageBreak/>
        <w:t>européen a accueilli avec satisfaction les efforts visant à ce que les responsables de crimes de guerre et des autres crimes les plus graves liés à la guerre d’agression menée par la Russie contre l’Ukraine répondent pleinement de leurs actes, notamment pour ce qui concerne les moyens de faire en sorte que les auteurs du crime d’agression aient à en répondre, et s’est déclaré favorable à la poursuite de ces efforts. Il a invité la Commission, le haut représentant et le Conseil à faire avancer les travaux, conformément au droit de l’Union et au droit international, en soulignant que les poursuites relatives au crime d’agression concernent l’ensemble de la communauté internationale</w:t>
      </w:r>
      <w:r w:rsidRPr="009E7D16">
        <w:rPr>
          <w:rStyle w:val="FootnoteReference"/>
          <w:noProof/>
        </w:rPr>
        <w:footnoteReference w:id="30"/>
      </w:r>
      <w:r w:rsidRPr="009E7D16">
        <w:rPr>
          <w:noProof/>
        </w:rPr>
        <w:t>.</w:t>
      </w:r>
    </w:p>
    <w:p w:rsidR="00F2211E" w:rsidRPr="009E7D16" w:rsidRDefault="00F2211E" w:rsidP="003E1088">
      <w:pPr>
        <w:pStyle w:val="ManualConsidrant"/>
        <w:rPr>
          <w:noProof/>
        </w:rPr>
      </w:pPr>
      <w:r>
        <w:rPr>
          <w:noProof/>
        </w:rPr>
        <w:t>(5)</w:t>
      </w:r>
      <w:r>
        <w:rPr>
          <w:noProof/>
        </w:rPr>
        <w:tab/>
      </w:r>
      <w:r w:rsidRPr="009E7D16">
        <w:rPr>
          <w:noProof/>
        </w:rPr>
        <w:t>Dans sa résolution A/RES/ES-11/6 du 23 février 2023, l’Assemblée générale des Nations Unies a souligné qu’il faut ouvrir des enquêtes et engager des poursuites appropriées, équitables et indépendantes au niveau national ou international pour que les auteurs des crimes les plus graves au regard du droit international qui auront été commis sur le territoire ukrainien répondent de leurs actes, et pour que justice soit rendue à toutes les victimes et que de futurs crimes soient évités</w:t>
      </w:r>
      <w:r w:rsidRPr="009E7D16">
        <w:rPr>
          <w:rStyle w:val="FootnoteReference"/>
          <w:rFonts w:eastAsia="Times New Roman"/>
          <w:noProof/>
        </w:rPr>
        <w:footnoteReference w:id="31"/>
      </w:r>
      <w:r w:rsidRPr="009E7D16">
        <w:rPr>
          <w:noProof/>
        </w:rPr>
        <w:t>.</w:t>
      </w:r>
    </w:p>
    <w:p w:rsidR="003E1088" w:rsidRPr="009E7D16" w:rsidRDefault="00A649E6" w:rsidP="003E1088">
      <w:pPr>
        <w:pStyle w:val="ManualConsidrant"/>
        <w:rPr>
          <w:noProof/>
        </w:rPr>
      </w:pPr>
      <w:r>
        <w:rPr>
          <w:noProof/>
        </w:rPr>
        <w:t>(6)</w:t>
      </w:r>
      <w:r>
        <w:rPr>
          <w:noProof/>
        </w:rPr>
        <w:tab/>
      </w:r>
      <w:r w:rsidRPr="009E7D16">
        <w:rPr>
          <w:noProof/>
        </w:rPr>
        <w:t xml:space="preserve">Depuis janvier 2023, des représentants d’environ 40 États, des services de la Commission européenne et du Service européen pour l’action extérieure et du Conseil de l’Europe se sont réunis dans le cadre du groupe restreint sur la création d’un Tribunal spécial pour le crime d’agression contre l’Ukraine (ci-après le «groupe restreint») et ont discuté des modalités de la création d’un Tribunal spécial habilité à enquêter sur les personnes qui portent la plus grande part de responsabilité dans le crime d’agression contre l’Ukraine, à les poursuivre et à les juger. </w:t>
      </w:r>
    </w:p>
    <w:p w:rsidR="00C25F36" w:rsidRPr="009E7D16" w:rsidRDefault="001E5729" w:rsidP="00C25F36">
      <w:pPr>
        <w:pStyle w:val="ManualConsidrant"/>
        <w:rPr>
          <w:noProof/>
          <w:szCs w:val="24"/>
        </w:rPr>
      </w:pPr>
      <w:r>
        <w:rPr>
          <w:noProof/>
        </w:rPr>
        <w:t>(7)</w:t>
      </w:r>
      <w:r>
        <w:rPr>
          <w:noProof/>
        </w:rPr>
        <w:tab/>
      </w:r>
      <w:r w:rsidRPr="009E7D16">
        <w:rPr>
          <w:noProof/>
        </w:rPr>
        <w:t>Le 3 juillet 2023, le centre international chargé des poursuites pour le crime d’agression contre l’Ukraine (ICPA) a été lancé au sein de l’Agence de l’Union européenne pour la coopération judiciaire en matière pénale (Eurojust), à La Haye, afin de veiller à la coopération et à la coordination des efforts nationaux en matière d’enquêtes visant à ce que le crime d’agression contre l’Ukraine fasse l’objet d’une enquête appropriée, avec le soutien des capacités renforcées d’Eurojust sur la base du règlement (UE) 2022/838</w:t>
      </w:r>
      <w:r w:rsidRPr="009E7D16">
        <w:rPr>
          <w:rStyle w:val="FootnoteReference"/>
          <w:rFonts w:eastAsia="Times New Roman"/>
          <w:noProof/>
        </w:rPr>
        <w:footnoteReference w:id="32"/>
      </w:r>
      <w:r w:rsidRPr="009E7D16">
        <w:rPr>
          <w:noProof/>
        </w:rPr>
        <w:t xml:space="preserve"> permettant à Eurojust de conserver, d’analyser et de stocker des éléments de preuve relatifs aux génocides, aux crimes contre l’humanité, aux crimes de guerre et aux infractions pénales connexes. </w:t>
      </w:r>
    </w:p>
    <w:p w:rsidR="003014FE" w:rsidRPr="009E7D16" w:rsidRDefault="00C25F36" w:rsidP="001E7ABA">
      <w:pPr>
        <w:pStyle w:val="ManualConsidrant"/>
        <w:rPr>
          <w:noProof/>
          <w:szCs w:val="24"/>
        </w:rPr>
      </w:pPr>
      <w:r>
        <w:rPr>
          <w:noProof/>
        </w:rPr>
        <w:t>(8)</w:t>
      </w:r>
      <w:r>
        <w:rPr>
          <w:noProof/>
        </w:rPr>
        <w:tab/>
      </w:r>
      <w:r w:rsidRPr="009E7D16">
        <w:rPr>
          <w:noProof/>
        </w:rPr>
        <w:t>Dans ses conclusions de juin, octobre et décembre 2023, le Conseil européen a réaffirmé son soutien à la création du Tribunal spécial</w:t>
      </w:r>
      <w:r w:rsidRPr="009E7D16">
        <w:rPr>
          <w:rStyle w:val="FootnoteReference"/>
          <w:noProof/>
        </w:rPr>
        <w:footnoteReference w:id="33"/>
      </w:r>
      <w:r w:rsidRPr="009E7D16">
        <w:rPr>
          <w:noProof/>
        </w:rPr>
        <w:t xml:space="preserve">. Dans ses conclusions de mars 2024, le Conseil européen a déclaré que la Fédération de Russie et ses dirigeants devaient être tenus pleinement responsables de la conduite d’une guerre d’agression contre l’Ukraine et d’autres crimes parmi les plus graves au sens du droit international, ainsi que des dégâts considérables causés par leur guerre. Le Conseil européen a soutenu les efforts déployés, y compris au sein de la coalition concernée, en vue de </w:t>
      </w:r>
      <w:r w:rsidRPr="009E7D16">
        <w:rPr>
          <w:noProof/>
        </w:rPr>
        <w:lastRenderedPageBreak/>
        <w:t>mettre en place un tribunal chargé des poursuites pour le crime d’agression contre l’Ukraine, qui jouirait du soutien et de la légitimité les plus larges possible au niveau interrégional</w:t>
      </w:r>
      <w:r w:rsidRPr="009E7D16">
        <w:rPr>
          <w:rStyle w:val="FootnoteReference"/>
          <w:noProof/>
        </w:rPr>
        <w:footnoteReference w:id="34"/>
      </w:r>
      <w:r w:rsidRPr="009E7D16">
        <w:rPr>
          <w:noProof/>
        </w:rPr>
        <w:t>.</w:t>
      </w:r>
    </w:p>
    <w:p w:rsidR="00CE1E66" w:rsidRPr="009E7D16" w:rsidRDefault="00123116" w:rsidP="00CE1E66">
      <w:pPr>
        <w:pStyle w:val="ManualConsidrant"/>
        <w:rPr>
          <w:noProof/>
          <w:szCs w:val="24"/>
        </w:rPr>
      </w:pPr>
      <w:r>
        <w:rPr>
          <w:noProof/>
        </w:rPr>
        <w:t>(9)</w:t>
      </w:r>
      <w:r>
        <w:rPr>
          <w:noProof/>
        </w:rPr>
        <w:tab/>
      </w:r>
      <w:r w:rsidRPr="009E7D16">
        <w:rPr>
          <w:noProof/>
        </w:rPr>
        <w:t xml:space="preserve">Le 21 mars 2025, le groupe restreint a achevé ses travaux au niveau technique sur les projets d’instruments juridiques nécessaires à la création du Tribunal spécial, à savoir l’accord entre l’Ukraine et le Conseil de l’Europe sur la création du tribunal spécial, le statut du Tribunal spécial annexé audit accord et l’accord partiel élargi sur le comité de direction du Tribunal spécial (APE). </w:t>
      </w:r>
    </w:p>
    <w:p w:rsidR="006910BE" w:rsidRPr="009E7D16" w:rsidRDefault="00123116" w:rsidP="00D72F77">
      <w:pPr>
        <w:pStyle w:val="ManualConsidrant"/>
        <w:rPr>
          <w:noProof/>
          <w:szCs w:val="24"/>
        </w:rPr>
      </w:pPr>
      <w:r>
        <w:rPr>
          <w:noProof/>
        </w:rPr>
        <w:t>(10)</w:t>
      </w:r>
      <w:r>
        <w:rPr>
          <w:noProof/>
        </w:rPr>
        <w:tab/>
      </w:r>
      <w:r w:rsidRPr="009E7D16">
        <w:rPr>
          <w:noProof/>
        </w:rPr>
        <w:t>Le 9 mai 2025, les ministres des affaires étrangères et d’autres représentants des participants au groupe restreint se sont réunis à Lviv et ont adopté la «déclaration de Lviv», dans laquelle ils réaffirmaient leur engagement en faveur du processus de création du Tribunal spécial dans le cadre du Conseil de l’Europe, du démarrage rapide de ses activités et du soutien à son bon fonctionnement</w:t>
      </w:r>
      <w:r w:rsidRPr="009E7D16">
        <w:rPr>
          <w:rStyle w:val="FootnoteReference"/>
          <w:noProof/>
        </w:rPr>
        <w:footnoteReference w:id="35"/>
      </w:r>
      <w:r w:rsidRPr="009E7D16">
        <w:rPr>
          <w:noProof/>
        </w:rPr>
        <w:t>.</w:t>
      </w:r>
    </w:p>
    <w:p w:rsidR="00123116" w:rsidRPr="009E7D16" w:rsidRDefault="00123116" w:rsidP="00123116">
      <w:pPr>
        <w:pStyle w:val="ManualConsidrant"/>
        <w:rPr>
          <w:noProof/>
        </w:rPr>
      </w:pPr>
      <w:r>
        <w:rPr>
          <w:noProof/>
        </w:rPr>
        <w:t>(11)</w:t>
      </w:r>
      <w:r>
        <w:rPr>
          <w:noProof/>
        </w:rPr>
        <w:tab/>
      </w:r>
      <w:r w:rsidRPr="009E7D16">
        <w:rPr>
          <w:noProof/>
        </w:rPr>
        <w:t>Le 24 juin 2025, le Comité des ministres du Conseil de l’Europe a adopté les décisions autorisant le secrétaire général du Conseil de l’Europe à signer, au nom du Conseil de l’Europe, l’accord entre le Conseil de l’Europe et l’Ukraine relatif à la création du Tribunal spécial pour le crime d’agression contre l’Ukraine, auquel le statut du Tribunal spécial est annexé</w:t>
      </w:r>
      <w:r w:rsidRPr="009E7D16">
        <w:rPr>
          <w:rStyle w:val="FootnoteReference"/>
          <w:noProof/>
        </w:rPr>
        <w:footnoteReference w:id="36"/>
      </w:r>
      <w:r w:rsidRPr="009E7D16">
        <w:rPr>
          <w:noProof/>
        </w:rPr>
        <w:t xml:space="preserve">. En outre, le Comité des ministres a autorisé l’établissement d’un APE sur le comité de direction du Tribunal spécial pour le crime d’agression contre l’Ukraine. </w:t>
      </w:r>
    </w:p>
    <w:p w:rsidR="00123116" w:rsidRPr="009E7D16" w:rsidRDefault="00123116" w:rsidP="00123116">
      <w:pPr>
        <w:pStyle w:val="ManualConsidrant"/>
        <w:rPr>
          <w:noProof/>
        </w:rPr>
      </w:pPr>
      <w:r>
        <w:rPr>
          <w:noProof/>
        </w:rPr>
        <w:t>(12)</w:t>
      </w:r>
      <w:r>
        <w:rPr>
          <w:noProof/>
        </w:rPr>
        <w:tab/>
      </w:r>
      <w:r w:rsidRPr="009E7D16">
        <w:rPr>
          <w:noProof/>
        </w:rPr>
        <w:t>Le 25 juin 2025, le président ukrainien et le secrétaire général du Conseil de l’Europe ont signé l’accord entre l’Ukraine et le Conseil de l’Europe relatif à la création du Tribunal spécial</w:t>
      </w:r>
      <w:r w:rsidRPr="009E7D16">
        <w:rPr>
          <w:rStyle w:val="FootnoteReference"/>
          <w:noProof/>
        </w:rPr>
        <w:footnoteReference w:id="37"/>
      </w:r>
      <w:r w:rsidRPr="009E7D16">
        <w:rPr>
          <w:noProof/>
        </w:rPr>
        <w:t>.</w:t>
      </w:r>
    </w:p>
    <w:p w:rsidR="00F55D37" w:rsidRPr="009E7D16" w:rsidRDefault="000E7A7F" w:rsidP="00F55D37">
      <w:pPr>
        <w:pStyle w:val="ManualConsidrant"/>
        <w:rPr>
          <w:noProof/>
        </w:rPr>
      </w:pPr>
      <w:r>
        <w:rPr>
          <w:noProof/>
        </w:rPr>
        <w:t>(13)</w:t>
      </w:r>
      <w:r>
        <w:rPr>
          <w:noProof/>
        </w:rPr>
        <w:tab/>
      </w:r>
      <w:r w:rsidRPr="009E7D16">
        <w:rPr>
          <w:noProof/>
        </w:rPr>
        <w:t>Conformément à son statut annexé à l’accord entre l’Ukraine et le Conseil de l’Europe, le Tribunal spécial a pour objet de poursuivre et de juger les dirigeants politiques et militaires responsables d’actes d’agression contre l’Ukraine, en violation de l’article 2, paragraphe 4, de la charte des Nations unies. Le comité de direction du Tribunal spécial qui doit être institué par la résolution établissant l’APE vise à fournir les moyens financiers au Tribunal spécial et à l’assister dans certaines tâches administratives et de gestion afin de lui permettre de remplir son mandat.</w:t>
      </w:r>
    </w:p>
    <w:p w:rsidR="00597835" w:rsidRPr="009E7D16" w:rsidRDefault="00F55D37" w:rsidP="00F55D37">
      <w:pPr>
        <w:pStyle w:val="ManualConsidrant"/>
        <w:rPr>
          <w:noProof/>
        </w:rPr>
      </w:pPr>
      <w:r>
        <w:rPr>
          <w:noProof/>
        </w:rPr>
        <w:t>(14)</w:t>
      </w:r>
      <w:r>
        <w:rPr>
          <w:noProof/>
        </w:rPr>
        <w:tab/>
      </w:r>
      <w:r w:rsidRPr="009E7D16">
        <w:rPr>
          <w:noProof/>
        </w:rPr>
        <w:t>Le 21 janvier 2026, le Comité des ministres du Conseil de l’Europe a adopté une décision saluant la finalisation du projet de résolution établissant l’APE sur le comité de direction du Tribunal spécial ainsi que le fait que l’équipe préparatoire soit prête à accomplir ses missions à partir du 1</w:t>
      </w:r>
      <w:r w:rsidRPr="009E7D16">
        <w:rPr>
          <w:noProof/>
          <w:vertAlign w:val="superscript"/>
        </w:rPr>
        <w:t>er</w:t>
      </w:r>
      <w:r w:rsidRPr="009E7D16">
        <w:rPr>
          <w:noProof/>
        </w:rPr>
        <w:t> janvier 2026, grâce à une contribution volontaire de l’Union européenne</w:t>
      </w:r>
      <w:r w:rsidRPr="009E7D16">
        <w:rPr>
          <w:rStyle w:val="FootnoteReference"/>
          <w:noProof/>
        </w:rPr>
        <w:footnoteReference w:id="38"/>
      </w:r>
      <w:r w:rsidRPr="009E7D16">
        <w:rPr>
          <w:noProof/>
        </w:rPr>
        <w:t xml:space="preserve">. En conséquence, le 22 janvier 2026, le Conseil de l’Europe et l’Union européenne ont signé une convention de contribution relative à une contribution financée par l’intermédiaire du service des instruments de politique étrangère de la Commission européenne. L’accord prévoit un projet d’une durée </w:t>
      </w:r>
      <w:r w:rsidRPr="009E7D16">
        <w:rPr>
          <w:noProof/>
        </w:rPr>
        <w:lastRenderedPageBreak/>
        <w:t>maximale de 24 mois visant à mettre en place une équipe préparatoire chargée de préparer les fondements institutionnels, logistiques et organisationnels des prochaines phases du Tribunal spécial.</w:t>
      </w:r>
    </w:p>
    <w:p w:rsidR="0080445C" w:rsidRPr="009E7D16" w:rsidRDefault="00A15E45" w:rsidP="00CD79C3">
      <w:pPr>
        <w:pStyle w:val="ManualConsidrant"/>
        <w:rPr>
          <w:noProof/>
        </w:rPr>
      </w:pPr>
      <w:r>
        <w:rPr>
          <w:noProof/>
        </w:rPr>
        <w:t>(15)</w:t>
      </w:r>
      <w:r>
        <w:rPr>
          <w:noProof/>
        </w:rPr>
        <w:tab/>
      </w:r>
      <w:r w:rsidRPr="009E7D16">
        <w:rPr>
          <w:noProof/>
        </w:rPr>
        <w:t xml:space="preserve">En vertu de l’article 3, paragraphe 5, et de l’article 21, paragraphes 2 et 3, du traité sur l’Union européenne (TUE), l’Union affirme et promeut ses valeurs et contribue au strict respect et au développement du droit international, notamment au respect des principes de la charte des Nations unies. </w:t>
      </w:r>
    </w:p>
    <w:p w:rsidR="00FC7C89" w:rsidRPr="009E7D16" w:rsidRDefault="00AE4316" w:rsidP="009C3C9B">
      <w:pPr>
        <w:pStyle w:val="ManualConsidrant"/>
        <w:rPr>
          <w:noProof/>
        </w:rPr>
      </w:pPr>
      <w:r>
        <w:rPr>
          <w:noProof/>
        </w:rPr>
        <w:t>(16)</w:t>
      </w:r>
      <w:r>
        <w:rPr>
          <w:noProof/>
        </w:rPr>
        <w:tab/>
      </w:r>
      <w:r w:rsidRPr="009E7D16">
        <w:rPr>
          <w:noProof/>
        </w:rPr>
        <w:t>Il convient donc que l’Union notifie au secrétaire général du Conseil de l’Europe son intention d’adhérer à l’accord partiel élargi sur le comité de direction du Tribunal spécial pour le crime d’agression contre l’Ukraine (APE), sous réserve de l’accomplissement des procédures internes nécessaires pour exprimer son consentement à être lié, et de participer à l’adoption de la décision du Comité des ministres portant adoption de la résolution CM/Res(202x)x établissant l’APE.</w:t>
      </w:r>
    </w:p>
    <w:p w:rsidR="00BB59B9" w:rsidRPr="009E7D16" w:rsidRDefault="00BB59B9" w:rsidP="00CD79C3">
      <w:pPr>
        <w:pStyle w:val="ManualConsidrant"/>
        <w:rPr>
          <w:noProof/>
        </w:rPr>
      </w:pPr>
      <w:r>
        <w:rPr>
          <w:noProof/>
        </w:rPr>
        <w:t>(17)</w:t>
      </w:r>
      <w:r>
        <w:rPr>
          <w:noProof/>
        </w:rPr>
        <w:tab/>
      </w:r>
      <w:r w:rsidRPr="009E7D16">
        <w:rPr>
          <w:noProof/>
        </w:rPr>
        <w:t xml:space="preserve">La participation, au nom de l’Union, à l’adoption de la décision </w:t>
      </w:r>
      <w:bookmarkStart w:id="7" w:name="_Hlk224543215"/>
      <w:r w:rsidRPr="009E7D16">
        <w:rPr>
          <w:noProof/>
        </w:rPr>
        <w:t>du Comité des ministres portant adoption de la résolution CM/Res (202x)x établissant l’APE</w:t>
      </w:r>
      <w:bookmarkEnd w:id="7"/>
      <w:r w:rsidRPr="009E7D16">
        <w:rPr>
          <w:noProof/>
        </w:rPr>
        <w:t xml:space="preserve">, </w:t>
      </w:r>
      <w:bookmarkStart w:id="8" w:name="_Hlk224543254"/>
      <w:r w:rsidRPr="009E7D16">
        <w:rPr>
          <w:noProof/>
        </w:rPr>
        <w:t>tout en réservant la notification au secrétaire général du Conseil de l’Europe de l’accomplissement des procédures internes nécessaires à la conclusion de l’APE, équivaut à la signature de l’APE,</w:t>
      </w:r>
    </w:p>
    <w:bookmarkEnd w:id="8"/>
    <w:p w:rsidR="004E3DED" w:rsidRPr="009E7D16" w:rsidRDefault="004E3DED" w:rsidP="004915D8">
      <w:pPr>
        <w:rPr>
          <w:noProof/>
        </w:rPr>
      </w:pPr>
    </w:p>
    <w:p w:rsidR="005222B6" w:rsidRPr="009E7D16" w:rsidRDefault="005222B6" w:rsidP="005222B6">
      <w:pPr>
        <w:pStyle w:val="Formuledadoption"/>
        <w:rPr>
          <w:noProof/>
        </w:rPr>
      </w:pPr>
      <w:r w:rsidRPr="009E7D16">
        <w:rPr>
          <w:noProof/>
        </w:rPr>
        <w:t xml:space="preserve">A ADOPTÉ LA PRÉSENTE DÉCISION: </w:t>
      </w:r>
    </w:p>
    <w:p w:rsidR="00DE314D" w:rsidRPr="009E7D16" w:rsidRDefault="00DE314D">
      <w:pPr>
        <w:pStyle w:val="Titrearticle"/>
        <w:rPr>
          <w:noProof/>
        </w:rPr>
      </w:pPr>
      <w:r w:rsidRPr="009E7D16">
        <w:rPr>
          <w:noProof/>
        </w:rPr>
        <w:t>Article premier</w:t>
      </w:r>
    </w:p>
    <w:p w:rsidR="004D3BB3" w:rsidRPr="009E7D16" w:rsidRDefault="004D3BB3" w:rsidP="001B04CB">
      <w:pPr>
        <w:rPr>
          <w:noProof/>
        </w:rPr>
      </w:pPr>
      <w:r w:rsidRPr="009E7D16">
        <w:rPr>
          <w:noProof/>
        </w:rPr>
        <w:t xml:space="preserve">La notification, au nom de l’Union, au secrétaire général du Conseil de l’Europe de l’intention de l’Union d’adhérer à l’accord partiel élargi sur le comité de direction du Tribunal spécial pour le crime d’agression contre l’Ukraine (APE), tout en réservant la notification de l’accomplissement des procédures internes nécessaires à la conclusion de l’APE, est autorisée. </w:t>
      </w:r>
    </w:p>
    <w:p w:rsidR="00A27002" w:rsidRPr="009E7D16" w:rsidRDefault="004D3BB3" w:rsidP="001B04CB">
      <w:pPr>
        <w:rPr>
          <w:i/>
          <w:noProof/>
        </w:rPr>
      </w:pPr>
      <w:r w:rsidRPr="009E7D16">
        <w:rPr>
          <w:noProof/>
        </w:rPr>
        <w:t>La participation, au nom de l’Union, à l’adoption de la décision du Comité des ministres du Conseil de l’Europe portant adoption de la résolution CM/Res (202x) x établissant l’APE, est autorisée</w:t>
      </w:r>
      <w:r w:rsidRPr="009E7D16">
        <w:rPr>
          <w:rStyle w:val="FootnoteReference"/>
          <w:noProof/>
        </w:rPr>
        <w:footnoteReference w:id="39"/>
      </w:r>
      <w:r w:rsidRPr="009E7D16">
        <w:rPr>
          <w:noProof/>
        </w:rPr>
        <w:t>.</w:t>
      </w:r>
    </w:p>
    <w:p w:rsidR="009B4FE0" w:rsidRPr="009E7D16" w:rsidRDefault="00DE314D" w:rsidP="00D472CE">
      <w:pPr>
        <w:pStyle w:val="Titrearticle"/>
        <w:rPr>
          <w:noProof/>
        </w:rPr>
      </w:pPr>
      <w:r w:rsidRPr="009E7D16">
        <w:rPr>
          <w:noProof/>
        </w:rPr>
        <w:t>Article 2</w:t>
      </w:r>
    </w:p>
    <w:p w:rsidR="00DE314D" w:rsidRPr="009E7D16" w:rsidRDefault="009B4FE0" w:rsidP="009B4FE0">
      <w:pPr>
        <w:rPr>
          <w:noProof/>
        </w:rPr>
      </w:pPr>
      <w:r w:rsidRPr="009E7D16">
        <w:rPr>
          <w:noProof/>
        </w:rPr>
        <w:t>La présente décision entre en vigueur le jour de son adoption.</w:t>
      </w:r>
    </w:p>
    <w:p w:rsidR="39D16BB6" w:rsidRPr="009E7D16" w:rsidRDefault="009E7D16" w:rsidP="00D472CE">
      <w:pPr>
        <w:pStyle w:val="Fait"/>
        <w:rPr>
          <w:noProof/>
        </w:rPr>
      </w:pPr>
      <w:r>
        <w:rPr>
          <w:noProof/>
        </w:rPr>
        <w:t>Fait à Bruxelles, le</w:t>
      </w:r>
    </w:p>
    <w:p w:rsidR="00DE314D" w:rsidRPr="009E7D16" w:rsidRDefault="00DE314D" w:rsidP="00D472CE">
      <w:pPr>
        <w:pStyle w:val="Institutionquisigne"/>
        <w:rPr>
          <w:noProof/>
        </w:rPr>
      </w:pPr>
      <w:r w:rsidRPr="009E7D16">
        <w:rPr>
          <w:noProof/>
        </w:rPr>
        <w:tab/>
        <w:t>Par le Conseil</w:t>
      </w:r>
    </w:p>
    <w:p w:rsidR="00DE314D" w:rsidRPr="009E7D16" w:rsidRDefault="00DE314D" w:rsidP="00DE314D">
      <w:pPr>
        <w:pStyle w:val="Personnequisigne"/>
        <w:rPr>
          <w:noProof/>
        </w:rPr>
      </w:pPr>
      <w:r w:rsidRPr="009E7D16">
        <w:rPr>
          <w:noProof/>
        </w:rPr>
        <w:tab/>
        <w:t>Le président/La présidente</w:t>
      </w:r>
    </w:p>
    <w:p w:rsidR="00DE314D" w:rsidRPr="009E7D16" w:rsidRDefault="00DE314D" w:rsidP="00DE314D">
      <w:pPr>
        <w:rPr>
          <w:noProof/>
        </w:rPr>
        <w:sectPr w:rsidR="00DE314D" w:rsidRPr="009E7D16" w:rsidSect="008155FA">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DE314D" w:rsidRPr="009E7D16" w:rsidRDefault="00DE314D">
      <w:pPr>
        <w:pStyle w:val="Fichefinanciretitre"/>
        <w:keepNext/>
        <w:rPr>
          <w:noProof/>
        </w:rPr>
      </w:pPr>
      <w:r w:rsidRPr="009E7D16">
        <w:rPr>
          <w:noProof/>
        </w:rPr>
        <w:lastRenderedPageBreak/>
        <w:t>FICHE FINANCIÈRE ET NUMÉRIQUE LÉGISLATIVE</w:t>
      </w:r>
    </w:p>
    <w:p w:rsidR="00DE314D" w:rsidRPr="009E7D16" w:rsidRDefault="00DE314D">
      <w:pPr>
        <w:pStyle w:val="TOC1"/>
        <w:rPr>
          <w:rFonts w:asciiTheme="minorHAnsi" w:eastAsiaTheme="minorEastAsia" w:hAnsiTheme="minorHAnsi" w:cstheme="minorBidi"/>
          <w:noProof/>
          <w:kern w:val="2"/>
          <w:sz w:val="22"/>
          <w14:ligatures w14:val="standardContextual"/>
        </w:rPr>
      </w:pPr>
      <w:r w:rsidRPr="009E7D16">
        <w:rPr>
          <w:noProof/>
        </w:rPr>
        <w:t>1.</w:t>
      </w:r>
      <w:r w:rsidRPr="009E7D16">
        <w:rPr>
          <w:noProof/>
        </w:rPr>
        <w:tab/>
        <w:t>CADRE DE LA PROPOSITION/DE L’INITIATIVE</w:t>
      </w:r>
      <w:r w:rsidRPr="009E7D16">
        <w:rPr>
          <w:noProof/>
        </w:rPr>
        <w:tab/>
      </w:r>
      <w:r w:rsidRPr="009E7D16">
        <w:rPr>
          <w:noProof/>
          <w:webHidden/>
        </w:rPr>
        <w:t>3</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1.1.</w:t>
      </w:r>
      <w:r w:rsidRPr="009E7D16">
        <w:rPr>
          <w:noProof/>
        </w:rPr>
        <w:tab/>
        <w:t>Dénomination de la proposition/de l’initiative</w:t>
      </w:r>
      <w:r w:rsidRPr="009E7D16">
        <w:rPr>
          <w:noProof/>
        </w:rPr>
        <w:tab/>
      </w:r>
      <w:r w:rsidRPr="009E7D16">
        <w:rPr>
          <w:noProof/>
          <w:webHidden/>
        </w:rPr>
        <w:t>3</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1.2.</w:t>
      </w:r>
      <w:r w:rsidRPr="009E7D16">
        <w:rPr>
          <w:noProof/>
        </w:rPr>
        <w:tab/>
        <w:t>Domaine(s) politique(s) concerné(s)</w:t>
      </w:r>
      <w:r w:rsidRPr="009E7D16">
        <w:rPr>
          <w:noProof/>
        </w:rPr>
        <w:tab/>
      </w:r>
      <w:r w:rsidRPr="009E7D16">
        <w:rPr>
          <w:noProof/>
          <w:webHidden/>
        </w:rPr>
        <w:t>3</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1.3.</w:t>
      </w:r>
      <w:r w:rsidRPr="009E7D16">
        <w:rPr>
          <w:noProof/>
        </w:rPr>
        <w:tab/>
        <w:t>Objectif(s)</w:t>
      </w:r>
      <w:r w:rsidRPr="009E7D16">
        <w:rPr>
          <w:noProof/>
        </w:rPr>
        <w:tab/>
      </w:r>
      <w:r w:rsidRPr="009E7D16">
        <w:rPr>
          <w:noProof/>
          <w:webHidden/>
        </w:rPr>
        <w:t>3</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1.3.1.</w:t>
      </w:r>
      <w:r w:rsidRPr="009E7D16">
        <w:rPr>
          <w:noProof/>
        </w:rPr>
        <w:tab/>
        <w:t>Objectif général / objectifs généraux</w:t>
      </w:r>
      <w:r w:rsidRPr="009E7D16">
        <w:rPr>
          <w:noProof/>
        </w:rPr>
        <w:tab/>
      </w:r>
      <w:r w:rsidRPr="009E7D16">
        <w:rPr>
          <w:noProof/>
          <w:webHidden/>
        </w:rPr>
        <w:t>3</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1.3.2.</w:t>
      </w:r>
      <w:r w:rsidRPr="009E7D16">
        <w:rPr>
          <w:noProof/>
        </w:rPr>
        <w:tab/>
        <w:t>Objectif(s) spécifique(s)</w:t>
      </w:r>
      <w:r w:rsidRPr="009E7D16">
        <w:rPr>
          <w:noProof/>
        </w:rPr>
        <w:tab/>
      </w:r>
      <w:r w:rsidRPr="009E7D16">
        <w:rPr>
          <w:noProof/>
          <w:webHidden/>
        </w:rPr>
        <w:t>3</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1.3.3.</w:t>
      </w:r>
      <w:r w:rsidRPr="009E7D16">
        <w:rPr>
          <w:noProof/>
        </w:rPr>
        <w:tab/>
        <w:t>Résultat(s) et incidence(s) attendus</w:t>
      </w:r>
      <w:r w:rsidRPr="009E7D16">
        <w:rPr>
          <w:noProof/>
        </w:rPr>
        <w:tab/>
      </w:r>
      <w:r w:rsidRPr="009E7D16">
        <w:rPr>
          <w:noProof/>
          <w:webHidden/>
        </w:rPr>
        <w:t>3</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1.3.4.</w:t>
      </w:r>
      <w:r w:rsidRPr="009E7D16">
        <w:rPr>
          <w:noProof/>
        </w:rPr>
        <w:tab/>
        <w:t>Indicateurs de performance</w:t>
      </w:r>
      <w:r w:rsidRPr="009E7D16">
        <w:rPr>
          <w:noProof/>
        </w:rPr>
        <w:tab/>
      </w:r>
      <w:r w:rsidRPr="009E7D16">
        <w:rPr>
          <w:noProof/>
          <w:webHidden/>
        </w:rPr>
        <w:t>3</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1.4.</w:t>
      </w:r>
      <w:r w:rsidRPr="009E7D16">
        <w:rPr>
          <w:noProof/>
        </w:rPr>
        <w:tab/>
        <w:t>La proposition/l’initiative porte sur:</w:t>
      </w:r>
      <w:r w:rsidRPr="009E7D16">
        <w:rPr>
          <w:noProof/>
        </w:rPr>
        <w:tab/>
      </w:r>
      <w:r w:rsidRPr="009E7D16">
        <w:rPr>
          <w:noProof/>
          <w:webHidden/>
        </w:rPr>
        <w:t>4</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1.5.</w:t>
      </w:r>
      <w:r w:rsidRPr="009E7D16">
        <w:rPr>
          <w:noProof/>
        </w:rPr>
        <w:tab/>
        <w:t>Justification(s) de la proposition/de l’initiative</w:t>
      </w:r>
      <w:r w:rsidRPr="009E7D16">
        <w:rPr>
          <w:noProof/>
        </w:rPr>
        <w:tab/>
      </w:r>
      <w:r w:rsidRPr="009E7D16">
        <w:rPr>
          <w:noProof/>
          <w:webHidden/>
        </w:rPr>
        <w:t>4</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1.5.1.</w:t>
      </w:r>
      <w:r w:rsidRPr="009E7D16">
        <w:rPr>
          <w:noProof/>
        </w:rPr>
        <w:tab/>
        <w:t>Besoin(s) à satisfaire à court ou à long terme, assorti(s) d’un calendrier détaillé pour la mise en œuvre de l’initiative</w:t>
      </w:r>
      <w:r w:rsidRPr="009E7D16">
        <w:rPr>
          <w:noProof/>
        </w:rPr>
        <w:tab/>
      </w:r>
      <w:r w:rsidRPr="009E7D16">
        <w:rPr>
          <w:noProof/>
          <w:webHidden/>
        </w:rPr>
        <w:t>4</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1.5.2.</w:t>
      </w:r>
      <w:r w:rsidRPr="009E7D16">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9E7D16">
        <w:rPr>
          <w:noProof/>
        </w:rPr>
        <w:tab/>
      </w:r>
      <w:r w:rsidRPr="009E7D16">
        <w:rPr>
          <w:noProof/>
          <w:webHidden/>
        </w:rPr>
        <w:t>4</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1.5.3.</w:t>
      </w:r>
      <w:r w:rsidRPr="009E7D16">
        <w:rPr>
          <w:noProof/>
        </w:rPr>
        <w:tab/>
        <w:t>Leçons tirées d’expériences similaires</w:t>
      </w:r>
      <w:r w:rsidRPr="009E7D16">
        <w:rPr>
          <w:noProof/>
        </w:rPr>
        <w:tab/>
      </w:r>
      <w:r w:rsidRPr="009E7D16">
        <w:rPr>
          <w:noProof/>
          <w:webHidden/>
        </w:rPr>
        <w:t>4</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1.5.4.</w:t>
      </w:r>
      <w:r w:rsidRPr="009E7D16">
        <w:rPr>
          <w:noProof/>
        </w:rPr>
        <w:tab/>
        <w:t>Compatibilité avec le cadre financier pluriannuel et synergies éventuelles avec d’autres instruments appropriés</w:t>
      </w:r>
      <w:r w:rsidRPr="009E7D16">
        <w:rPr>
          <w:noProof/>
        </w:rPr>
        <w:tab/>
      </w:r>
      <w:r w:rsidRPr="009E7D16">
        <w:rPr>
          <w:noProof/>
          <w:webHidden/>
        </w:rPr>
        <w:t>5</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1.5.5.</w:t>
      </w:r>
      <w:r w:rsidRPr="009E7D16">
        <w:rPr>
          <w:noProof/>
        </w:rPr>
        <w:tab/>
        <w:t>Évaluation des différentes possibilités de financement disponibles, y compris des possibilités de redéploiement</w:t>
      </w:r>
      <w:r w:rsidRPr="009E7D16">
        <w:rPr>
          <w:noProof/>
        </w:rPr>
        <w:tab/>
      </w:r>
      <w:r w:rsidRPr="009E7D16">
        <w:rPr>
          <w:noProof/>
          <w:webHidden/>
        </w:rPr>
        <w:t>5</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1.6.</w:t>
      </w:r>
      <w:r w:rsidRPr="009E7D16">
        <w:rPr>
          <w:noProof/>
        </w:rPr>
        <w:tab/>
        <w:t>Durée de la proposition/de l’initiative et de son incidence financière</w:t>
      </w:r>
      <w:r w:rsidRPr="009E7D16">
        <w:rPr>
          <w:noProof/>
        </w:rPr>
        <w:tab/>
      </w:r>
      <w:r w:rsidRPr="009E7D16">
        <w:rPr>
          <w:noProof/>
          <w:webHidden/>
        </w:rPr>
        <w:t>6</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1.7.</w:t>
      </w:r>
      <w:r w:rsidRPr="009E7D16">
        <w:rPr>
          <w:noProof/>
        </w:rPr>
        <w:tab/>
        <w:t>Mode(s) d’exécution budgétaire prévu(s)</w:t>
      </w:r>
      <w:r w:rsidRPr="009E7D16">
        <w:rPr>
          <w:noProof/>
        </w:rPr>
        <w:tab/>
      </w:r>
      <w:r w:rsidRPr="009E7D16">
        <w:rPr>
          <w:noProof/>
          <w:webHidden/>
        </w:rPr>
        <w:t>6</w:t>
      </w:r>
    </w:p>
    <w:p w:rsidR="00DE314D" w:rsidRPr="009E7D16" w:rsidRDefault="00DE314D">
      <w:pPr>
        <w:pStyle w:val="TOC1"/>
        <w:rPr>
          <w:rFonts w:asciiTheme="minorHAnsi" w:eastAsiaTheme="minorEastAsia" w:hAnsiTheme="minorHAnsi" w:cstheme="minorBidi"/>
          <w:noProof/>
          <w:kern w:val="2"/>
          <w:sz w:val="22"/>
          <w14:ligatures w14:val="standardContextual"/>
        </w:rPr>
      </w:pPr>
      <w:r w:rsidRPr="009E7D16">
        <w:rPr>
          <w:noProof/>
        </w:rPr>
        <w:t>2.</w:t>
      </w:r>
      <w:r w:rsidRPr="009E7D16">
        <w:rPr>
          <w:noProof/>
        </w:rPr>
        <w:tab/>
        <w:t>MESURES DE GESTION</w:t>
      </w:r>
      <w:r w:rsidRPr="009E7D16">
        <w:rPr>
          <w:noProof/>
        </w:rPr>
        <w:tab/>
      </w:r>
      <w:r w:rsidRPr="009E7D16">
        <w:rPr>
          <w:noProof/>
          <w:webHidden/>
        </w:rPr>
        <w:t>8</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2.1.</w:t>
      </w:r>
      <w:r w:rsidRPr="009E7D16">
        <w:rPr>
          <w:noProof/>
        </w:rPr>
        <w:tab/>
        <w:t>Dispositions en matière de suivi et de compte rendu</w:t>
      </w:r>
      <w:r w:rsidRPr="009E7D16">
        <w:rPr>
          <w:noProof/>
        </w:rPr>
        <w:tab/>
      </w:r>
      <w:r w:rsidRPr="009E7D16">
        <w:rPr>
          <w:noProof/>
          <w:webHidden/>
        </w:rPr>
        <w:t>8</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2.2.</w:t>
      </w:r>
      <w:r w:rsidRPr="009E7D16">
        <w:rPr>
          <w:noProof/>
        </w:rPr>
        <w:tab/>
        <w:t>Système(s) de gestion et de contrôle</w:t>
      </w:r>
      <w:r w:rsidRPr="009E7D16">
        <w:rPr>
          <w:noProof/>
        </w:rPr>
        <w:tab/>
      </w:r>
      <w:r w:rsidRPr="009E7D16">
        <w:rPr>
          <w:noProof/>
          <w:webHidden/>
        </w:rPr>
        <w:t>8</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2.2.1.</w:t>
      </w:r>
      <w:r w:rsidRPr="009E7D16">
        <w:rPr>
          <w:noProof/>
        </w:rPr>
        <w:tab/>
        <w:t>Justification du (des) mode(s) d’exécution budgétaire, du (des) mécanisme(s) de mise en œuvre du financement, des modalités de paiement et de la stratégie de contrôle proposée</w:t>
      </w:r>
      <w:r w:rsidRPr="009E7D16">
        <w:rPr>
          <w:noProof/>
        </w:rPr>
        <w:tab/>
      </w:r>
      <w:r w:rsidRPr="009E7D16">
        <w:rPr>
          <w:noProof/>
          <w:webHidden/>
        </w:rPr>
        <w:t>8</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2.2.2.</w:t>
      </w:r>
      <w:r w:rsidRPr="009E7D16">
        <w:rPr>
          <w:noProof/>
        </w:rPr>
        <w:tab/>
        <w:t>Informations sur les risques recensés et sur le(s) système(s) de contrôle interne mis en place pour les atténuer</w:t>
      </w:r>
      <w:r w:rsidRPr="009E7D16">
        <w:rPr>
          <w:noProof/>
        </w:rPr>
        <w:tab/>
      </w:r>
      <w:r w:rsidRPr="009E7D16">
        <w:rPr>
          <w:noProof/>
          <w:webHidden/>
        </w:rPr>
        <w:t>8</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2.2.3.</w:t>
      </w:r>
      <w:r w:rsidRPr="009E7D16">
        <w:rPr>
          <w:noProof/>
        </w:rPr>
        <w:tab/>
        <w:t>Estimation et justification du rapport coût/efficacité des contrôles (rapport entre les coûts du contrôle et la valeur des fonds gérés concernés), et évaluation du niveau attendu de risque d’erreur (lors du paiement et lors de la clôture)</w:t>
      </w:r>
      <w:r w:rsidRPr="009E7D16">
        <w:rPr>
          <w:noProof/>
        </w:rPr>
        <w:tab/>
      </w:r>
      <w:r w:rsidRPr="009E7D16">
        <w:rPr>
          <w:noProof/>
          <w:webHidden/>
        </w:rPr>
        <w:t>8</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2.3.</w:t>
      </w:r>
      <w:r w:rsidRPr="009E7D16">
        <w:rPr>
          <w:noProof/>
        </w:rPr>
        <w:tab/>
        <w:t>Mesures de prévention des fraudes et irrégularités</w:t>
      </w:r>
      <w:r w:rsidRPr="009E7D16">
        <w:rPr>
          <w:noProof/>
        </w:rPr>
        <w:tab/>
      </w:r>
      <w:r w:rsidRPr="009E7D16">
        <w:rPr>
          <w:noProof/>
          <w:webHidden/>
        </w:rPr>
        <w:t>9</w:t>
      </w:r>
    </w:p>
    <w:p w:rsidR="00DE314D" w:rsidRPr="009E7D16" w:rsidRDefault="00DE314D">
      <w:pPr>
        <w:pStyle w:val="TOC1"/>
        <w:rPr>
          <w:rFonts w:asciiTheme="minorHAnsi" w:eastAsiaTheme="minorEastAsia" w:hAnsiTheme="minorHAnsi" w:cstheme="minorBidi"/>
          <w:noProof/>
          <w:kern w:val="2"/>
          <w:sz w:val="22"/>
          <w14:ligatures w14:val="standardContextual"/>
        </w:rPr>
      </w:pPr>
      <w:r w:rsidRPr="009E7D16">
        <w:rPr>
          <w:noProof/>
        </w:rPr>
        <w:t>3.</w:t>
      </w:r>
      <w:r w:rsidRPr="009E7D16">
        <w:rPr>
          <w:noProof/>
        </w:rPr>
        <w:tab/>
        <w:t>INCIDENCE FINANCIÈRE ESTIMÉE DE LA PROPOSITION/DE L’INITIATIVE</w:t>
      </w:r>
      <w:r w:rsidRPr="009E7D16">
        <w:rPr>
          <w:noProof/>
        </w:rPr>
        <w:tab/>
      </w:r>
      <w:r w:rsidRPr="009E7D16">
        <w:rPr>
          <w:noProof/>
          <w:webHidden/>
        </w:rPr>
        <w:t>10</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3.1.</w:t>
      </w:r>
      <w:r w:rsidRPr="009E7D16">
        <w:rPr>
          <w:noProof/>
        </w:rPr>
        <w:tab/>
        <w:t>Rubrique(s) du cadre financier pluriannuel et ligne(s) budgétaire(s) de dépenses concernée(s)</w:t>
      </w:r>
      <w:r w:rsidRPr="009E7D16">
        <w:rPr>
          <w:noProof/>
        </w:rPr>
        <w:tab/>
      </w:r>
      <w:r w:rsidRPr="009E7D16">
        <w:rPr>
          <w:noProof/>
          <w:webHidden/>
        </w:rPr>
        <w:t>10</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3.2.</w:t>
      </w:r>
      <w:r w:rsidRPr="009E7D16">
        <w:rPr>
          <w:noProof/>
        </w:rPr>
        <w:tab/>
        <w:t>Incidence financière estimée de la proposition sur les crédits</w:t>
      </w:r>
      <w:r w:rsidRPr="009E7D16">
        <w:rPr>
          <w:noProof/>
        </w:rPr>
        <w:tab/>
      </w:r>
      <w:r w:rsidRPr="009E7D16">
        <w:rPr>
          <w:noProof/>
          <w:webHidden/>
        </w:rPr>
        <w:t>12</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3.2.1.</w:t>
      </w:r>
      <w:r w:rsidRPr="009E7D16">
        <w:rPr>
          <w:noProof/>
        </w:rPr>
        <w:tab/>
        <w:t>Synthèse de l’incidence estimée sur les crédits opérationnels</w:t>
      </w:r>
      <w:r w:rsidRPr="009E7D16">
        <w:rPr>
          <w:noProof/>
        </w:rPr>
        <w:tab/>
      </w:r>
      <w:r w:rsidRPr="009E7D16">
        <w:rPr>
          <w:noProof/>
          <w:webHidden/>
        </w:rPr>
        <w:t>12</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3.2.1.1.</w:t>
      </w:r>
      <w:r w:rsidRPr="009E7D16">
        <w:rPr>
          <w:noProof/>
        </w:rPr>
        <w:tab/>
        <w:t>Crédits issus du budget voté</w:t>
      </w:r>
      <w:r w:rsidRPr="009E7D16">
        <w:rPr>
          <w:noProof/>
        </w:rPr>
        <w:tab/>
      </w:r>
      <w:r w:rsidRPr="009E7D16">
        <w:rPr>
          <w:noProof/>
          <w:webHidden/>
        </w:rPr>
        <w:t>12</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3.2.1.2.</w:t>
      </w:r>
      <w:r w:rsidRPr="009E7D16">
        <w:rPr>
          <w:noProof/>
        </w:rPr>
        <w:tab/>
        <w:t>Crédits issus de recettes affectées externes</w:t>
      </w:r>
      <w:r w:rsidRPr="009E7D16">
        <w:rPr>
          <w:noProof/>
        </w:rPr>
        <w:tab/>
      </w:r>
      <w:r w:rsidRPr="009E7D16">
        <w:rPr>
          <w:noProof/>
          <w:webHidden/>
        </w:rPr>
        <w:t>17</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3.2.2.</w:t>
      </w:r>
      <w:r w:rsidRPr="009E7D16">
        <w:rPr>
          <w:noProof/>
        </w:rPr>
        <w:tab/>
        <w:t>Estimation des réalisations financées à partir des crédits opérationnels</w:t>
      </w:r>
      <w:r w:rsidRPr="009E7D16">
        <w:rPr>
          <w:noProof/>
        </w:rPr>
        <w:tab/>
      </w:r>
      <w:r w:rsidRPr="009E7D16">
        <w:rPr>
          <w:noProof/>
          <w:webHidden/>
        </w:rPr>
        <w:t>22</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3.2.3.</w:t>
      </w:r>
      <w:r w:rsidRPr="009E7D16">
        <w:rPr>
          <w:noProof/>
        </w:rPr>
        <w:tab/>
        <w:t>Synthèse de l’incidence estimée sur les crédits administratifs</w:t>
      </w:r>
      <w:r w:rsidRPr="009E7D16">
        <w:rPr>
          <w:noProof/>
        </w:rPr>
        <w:tab/>
      </w:r>
      <w:r w:rsidRPr="009E7D16">
        <w:rPr>
          <w:noProof/>
          <w:webHidden/>
        </w:rPr>
        <w:t>24</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3.2.3.1. Crédits issus du budget voté</w:t>
      </w:r>
      <w:r w:rsidRPr="009E7D16">
        <w:rPr>
          <w:noProof/>
        </w:rPr>
        <w:tab/>
      </w:r>
      <w:r w:rsidRPr="009E7D16">
        <w:rPr>
          <w:noProof/>
          <w:webHidden/>
        </w:rPr>
        <w:t>24</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3.2.3.2.</w:t>
      </w:r>
      <w:r w:rsidRPr="009E7D16">
        <w:rPr>
          <w:noProof/>
        </w:rPr>
        <w:tab/>
        <w:t>Crédits issus de recettes affectées externes</w:t>
      </w:r>
      <w:r w:rsidRPr="009E7D16">
        <w:rPr>
          <w:noProof/>
        </w:rPr>
        <w:tab/>
      </w:r>
      <w:r w:rsidRPr="009E7D16">
        <w:rPr>
          <w:noProof/>
          <w:webHidden/>
        </w:rPr>
        <w:t>24</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3.2.3.3.</w:t>
      </w:r>
      <w:r w:rsidRPr="009E7D16">
        <w:rPr>
          <w:noProof/>
        </w:rPr>
        <w:tab/>
        <w:t>Total des crédits</w:t>
      </w:r>
      <w:r w:rsidRPr="009E7D16">
        <w:rPr>
          <w:noProof/>
        </w:rPr>
        <w:tab/>
      </w:r>
      <w:r w:rsidRPr="009E7D16">
        <w:rPr>
          <w:noProof/>
          <w:webHidden/>
        </w:rPr>
        <w:t>24</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3.2.4.</w:t>
      </w:r>
      <w:r w:rsidRPr="009E7D16">
        <w:rPr>
          <w:noProof/>
        </w:rPr>
        <w:tab/>
        <w:t>Besoins estimés en ressources humaines</w:t>
      </w:r>
      <w:r w:rsidRPr="009E7D16">
        <w:rPr>
          <w:noProof/>
        </w:rPr>
        <w:tab/>
      </w:r>
      <w:r w:rsidRPr="009E7D16">
        <w:rPr>
          <w:noProof/>
          <w:webHidden/>
        </w:rPr>
        <w:t>25</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3.2.4.1.</w:t>
      </w:r>
      <w:r w:rsidRPr="009E7D16">
        <w:rPr>
          <w:noProof/>
        </w:rPr>
        <w:tab/>
        <w:t>Financement sur le budget voté</w:t>
      </w:r>
      <w:r w:rsidRPr="009E7D16">
        <w:rPr>
          <w:noProof/>
        </w:rPr>
        <w:tab/>
      </w:r>
      <w:r w:rsidRPr="009E7D16">
        <w:rPr>
          <w:noProof/>
          <w:webHidden/>
        </w:rPr>
        <w:t>25</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3.2.4.2.</w:t>
      </w:r>
      <w:r w:rsidRPr="009E7D16">
        <w:rPr>
          <w:noProof/>
        </w:rPr>
        <w:tab/>
        <w:t>Financement par des recettes affectées externes</w:t>
      </w:r>
      <w:r w:rsidRPr="009E7D16">
        <w:rPr>
          <w:noProof/>
        </w:rPr>
        <w:tab/>
      </w:r>
      <w:r w:rsidRPr="009E7D16">
        <w:rPr>
          <w:noProof/>
          <w:webHidden/>
        </w:rPr>
        <w:t>26</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3.2.4.3.</w:t>
      </w:r>
      <w:r w:rsidRPr="009E7D16">
        <w:rPr>
          <w:noProof/>
        </w:rPr>
        <w:tab/>
        <w:t>Total des besoins en ressources humaines</w:t>
      </w:r>
      <w:r w:rsidRPr="009E7D16">
        <w:rPr>
          <w:noProof/>
        </w:rPr>
        <w:tab/>
      </w:r>
      <w:r w:rsidRPr="009E7D16">
        <w:rPr>
          <w:noProof/>
          <w:webHidden/>
        </w:rPr>
        <w:t>26</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3.2.5.</w:t>
      </w:r>
      <w:r w:rsidRPr="009E7D16">
        <w:rPr>
          <w:noProof/>
        </w:rPr>
        <w:tab/>
        <w:t>Vue d’ensemble de l’incidence estimée sur les investissements liés aux technologies numériques</w:t>
      </w:r>
      <w:r w:rsidRPr="009E7D16">
        <w:rPr>
          <w:noProof/>
        </w:rPr>
        <w:tab/>
      </w:r>
      <w:r w:rsidRPr="009E7D16">
        <w:rPr>
          <w:noProof/>
          <w:webHidden/>
        </w:rPr>
        <w:t>28</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3.2.6.</w:t>
      </w:r>
      <w:r w:rsidRPr="009E7D16">
        <w:rPr>
          <w:noProof/>
        </w:rPr>
        <w:tab/>
        <w:t>Compatibilité avec le cadre financier pluriannuel actuel</w:t>
      </w:r>
      <w:r w:rsidRPr="009E7D16">
        <w:rPr>
          <w:noProof/>
        </w:rPr>
        <w:tab/>
      </w:r>
      <w:r w:rsidRPr="009E7D16">
        <w:rPr>
          <w:noProof/>
          <w:webHidden/>
        </w:rPr>
        <w:t>28</w:t>
      </w:r>
    </w:p>
    <w:p w:rsidR="00DE314D" w:rsidRPr="009E7D16" w:rsidRDefault="00DE314D">
      <w:pPr>
        <w:pStyle w:val="TOC3"/>
        <w:rPr>
          <w:rFonts w:asciiTheme="minorHAnsi" w:eastAsiaTheme="minorEastAsia" w:hAnsiTheme="minorHAnsi" w:cstheme="minorBidi"/>
          <w:noProof/>
          <w:kern w:val="2"/>
          <w:sz w:val="22"/>
          <w14:ligatures w14:val="standardContextual"/>
        </w:rPr>
      </w:pPr>
      <w:r w:rsidRPr="009E7D16">
        <w:rPr>
          <w:noProof/>
        </w:rPr>
        <w:t>3.2.7.</w:t>
      </w:r>
      <w:r w:rsidRPr="009E7D16">
        <w:rPr>
          <w:noProof/>
        </w:rPr>
        <w:tab/>
        <w:t>Participation de tiers au financement</w:t>
      </w:r>
      <w:r w:rsidRPr="009E7D16">
        <w:rPr>
          <w:noProof/>
        </w:rPr>
        <w:tab/>
      </w:r>
      <w:r w:rsidRPr="009E7D16">
        <w:rPr>
          <w:noProof/>
          <w:webHidden/>
        </w:rPr>
        <w:t>28</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3.3.</w:t>
      </w:r>
      <w:r w:rsidRPr="009E7D16">
        <w:rPr>
          <w:noProof/>
        </w:rPr>
        <w:tab/>
        <w:t>Incidence estimée sur les recettes</w:t>
      </w:r>
      <w:r w:rsidRPr="009E7D16">
        <w:rPr>
          <w:noProof/>
        </w:rPr>
        <w:tab/>
      </w:r>
      <w:r w:rsidRPr="009E7D16">
        <w:rPr>
          <w:noProof/>
          <w:webHidden/>
        </w:rPr>
        <w:t>29</w:t>
      </w:r>
    </w:p>
    <w:p w:rsidR="00DE314D" w:rsidRPr="009E7D16" w:rsidRDefault="00DE314D">
      <w:pPr>
        <w:pStyle w:val="TOC1"/>
        <w:rPr>
          <w:rFonts w:asciiTheme="minorHAnsi" w:eastAsiaTheme="minorEastAsia" w:hAnsiTheme="minorHAnsi" w:cstheme="minorBidi"/>
          <w:noProof/>
          <w:kern w:val="2"/>
          <w:sz w:val="22"/>
          <w14:ligatures w14:val="standardContextual"/>
        </w:rPr>
      </w:pPr>
      <w:r w:rsidRPr="009E7D16">
        <w:rPr>
          <w:noProof/>
        </w:rPr>
        <w:t>4.</w:t>
      </w:r>
      <w:r w:rsidRPr="009E7D16">
        <w:rPr>
          <w:noProof/>
        </w:rPr>
        <w:tab/>
      </w:r>
      <w:r w:rsidRPr="009E7D16">
        <w:rPr>
          <w:caps/>
          <w:noProof/>
        </w:rPr>
        <w:t>Dimensions numériques</w:t>
      </w:r>
      <w:r w:rsidRPr="009E7D16">
        <w:rPr>
          <w:noProof/>
        </w:rPr>
        <w:tab/>
      </w:r>
      <w:r w:rsidRPr="009E7D16">
        <w:rPr>
          <w:noProof/>
          <w:webHidden/>
        </w:rPr>
        <w:t>29</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4.1.</w:t>
      </w:r>
      <w:r w:rsidRPr="009E7D16">
        <w:rPr>
          <w:noProof/>
        </w:rPr>
        <w:tab/>
        <w:t>Exigences pertinentes en matière numérique</w:t>
      </w:r>
      <w:r w:rsidRPr="009E7D16">
        <w:rPr>
          <w:noProof/>
        </w:rPr>
        <w:tab/>
      </w:r>
      <w:r w:rsidRPr="009E7D16">
        <w:rPr>
          <w:noProof/>
          <w:webHidden/>
        </w:rPr>
        <w:t>30</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4.2.</w:t>
      </w:r>
      <w:r w:rsidRPr="009E7D16">
        <w:rPr>
          <w:noProof/>
        </w:rPr>
        <w:tab/>
        <w:t>Données</w:t>
      </w:r>
      <w:r w:rsidRPr="009E7D16">
        <w:rPr>
          <w:noProof/>
        </w:rPr>
        <w:tab/>
      </w:r>
      <w:r w:rsidRPr="009E7D16">
        <w:rPr>
          <w:noProof/>
          <w:webHidden/>
        </w:rPr>
        <w:t>30</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4.3.</w:t>
      </w:r>
      <w:r w:rsidRPr="009E7D16">
        <w:rPr>
          <w:noProof/>
        </w:rPr>
        <w:tab/>
        <w:t>Solutions numériques</w:t>
      </w:r>
      <w:r w:rsidRPr="009E7D16">
        <w:rPr>
          <w:noProof/>
        </w:rPr>
        <w:tab/>
      </w:r>
      <w:r w:rsidRPr="009E7D16">
        <w:rPr>
          <w:noProof/>
          <w:webHidden/>
        </w:rPr>
        <w:t>31</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4.4.</w:t>
      </w:r>
      <w:r w:rsidRPr="009E7D16">
        <w:rPr>
          <w:noProof/>
        </w:rPr>
        <w:tab/>
        <w:t>Évaluation de l’interopérabilité</w:t>
      </w:r>
      <w:r w:rsidRPr="009E7D16">
        <w:rPr>
          <w:noProof/>
        </w:rPr>
        <w:tab/>
      </w:r>
      <w:r w:rsidRPr="009E7D16">
        <w:rPr>
          <w:noProof/>
          <w:webHidden/>
        </w:rPr>
        <w:t>31</w:t>
      </w:r>
    </w:p>
    <w:p w:rsidR="00DE314D" w:rsidRPr="009E7D16" w:rsidRDefault="00DE314D">
      <w:pPr>
        <w:pStyle w:val="TOC2"/>
        <w:rPr>
          <w:rFonts w:asciiTheme="minorHAnsi" w:eastAsiaTheme="minorEastAsia" w:hAnsiTheme="minorHAnsi" w:cstheme="minorBidi"/>
          <w:noProof/>
          <w:kern w:val="2"/>
          <w:sz w:val="22"/>
          <w14:ligatures w14:val="standardContextual"/>
        </w:rPr>
      </w:pPr>
      <w:r w:rsidRPr="009E7D16">
        <w:rPr>
          <w:noProof/>
        </w:rPr>
        <w:t>4.5.</w:t>
      </w:r>
      <w:r w:rsidRPr="009E7D16">
        <w:rPr>
          <w:noProof/>
        </w:rPr>
        <w:tab/>
        <w:t>Mesures de soutien de la mise en œuvre numérique</w:t>
      </w:r>
      <w:r w:rsidRPr="009E7D16">
        <w:rPr>
          <w:noProof/>
        </w:rPr>
        <w:tab/>
      </w:r>
      <w:r w:rsidRPr="009E7D16">
        <w:rPr>
          <w:noProof/>
          <w:webHidden/>
        </w:rPr>
        <w:t>32</w:t>
      </w:r>
    </w:p>
    <w:p w:rsidR="00DE314D" w:rsidRPr="009E7D16" w:rsidRDefault="00DE314D" w:rsidP="00853C97">
      <w:pPr>
        <w:pStyle w:val="TOC1"/>
        <w:rPr>
          <w:noProof/>
        </w:rPr>
        <w:sectPr w:rsidR="00DE314D" w:rsidRPr="009E7D16" w:rsidSect="008155FA">
          <w:pgSz w:w="11907" w:h="16840" w:code="9"/>
          <w:pgMar w:top="1134" w:right="1418" w:bottom="1134" w:left="1418" w:header="709" w:footer="709" w:gutter="0"/>
          <w:pgNumType w:start="1"/>
          <w:cols w:space="720"/>
          <w:docGrid w:linePitch="360"/>
        </w:sectPr>
      </w:pPr>
    </w:p>
    <w:p w:rsidR="00DE314D" w:rsidRPr="009E7D16" w:rsidRDefault="00DE314D">
      <w:pPr>
        <w:pStyle w:val="ManualHeading1"/>
        <w:rPr>
          <w:noProof/>
        </w:rPr>
      </w:pPr>
      <w:bookmarkStart w:id="9" w:name="_Toc514938007"/>
      <w:bookmarkStart w:id="10" w:name="_Toc520485025"/>
      <w:bookmarkStart w:id="11" w:name="_Toc160804567"/>
      <w:bookmarkStart w:id="12" w:name="_Toc167220259"/>
      <w:bookmarkStart w:id="13" w:name="_Toc177548992"/>
      <w:r w:rsidRPr="009E7D16">
        <w:rPr>
          <w:noProof/>
        </w:rPr>
        <w:t>1.</w:t>
      </w:r>
      <w:r w:rsidRPr="009E7D16">
        <w:rPr>
          <w:noProof/>
        </w:rPr>
        <w:tab/>
        <w:t>CADRE DE LA PROPOSITION/DE L’INITIATIVE</w:t>
      </w:r>
      <w:bookmarkEnd w:id="9"/>
      <w:bookmarkEnd w:id="10"/>
      <w:bookmarkEnd w:id="11"/>
      <w:bookmarkEnd w:id="12"/>
      <w:bookmarkEnd w:id="13"/>
      <w:r w:rsidRPr="009E7D16">
        <w:rPr>
          <w:noProof/>
        </w:rPr>
        <w:t xml:space="preserve"> </w:t>
      </w:r>
    </w:p>
    <w:p w:rsidR="00DE314D" w:rsidRPr="009E7D16" w:rsidRDefault="00DE314D">
      <w:pPr>
        <w:pStyle w:val="ManualHeading2"/>
        <w:rPr>
          <w:noProof/>
        </w:rPr>
      </w:pPr>
      <w:bookmarkStart w:id="14" w:name="_Toc514938008"/>
      <w:bookmarkStart w:id="15" w:name="_Toc520485026"/>
      <w:bookmarkStart w:id="16" w:name="_Toc160804568"/>
      <w:bookmarkStart w:id="17" w:name="_Toc167220260"/>
      <w:bookmarkStart w:id="18" w:name="_Toc177548993"/>
      <w:r w:rsidRPr="009E7D16">
        <w:rPr>
          <w:noProof/>
        </w:rPr>
        <w:t>1.1.</w:t>
      </w:r>
      <w:r w:rsidRPr="009E7D16">
        <w:rPr>
          <w:noProof/>
        </w:rPr>
        <w:tab/>
        <w:t>Dénomination de la proposition/de l’initiative</w:t>
      </w:r>
      <w:bookmarkEnd w:id="14"/>
      <w:bookmarkEnd w:id="15"/>
      <w:bookmarkEnd w:id="16"/>
      <w:bookmarkEnd w:id="17"/>
      <w:bookmarkEnd w:id="18"/>
    </w:p>
    <w:p w:rsidR="00DE314D" w:rsidRPr="009E7D16" w:rsidRDefault="62DE5F4D" w:rsidP="193F07E0">
      <w:pPr>
        <w:pStyle w:val="Text1"/>
        <w:pBdr>
          <w:top w:val="single" w:sz="4" w:space="1" w:color="auto"/>
          <w:left w:val="single" w:sz="4" w:space="4" w:color="auto"/>
          <w:bottom w:val="single" w:sz="4" w:space="1" w:color="auto"/>
          <w:right w:val="single" w:sz="4" w:space="4" w:color="auto"/>
        </w:pBdr>
        <w:rPr>
          <w:noProof/>
        </w:rPr>
      </w:pPr>
      <w:r w:rsidRPr="009E7D16">
        <w:rPr>
          <w:noProof/>
        </w:rPr>
        <w:t>Proposition de décision du Conseil autorisant la Commission européenne à signer, au nom de l’Union, l’accord partiel élargi (APE) sur le comité de direction du Tribunal spécial pour le crime d’agression contre l’Ukraine.</w:t>
      </w:r>
    </w:p>
    <w:p w:rsidR="00DE314D" w:rsidRPr="009E7D16" w:rsidRDefault="00DE314D">
      <w:pPr>
        <w:pStyle w:val="ManualHeading2"/>
        <w:rPr>
          <w:i/>
          <w:noProof/>
        </w:rPr>
      </w:pPr>
      <w:bookmarkStart w:id="19" w:name="_Toc514938011"/>
      <w:bookmarkStart w:id="20" w:name="_Toc520485027"/>
      <w:bookmarkStart w:id="21" w:name="_Toc160804569"/>
      <w:bookmarkStart w:id="22" w:name="_Toc167220261"/>
      <w:bookmarkStart w:id="23" w:name="_Toc177548994"/>
      <w:r w:rsidRPr="009E7D16">
        <w:rPr>
          <w:noProof/>
        </w:rPr>
        <w:t>1.2.</w:t>
      </w:r>
      <w:r w:rsidRPr="009E7D16">
        <w:rPr>
          <w:noProof/>
        </w:rPr>
        <w:tab/>
        <w:t>Domaine(s) politique(s) concerné(s)</w:t>
      </w:r>
      <w:bookmarkEnd w:id="19"/>
      <w:bookmarkEnd w:id="20"/>
      <w:bookmarkEnd w:id="21"/>
      <w:bookmarkEnd w:id="22"/>
      <w:bookmarkEnd w:id="23"/>
      <w:r w:rsidRPr="009E7D16">
        <w:rPr>
          <w:i/>
          <w:noProof/>
        </w:rPr>
        <w:t xml:space="preserve"> </w:t>
      </w:r>
    </w:p>
    <w:p w:rsidR="00DE314D" w:rsidRPr="009E7D16" w:rsidRDefault="6D5A913E" w:rsidP="193F07E0">
      <w:pPr>
        <w:pStyle w:val="Text1"/>
        <w:pBdr>
          <w:top w:val="single" w:sz="4" w:space="1" w:color="auto"/>
          <w:left w:val="single" w:sz="4" w:space="4" w:color="auto"/>
          <w:bottom w:val="single" w:sz="4" w:space="1" w:color="auto"/>
          <w:right w:val="single" w:sz="4" w:space="4" w:color="auto"/>
        </w:pBdr>
        <w:rPr>
          <w:noProof/>
        </w:rPr>
      </w:pPr>
      <w:r w:rsidRPr="009E7D16">
        <w:rPr>
          <w:noProof/>
        </w:rPr>
        <w:t xml:space="preserve">Justice </w:t>
      </w:r>
    </w:p>
    <w:p w:rsidR="00DE314D" w:rsidRPr="009E7D16" w:rsidRDefault="6D5A913E" w:rsidP="193F07E0">
      <w:pPr>
        <w:pStyle w:val="Text1"/>
        <w:pBdr>
          <w:top w:val="single" w:sz="4" w:space="1" w:color="auto"/>
          <w:left w:val="single" w:sz="4" w:space="4" w:color="auto"/>
          <w:bottom w:val="single" w:sz="4" w:space="1" w:color="auto"/>
          <w:right w:val="single" w:sz="4" w:space="4" w:color="auto"/>
        </w:pBdr>
        <w:rPr>
          <w:noProof/>
        </w:rPr>
      </w:pPr>
      <w:r w:rsidRPr="009E7D16">
        <w:rPr>
          <w:noProof/>
        </w:rPr>
        <w:t>Assistance technique et financière en faveur de pays tiers</w:t>
      </w:r>
    </w:p>
    <w:p w:rsidR="00DE314D" w:rsidRPr="009E7D16" w:rsidRDefault="00DE314D">
      <w:pPr>
        <w:pStyle w:val="ManualHeading2"/>
        <w:rPr>
          <w:noProof/>
        </w:rPr>
      </w:pPr>
      <w:bookmarkStart w:id="24" w:name="_Toc514938015"/>
      <w:bookmarkStart w:id="25" w:name="_Toc520485029"/>
      <w:bookmarkStart w:id="26" w:name="_Toc160804571"/>
      <w:bookmarkStart w:id="27" w:name="_Toc167220263"/>
      <w:bookmarkStart w:id="28" w:name="_Toc177548995"/>
      <w:r w:rsidRPr="009E7D16">
        <w:rPr>
          <w:noProof/>
        </w:rPr>
        <w:t>1.3.</w:t>
      </w:r>
      <w:r w:rsidRPr="009E7D16">
        <w:rPr>
          <w:noProof/>
        </w:rPr>
        <w:tab/>
        <w:t>Objectif(s)</w:t>
      </w:r>
      <w:bookmarkEnd w:id="24"/>
      <w:bookmarkEnd w:id="25"/>
      <w:bookmarkEnd w:id="26"/>
      <w:bookmarkEnd w:id="27"/>
      <w:bookmarkEnd w:id="28"/>
    </w:p>
    <w:p w:rsidR="00DE314D" w:rsidRPr="009E7D16" w:rsidRDefault="00DE314D">
      <w:pPr>
        <w:pStyle w:val="ManualHeading3"/>
        <w:rPr>
          <w:noProof/>
        </w:rPr>
      </w:pPr>
      <w:bookmarkStart w:id="29" w:name="_Toc514938016"/>
      <w:bookmarkStart w:id="30" w:name="_Toc520485030"/>
      <w:bookmarkStart w:id="31" w:name="_Toc160804572"/>
      <w:bookmarkStart w:id="32" w:name="_Toc167220264"/>
      <w:bookmarkStart w:id="33" w:name="_Toc177548996"/>
      <w:r w:rsidRPr="009E7D16">
        <w:rPr>
          <w:noProof/>
        </w:rPr>
        <w:t>1.3.1.</w:t>
      </w:r>
      <w:r w:rsidRPr="009E7D16">
        <w:rPr>
          <w:noProof/>
        </w:rPr>
        <w:tab/>
        <w:t>Objectif général / objectifs généraux</w:t>
      </w:r>
      <w:bookmarkEnd w:id="29"/>
      <w:bookmarkEnd w:id="30"/>
      <w:bookmarkEnd w:id="31"/>
      <w:bookmarkEnd w:id="32"/>
      <w:bookmarkEnd w:id="33"/>
    </w:p>
    <w:p w:rsidR="00DE314D" w:rsidRPr="009E7D16" w:rsidRDefault="00740B1A" w:rsidP="39D16BB6">
      <w:pPr>
        <w:pStyle w:val="Text1"/>
        <w:pBdr>
          <w:top w:val="single" w:sz="4" w:space="1" w:color="auto"/>
          <w:left w:val="single" w:sz="4" w:space="4" w:color="auto"/>
          <w:bottom w:val="single" w:sz="4" w:space="1" w:color="auto"/>
          <w:right w:val="single" w:sz="4" w:space="4" w:color="auto"/>
        </w:pBdr>
        <w:rPr>
          <w:noProof/>
        </w:rPr>
      </w:pPr>
      <w:r w:rsidRPr="009E7D16">
        <w:rPr>
          <w:noProof/>
        </w:rPr>
        <w:t xml:space="preserve">La création du Tribunal spécial joue un rôle central pour ce qui est de veiller à ce que les auteurs du crime d’agression soient poursuivis et à ce que les personnes responsables de crimes internationaux, y compris les dirigeants russes, répondent pleinement de leurs actes. La présente proposition a pour principal objectif d’autoriser la Commission à signer, au nom de l’Union, l’APE sur le comité de direction du Tribunal spécial pour le crime d’agression contre l’Ukraine et à devenir membre fondateur dudit comité. L’objectif de l’APE sur le comité de direction est d’assurer le financement du Tribunal spécial et de l’assister dans certaines tâches administratives et de gestion afin de lui permettre de remplir son mandat. </w:t>
      </w:r>
    </w:p>
    <w:p w:rsidR="00DE314D" w:rsidRPr="009E7D16" w:rsidRDefault="00DE314D">
      <w:pPr>
        <w:pStyle w:val="ManualHeading3"/>
        <w:rPr>
          <w:noProof/>
        </w:rPr>
      </w:pPr>
      <w:bookmarkStart w:id="34" w:name="_Toc514938018"/>
      <w:bookmarkStart w:id="35" w:name="_Toc520485031"/>
      <w:bookmarkStart w:id="36" w:name="_Toc160804573"/>
      <w:bookmarkStart w:id="37" w:name="_Toc167220265"/>
      <w:bookmarkStart w:id="38" w:name="_Toc177548997"/>
      <w:r w:rsidRPr="009E7D16">
        <w:rPr>
          <w:noProof/>
        </w:rPr>
        <w:t>1.3.2.</w:t>
      </w:r>
      <w:r w:rsidRPr="009E7D16">
        <w:rPr>
          <w:noProof/>
        </w:rPr>
        <w:tab/>
        <w:t>Objectif(s) spécifique(s)</w:t>
      </w:r>
      <w:bookmarkEnd w:id="34"/>
      <w:bookmarkEnd w:id="35"/>
      <w:bookmarkEnd w:id="36"/>
      <w:bookmarkEnd w:id="37"/>
      <w:bookmarkEnd w:id="38"/>
    </w:p>
    <w:p w:rsidR="00E854BE" w:rsidRPr="009E7D16" w:rsidRDefault="00E854BE" w:rsidP="00E854BE">
      <w:pPr>
        <w:pStyle w:val="Text1"/>
        <w:pBdr>
          <w:top w:val="single" w:sz="4" w:space="1" w:color="auto"/>
          <w:left w:val="single" w:sz="4" w:space="4" w:color="auto"/>
          <w:bottom w:val="single" w:sz="4" w:space="1" w:color="auto"/>
          <w:right w:val="single" w:sz="4" w:space="4" w:color="auto"/>
        </w:pBdr>
        <w:rPr>
          <w:noProof/>
        </w:rPr>
      </w:pPr>
      <w:r w:rsidRPr="009E7D16">
        <w:rPr>
          <w:noProof/>
        </w:rPr>
        <w:t xml:space="preserve">1) Signer la résolution établissant l’APE sur le comité de direction du Tribunal spécial, sous réserve de sa conclusion à un stade ultérieur. </w:t>
      </w:r>
    </w:p>
    <w:p w:rsidR="00513B84" w:rsidRPr="009E7D16" w:rsidRDefault="00E854BE" w:rsidP="03E2E087">
      <w:pPr>
        <w:pStyle w:val="Text1"/>
        <w:pBdr>
          <w:top w:val="single" w:sz="4" w:space="1" w:color="auto"/>
          <w:left w:val="single" w:sz="4" w:space="4" w:color="auto"/>
          <w:bottom w:val="single" w:sz="4" w:space="1" w:color="auto"/>
          <w:right w:val="single" w:sz="4" w:space="4" w:color="auto"/>
        </w:pBdr>
        <w:rPr>
          <w:noProof/>
        </w:rPr>
      </w:pPr>
      <w:r w:rsidRPr="009E7D16">
        <w:rPr>
          <w:noProof/>
        </w:rPr>
        <w:t>2) Une fois que l’Union aura conclu la résolution établissant l’APE sur le comité de direction à un stade ultérieur, doter le tribunal spécial des moyens financiers nécessaires à l’accomplissement de son mandat</w:t>
      </w:r>
      <w:r w:rsidRPr="009E7D16">
        <w:rPr>
          <w:rStyle w:val="FootnoteReference"/>
          <w:noProof/>
        </w:rPr>
        <w:footnoteReference w:id="40"/>
      </w:r>
      <w:r w:rsidRPr="009E7D16">
        <w:rPr>
          <w:noProof/>
        </w:rPr>
        <w:t>.</w:t>
      </w:r>
    </w:p>
    <w:p w:rsidR="00DE314D" w:rsidRPr="009E7D16" w:rsidRDefault="00DE314D">
      <w:pPr>
        <w:pStyle w:val="ManualHeading3"/>
        <w:rPr>
          <w:noProof/>
        </w:rPr>
      </w:pPr>
      <w:bookmarkStart w:id="39" w:name="_Toc514938019"/>
      <w:bookmarkStart w:id="40" w:name="_Toc520485032"/>
      <w:bookmarkStart w:id="41" w:name="_Toc160804574"/>
      <w:bookmarkStart w:id="42" w:name="_Toc167220266"/>
      <w:bookmarkStart w:id="43" w:name="_Toc177548998"/>
      <w:r w:rsidRPr="009E7D16">
        <w:rPr>
          <w:noProof/>
        </w:rPr>
        <w:t>1.3.3.</w:t>
      </w:r>
      <w:r w:rsidRPr="009E7D16">
        <w:rPr>
          <w:noProof/>
        </w:rPr>
        <w:tab/>
        <w:t>Résultat(s) et incidence(s) attendus</w:t>
      </w:r>
      <w:bookmarkEnd w:id="39"/>
      <w:bookmarkEnd w:id="40"/>
      <w:bookmarkEnd w:id="41"/>
      <w:bookmarkEnd w:id="42"/>
      <w:bookmarkEnd w:id="43"/>
    </w:p>
    <w:p w:rsidR="00DE314D" w:rsidRPr="009E7D16" w:rsidRDefault="00DE314D">
      <w:pPr>
        <w:pStyle w:val="Text1"/>
        <w:rPr>
          <w:i/>
          <w:noProof/>
          <w:sz w:val="20"/>
        </w:rPr>
      </w:pPr>
      <w:r w:rsidRPr="009E7D16">
        <w:rPr>
          <w:i/>
          <w:noProof/>
          <w:sz w:val="20"/>
        </w:rPr>
        <w:t>Préciser les effets que la proposition/l’initiative devrait avoir sur les bénéficiaires/la population visée.</w:t>
      </w:r>
    </w:p>
    <w:p w:rsidR="00DE314D" w:rsidRPr="009E7D16" w:rsidRDefault="00DE314D">
      <w:pPr>
        <w:pStyle w:val="ManualHeading3"/>
        <w:rPr>
          <w:noProof/>
        </w:rPr>
      </w:pPr>
      <w:bookmarkStart w:id="44" w:name="_Toc514938023"/>
      <w:bookmarkStart w:id="45" w:name="_Toc520485033"/>
      <w:bookmarkStart w:id="46" w:name="_Toc160804575"/>
      <w:bookmarkStart w:id="47" w:name="_Toc167220267"/>
      <w:bookmarkStart w:id="48" w:name="_Toc177548999"/>
      <w:r w:rsidRPr="009E7D16">
        <w:rPr>
          <w:noProof/>
        </w:rPr>
        <w:t>1.3.4.</w:t>
      </w:r>
      <w:r w:rsidRPr="009E7D16">
        <w:rPr>
          <w:noProof/>
        </w:rPr>
        <w:tab/>
        <w:t>Indicateurs de performance</w:t>
      </w:r>
      <w:bookmarkEnd w:id="44"/>
      <w:bookmarkEnd w:id="45"/>
      <w:bookmarkEnd w:id="46"/>
      <w:bookmarkEnd w:id="47"/>
      <w:bookmarkEnd w:id="48"/>
    </w:p>
    <w:p w:rsidR="00DE314D" w:rsidRPr="009E7D16" w:rsidRDefault="00DE314D">
      <w:pPr>
        <w:pStyle w:val="Text1"/>
        <w:rPr>
          <w:i/>
          <w:noProof/>
          <w:sz w:val="20"/>
        </w:rPr>
      </w:pPr>
      <w:r w:rsidRPr="009E7D16">
        <w:rPr>
          <w:i/>
          <w:noProof/>
          <w:sz w:val="20"/>
        </w:rPr>
        <w:t>Préciser les indicateurs permettant de suivre l’avancement et les réalisations.</w:t>
      </w:r>
    </w:p>
    <w:p w:rsidR="00DE314D" w:rsidRPr="009E7D16" w:rsidRDefault="64B05129" w:rsidP="193F07E0">
      <w:pPr>
        <w:pStyle w:val="Text1"/>
        <w:pBdr>
          <w:top w:val="single" w:sz="4" w:space="1" w:color="auto"/>
          <w:left w:val="single" w:sz="4" w:space="4" w:color="auto"/>
          <w:bottom w:val="single" w:sz="4" w:space="1" w:color="auto"/>
          <w:right w:val="single" w:sz="4" w:space="4" w:color="auto"/>
        </w:pBdr>
        <w:rPr>
          <w:noProof/>
        </w:rPr>
      </w:pPr>
      <w:r w:rsidRPr="009E7D16">
        <w:rPr>
          <w:noProof/>
        </w:rPr>
        <w:t>La mise en place du comité de direction du Tribunal spécial pour le crime d’agression contre l’Ukraine et la création ultérieure dudit Tribunal.</w:t>
      </w:r>
    </w:p>
    <w:p w:rsidR="00DE314D" w:rsidRPr="009E7D16" w:rsidRDefault="00DE314D">
      <w:pPr>
        <w:pStyle w:val="ManualHeading2"/>
        <w:rPr>
          <w:noProof/>
        </w:rPr>
      </w:pPr>
      <w:bookmarkStart w:id="49" w:name="_Toc177549000"/>
      <w:r w:rsidRPr="009E7D16">
        <w:rPr>
          <w:noProof/>
        </w:rPr>
        <w:t>1.4.</w:t>
      </w:r>
      <w:r w:rsidRPr="009E7D16">
        <w:rPr>
          <w:noProof/>
        </w:rPr>
        <w:tab/>
        <w:t>La proposition/l’initiative porte sur:</w:t>
      </w:r>
      <w:bookmarkEnd w:id="49"/>
      <w:r w:rsidRPr="009E7D16">
        <w:rPr>
          <w:noProof/>
        </w:rPr>
        <w:t xml:space="preserve"> </w:t>
      </w:r>
    </w:p>
    <w:p w:rsidR="00DE314D" w:rsidRPr="009E7D16" w:rsidRDefault="00B92EA5" w:rsidP="193F07E0">
      <w:pPr>
        <w:pStyle w:val="Text1"/>
        <w:rPr>
          <w:noProof/>
          <w:sz w:val="22"/>
        </w:rPr>
      </w:pPr>
      <w:r w:rsidRPr="009E7D16">
        <w:rPr>
          <w:rFonts w:ascii="Wingdings" w:hAnsi="Wingdings"/>
          <w:noProof/>
          <w:sz w:val="22"/>
        </w:rPr>
        <w:t></w:t>
      </w:r>
      <w:r w:rsidRPr="009E7D16">
        <w:rPr>
          <w:i/>
          <w:noProof/>
          <w:sz w:val="22"/>
        </w:rPr>
        <w:t xml:space="preserve"> </w:t>
      </w:r>
      <w:r w:rsidRPr="009E7D16">
        <w:rPr>
          <w:noProof/>
        </w:rPr>
        <w:t>une action nouvelle</w:t>
      </w:r>
      <w:r w:rsidRPr="009E7D16">
        <w:rPr>
          <w:noProof/>
          <w:sz w:val="22"/>
        </w:rPr>
        <w:t xml:space="preserve"> </w:t>
      </w:r>
    </w:p>
    <w:p w:rsidR="00DE314D" w:rsidRPr="009E7D16" w:rsidRDefault="00DE314D">
      <w:pPr>
        <w:pStyle w:val="Text1"/>
        <w:rPr>
          <w:noProof/>
          <w:sz w:val="22"/>
        </w:rPr>
      </w:pPr>
      <w:r w:rsidRPr="009E7D16">
        <w:rPr>
          <w:rFonts w:ascii="Wingdings" w:hAnsi="Wingdings"/>
          <w:noProof/>
          <w:sz w:val="22"/>
        </w:rPr>
        <w:t></w:t>
      </w:r>
      <w:r w:rsidRPr="009E7D16">
        <w:rPr>
          <w:i/>
          <w:noProof/>
          <w:sz w:val="22"/>
        </w:rPr>
        <w:t xml:space="preserve"> </w:t>
      </w:r>
      <w:r w:rsidRPr="009E7D16">
        <w:rPr>
          <w:noProof/>
        </w:rPr>
        <w:t>une action nouvelle suite à un projet pilote/une action préparatoire</w:t>
      </w:r>
      <w:r w:rsidRPr="009E7D16">
        <w:rPr>
          <w:rStyle w:val="FootnoteReference"/>
          <w:noProof/>
        </w:rPr>
        <w:footnoteReference w:id="41"/>
      </w:r>
      <w:r w:rsidRPr="009E7D16">
        <w:rPr>
          <w:noProof/>
          <w:sz w:val="22"/>
        </w:rPr>
        <w:t xml:space="preserve"> </w:t>
      </w:r>
    </w:p>
    <w:p w:rsidR="00DE314D" w:rsidRPr="009E7D16" w:rsidRDefault="00DE314D">
      <w:pPr>
        <w:pStyle w:val="Text1"/>
        <w:rPr>
          <w:noProof/>
          <w:sz w:val="22"/>
        </w:rPr>
      </w:pPr>
      <w:r w:rsidRPr="009E7D16">
        <w:rPr>
          <w:rFonts w:ascii="Wingdings" w:hAnsi="Wingdings"/>
          <w:noProof/>
          <w:sz w:val="22"/>
        </w:rPr>
        <w:t></w:t>
      </w:r>
      <w:r w:rsidRPr="009E7D16">
        <w:rPr>
          <w:i/>
          <w:noProof/>
          <w:sz w:val="22"/>
        </w:rPr>
        <w:t xml:space="preserve"> </w:t>
      </w:r>
      <w:r w:rsidRPr="009E7D16">
        <w:rPr>
          <w:noProof/>
        </w:rPr>
        <w:t>la prolongation d’une action existante</w:t>
      </w:r>
      <w:r w:rsidRPr="009E7D16">
        <w:rPr>
          <w:noProof/>
          <w:sz w:val="22"/>
        </w:rPr>
        <w:t xml:space="preserve"> </w:t>
      </w:r>
    </w:p>
    <w:p w:rsidR="00DE314D" w:rsidRPr="009E7D16" w:rsidRDefault="00DE314D">
      <w:pPr>
        <w:pStyle w:val="Text1"/>
        <w:rPr>
          <w:noProof/>
        </w:rPr>
      </w:pPr>
      <w:r w:rsidRPr="009E7D16">
        <w:rPr>
          <w:rFonts w:ascii="Wingdings" w:hAnsi="Wingdings"/>
          <w:noProof/>
          <w:sz w:val="22"/>
        </w:rPr>
        <w:t></w:t>
      </w:r>
      <w:r w:rsidRPr="009E7D16">
        <w:rPr>
          <w:i/>
          <w:noProof/>
          <w:sz w:val="22"/>
        </w:rPr>
        <w:t xml:space="preserve"> </w:t>
      </w:r>
      <w:r w:rsidRPr="009E7D16">
        <w:rPr>
          <w:noProof/>
        </w:rPr>
        <w:t>une fusion ou une réorientation d’une ou de plusieurs actions vers une autre action/une action nouvelle</w:t>
      </w:r>
    </w:p>
    <w:p w:rsidR="00DE314D" w:rsidRPr="009E7D16" w:rsidRDefault="00DE314D">
      <w:pPr>
        <w:pStyle w:val="ManualHeading2"/>
        <w:rPr>
          <w:bCs/>
          <w:noProof/>
          <w:szCs w:val="24"/>
        </w:rPr>
      </w:pPr>
      <w:bookmarkStart w:id="50" w:name="_Toc514938025"/>
      <w:bookmarkStart w:id="51" w:name="_Toc520485034"/>
      <w:bookmarkStart w:id="52" w:name="_Toc160804576"/>
      <w:bookmarkStart w:id="53" w:name="_Toc167220268"/>
      <w:bookmarkStart w:id="54" w:name="_Toc177549001"/>
      <w:r w:rsidRPr="009E7D16">
        <w:rPr>
          <w:noProof/>
        </w:rPr>
        <w:t>1.5.</w:t>
      </w:r>
      <w:r w:rsidRPr="009E7D16">
        <w:rPr>
          <w:noProof/>
        </w:rPr>
        <w:tab/>
        <w:t>Justification(s) de la proposition/de l’initiative</w:t>
      </w:r>
      <w:bookmarkEnd w:id="50"/>
      <w:bookmarkEnd w:id="51"/>
      <w:bookmarkEnd w:id="52"/>
      <w:bookmarkEnd w:id="53"/>
      <w:bookmarkEnd w:id="54"/>
      <w:r w:rsidRPr="009E7D16">
        <w:rPr>
          <w:noProof/>
        </w:rPr>
        <w:t xml:space="preserve"> </w:t>
      </w:r>
    </w:p>
    <w:p w:rsidR="00DE314D" w:rsidRPr="009E7D16" w:rsidRDefault="00DE314D">
      <w:pPr>
        <w:pStyle w:val="ManualHeading3"/>
        <w:rPr>
          <w:noProof/>
        </w:rPr>
      </w:pPr>
      <w:bookmarkStart w:id="55" w:name="_Toc514938026"/>
      <w:bookmarkStart w:id="56" w:name="_Toc520485035"/>
      <w:bookmarkStart w:id="57" w:name="_Toc160804577"/>
      <w:bookmarkStart w:id="58" w:name="_Toc167220269"/>
      <w:bookmarkStart w:id="59" w:name="_Toc177549002"/>
      <w:r w:rsidRPr="009E7D16">
        <w:rPr>
          <w:noProof/>
        </w:rPr>
        <w:t>1.5.1.</w:t>
      </w:r>
      <w:r w:rsidRPr="009E7D16">
        <w:rPr>
          <w:noProof/>
        </w:rPr>
        <w:tab/>
        <w:t>Besoin(s) à satisfaire à court ou à long terme, assorti(s) d’un calendrier détaillé pour la mise en œuvre de l’initiative</w:t>
      </w:r>
      <w:bookmarkEnd w:id="55"/>
      <w:bookmarkEnd w:id="56"/>
      <w:bookmarkEnd w:id="57"/>
      <w:bookmarkEnd w:id="58"/>
      <w:bookmarkEnd w:id="59"/>
    </w:p>
    <w:p w:rsidR="00513B84" w:rsidRPr="009E7D16" w:rsidRDefault="00513B84" w:rsidP="00945508">
      <w:pPr>
        <w:pStyle w:val="Text1"/>
        <w:pBdr>
          <w:top w:val="single" w:sz="4" w:space="1" w:color="auto"/>
          <w:left w:val="single" w:sz="4" w:space="4" w:color="auto"/>
          <w:bottom w:val="single" w:sz="4" w:space="1" w:color="auto"/>
          <w:right w:val="single" w:sz="4" w:space="4" w:color="auto"/>
        </w:pBdr>
        <w:rPr>
          <w:noProof/>
        </w:rPr>
      </w:pPr>
      <w:r w:rsidRPr="009E7D16">
        <w:rPr>
          <w:noProof/>
        </w:rPr>
        <w:t>À court terme, il est nécessaire que l’Union participe à la décision du Comité des ministres portant adoption de la résolution CM/Res (202x)x établissant l’accord partiel élargi sur le comité de direction du Tribunal spécial pour le crime d’agression contre l’Ukraine (APE), tout en réservant la notification au secrétaire général du Conseil de l’Europe de l’accomplissement des procédures internes nécessaires à la conclusion de l’APE. À long terme, la conclusion de l’APE est envisagée.</w:t>
      </w:r>
    </w:p>
    <w:p w:rsidR="00DE314D" w:rsidRPr="009E7D16" w:rsidRDefault="00DE314D">
      <w:pPr>
        <w:pStyle w:val="ManualHeading3"/>
        <w:rPr>
          <w:bCs/>
          <w:noProof/>
          <w:szCs w:val="24"/>
        </w:rPr>
      </w:pPr>
      <w:bookmarkStart w:id="60" w:name="_Toc514938029"/>
      <w:bookmarkStart w:id="61" w:name="_Toc520485036"/>
      <w:bookmarkStart w:id="62" w:name="_Toc160804578"/>
      <w:bookmarkStart w:id="63" w:name="_Toc167220270"/>
      <w:bookmarkStart w:id="64" w:name="_Toc177549003"/>
      <w:r w:rsidRPr="009E7D16">
        <w:rPr>
          <w:noProof/>
        </w:rPr>
        <w:t>1.5.2.</w:t>
      </w:r>
      <w:r w:rsidRPr="009E7D16">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60"/>
      <w:bookmarkEnd w:id="61"/>
      <w:bookmarkEnd w:id="62"/>
      <w:bookmarkEnd w:id="63"/>
      <w:bookmarkEnd w:id="64"/>
    </w:p>
    <w:p w:rsidR="00DE314D" w:rsidRPr="009E7D16" w:rsidRDefault="00DE314D">
      <w:pPr>
        <w:pStyle w:val="Text1"/>
        <w:pBdr>
          <w:top w:val="single" w:sz="4" w:space="1" w:color="auto"/>
          <w:left w:val="single" w:sz="4" w:space="4" w:color="auto"/>
          <w:bottom w:val="single" w:sz="4" w:space="1" w:color="auto"/>
          <w:right w:val="single" w:sz="4" w:space="4" w:color="auto"/>
        </w:pBdr>
        <w:rPr>
          <w:noProof/>
        </w:rPr>
      </w:pPr>
      <w:r w:rsidRPr="009E7D16">
        <w:rPr>
          <w:noProof/>
        </w:rPr>
        <w:t xml:space="preserve">Justification de l’action au niveau de l’UE (ex ante) </w:t>
      </w:r>
    </w:p>
    <w:p w:rsidR="00A2328D" w:rsidRPr="009E7D16" w:rsidRDefault="00A2328D">
      <w:pPr>
        <w:pStyle w:val="Text1"/>
        <w:pBdr>
          <w:top w:val="single" w:sz="4" w:space="1" w:color="auto"/>
          <w:left w:val="single" w:sz="4" w:space="4" w:color="auto"/>
          <w:bottom w:val="single" w:sz="4" w:space="1" w:color="auto"/>
          <w:right w:val="single" w:sz="4" w:space="4" w:color="auto"/>
        </w:pBdr>
        <w:rPr>
          <w:noProof/>
        </w:rPr>
      </w:pPr>
      <w:r w:rsidRPr="009E7D16">
        <w:rPr>
          <w:noProof/>
        </w:rPr>
        <w:t xml:space="preserve">Depuis le début de l’agression militaire de la Fédération de Russie contre l’Ukraine en février 2022, l’Union n’a cessé de soutenir les efforts internationaux et nationaux visant à faire en sorte que les auteurs des crimes les plus graves au regard du droit international commis dans le cadre de la guerre d’agression menée par la Fédération de Russie contre l’Ukraine répondent pleinement de leurs actes. Cet engagement a été démontré, entre autres, par le soutien de l’Union à la mise en place du centre international chargé des poursuites pour le crime d’agression (ICPA) au sein d’Eurojust, par sa participation active aux travaux du groupe restreint sur les instruments fondateurs du Tribunal spécial et par sa contribution à l’équipe préparatoire du Tribunal spécial à hauteur de 10 millions d’EUR. </w:t>
      </w:r>
    </w:p>
    <w:p w:rsidR="00DE314D" w:rsidRPr="009E7D16" w:rsidRDefault="00DE314D">
      <w:pPr>
        <w:pStyle w:val="Text1"/>
        <w:pBdr>
          <w:top w:val="single" w:sz="4" w:space="1" w:color="auto"/>
          <w:left w:val="single" w:sz="4" w:space="4" w:color="auto"/>
          <w:bottom w:val="single" w:sz="4" w:space="1" w:color="auto"/>
          <w:right w:val="single" w:sz="4" w:space="4" w:color="auto"/>
        </w:pBdr>
        <w:rPr>
          <w:noProof/>
        </w:rPr>
      </w:pPr>
      <w:r w:rsidRPr="009E7D16">
        <w:rPr>
          <w:noProof/>
        </w:rPr>
        <w:t xml:space="preserve">Valeur ajoutée de l’UE escomptée (ex post) </w:t>
      </w:r>
    </w:p>
    <w:p w:rsidR="00A2328D" w:rsidRPr="009E7D16" w:rsidRDefault="00A2328D">
      <w:pPr>
        <w:pStyle w:val="Text1"/>
        <w:pBdr>
          <w:top w:val="single" w:sz="4" w:space="1" w:color="auto"/>
          <w:left w:val="single" w:sz="4" w:space="4" w:color="auto"/>
          <w:bottom w:val="single" w:sz="4" w:space="1" w:color="auto"/>
          <w:right w:val="single" w:sz="4" w:space="4" w:color="auto"/>
        </w:pBdr>
        <w:rPr>
          <w:noProof/>
        </w:rPr>
      </w:pPr>
      <w:r w:rsidRPr="009E7D16">
        <w:rPr>
          <w:noProof/>
        </w:rPr>
        <w:t xml:space="preserve">Une fois la résolution établissant l’APE entrée en vigueur et le Tribunal spécial opérationnel, la participation de l’Union en tant que membre contribuera à faire en sorte que les personnes portant la plus grande part de responsabilité dans le crime d’agression contre l’Ukraine répondent de leurs actes, conformément au droit international. La participation de l’Union favorisera la cohérence entre ses propres actions et celles de ses États membres et lui permettra de jouer un rôle accru pour renforcer l’obligation de rendre des comptes pour l’Ukraine. </w:t>
      </w:r>
    </w:p>
    <w:p w:rsidR="00DE314D" w:rsidRPr="009E7D16" w:rsidRDefault="00DE314D">
      <w:pPr>
        <w:pStyle w:val="ManualHeading3"/>
        <w:rPr>
          <w:noProof/>
        </w:rPr>
      </w:pPr>
      <w:bookmarkStart w:id="65" w:name="_Toc514938030"/>
      <w:bookmarkStart w:id="66" w:name="_Toc520485037"/>
      <w:bookmarkStart w:id="67" w:name="_Toc160804579"/>
      <w:bookmarkStart w:id="68" w:name="_Toc167220271"/>
      <w:bookmarkStart w:id="69" w:name="_Toc177549004"/>
      <w:r w:rsidRPr="009E7D16">
        <w:rPr>
          <w:noProof/>
        </w:rPr>
        <w:t>1.5.3.</w:t>
      </w:r>
      <w:r w:rsidRPr="009E7D16">
        <w:rPr>
          <w:noProof/>
        </w:rPr>
        <w:tab/>
        <w:t>Leçons tirées d’expériences similaires</w:t>
      </w:r>
      <w:bookmarkEnd w:id="65"/>
      <w:bookmarkEnd w:id="66"/>
      <w:bookmarkEnd w:id="67"/>
      <w:bookmarkEnd w:id="68"/>
      <w:bookmarkEnd w:id="69"/>
    </w:p>
    <w:p w:rsidR="00DE314D" w:rsidRPr="009E7D16" w:rsidRDefault="00DE314D">
      <w:pPr>
        <w:pStyle w:val="ManualHeading3"/>
        <w:rPr>
          <w:noProof/>
        </w:rPr>
      </w:pPr>
      <w:bookmarkStart w:id="70" w:name="_Toc514938033"/>
      <w:bookmarkStart w:id="71" w:name="_Toc520485038"/>
      <w:bookmarkStart w:id="72" w:name="_Toc160804580"/>
      <w:bookmarkStart w:id="73" w:name="_Toc167220272"/>
      <w:bookmarkStart w:id="74" w:name="_Toc177549005"/>
      <w:r w:rsidRPr="009E7D16">
        <w:rPr>
          <w:noProof/>
        </w:rPr>
        <w:t>1.5.4.</w:t>
      </w:r>
      <w:r w:rsidRPr="009E7D16">
        <w:rPr>
          <w:noProof/>
        </w:rPr>
        <w:tab/>
        <w:t>Compatibilité avec le cadre financier pluriannuel et synergies éventuelles avec d’autres instruments appropriés</w:t>
      </w:r>
      <w:bookmarkEnd w:id="70"/>
      <w:bookmarkEnd w:id="71"/>
      <w:bookmarkEnd w:id="72"/>
      <w:bookmarkEnd w:id="73"/>
      <w:bookmarkEnd w:id="74"/>
    </w:p>
    <w:p w:rsidR="00A2328D" w:rsidRPr="009E7D16" w:rsidRDefault="00A2328D" w:rsidP="00945508">
      <w:pPr>
        <w:pStyle w:val="Text1"/>
        <w:pBdr>
          <w:top w:val="single" w:sz="4" w:space="1" w:color="auto"/>
          <w:left w:val="single" w:sz="4" w:space="4" w:color="auto"/>
          <w:bottom w:val="single" w:sz="4" w:space="1" w:color="auto"/>
          <w:right w:val="single" w:sz="4" w:space="4" w:color="auto"/>
        </w:pBdr>
        <w:rPr>
          <w:noProof/>
        </w:rPr>
      </w:pPr>
      <w:r w:rsidRPr="009E7D16">
        <w:rPr>
          <w:noProof/>
        </w:rPr>
        <w:t>Le soutien indéfectible de l’Union à l’Ukraine traduit un attachement commun aux principes démocratiques et à la sauvegarde de l’ordre international fondé sur des règles et de la paix en Europe. La présente proposition est donc cohérente avec les autres politiques de l’Union visant à soutenir l’Ukraine et à préserver l’ordre international et la paix en Europe, notamment dans le contexte de la guerre d’agression actuellement menée par la Russie contre l’Ukraine.</w:t>
      </w:r>
    </w:p>
    <w:p w:rsidR="00DE314D" w:rsidRPr="009E7D16" w:rsidRDefault="00DE314D">
      <w:pPr>
        <w:pStyle w:val="ManualHeading3"/>
        <w:rPr>
          <w:noProof/>
        </w:rPr>
      </w:pPr>
      <w:bookmarkStart w:id="75" w:name="_Toc514938036"/>
      <w:bookmarkStart w:id="76" w:name="_Toc520485039"/>
      <w:bookmarkStart w:id="77" w:name="_Toc160804581"/>
      <w:bookmarkStart w:id="78" w:name="_Toc167220273"/>
      <w:bookmarkStart w:id="79" w:name="_Toc177549006"/>
      <w:r w:rsidRPr="009E7D16">
        <w:rPr>
          <w:noProof/>
        </w:rPr>
        <w:t>1.5.5.</w:t>
      </w:r>
      <w:r w:rsidRPr="009E7D16">
        <w:rPr>
          <w:noProof/>
        </w:rPr>
        <w:tab/>
        <w:t>Évaluation des différentes possibilités de financement disponibles, y compris des possibilités de redéploiement</w:t>
      </w:r>
      <w:bookmarkEnd w:id="75"/>
      <w:bookmarkEnd w:id="76"/>
      <w:bookmarkEnd w:id="77"/>
      <w:bookmarkEnd w:id="78"/>
      <w:bookmarkEnd w:id="79"/>
    </w:p>
    <w:p w:rsidR="009E6311" w:rsidRPr="009E7D16" w:rsidRDefault="009E6311" w:rsidP="03E2E087">
      <w:pPr>
        <w:pStyle w:val="Text1"/>
        <w:pBdr>
          <w:top w:val="single" w:sz="4" w:space="1" w:color="auto"/>
          <w:left w:val="single" w:sz="4" w:space="4" w:color="auto"/>
          <w:bottom w:val="single" w:sz="4" w:space="1" w:color="auto"/>
          <w:right w:val="single" w:sz="4" w:space="4" w:color="auto"/>
        </w:pBdr>
        <w:rPr>
          <w:noProof/>
        </w:rPr>
      </w:pPr>
      <w:r w:rsidRPr="009E7D16">
        <w:rPr>
          <w:noProof/>
        </w:rPr>
        <w:t>L’établissement et l’entrée en vigueur de l’APE auront une incidence budgétaire, l’Union sera notamment tenue de contribuer chaque année à un budget spécifique couvrant les dépenses du Tribunal spécial et de son comité de direction</w:t>
      </w:r>
      <w:r w:rsidRPr="009E7D16">
        <w:rPr>
          <w:rStyle w:val="FootnoteReference"/>
          <w:noProof/>
        </w:rPr>
        <w:footnoteReference w:id="42"/>
      </w:r>
      <w:r w:rsidRPr="009E7D16">
        <w:rPr>
          <w:noProof/>
        </w:rPr>
        <w:t xml:space="preserve">. Par conséquent, la participation ultérieure de l’Union, en tant que membre, à l’APE impliquera le paiement d’une contribution annuelle. Les contributions annuelles obligatoires sont fixées par le comité de direction et calculées sur la base du barème standard des contributions du Conseil de l’Europe, sous réserve d’éventuels ajustements. </w:t>
      </w:r>
    </w:p>
    <w:p w:rsidR="009E6311" w:rsidRPr="009E7D16" w:rsidRDefault="009E6311" w:rsidP="009E6311">
      <w:pPr>
        <w:pStyle w:val="Text1"/>
        <w:pBdr>
          <w:top w:val="single" w:sz="4" w:space="1" w:color="auto"/>
          <w:left w:val="single" w:sz="4" w:space="4" w:color="auto"/>
          <w:bottom w:val="single" w:sz="4" w:space="1" w:color="auto"/>
          <w:right w:val="single" w:sz="4" w:space="4" w:color="auto"/>
        </w:pBdr>
        <w:rPr>
          <w:noProof/>
        </w:rPr>
      </w:pPr>
      <w:r w:rsidRPr="009E7D16">
        <w:rPr>
          <w:noProof/>
        </w:rPr>
        <w:t>En attendant de connaître la date d’entrée en vigueur de la résolution établissant l’APE, dont le premier budget annuel sera partagé entre les membres fondateurs, le Conseil de l’Europe a proposé d’adopter une «approche par étapes» en ce qui concerne les différentes phases relatives à la création du Tribunal. Cette approche prévoit, dans l’attente de l’entrée en vigueur de l’APE, la mise en place d’une équipe préparatoire pluridisciplinaire (phase 0) et d’un tribunal en formation réduite (phase 1). Les phases 0 et 1 sont destinées à jeter les bases nécessaires à la création du Tribunal spécial à part entière (phase 2). Bien que les estimations budgétaires concernant la phase 2 ne soient pas encore disponibles, des estimations préliminaires relatives aux phases 0 et 1 ont été fournies. Si l’on inclut les coûts liés aux adaptations nécessaires en matière de sécurité des locaux, la phase 0 s’élève à environ 30 millions d’EUR au total et la phase 1 à un montant compris entre 74 et 77 millions d’EUR par an pendant trois ans. Selon le Conseil de l’Europe, avant l’entrée en vigueur de l’APE, ces coûts peuvent être couverts par des contributions volontaires des États qui apportent leur soutien et de l’Union.</w:t>
      </w:r>
    </w:p>
    <w:p w:rsidR="009E6311" w:rsidRPr="009E7D16" w:rsidRDefault="009E6311" w:rsidP="00160326">
      <w:pPr>
        <w:pStyle w:val="Text1"/>
        <w:pBdr>
          <w:top w:val="single" w:sz="4" w:space="1" w:color="auto"/>
          <w:left w:val="single" w:sz="4" w:space="4" w:color="auto"/>
          <w:bottom w:val="single" w:sz="4" w:space="1" w:color="auto"/>
          <w:right w:val="single" w:sz="4" w:space="4" w:color="auto"/>
        </w:pBdr>
        <w:rPr>
          <w:noProof/>
        </w:rPr>
      </w:pPr>
      <w:r w:rsidRPr="009E7D16">
        <w:rPr>
          <w:noProof/>
        </w:rPr>
        <w:t>À ce stade, sans connaître précisément le nombre d’États participants ni la date d’entrée en vigueur de l’APE, le montant exact de la contribution de l’Union en tant que membre du comité de direction ne peut être déterminé avec certitude. Toutefois, le Conseil de l’Europe a présenté le scénario suivant concernant la répartition des coûts au cours des phases 0 et 1: la contribution de l’Union, calculée sur la base du barème des contributions du registre des dommages (où la contribution de l’Union s’élève à 14 % du budget total), et en supposant la participation des 40 États ayant pris part au groupe restreint, s’élèverait à environ 4,3 millions d’EUR pour la phase 0 et se situerait entre 10,5 et 11 millions d’EUR par an pendant trois ans pour la phase 1. Il convient toutefois de noter que l’Union ne sera pas tenue de verser de contributions obligatoires avant l’entrée en vigueur de l’accord partiel élargi, qui n’aura probablement pas lieu avant 2028. Pour la période débutant en 2028, la contribution de l’Union pourra être fournie au titre de l’instrument «Europe dans le monde», sous réserve du résultat des négociations interinstitutionnelles sur le cadre financier pluriannuel 2028-2034, et ensuite être déterminée dans le cadre de la procédure budgétaire annuelle et du mécanisme de pilotage.</w:t>
      </w:r>
    </w:p>
    <w:p w:rsidR="00A2328D" w:rsidRPr="009E7D16" w:rsidRDefault="00E05E1B" w:rsidP="009E6311">
      <w:pPr>
        <w:pStyle w:val="Text1"/>
        <w:pBdr>
          <w:top w:val="single" w:sz="4" w:space="1" w:color="auto"/>
          <w:left w:val="single" w:sz="4" w:space="4" w:color="auto"/>
          <w:bottom w:val="single" w:sz="4" w:space="1" w:color="auto"/>
          <w:right w:val="single" w:sz="4" w:space="4" w:color="auto"/>
        </w:pBdr>
        <w:rPr>
          <w:noProof/>
        </w:rPr>
      </w:pPr>
      <w:r w:rsidRPr="009E7D16">
        <w:rPr>
          <w:noProof/>
        </w:rPr>
        <w:t xml:space="preserve"> Outre les estimations de coûts fournies par le Conseil de l’Europe comme indiqué ci-dessus, le 22 janvier 2026, le Conseil de l’Europe et l’Union européenne ont signé une convention de contribution d’un montant de 10 millions d’EUR destinée à financer un projet d’une durée maximale de 24 mois par l’intermédiaire du service des instruments de politique étrangère de la Commission européenne. Cette convention vise à créer une équipe préparatoire chargée de jeter les bases institutionnelles, logistiques et organisationnelles nécessaires aux prochaines phases d’établissement du Tribunal spécial. Le soutien de l’Union couvre notamment les dépenses liées au personnel pour les années 2026 et 2027.</w:t>
      </w:r>
    </w:p>
    <w:p w:rsidR="00A2328D" w:rsidRPr="009E7D16" w:rsidRDefault="00A2328D" w:rsidP="00945508">
      <w:pPr>
        <w:pStyle w:val="Text1"/>
        <w:rPr>
          <w:noProof/>
        </w:rPr>
      </w:pPr>
    </w:p>
    <w:p w:rsidR="00DE314D" w:rsidRPr="009E7D16" w:rsidRDefault="00DE314D">
      <w:pPr>
        <w:pStyle w:val="ManualHeading2"/>
        <w:rPr>
          <w:bCs/>
          <w:noProof/>
          <w:szCs w:val="24"/>
        </w:rPr>
      </w:pPr>
      <w:r w:rsidRPr="009E7D16">
        <w:rPr>
          <w:noProof/>
        </w:rPr>
        <w:br w:type="page"/>
      </w:r>
      <w:bookmarkStart w:id="80" w:name="_Toc514938039"/>
      <w:bookmarkStart w:id="81" w:name="_Toc520485040"/>
      <w:bookmarkStart w:id="82" w:name="_Toc160804582"/>
      <w:bookmarkStart w:id="83" w:name="_Toc167220274"/>
      <w:bookmarkStart w:id="84" w:name="_Toc177549007"/>
      <w:r w:rsidRPr="009E7D16">
        <w:rPr>
          <w:noProof/>
        </w:rPr>
        <w:t>1.6.</w:t>
      </w:r>
      <w:r w:rsidRPr="009E7D16">
        <w:rPr>
          <w:noProof/>
        </w:rPr>
        <w:tab/>
        <w:t>Durée de la proposition/de l’initiative</w:t>
      </w:r>
      <w:bookmarkEnd w:id="80"/>
      <w:bookmarkEnd w:id="81"/>
      <w:r w:rsidRPr="009E7D16">
        <w:rPr>
          <w:noProof/>
        </w:rPr>
        <w:t xml:space="preserve"> et de son incidence financière</w:t>
      </w:r>
      <w:bookmarkEnd w:id="82"/>
      <w:bookmarkEnd w:id="83"/>
      <w:bookmarkEnd w:id="84"/>
    </w:p>
    <w:p w:rsidR="00DE314D" w:rsidRPr="009E7D16" w:rsidRDefault="001C54EA">
      <w:pPr>
        <w:pStyle w:val="Text1"/>
        <w:rPr>
          <w:noProof/>
        </w:rPr>
      </w:pPr>
      <w:r w:rsidRPr="009E7D16">
        <w:rPr>
          <w:rFonts w:ascii="Wingdings" w:hAnsi="Wingdings"/>
          <w:noProof/>
        </w:rPr>
        <w:t></w:t>
      </w:r>
      <w:r w:rsidRPr="009E7D16">
        <w:rPr>
          <w:b/>
          <w:i/>
          <w:noProof/>
        </w:rPr>
        <w:t xml:space="preserve"> </w:t>
      </w:r>
      <w:r w:rsidRPr="009E7D16">
        <w:rPr>
          <w:b/>
          <w:noProof/>
        </w:rPr>
        <w:t xml:space="preserve">durée limitée </w:t>
      </w:r>
    </w:p>
    <w:p w:rsidR="00DE314D" w:rsidRPr="009E7D16" w:rsidRDefault="00513B84">
      <w:pPr>
        <w:pStyle w:val="ListDash2"/>
        <w:rPr>
          <w:noProof/>
        </w:rPr>
      </w:pPr>
      <w:r w:rsidRPr="009E7D16">
        <w:rPr>
          <w:rFonts w:ascii="Wingdings" w:hAnsi="Wingdings"/>
          <w:noProof/>
        </w:rPr>
        <w:t></w:t>
      </w:r>
      <w:r w:rsidRPr="009E7D16">
        <w:rPr>
          <w:noProof/>
        </w:rPr>
        <w:tab/>
        <w:t>en vigueur à partir de 2028, dès l’accomplissement du mandat du Tribunal spécial.</w:t>
      </w:r>
    </w:p>
    <w:p w:rsidR="00DE314D" w:rsidRPr="009E7D16" w:rsidRDefault="00DE314D">
      <w:pPr>
        <w:pStyle w:val="ListDash2"/>
        <w:rPr>
          <w:noProof/>
        </w:rPr>
      </w:pPr>
      <w:r w:rsidRPr="009E7D16">
        <w:rPr>
          <w:rFonts w:ascii="Wingdings" w:hAnsi="Wingdings"/>
          <w:noProof/>
        </w:rPr>
        <w:t></w:t>
      </w:r>
      <w:r w:rsidRPr="009E7D16">
        <w:rPr>
          <w:noProof/>
        </w:rPr>
        <w:tab/>
        <w:t xml:space="preserve">Incidence financière de AAAA jusqu’en AAAA pour les crédits d’engagement et de AAAA jusqu’en AAAA pour les crédits de paiement. </w:t>
      </w:r>
    </w:p>
    <w:p w:rsidR="00DE314D" w:rsidRPr="009E7D16" w:rsidRDefault="00DE314D">
      <w:pPr>
        <w:pStyle w:val="Text1"/>
        <w:rPr>
          <w:noProof/>
        </w:rPr>
      </w:pPr>
      <w:r w:rsidRPr="009E7D16">
        <w:rPr>
          <w:rFonts w:ascii="Wingdings" w:hAnsi="Wingdings"/>
          <w:noProof/>
        </w:rPr>
        <w:t></w:t>
      </w:r>
      <w:r w:rsidRPr="009E7D16">
        <w:rPr>
          <w:b/>
          <w:i/>
          <w:noProof/>
        </w:rPr>
        <w:t xml:space="preserve"> </w:t>
      </w:r>
      <w:r w:rsidRPr="009E7D16">
        <w:rPr>
          <w:b/>
          <w:noProof/>
        </w:rPr>
        <w:t>durée illimitée</w:t>
      </w:r>
    </w:p>
    <w:p w:rsidR="00DE314D" w:rsidRPr="009E7D16" w:rsidRDefault="00DE314D">
      <w:pPr>
        <w:pStyle w:val="ListDash1"/>
        <w:rPr>
          <w:noProof/>
        </w:rPr>
      </w:pPr>
      <w:r w:rsidRPr="009E7D16">
        <w:rPr>
          <w:noProof/>
        </w:rPr>
        <w:t>Mise en œuvre avec une période de montée en puissance de AAAA jusqu’en AAAA,</w:t>
      </w:r>
    </w:p>
    <w:p w:rsidR="00DE314D" w:rsidRPr="009E7D16" w:rsidRDefault="00DE314D">
      <w:pPr>
        <w:pStyle w:val="ListDash1"/>
        <w:rPr>
          <w:noProof/>
        </w:rPr>
      </w:pPr>
      <w:r w:rsidRPr="009E7D16">
        <w:rPr>
          <w:noProof/>
        </w:rPr>
        <w:t>puis un fonctionnement en rythme de croisière au-delà.</w:t>
      </w:r>
    </w:p>
    <w:p w:rsidR="00DE314D" w:rsidRPr="009E7D16" w:rsidRDefault="00DE314D" w:rsidP="77BC4F07">
      <w:pPr>
        <w:pStyle w:val="ManualHeading2"/>
        <w:rPr>
          <w:noProof/>
        </w:rPr>
      </w:pPr>
      <w:bookmarkStart w:id="85" w:name="_Toc514938040"/>
      <w:bookmarkStart w:id="86" w:name="_Toc520485041"/>
      <w:bookmarkStart w:id="87" w:name="_Toc160804583"/>
      <w:bookmarkStart w:id="88" w:name="_Toc167220275"/>
      <w:bookmarkStart w:id="89" w:name="_Toc177549008"/>
      <w:r w:rsidRPr="009E7D16">
        <w:rPr>
          <w:noProof/>
        </w:rPr>
        <w:t>1.7.</w:t>
      </w:r>
      <w:r w:rsidRPr="009E7D16">
        <w:rPr>
          <w:noProof/>
        </w:rPr>
        <w:tab/>
        <w:t>Mode(s) d’exécution budgétaire prévu(s)</w:t>
      </w:r>
      <w:bookmarkEnd w:id="85"/>
      <w:bookmarkEnd w:id="86"/>
      <w:bookmarkEnd w:id="87"/>
      <w:bookmarkEnd w:id="88"/>
      <w:bookmarkEnd w:id="89"/>
      <w:r w:rsidRPr="009E7D16">
        <w:rPr>
          <w:noProof/>
        </w:rPr>
        <w:t xml:space="preserve"> </w:t>
      </w:r>
    </w:p>
    <w:p w:rsidR="00DE314D" w:rsidRPr="009E7D16" w:rsidRDefault="00774994">
      <w:pPr>
        <w:pStyle w:val="Text1"/>
        <w:rPr>
          <w:noProof/>
        </w:rPr>
      </w:pPr>
      <w:r w:rsidRPr="009E7D16">
        <w:rPr>
          <w:b/>
          <w:noProof/>
        </w:rPr>
        <w:t>Gestion directe</w:t>
      </w:r>
      <w:r w:rsidRPr="009E7D16">
        <w:rPr>
          <w:noProof/>
        </w:rPr>
        <w:t xml:space="preserve"> par la Commission</w:t>
      </w:r>
    </w:p>
    <w:p w:rsidR="00DE314D" w:rsidRPr="009E7D16" w:rsidRDefault="00DE314D">
      <w:pPr>
        <w:pStyle w:val="ListDash2"/>
        <w:rPr>
          <w:rFonts w:cs="EUAlbertina"/>
          <w:noProof/>
        </w:rPr>
      </w:pPr>
      <w:r w:rsidRPr="009E7D16">
        <w:rPr>
          <w:rFonts w:ascii="Wingdings" w:hAnsi="Wingdings"/>
          <w:noProof/>
        </w:rPr>
        <w:t></w:t>
      </w:r>
      <w:r w:rsidRPr="009E7D16">
        <w:rPr>
          <w:noProof/>
        </w:rPr>
        <w:t xml:space="preserve"> dans ses services, y compris par l’intermédiaire de son personnel dans les délégations de l’Union; </w:t>
      </w:r>
    </w:p>
    <w:p w:rsidR="00DE314D" w:rsidRPr="009E7D16" w:rsidRDefault="00DE314D">
      <w:pPr>
        <w:pStyle w:val="ListDash2"/>
        <w:rPr>
          <w:noProof/>
        </w:rPr>
      </w:pPr>
      <w:r w:rsidRPr="009E7D16">
        <w:rPr>
          <w:rFonts w:ascii="Wingdings" w:hAnsi="Wingdings"/>
          <w:noProof/>
        </w:rPr>
        <w:t></w:t>
      </w:r>
      <w:r w:rsidRPr="009E7D16">
        <w:rPr>
          <w:noProof/>
        </w:rPr>
        <w:tab/>
        <w:t xml:space="preserve">par les agences exécutives. </w:t>
      </w:r>
    </w:p>
    <w:p w:rsidR="00DE314D" w:rsidRPr="009E7D16" w:rsidRDefault="00DE314D">
      <w:pPr>
        <w:pStyle w:val="Text1"/>
        <w:rPr>
          <w:noProof/>
        </w:rPr>
      </w:pPr>
      <w:r w:rsidRPr="009E7D16">
        <w:rPr>
          <w:rFonts w:ascii="Wingdings" w:hAnsi="Wingdings"/>
          <w:noProof/>
        </w:rPr>
        <w:t></w:t>
      </w:r>
      <w:r w:rsidRPr="009E7D16">
        <w:rPr>
          <w:b/>
          <w:i/>
          <w:noProof/>
        </w:rPr>
        <w:t xml:space="preserve"> </w:t>
      </w:r>
      <w:r w:rsidRPr="009E7D16">
        <w:rPr>
          <w:b/>
          <w:noProof/>
        </w:rPr>
        <w:t>Gestion partagée</w:t>
      </w:r>
      <w:r w:rsidRPr="009E7D16">
        <w:rPr>
          <w:noProof/>
        </w:rPr>
        <w:t xml:space="preserve"> avec les États membres </w:t>
      </w:r>
    </w:p>
    <w:p w:rsidR="00DE314D" w:rsidRPr="009E7D16" w:rsidRDefault="00774994">
      <w:pPr>
        <w:pStyle w:val="Text1"/>
        <w:rPr>
          <w:noProof/>
        </w:rPr>
      </w:pPr>
      <w:r w:rsidRPr="009E7D16">
        <w:rPr>
          <w:rFonts w:ascii="Wingdings" w:hAnsi="Wingdings"/>
          <w:noProof/>
        </w:rPr>
        <w:t></w:t>
      </w:r>
      <w:r w:rsidRPr="009E7D16">
        <w:rPr>
          <w:i/>
          <w:noProof/>
        </w:rPr>
        <w:t xml:space="preserve"> </w:t>
      </w:r>
      <w:r w:rsidRPr="009E7D16">
        <w:rPr>
          <w:b/>
          <w:noProof/>
        </w:rPr>
        <w:t>Gestion indirecte</w:t>
      </w:r>
      <w:r w:rsidRPr="009E7D16">
        <w:rPr>
          <w:noProof/>
        </w:rPr>
        <w:t xml:space="preserve"> en confiant des tâches d’exécution budgétaire:</w:t>
      </w:r>
    </w:p>
    <w:p w:rsidR="00DE314D" w:rsidRPr="009E7D16" w:rsidRDefault="00DE314D">
      <w:pPr>
        <w:pStyle w:val="ListDash2"/>
        <w:rPr>
          <w:noProof/>
        </w:rPr>
      </w:pPr>
      <w:r w:rsidRPr="009E7D16">
        <w:rPr>
          <w:rFonts w:ascii="Wingdings" w:hAnsi="Wingdings"/>
          <w:noProof/>
        </w:rPr>
        <w:t></w:t>
      </w:r>
      <w:r w:rsidRPr="009E7D16">
        <w:rPr>
          <w:noProof/>
        </w:rPr>
        <w:t xml:space="preserve"> à des pays tiers ou des organismes qu’ils ont désignés</w:t>
      </w:r>
    </w:p>
    <w:p w:rsidR="00DE314D" w:rsidRPr="009E7D16" w:rsidRDefault="00DE314D">
      <w:pPr>
        <w:pStyle w:val="ListDash2"/>
        <w:rPr>
          <w:noProof/>
        </w:rPr>
      </w:pPr>
      <w:r w:rsidRPr="009E7D16">
        <w:rPr>
          <w:rFonts w:ascii="Wingdings" w:hAnsi="Wingdings"/>
          <w:noProof/>
        </w:rPr>
        <w:t></w:t>
      </w:r>
      <w:r w:rsidRPr="009E7D16">
        <w:rPr>
          <w:noProof/>
        </w:rPr>
        <w:t xml:space="preserve"> à des organisations internationales et à leurs agences (à préciser)</w:t>
      </w:r>
    </w:p>
    <w:p w:rsidR="00DE314D" w:rsidRPr="009E7D16" w:rsidRDefault="00DE314D">
      <w:pPr>
        <w:pStyle w:val="ListDash2"/>
        <w:rPr>
          <w:noProof/>
        </w:rPr>
      </w:pPr>
      <w:r w:rsidRPr="009E7D16">
        <w:rPr>
          <w:rFonts w:ascii="Wingdings" w:hAnsi="Wingdings"/>
          <w:noProof/>
        </w:rPr>
        <w:t></w:t>
      </w:r>
      <w:r w:rsidRPr="009E7D16">
        <w:rPr>
          <w:noProof/>
        </w:rPr>
        <w:t xml:space="preserve"> à la Banque européenne d’investissement et au Fonds européen d’investissement</w:t>
      </w:r>
    </w:p>
    <w:p w:rsidR="00DE314D" w:rsidRPr="009E7D16" w:rsidRDefault="00DE314D">
      <w:pPr>
        <w:pStyle w:val="ListDash2"/>
        <w:rPr>
          <w:noProof/>
        </w:rPr>
      </w:pPr>
      <w:r w:rsidRPr="009E7D16">
        <w:rPr>
          <w:rFonts w:ascii="Wingdings" w:hAnsi="Wingdings"/>
          <w:noProof/>
        </w:rPr>
        <w:t></w:t>
      </w:r>
      <w:r w:rsidRPr="009E7D16">
        <w:rPr>
          <w:noProof/>
        </w:rPr>
        <w:t xml:space="preserve"> aux organismes visés aux articles 70 et 71 du règlement financier</w:t>
      </w:r>
    </w:p>
    <w:p w:rsidR="00DE314D" w:rsidRPr="009E7D16" w:rsidRDefault="00DE314D">
      <w:pPr>
        <w:pStyle w:val="ListDash2"/>
        <w:rPr>
          <w:noProof/>
        </w:rPr>
      </w:pPr>
      <w:r w:rsidRPr="009E7D16">
        <w:rPr>
          <w:rFonts w:ascii="Wingdings" w:hAnsi="Wingdings"/>
          <w:noProof/>
        </w:rPr>
        <w:t></w:t>
      </w:r>
      <w:r w:rsidRPr="009E7D16">
        <w:rPr>
          <w:noProof/>
        </w:rPr>
        <w:t xml:space="preserve"> à des établissements de droit public</w:t>
      </w:r>
    </w:p>
    <w:p w:rsidR="00DE314D" w:rsidRPr="009E7D16" w:rsidRDefault="00DE314D">
      <w:pPr>
        <w:pStyle w:val="ListDash2"/>
        <w:rPr>
          <w:noProof/>
        </w:rPr>
      </w:pPr>
      <w:r w:rsidRPr="009E7D16">
        <w:rPr>
          <w:rFonts w:ascii="Wingdings" w:hAnsi="Wingdings"/>
          <w:noProof/>
        </w:rPr>
        <w:t></w:t>
      </w:r>
      <w:r w:rsidRPr="009E7D16">
        <w:rPr>
          <w:noProof/>
        </w:rPr>
        <w:t xml:space="preserve"> à des entités de droit privé investies d’une mission de service public, pour autant qu’elles soient dotées de garanties financières suffisantes</w:t>
      </w:r>
    </w:p>
    <w:p w:rsidR="00DE314D" w:rsidRPr="009E7D16" w:rsidRDefault="00DE314D">
      <w:pPr>
        <w:pStyle w:val="ListDash2"/>
        <w:rPr>
          <w:noProof/>
        </w:rPr>
      </w:pPr>
      <w:r w:rsidRPr="009E7D16">
        <w:rPr>
          <w:rFonts w:ascii="Wingdings" w:hAnsi="Wingdings"/>
          <w:noProof/>
        </w:rPr>
        <w:t></w:t>
      </w:r>
      <w:r w:rsidRPr="009E7D16">
        <w:rPr>
          <w:noProof/>
        </w:rPr>
        <w:t xml:space="preserve"> à des entités de droit privé d’un État membre qui sont chargées de la mise en œuvre d’un partenariat public-privé et dotées de garanties financières suffisantes</w:t>
      </w:r>
    </w:p>
    <w:p w:rsidR="00DE314D" w:rsidRPr="009E7D16" w:rsidRDefault="00DE314D">
      <w:pPr>
        <w:pStyle w:val="ListDash2"/>
        <w:rPr>
          <w:noProof/>
        </w:rPr>
      </w:pPr>
      <w:r w:rsidRPr="009E7D16">
        <w:rPr>
          <w:rFonts w:ascii="Wingdings" w:hAnsi="Wingdings"/>
          <w:noProof/>
        </w:rPr>
        <w:t></w:t>
      </w:r>
      <w:r w:rsidRPr="009E7D16">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rsidR="00DE314D" w:rsidRPr="009E7D16" w:rsidRDefault="00DE314D">
      <w:pPr>
        <w:pStyle w:val="ListDash2"/>
        <w:rPr>
          <w:noProof/>
        </w:rPr>
      </w:pPr>
      <w:r w:rsidRPr="009E7D16">
        <w:rPr>
          <w:rFonts w:ascii="Wingdings" w:hAnsi="Wingdings"/>
          <w:noProof/>
        </w:rPr>
        <w:t></w:t>
      </w:r>
      <w:r w:rsidRPr="009E7D16">
        <w:rPr>
          <w:rFonts w:ascii="Wingdings" w:hAnsi="Wingdings"/>
          <w:noProof/>
        </w:rPr>
        <w:t></w:t>
      </w:r>
      <w:r w:rsidRPr="009E7D16">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rsidR="00DE314D" w:rsidRPr="009E7D16" w:rsidRDefault="00DE314D">
      <w:pPr>
        <w:rPr>
          <w:noProof/>
        </w:rPr>
      </w:pPr>
      <w:r w:rsidRPr="009E7D16">
        <w:rPr>
          <w:noProof/>
        </w:rPr>
        <w:t xml:space="preserve">Remarques </w:t>
      </w:r>
    </w:p>
    <w:p w:rsidR="00DE314D" w:rsidRPr="009E7D16" w:rsidRDefault="00DE314D">
      <w:pPr>
        <w:rPr>
          <w:noProof/>
        </w:rPr>
        <w:sectPr w:rsidR="00DE314D" w:rsidRPr="009E7D16" w:rsidSect="008155FA">
          <w:pgSz w:w="11907" w:h="16840" w:code="9"/>
          <w:pgMar w:top="1134" w:right="1418" w:bottom="1134" w:left="1418" w:header="709" w:footer="709" w:gutter="0"/>
          <w:cols w:space="708"/>
          <w:docGrid w:linePitch="360"/>
        </w:sectPr>
      </w:pPr>
    </w:p>
    <w:p w:rsidR="00DE314D" w:rsidRPr="009E7D16" w:rsidRDefault="00DE314D">
      <w:pPr>
        <w:pStyle w:val="ManualHeading1"/>
        <w:rPr>
          <w:bCs/>
          <w:noProof/>
          <w:szCs w:val="24"/>
        </w:rPr>
      </w:pPr>
      <w:bookmarkStart w:id="90" w:name="_Toc514938041"/>
      <w:bookmarkStart w:id="91" w:name="_Toc520485042"/>
      <w:bookmarkStart w:id="92" w:name="_Toc160804584"/>
      <w:bookmarkStart w:id="93" w:name="_Toc167220276"/>
      <w:bookmarkStart w:id="94" w:name="_Toc177549009"/>
      <w:r w:rsidRPr="009E7D16">
        <w:rPr>
          <w:noProof/>
        </w:rPr>
        <w:t>2.</w:t>
      </w:r>
      <w:r w:rsidRPr="009E7D16">
        <w:rPr>
          <w:noProof/>
        </w:rPr>
        <w:tab/>
        <w:t>MESURES DE GESTION</w:t>
      </w:r>
      <w:bookmarkEnd w:id="90"/>
      <w:bookmarkEnd w:id="91"/>
      <w:bookmarkEnd w:id="92"/>
      <w:bookmarkEnd w:id="93"/>
      <w:bookmarkEnd w:id="94"/>
      <w:r w:rsidRPr="009E7D16">
        <w:rPr>
          <w:noProof/>
        </w:rPr>
        <w:t xml:space="preserve"> </w:t>
      </w:r>
    </w:p>
    <w:p w:rsidR="00DE314D" w:rsidRPr="009E7D16" w:rsidRDefault="00DE314D">
      <w:pPr>
        <w:pStyle w:val="ManualHeading2"/>
        <w:rPr>
          <w:noProof/>
        </w:rPr>
      </w:pPr>
      <w:bookmarkStart w:id="95" w:name="_Toc514938042"/>
      <w:bookmarkStart w:id="96" w:name="_Toc520485043"/>
      <w:bookmarkStart w:id="97" w:name="_Toc160804585"/>
      <w:bookmarkStart w:id="98" w:name="_Toc167220277"/>
      <w:bookmarkStart w:id="99" w:name="_Toc177549010"/>
      <w:r w:rsidRPr="009E7D16">
        <w:rPr>
          <w:noProof/>
        </w:rPr>
        <w:t>2.1.</w:t>
      </w:r>
      <w:r w:rsidRPr="009E7D16">
        <w:rPr>
          <w:noProof/>
        </w:rPr>
        <w:tab/>
        <w:t>Dispositions en matière de suivi et de compte rendu</w:t>
      </w:r>
      <w:bookmarkEnd w:id="95"/>
      <w:bookmarkEnd w:id="96"/>
      <w:bookmarkEnd w:id="97"/>
      <w:bookmarkEnd w:id="98"/>
      <w:bookmarkEnd w:id="99"/>
      <w:r w:rsidRPr="009E7D16">
        <w:rPr>
          <w:noProof/>
        </w:rPr>
        <w:t xml:space="preserve"> </w:t>
      </w:r>
    </w:p>
    <w:p w:rsidR="00663556" w:rsidRPr="009E7D16" w:rsidRDefault="00663556" w:rsidP="00945508">
      <w:pPr>
        <w:pStyle w:val="Text1"/>
        <w:pBdr>
          <w:top w:val="single" w:sz="4" w:space="1" w:color="auto"/>
          <w:left w:val="single" w:sz="4" w:space="4" w:color="auto"/>
          <w:bottom w:val="single" w:sz="4" w:space="1" w:color="auto"/>
          <w:right w:val="single" w:sz="4" w:space="4" w:color="auto"/>
        </w:pBdr>
        <w:rPr>
          <w:noProof/>
        </w:rPr>
      </w:pPr>
      <w:r w:rsidRPr="009E7D16">
        <w:rPr>
          <w:noProof/>
        </w:rPr>
        <w:t>Les contributions annuelles obligatoires sont fixées par le comité de direction et calculées sur la base du barème standard des contributions du Conseil de l’Europe, sous réserve d’éventuels ajustements. Chaque année, le comité de direction, en coordination avec le secrétaire général du Conseil de l’Europe et le greffier du Tribunal spécial, approuve les budgets de dépenses tant pour le Tribunal que pour le comité de direction. Les comptes annuels sont également approuvés par le comité de direction et font l’objet d’un audit externe. La phase finale du contrôle consiste en la transmission des comptes et des rapports d’audit au Comité des Ministres du Conseil de l’Europe, en vue de la décharge formelle de la responsabilité financière.</w:t>
      </w:r>
    </w:p>
    <w:p w:rsidR="00DE314D" w:rsidRPr="009E7D16" w:rsidRDefault="00DE314D">
      <w:pPr>
        <w:pStyle w:val="ManualHeading2"/>
        <w:rPr>
          <w:bCs/>
          <w:noProof/>
          <w:szCs w:val="24"/>
        </w:rPr>
      </w:pPr>
      <w:bookmarkStart w:id="100" w:name="_Toc514938045"/>
      <w:bookmarkStart w:id="101" w:name="_Toc520485044"/>
      <w:bookmarkStart w:id="102" w:name="_Toc160804586"/>
      <w:bookmarkStart w:id="103" w:name="_Toc167220278"/>
      <w:bookmarkStart w:id="104" w:name="_Toc177549011"/>
      <w:r w:rsidRPr="009E7D16">
        <w:rPr>
          <w:noProof/>
        </w:rPr>
        <w:t>2.2.</w:t>
      </w:r>
      <w:r w:rsidRPr="009E7D16">
        <w:rPr>
          <w:noProof/>
        </w:rPr>
        <w:tab/>
        <w:t>Système(s) de gestion et de contrôle</w:t>
      </w:r>
      <w:bookmarkEnd w:id="100"/>
      <w:bookmarkEnd w:id="101"/>
      <w:bookmarkEnd w:id="102"/>
      <w:bookmarkEnd w:id="103"/>
      <w:bookmarkEnd w:id="104"/>
      <w:r w:rsidRPr="009E7D16">
        <w:rPr>
          <w:noProof/>
        </w:rPr>
        <w:t xml:space="preserve"> </w:t>
      </w:r>
    </w:p>
    <w:p w:rsidR="00DE314D" w:rsidRPr="009E7D16" w:rsidRDefault="00DE314D">
      <w:pPr>
        <w:pStyle w:val="ManualHeading3"/>
        <w:rPr>
          <w:noProof/>
        </w:rPr>
      </w:pPr>
      <w:bookmarkStart w:id="105" w:name="_Toc514938046"/>
      <w:bookmarkStart w:id="106" w:name="_Toc520485045"/>
      <w:bookmarkStart w:id="107" w:name="_Toc160804587"/>
      <w:bookmarkStart w:id="108" w:name="_Toc167220279"/>
      <w:bookmarkStart w:id="109" w:name="_Toc177549012"/>
      <w:r w:rsidRPr="009E7D16">
        <w:rPr>
          <w:noProof/>
        </w:rPr>
        <w:t>2.2.1.</w:t>
      </w:r>
      <w:r w:rsidRPr="009E7D16">
        <w:rPr>
          <w:noProof/>
        </w:rPr>
        <w:tab/>
        <w:t>Justification du (des) mode(s) d’exécution budgétaire, du (des) mécanisme(s) de mise en œuvre du financement, des modalités de paiement et de la stratégie de contrôle proposée</w:t>
      </w:r>
      <w:bookmarkEnd w:id="105"/>
      <w:bookmarkEnd w:id="106"/>
      <w:bookmarkEnd w:id="107"/>
      <w:bookmarkEnd w:id="108"/>
      <w:bookmarkEnd w:id="109"/>
    </w:p>
    <w:p w:rsidR="00DE314D" w:rsidRPr="009E7D16" w:rsidRDefault="00DE314D">
      <w:pPr>
        <w:pStyle w:val="ManualHeading3"/>
        <w:rPr>
          <w:bCs/>
          <w:noProof/>
          <w:szCs w:val="24"/>
        </w:rPr>
      </w:pPr>
      <w:bookmarkStart w:id="110" w:name="_Toc514938047"/>
      <w:bookmarkStart w:id="111" w:name="_Toc520485046"/>
      <w:bookmarkStart w:id="112" w:name="_Toc160804588"/>
      <w:bookmarkStart w:id="113" w:name="_Toc167220280"/>
      <w:bookmarkStart w:id="114" w:name="_Toc177549013"/>
      <w:r w:rsidRPr="009E7D16">
        <w:rPr>
          <w:noProof/>
        </w:rPr>
        <w:t>2.2.2.</w:t>
      </w:r>
      <w:r w:rsidRPr="009E7D16">
        <w:rPr>
          <w:noProof/>
        </w:rPr>
        <w:tab/>
        <w:t>Informations sur les risques recensés et sur le(s) système(s) de contrôle interne mis en place pour les atténuer</w:t>
      </w:r>
      <w:bookmarkEnd w:id="110"/>
      <w:bookmarkEnd w:id="111"/>
      <w:bookmarkEnd w:id="112"/>
      <w:bookmarkEnd w:id="113"/>
      <w:bookmarkEnd w:id="114"/>
    </w:p>
    <w:p w:rsidR="00DE314D" w:rsidRPr="009E7D16" w:rsidRDefault="00DE314D">
      <w:pPr>
        <w:pStyle w:val="ManualHeading3"/>
        <w:rPr>
          <w:noProof/>
        </w:rPr>
      </w:pPr>
      <w:bookmarkStart w:id="115" w:name="_Toc514938048"/>
      <w:bookmarkStart w:id="116" w:name="_Toc520485047"/>
      <w:bookmarkStart w:id="117" w:name="_Toc160804589"/>
      <w:bookmarkStart w:id="118" w:name="_Toc167220281"/>
      <w:bookmarkStart w:id="119" w:name="_Toc177549014"/>
      <w:r w:rsidRPr="009E7D16">
        <w:rPr>
          <w:noProof/>
        </w:rPr>
        <w:t>2.2.3.</w:t>
      </w:r>
      <w:r w:rsidRPr="009E7D16">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15"/>
      <w:bookmarkEnd w:id="116"/>
      <w:bookmarkEnd w:id="117"/>
      <w:bookmarkEnd w:id="118"/>
      <w:bookmarkEnd w:id="119"/>
      <w:r w:rsidRPr="009E7D16">
        <w:rPr>
          <w:noProof/>
        </w:rPr>
        <w:t xml:space="preserve"> </w:t>
      </w:r>
    </w:p>
    <w:p w:rsidR="00DE314D" w:rsidRPr="009E7D16" w:rsidRDefault="00DE314D">
      <w:pPr>
        <w:pStyle w:val="ManualHeading2"/>
        <w:rPr>
          <w:bCs/>
          <w:noProof/>
          <w:szCs w:val="24"/>
        </w:rPr>
      </w:pPr>
      <w:bookmarkStart w:id="120" w:name="_Toc514938049"/>
      <w:bookmarkStart w:id="121" w:name="_Toc520485048"/>
      <w:bookmarkStart w:id="122" w:name="_Toc160804590"/>
      <w:bookmarkStart w:id="123" w:name="_Toc167220282"/>
      <w:bookmarkStart w:id="124" w:name="_Toc177549015"/>
      <w:r w:rsidRPr="009E7D16">
        <w:rPr>
          <w:noProof/>
        </w:rPr>
        <w:t>2.3.</w:t>
      </w:r>
      <w:r w:rsidRPr="009E7D16">
        <w:rPr>
          <w:noProof/>
        </w:rPr>
        <w:tab/>
        <w:t>Mesures de prévention des fraudes et irrégularités</w:t>
      </w:r>
      <w:bookmarkEnd w:id="120"/>
      <w:bookmarkEnd w:id="121"/>
      <w:bookmarkEnd w:id="122"/>
      <w:bookmarkEnd w:id="123"/>
      <w:bookmarkEnd w:id="124"/>
      <w:r w:rsidRPr="009E7D16">
        <w:rPr>
          <w:noProof/>
        </w:rPr>
        <w:t xml:space="preserve"> </w:t>
      </w:r>
    </w:p>
    <w:p w:rsidR="00DE314D" w:rsidRPr="009E7D16" w:rsidRDefault="35672EA2" w:rsidP="00695895">
      <w:pPr>
        <w:pStyle w:val="Text1"/>
        <w:pBdr>
          <w:top w:val="single" w:sz="4" w:space="1" w:color="auto"/>
          <w:left w:val="single" w:sz="4" w:space="4" w:color="auto"/>
          <w:bottom w:val="single" w:sz="4" w:space="1" w:color="auto"/>
          <w:right w:val="single" w:sz="4" w:space="4" w:color="auto"/>
        </w:pBdr>
        <w:rPr>
          <w:noProof/>
        </w:rPr>
      </w:pPr>
      <w:r w:rsidRPr="009E7D16">
        <w:rPr>
          <w:noProof/>
        </w:rPr>
        <w:t>Les règles standard relatives à la gestion des financements s’appliquent.</w:t>
      </w:r>
    </w:p>
    <w:p w:rsidR="00DE314D" w:rsidRPr="009E7D16" w:rsidRDefault="00DE314D">
      <w:pPr>
        <w:rPr>
          <w:noProof/>
        </w:rPr>
        <w:sectPr w:rsidR="00DE314D" w:rsidRPr="009E7D16" w:rsidSect="008155FA">
          <w:pgSz w:w="11907" w:h="16840" w:code="9"/>
          <w:pgMar w:top="1134" w:right="1418" w:bottom="1134" w:left="1418" w:header="709" w:footer="709" w:gutter="0"/>
          <w:cols w:space="708"/>
          <w:docGrid w:linePitch="360"/>
        </w:sectPr>
      </w:pPr>
    </w:p>
    <w:p w:rsidR="00DE314D" w:rsidRPr="009E7D16" w:rsidRDefault="00DE314D">
      <w:pPr>
        <w:pStyle w:val="ManualHeading1"/>
        <w:rPr>
          <w:bCs/>
          <w:noProof/>
          <w:szCs w:val="24"/>
        </w:rPr>
      </w:pPr>
      <w:bookmarkStart w:id="125" w:name="_Toc514938050"/>
      <w:bookmarkStart w:id="126" w:name="_Toc520485049"/>
      <w:bookmarkStart w:id="127" w:name="_Toc160804591"/>
      <w:bookmarkStart w:id="128" w:name="_Toc167220283"/>
      <w:bookmarkStart w:id="129" w:name="_Toc177549016"/>
      <w:r w:rsidRPr="009E7D16">
        <w:rPr>
          <w:noProof/>
        </w:rPr>
        <w:t>3.</w:t>
      </w:r>
      <w:r w:rsidRPr="009E7D16">
        <w:rPr>
          <w:noProof/>
        </w:rPr>
        <w:tab/>
        <w:t>INCIDENCE FINANCIÈRE ESTIMÉE DE LA PROPOSITION/DE L’INITIATIVE</w:t>
      </w:r>
      <w:bookmarkEnd w:id="125"/>
      <w:bookmarkEnd w:id="126"/>
      <w:bookmarkEnd w:id="127"/>
      <w:bookmarkEnd w:id="128"/>
      <w:bookmarkEnd w:id="129"/>
      <w:r w:rsidRPr="009E7D16">
        <w:rPr>
          <w:noProof/>
        </w:rPr>
        <w:t xml:space="preserve"> </w:t>
      </w:r>
    </w:p>
    <w:p w:rsidR="00FE5A4B" w:rsidRPr="009E7D16" w:rsidRDefault="00DE314D" w:rsidP="00FE5A4B">
      <w:pPr>
        <w:pStyle w:val="ManualHeading2"/>
        <w:rPr>
          <w:noProof/>
        </w:rPr>
      </w:pPr>
      <w:bookmarkStart w:id="130" w:name="_Toc514938051"/>
      <w:bookmarkStart w:id="131" w:name="_Toc520485050"/>
      <w:bookmarkStart w:id="132" w:name="_Toc160804592"/>
      <w:bookmarkStart w:id="133" w:name="_Toc167220284"/>
      <w:bookmarkStart w:id="134" w:name="_Toc177549017"/>
      <w:r w:rsidRPr="009E7D16">
        <w:rPr>
          <w:noProof/>
        </w:rPr>
        <w:t>3.1.</w:t>
      </w:r>
      <w:r w:rsidRPr="009E7D16">
        <w:rPr>
          <w:noProof/>
        </w:rPr>
        <w:tab/>
        <w:t>Rubrique(s) du cadre financier pluriannuel et ligne(s) budgétaire(s) de dépenses concernée(s)</w:t>
      </w:r>
      <w:bookmarkEnd w:id="130"/>
      <w:bookmarkEnd w:id="131"/>
      <w:bookmarkEnd w:id="132"/>
      <w:bookmarkEnd w:id="133"/>
      <w:bookmarkEnd w:id="134"/>
      <w:r w:rsidRPr="009E7D16">
        <w:rPr>
          <w:noProof/>
        </w:rPr>
        <w:t xml:space="preserve"> </w:t>
      </w:r>
    </w:p>
    <w:p w:rsidR="00FE5A4B" w:rsidRPr="009E7D16" w:rsidRDefault="00FE5A4B" w:rsidP="00FE5A4B">
      <w:pPr>
        <w:pStyle w:val="Text1"/>
        <w:rPr>
          <w:noProof/>
        </w:rPr>
      </w:pPr>
    </w:p>
    <w:p w:rsidR="00DE314D" w:rsidRPr="009E7D16" w:rsidRDefault="00DE314D">
      <w:pPr>
        <w:pStyle w:val="ListBullet1"/>
        <w:rPr>
          <w:noProof/>
        </w:rPr>
      </w:pPr>
      <w:r w:rsidRPr="009E7D16">
        <w:rPr>
          <w:noProof/>
        </w:rPr>
        <w:t xml:space="preserve">Nouvelles lignes budgétaires, dont la création est demandée </w:t>
      </w:r>
    </w:p>
    <w:p w:rsidR="00DE314D" w:rsidRPr="009E7D16" w:rsidRDefault="00DE314D" w:rsidP="00D1491A">
      <w:pPr>
        <w:pStyle w:val="Text1"/>
        <w:rPr>
          <w:i/>
          <w:noProof/>
          <w:sz w:val="20"/>
        </w:rPr>
      </w:pPr>
      <w:r w:rsidRPr="009E7D16">
        <w:rPr>
          <w:i/>
          <w:noProof/>
          <w:u w:val="single"/>
        </w:rPr>
        <w:t>Dans l’ordre</w:t>
      </w:r>
      <w:r w:rsidRPr="009E7D16">
        <w:rPr>
          <w:i/>
          <w:noProof/>
        </w:rPr>
        <w:t xml:space="preserve"> des rubriques du cadre financier pluriannuel et des lignes budgétaires.</w:t>
      </w:r>
    </w:p>
    <w:p w:rsidR="00D1491A" w:rsidRPr="009E7D16" w:rsidRDefault="00D1491A">
      <w:pPr>
        <w:rPr>
          <w:noProof/>
        </w:rPr>
      </w:pP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D1491A" w:rsidRPr="009E7D16" w:rsidTr="03E2E087">
        <w:trPr>
          <w:jc w:val="center"/>
        </w:trPr>
        <w:tc>
          <w:tcPr>
            <w:tcW w:w="1092" w:type="dxa"/>
            <w:vMerge w:val="restart"/>
            <w:vAlign w:val="center"/>
          </w:tcPr>
          <w:p w:rsidR="00D1491A" w:rsidRPr="009E7D16" w:rsidRDefault="00D1491A" w:rsidP="006972F9">
            <w:pPr>
              <w:spacing w:before="60" w:after="60"/>
              <w:jc w:val="center"/>
              <w:rPr>
                <w:noProof/>
              </w:rPr>
            </w:pPr>
            <w:r w:rsidRPr="009E7D16">
              <w:rPr>
                <w:noProof/>
                <w:sz w:val="18"/>
              </w:rPr>
              <w:t>Rubrique du cadre financier pluriannuel</w:t>
            </w:r>
          </w:p>
        </w:tc>
        <w:tc>
          <w:tcPr>
            <w:tcW w:w="4002" w:type="dxa"/>
            <w:vAlign w:val="center"/>
          </w:tcPr>
          <w:p w:rsidR="00D1491A" w:rsidRPr="009E7D16" w:rsidRDefault="00D1491A" w:rsidP="006972F9">
            <w:pPr>
              <w:spacing w:before="60" w:after="60"/>
              <w:jc w:val="center"/>
              <w:rPr>
                <w:noProof/>
              </w:rPr>
            </w:pPr>
            <w:r w:rsidRPr="009E7D16">
              <w:rPr>
                <w:noProof/>
                <w:sz w:val="20"/>
              </w:rPr>
              <w:t>Ligne budgétaire</w:t>
            </w:r>
          </w:p>
        </w:tc>
        <w:tc>
          <w:tcPr>
            <w:tcW w:w="1092" w:type="dxa"/>
            <w:vAlign w:val="center"/>
          </w:tcPr>
          <w:p w:rsidR="00D1491A" w:rsidRPr="009E7D16" w:rsidRDefault="00D1491A" w:rsidP="006972F9">
            <w:pPr>
              <w:spacing w:before="60" w:after="60"/>
              <w:jc w:val="center"/>
              <w:rPr>
                <w:noProof/>
              </w:rPr>
            </w:pPr>
            <w:r w:rsidRPr="009E7D16">
              <w:rPr>
                <w:noProof/>
                <w:sz w:val="18"/>
              </w:rPr>
              <w:t>Nature de la dépense</w:t>
            </w:r>
          </w:p>
        </w:tc>
        <w:tc>
          <w:tcPr>
            <w:tcW w:w="4487" w:type="dxa"/>
            <w:gridSpan w:val="4"/>
            <w:vAlign w:val="center"/>
          </w:tcPr>
          <w:p w:rsidR="00D1491A" w:rsidRPr="009E7D16" w:rsidRDefault="00D1491A" w:rsidP="006972F9">
            <w:pPr>
              <w:spacing w:before="60" w:after="60"/>
              <w:jc w:val="center"/>
              <w:rPr>
                <w:noProof/>
              </w:rPr>
            </w:pPr>
            <w:r w:rsidRPr="009E7D16">
              <w:rPr>
                <w:noProof/>
                <w:sz w:val="20"/>
              </w:rPr>
              <w:t xml:space="preserve">Participation </w:t>
            </w:r>
          </w:p>
        </w:tc>
      </w:tr>
      <w:tr w:rsidR="00D1491A" w:rsidRPr="009E7D16" w:rsidTr="03E2E087">
        <w:trPr>
          <w:cantSplit/>
          <w:jc w:val="center"/>
        </w:trPr>
        <w:tc>
          <w:tcPr>
            <w:tcW w:w="1092" w:type="dxa"/>
            <w:vMerge/>
            <w:vAlign w:val="center"/>
          </w:tcPr>
          <w:p w:rsidR="00D1491A" w:rsidRPr="009E7D16" w:rsidRDefault="00D1491A" w:rsidP="006972F9">
            <w:pPr>
              <w:jc w:val="center"/>
              <w:rPr>
                <w:noProof/>
              </w:rPr>
            </w:pPr>
          </w:p>
        </w:tc>
        <w:tc>
          <w:tcPr>
            <w:tcW w:w="4002" w:type="dxa"/>
            <w:vAlign w:val="center"/>
          </w:tcPr>
          <w:p w:rsidR="00D1491A" w:rsidRPr="009E7D16" w:rsidRDefault="00D1491A" w:rsidP="006972F9">
            <w:pPr>
              <w:rPr>
                <w:noProof/>
              </w:rPr>
            </w:pPr>
            <w:r w:rsidRPr="009E7D16">
              <w:rPr>
                <w:noProof/>
                <w:sz w:val="20"/>
              </w:rPr>
              <w:t xml:space="preserve">Numéro </w:t>
            </w:r>
            <w:r w:rsidRPr="009E7D16">
              <w:rPr>
                <w:noProof/>
              </w:rPr>
              <w:t xml:space="preserve"> </w:t>
            </w:r>
            <w:r w:rsidRPr="009E7D16">
              <w:rPr>
                <w:noProof/>
              </w:rPr>
              <w:br/>
            </w:r>
          </w:p>
        </w:tc>
        <w:tc>
          <w:tcPr>
            <w:tcW w:w="1092" w:type="dxa"/>
            <w:vAlign w:val="center"/>
          </w:tcPr>
          <w:p w:rsidR="00D1491A" w:rsidRPr="009E7D16" w:rsidRDefault="00D1491A" w:rsidP="006972F9">
            <w:pPr>
              <w:jc w:val="center"/>
              <w:rPr>
                <w:noProof/>
              </w:rPr>
            </w:pPr>
            <w:r w:rsidRPr="009E7D16">
              <w:rPr>
                <w:noProof/>
                <w:sz w:val="18"/>
              </w:rPr>
              <w:t>CD/CND</w:t>
            </w:r>
            <w:r w:rsidRPr="009E7D16">
              <w:rPr>
                <w:rStyle w:val="FootnoteReference"/>
                <w:noProof/>
                <w:sz w:val="18"/>
              </w:rPr>
              <w:footnoteReference w:id="43"/>
            </w:r>
            <w:r w:rsidRPr="009E7D16">
              <w:rPr>
                <w:noProof/>
                <w:sz w:val="18"/>
              </w:rPr>
              <w:t>.</w:t>
            </w:r>
          </w:p>
        </w:tc>
        <w:tc>
          <w:tcPr>
            <w:tcW w:w="966" w:type="dxa"/>
            <w:vAlign w:val="center"/>
          </w:tcPr>
          <w:p w:rsidR="00D1491A" w:rsidRPr="009E7D16" w:rsidRDefault="00D1491A" w:rsidP="006972F9">
            <w:pPr>
              <w:jc w:val="center"/>
              <w:rPr>
                <w:b/>
                <w:noProof/>
                <w:sz w:val="18"/>
              </w:rPr>
            </w:pPr>
            <w:r w:rsidRPr="009E7D16">
              <w:rPr>
                <w:noProof/>
                <w:sz w:val="18"/>
              </w:rPr>
              <w:t>de pays AELE</w:t>
            </w:r>
            <w:r w:rsidRPr="009E7D16">
              <w:rPr>
                <w:rStyle w:val="FootnoteReference"/>
                <w:noProof/>
                <w:sz w:val="18"/>
              </w:rPr>
              <w:footnoteReference w:id="44"/>
            </w:r>
          </w:p>
        </w:tc>
        <w:tc>
          <w:tcPr>
            <w:tcW w:w="1092" w:type="dxa"/>
            <w:vAlign w:val="center"/>
          </w:tcPr>
          <w:p w:rsidR="00D1491A" w:rsidRPr="009E7D16" w:rsidRDefault="00D1491A" w:rsidP="006972F9">
            <w:pPr>
              <w:jc w:val="center"/>
              <w:rPr>
                <w:noProof/>
                <w:sz w:val="18"/>
              </w:rPr>
            </w:pPr>
            <w:r w:rsidRPr="009E7D16">
              <w:rPr>
                <w:noProof/>
                <w:sz w:val="18"/>
              </w:rPr>
              <w:t>de pays candidats et pays candidats potentiels</w:t>
            </w:r>
            <w:r w:rsidRPr="009E7D16">
              <w:rPr>
                <w:rStyle w:val="FootnoteReference"/>
                <w:noProof/>
                <w:sz w:val="18"/>
              </w:rPr>
              <w:footnoteReference w:id="45"/>
            </w:r>
          </w:p>
        </w:tc>
        <w:tc>
          <w:tcPr>
            <w:tcW w:w="966" w:type="dxa"/>
            <w:vAlign w:val="center"/>
          </w:tcPr>
          <w:p w:rsidR="00D1491A" w:rsidRPr="009E7D16" w:rsidRDefault="00D1491A" w:rsidP="006972F9">
            <w:pPr>
              <w:jc w:val="center"/>
              <w:rPr>
                <w:noProof/>
                <w:sz w:val="18"/>
              </w:rPr>
            </w:pPr>
            <w:r w:rsidRPr="009E7D16">
              <w:rPr>
                <w:noProof/>
                <w:sz w:val="18"/>
              </w:rPr>
              <w:t>d’autres pays tiers</w:t>
            </w:r>
          </w:p>
        </w:tc>
        <w:tc>
          <w:tcPr>
            <w:tcW w:w="1463" w:type="dxa"/>
            <w:vAlign w:val="center"/>
          </w:tcPr>
          <w:p w:rsidR="00D1491A" w:rsidRPr="009E7D16" w:rsidRDefault="00D1491A" w:rsidP="006972F9">
            <w:pPr>
              <w:jc w:val="center"/>
              <w:rPr>
                <w:noProof/>
              </w:rPr>
            </w:pPr>
            <w:r w:rsidRPr="009E7D16">
              <w:rPr>
                <w:noProof/>
                <w:sz w:val="18"/>
              </w:rPr>
              <w:t>autres recettes affectées</w:t>
            </w:r>
          </w:p>
        </w:tc>
      </w:tr>
      <w:tr w:rsidR="00D1491A" w:rsidRPr="009E7D16" w:rsidTr="03E2E087">
        <w:trPr>
          <w:jc w:val="center"/>
        </w:trPr>
        <w:tc>
          <w:tcPr>
            <w:tcW w:w="1092" w:type="dxa"/>
            <w:vAlign w:val="center"/>
          </w:tcPr>
          <w:p w:rsidR="00D1491A" w:rsidRPr="009E7D16" w:rsidRDefault="00D1491A" w:rsidP="006972F9">
            <w:pPr>
              <w:jc w:val="center"/>
              <w:rPr>
                <w:noProof/>
                <w:color w:val="0000FF"/>
              </w:rPr>
            </w:pPr>
            <w:r w:rsidRPr="009E7D16">
              <w:rPr>
                <w:noProof/>
              </w:rPr>
              <w:t>3</w:t>
            </w:r>
          </w:p>
        </w:tc>
        <w:tc>
          <w:tcPr>
            <w:tcW w:w="4002" w:type="dxa"/>
            <w:vAlign w:val="center"/>
          </w:tcPr>
          <w:p w:rsidR="00D1491A" w:rsidRPr="009E7D16" w:rsidRDefault="00D1491A" w:rsidP="006972F9">
            <w:pPr>
              <w:spacing w:after="60"/>
              <w:rPr>
                <w:noProof/>
              </w:rPr>
            </w:pPr>
            <w:r w:rsidRPr="009E7D16">
              <w:rPr>
                <w:noProof/>
                <w:sz w:val="22"/>
              </w:rPr>
              <w:t>[Ligne budgétaire «L’Europe dans le monde»]</w:t>
            </w:r>
            <w:r w:rsidRPr="009E7D16">
              <w:rPr>
                <w:rStyle w:val="FootnoteReference"/>
                <w:noProof/>
                <w:sz w:val="22"/>
              </w:rPr>
              <w:footnoteReference w:id="46"/>
            </w:r>
            <w:r w:rsidRPr="009E7D16">
              <w:rPr>
                <w:noProof/>
                <w:sz w:val="22"/>
              </w:rPr>
              <w:t xml:space="preserve"> </w:t>
            </w:r>
          </w:p>
        </w:tc>
        <w:tc>
          <w:tcPr>
            <w:tcW w:w="1092" w:type="dxa"/>
            <w:vAlign w:val="center"/>
          </w:tcPr>
          <w:p w:rsidR="00D1491A" w:rsidRPr="009E7D16" w:rsidRDefault="00D1491A" w:rsidP="006972F9">
            <w:pPr>
              <w:jc w:val="center"/>
              <w:rPr>
                <w:noProof/>
                <w:color w:val="0000FF"/>
              </w:rPr>
            </w:pPr>
            <w:r w:rsidRPr="009E7D16">
              <w:rPr>
                <w:noProof/>
                <w:sz w:val="22"/>
              </w:rPr>
              <w:t>CD</w:t>
            </w:r>
          </w:p>
        </w:tc>
        <w:tc>
          <w:tcPr>
            <w:tcW w:w="966" w:type="dxa"/>
            <w:vAlign w:val="center"/>
          </w:tcPr>
          <w:p w:rsidR="00D1491A" w:rsidRPr="009E7D16" w:rsidRDefault="00D1491A" w:rsidP="006972F9">
            <w:pPr>
              <w:jc w:val="center"/>
              <w:rPr>
                <w:noProof/>
                <w:sz w:val="20"/>
                <w:szCs w:val="20"/>
              </w:rPr>
            </w:pPr>
            <w:r w:rsidRPr="009E7D16">
              <w:rPr>
                <w:noProof/>
                <w:sz w:val="20"/>
              </w:rPr>
              <w:t>NON</w:t>
            </w:r>
          </w:p>
        </w:tc>
        <w:tc>
          <w:tcPr>
            <w:tcW w:w="1092" w:type="dxa"/>
            <w:vAlign w:val="center"/>
          </w:tcPr>
          <w:p w:rsidR="00D1491A" w:rsidRPr="009E7D16" w:rsidRDefault="00D1491A" w:rsidP="006972F9">
            <w:pPr>
              <w:jc w:val="center"/>
              <w:rPr>
                <w:noProof/>
                <w:sz w:val="20"/>
                <w:szCs w:val="20"/>
              </w:rPr>
            </w:pPr>
            <w:r w:rsidRPr="009E7D16">
              <w:rPr>
                <w:noProof/>
                <w:sz w:val="20"/>
              </w:rPr>
              <w:t>NON</w:t>
            </w:r>
          </w:p>
        </w:tc>
        <w:tc>
          <w:tcPr>
            <w:tcW w:w="966" w:type="dxa"/>
            <w:vAlign w:val="center"/>
          </w:tcPr>
          <w:p w:rsidR="00D1491A" w:rsidRPr="009E7D16" w:rsidRDefault="00D1491A" w:rsidP="006972F9">
            <w:pPr>
              <w:jc w:val="center"/>
              <w:rPr>
                <w:noProof/>
                <w:sz w:val="20"/>
                <w:szCs w:val="20"/>
              </w:rPr>
            </w:pPr>
            <w:r w:rsidRPr="009E7D16">
              <w:rPr>
                <w:noProof/>
                <w:sz w:val="20"/>
              </w:rPr>
              <w:t>NON</w:t>
            </w:r>
          </w:p>
        </w:tc>
        <w:tc>
          <w:tcPr>
            <w:tcW w:w="1463" w:type="dxa"/>
            <w:vAlign w:val="center"/>
          </w:tcPr>
          <w:p w:rsidR="00D1491A" w:rsidRPr="009E7D16" w:rsidRDefault="00D1491A" w:rsidP="006972F9">
            <w:pPr>
              <w:jc w:val="center"/>
              <w:rPr>
                <w:noProof/>
                <w:sz w:val="20"/>
                <w:szCs w:val="20"/>
              </w:rPr>
            </w:pPr>
            <w:r w:rsidRPr="009E7D16">
              <w:rPr>
                <w:noProof/>
                <w:sz w:val="20"/>
              </w:rPr>
              <w:t>NON</w:t>
            </w:r>
          </w:p>
        </w:tc>
      </w:tr>
    </w:tbl>
    <w:p w:rsidR="00D1491A" w:rsidRPr="009E7D16" w:rsidRDefault="00D1491A">
      <w:pPr>
        <w:rPr>
          <w:noProof/>
        </w:rPr>
        <w:sectPr w:rsidR="00D1491A" w:rsidRPr="009E7D16" w:rsidSect="008155FA">
          <w:pgSz w:w="11907" w:h="16840" w:code="1"/>
          <w:pgMar w:top="1134" w:right="1418" w:bottom="1134" w:left="1418" w:header="709" w:footer="709" w:gutter="0"/>
          <w:cols w:space="708"/>
          <w:docGrid w:linePitch="360"/>
        </w:sectPr>
      </w:pPr>
    </w:p>
    <w:p w:rsidR="00DE314D" w:rsidRPr="009E7D16" w:rsidRDefault="00DE314D">
      <w:pPr>
        <w:pStyle w:val="ManualHeading2"/>
        <w:rPr>
          <w:bCs/>
          <w:noProof/>
          <w:szCs w:val="24"/>
        </w:rPr>
      </w:pPr>
      <w:bookmarkStart w:id="135" w:name="_Toc514938052"/>
      <w:bookmarkStart w:id="136" w:name="_Toc520485051"/>
      <w:bookmarkStart w:id="137" w:name="_Toc160804593"/>
      <w:bookmarkStart w:id="138" w:name="_Toc167220285"/>
      <w:bookmarkStart w:id="139" w:name="_Toc177549018"/>
      <w:r w:rsidRPr="009E7D16">
        <w:rPr>
          <w:noProof/>
        </w:rPr>
        <w:t>3.2.</w:t>
      </w:r>
      <w:r w:rsidRPr="009E7D16">
        <w:rPr>
          <w:noProof/>
        </w:rPr>
        <w:tab/>
        <w:t>Incidence financière estimée de la proposition sur les crédits</w:t>
      </w:r>
      <w:bookmarkEnd w:id="135"/>
      <w:bookmarkEnd w:id="136"/>
      <w:bookmarkEnd w:id="137"/>
      <w:bookmarkEnd w:id="138"/>
      <w:bookmarkEnd w:id="139"/>
      <w:r w:rsidRPr="009E7D16">
        <w:rPr>
          <w:noProof/>
        </w:rPr>
        <w:t xml:space="preserve"> </w:t>
      </w:r>
    </w:p>
    <w:p w:rsidR="00DE314D" w:rsidRPr="009E7D16" w:rsidRDefault="00DE314D">
      <w:pPr>
        <w:pStyle w:val="ManualHeading3"/>
        <w:rPr>
          <w:noProof/>
        </w:rPr>
      </w:pPr>
      <w:bookmarkStart w:id="140" w:name="_Toc514938053"/>
      <w:bookmarkStart w:id="141" w:name="_Toc520485052"/>
      <w:bookmarkStart w:id="142" w:name="_Toc160804594"/>
      <w:bookmarkStart w:id="143" w:name="_Toc167220286"/>
      <w:bookmarkStart w:id="144" w:name="_Toc177549019"/>
      <w:r w:rsidRPr="009E7D16">
        <w:rPr>
          <w:noProof/>
        </w:rPr>
        <w:t>3.2.1.</w:t>
      </w:r>
      <w:r w:rsidRPr="009E7D16">
        <w:rPr>
          <w:noProof/>
        </w:rPr>
        <w:tab/>
        <w:t>Synthèse de l’incidence estimée sur les crédits opérationnels</w:t>
      </w:r>
      <w:bookmarkEnd w:id="140"/>
      <w:bookmarkEnd w:id="141"/>
      <w:bookmarkEnd w:id="142"/>
      <w:bookmarkEnd w:id="143"/>
      <w:bookmarkEnd w:id="144"/>
      <w:r w:rsidRPr="009E7D16">
        <w:rPr>
          <w:noProof/>
        </w:rPr>
        <w:t xml:space="preserve"> </w:t>
      </w:r>
    </w:p>
    <w:p w:rsidR="00DE314D" w:rsidRPr="009E7D16" w:rsidRDefault="00DE314D">
      <w:pPr>
        <w:pStyle w:val="ListDash1"/>
        <w:rPr>
          <w:noProof/>
        </w:rPr>
      </w:pPr>
      <w:r w:rsidRPr="009E7D16">
        <w:rPr>
          <w:rFonts w:ascii="Wingdings" w:hAnsi="Wingdings"/>
          <w:noProof/>
        </w:rPr>
        <w:t></w:t>
      </w:r>
      <w:r w:rsidRPr="009E7D16">
        <w:rPr>
          <w:noProof/>
        </w:rPr>
        <w:tab/>
        <w:t xml:space="preserve">La proposition/l’initiative n’engendre pas l’utilisation de crédits opérationnels </w:t>
      </w:r>
    </w:p>
    <w:p w:rsidR="00DE314D" w:rsidRPr="009E7D16" w:rsidRDefault="00D1491A">
      <w:pPr>
        <w:pStyle w:val="ListDash1"/>
        <w:rPr>
          <w:noProof/>
        </w:rPr>
      </w:pPr>
      <w:r w:rsidRPr="009E7D16">
        <w:rPr>
          <w:rFonts w:ascii="Wingdings" w:hAnsi="Wingdings"/>
          <w:noProof/>
        </w:rPr>
        <w:t></w:t>
      </w:r>
      <w:r w:rsidRPr="009E7D16">
        <w:rPr>
          <w:noProof/>
        </w:rPr>
        <w:tab/>
        <w:t>La proposition/l’initiative engendre l’utilisation de crédits opérationnels, comme expliqué ci-après:</w:t>
      </w:r>
    </w:p>
    <w:p w:rsidR="00DE314D" w:rsidRPr="009E7D16" w:rsidRDefault="00DE314D">
      <w:pPr>
        <w:pStyle w:val="ManualHeading3"/>
        <w:rPr>
          <w:noProof/>
        </w:rPr>
      </w:pPr>
      <w:bookmarkStart w:id="145" w:name="_Toc160804595"/>
      <w:bookmarkStart w:id="146" w:name="_Toc167220287"/>
      <w:bookmarkStart w:id="147" w:name="_Toc177549020"/>
      <w:r w:rsidRPr="009E7D16">
        <w:rPr>
          <w:noProof/>
        </w:rPr>
        <w:t>3.2.1.1.</w:t>
      </w:r>
      <w:r w:rsidRPr="009E7D16">
        <w:rPr>
          <w:noProof/>
        </w:rPr>
        <w:tab/>
        <w:t>Crédits issus du budget voté</w:t>
      </w:r>
      <w:bookmarkEnd w:id="145"/>
      <w:bookmarkEnd w:id="146"/>
      <w:bookmarkEnd w:id="147"/>
    </w:p>
    <w:p w:rsidR="00DE314D" w:rsidRPr="009E7D16" w:rsidRDefault="00DE314D">
      <w:pPr>
        <w:jc w:val="right"/>
        <w:rPr>
          <w:noProof/>
          <w:sz w:val="18"/>
          <w:szCs w:val="18"/>
        </w:rPr>
      </w:pPr>
      <w:r w:rsidRPr="009E7D16">
        <w:rPr>
          <w:noProof/>
          <w:sz w:val="18"/>
        </w:rPr>
        <w:t>En Mio EUR (à la 3</w:t>
      </w:r>
      <w:r w:rsidRPr="009E7D16">
        <w:rPr>
          <w:noProof/>
          <w:sz w:val="18"/>
          <w:vertAlign w:val="superscript"/>
        </w:rPr>
        <w:t>e</w:t>
      </w:r>
      <w:r w:rsidRPr="009E7D16">
        <w:rPr>
          <w:noProof/>
          <w:sz w:val="18"/>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AC781E" w:rsidRPr="009E7D16">
        <w:tc>
          <w:tcPr>
            <w:tcW w:w="1739" w:type="pct"/>
            <w:shd w:val="thinDiagStripe" w:color="C0C0C0" w:fill="auto"/>
            <w:vAlign w:val="center"/>
          </w:tcPr>
          <w:p w:rsidR="00DE314D" w:rsidRPr="009E7D16" w:rsidRDefault="00FE5A4B">
            <w:pPr>
              <w:spacing w:before="60" w:after="60"/>
              <w:jc w:val="center"/>
              <w:rPr>
                <w:b/>
                <w:noProof/>
              </w:rPr>
            </w:pPr>
            <w:r w:rsidRPr="009E7D16">
              <w:rPr>
                <w:b/>
                <w:noProof/>
                <w:sz w:val="22"/>
              </w:rPr>
              <w:t>Rubrique du cadre financier pluriannuel –</w:t>
            </w:r>
            <w:r w:rsidRPr="009E7D16">
              <w:rPr>
                <w:b/>
                <w:noProof/>
                <w:sz w:val="20"/>
              </w:rPr>
              <w:t xml:space="preserve"> 2028-2034</w:t>
            </w:r>
          </w:p>
        </w:tc>
        <w:tc>
          <w:tcPr>
            <w:tcW w:w="396" w:type="pct"/>
            <w:vAlign w:val="center"/>
          </w:tcPr>
          <w:p w:rsidR="00DE314D" w:rsidRPr="009E7D16" w:rsidRDefault="00FE5A4B">
            <w:pPr>
              <w:spacing w:before="60" w:after="60"/>
              <w:jc w:val="center"/>
              <w:rPr>
                <w:noProof/>
              </w:rPr>
            </w:pPr>
            <w:r w:rsidRPr="009E7D16">
              <w:rPr>
                <w:noProof/>
                <w:sz w:val="22"/>
              </w:rPr>
              <w:t>0</w:t>
            </w:r>
          </w:p>
        </w:tc>
        <w:tc>
          <w:tcPr>
            <w:tcW w:w="2865" w:type="pct"/>
            <w:vAlign w:val="center"/>
          </w:tcPr>
          <w:p w:rsidR="00FE5A4B" w:rsidRPr="009E7D16" w:rsidRDefault="00FE5A4B" w:rsidP="00FE5A4B">
            <w:pPr>
              <w:spacing w:before="60" w:after="60"/>
              <w:rPr>
                <w:noProof/>
              </w:rPr>
            </w:pPr>
            <w:r w:rsidRPr="009E7D16">
              <w:rPr>
                <w:noProof/>
              </w:rPr>
              <w:t xml:space="preserve">Dépenses s’inscrivant en dehors des plafonds annuels fixés dans le cadre financier pluriannuel </w:t>
            </w:r>
          </w:p>
          <w:p w:rsidR="00DE314D" w:rsidRPr="009E7D16" w:rsidRDefault="00FE5A4B" w:rsidP="00FE5A4B">
            <w:pPr>
              <w:spacing w:before="60" w:after="60"/>
              <w:rPr>
                <w:noProof/>
              </w:rPr>
            </w:pPr>
            <w:r w:rsidRPr="009E7D16">
              <w:rPr>
                <w:noProof/>
              </w:rPr>
              <w:t>Cadre</w:t>
            </w:r>
          </w:p>
        </w:tc>
      </w:tr>
    </w:tbl>
    <w:p w:rsidR="00DE314D" w:rsidRPr="009E7D16" w:rsidRDefault="00DE314D">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3"/>
        <w:gridCol w:w="1186"/>
        <w:gridCol w:w="691"/>
        <w:gridCol w:w="105"/>
        <w:gridCol w:w="1078"/>
        <w:gridCol w:w="1155"/>
        <w:gridCol w:w="811"/>
        <w:gridCol w:w="305"/>
        <w:gridCol w:w="1116"/>
        <w:gridCol w:w="738"/>
        <w:gridCol w:w="738"/>
        <w:gridCol w:w="738"/>
        <w:gridCol w:w="1116"/>
      </w:tblGrid>
      <w:tr w:rsidR="00D613E7" w:rsidRPr="009E7D16" w:rsidTr="00D613E7">
        <w:trPr>
          <w:jc w:val="center"/>
        </w:trPr>
        <w:tc>
          <w:tcPr>
            <w:tcW w:w="1428" w:type="pct"/>
            <w:gridSpan w:val="3"/>
            <w:shd w:val="clear" w:color="auto" w:fill="auto"/>
            <w:vAlign w:val="center"/>
          </w:tcPr>
          <w:p w:rsidR="009460B9" w:rsidRPr="009E7D16" w:rsidRDefault="009460B9" w:rsidP="00492235">
            <w:pPr>
              <w:spacing w:before="60" w:after="60"/>
              <w:jc w:val="center"/>
              <w:rPr>
                <w:b/>
                <w:noProof/>
                <w:sz w:val="22"/>
              </w:rPr>
            </w:pPr>
            <w:r w:rsidRPr="009E7D16">
              <w:rPr>
                <w:b/>
                <w:noProof/>
                <w:sz w:val="22"/>
              </w:rPr>
              <w:t xml:space="preserve">Rubrique du cadre financier </w:t>
            </w:r>
            <w:r w:rsidRPr="009E7D16">
              <w:rPr>
                <w:noProof/>
              </w:rPr>
              <w:t xml:space="preserve"> </w:t>
            </w:r>
            <w:r w:rsidRPr="009E7D16">
              <w:rPr>
                <w:noProof/>
              </w:rPr>
              <w:br/>
            </w:r>
            <w:r w:rsidRPr="009E7D16">
              <w:rPr>
                <w:b/>
                <w:noProof/>
                <w:sz w:val="22"/>
              </w:rPr>
              <w:t xml:space="preserve">pluriannuel  </w:t>
            </w:r>
          </w:p>
          <w:p w:rsidR="009460B9" w:rsidRPr="009E7D16" w:rsidRDefault="009460B9" w:rsidP="00492235">
            <w:pPr>
              <w:spacing w:before="60" w:after="60"/>
              <w:jc w:val="center"/>
              <w:rPr>
                <w:b/>
                <w:noProof/>
              </w:rPr>
            </w:pPr>
            <w:r w:rsidRPr="009E7D16">
              <w:rPr>
                <w:b/>
                <w:noProof/>
                <w:sz w:val="20"/>
              </w:rPr>
              <w:t>2028 à 2034</w:t>
            </w:r>
          </w:p>
        </w:tc>
        <w:tc>
          <w:tcPr>
            <w:tcW w:w="1532" w:type="pct"/>
            <w:gridSpan w:val="4"/>
            <w:vAlign w:val="center"/>
          </w:tcPr>
          <w:p w:rsidR="009460B9" w:rsidRPr="009E7D16" w:rsidRDefault="009460B9">
            <w:pPr>
              <w:spacing w:before="60" w:after="60"/>
              <w:rPr>
                <w:noProof/>
              </w:rPr>
            </w:pPr>
            <w:r w:rsidRPr="009E7D16">
              <w:rPr>
                <w:noProof/>
                <w:sz w:val="22"/>
              </w:rPr>
              <w:t>3</w:t>
            </w:r>
            <w:r w:rsidRPr="009E7D16">
              <w:rPr>
                <w:rStyle w:val="FootnoteReference"/>
                <w:noProof/>
                <w:sz w:val="22"/>
              </w:rPr>
              <w:footnoteReference w:id="47"/>
            </w:r>
          </w:p>
        </w:tc>
        <w:tc>
          <w:tcPr>
            <w:tcW w:w="2039" w:type="pct"/>
            <w:gridSpan w:val="6"/>
            <w:vAlign w:val="center"/>
          </w:tcPr>
          <w:p w:rsidR="009460B9" w:rsidRPr="009E7D16" w:rsidRDefault="009460B9">
            <w:pPr>
              <w:spacing w:before="60" w:after="60"/>
              <w:rPr>
                <w:noProof/>
              </w:rPr>
            </w:pPr>
            <w:r w:rsidRPr="009E7D16">
              <w:rPr>
                <w:noProof/>
              </w:rPr>
              <w:t>L’Europe dans le monde</w:t>
            </w:r>
          </w:p>
        </w:tc>
      </w:tr>
      <w:tr w:rsidR="00D613E7" w:rsidRPr="009E7D16" w:rsidTr="00774994">
        <w:tblPrEx>
          <w:tblLook w:val="04A0" w:firstRow="1" w:lastRow="0" w:firstColumn="1" w:lastColumn="0" w:noHBand="0" w:noVBand="1"/>
        </w:tblPrEx>
        <w:trPr>
          <w:trHeight w:val="420"/>
          <w:jc w:val="center"/>
        </w:trPr>
        <w:tc>
          <w:tcPr>
            <w:tcW w:w="1461" w:type="pct"/>
            <w:gridSpan w:val="4"/>
            <w:vMerge w:val="restart"/>
            <w:vAlign w:val="center"/>
            <w:hideMark/>
          </w:tcPr>
          <w:p w:rsidR="00793465" w:rsidRPr="009E7D16" w:rsidRDefault="00793465" w:rsidP="006972F9">
            <w:pPr>
              <w:spacing w:before="0" w:after="0"/>
              <w:jc w:val="center"/>
              <w:rPr>
                <w:noProof/>
                <w:sz w:val="22"/>
              </w:rPr>
            </w:pPr>
            <w:r w:rsidRPr="009E7D16">
              <w:rPr>
                <w:noProof/>
                <w:sz w:val="22"/>
              </w:rPr>
              <w:t>DG</w:t>
            </w:r>
          </w:p>
        </w:tc>
        <w:tc>
          <w:tcPr>
            <w:tcW w:w="528" w:type="pct"/>
            <w:vAlign w:val="center"/>
            <w:hideMark/>
          </w:tcPr>
          <w:p w:rsidR="00793465" w:rsidRPr="009E7D16" w:rsidRDefault="00793465" w:rsidP="006972F9">
            <w:pPr>
              <w:spacing w:before="0" w:after="0"/>
              <w:jc w:val="center"/>
              <w:rPr>
                <w:noProof/>
                <w:sz w:val="20"/>
                <w:szCs w:val="20"/>
              </w:rPr>
            </w:pPr>
            <w:r w:rsidRPr="009E7D16">
              <w:rPr>
                <w:noProof/>
                <w:sz w:val="20"/>
              </w:rPr>
              <w:t>Année</w:t>
            </w:r>
          </w:p>
        </w:tc>
        <w:tc>
          <w:tcPr>
            <w:tcW w:w="555" w:type="pct"/>
            <w:vAlign w:val="center"/>
            <w:hideMark/>
          </w:tcPr>
          <w:p w:rsidR="00793465" w:rsidRPr="009E7D16" w:rsidRDefault="00793465" w:rsidP="006972F9">
            <w:pPr>
              <w:spacing w:before="0" w:after="0"/>
              <w:jc w:val="center"/>
              <w:rPr>
                <w:noProof/>
                <w:sz w:val="20"/>
                <w:szCs w:val="20"/>
              </w:rPr>
            </w:pPr>
            <w:r w:rsidRPr="009E7D16">
              <w:rPr>
                <w:noProof/>
                <w:sz w:val="20"/>
              </w:rPr>
              <w:t>Année</w:t>
            </w:r>
          </w:p>
        </w:tc>
        <w:tc>
          <w:tcPr>
            <w:tcW w:w="573" w:type="pct"/>
            <w:gridSpan w:val="2"/>
            <w:vAlign w:val="center"/>
            <w:hideMark/>
          </w:tcPr>
          <w:p w:rsidR="00793465" w:rsidRPr="009E7D16" w:rsidRDefault="00793465" w:rsidP="006972F9">
            <w:pPr>
              <w:spacing w:before="0" w:after="0"/>
              <w:jc w:val="center"/>
              <w:rPr>
                <w:noProof/>
                <w:sz w:val="20"/>
                <w:szCs w:val="20"/>
              </w:rPr>
            </w:pPr>
            <w:r w:rsidRPr="009E7D16">
              <w:rPr>
                <w:noProof/>
                <w:sz w:val="20"/>
              </w:rPr>
              <w:t>Année</w:t>
            </w:r>
          </w:p>
        </w:tc>
        <w:tc>
          <w:tcPr>
            <w:tcW w:w="435" w:type="pct"/>
            <w:vAlign w:val="center"/>
            <w:hideMark/>
          </w:tcPr>
          <w:p w:rsidR="00793465" w:rsidRPr="009E7D16" w:rsidRDefault="00793465" w:rsidP="006972F9">
            <w:pPr>
              <w:spacing w:before="0" w:after="0"/>
              <w:jc w:val="center"/>
              <w:rPr>
                <w:noProof/>
                <w:sz w:val="20"/>
                <w:szCs w:val="20"/>
              </w:rPr>
            </w:pPr>
            <w:r w:rsidRPr="009E7D16">
              <w:rPr>
                <w:noProof/>
                <w:sz w:val="20"/>
              </w:rPr>
              <w:t>Année</w:t>
            </w:r>
          </w:p>
        </w:tc>
        <w:tc>
          <w:tcPr>
            <w:tcW w:w="315" w:type="pct"/>
            <w:vAlign w:val="center"/>
          </w:tcPr>
          <w:p w:rsidR="00793465" w:rsidRPr="009E7D16" w:rsidRDefault="00793465" w:rsidP="006972F9">
            <w:pPr>
              <w:spacing w:before="0" w:after="0"/>
              <w:jc w:val="center"/>
              <w:rPr>
                <w:b/>
                <w:bCs/>
                <w:noProof/>
                <w:sz w:val="20"/>
                <w:szCs w:val="20"/>
              </w:rPr>
            </w:pPr>
            <w:r w:rsidRPr="009E7D16">
              <w:rPr>
                <w:noProof/>
                <w:sz w:val="20"/>
              </w:rPr>
              <w:t>Année</w:t>
            </w:r>
          </w:p>
        </w:tc>
        <w:tc>
          <w:tcPr>
            <w:tcW w:w="289" w:type="pct"/>
            <w:vAlign w:val="center"/>
          </w:tcPr>
          <w:p w:rsidR="00793465" w:rsidRPr="009E7D16" w:rsidRDefault="00793465" w:rsidP="006972F9">
            <w:pPr>
              <w:spacing w:before="0" w:after="0"/>
              <w:jc w:val="center"/>
              <w:rPr>
                <w:b/>
                <w:bCs/>
                <w:noProof/>
                <w:sz w:val="20"/>
                <w:szCs w:val="20"/>
              </w:rPr>
            </w:pPr>
            <w:r w:rsidRPr="009E7D16">
              <w:rPr>
                <w:noProof/>
                <w:sz w:val="20"/>
              </w:rPr>
              <w:t>Année</w:t>
            </w:r>
          </w:p>
        </w:tc>
        <w:tc>
          <w:tcPr>
            <w:tcW w:w="289" w:type="pct"/>
            <w:vAlign w:val="center"/>
          </w:tcPr>
          <w:p w:rsidR="00793465" w:rsidRPr="009E7D16" w:rsidRDefault="00793465" w:rsidP="006972F9">
            <w:pPr>
              <w:spacing w:before="0" w:after="0"/>
              <w:jc w:val="center"/>
              <w:rPr>
                <w:b/>
                <w:bCs/>
                <w:noProof/>
                <w:sz w:val="20"/>
                <w:szCs w:val="20"/>
              </w:rPr>
            </w:pPr>
            <w:r w:rsidRPr="009E7D16">
              <w:rPr>
                <w:noProof/>
                <w:sz w:val="20"/>
              </w:rPr>
              <w:t>Année</w:t>
            </w:r>
          </w:p>
        </w:tc>
        <w:tc>
          <w:tcPr>
            <w:tcW w:w="555" w:type="pct"/>
            <w:vMerge w:val="restart"/>
            <w:vAlign w:val="center"/>
            <w:hideMark/>
          </w:tcPr>
          <w:p w:rsidR="00793465" w:rsidRPr="009E7D16" w:rsidRDefault="00793465" w:rsidP="006972F9">
            <w:pPr>
              <w:spacing w:before="0" w:after="0"/>
              <w:jc w:val="center"/>
              <w:rPr>
                <w:b/>
                <w:bCs/>
                <w:noProof/>
                <w:sz w:val="20"/>
                <w:szCs w:val="20"/>
              </w:rPr>
            </w:pPr>
            <w:r w:rsidRPr="009E7D16">
              <w:rPr>
                <w:b/>
                <w:noProof/>
                <w:sz w:val="20"/>
              </w:rPr>
              <w:t>TOTAL CFP 2028-2034</w:t>
            </w:r>
          </w:p>
        </w:tc>
      </w:tr>
      <w:tr w:rsidR="00D613E7" w:rsidRPr="009E7D16" w:rsidTr="00774994">
        <w:tblPrEx>
          <w:tblLook w:val="04A0" w:firstRow="1" w:lastRow="0" w:firstColumn="1" w:lastColumn="0" w:noHBand="0" w:noVBand="1"/>
        </w:tblPrEx>
        <w:trPr>
          <w:trHeight w:val="288"/>
          <w:jc w:val="center"/>
        </w:trPr>
        <w:tc>
          <w:tcPr>
            <w:tcW w:w="1461" w:type="pct"/>
            <w:gridSpan w:val="4"/>
            <w:vMerge/>
            <w:vAlign w:val="center"/>
            <w:hideMark/>
          </w:tcPr>
          <w:p w:rsidR="00793465" w:rsidRPr="009E7D16" w:rsidRDefault="00793465" w:rsidP="006972F9">
            <w:pPr>
              <w:spacing w:before="0" w:after="0"/>
              <w:jc w:val="left"/>
              <w:rPr>
                <w:noProof/>
                <w:sz w:val="22"/>
                <w:lang w:eastAsia="en-IE"/>
              </w:rPr>
            </w:pPr>
          </w:p>
        </w:tc>
        <w:tc>
          <w:tcPr>
            <w:tcW w:w="528" w:type="pct"/>
            <w:vAlign w:val="center"/>
            <w:hideMark/>
          </w:tcPr>
          <w:p w:rsidR="00793465" w:rsidRPr="009E7D16" w:rsidRDefault="00793465" w:rsidP="006972F9">
            <w:pPr>
              <w:spacing w:before="0" w:after="0"/>
              <w:jc w:val="center"/>
              <w:rPr>
                <w:b/>
                <w:bCs/>
                <w:noProof/>
                <w:sz w:val="20"/>
                <w:szCs w:val="20"/>
              </w:rPr>
            </w:pPr>
            <w:r w:rsidRPr="009E7D16">
              <w:rPr>
                <w:b/>
                <w:noProof/>
                <w:sz w:val="20"/>
              </w:rPr>
              <w:t>2028</w:t>
            </w:r>
          </w:p>
        </w:tc>
        <w:tc>
          <w:tcPr>
            <w:tcW w:w="555" w:type="pct"/>
            <w:vAlign w:val="center"/>
            <w:hideMark/>
          </w:tcPr>
          <w:p w:rsidR="00793465" w:rsidRPr="009E7D16" w:rsidRDefault="00793465" w:rsidP="006972F9">
            <w:pPr>
              <w:spacing w:before="0" w:after="0"/>
              <w:jc w:val="center"/>
              <w:rPr>
                <w:b/>
                <w:bCs/>
                <w:noProof/>
                <w:sz w:val="20"/>
                <w:szCs w:val="20"/>
              </w:rPr>
            </w:pPr>
            <w:r w:rsidRPr="009E7D16">
              <w:rPr>
                <w:b/>
                <w:noProof/>
                <w:sz w:val="20"/>
              </w:rPr>
              <w:t>2029</w:t>
            </w:r>
          </w:p>
        </w:tc>
        <w:tc>
          <w:tcPr>
            <w:tcW w:w="573" w:type="pct"/>
            <w:gridSpan w:val="2"/>
            <w:vAlign w:val="center"/>
            <w:hideMark/>
          </w:tcPr>
          <w:p w:rsidR="00793465" w:rsidRPr="009E7D16" w:rsidRDefault="00793465" w:rsidP="006972F9">
            <w:pPr>
              <w:spacing w:before="0" w:after="0"/>
              <w:jc w:val="center"/>
              <w:rPr>
                <w:b/>
                <w:bCs/>
                <w:noProof/>
                <w:sz w:val="20"/>
                <w:szCs w:val="20"/>
              </w:rPr>
            </w:pPr>
            <w:r w:rsidRPr="009E7D16">
              <w:rPr>
                <w:b/>
                <w:noProof/>
                <w:sz w:val="20"/>
              </w:rPr>
              <w:t>2030</w:t>
            </w:r>
          </w:p>
        </w:tc>
        <w:tc>
          <w:tcPr>
            <w:tcW w:w="435" w:type="pct"/>
            <w:vAlign w:val="center"/>
            <w:hideMark/>
          </w:tcPr>
          <w:p w:rsidR="00793465" w:rsidRPr="009E7D16" w:rsidRDefault="00793465" w:rsidP="006972F9">
            <w:pPr>
              <w:spacing w:before="0" w:after="0"/>
              <w:jc w:val="center"/>
              <w:rPr>
                <w:b/>
                <w:bCs/>
                <w:noProof/>
                <w:sz w:val="20"/>
                <w:szCs w:val="20"/>
              </w:rPr>
            </w:pPr>
            <w:r w:rsidRPr="009E7D16">
              <w:rPr>
                <w:b/>
                <w:noProof/>
                <w:sz w:val="20"/>
              </w:rPr>
              <w:t>2031</w:t>
            </w:r>
          </w:p>
        </w:tc>
        <w:tc>
          <w:tcPr>
            <w:tcW w:w="315" w:type="pct"/>
            <w:vAlign w:val="center"/>
          </w:tcPr>
          <w:p w:rsidR="00793465" w:rsidRPr="009E7D16" w:rsidRDefault="00793465" w:rsidP="006972F9">
            <w:pPr>
              <w:spacing w:before="0" w:after="0"/>
              <w:jc w:val="left"/>
              <w:rPr>
                <w:b/>
                <w:bCs/>
                <w:noProof/>
                <w:sz w:val="20"/>
                <w:szCs w:val="20"/>
              </w:rPr>
            </w:pPr>
            <w:r w:rsidRPr="009E7D16">
              <w:rPr>
                <w:b/>
                <w:noProof/>
                <w:sz w:val="20"/>
              </w:rPr>
              <w:t>2032</w:t>
            </w:r>
          </w:p>
        </w:tc>
        <w:tc>
          <w:tcPr>
            <w:tcW w:w="289" w:type="pct"/>
            <w:vAlign w:val="center"/>
          </w:tcPr>
          <w:p w:rsidR="00793465" w:rsidRPr="009E7D16" w:rsidRDefault="00793465" w:rsidP="006972F9">
            <w:pPr>
              <w:spacing w:before="0" w:after="0"/>
              <w:jc w:val="left"/>
              <w:rPr>
                <w:b/>
                <w:bCs/>
                <w:noProof/>
                <w:sz w:val="20"/>
                <w:szCs w:val="20"/>
              </w:rPr>
            </w:pPr>
            <w:r w:rsidRPr="009E7D16">
              <w:rPr>
                <w:b/>
                <w:noProof/>
                <w:sz w:val="20"/>
              </w:rPr>
              <w:t>2033</w:t>
            </w:r>
          </w:p>
        </w:tc>
        <w:tc>
          <w:tcPr>
            <w:tcW w:w="289" w:type="pct"/>
            <w:vAlign w:val="center"/>
          </w:tcPr>
          <w:p w:rsidR="00793465" w:rsidRPr="009E7D16" w:rsidRDefault="00793465" w:rsidP="006972F9">
            <w:pPr>
              <w:spacing w:before="0" w:after="0"/>
              <w:jc w:val="left"/>
              <w:rPr>
                <w:b/>
                <w:bCs/>
                <w:noProof/>
                <w:sz w:val="20"/>
                <w:szCs w:val="20"/>
              </w:rPr>
            </w:pPr>
            <w:r w:rsidRPr="009E7D16">
              <w:rPr>
                <w:b/>
                <w:noProof/>
                <w:sz w:val="20"/>
              </w:rPr>
              <w:t>2034</w:t>
            </w:r>
          </w:p>
        </w:tc>
        <w:tc>
          <w:tcPr>
            <w:tcW w:w="555" w:type="pct"/>
            <w:vMerge/>
            <w:vAlign w:val="center"/>
            <w:hideMark/>
          </w:tcPr>
          <w:p w:rsidR="00793465" w:rsidRPr="009E7D16" w:rsidRDefault="00793465" w:rsidP="006972F9">
            <w:pPr>
              <w:spacing w:before="0" w:after="0"/>
              <w:jc w:val="left"/>
              <w:rPr>
                <w:b/>
                <w:bCs/>
                <w:noProof/>
                <w:sz w:val="20"/>
                <w:szCs w:val="20"/>
                <w:lang w:eastAsia="en-IE"/>
              </w:rPr>
            </w:pPr>
          </w:p>
        </w:tc>
      </w:tr>
      <w:tr w:rsidR="00793465" w:rsidRPr="009E7D16" w:rsidTr="00774994">
        <w:tblPrEx>
          <w:tblLook w:val="04A0" w:firstRow="1" w:lastRow="0" w:firstColumn="1" w:lastColumn="0" w:noHBand="0" w:noVBand="1"/>
        </w:tblPrEx>
        <w:trPr>
          <w:trHeight w:val="300"/>
          <w:jc w:val="center"/>
        </w:trPr>
        <w:tc>
          <w:tcPr>
            <w:tcW w:w="5000" w:type="pct"/>
            <w:gridSpan w:val="13"/>
            <w:vAlign w:val="center"/>
          </w:tcPr>
          <w:p w:rsidR="00793465" w:rsidRPr="009E7D16" w:rsidRDefault="00793465" w:rsidP="006972F9">
            <w:pPr>
              <w:spacing w:before="0" w:after="0"/>
              <w:jc w:val="left"/>
              <w:rPr>
                <w:noProof/>
                <w:sz w:val="21"/>
                <w:szCs w:val="21"/>
              </w:rPr>
            </w:pPr>
            <w:r w:rsidRPr="009E7D16">
              <w:rPr>
                <w:noProof/>
                <w:sz w:val="21"/>
              </w:rPr>
              <w:t xml:space="preserve">Crédits opérationnels </w:t>
            </w:r>
          </w:p>
        </w:tc>
      </w:tr>
      <w:tr w:rsidR="00D613E7" w:rsidRPr="009E7D16" w:rsidTr="00D613E7">
        <w:tblPrEx>
          <w:tblLook w:val="04A0" w:firstRow="1" w:lastRow="0" w:firstColumn="1" w:lastColumn="0" w:noHBand="0" w:noVBand="1"/>
        </w:tblPrEx>
        <w:trPr>
          <w:trHeight w:val="288"/>
          <w:jc w:val="center"/>
        </w:trPr>
        <w:tc>
          <w:tcPr>
            <w:tcW w:w="864" w:type="pct"/>
            <w:vMerge w:val="restart"/>
            <w:noWrap/>
            <w:vAlign w:val="center"/>
            <w:hideMark/>
          </w:tcPr>
          <w:p w:rsidR="00D613E7" w:rsidRPr="009E7D16" w:rsidRDefault="00D613E7" w:rsidP="00D613E7">
            <w:pPr>
              <w:spacing w:before="0" w:after="0"/>
              <w:jc w:val="left"/>
              <w:rPr>
                <w:noProof/>
                <w:sz w:val="22"/>
              </w:rPr>
            </w:pPr>
            <w:r w:rsidRPr="009E7D16">
              <w:rPr>
                <w:noProof/>
                <w:sz w:val="22"/>
              </w:rPr>
              <w:t>[Ligne budgétaire «L’Europe dans le monde»]</w:t>
            </w:r>
            <w:r w:rsidRPr="009E7D16">
              <w:rPr>
                <w:rStyle w:val="FootnoteReference"/>
                <w:noProof/>
                <w:sz w:val="22"/>
              </w:rPr>
              <w:footnoteReference w:id="48"/>
            </w:r>
          </w:p>
        </w:tc>
        <w:tc>
          <w:tcPr>
            <w:tcW w:w="348" w:type="pct"/>
            <w:vAlign w:val="center"/>
            <w:hideMark/>
          </w:tcPr>
          <w:p w:rsidR="00D613E7" w:rsidRPr="009E7D16" w:rsidRDefault="00D613E7" w:rsidP="00D613E7">
            <w:pPr>
              <w:spacing w:before="0" w:after="0"/>
              <w:rPr>
                <w:noProof/>
                <w:sz w:val="18"/>
                <w:szCs w:val="18"/>
              </w:rPr>
            </w:pPr>
            <w:r w:rsidRPr="009E7D16">
              <w:rPr>
                <w:noProof/>
                <w:sz w:val="18"/>
              </w:rPr>
              <w:t>Engagements</w:t>
            </w:r>
          </w:p>
        </w:tc>
        <w:tc>
          <w:tcPr>
            <w:tcW w:w="249" w:type="pct"/>
            <w:gridSpan w:val="2"/>
            <w:vAlign w:val="center"/>
            <w:hideMark/>
          </w:tcPr>
          <w:p w:rsidR="00D613E7" w:rsidRPr="009E7D16" w:rsidRDefault="00D613E7" w:rsidP="00D613E7">
            <w:pPr>
              <w:spacing w:before="0" w:after="0"/>
              <w:jc w:val="center"/>
              <w:rPr>
                <w:noProof/>
                <w:sz w:val="14"/>
                <w:szCs w:val="14"/>
              </w:rPr>
            </w:pPr>
            <w:r w:rsidRPr="009E7D16">
              <w:rPr>
                <w:noProof/>
                <w:sz w:val="14"/>
              </w:rPr>
              <w:t>(1a)</w:t>
            </w:r>
          </w:p>
        </w:tc>
        <w:tc>
          <w:tcPr>
            <w:tcW w:w="528" w:type="pct"/>
            <w:vAlign w:val="center"/>
          </w:tcPr>
          <w:p w:rsidR="00D613E7" w:rsidRPr="009E7D16" w:rsidRDefault="00D613E7" w:rsidP="00D613E7">
            <w:pPr>
              <w:spacing w:before="0" w:after="0"/>
              <w:jc w:val="right"/>
              <w:rPr>
                <w:noProof/>
                <w:sz w:val="20"/>
                <w:szCs w:val="20"/>
              </w:rPr>
            </w:pPr>
            <w:r w:rsidRPr="009E7D16">
              <w:rPr>
                <w:noProof/>
                <w:sz w:val="20"/>
              </w:rPr>
              <w:t>4.300.000</w:t>
            </w:r>
          </w:p>
        </w:tc>
        <w:tc>
          <w:tcPr>
            <w:tcW w:w="555" w:type="pct"/>
            <w:vAlign w:val="center"/>
          </w:tcPr>
          <w:p w:rsidR="00D613E7" w:rsidRPr="009E7D16" w:rsidRDefault="00D613E7" w:rsidP="00D613E7">
            <w:pPr>
              <w:spacing w:before="0" w:after="0"/>
              <w:jc w:val="right"/>
              <w:rPr>
                <w:noProof/>
                <w:sz w:val="20"/>
                <w:szCs w:val="20"/>
              </w:rPr>
            </w:pPr>
            <w:r w:rsidRPr="009E7D16">
              <w:rPr>
                <w:noProof/>
                <w:sz w:val="20"/>
              </w:rPr>
              <w:t>10.500.000</w:t>
            </w:r>
          </w:p>
        </w:tc>
        <w:tc>
          <w:tcPr>
            <w:tcW w:w="573" w:type="pct"/>
            <w:gridSpan w:val="2"/>
            <w:vAlign w:val="center"/>
          </w:tcPr>
          <w:p w:rsidR="00D613E7" w:rsidRPr="009E7D16" w:rsidRDefault="00D613E7" w:rsidP="00D613E7">
            <w:pPr>
              <w:spacing w:before="0" w:after="0"/>
              <w:jc w:val="right"/>
              <w:rPr>
                <w:noProof/>
                <w:sz w:val="20"/>
                <w:szCs w:val="20"/>
              </w:rPr>
            </w:pPr>
            <w:r w:rsidRPr="009E7D16">
              <w:rPr>
                <w:noProof/>
                <w:sz w:val="20"/>
              </w:rPr>
              <w:t>10.700.000</w:t>
            </w:r>
          </w:p>
        </w:tc>
        <w:tc>
          <w:tcPr>
            <w:tcW w:w="435" w:type="pct"/>
            <w:vAlign w:val="center"/>
            <w:hideMark/>
          </w:tcPr>
          <w:p w:rsidR="00D613E7" w:rsidRPr="009E7D16" w:rsidRDefault="00D613E7" w:rsidP="00D613E7">
            <w:pPr>
              <w:spacing w:before="0" w:after="0"/>
              <w:jc w:val="right"/>
              <w:rPr>
                <w:noProof/>
                <w:sz w:val="20"/>
                <w:szCs w:val="20"/>
              </w:rPr>
            </w:pPr>
            <w:r w:rsidRPr="009E7D16">
              <w:rPr>
                <w:noProof/>
                <w:sz w:val="20"/>
              </w:rPr>
              <w:t>11.000.000</w:t>
            </w:r>
          </w:p>
        </w:tc>
        <w:tc>
          <w:tcPr>
            <w:tcW w:w="315" w:type="pct"/>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555" w:type="pct"/>
            <w:shd w:val="clear" w:color="auto" w:fill="D9D9D9" w:themeFill="background1" w:themeFillShade="D9"/>
            <w:vAlign w:val="center"/>
            <w:hideMark/>
          </w:tcPr>
          <w:p w:rsidR="00D613E7" w:rsidRPr="009E7D16" w:rsidRDefault="00D613E7" w:rsidP="00D613E7">
            <w:pPr>
              <w:spacing w:before="0" w:after="0"/>
              <w:jc w:val="right"/>
              <w:rPr>
                <w:b/>
                <w:bCs/>
                <w:noProof/>
                <w:sz w:val="20"/>
                <w:szCs w:val="20"/>
              </w:rPr>
            </w:pPr>
            <w:r w:rsidRPr="009E7D16">
              <w:rPr>
                <w:b/>
                <w:noProof/>
                <w:sz w:val="20"/>
              </w:rPr>
              <w:t>36.500.000</w:t>
            </w:r>
          </w:p>
        </w:tc>
      </w:tr>
      <w:tr w:rsidR="00D613E7" w:rsidRPr="009E7D16" w:rsidTr="00D613E7">
        <w:tblPrEx>
          <w:tblLook w:val="04A0" w:firstRow="1" w:lastRow="0" w:firstColumn="1" w:lastColumn="0" w:noHBand="0" w:noVBand="1"/>
        </w:tblPrEx>
        <w:trPr>
          <w:trHeight w:val="315"/>
          <w:jc w:val="center"/>
        </w:trPr>
        <w:tc>
          <w:tcPr>
            <w:tcW w:w="864" w:type="pct"/>
            <w:vMerge/>
            <w:vAlign w:val="center"/>
            <w:hideMark/>
          </w:tcPr>
          <w:p w:rsidR="00D613E7" w:rsidRPr="009E7D16" w:rsidRDefault="00D613E7" w:rsidP="00D613E7">
            <w:pPr>
              <w:spacing w:before="0" w:after="0"/>
              <w:jc w:val="left"/>
              <w:rPr>
                <w:noProof/>
                <w:sz w:val="22"/>
                <w:lang w:eastAsia="en-IE"/>
              </w:rPr>
            </w:pPr>
          </w:p>
        </w:tc>
        <w:tc>
          <w:tcPr>
            <w:tcW w:w="348" w:type="pct"/>
            <w:vAlign w:val="center"/>
            <w:hideMark/>
          </w:tcPr>
          <w:p w:rsidR="00D613E7" w:rsidRPr="009E7D16" w:rsidRDefault="00D613E7" w:rsidP="00D613E7">
            <w:pPr>
              <w:spacing w:before="0" w:after="0"/>
              <w:rPr>
                <w:noProof/>
                <w:sz w:val="18"/>
                <w:szCs w:val="18"/>
              </w:rPr>
            </w:pPr>
            <w:r w:rsidRPr="009E7D16">
              <w:rPr>
                <w:noProof/>
                <w:sz w:val="18"/>
              </w:rPr>
              <w:t>Paiements</w:t>
            </w:r>
          </w:p>
        </w:tc>
        <w:tc>
          <w:tcPr>
            <w:tcW w:w="249" w:type="pct"/>
            <w:gridSpan w:val="2"/>
            <w:vAlign w:val="center"/>
            <w:hideMark/>
          </w:tcPr>
          <w:p w:rsidR="00D613E7" w:rsidRPr="009E7D16" w:rsidRDefault="00D613E7" w:rsidP="00D613E7">
            <w:pPr>
              <w:spacing w:before="0" w:after="0"/>
              <w:jc w:val="center"/>
              <w:rPr>
                <w:noProof/>
                <w:sz w:val="14"/>
                <w:szCs w:val="14"/>
              </w:rPr>
            </w:pPr>
            <w:r w:rsidRPr="009E7D16">
              <w:rPr>
                <w:noProof/>
                <w:sz w:val="14"/>
              </w:rPr>
              <w:t>(2a)</w:t>
            </w:r>
          </w:p>
        </w:tc>
        <w:tc>
          <w:tcPr>
            <w:tcW w:w="528" w:type="pct"/>
            <w:vAlign w:val="center"/>
          </w:tcPr>
          <w:p w:rsidR="00D613E7" w:rsidRPr="009E7D16" w:rsidRDefault="00D613E7" w:rsidP="00D613E7">
            <w:pPr>
              <w:spacing w:before="0" w:after="0"/>
              <w:jc w:val="right"/>
              <w:rPr>
                <w:noProof/>
                <w:sz w:val="20"/>
                <w:szCs w:val="20"/>
              </w:rPr>
            </w:pPr>
            <w:r w:rsidRPr="009E7D16">
              <w:rPr>
                <w:noProof/>
                <w:sz w:val="20"/>
              </w:rPr>
              <w:t>4.300.000</w:t>
            </w:r>
          </w:p>
        </w:tc>
        <w:tc>
          <w:tcPr>
            <w:tcW w:w="555" w:type="pct"/>
            <w:vAlign w:val="center"/>
          </w:tcPr>
          <w:p w:rsidR="00D613E7" w:rsidRPr="009E7D16" w:rsidRDefault="00D613E7" w:rsidP="00D613E7">
            <w:pPr>
              <w:spacing w:before="0" w:after="0"/>
              <w:jc w:val="right"/>
              <w:rPr>
                <w:noProof/>
                <w:sz w:val="20"/>
                <w:szCs w:val="20"/>
              </w:rPr>
            </w:pPr>
            <w:r w:rsidRPr="009E7D16">
              <w:rPr>
                <w:noProof/>
                <w:sz w:val="20"/>
              </w:rPr>
              <w:t>10.500.000</w:t>
            </w:r>
          </w:p>
        </w:tc>
        <w:tc>
          <w:tcPr>
            <w:tcW w:w="573" w:type="pct"/>
            <w:gridSpan w:val="2"/>
            <w:vAlign w:val="center"/>
          </w:tcPr>
          <w:p w:rsidR="00D613E7" w:rsidRPr="009E7D16" w:rsidRDefault="00D613E7" w:rsidP="00D613E7">
            <w:pPr>
              <w:spacing w:before="0" w:after="0"/>
              <w:jc w:val="right"/>
              <w:rPr>
                <w:noProof/>
                <w:sz w:val="20"/>
                <w:szCs w:val="20"/>
              </w:rPr>
            </w:pPr>
            <w:r w:rsidRPr="009E7D16">
              <w:rPr>
                <w:noProof/>
                <w:sz w:val="20"/>
              </w:rPr>
              <w:t>10.700.000</w:t>
            </w:r>
          </w:p>
        </w:tc>
        <w:tc>
          <w:tcPr>
            <w:tcW w:w="435" w:type="pct"/>
            <w:vAlign w:val="center"/>
            <w:hideMark/>
          </w:tcPr>
          <w:p w:rsidR="00D613E7" w:rsidRPr="009E7D16" w:rsidRDefault="00D613E7" w:rsidP="00D613E7">
            <w:pPr>
              <w:spacing w:before="0" w:after="0"/>
              <w:jc w:val="right"/>
              <w:rPr>
                <w:noProof/>
                <w:sz w:val="20"/>
                <w:szCs w:val="20"/>
              </w:rPr>
            </w:pPr>
            <w:r w:rsidRPr="009E7D16">
              <w:rPr>
                <w:noProof/>
                <w:sz w:val="20"/>
              </w:rPr>
              <w:t>11.000.000</w:t>
            </w:r>
          </w:p>
        </w:tc>
        <w:tc>
          <w:tcPr>
            <w:tcW w:w="315" w:type="pct"/>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555" w:type="pct"/>
            <w:shd w:val="clear" w:color="auto" w:fill="D9D9D9" w:themeFill="background1" w:themeFillShade="D9"/>
            <w:vAlign w:val="center"/>
            <w:hideMark/>
          </w:tcPr>
          <w:p w:rsidR="00D613E7" w:rsidRPr="009E7D16" w:rsidRDefault="00D613E7" w:rsidP="00D613E7">
            <w:pPr>
              <w:spacing w:before="0" w:after="0"/>
              <w:jc w:val="right"/>
              <w:rPr>
                <w:b/>
                <w:bCs/>
                <w:noProof/>
                <w:sz w:val="20"/>
                <w:szCs w:val="20"/>
              </w:rPr>
            </w:pPr>
            <w:r w:rsidRPr="009E7D16">
              <w:rPr>
                <w:b/>
                <w:noProof/>
                <w:sz w:val="20"/>
              </w:rPr>
              <w:t>36.500.000</w:t>
            </w:r>
          </w:p>
        </w:tc>
      </w:tr>
      <w:tr w:rsidR="00D613E7" w:rsidRPr="009E7D16" w:rsidTr="00774994">
        <w:tblPrEx>
          <w:tblLook w:val="04A0" w:firstRow="1" w:lastRow="0" w:firstColumn="1" w:lastColumn="0" w:noHBand="0" w:noVBand="1"/>
        </w:tblPrEx>
        <w:trPr>
          <w:trHeight w:val="288"/>
          <w:jc w:val="center"/>
        </w:trPr>
        <w:tc>
          <w:tcPr>
            <w:tcW w:w="5000" w:type="pct"/>
            <w:gridSpan w:val="13"/>
            <w:vAlign w:val="center"/>
          </w:tcPr>
          <w:p w:rsidR="00D613E7" w:rsidRPr="009E7D16" w:rsidRDefault="00D613E7" w:rsidP="00D613E7">
            <w:pPr>
              <w:spacing w:before="0" w:after="0"/>
              <w:jc w:val="left"/>
              <w:rPr>
                <w:noProof/>
                <w:sz w:val="22"/>
                <w:lang w:eastAsia="en-IE"/>
              </w:rPr>
            </w:pPr>
          </w:p>
        </w:tc>
      </w:tr>
      <w:tr w:rsidR="00D613E7" w:rsidRPr="009E7D16" w:rsidTr="00774994">
        <w:tblPrEx>
          <w:tblLook w:val="04A0" w:firstRow="1" w:lastRow="0" w:firstColumn="1" w:lastColumn="0" w:noHBand="0" w:noVBand="1"/>
        </w:tblPrEx>
        <w:trPr>
          <w:trHeight w:val="288"/>
          <w:jc w:val="center"/>
        </w:trPr>
        <w:tc>
          <w:tcPr>
            <w:tcW w:w="864" w:type="pct"/>
            <w:vAlign w:val="center"/>
            <w:hideMark/>
          </w:tcPr>
          <w:p w:rsidR="00D613E7" w:rsidRPr="009E7D16" w:rsidRDefault="00D613E7" w:rsidP="00D613E7">
            <w:pPr>
              <w:spacing w:before="0" w:after="0"/>
              <w:rPr>
                <w:noProof/>
                <w:sz w:val="20"/>
                <w:szCs w:val="20"/>
              </w:rPr>
            </w:pPr>
            <w:r w:rsidRPr="009E7D16">
              <w:rPr>
                <w:noProof/>
                <w:sz w:val="20"/>
              </w:rPr>
              <w:t>Ligne budgétaire</w:t>
            </w:r>
          </w:p>
        </w:tc>
        <w:tc>
          <w:tcPr>
            <w:tcW w:w="348" w:type="pct"/>
            <w:vAlign w:val="center"/>
            <w:hideMark/>
          </w:tcPr>
          <w:p w:rsidR="00D613E7" w:rsidRPr="009E7D16" w:rsidRDefault="00D613E7" w:rsidP="00D613E7">
            <w:pPr>
              <w:spacing w:before="0" w:after="0"/>
              <w:jc w:val="right"/>
              <w:rPr>
                <w:noProof/>
                <w:sz w:val="18"/>
                <w:szCs w:val="18"/>
                <w:lang w:eastAsia="en-IE"/>
              </w:rPr>
            </w:pPr>
          </w:p>
        </w:tc>
        <w:tc>
          <w:tcPr>
            <w:tcW w:w="249" w:type="pct"/>
            <w:gridSpan w:val="2"/>
            <w:vAlign w:val="center"/>
            <w:hideMark/>
          </w:tcPr>
          <w:p w:rsidR="00D613E7" w:rsidRPr="009E7D16" w:rsidRDefault="00D613E7" w:rsidP="00D613E7">
            <w:pPr>
              <w:spacing w:before="0" w:after="0"/>
              <w:jc w:val="center"/>
              <w:rPr>
                <w:noProof/>
                <w:sz w:val="14"/>
                <w:szCs w:val="14"/>
              </w:rPr>
            </w:pPr>
            <w:r w:rsidRPr="009E7D16">
              <w:rPr>
                <w:noProof/>
                <w:sz w:val="14"/>
              </w:rPr>
              <w:t>(3)</w:t>
            </w:r>
          </w:p>
        </w:tc>
        <w:tc>
          <w:tcPr>
            <w:tcW w:w="528" w:type="pct"/>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555" w:type="pct"/>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573" w:type="pct"/>
            <w:gridSpan w:val="2"/>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435" w:type="pct"/>
            <w:vAlign w:val="center"/>
            <w:hideMark/>
          </w:tcPr>
          <w:p w:rsidR="00D613E7" w:rsidRPr="009E7D16" w:rsidRDefault="00D613E7" w:rsidP="00D613E7">
            <w:pPr>
              <w:spacing w:before="0" w:after="0"/>
              <w:jc w:val="right"/>
              <w:rPr>
                <w:b/>
                <w:bCs/>
                <w:noProof/>
                <w:sz w:val="20"/>
                <w:szCs w:val="20"/>
              </w:rPr>
            </w:pPr>
            <w:r w:rsidRPr="009E7D16">
              <w:rPr>
                <w:noProof/>
                <w:sz w:val="20"/>
              </w:rPr>
              <w:t>0,000</w:t>
            </w:r>
          </w:p>
        </w:tc>
        <w:tc>
          <w:tcPr>
            <w:tcW w:w="315" w:type="pct"/>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555" w:type="pct"/>
            <w:shd w:val="clear" w:color="auto" w:fill="D9D9D9" w:themeFill="background1" w:themeFillShade="D9"/>
            <w:vAlign w:val="center"/>
            <w:hideMark/>
          </w:tcPr>
          <w:p w:rsidR="00D613E7" w:rsidRPr="009E7D16" w:rsidRDefault="00D613E7" w:rsidP="00D613E7">
            <w:pPr>
              <w:spacing w:before="0" w:after="0"/>
              <w:jc w:val="right"/>
              <w:rPr>
                <w:b/>
                <w:bCs/>
                <w:noProof/>
                <w:sz w:val="20"/>
                <w:szCs w:val="20"/>
              </w:rPr>
            </w:pPr>
            <w:r w:rsidRPr="009E7D16">
              <w:rPr>
                <w:b/>
                <w:noProof/>
                <w:sz w:val="20"/>
              </w:rPr>
              <w:t>0,000</w:t>
            </w:r>
          </w:p>
        </w:tc>
      </w:tr>
      <w:tr w:rsidR="00D613E7" w:rsidRPr="009E7D16" w:rsidTr="00774994">
        <w:tblPrEx>
          <w:tblLook w:val="04A0" w:firstRow="1" w:lastRow="0" w:firstColumn="1" w:lastColumn="0" w:noHBand="0" w:noVBand="1"/>
        </w:tblPrEx>
        <w:trPr>
          <w:trHeight w:val="288"/>
          <w:jc w:val="center"/>
        </w:trPr>
        <w:tc>
          <w:tcPr>
            <w:tcW w:w="864" w:type="pct"/>
            <w:vMerge w:val="restart"/>
            <w:vAlign w:val="center"/>
            <w:hideMark/>
          </w:tcPr>
          <w:p w:rsidR="00D613E7" w:rsidRPr="009E7D16" w:rsidRDefault="00D613E7" w:rsidP="00D613E7">
            <w:pPr>
              <w:spacing w:before="0" w:after="0"/>
              <w:jc w:val="center"/>
              <w:rPr>
                <w:b/>
                <w:bCs/>
                <w:noProof/>
                <w:sz w:val="22"/>
              </w:rPr>
            </w:pPr>
            <w:r w:rsidRPr="009E7D16">
              <w:rPr>
                <w:b/>
                <w:noProof/>
                <w:sz w:val="22"/>
              </w:rPr>
              <w:t>TOTAL des crédits pour la DG</w:t>
            </w:r>
          </w:p>
          <w:p w:rsidR="00D613E7" w:rsidRPr="009E7D16" w:rsidRDefault="00D613E7" w:rsidP="00D613E7">
            <w:pPr>
              <w:spacing w:before="0" w:after="0"/>
              <w:jc w:val="center"/>
              <w:rPr>
                <w:b/>
                <w:bCs/>
                <w:noProof/>
                <w:sz w:val="22"/>
                <w:lang w:eastAsia="en-IE"/>
              </w:rPr>
            </w:pPr>
          </w:p>
        </w:tc>
        <w:tc>
          <w:tcPr>
            <w:tcW w:w="348" w:type="pct"/>
            <w:vAlign w:val="center"/>
            <w:hideMark/>
          </w:tcPr>
          <w:p w:rsidR="00D613E7" w:rsidRPr="009E7D16" w:rsidRDefault="00D613E7" w:rsidP="00D613E7">
            <w:pPr>
              <w:spacing w:before="0" w:after="0"/>
              <w:rPr>
                <w:noProof/>
                <w:sz w:val="18"/>
                <w:szCs w:val="18"/>
              </w:rPr>
            </w:pPr>
            <w:r w:rsidRPr="009E7D16">
              <w:rPr>
                <w:noProof/>
                <w:sz w:val="18"/>
              </w:rPr>
              <w:t>Engagements</w:t>
            </w:r>
          </w:p>
        </w:tc>
        <w:tc>
          <w:tcPr>
            <w:tcW w:w="249" w:type="pct"/>
            <w:gridSpan w:val="2"/>
            <w:vAlign w:val="center"/>
            <w:hideMark/>
          </w:tcPr>
          <w:p w:rsidR="00D613E7" w:rsidRPr="009E7D16" w:rsidRDefault="00D613E7" w:rsidP="00D613E7">
            <w:pPr>
              <w:spacing w:before="0" w:after="0"/>
              <w:jc w:val="center"/>
              <w:rPr>
                <w:noProof/>
                <w:sz w:val="14"/>
                <w:szCs w:val="14"/>
              </w:rPr>
            </w:pPr>
            <w:r w:rsidRPr="009E7D16">
              <w:rPr>
                <w:noProof/>
                <w:sz w:val="14"/>
              </w:rPr>
              <w:t>=1a+1b+3</w:t>
            </w:r>
          </w:p>
        </w:tc>
        <w:tc>
          <w:tcPr>
            <w:tcW w:w="528"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4.300.000</w:t>
            </w:r>
          </w:p>
        </w:tc>
        <w:tc>
          <w:tcPr>
            <w:tcW w:w="555"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10.500.000</w:t>
            </w:r>
          </w:p>
        </w:tc>
        <w:tc>
          <w:tcPr>
            <w:tcW w:w="573" w:type="pct"/>
            <w:gridSpan w:val="2"/>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10.700.000</w:t>
            </w:r>
          </w:p>
        </w:tc>
        <w:tc>
          <w:tcPr>
            <w:tcW w:w="435" w:type="pct"/>
            <w:shd w:val="clear" w:color="auto" w:fill="D9D9D9" w:themeFill="background1" w:themeFillShade="D9"/>
            <w:vAlign w:val="center"/>
            <w:hideMark/>
          </w:tcPr>
          <w:p w:rsidR="00D613E7" w:rsidRPr="009E7D16" w:rsidRDefault="00D613E7" w:rsidP="00D613E7">
            <w:pPr>
              <w:spacing w:before="0" w:after="0"/>
              <w:jc w:val="right"/>
              <w:rPr>
                <w:b/>
                <w:bCs/>
                <w:noProof/>
                <w:sz w:val="20"/>
                <w:szCs w:val="20"/>
              </w:rPr>
            </w:pPr>
            <w:r w:rsidRPr="009E7D16">
              <w:rPr>
                <w:b/>
                <w:noProof/>
                <w:sz w:val="20"/>
              </w:rPr>
              <w:t>11.000.000</w:t>
            </w:r>
          </w:p>
        </w:tc>
        <w:tc>
          <w:tcPr>
            <w:tcW w:w="315"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555" w:type="pct"/>
            <w:shd w:val="clear" w:color="auto" w:fill="D9D9D9" w:themeFill="background1" w:themeFillShade="D9"/>
            <w:vAlign w:val="center"/>
            <w:hideMark/>
          </w:tcPr>
          <w:p w:rsidR="00D613E7" w:rsidRPr="009E7D16" w:rsidRDefault="00D613E7" w:rsidP="00D613E7">
            <w:pPr>
              <w:spacing w:before="0" w:after="0"/>
              <w:jc w:val="right"/>
              <w:rPr>
                <w:b/>
                <w:bCs/>
                <w:noProof/>
                <w:sz w:val="20"/>
                <w:szCs w:val="20"/>
              </w:rPr>
            </w:pPr>
            <w:r w:rsidRPr="009E7D16">
              <w:rPr>
                <w:b/>
                <w:noProof/>
                <w:sz w:val="20"/>
              </w:rPr>
              <w:t>36.500.000</w:t>
            </w:r>
          </w:p>
        </w:tc>
      </w:tr>
      <w:tr w:rsidR="00D613E7" w:rsidRPr="009E7D16" w:rsidTr="00774994">
        <w:tblPrEx>
          <w:tblLook w:val="04A0" w:firstRow="1" w:lastRow="0" w:firstColumn="1" w:lastColumn="0" w:noHBand="0" w:noVBand="1"/>
        </w:tblPrEx>
        <w:trPr>
          <w:trHeight w:val="288"/>
          <w:jc w:val="center"/>
        </w:trPr>
        <w:tc>
          <w:tcPr>
            <w:tcW w:w="864" w:type="pct"/>
            <w:vMerge/>
            <w:vAlign w:val="center"/>
            <w:hideMark/>
          </w:tcPr>
          <w:p w:rsidR="00D613E7" w:rsidRPr="009E7D16" w:rsidRDefault="00D613E7" w:rsidP="00D613E7">
            <w:pPr>
              <w:spacing w:before="0" w:after="0"/>
              <w:jc w:val="center"/>
              <w:rPr>
                <w:b/>
                <w:bCs/>
                <w:noProof/>
                <w:sz w:val="22"/>
                <w:lang w:eastAsia="en-IE"/>
              </w:rPr>
            </w:pPr>
          </w:p>
        </w:tc>
        <w:tc>
          <w:tcPr>
            <w:tcW w:w="348" w:type="pct"/>
            <w:vAlign w:val="center"/>
            <w:hideMark/>
          </w:tcPr>
          <w:p w:rsidR="00D613E7" w:rsidRPr="009E7D16" w:rsidRDefault="00D613E7" w:rsidP="00D613E7">
            <w:pPr>
              <w:spacing w:before="0" w:after="0"/>
              <w:rPr>
                <w:noProof/>
                <w:sz w:val="18"/>
                <w:szCs w:val="18"/>
              </w:rPr>
            </w:pPr>
            <w:r w:rsidRPr="009E7D16">
              <w:rPr>
                <w:noProof/>
                <w:sz w:val="18"/>
              </w:rPr>
              <w:t>Paiements</w:t>
            </w:r>
          </w:p>
        </w:tc>
        <w:tc>
          <w:tcPr>
            <w:tcW w:w="249" w:type="pct"/>
            <w:gridSpan w:val="2"/>
            <w:vAlign w:val="center"/>
            <w:hideMark/>
          </w:tcPr>
          <w:p w:rsidR="00D613E7" w:rsidRPr="009E7D16" w:rsidRDefault="00D613E7" w:rsidP="00D613E7">
            <w:pPr>
              <w:spacing w:before="0" w:after="0"/>
              <w:jc w:val="center"/>
              <w:rPr>
                <w:noProof/>
                <w:sz w:val="14"/>
                <w:szCs w:val="14"/>
              </w:rPr>
            </w:pPr>
            <w:r w:rsidRPr="009E7D16">
              <w:rPr>
                <w:noProof/>
                <w:sz w:val="14"/>
              </w:rPr>
              <w:t>=2a+2b+3</w:t>
            </w:r>
          </w:p>
        </w:tc>
        <w:tc>
          <w:tcPr>
            <w:tcW w:w="528"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4.300.000</w:t>
            </w:r>
          </w:p>
        </w:tc>
        <w:tc>
          <w:tcPr>
            <w:tcW w:w="555"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10.500.000</w:t>
            </w:r>
          </w:p>
        </w:tc>
        <w:tc>
          <w:tcPr>
            <w:tcW w:w="573" w:type="pct"/>
            <w:gridSpan w:val="2"/>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10.700.000</w:t>
            </w:r>
          </w:p>
        </w:tc>
        <w:tc>
          <w:tcPr>
            <w:tcW w:w="435" w:type="pct"/>
            <w:shd w:val="clear" w:color="auto" w:fill="D9D9D9" w:themeFill="background1" w:themeFillShade="D9"/>
            <w:vAlign w:val="center"/>
            <w:hideMark/>
          </w:tcPr>
          <w:p w:rsidR="00D613E7" w:rsidRPr="009E7D16" w:rsidRDefault="00D613E7" w:rsidP="00D613E7">
            <w:pPr>
              <w:spacing w:before="0" w:after="0"/>
              <w:jc w:val="right"/>
              <w:rPr>
                <w:b/>
                <w:bCs/>
                <w:noProof/>
                <w:sz w:val="20"/>
                <w:szCs w:val="20"/>
              </w:rPr>
            </w:pPr>
            <w:r w:rsidRPr="009E7D16">
              <w:rPr>
                <w:b/>
                <w:noProof/>
                <w:sz w:val="20"/>
              </w:rPr>
              <w:t>11.000.000</w:t>
            </w:r>
          </w:p>
        </w:tc>
        <w:tc>
          <w:tcPr>
            <w:tcW w:w="315"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555" w:type="pct"/>
            <w:shd w:val="clear" w:color="auto" w:fill="D9D9D9" w:themeFill="background1" w:themeFillShade="D9"/>
            <w:vAlign w:val="center"/>
            <w:hideMark/>
          </w:tcPr>
          <w:p w:rsidR="00D613E7" w:rsidRPr="009E7D16" w:rsidRDefault="00D613E7" w:rsidP="00D613E7">
            <w:pPr>
              <w:spacing w:before="0" w:after="0"/>
              <w:jc w:val="right"/>
              <w:rPr>
                <w:b/>
                <w:bCs/>
                <w:noProof/>
                <w:sz w:val="20"/>
                <w:szCs w:val="20"/>
              </w:rPr>
            </w:pPr>
            <w:r w:rsidRPr="009E7D16">
              <w:rPr>
                <w:b/>
                <w:noProof/>
                <w:sz w:val="20"/>
              </w:rPr>
              <w:t>36.500.000</w:t>
            </w:r>
          </w:p>
        </w:tc>
      </w:tr>
      <w:tr w:rsidR="00D613E7" w:rsidRPr="009E7D16" w:rsidTr="00774994">
        <w:tblPrEx>
          <w:tblLook w:val="04A0" w:firstRow="1" w:lastRow="0" w:firstColumn="1" w:lastColumn="0" w:noHBand="0" w:noVBand="1"/>
        </w:tblPrEx>
        <w:trPr>
          <w:trHeight w:val="300"/>
          <w:jc w:val="center"/>
        </w:trPr>
        <w:tc>
          <w:tcPr>
            <w:tcW w:w="1461" w:type="pct"/>
            <w:gridSpan w:val="4"/>
            <w:vMerge w:val="restart"/>
            <w:vAlign w:val="center"/>
            <w:hideMark/>
          </w:tcPr>
          <w:p w:rsidR="00D613E7" w:rsidRPr="009E7D16" w:rsidRDefault="00D613E7" w:rsidP="00D613E7">
            <w:pPr>
              <w:spacing w:before="0" w:after="0"/>
              <w:jc w:val="center"/>
              <w:rPr>
                <w:b/>
                <w:bCs/>
                <w:noProof/>
                <w:sz w:val="22"/>
                <w:lang w:eastAsia="en-IE"/>
              </w:rPr>
            </w:pPr>
          </w:p>
        </w:tc>
        <w:tc>
          <w:tcPr>
            <w:tcW w:w="528" w:type="pct"/>
            <w:vAlign w:val="center"/>
          </w:tcPr>
          <w:p w:rsidR="00D613E7" w:rsidRPr="009E7D16" w:rsidRDefault="00D613E7" w:rsidP="00D613E7">
            <w:pPr>
              <w:spacing w:before="0" w:after="0"/>
              <w:jc w:val="center"/>
              <w:rPr>
                <w:noProof/>
                <w:sz w:val="20"/>
                <w:szCs w:val="20"/>
              </w:rPr>
            </w:pPr>
            <w:r w:rsidRPr="009E7D16">
              <w:rPr>
                <w:noProof/>
                <w:sz w:val="20"/>
              </w:rPr>
              <w:t>Année</w:t>
            </w:r>
          </w:p>
        </w:tc>
        <w:tc>
          <w:tcPr>
            <w:tcW w:w="555" w:type="pct"/>
            <w:vAlign w:val="center"/>
          </w:tcPr>
          <w:p w:rsidR="00D613E7" w:rsidRPr="009E7D16" w:rsidRDefault="00D613E7" w:rsidP="00D613E7">
            <w:pPr>
              <w:spacing w:before="0" w:after="0"/>
              <w:jc w:val="center"/>
              <w:rPr>
                <w:noProof/>
                <w:sz w:val="20"/>
                <w:szCs w:val="20"/>
              </w:rPr>
            </w:pPr>
            <w:r w:rsidRPr="009E7D16">
              <w:rPr>
                <w:noProof/>
                <w:sz w:val="20"/>
              </w:rPr>
              <w:t>Année</w:t>
            </w:r>
          </w:p>
        </w:tc>
        <w:tc>
          <w:tcPr>
            <w:tcW w:w="573" w:type="pct"/>
            <w:gridSpan w:val="2"/>
            <w:vAlign w:val="center"/>
          </w:tcPr>
          <w:p w:rsidR="00D613E7" w:rsidRPr="009E7D16" w:rsidRDefault="00D613E7" w:rsidP="00D613E7">
            <w:pPr>
              <w:spacing w:before="0" w:after="0"/>
              <w:jc w:val="center"/>
              <w:rPr>
                <w:noProof/>
                <w:sz w:val="20"/>
                <w:szCs w:val="20"/>
              </w:rPr>
            </w:pPr>
            <w:r w:rsidRPr="009E7D16">
              <w:rPr>
                <w:noProof/>
                <w:sz w:val="20"/>
              </w:rPr>
              <w:t>Année</w:t>
            </w:r>
          </w:p>
        </w:tc>
        <w:tc>
          <w:tcPr>
            <w:tcW w:w="435" w:type="pct"/>
            <w:vAlign w:val="center"/>
            <w:hideMark/>
          </w:tcPr>
          <w:p w:rsidR="00D613E7" w:rsidRPr="009E7D16" w:rsidRDefault="00D613E7" w:rsidP="00D613E7">
            <w:pPr>
              <w:spacing w:before="0" w:after="0"/>
              <w:jc w:val="center"/>
              <w:rPr>
                <w:noProof/>
                <w:sz w:val="20"/>
                <w:szCs w:val="20"/>
              </w:rPr>
            </w:pPr>
            <w:r w:rsidRPr="009E7D16">
              <w:rPr>
                <w:noProof/>
                <w:sz w:val="20"/>
              </w:rPr>
              <w:t>Année</w:t>
            </w:r>
          </w:p>
        </w:tc>
        <w:tc>
          <w:tcPr>
            <w:tcW w:w="315" w:type="pct"/>
            <w:vAlign w:val="center"/>
          </w:tcPr>
          <w:p w:rsidR="00D613E7" w:rsidRPr="009E7D16" w:rsidRDefault="00D613E7" w:rsidP="00D613E7">
            <w:pPr>
              <w:spacing w:before="0" w:after="0"/>
              <w:jc w:val="center"/>
              <w:rPr>
                <w:b/>
                <w:bCs/>
                <w:noProof/>
                <w:sz w:val="20"/>
                <w:szCs w:val="20"/>
              </w:rPr>
            </w:pPr>
            <w:r w:rsidRPr="009E7D16">
              <w:rPr>
                <w:noProof/>
                <w:sz w:val="20"/>
              </w:rPr>
              <w:t>Année</w:t>
            </w:r>
          </w:p>
        </w:tc>
        <w:tc>
          <w:tcPr>
            <w:tcW w:w="289" w:type="pct"/>
            <w:vAlign w:val="center"/>
          </w:tcPr>
          <w:p w:rsidR="00D613E7" w:rsidRPr="009E7D16" w:rsidRDefault="00D613E7" w:rsidP="00D613E7">
            <w:pPr>
              <w:spacing w:before="0" w:after="0"/>
              <w:jc w:val="center"/>
              <w:rPr>
                <w:b/>
                <w:bCs/>
                <w:noProof/>
                <w:sz w:val="20"/>
                <w:szCs w:val="20"/>
              </w:rPr>
            </w:pPr>
            <w:r w:rsidRPr="009E7D16">
              <w:rPr>
                <w:noProof/>
                <w:sz w:val="20"/>
              </w:rPr>
              <w:t>Année</w:t>
            </w:r>
          </w:p>
        </w:tc>
        <w:tc>
          <w:tcPr>
            <w:tcW w:w="289" w:type="pct"/>
            <w:vAlign w:val="center"/>
          </w:tcPr>
          <w:p w:rsidR="00D613E7" w:rsidRPr="009E7D16" w:rsidRDefault="00D613E7" w:rsidP="00D613E7">
            <w:pPr>
              <w:spacing w:before="0" w:after="0"/>
              <w:jc w:val="center"/>
              <w:rPr>
                <w:b/>
                <w:bCs/>
                <w:noProof/>
                <w:sz w:val="20"/>
                <w:szCs w:val="20"/>
              </w:rPr>
            </w:pPr>
            <w:r w:rsidRPr="009E7D16">
              <w:rPr>
                <w:noProof/>
                <w:sz w:val="20"/>
              </w:rPr>
              <w:t>Année</w:t>
            </w:r>
          </w:p>
        </w:tc>
        <w:tc>
          <w:tcPr>
            <w:tcW w:w="555" w:type="pct"/>
            <w:vMerge w:val="restart"/>
            <w:vAlign w:val="center"/>
            <w:hideMark/>
          </w:tcPr>
          <w:p w:rsidR="00D613E7" w:rsidRPr="009E7D16" w:rsidRDefault="00D613E7" w:rsidP="00D613E7">
            <w:pPr>
              <w:spacing w:before="0" w:after="0"/>
              <w:jc w:val="center"/>
              <w:rPr>
                <w:b/>
                <w:bCs/>
                <w:noProof/>
                <w:sz w:val="20"/>
                <w:szCs w:val="20"/>
              </w:rPr>
            </w:pPr>
            <w:r w:rsidRPr="009E7D16">
              <w:rPr>
                <w:b/>
                <w:noProof/>
                <w:sz w:val="20"/>
              </w:rPr>
              <w:t>TOTAL CFP 2028-2034</w:t>
            </w:r>
          </w:p>
        </w:tc>
      </w:tr>
      <w:tr w:rsidR="00D613E7" w:rsidRPr="009E7D16" w:rsidTr="00774994">
        <w:tblPrEx>
          <w:tblLook w:val="04A0" w:firstRow="1" w:lastRow="0" w:firstColumn="1" w:lastColumn="0" w:noHBand="0" w:noVBand="1"/>
        </w:tblPrEx>
        <w:trPr>
          <w:trHeight w:val="300"/>
          <w:jc w:val="center"/>
        </w:trPr>
        <w:tc>
          <w:tcPr>
            <w:tcW w:w="1461" w:type="pct"/>
            <w:gridSpan w:val="4"/>
            <w:vMerge/>
            <w:vAlign w:val="center"/>
            <w:hideMark/>
          </w:tcPr>
          <w:p w:rsidR="00D613E7" w:rsidRPr="009E7D16" w:rsidRDefault="00D613E7" w:rsidP="00D613E7">
            <w:pPr>
              <w:spacing w:before="0" w:after="0"/>
              <w:jc w:val="left"/>
              <w:rPr>
                <w:b/>
                <w:bCs/>
                <w:noProof/>
                <w:sz w:val="22"/>
                <w:lang w:eastAsia="en-IE"/>
              </w:rPr>
            </w:pPr>
          </w:p>
        </w:tc>
        <w:tc>
          <w:tcPr>
            <w:tcW w:w="528" w:type="pct"/>
            <w:vAlign w:val="center"/>
          </w:tcPr>
          <w:p w:rsidR="00D613E7" w:rsidRPr="009E7D16" w:rsidRDefault="00D613E7" w:rsidP="00D613E7">
            <w:pPr>
              <w:spacing w:before="0" w:after="0"/>
              <w:jc w:val="center"/>
              <w:rPr>
                <w:b/>
                <w:bCs/>
                <w:noProof/>
                <w:sz w:val="20"/>
                <w:szCs w:val="20"/>
              </w:rPr>
            </w:pPr>
            <w:r w:rsidRPr="009E7D16">
              <w:rPr>
                <w:b/>
                <w:noProof/>
                <w:sz w:val="20"/>
              </w:rPr>
              <w:t>2028</w:t>
            </w:r>
          </w:p>
        </w:tc>
        <w:tc>
          <w:tcPr>
            <w:tcW w:w="555" w:type="pct"/>
            <w:vAlign w:val="center"/>
          </w:tcPr>
          <w:p w:rsidR="00D613E7" w:rsidRPr="009E7D16" w:rsidRDefault="00D613E7" w:rsidP="00D613E7">
            <w:pPr>
              <w:spacing w:before="0" w:after="0"/>
              <w:jc w:val="center"/>
              <w:rPr>
                <w:b/>
                <w:bCs/>
                <w:noProof/>
                <w:sz w:val="20"/>
                <w:szCs w:val="20"/>
              </w:rPr>
            </w:pPr>
            <w:r w:rsidRPr="009E7D16">
              <w:rPr>
                <w:b/>
                <w:noProof/>
                <w:sz w:val="20"/>
              </w:rPr>
              <w:t>2029</w:t>
            </w:r>
          </w:p>
        </w:tc>
        <w:tc>
          <w:tcPr>
            <w:tcW w:w="573" w:type="pct"/>
            <w:gridSpan w:val="2"/>
            <w:vAlign w:val="center"/>
          </w:tcPr>
          <w:p w:rsidR="00D613E7" w:rsidRPr="009E7D16" w:rsidRDefault="00D613E7" w:rsidP="00D613E7">
            <w:pPr>
              <w:spacing w:before="0" w:after="0"/>
              <w:jc w:val="center"/>
              <w:rPr>
                <w:b/>
                <w:bCs/>
                <w:noProof/>
                <w:sz w:val="20"/>
                <w:szCs w:val="20"/>
              </w:rPr>
            </w:pPr>
            <w:r w:rsidRPr="009E7D16">
              <w:rPr>
                <w:b/>
                <w:noProof/>
                <w:sz w:val="20"/>
              </w:rPr>
              <w:t>2030</w:t>
            </w:r>
          </w:p>
        </w:tc>
        <w:tc>
          <w:tcPr>
            <w:tcW w:w="435" w:type="pct"/>
            <w:vAlign w:val="center"/>
          </w:tcPr>
          <w:p w:rsidR="00D613E7" w:rsidRPr="009E7D16" w:rsidRDefault="00D613E7" w:rsidP="00D613E7">
            <w:pPr>
              <w:spacing w:before="0" w:after="0"/>
              <w:jc w:val="center"/>
              <w:rPr>
                <w:b/>
                <w:bCs/>
                <w:noProof/>
                <w:sz w:val="20"/>
                <w:szCs w:val="20"/>
              </w:rPr>
            </w:pPr>
            <w:r w:rsidRPr="009E7D16">
              <w:rPr>
                <w:b/>
                <w:noProof/>
                <w:sz w:val="20"/>
              </w:rPr>
              <w:t>2031</w:t>
            </w:r>
          </w:p>
        </w:tc>
        <w:tc>
          <w:tcPr>
            <w:tcW w:w="315" w:type="pct"/>
            <w:vAlign w:val="center"/>
          </w:tcPr>
          <w:p w:rsidR="00D613E7" w:rsidRPr="009E7D16" w:rsidRDefault="00D613E7" w:rsidP="00D613E7">
            <w:pPr>
              <w:spacing w:before="0" w:after="0"/>
              <w:jc w:val="left"/>
              <w:rPr>
                <w:b/>
                <w:bCs/>
                <w:noProof/>
                <w:sz w:val="20"/>
                <w:szCs w:val="20"/>
              </w:rPr>
            </w:pPr>
            <w:r w:rsidRPr="009E7D16">
              <w:rPr>
                <w:b/>
                <w:noProof/>
                <w:sz w:val="20"/>
              </w:rPr>
              <w:t>2032</w:t>
            </w:r>
          </w:p>
        </w:tc>
        <w:tc>
          <w:tcPr>
            <w:tcW w:w="289" w:type="pct"/>
            <w:vAlign w:val="center"/>
          </w:tcPr>
          <w:p w:rsidR="00D613E7" w:rsidRPr="009E7D16" w:rsidRDefault="00D613E7" w:rsidP="00D613E7">
            <w:pPr>
              <w:spacing w:before="0" w:after="0"/>
              <w:jc w:val="left"/>
              <w:rPr>
                <w:b/>
                <w:bCs/>
                <w:noProof/>
                <w:sz w:val="20"/>
                <w:szCs w:val="20"/>
              </w:rPr>
            </w:pPr>
            <w:r w:rsidRPr="009E7D16">
              <w:rPr>
                <w:b/>
                <w:noProof/>
                <w:sz w:val="20"/>
              </w:rPr>
              <w:t>2033</w:t>
            </w:r>
          </w:p>
        </w:tc>
        <w:tc>
          <w:tcPr>
            <w:tcW w:w="289" w:type="pct"/>
            <w:vAlign w:val="center"/>
          </w:tcPr>
          <w:p w:rsidR="00D613E7" w:rsidRPr="009E7D16" w:rsidRDefault="00D613E7" w:rsidP="00D613E7">
            <w:pPr>
              <w:spacing w:before="0" w:after="0"/>
              <w:jc w:val="left"/>
              <w:rPr>
                <w:b/>
                <w:bCs/>
                <w:noProof/>
                <w:sz w:val="20"/>
                <w:szCs w:val="20"/>
              </w:rPr>
            </w:pPr>
            <w:r w:rsidRPr="009E7D16">
              <w:rPr>
                <w:b/>
                <w:noProof/>
                <w:sz w:val="20"/>
              </w:rPr>
              <w:t>2034</w:t>
            </w:r>
          </w:p>
        </w:tc>
        <w:tc>
          <w:tcPr>
            <w:tcW w:w="555" w:type="pct"/>
            <w:vMerge/>
            <w:vAlign w:val="center"/>
            <w:hideMark/>
          </w:tcPr>
          <w:p w:rsidR="00D613E7" w:rsidRPr="009E7D16" w:rsidRDefault="00D613E7" w:rsidP="00D613E7">
            <w:pPr>
              <w:spacing w:before="0" w:after="0"/>
              <w:jc w:val="left"/>
              <w:rPr>
                <w:b/>
                <w:bCs/>
                <w:noProof/>
                <w:sz w:val="20"/>
                <w:szCs w:val="20"/>
                <w:lang w:eastAsia="en-IE"/>
              </w:rPr>
            </w:pPr>
          </w:p>
        </w:tc>
      </w:tr>
      <w:tr w:rsidR="00D613E7" w:rsidRPr="009E7D16" w:rsidTr="00774994">
        <w:tblPrEx>
          <w:tblLook w:val="04A0" w:firstRow="1" w:lastRow="0" w:firstColumn="1" w:lastColumn="0" w:noHBand="0" w:noVBand="1"/>
        </w:tblPrEx>
        <w:trPr>
          <w:trHeight w:val="432"/>
          <w:jc w:val="center"/>
        </w:trPr>
        <w:tc>
          <w:tcPr>
            <w:tcW w:w="864" w:type="pct"/>
            <w:vMerge w:val="restart"/>
            <w:vAlign w:val="center"/>
            <w:hideMark/>
          </w:tcPr>
          <w:p w:rsidR="00D613E7" w:rsidRPr="009E7D16" w:rsidRDefault="00D613E7" w:rsidP="00D613E7">
            <w:pPr>
              <w:spacing w:before="0" w:after="0"/>
              <w:rPr>
                <w:noProof/>
                <w:sz w:val="21"/>
                <w:szCs w:val="21"/>
              </w:rPr>
            </w:pPr>
            <w:r w:rsidRPr="009E7D16">
              <w:rPr>
                <w:noProof/>
                <w:sz w:val="21"/>
              </w:rPr>
              <w:t xml:space="preserve">TOTAL des crédits opérationnels </w:t>
            </w:r>
            <w:r w:rsidRPr="009E7D16">
              <w:rPr>
                <w:noProof/>
              </w:rPr>
              <w:t xml:space="preserve"> </w:t>
            </w:r>
            <w:r w:rsidRPr="009E7D16">
              <w:rPr>
                <w:noProof/>
              </w:rPr>
              <w:br/>
            </w:r>
          </w:p>
        </w:tc>
        <w:tc>
          <w:tcPr>
            <w:tcW w:w="348" w:type="pct"/>
            <w:vAlign w:val="center"/>
            <w:hideMark/>
          </w:tcPr>
          <w:p w:rsidR="00D613E7" w:rsidRPr="009E7D16" w:rsidRDefault="00D613E7" w:rsidP="00D613E7">
            <w:pPr>
              <w:spacing w:before="0" w:after="0"/>
              <w:rPr>
                <w:noProof/>
                <w:sz w:val="18"/>
                <w:szCs w:val="18"/>
              </w:rPr>
            </w:pPr>
            <w:r w:rsidRPr="009E7D16">
              <w:rPr>
                <w:noProof/>
                <w:sz w:val="18"/>
              </w:rPr>
              <w:t>Engagements</w:t>
            </w:r>
          </w:p>
        </w:tc>
        <w:tc>
          <w:tcPr>
            <w:tcW w:w="249" w:type="pct"/>
            <w:gridSpan w:val="2"/>
            <w:vAlign w:val="center"/>
            <w:hideMark/>
          </w:tcPr>
          <w:p w:rsidR="00D613E7" w:rsidRPr="009E7D16" w:rsidRDefault="00D613E7" w:rsidP="00D613E7">
            <w:pPr>
              <w:spacing w:before="0" w:after="0"/>
              <w:jc w:val="center"/>
              <w:rPr>
                <w:noProof/>
                <w:sz w:val="14"/>
                <w:szCs w:val="14"/>
              </w:rPr>
            </w:pPr>
            <w:r w:rsidRPr="009E7D16">
              <w:rPr>
                <w:noProof/>
                <w:sz w:val="14"/>
              </w:rPr>
              <w:t>(4)</w:t>
            </w:r>
          </w:p>
        </w:tc>
        <w:tc>
          <w:tcPr>
            <w:tcW w:w="528"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4.300.000</w:t>
            </w:r>
          </w:p>
        </w:tc>
        <w:tc>
          <w:tcPr>
            <w:tcW w:w="555"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10.500.000</w:t>
            </w:r>
          </w:p>
        </w:tc>
        <w:tc>
          <w:tcPr>
            <w:tcW w:w="573" w:type="pct"/>
            <w:gridSpan w:val="2"/>
            <w:shd w:val="clear" w:color="auto" w:fill="D9D9D9" w:themeFill="background1" w:themeFillShade="D9"/>
            <w:vAlign w:val="center"/>
          </w:tcPr>
          <w:p w:rsidR="00D613E7" w:rsidRPr="009E7D16" w:rsidRDefault="00D613E7" w:rsidP="00D613E7">
            <w:pPr>
              <w:spacing w:before="0" w:after="0"/>
              <w:jc w:val="right"/>
              <w:rPr>
                <w:noProof/>
                <w:sz w:val="20"/>
                <w:szCs w:val="20"/>
              </w:rPr>
            </w:pPr>
            <w:r w:rsidRPr="009E7D16">
              <w:rPr>
                <w:b/>
                <w:noProof/>
                <w:sz w:val="20"/>
              </w:rPr>
              <w:t>10.700.000</w:t>
            </w:r>
          </w:p>
        </w:tc>
        <w:tc>
          <w:tcPr>
            <w:tcW w:w="435" w:type="pct"/>
            <w:shd w:val="clear" w:color="auto" w:fill="D9D9D9" w:themeFill="background1" w:themeFillShade="D9"/>
            <w:vAlign w:val="center"/>
            <w:hideMark/>
          </w:tcPr>
          <w:p w:rsidR="00D613E7" w:rsidRPr="009E7D16" w:rsidRDefault="00D613E7" w:rsidP="00D613E7">
            <w:pPr>
              <w:spacing w:before="0" w:after="0"/>
              <w:jc w:val="right"/>
              <w:rPr>
                <w:noProof/>
                <w:sz w:val="20"/>
                <w:szCs w:val="20"/>
              </w:rPr>
            </w:pPr>
            <w:r w:rsidRPr="009E7D16">
              <w:rPr>
                <w:b/>
                <w:noProof/>
                <w:sz w:val="20"/>
              </w:rPr>
              <w:t>11.000.000</w:t>
            </w:r>
          </w:p>
        </w:tc>
        <w:tc>
          <w:tcPr>
            <w:tcW w:w="315"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555" w:type="pct"/>
            <w:shd w:val="clear" w:color="auto" w:fill="D9D9D9" w:themeFill="background1" w:themeFillShade="D9"/>
            <w:vAlign w:val="center"/>
            <w:hideMark/>
          </w:tcPr>
          <w:p w:rsidR="00D613E7" w:rsidRPr="009E7D16" w:rsidRDefault="00D613E7" w:rsidP="00D613E7">
            <w:pPr>
              <w:spacing w:before="0" w:after="0"/>
              <w:jc w:val="right"/>
              <w:rPr>
                <w:b/>
                <w:bCs/>
                <w:noProof/>
                <w:sz w:val="20"/>
                <w:szCs w:val="20"/>
              </w:rPr>
            </w:pPr>
            <w:r w:rsidRPr="009E7D16">
              <w:rPr>
                <w:b/>
                <w:noProof/>
                <w:sz w:val="20"/>
              </w:rPr>
              <w:t>36.500.000</w:t>
            </w:r>
          </w:p>
        </w:tc>
      </w:tr>
      <w:tr w:rsidR="00D613E7" w:rsidRPr="009E7D16" w:rsidTr="00774994">
        <w:tblPrEx>
          <w:tblLook w:val="04A0" w:firstRow="1" w:lastRow="0" w:firstColumn="1" w:lastColumn="0" w:noHBand="0" w:noVBand="1"/>
        </w:tblPrEx>
        <w:trPr>
          <w:trHeight w:val="456"/>
          <w:jc w:val="center"/>
        </w:trPr>
        <w:tc>
          <w:tcPr>
            <w:tcW w:w="864" w:type="pct"/>
            <w:vMerge/>
            <w:vAlign w:val="center"/>
            <w:hideMark/>
          </w:tcPr>
          <w:p w:rsidR="00D613E7" w:rsidRPr="009E7D16" w:rsidRDefault="00D613E7" w:rsidP="00D613E7">
            <w:pPr>
              <w:spacing w:before="0" w:after="0"/>
              <w:jc w:val="left"/>
              <w:rPr>
                <w:noProof/>
                <w:sz w:val="21"/>
                <w:szCs w:val="21"/>
                <w:lang w:eastAsia="en-IE"/>
              </w:rPr>
            </w:pPr>
          </w:p>
        </w:tc>
        <w:tc>
          <w:tcPr>
            <w:tcW w:w="348" w:type="pct"/>
            <w:vAlign w:val="center"/>
            <w:hideMark/>
          </w:tcPr>
          <w:p w:rsidR="00D613E7" w:rsidRPr="009E7D16" w:rsidRDefault="00D613E7" w:rsidP="00D613E7">
            <w:pPr>
              <w:spacing w:before="0" w:after="0"/>
              <w:rPr>
                <w:noProof/>
                <w:sz w:val="18"/>
                <w:szCs w:val="18"/>
              </w:rPr>
            </w:pPr>
            <w:r w:rsidRPr="009E7D16">
              <w:rPr>
                <w:noProof/>
                <w:sz w:val="18"/>
              </w:rPr>
              <w:t>Paiements</w:t>
            </w:r>
          </w:p>
        </w:tc>
        <w:tc>
          <w:tcPr>
            <w:tcW w:w="249" w:type="pct"/>
            <w:gridSpan w:val="2"/>
            <w:vAlign w:val="center"/>
            <w:hideMark/>
          </w:tcPr>
          <w:p w:rsidR="00D613E7" w:rsidRPr="009E7D16" w:rsidRDefault="00D613E7" w:rsidP="00D613E7">
            <w:pPr>
              <w:spacing w:before="0" w:after="0"/>
              <w:jc w:val="center"/>
              <w:rPr>
                <w:noProof/>
                <w:sz w:val="14"/>
                <w:szCs w:val="14"/>
              </w:rPr>
            </w:pPr>
            <w:r w:rsidRPr="009E7D16">
              <w:rPr>
                <w:noProof/>
                <w:sz w:val="14"/>
              </w:rPr>
              <w:t>(5)</w:t>
            </w:r>
          </w:p>
        </w:tc>
        <w:tc>
          <w:tcPr>
            <w:tcW w:w="528"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4.300.000</w:t>
            </w:r>
          </w:p>
        </w:tc>
        <w:tc>
          <w:tcPr>
            <w:tcW w:w="555"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10.500.000</w:t>
            </w:r>
          </w:p>
        </w:tc>
        <w:tc>
          <w:tcPr>
            <w:tcW w:w="573" w:type="pct"/>
            <w:gridSpan w:val="2"/>
            <w:shd w:val="clear" w:color="auto" w:fill="D9D9D9" w:themeFill="background1" w:themeFillShade="D9"/>
            <w:vAlign w:val="center"/>
          </w:tcPr>
          <w:p w:rsidR="00D613E7" w:rsidRPr="009E7D16" w:rsidRDefault="00D613E7" w:rsidP="00D613E7">
            <w:pPr>
              <w:spacing w:before="0" w:after="0"/>
              <w:jc w:val="right"/>
              <w:rPr>
                <w:noProof/>
                <w:sz w:val="20"/>
                <w:szCs w:val="20"/>
              </w:rPr>
            </w:pPr>
            <w:r w:rsidRPr="009E7D16">
              <w:rPr>
                <w:b/>
                <w:noProof/>
                <w:sz w:val="20"/>
              </w:rPr>
              <w:t>10.700.000</w:t>
            </w:r>
          </w:p>
        </w:tc>
        <w:tc>
          <w:tcPr>
            <w:tcW w:w="435" w:type="pct"/>
            <w:shd w:val="clear" w:color="auto" w:fill="D9D9D9" w:themeFill="background1" w:themeFillShade="D9"/>
            <w:vAlign w:val="center"/>
            <w:hideMark/>
          </w:tcPr>
          <w:p w:rsidR="00D613E7" w:rsidRPr="009E7D16" w:rsidRDefault="00D613E7" w:rsidP="00D613E7">
            <w:pPr>
              <w:spacing w:before="0" w:after="0"/>
              <w:jc w:val="right"/>
              <w:rPr>
                <w:noProof/>
                <w:sz w:val="20"/>
                <w:szCs w:val="20"/>
              </w:rPr>
            </w:pPr>
            <w:r w:rsidRPr="009E7D16">
              <w:rPr>
                <w:b/>
                <w:noProof/>
                <w:sz w:val="20"/>
              </w:rPr>
              <w:t>11.000.000</w:t>
            </w:r>
          </w:p>
        </w:tc>
        <w:tc>
          <w:tcPr>
            <w:tcW w:w="315"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555" w:type="pct"/>
            <w:shd w:val="clear" w:color="auto" w:fill="D9D9D9" w:themeFill="background1" w:themeFillShade="D9"/>
            <w:vAlign w:val="center"/>
            <w:hideMark/>
          </w:tcPr>
          <w:p w:rsidR="00D613E7" w:rsidRPr="009E7D16" w:rsidRDefault="00D613E7" w:rsidP="00D613E7">
            <w:pPr>
              <w:spacing w:before="0" w:after="0"/>
              <w:jc w:val="right"/>
              <w:rPr>
                <w:b/>
                <w:bCs/>
                <w:noProof/>
                <w:sz w:val="20"/>
                <w:szCs w:val="20"/>
              </w:rPr>
            </w:pPr>
            <w:r w:rsidRPr="009E7D16">
              <w:rPr>
                <w:b/>
                <w:noProof/>
                <w:sz w:val="20"/>
              </w:rPr>
              <w:t>36.500.000</w:t>
            </w:r>
          </w:p>
        </w:tc>
      </w:tr>
      <w:tr w:rsidR="00774994" w:rsidRPr="009E7D16" w:rsidTr="00774994">
        <w:tblPrEx>
          <w:tblLook w:val="04A0" w:firstRow="1" w:lastRow="0" w:firstColumn="1" w:lastColumn="0" w:noHBand="0" w:noVBand="1"/>
        </w:tblPrEx>
        <w:trPr>
          <w:trHeight w:val="924"/>
          <w:jc w:val="center"/>
        </w:trPr>
        <w:tc>
          <w:tcPr>
            <w:tcW w:w="1212" w:type="pct"/>
            <w:gridSpan w:val="2"/>
            <w:vAlign w:val="center"/>
            <w:hideMark/>
          </w:tcPr>
          <w:p w:rsidR="00D613E7" w:rsidRPr="009E7D16" w:rsidRDefault="00D613E7" w:rsidP="00D613E7">
            <w:pPr>
              <w:spacing w:before="0" w:after="0"/>
              <w:rPr>
                <w:noProof/>
                <w:sz w:val="21"/>
                <w:szCs w:val="21"/>
              </w:rPr>
            </w:pPr>
            <w:r w:rsidRPr="009E7D16">
              <w:rPr>
                <w:noProof/>
                <w:sz w:val="21"/>
              </w:rPr>
              <w:t xml:space="preserve">TOTAL des crédits de nature administrative financés par l’enveloppe de certains programmes spécifiques </w:t>
            </w:r>
          </w:p>
        </w:tc>
        <w:tc>
          <w:tcPr>
            <w:tcW w:w="249" w:type="pct"/>
            <w:gridSpan w:val="2"/>
            <w:vAlign w:val="center"/>
            <w:hideMark/>
          </w:tcPr>
          <w:p w:rsidR="00D613E7" w:rsidRPr="009E7D16" w:rsidRDefault="00D613E7" w:rsidP="00D613E7">
            <w:pPr>
              <w:spacing w:before="0" w:after="0"/>
              <w:jc w:val="center"/>
              <w:rPr>
                <w:noProof/>
                <w:sz w:val="14"/>
                <w:szCs w:val="14"/>
              </w:rPr>
            </w:pPr>
            <w:r w:rsidRPr="009E7D16">
              <w:rPr>
                <w:noProof/>
                <w:sz w:val="14"/>
              </w:rPr>
              <w:t>(6)</w:t>
            </w:r>
          </w:p>
        </w:tc>
        <w:tc>
          <w:tcPr>
            <w:tcW w:w="528" w:type="pct"/>
            <w:shd w:val="clear" w:color="auto" w:fill="D9D9D9" w:themeFill="background1" w:themeFillShade="D9"/>
            <w:vAlign w:val="center"/>
          </w:tcPr>
          <w:p w:rsidR="00D613E7" w:rsidRPr="009E7D16" w:rsidRDefault="00D613E7" w:rsidP="00D613E7">
            <w:pPr>
              <w:spacing w:before="0" w:after="0"/>
              <w:jc w:val="right"/>
              <w:rPr>
                <w:noProof/>
                <w:sz w:val="20"/>
                <w:szCs w:val="20"/>
              </w:rPr>
            </w:pPr>
            <w:r w:rsidRPr="009E7D16">
              <w:rPr>
                <w:noProof/>
                <w:sz w:val="20"/>
              </w:rPr>
              <w:t>0,000</w:t>
            </w:r>
          </w:p>
        </w:tc>
        <w:tc>
          <w:tcPr>
            <w:tcW w:w="555" w:type="pct"/>
            <w:shd w:val="clear" w:color="auto" w:fill="D9D9D9" w:themeFill="background1" w:themeFillShade="D9"/>
            <w:vAlign w:val="center"/>
          </w:tcPr>
          <w:p w:rsidR="00D613E7" w:rsidRPr="009E7D16" w:rsidRDefault="00D613E7" w:rsidP="00D613E7">
            <w:pPr>
              <w:spacing w:before="0" w:after="0"/>
              <w:jc w:val="right"/>
              <w:rPr>
                <w:noProof/>
                <w:sz w:val="20"/>
                <w:szCs w:val="20"/>
              </w:rPr>
            </w:pPr>
            <w:r w:rsidRPr="009E7D16">
              <w:rPr>
                <w:noProof/>
                <w:sz w:val="20"/>
              </w:rPr>
              <w:t>0,000</w:t>
            </w:r>
          </w:p>
        </w:tc>
        <w:tc>
          <w:tcPr>
            <w:tcW w:w="573" w:type="pct"/>
            <w:gridSpan w:val="2"/>
            <w:shd w:val="clear" w:color="auto" w:fill="D9D9D9" w:themeFill="background1" w:themeFillShade="D9"/>
            <w:vAlign w:val="center"/>
          </w:tcPr>
          <w:p w:rsidR="00D613E7" w:rsidRPr="009E7D16" w:rsidRDefault="00D613E7" w:rsidP="00D613E7">
            <w:pPr>
              <w:spacing w:before="0" w:after="0"/>
              <w:jc w:val="right"/>
              <w:rPr>
                <w:noProof/>
                <w:sz w:val="20"/>
                <w:szCs w:val="20"/>
              </w:rPr>
            </w:pPr>
            <w:r w:rsidRPr="009E7D16">
              <w:rPr>
                <w:noProof/>
                <w:sz w:val="20"/>
              </w:rPr>
              <w:t>0,000</w:t>
            </w:r>
          </w:p>
        </w:tc>
        <w:tc>
          <w:tcPr>
            <w:tcW w:w="435" w:type="pct"/>
            <w:shd w:val="clear" w:color="auto" w:fill="D9D9D9" w:themeFill="background1" w:themeFillShade="D9"/>
            <w:vAlign w:val="center"/>
            <w:hideMark/>
          </w:tcPr>
          <w:p w:rsidR="00D613E7" w:rsidRPr="009E7D16" w:rsidRDefault="00D613E7" w:rsidP="00D613E7">
            <w:pPr>
              <w:spacing w:before="0" w:after="0"/>
              <w:jc w:val="right"/>
              <w:rPr>
                <w:noProof/>
                <w:sz w:val="20"/>
                <w:szCs w:val="20"/>
              </w:rPr>
            </w:pPr>
            <w:r w:rsidRPr="009E7D16">
              <w:rPr>
                <w:noProof/>
                <w:sz w:val="20"/>
              </w:rPr>
              <w:t>0,000</w:t>
            </w:r>
          </w:p>
        </w:tc>
        <w:tc>
          <w:tcPr>
            <w:tcW w:w="315" w:type="pct"/>
            <w:shd w:val="clear" w:color="auto" w:fill="D9D9D9" w:themeFill="background1" w:themeFillShade="D9"/>
            <w:vAlign w:val="center"/>
          </w:tcPr>
          <w:p w:rsidR="00D613E7" w:rsidRPr="009E7D16" w:rsidRDefault="00D613E7" w:rsidP="00D613E7">
            <w:pPr>
              <w:spacing w:before="0" w:after="0"/>
              <w:jc w:val="right"/>
              <w:rPr>
                <w:noProof/>
                <w:sz w:val="20"/>
                <w:szCs w:val="20"/>
              </w:rPr>
            </w:pPr>
            <w:r w:rsidRPr="009E7D16">
              <w:rPr>
                <w:noProof/>
                <w:sz w:val="20"/>
              </w:rPr>
              <w:t>0,000</w:t>
            </w:r>
          </w:p>
        </w:tc>
        <w:tc>
          <w:tcPr>
            <w:tcW w:w="289" w:type="pct"/>
            <w:shd w:val="clear" w:color="auto" w:fill="D9D9D9" w:themeFill="background1" w:themeFillShade="D9"/>
            <w:vAlign w:val="center"/>
          </w:tcPr>
          <w:p w:rsidR="00D613E7" w:rsidRPr="009E7D16" w:rsidRDefault="00D613E7" w:rsidP="00D613E7">
            <w:pPr>
              <w:spacing w:before="0" w:after="0"/>
              <w:jc w:val="right"/>
              <w:rPr>
                <w:noProof/>
                <w:sz w:val="20"/>
                <w:szCs w:val="20"/>
              </w:rPr>
            </w:pPr>
            <w:r w:rsidRPr="009E7D16">
              <w:rPr>
                <w:noProof/>
                <w:sz w:val="20"/>
              </w:rPr>
              <w:t>0,000</w:t>
            </w:r>
          </w:p>
        </w:tc>
        <w:tc>
          <w:tcPr>
            <w:tcW w:w="289" w:type="pct"/>
            <w:shd w:val="clear" w:color="auto" w:fill="D9D9D9" w:themeFill="background1" w:themeFillShade="D9"/>
            <w:vAlign w:val="center"/>
          </w:tcPr>
          <w:p w:rsidR="00D613E7" w:rsidRPr="009E7D16" w:rsidRDefault="00D613E7" w:rsidP="00D613E7">
            <w:pPr>
              <w:spacing w:before="0" w:after="0"/>
              <w:jc w:val="right"/>
              <w:rPr>
                <w:noProof/>
                <w:sz w:val="20"/>
                <w:szCs w:val="20"/>
              </w:rPr>
            </w:pPr>
            <w:r w:rsidRPr="009E7D16">
              <w:rPr>
                <w:noProof/>
                <w:sz w:val="20"/>
              </w:rPr>
              <w:t>0,000</w:t>
            </w:r>
          </w:p>
        </w:tc>
        <w:tc>
          <w:tcPr>
            <w:tcW w:w="555" w:type="pct"/>
            <w:shd w:val="clear" w:color="auto" w:fill="D9D9D9" w:themeFill="background1" w:themeFillShade="D9"/>
            <w:vAlign w:val="center"/>
            <w:hideMark/>
          </w:tcPr>
          <w:p w:rsidR="00D613E7" w:rsidRPr="009E7D16" w:rsidRDefault="00D613E7" w:rsidP="00D613E7">
            <w:pPr>
              <w:spacing w:before="0" w:after="0"/>
              <w:jc w:val="right"/>
              <w:rPr>
                <w:b/>
                <w:bCs/>
                <w:noProof/>
                <w:sz w:val="20"/>
                <w:szCs w:val="20"/>
              </w:rPr>
            </w:pPr>
            <w:r w:rsidRPr="009E7D16">
              <w:rPr>
                <w:noProof/>
                <w:sz w:val="20"/>
              </w:rPr>
              <w:t>0,000</w:t>
            </w:r>
          </w:p>
        </w:tc>
      </w:tr>
      <w:tr w:rsidR="00D613E7" w:rsidRPr="009E7D16" w:rsidTr="00774994">
        <w:tblPrEx>
          <w:tblLook w:val="04A0" w:firstRow="1" w:lastRow="0" w:firstColumn="1" w:lastColumn="0" w:noHBand="0" w:noVBand="1"/>
        </w:tblPrEx>
        <w:trPr>
          <w:trHeight w:val="564"/>
          <w:jc w:val="center"/>
        </w:trPr>
        <w:tc>
          <w:tcPr>
            <w:tcW w:w="864" w:type="pct"/>
            <w:shd w:val="clear" w:color="auto" w:fill="F1F1F1"/>
            <w:vAlign w:val="center"/>
            <w:hideMark/>
          </w:tcPr>
          <w:p w:rsidR="00D613E7" w:rsidRPr="009E7D16" w:rsidRDefault="00D613E7" w:rsidP="00D613E7">
            <w:pPr>
              <w:spacing w:before="0" w:after="0"/>
              <w:jc w:val="center"/>
              <w:rPr>
                <w:b/>
                <w:bCs/>
                <w:noProof/>
                <w:sz w:val="22"/>
              </w:rPr>
            </w:pPr>
            <w:r w:rsidRPr="009E7D16">
              <w:rPr>
                <w:b/>
                <w:noProof/>
                <w:sz w:val="22"/>
              </w:rPr>
              <w:t>TOTAL des crédits pour la RUBRIQUE &lt;0&gt;</w:t>
            </w:r>
          </w:p>
        </w:tc>
        <w:tc>
          <w:tcPr>
            <w:tcW w:w="348" w:type="pct"/>
            <w:vAlign w:val="center"/>
            <w:hideMark/>
          </w:tcPr>
          <w:p w:rsidR="00D613E7" w:rsidRPr="009E7D16" w:rsidRDefault="00D613E7" w:rsidP="00D613E7">
            <w:pPr>
              <w:spacing w:before="0" w:after="0"/>
              <w:rPr>
                <w:noProof/>
                <w:sz w:val="18"/>
                <w:szCs w:val="18"/>
              </w:rPr>
            </w:pPr>
            <w:r w:rsidRPr="009E7D16">
              <w:rPr>
                <w:noProof/>
                <w:sz w:val="18"/>
              </w:rPr>
              <w:t>Engagements</w:t>
            </w:r>
          </w:p>
        </w:tc>
        <w:tc>
          <w:tcPr>
            <w:tcW w:w="249" w:type="pct"/>
            <w:gridSpan w:val="2"/>
            <w:vAlign w:val="center"/>
            <w:hideMark/>
          </w:tcPr>
          <w:p w:rsidR="00D613E7" w:rsidRPr="009E7D16" w:rsidRDefault="00D613E7" w:rsidP="00D613E7">
            <w:pPr>
              <w:spacing w:before="0" w:after="0"/>
              <w:jc w:val="center"/>
              <w:rPr>
                <w:noProof/>
                <w:sz w:val="14"/>
                <w:szCs w:val="14"/>
              </w:rPr>
            </w:pPr>
            <w:r w:rsidRPr="009E7D16">
              <w:rPr>
                <w:noProof/>
                <w:sz w:val="14"/>
              </w:rPr>
              <w:t>=4+6</w:t>
            </w:r>
          </w:p>
        </w:tc>
        <w:tc>
          <w:tcPr>
            <w:tcW w:w="528"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4.300.000</w:t>
            </w:r>
          </w:p>
        </w:tc>
        <w:tc>
          <w:tcPr>
            <w:tcW w:w="555"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10.500.000</w:t>
            </w:r>
          </w:p>
        </w:tc>
        <w:tc>
          <w:tcPr>
            <w:tcW w:w="573" w:type="pct"/>
            <w:gridSpan w:val="2"/>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10.700.000</w:t>
            </w:r>
          </w:p>
        </w:tc>
        <w:tc>
          <w:tcPr>
            <w:tcW w:w="435" w:type="pct"/>
            <w:shd w:val="clear" w:color="auto" w:fill="D9D9D9" w:themeFill="background1" w:themeFillShade="D9"/>
            <w:vAlign w:val="center"/>
            <w:hideMark/>
          </w:tcPr>
          <w:p w:rsidR="00D613E7" w:rsidRPr="009E7D16" w:rsidRDefault="00D613E7" w:rsidP="00D613E7">
            <w:pPr>
              <w:spacing w:before="0" w:after="0"/>
              <w:jc w:val="right"/>
              <w:rPr>
                <w:b/>
                <w:bCs/>
                <w:noProof/>
                <w:sz w:val="20"/>
                <w:szCs w:val="20"/>
              </w:rPr>
            </w:pPr>
            <w:r w:rsidRPr="009E7D16">
              <w:rPr>
                <w:b/>
                <w:noProof/>
                <w:sz w:val="20"/>
              </w:rPr>
              <w:t>11.000.000</w:t>
            </w:r>
          </w:p>
        </w:tc>
        <w:tc>
          <w:tcPr>
            <w:tcW w:w="315"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555" w:type="pct"/>
            <w:shd w:val="clear" w:color="auto" w:fill="D9D9D9" w:themeFill="background1" w:themeFillShade="D9"/>
            <w:vAlign w:val="center"/>
            <w:hideMark/>
          </w:tcPr>
          <w:p w:rsidR="00D613E7" w:rsidRPr="009E7D16" w:rsidRDefault="00D613E7" w:rsidP="00D613E7">
            <w:pPr>
              <w:spacing w:before="0" w:after="0"/>
              <w:jc w:val="right"/>
              <w:rPr>
                <w:b/>
                <w:bCs/>
                <w:noProof/>
                <w:sz w:val="20"/>
                <w:szCs w:val="20"/>
              </w:rPr>
            </w:pPr>
            <w:r w:rsidRPr="009E7D16">
              <w:rPr>
                <w:b/>
                <w:noProof/>
                <w:sz w:val="20"/>
              </w:rPr>
              <w:t>36.500.000</w:t>
            </w:r>
          </w:p>
        </w:tc>
      </w:tr>
      <w:tr w:rsidR="00D613E7" w:rsidRPr="009E7D16" w:rsidTr="00774994">
        <w:tblPrEx>
          <w:tblLook w:val="04A0" w:firstRow="1" w:lastRow="0" w:firstColumn="1" w:lastColumn="0" w:noHBand="0" w:noVBand="1"/>
        </w:tblPrEx>
        <w:trPr>
          <w:trHeight w:val="528"/>
          <w:jc w:val="center"/>
        </w:trPr>
        <w:tc>
          <w:tcPr>
            <w:tcW w:w="864" w:type="pct"/>
            <w:shd w:val="clear" w:color="auto" w:fill="F1F1F1"/>
            <w:vAlign w:val="center"/>
            <w:hideMark/>
          </w:tcPr>
          <w:p w:rsidR="00D613E7" w:rsidRPr="009E7D16" w:rsidRDefault="00D613E7" w:rsidP="00D613E7">
            <w:pPr>
              <w:spacing w:before="0" w:after="0"/>
              <w:jc w:val="center"/>
              <w:rPr>
                <w:noProof/>
                <w:sz w:val="22"/>
              </w:rPr>
            </w:pPr>
            <w:r w:rsidRPr="009E7D16">
              <w:rPr>
                <w:noProof/>
                <w:sz w:val="22"/>
              </w:rPr>
              <w:t>du cadre financier pluriannuel</w:t>
            </w:r>
          </w:p>
        </w:tc>
        <w:tc>
          <w:tcPr>
            <w:tcW w:w="348" w:type="pct"/>
            <w:vAlign w:val="center"/>
            <w:hideMark/>
          </w:tcPr>
          <w:p w:rsidR="00D613E7" w:rsidRPr="009E7D16" w:rsidRDefault="00D613E7" w:rsidP="00D613E7">
            <w:pPr>
              <w:spacing w:before="0" w:after="0"/>
              <w:rPr>
                <w:noProof/>
                <w:sz w:val="18"/>
                <w:szCs w:val="18"/>
              </w:rPr>
            </w:pPr>
            <w:r w:rsidRPr="009E7D16">
              <w:rPr>
                <w:noProof/>
                <w:sz w:val="18"/>
              </w:rPr>
              <w:t>Paiements</w:t>
            </w:r>
          </w:p>
        </w:tc>
        <w:tc>
          <w:tcPr>
            <w:tcW w:w="249" w:type="pct"/>
            <w:gridSpan w:val="2"/>
            <w:vAlign w:val="center"/>
            <w:hideMark/>
          </w:tcPr>
          <w:p w:rsidR="00D613E7" w:rsidRPr="009E7D16" w:rsidRDefault="00D613E7" w:rsidP="00D613E7">
            <w:pPr>
              <w:spacing w:before="0" w:after="0"/>
              <w:jc w:val="center"/>
              <w:rPr>
                <w:noProof/>
                <w:sz w:val="14"/>
                <w:szCs w:val="14"/>
              </w:rPr>
            </w:pPr>
            <w:r w:rsidRPr="009E7D16">
              <w:rPr>
                <w:noProof/>
                <w:sz w:val="14"/>
              </w:rPr>
              <w:t>=5+6</w:t>
            </w:r>
          </w:p>
        </w:tc>
        <w:tc>
          <w:tcPr>
            <w:tcW w:w="528"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4.300.000</w:t>
            </w:r>
          </w:p>
        </w:tc>
        <w:tc>
          <w:tcPr>
            <w:tcW w:w="555"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10.500.000</w:t>
            </w:r>
          </w:p>
        </w:tc>
        <w:tc>
          <w:tcPr>
            <w:tcW w:w="573" w:type="pct"/>
            <w:gridSpan w:val="2"/>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b/>
                <w:noProof/>
                <w:sz w:val="20"/>
              </w:rPr>
              <w:t>10.700.000</w:t>
            </w:r>
          </w:p>
        </w:tc>
        <w:tc>
          <w:tcPr>
            <w:tcW w:w="435" w:type="pct"/>
            <w:shd w:val="clear" w:color="auto" w:fill="D9D9D9" w:themeFill="background1" w:themeFillShade="D9"/>
            <w:vAlign w:val="center"/>
            <w:hideMark/>
          </w:tcPr>
          <w:p w:rsidR="00D613E7" w:rsidRPr="009E7D16" w:rsidRDefault="00D613E7" w:rsidP="00D613E7">
            <w:pPr>
              <w:spacing w:before="0" w:after="0"/>
              <w:jc w:val="right"/>
              <w:rPr>
                <w:b/>
                <w:bCs/>
                <w:noProof/>
                <w:sz w:val="20"/>
                <w:szCs w:val="20"/>
              </w:rPr>
            </w:pPr>
            <w:r w:rsidRPr="009E7D16">
              <w:rPr>
                <w:b/>
                <w:noProof/>
                <w:sz w:val="20"/>
              </w:rPr>
              <w:t>11.000.000</w:t>
            </w:r>
          </w:p>
        </w:tc>
        <w:tc>
          <w:tcPr>
            <w:tcW w:w="315"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289" w:type="pct"/>
            <w:shd w:val="clear" w:color="auto" w:fill="D9D9D9" w:themeFill="background1" w:themeFillShade="D9"/>
            <w:vAlign w:val="center"/>
          </w:tcPr>
          <w:p w:rsidR="00D613E7" w:rsidRPr="009E7D16" w:rsidRDefault="00D613E7" w:rsidP="00D613E7">
            <w:pPr>
              <w:spacing w:before="0" w:after="0"/>
              <w:jc w:val="right"/>
              <w:rPr>
                <w:b/>
                <w:bCs/>
                <w:noProof/>
                <w:sz w:val="20"/>
                <w:szCs w:val="20"/>
              </w:rPr>
            </w:pPr>
            <w:r w:rsidRPr="009E7D16">
              <w:rPr>
                <w:noProof/>
                <w:sz w:val="20"/>
              </w:rPr>
              <w:t>0,000</w:t>
            </w:r>
          </w:p>
        </w:tc>
        <w:tc>
          <w:tcPr>
            <w:tcW w:w="555" w:type="pct"/>
            <w:shd w:val="clear" w:color="auto" w:fill="D9D9D9" w:themeFill="background1" w:themeFillShade="D9"/>
            <w:vAlign w:val="center"/>
            <w:hideMark/>
          </w:tcPr>
          <w:p w:rsidR="00D613E7" w:rsidRPr="009E7D16" w:rsidRDefault="00D613E7" w:rsidP="00D613E7">
            <w:pPr>
              <w:spacing w:before="0" w:after="0"/>
              <w:jc w:val="right"/>
              <w:rPr>
                <w:b/>
                <w:bCs/>
                <w:noProof/>
                <w:sz w:val="20"/>
                <w:szCs w:val="20"/>
              </w:rPr>
            </w:pPr>
            <w:r w:rsidRPr="009E7D16">
              <w:rPr>
                <w:b/>
                <w:noProof/>
                <w:sz w:val="20"/>
              </w:rPr>
              <w:t>36.500.000</w:t>
            </w:r>
          </w:p>
        </w:tc>
      </w:tr>
    </w:tbl>
    <w:p w:rsidR="009E6311" w:rsidRPr="009E7D16" w:rsidRDefault="009E6311">
      <w:pPr>
        <w:pStyle w:val="ManualHeading3"/>
        <w:rPr>
          <w:noProof/>
        </w:rPr>
      </w:pPr>
      <w:bookmarkStart w:id="148" w:name="_Toc160804596"/>
      <w:bookmarkStart w:id="149" w:name="_Toc167220288"/>
      <w:bookmarkStart w:id="150" w:name="_Toc177549021"/>
    </w:p>
    <w:p w:rsidR="00DE314D" w:rsidRPr="009E7D16" w:rsidRDefault="00DE314D">
      <w:pPr>
        <w:pStyle w:val="ManualHeading3"/>
        <w:rPr>
          <w:noProof/>
        </w:rPr>
      </w:pPr>
      <w:r w:rsidRPr="009E7D16">
        <w:rPr>
          <w:noProof/>
        </w:rPr>
        <w:t>3.2.1.2.</w:t>
      </w:r>
      <w:r w:rsidRPr="009E7D16">
        <w:rPr>
          <w:noProof/>
        </w:rPr>
        <w:tab/>
        <w:t>Crédits issus de recettes affectées externes</w:t>
      </w:r>
      <w:bookmarkEnd w:id="148"/>
      <w:bookmarkEnd w:id="149"/>
      <w:bookmarkEnd w:id="150"/>
    </w:p>
    <w:p w:rsidR="00DE314D" w:rsidRPr="009E7D16" w:rsidRDefault="00DE314D" w:rsidP="009E6311">
      <w:pPr>
        <w:jc w:val="right"/>
        <w:rPr>
          <w:noProof/>
          <w:sz w:val="18"/>
          <w:szCs w:val="18"/>
        </w:rPr>
      </w:pPr>
      <w:r w:rsidRPr="009E7D16">
        <w:rPr>
          <w:noProof/>
          <w:sz w:val="18"/>
        </w:rPr>
        <w:t>En Mio EUR (à la 3</w:t>
      </w:r>
      <w:r w:rsidRPr="009E7D16">
        <w:rPr>
          <w:noProof/>
          <w:sz w:val="18"/>
          <w:vertAlign w:val="superscript"/>
        </w:rPr>
        <w:t>e</w:t>
      </w:r>
      <w:r w:rsidRPr="009E7D16">
        <w:rPr>
          <w:noProof/>
          <w:sz w:val="18"/>
        </w:rPr>
        <w:t xml:space="preserve"> décimale)</w:t>
      </w:r>
    </w:p>
    <w:tbl>
      <w:tblPr>
        <w:tblW w:w="5000" w:type="pct"/>
        <w:tblLook w:val="04A0" w:firstRow="1" w:lastRow="0" w:firstColumn="1" w:lastColumn="0" w:noHBand="0" w:noVBand="1"/>
      </w:tblPr>
      <w:tblGrid>
        <w:gridCol w:w="4035"/>
        <w:gridCol w:w="909"/>
        <w:gridCol w:w="594"/>
        <w:gridCol w:w="532"/>
        <w:gridCol w:w="879"/>
        <w:gridCol w:w="1411"/>
        <w:gridCol w:w="1411"/>
        <w:gridCol w:w="1402"/>
        <w:gridCol w:w="9"/>
        <w:gridCol w:w="1394"/>
        <w:gridCol w:w="1644"/>
      </w:tblGrid>
      <w:tr w:rsidR="00AC781E" w:rsidRPr="009E7D16" w:rsidTr="006C58F6">
        <w:trPr>
          <w:trHeight w:val="420"/>
        </w:trPr>
        <w:tc>
          <w:tcPr>
            <w:tcW w:w="2444" w:type="pct"/>
            <w:gridSpan w:val="5"/>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noProof/>
                <w:sz w:val="22"/>
              </w:rPr>
            </w:pPr>
            <w:r w:rsidRPr="009E7D16">
              <w:rPr>
                <w:noProof/>
                <w:sz w:val="22"/>
              </w:rPr>
              <w:t>DG: &lt;…….&gt;</w:t>
            </w:r>
          </w:p>
        </w:tc>
        <w:tc>
          <w:tcPr>
            <w:tcW w:w="496" w:type="pct"/>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96" w:type="pct"/>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78" w:type="pct"/>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TOTAL CFP 2021-2027</w:t>
            </w:r>
          </w:p>
        </w:tc>
      </w:tr>
      <w:tr w:rsidR="00AC781E" w:rsidRPr="009E7D16" w:rsidTr="006C58F6">
        <w:trPr>
          <w:trHeight w:val="288"/>
        </w:trPr>
        <w:tc>
          <w:tcPr>
            <w:tcW w:w="2444" w:type="pct"/>
            <w:gridSpan w:val="5"/>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2"/>
                <w:lang w:eastAsia="en-IE"/>
              </w:rPr>
            </w:pP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2024</w:t>
            </w: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2025</w:t>
            </w: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2026</w:t>
            </w:r>
          </w:p>
        </w:tc>
        <w:tc>
          <w:tcPr>
            <w:tcW w:w="478"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b/>
                <w:bCs/>
                <w:noProof/>
                <w:sz w:val="20"/>
                <w:szCs w:val="20"/>
                <w:lang w:eastAsia="en-IE"/>
              </w:rPr>
            </w:pPr>
          </w:p>
        </w:tc>
      </w:tr>
      <w:tr w:rsidR="00AC781E" w:rsidRPr="009E7D16" w:rsidTr="006C58F6">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1"/>
                <w:szCs w:val="21"/>
              </w:rPr>
            </w:pPr>
            <w:r w:rsidRPr="009E7D16">
              <w:rPr>
                <w:noProof/>
                <w:sz w:val="21"/>
              </w:rPr>
              <w:t xml:space="preserve">Crédits opérationnels </w:t>
            </w:r>
          </w:p>
        </w:tc>
      </w:tr>
      <w:tr w:rsidR="00AC781E" w:rsidRPr="009E7D16" w:rsidTr="006C58F6">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DE314D" w:rsidRPr="009E7D16" w:rsidRDefault="00DE314D">
            <w:pPr>
              <w:spacing w:before="0" w:after="0"/>
              <w:jc w:val="left"/>
              <w:rPr>
                <w:noProof/>
                <w:sz w:val="22"/>
              </w:rPr>
            </w:pPr>
            <w:r w:rsidRPr="009E7D16">
              <w:rPr>
                <w:noProof/>
                <w:sz w:val="22"/>
              </w:rPr>
              <w:t>Ligne budgétaire</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(1a)</w:t>
            </w: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(2a)</w:t>
            </w: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rPr>
                <w:noProof/>
                <w:sz w:val="20"/>
                <w:szCs w:val="20"/>
              </w:rPr>
            </w:pPr>
            <w:r w:rsidRPr="009E7D16">
              <w:rPr>
                <w:noProof/>
                <w:sz w:val="20"/>
              </w:rPr>
              <w:t>Ligne budgétaire</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(1b)</w:t>
            </w: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(2b)</w:t>
            </w: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288"/>
        </w:trPr>
        <w:tc>
          <w:tcPr>
            <w:tcW w:w="5000" w:type="pct"/>
            <w:gridSpan w:val="11"/>
            <w:tcBorders>
              <w:top w:val="single" w:sz="8" w:space="0" w:color="auto"/>
              <w:left w:val="single" w:sz="8" w:space="0" w:color="auto"/>
              <w:bottom w:val="single" w:sz="8" w:space="0" w:color="auto"/>
              <w:right w:val="single" w:sz="8" w:space="0" w:color="auto"/>
            </w:tcBorders>
            <w:noWrap/>
            <w:vAlign w:val="bottom"/>
            <w:hideMark/>
          </w:tcPr>
          <w:p w:rsidR="00DE314D" w:rsidRPr="009E7D16" w:rsidRDefault="00DE314D">
            <w:pPr>
              <w:spacing w:before="0" w:after="0"/>
              <w:jc w:val="left"/>
              <w:rPr>
                <w:noProof/>
                <w:sz w:val="22"/>
              </w:rPr>
            </w:pPr>
            <w:r w:rsidRPr="009E7D16">
              <w:rPr>
                <w:noProof/>
                <w:sz w:val="22"/>
              </w:rPr>
              <w:t>Crédits de nature administrative financés par l’enveloppe de certains programmes spécifiques</w:t>
            </w:r>
            <w:r w:rsidRPr="009E7D16">
              <w:rPr>
                <w:noProof/>
              </w:rPr>
              <w:t xml:space="preserve"> </w:t>
            </w:r>
          </w:p>
        </w:tc>
      </w:tr>
      <w:tr w:rsidR="00AC781E" w:rsidRPr="009E7D16" w:rsidTr="006C58F6">
        <w:trPr>
          <w:trHeight w:val="288"/>
        </w:trPr>
        <w:tc>
          <w:tcPr>
            <w:tcW w:w="1419" w:type="pc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rPr>
                <w:noProof/>
                <w:sz w:val="20"/>
                <w:szCs w:val="20"/>
              </w:rPr>
            </w:pPr>
            <w:r w:rsidRPr="009E7D16">
              <w:rPr>
                <w:noProof/>
                <w:sz w:val="20"/>
              </w:rPr>
              <w:t>Ligne budgétaire</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18"/>
                <w:szCs w:val="18"/>
                <w:lang w:eastAsia="en-IE"/>
              </w:rPr>
            </w:pP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(3)</w:t>
            </w: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288"/>
        </w:trPr>
        <w:tc>
          <w:tcPr>
            <w:tcW w:w="1419" w:type="pct"/>
            <w:vMerge w:val="restart"/>
            <w:tcBorders>
              <w:top w:val="nil"/>
              <w:left w:val="single" w:sz="8" w:space="0" w:color="auto"/>
              <w:right w:val="single" w:sz="8" w:space="0" w:color="auto"/>
            </w:tcBorders>
            <w:vAlign w:val="center"/>
            <w:hideMark/>
          </w:tcPr>
          <w:p w:rsidR="00DE314D" w:rsidRPr="009E7D16" w:rsidRDefault="00DE314D">
            <w:pPr>
              <w:spacing w:before="0" w:after="0"/>
              <w:jc w:val="center"/>
              <w:rPr>
                <w:b/>
                <w:bCs/>
                <w:noProof/>
                <w:sz w:val="22"/>
              </w:rPr>
            </w:pPr>
            <w:r w:rsidRPr="009E7D16">
              <w:rPr>
                <w:b/>
                <w:noProof/>
                <w:sz w:val="22"/>
              </w:rPr>
              <w:t>TOTAL des crédits</w:t>
            </w:r>
          </w:p>
          <w:p w:rsidR="00DE314D" w:rsidRPr="009E7D16" w:rsidRDefault="00DE314D">
            <w:pPr>
              <w:spacing w:before="0" w:after="0"/>
              <w:jc w:val="center"/>
              <w:rPr>
                <w:b/>
                <w:bCs/>
                <w:noProof/>
                <w:sz w:val="22"/>
              </w:rPr>
            </w:pPr>
            <w:r w:rsidRPr="009E7D16">
              <w:rPr>
                <w:b/>
                <w:noProof/>
                <w:sz w:val="22"/>
              </w:rPr>
              <w:t xml:space="preserve">pour la DG </w:t>
            </w:r>
            <w:r w:rsidRPr="009E7D16">
              <w:rPr>
                <w:noProof/>
                <w:sz w:val="22"/>
              </w:rPr>
              <w:t>&lt;…….&gt;</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=1a+1b+3</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78"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590"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288"/>
        </w:trPr>
        <w:tc>
          <w:tcPr>
            <w:tcW w:w="1419" w:type="pct"/>
            <w:vMerge/>
            <w:tcBorders>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=2a+2b+3</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78"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590"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420"/>
        </w:trPr>
        <w:tc>
          <w:tcPr>
            <w:tcW w:w="2444" w:type="pct"/>
            <w:gridSpan w:val="5"/>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noProof/>
                <w:sz w:val="22"/>
              </w:rPr>
            </w:pPr>
            <w:r w:rsidRPr="009E7D16">
              <w:rPr>
                <w:noProof/>
                <w:sz w:val="22"/>
              </w:rPr>
              <w:t>DG: &lt;…….&gt;</w:t>
            </w:r>
          </w:p>
        </w:tc>
        <w:tc>
          <w:tcPr>
            <w:tcW w:w="496" w:type="pct"/>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96" w:type="pct"/>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78" w:type="pct"/>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TOTAL CFP 2021-2027</w:t>
            </w:r>
          </w:p>
        </w:tc>
      </w:tr>
      <w:tr w:rsidR="00AC781E" w:rsidRPr="009E7D16" w:rsidTr="006C58F6">
        <w:trPr>
          <w:trHeight w:val="288"/>
        </w:trPr>
        <w:tc>
          <w:tcPr>
            <w:tcW w:w="2444" w:type="pct"/>
            <w:gridSpan w:val="5"/>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2"/>
                <w:lang w:eastAsia="en-IE"/>
              </w:rPr>
            </w:pP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2024</w:t>
            </w: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2025</w:t>
            </w: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2026</w:t>
            </w:r>
          </w:p>
        </w:tc>
        <w:tc>
          <w:tcPr>
            <w:tcW w:w="478"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b/>
                <w:bCs/>
                <w:noProof/>
                <w:sz w:val="20"/>
                <w:szCs w:val="20"/>
                <w:lang w:eastAsia="en-IE"/>
              </w:rPr>
            </w:pPr>
          </w:p>
        </w:tc>
      </w:tr>
      <w:tr w:rsidR="00AC781E" w:rsidRPr="009E7D16" w:rsidTr="006C58F6">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1"/>
                <w:szCs w:val="21"/>
              </w:rPr>
            </w:pPr>
            <w:r w:rsidRPr="009E7D16">
              <w:rPr>
                <w:noProof/>
                <w:sz w:val="21"/>
              </w:rPr>
              <w:t xml:space="preserve">Crédits opérationnels </w:t>
            </w:r>
          </w:p>
        </w:tc>
      </w:tr>
      <w:tr w:rsidR="00AC781E" w:rsidRPr="009E7D16" w:rsidTr="006C58F6">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DE314D" w:rsidRPr="009E7D16" w:rsidRDefault="00DE314D">
            <w:pPr>
              <w:spacing w:before="0" w:after="0"/>
              <w:jc w:val="left"/>
              <w:rPr>
                <w:noProof/>
                <w:sz w:val="22"/>
              </w:rPr>
            </w:pPr>
            <w:r w:rsidRPr="009E7D16">
              <w:rPr>
                <w:noProof/>
                <w:sz w:val="22"/>
              </w:rPr>
              <w:t>Ligne budgétaire</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(1a)</w:t>
            </w: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(2a)</w:t>
            </w: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rPr>
                <w:noProof/>
                <w:sz w:val="20"/>
                <w:szCs w:val="20"/>
              </w:rPr>
            </w:pPr>
            <w:r w:rsidRPr="009E7D16">
              <w:rPr>
                <w:noProof/>
                <w:sz w:val="20"/>
              </w:rPr>
              <w:t>Ligne budgétaire</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(1b)</w:t>
            </w: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(2b)</w:t>
            </w: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288"/>
        </w:trPr>
        <w:tc>
          <w:tcPr>
            <w:tcW w:w="5000" w:type="pct"/>
            <w:gridSpan w:val="11"/>
            <w:tcBorders>
              <w:top w:val="single" w:sz="8" w:space="0" w:color="auto"/>
              <w:left w:val="single" w:sz="8" w:space="0" w:color="auto"/>
              <w:bottom w:val="single" w:sz="8" w:space="0" w:color="auto"/>
              <w:right w:val="single" w:sz="8" w:space="0" w:color="auto"/>
            </w:tcBorders>
            <w:noWrap/>
            <w:vAlign w:val="bottom"/>
            <w:hideMark/>
          </w:tcPr>
          <w:p w:rsidR="00DE314D" w:rsidRPr="009E7D16" w:rsidRDefault="00DE314D">
            <w:pPr>
              <w:spacing w:before="0" w:after="0"/>
              <w:jc w:val="left"/>
              <w:rPr>
                <w:noProof/>
                <w:sz w:val="22"/>
              </w:rPr>
            </w:pPr>
            <w:r w:rsidRPr="009E7D16">
              <w:rPr>
                <w:noProof/>
                <w:sz w:val="22"/>
              </w:rPr>
              <w:t>Crédits de nature administrative financés par l’enveloppe de certains programmes spécifiques</w:t>
            </w:r>
            <w:r w:rsidRPr="009E7D16">
              <w:rPr>
                <w:noProof/>
              </w:rPr>
              <w:t xml:space="preserve"> </w:t>
            </w:r>
          </w:p>
        </w:tc>
      </w:tr>
      <w:tr w:rsidR="00AC781E" w:rsidRPr="009E7D16" w:rsidTr="006C58F6">
        <w:trPr>
          <w:trHeight w:val="288"/>
        </w:trPr>
        <w:tc>
          <w:tcPr>
            <w:tcW w:w="1419" w:type="pc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rPr>
                <w:noProof/>
                <w:sz w:val="20"/>
                <w:szCs w:val="20"/>
              </w:rPr>
            </w:pPr>
            <w:r w:rsidRPr="009E7D16">
              <w:rPr>
                <w:noProof/>
                <w:sz w:val="20"/>
              </w:rPr>
              <w:t>Ligne budgétaire</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18"/>
                <w:szCs w:val="18"/>
                <w:lang w:eastAsia="en-IE"/>
              </w:rPr>
            </w:pP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(3)</w:t>
            </w: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496"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478" w:type="pct"/>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288"/>
        </w:trPr>
        <w:tc>
          <w:tcPr>
            <w:tcW w:w="1419" w:type="pct"/>
            <w:vMerge w:val="restart"/>
            <w:tcBorders>
              <w:top w:val="nil"/>
              <w:left w:val="single" w:sz="8" w:space="0" w:color="auto"/>
              <w:right w:val="single" w:sz="8" w:space="0" w:color="auto"/>
            </w:tcBorders>
            <w:vAlign w:val="center"/>
            <w:hideMark/>
          </w:tcPr>
          <w:p w:rsidR="00DE314D" w:rsidRPr="009E7D16" w:rsidRDefault="00DE314D">
            <w:pPr>
              <w:spacing w:before="0" w:after="0"/>
              <w:jc w:val="center"/>
              <w:rPr>
                <w:b/>
                <w:bCs/>
                <w:noProof/>
                <w:sz w:val="22"/>
              </w:rPr>
            </w:pPr>
            <w:r w:rsidRPr="009E7D16">
              <w:rPr>
                <w:b/>
                <w:noProof/>
                <w:sz w:val="22"/>
              </w:rPr>
              <w:t>TOTAL des crédits</w:t>
            </w:r>
          </w:p>
          <w:p w:rsidR="00DE314D" w:rsidRPr="009E7D16" w:rsidRDefault="00DE314D">
            <w:pPr>
              <w:spacing w:before="0" w:after="0"/>
              <w:jc w:val="center"/>
              <w:rPr>
                <w:b/>
                <w:bCs/>
                <w:noProof/>
                <w:sz w:val="22"/>
              </w:rPr>
            </w:pPr>
            <w:r w:rsidRPr="009E7D16">
              <w:rPr>
                <w:b/>
                <w:noProof/>
                <w:sz w:val="22"/>
              </w:rPr>
              <w:t xml:space="preserve">pour la DG </w:t>
            </w:r>
            <w:r w:rsidRPr="009E7D16">
              <w:rPr>
                <w:noProof/>
                <w:sz w:val="22"/>
              </w:rPr>
              <w:t>&lt;…….&gt;</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=1a+1b+3</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78"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590"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288"/>
        </w:trPr>
        <w:tc>
          <w:tcPr>
            <w:tcW w:w="1419" w:type="pct"/>
            <w:vMerge/>
            <w:tcBorders>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=2a+2b+3</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78"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590"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00"/>
        </w:trPr>
        <w:tc>
          <w:tcPr>
            <w:tcW w:w="2432" w:type="pct"/>
            <w:gridSpan w:val="5"/>
            <w:vMerge w:val="restart"/>
            <w:tcBorders>
              <w:top w:val="single" w:sz="8" w:space="0" w:color="auto"/>
              <w:left w:val="single" w:sz="8" w:space="0" w:color="auto"/>
              <w:bottom w:val="single" w:sz="8" w:space="0" w:color="000000"/>
              <w:right w:val="single" w:sz="8" w:space="0" w:color="000000"/>
            </w:tcBorders>
            <w:vAlign w:val="center"/>
            <w:hideMark/>
          </w:tcPr>
          <w:p w:rsidR="00DE314D" w:rsidRPr="009E7D16" w:rsidRDefault="00DE314D">
            <w:pPr>
              <w:spacing w:before="0" w:after="0"/>
              <w:jc w:val="center"/>
              <w:rPr>
                <w:b/>
                <w:bCs/>
                <w:noProof/>
                <w:sz w:val="22"/>
                <w:lang w:eastAsia="en-IE"/>
              </w:rPr>
            </w:pPr>
          </w:p>
        </w:tc>
        <w:tc>
          <w:tcPr>
            <w:tcW w:w="493" w:type="pct"/>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93" w:type="pct"/>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93" w:type="pct"/>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TOTAL CFP 2021-2027</w:t>
            </w:r>
          </w:p>
        </w:tc>
      </w:tr>
      <w:tr w:rsidR="00AC781E" w:rsidRPr="009E7D16" w:rsidTr="006C58F6">
        <w:trPr>
          <w:trHeight w:val="300"/>
        </w:trPr>
        <w:tc>
          <w:tcPr>
            <w:tcW w:w="2432" w:type="pct"/>
            <w:gridSpan w:val="5"/>
            <w:vMerge/>
            <w:tcBorders>
              <w:top w:val="single" w:sz="8" w:space="0" w:color="auto"/>
              <w:left w:val="single" w:sz="8" w:space="0" w:color="auto"/>
              <w:bottom w:val="single" w:sz="8" w:space="0" w:color="000000"/>
              <w:right w:val="single" w:sz="8" w:space="0" w:color="000000"/>
            </w:tcBorders>
            <w:vAlign w:val="center"/>
            <w:hideMark/>
          </w:tcPr>
          <w:p w:rsidR="00DE314D" w:rsidRPr="009E7D16" w:rsidRDefault="00DE314D">
            <w:pPr>
              <w:spacing w:before="0" w:after="0"/>
              <w:jc w:val="left"/>
              <w:rPr>
                <w:b/>
                <w:bCs/>
                <w:noProof/>
                <w:sz w:val="22"/>
                <w:lang w:eastAsia="en-IE"/>
              </w:rPr>
            </w:pPr>
          </w:p>
        </w:tc>
        <w:tc>
          <w:tcPr>
            <w:tcW w:w="493"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2024</w:t>
            </w:r>
          </w:p>
        </w:tc>
        <w:tc>
          <w:tcPr>
            <w:tcW w:w="493"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2025</w:t>
            </w:r>
          </w:p>
        </w:tc>
        <w:tc>
          <w:tcPr>
            <w:tcW w:w="493"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2026</w:t>
            </w:r>
          </w:p>
        </w:tc>
        <w:tc>
          <w:tcPr>
            <w:tcW w:w="493"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b/>
                <w:bCs/>
                <w:noProof/>
                <w:sz w:val="20"/>
                <w:szCs w:val="20"/>
                <w:lang w:eastAsia="en-IE"/>
              </w:rPr>
            </w:pPr>
          </w:p>
        </w:tc>
      </w:tr>
      <w:tr w:rsidR="00AC781E" w:rsidRPr="009E7D16" w:rsidTr="006C58F6">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rPr>
                <w:noProof/>
                <w:sz w:val="21"/>
                <w:szCs w:val="21"/>
              </w:rPr>
            </w:pPr>
            <w:r w:rsidRPr="009E7D16">
              <w:rPr>
                <w:noProof/>
                <w:sz w:val="21"/>
              </w:rPr>
              <w:t xml:space="preserve">TOTAL des crédits opérationnels </w:t>
            </w:r>
            <w:r w:rsidRPr="009E7D16">
              <w:rPr>
                <w:noProof/>
              </w:rPr>
              <w:t xml:space="preserve"> </w:t>
            </w:r>
            <w:r w:rsidRPr="009E7D16">
              <w:rPr>
                <w:noProof/>
              </w:rPr>
              <w:br/>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(4)</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456"/>
        </w:trPr>
        <w:tc>
          <w:tcPr>
            <w:tcW w:w="1411" w:type="pct"/>
            <w:vMerge/>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(5)</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rPr>
                <w:noProof/>
                <w:sz w:val="21"/>
                <w:szCs w:val="21"/>
              </w:rPr>
            </w:pPr>
            <w:r w:rsidRPr="009E7D16">
              <w:rPr>
                <w:noProof/>
                <w:sz w:val="21"/>
              </w:rPr>
              <w:t xml:space="preserve">TOTAL des crédits de nature administrative financés par l’enveloppe de certains programmes spécifiques </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(6)</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DE314D" w:rsidRPr="009E7D16" w:rsidRDefault="00DE314D">
            <w:pPr>
              <w:spacing w:before="0" w:after="0"/>
              <w:jc w:val="center"/>
              <w:rPr>
                <w:b/>
                <w:bCs/>
                <w:noProof/>
                <w:sz w:val="22"/>
              </w:rPr>
            </w:pPr>
            <w:r w:rsidRPr="009E7D16">
              <w:rPr>
                <w:b/>
                <w:noProof/>
                <w:sz w:val="22"/>
              </w:rPr>
              <w:t>TOTAL des crédits pour la RUBRIQUE &lt;….&gt;</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=4+6</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DE314D" w:rsidRPr="009E7D16" w:rsidRDefault="00DE314D">
            <w:pPr>
              <w:spacing w:before="0" w:after="0"/>
              <w:jc w:val="center"/>
              <w:rPr>
                <w:noProof/>
                <w:sz w:val="22"/>
              </w:rPr>
            </w:pPr>
            <w:r w:rsidRPr="009E7D16">
              <w:rPr>
                <w:noProof/>
                <w:sz w:val="22"/>
              </w:rPr>
              <w:t>du cadre financier pluriannuel</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=5+6</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2"/>
            <w:shd w:val="thinDiagStripe" w:color="C0C0C0" w:fill="auto"/>
            <w:vAlign w:val="center"/>
          </w:tcPr>
          <w:p w:rsidR="00DE314D" w:rsidRPr="009E7D16" w:rsidRDefault="00DE314D">
            <w:pPr>
              <w:spacing w:before="60" w:after="60"/>
              <w:jc w:val="center"/>
              <w:rPr>
                <w:b/>
                <w:noProof/>
              </w:rPr>
            </w:pPr>
            <w:r w:rsidRPr="009E7D16">
              <w:rPr>
                <w:b/>
                <w:noProof/>
                <w:sz w:val="22"/>
              </w:rPr>
              <w:t xml:space="preserve">Rubrique du cadre financier pluriannuel </w:t>
            </w:r>
          </w:p>
        </w:tc>
        <w:tc>
          <w:tcPr>
            <w:tcW w:w="396" w:type="pct"/>
            <w:gridSpan w:val="2"/>
            <w:vAlign w:val="center"/>
          </w:tcPr>
          <w:p w:rsidR="00DE314D" w:rsidRPr="009E7D16" w:rsidRDefault="00DE314D">
            <w:pPr>
              <w:spacing w:before="60" w:after="60"/>
              <w:jc w:val="center"/>
              <w:rPr>
                <w:noProof/>
              </w:rPr>
            </w:pPr>
            <w:r w:rsidRPr="009E7D16">
              <w:rPr>
                <w:noProof/>
                <w:sz w:val="22"/>
              </w:rPr>
              <w:t>Numéro</w:t>
            </w:r>
          </w:p>
        </w:tc>
        <w:tc>
          <w:tcPr>
            <w:tcW w:w="2865" w:type="pct"/>
            <w:gridSpan w:val="7"/>
            <w:vAlign w:val="center"/>
          </w:tcPr>
          <w:p w:rsidR="00DE314D" w:rsidRPr="009E7D16" w:rsidRDefault="00DE314D">
            <w:pPr>
              <w:spacing w:before="60" w:after="60"/>
              <w:rPr>
                <w:noProof/>
              </w:rPr>
            </w:pPr>
          </w:p>
        </w:tc>
      </w:tr>
    </w:tbl>
    <w:p w:rsidR="00DE314D" w:rsidRPr="009E7D16" w:rsidRDefault="00DE314D">
      <w:pPr>
        <w:spacing w:before="0" w:after="200" w:line="276" w:lineRule="auto"/>
        <w:jc w:val="left"/>
        <w:rPr>
          <w:noProof/>
          <w:sz w:val="16"/>
        </w:rPr>
      </w:pPr>
    </w:p>
    <w:tbl>
      <w:tblPr>
        <w:tblW w:w="5000" w:type="pct"/>
        <w:tblLook w:val="04A0" w:firstRow="1" w:lastRow="0" w:firstColumn="1" w:lastColumn="0" w:noHBand="0" w:noVBand="1"/>
      </w:tblPr>
      <w:tblGrid>
        <w:gridCol w:w="4035"/>
        <w:gridCol w:w="292"/>
        <w:gridCol w:w="1212"/>
        <w:gridCol w:w="128"/>
        <w:gridCol w:w="1038"/>
        <w:gridCol w:w="245"/>
        <w:gridCol w:w="796"/>
        <w:gridCol w:w="614"/>
        <w:gridCol w:w="629"/>
        <w:gridCol w:w="782"/>
        <w:gridCol w:w="461"/>
        <w:gridCol w:w="941"/>
        <w:gridCol w:w="9"/>
        <w:gridCol w:w="293"/>
        <w:gridCol w:w="1101"/>
        <w:gridCol w:w="142"/>
        <w:gridCol w:w="1502"/>
      </w:tblGrid>
      <w:tr w:rsidR="00AC781E" w:rsidRPr="009E7D16" w:rsidTr="006C58F6">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noProof/>
                <w:sz w:val="22"/>
              </w:rPr>
            </w:pPr>
            <w:r w:rsidRPr="009E7D16">
              <w:rPr>
                <w:noProof/>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78"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TOTAL CFP 2021-2027</w:t>
            </w:r>
          </w:p>
        </w:tc>
      </w:tr>
      <w:tr w:rsidR="00AC781E" w:rsidRPr="009E7D16" w:rsidTr="006C58F6">
        <w:trPr>
          <w:trHeight w:val="288"/>
        </w:trPr>
        <w:tc>
          <w:tcPr>
            <w:tcW w:w="2444" w:type="pct"/>
            <w:gridSpan w:val="6"/>
            <w:vMerge/>
            <w:vAlign w:val="center"/>
            <w:hideMark/>
          </w:tcPr>
          <w:p w:rsidR="00DE314D" w:rsidRPr="009E7D16" w:rsidRDefault="00DE314D">
            <w:pPr>
              <w:spacing w:before="0" w:after="0"/>
              <w:jc w:val="left"/>
              <w:rPr>
                <w:noProof/>
                <w:sz w:val="22"/>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2024</w:t>
            </w: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2025</w:t>
            </w:r>
          </w:p>
        </w:tc>
        <w:tc>
          <w:tcPr>
            <w:tcW w:w="496" w:type="pct"/>
            <w:gridSpan w:val="3"/>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2026</w:t>
            </w:r>
          </w:p>
        </w:tc>
        <w:tc>
          <w:tcPr>
            <w:tcW w:w="478"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2027</w:t>
            </w:r>
          </w:p>
        </w:tc>
        <w:tc>
          <w:tcPr>
            <w:tcW w:w="590" w:type="pct"/>
            <w:gridSpan w:val="2"/>
            <w:vMerge/>
            <w:vAlign w:val="center"/>
            <w:hideMark/>
          </w:tcPr>
          <w:p w:rsidR="00DE314D" w:rsidRPr="009E7D16" w:rsidRDefault="00DE314D">
            <w:pPr>
              <w:spacing w:before="0" w:after="0"/>
              <w:jc w:val="left"/>
              <w:rPr>
                <w:b/>
                <w:bCs/>
                <w:noProof/>
                <w:sz w:val="20"/>
                <w:szCs w:val="20"/>
                <w:lang w:eastAsia="en-IE"/>
              </w:rPr>
            </w:pPr>
          </w:p>
        </w:tc>
      </w:tr>
      <w:tr w:rsidR="00AC781E" w:rsidRPr="009E7D16" w:rsidTr="006C58F6">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1"/>
                <w:szCs w:val="21"/>
              </w:rPr>
            </w:pPr>
            <w:r w:rsidRPr="009E7D16">
              <w:rPr>
                <w:noProof/>
                <w:sz w:val="21"/>
              </w:rPr>
              <w:t xml:space="preserve">Crédits opérationnels </w:t>
            </w:r>
          </w:p>
        </w:tc>
      </w:tr>
      <w:tr w:rsidR="00AC781E" w:rsidRPr="009E7D16" w:rsidTr="006C58F6">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DE314D" w:rsidRPr="009E7D16" w:rsidRDefault="00DE314D">
            <w:pPr>
              <w:spacing w:before="0" w:after="0"/>
              <w:jc w:val="left"/>
              <w:rPr>
                <w:noProof/>
                <w:sz w:val="22"/>
              </w:rPr>
            </w:pPr>
            <w:r w:rsidRPr="009E7D16">
              <w:rPr>
                <w:noProof/>
                <w:sz w:val="22"/>
              </w:rPr>
              <w:t>Ligne budgétaire</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(1a)</w:t>
            </w: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15"/>
        </w:trPr>
        <w:tc>
          <w:tcPr>
            <w:tcW w:w="1419" w:type="pct"/>
            <w:vMerge/>
            <w:vAlign w:val="center"/>
            <w:hideMark/>
          </w:tcPr>
          <w:p w:rsidR="00DE314D" w:rsidRPr="009E7D16" w:rsidRDefault="00DE314D">
            <w:pPr>
              <w:spacing w:before="0" w:after="0"/>
              <w:jc w:val="left"/>
              <w:rPr>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(2a)</w:t>
            </w: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rPr>
                <w:noProof/>
                <w:sz w:val="20"/>
                <w:szCs w:val="20"/>
              </w:rPr>
            </w:pPr>
            <w:r w:rsidRPr="009E7D16">
              <w:rPr>
                <w:noProof/>
                <w:sz w:val="20"/>
              </w:rPr>
              <w:t>Ligne budgétaire</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(1b)</w:t>
            </w: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15"/>
        </w:trPr>
        <w:tc>
          <w:tcPr>
            <w:tcW w:w="1419" w:type="pct"/>
            <w:vMerge/>
            <w:vAlign w:val="center"/>
            <w:hideMark/>
          </w:tcPr>
          <w:p w:rsidR="00DE314D" w:rsidRPr="009E7D16" w:rsidRDefault="00DE314D">
            <w:pPr>
              <w:spacing w:before="0" w:after="0"/>
              <w:jc w:val="left"/>
              <w:rPr>
                <w:noProof/>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(2b)</w:t>
            </w: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rsidR="00DE314D" w:rsidRPr="009E7D16" w:rsidRDefault="00DE314D">
            <w:pPr>
              <w:spacing w:before="0" w:after="0"/>
              <w:jc w:val="left"/>
              <w:rPr>
                <w:noProof/>
                <w:sz w:val="22"/>
              </w:rPr>
            </w:pPr>
            <w:r w:rsidRPr="009E7D16">
              <w:rPr>
                <w:noProof/>
                <w:sz w:val="22"/>
              </w:rPr>
              <w:t>Crédits de nature administrative financés par l’enveloppe de certains programmes spécifiques</w:t>
            </w:r>
            <w:r w:rsidRPr="009E7D16">
              <w:rPr>
                <w:noProof/>
              </w:rPr>
              <w:t xml:space="preserve"> </w:t>
            </w:r>
          </w:p>
        </w:tc>
      </w:tr>
      <w:tr w:rsidR="00AC781E" w:rsidRPr="009E7D16" w:rsidTr="006C58F6">
        <w:trPr>
          <w:trHeight w:val="288"/>
        </w:trPr>
        <w:tc>
          <w:tcPr>
            <w:tcW w:w="1419" w:type="pc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rPr>
                <w:noProof/>
                <w:sz w:val="20"/>
                <w:szCs w:val="20"/>
              </w:rPr>
            </w:pPr>
            <w:r w:rsidRPr="009E7D16">
              <w:rPr>
                <w:noProof/>
                <w:sz w:val="20"/>
              </w:rPr>
              <w:t>Ligne budgétaire</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18"/>
                <w:szCs w:val="18"/>
                <w:lang w:eastAsia="en-IE"/>
              </w:rPr>
            </w:pP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(3)</w:t>
            </w: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288"/>
        </w:trPr>
        <w:tc>
          <w:tcPr>
            <w:tcW w:w="1419" w:type="pct"/>
            <w:vMerge w:val="restart"/>
            <w:tcBorders>
              <w:top w:val="nil"/>
              <w:left w:val="single" w:sz="8" w:space="0" w:color="auto"/>
              <w:right w:val="single" w:sz="8" w:space="0" w:color="auto"/>
            </w:tcBorders>
            <w:vAlign w:val="center"/>
            <w:hideMark/>
          </w:tcPr>
          <w:p w:rsidR="00DE314D" w:rsidRPr="009E7D16" w:rsidRDefault="00DE314D">
            <w:pPr>
              <w:spacing w:before="0" w:after="0"/>
              <w:jc w:val="center"/>
              <w:rPr>
                <w:b/>
                <w:bCs/>
                <w:noProof/>
                <w:sz w:val="22"/>
              </w:rPr>
            </w:pPr>
            <w:r w:rsidRPr="009E7D16">
              <w:rPr>
                <w:b/>
                <w:noProof/>
                <w:sz w:val="22"/>
              </w:rPr>
              <w:t>TOTAL des crédits</w:t>
            </w:r>
          </w:p>
          <w:p w:rsidR="00DE314D" w:rsidRPr="009E7D16" w:rsidRDefault="00DE314D">
            <w:pPr>
              <w:spacing w:before="0" w:after="0"/>
              <w:jc w:val="center"/>
              <w:rPr>
                <w:b/>
                <w:bCs/>
                <w:noProof/>
                <w:sz w:val="22"/>
              </w:rPr>
            </w:pPr>
            <w:r w:rsidRPr="009E7D16">
              <w:rPr>
                <w:b/>
                <w:noProof/>
                <w:sz w:val="22"/>
              </w:rPr>
              <w:t xml:space="preserve">pour la DG </w:t>
            </w:r>
            <w:r w:rsidRPr="009E7D16">
              <w:rPr>
                <w:noProof/>
                <w:sz w:val="22"/>
              </w:rPr>
              <w:t>&lt;…….&gt;</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=1a+1b+3</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78"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288"/>
        </w:trPr>
        <w:tc>
          <w:tcPr>
            <w:tcW w:w="1419" w:type="pct"/>
            <w:vMerge/>
            <w:vAlign w:val="center"/>
            <w:hideMark/>
          </w:tcPr>
          <w:p w:rsidR="00DE314D" w:rsidRPr="009E7D16" w:rsidRDefault="00DE314D">
            <w:pPr>
              <w:spacing w:before="0" w:after="0"/>
              <w:jc w:val="center"/>
              <w:rPr>
                <w:b/>
                <w:bCs/>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=2a+2b+3</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78"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noProof/>
                <w:sz w:val="22"/>
              </w:rPr>
            </w:pPr>
            <w:r w:rsidRPr="009E7D16">
              <w:rPr>
                <w:noProof/>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78"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TOTAL CFP 2021-2027</w:t>
            </w:r>
          </w:p>
        </w:tc>
      </w:tr>
      <w:tr w:rsidR="00AC781E" w:rsidRPr="009E7D16" w:rsidTr="006C58F6">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2"/>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2024</w:t>
            </w: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2025</w:t>
            </w:r>
          </w:p>
        </w:tc>
        <w:tc>
          <w:tcPr>
            <w:tcW w:w="496" w:type="pct"/>
            <w:gridSpan w:val="3"/>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2026</w:t>
            </w:r>
          </w:p>
        </w:tc>
        <w:tc>
          <w:tcPr>
            <w:tcW w:w="478"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2027</w:t>
            </w:r>
          </w:p>
        </w:tc>
        <w:tc>
          <w:tcPr>
            <w:tcW w:w="590" w:type="pct"/>
            <w:gridSpan w:val="2"/>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b/>
                <w:bCs/>
                <w:noProof/>
                <w:sz w:val="20"/>
                <w:szCs w:val="20"/>
                <w:lang w:eastAsia="en-IE"/>
              </w:rPr>
            </w:pPr>
          </w:p>
        </w:tc>
      </w:tr>
      <w:tr w:rsidR="00AC781E" w:rsidRPr="009E7D16" w:rsidTr="006C58F6">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1"/>
                <w:szCs w:val="21"/>
              </w:rPr>
            </w:pPr>
            <w:r w:rsidRPr="009E7D16">
              <w:rPr>
                <w:noProof/>
                <w:sz w:val="21"/>
              </w:rPr>
              <w:t xml:space="preserve">Crédits opérationnels </w:t>
            </w:r>
          </w:p>
        </w:tc>
      </w:tr>
      <w:tr w:rsidR="00AC781E" w:rsidRPr="009E7D16" w:rsidTr="006C58F6">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DE314D" w:rsidRPr="009E7D16" w:rsidRDefault="00DE314D">
            <w:pPr>
              <w:spacing w:before="0" w:after="0"/>
              <w:jc w:val="left"/>
              <w:rPr>
                <w:noProof/>
                <w:sz w:val="22"/>
              </w:rPr>
            </w:pPr>
            <w:r w:rsidRPr="009E7D16">
              <w:rPr>
                <w:noProof/>
                <w:sz w:val="22"/>
              </w:rPr>
              <w:t>Ligne budgétaire</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(1a)</w:t>
            </w: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(2a)</w:t>
            </w: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rPr>
                <w:noProof/>
                <w:sz w:val="20"/>
                <w:szCs w:val="20"/>
              </w:rPr>
            </w:pPr>
            <w:r w:rsidRPr="009E7D16">
              <w:rPr>
                <w:noProof/>
                <w:sz w:val="20"/>
              </w:rPr>
              <w:t>Ligne budgétaire</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(1b)</w:t>
            </w: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(2b)</w:t>
            </w: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20"/>
                <w:szCs w:val="20"/>
                <w:lang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rsidR="00DE314D" w:rsidRPr="009E7D16" w:rsidRDefault="00DE314D">
            <w:pPr>
              <w:spacing w:before="0" w:after="0"/>
              <w:jc w:val="left"/>
              <w:rPr>
                <w:noProof/>
                <w:sz w:val="22"/>
              </w:rPr>
            </w:pPr>
            <w:r w:rsidRPr="009E7D16">
              <w:rPr>
                <w:noProof/>
                <w:sz w:val="22"/>
              </w:rPr>
              <w:t>Crédits de nature administrative financés par l’enveloppe de certains programmes spécifiques</w:t>
            </w:r>
            <w:r w:rsidRPr="009E7D16">
              <w:rPr>
                <w:noProof/>
              </w:rPr>
              <w:t xml:space="preserve"> </w:t>
            </w:r>
          </w:p>
        </w:tc>
      </w:tr>
      <w:tr w:rsidR="00AC781E" w:rsidRPr="009E7D16" w:rsidTr="006C58F6">
        <w:trPr>
          <w:trHeight w:val="288"/>
        </w:trPr>
        <w:tc>
          <w:tcPr>
            <w:tcW w:w="1419" w:type="pc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rPr>
                <w:noProof/>
                <w:sz w:val="20"/>
                <w:szCs w:val="20"/>
              </w:rPr>
            </w:pPr>
            <w:r w:rsidRPr="009E7D16">
              <w:rPr>
                <w:noProof/>
                <w:sz w:val="20"/>
              </w:rPr>
              <w:t>Ligne budgétaire</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noProof/>
                <w:sz w:val="18"/>
                <w:szCs w:val="18"/>
                <w:lang w:eastAsia="en-IE"/>
              </w:rPr>
            </w:pP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(3)</w:t>
            </w: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496"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496" w:type="pct"/>
            <w:gridSpan w:val="3"/>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right"/>
              <w:rPr>
                <w:b/>
                <w:bCs/>
                <w:noProof/>
                <w:sz w:val="20"/>
                <w:szCs w:val="20"/>
                <w:lang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288"/>
        </w:trPr>
        <w:tc>
          <w:tcPr>
            <w:tcW w:w="1419" w:type="pct"/>
            <w:vMerge w:val="restart"/>
            <w:tcBorders>
              <w:top w:val="nil"/>
              <w:left w:val="single" w:sz="8" w:space="0" w:color="auto"/>
              <w:right w:val="single" w:sz="8" w:space="0" w:color="auto"/>
            </w:tcBorders>
            <w:vAlign w:val="center"/>
            <w:hideMark/>
          </w:tcPr>
          <w:p w:rsidR="00DE314D" w:rsidRPr="009E7D16" w:rsidRDefault="00DE314D">
            <w:pPr>
              <w:spacing w:before="0" w:after="0"/>
              <w:jc w:val="center"/>
              <w:rPr>
                <w:b/>
                <w:bCs/>
                <w:noProof/>
                <w:sz w:val="22"/>
              </w:rPr>
            </w:pPr>
            <w:r w:rsidRPr="009E7D16">
              <w:rPr>
                <w:b/>
                <w:noProof/>
                <w:sz w:val="22"/>
              </w:rPr>
              <w:t>TOTAL des crédits</w:t>
            </w:r>
          </w:p>
          <w:p w:rsidR="00DE314D" w:rsidRPr="009E7D16" w:rsidRDefault="00DE314D">
            <w:pPr>
              <w:spacing w:before="0" w:after="0"/>
              <w:jc w:val="center"/>
              <w:rPr>
                <w:b/>
                <w:bCs/>
                <w:noProof/>
                <w:sz w:val="22"/>
              </w:rPr>
            </w:pPr>
            <w:r w:rsidRPr="009E7D16">
              <w:rPr>
                <w:b/>
                <w:noProof/>
                <w:sz w:val="22"/>
              </w:rPr>
              <w:t xml:space="preserve">pour la DG </w:t>
            </w:r>
            <w:r w:rsidRPr="009E7D16">
              <w:rPr>
                <w:noProof/>
                <w:sz w:val="22"/>
              </w:rPr>
              <w:t>&lt;…….&gt;</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288"/>
        </w:trPr>
        <w:tc>
          <w:tcPr>
            <w:tcW w:w="1419" w:type="pct"/>
            <w:vMerge/>
            <w:tcBorders>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22"/>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rsidR="00DE314D" w:rsidRPr="009E7D16" w:rsidRDefault="00DE314D">
            <w:pPr>
              <w:spacing w:before="0" w:after="0"/>
              <w:jc w:val="center"/>
              <w:rPr>
                <w:b/>
                <w:bCs/>
                <w:noProof/>
                <w:sz w:val="22"/>
                <w:lang w:eastAsia="en-IE"/>
              </w:rPr>
            </w:pPr>
          </w:p>
        </w:tc>
        <w:tc>
          <w:tcPr>
            <w:tcW w:w="493"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93"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TOTAL CFP 2021-2027</w:t>
            </w:r>
          </w:p>
        </w:tc>
      </w:tr>
      <w:tr w:rsidR="00AC781E" w:rsidRPr="009E7D16" w:rsidTr="006C58F6">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rsidR="00DE314D" w:rsidRPr="009E7D16" w:rsidRDefault="00DE314D">
            <w:pPr>
              <w:spacing w:before="0" w:after="0"/>
              <w:jc w:val="left"/>
              <w:rPr>
                <w:b/>
                <w:bCs/>
                <w:noProof/>
                <w:sz w:val="22"/>
                <w:lang w:eastAsia="en-IE"/>
              </w:rPr>
            </w:pPr>
          </w:p>
        </w:tc>
        <w:tc>
          <w:tcPr>
            <w:tcW w:w="493"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2024</w:t>
            </w:r>
          </w:p>
        </w:tc>
        <w:tc>
          <w:tcPr>
            <w:tcW w:w="493"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2025</w:t>
            </w:r>
          </w:p>
        </w:tc>
        <w:tc>
          <w:tcPr>
            <w:tcW w:w="493"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2026</w:t>
            </w:r>
          </w:p>
        </w:tc>
        <w:tc>
          <w:tcPr>
            <w:tcW w:w="493" w:type="pct"/>
            <w:gridSpan w:val="3"/>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b/>
                <w:bCs/>
                <w:noProof/>
                <w:sz w:val="20"/>
                <w:szCs w:val="20"/>
                <w:lang w:eastAsia="en-IE"/>
              </w:rPr>
            </w:pPr>
          </w:p>
        </w:tc>
      </w:tr>
      <w:tr w:rsidR="00AC781E" w:rsidRPr="009E7D16" w:rsidTr="006C58F6">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rPr>
                <w:noProof/>
                <w:sz w:val="21"/>
                <w:szCs w:val="21"/>
              </w:rPr>
            </w:pPr>
            <w:r w:rsidRPr="009E7D16">
              <w:rPr>
                <w:noProof/>
                <w:sz w:val="21"/>
              </w:rPr>
              <w:t xml:space="preserve">TOTAL des crédits opérationnels </w:t>
            </w:r>
            <w:r w:rsidRPr="009E7D16">
              <w:rPr>
                <w:noProof/>
              </w:rPr>
              <w:t xml:space="preserve"> </w:t>
            </w:r>
            <w:r w:rsidRPr="009E7D16">
              <w:rPr>
                <w:noProof/>
              </w:rPr>
              <w:br/>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456"/>
        </w:trPr>
        <w:tc>
          <w:tcPr>
            <w:tcW w:w="1411" w:type="pct"/>
            <w:vMerge/>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rPr>
                <w:noProof/>
                <w:sz w:val="21"/>
                <w:szCs w:val="21"/>
              </w:rPr>
            </w:pPr>
            <w:r w:rsidRPr="009E7D16">
              <w:rPr>
                <w:noProof/>
                <w:sz w:val="21"/>
              </w:rPr>
              <w:t xml:space="preserve">TOTAL des crédits de nature administrative financés par l’enveloppe de certains programmes spécifiques </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DE314D" w:rsidRPr="009E7D16" w:rsidRDefault="00DE314D">
            <w:pPr>
              <w:spacing w:before="0" w:after="0"/>
              <w:jc w:val="center"/>
              <w:rPr>
                <w:b/>
                <w:bCs/>
                <w:noProof/>
                <w:sz w:val="22"/>
              </w:rPr>
            </w:pPr>
            <w:r w:rsidRPr="009E7D16">
              <w:rPr>
                <w:b/>
                <w:noProof/>
                <w:sz w:val="22"/>
              </w:rPr>
              <w:t>TOTAL des crédits pour la RUBRIQUE &lt;….&gt;</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DE314D" w:rsidRPr="009E7D16" w:rsidRDefault="00DE314D">
            <w:pPr>
              <w:spacing w:before="0" w:after="0"/>
              <w:jc w:val="center"/>
              <w:rPr>
                <w:noProof/>
                <w:sz w:val="22"/>
              </w:rPr>
            </w:pPr>
            <w:r w:rsidRPr="009E7D16">
              <w:rPr>
                <w:noProof/>
                <w:sz w:val="22"/>
              </w:rPr>
              <w:t>du cadre financier pluriannuel</w:t>
            </w:r>
          </w:p>
        </w:tc>
        <w:tc>
          <w:tcPr>
            <w:tcW w:w="529"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4"/>
                <w:szCs w:val="14"/>
              </w:rPr>
            </w:pPr>
            <w:r w:rsidRPr="009E7D16">
              <w:rPr>
                <w:noProof/>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288"/>
        </w:trPr>
        <w:tc>
          <w:tcPr>
            <w:tcW w:w="1522" w:type="pct"/>
            <w:gridSpan w:val="2"/>
            <w:tcBorders>
              <w:top w:val="nil"/>
              <w:left w:val="nil"/>
              <w:bottom w:val="nil"/>
              <w:right w:val="nil"/>
            </w:tcBorders>
            <w:noWrap/>
            <w:vAlign w:val="bottom"/>
            <w:hideMark/>
          </w:tcPr>
          <w:p w:rsidR="00DE314D" w:rsidRPr="009E7D16" w:rsidRDefault="00DE314D">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365" w:type="pct"/>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rsidR="00DE314D" w:rsidRPr="009E7D16" w:rsidRDefault="00DE314D">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37" w:type="pct"/>
            <w:gridSpan w:val="2"/>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37" w:type="pct"/>
            <w:gridSpan w:val="3"/>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437" w:type="pct"/>
            <w:gridSpan w:val="2"/>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TOTAL CFP 2021-2027</w:t>
            </w:r>
          </w:p>
        </w:tc>
      </w:tr>
      <w:tr w:rsidR="00AC781E" w:rsidRPr="009E7D16" w:rsidTr="006C58F6">
        <w:trPr>
          <w:trHeight w:val="300"/>
        </w:trPr>
        <w:tc>
          <w:tcPr>
            <w:tcW w:w="1522" w:type="pct"/>
            <w:gridSpan w:val="2"/>
            <w:tcBorders>
              <w:top w:val="nil"/>
              <w:left w:val="nil"/>
              <w:bottom w:val="nil"/>
              <w:right w:val="nil"/>
            </w:tcBorders>
            <w:noWrap/>
            <w:vAlign w:val="bottom"/>
            <w:hideMark/>
          </w:tcPr>
          <w:p w:rsidR="00DE314D" w:rsidRPr="009E7D16" w:rsidRDefault="00DE314D">
            <w:pPr>
              <w:spacing w:before="0" w:after="0"/>
              <w:jc w:val="center"/>
              <w:rPr>
                <w:b/>
                <w:bCs/>
                <w:noProof/>
                <w:sz w:val="20"/>
                <w:szCs w:val="20"/>
                <w:lang w:eastAsia="en-IE"/>
              </w:rPr>
            </w:pPr>
          </w:p>
        </w:tc>
        <w:tc>
          <w:tcPr>
            <w:tcW w:w="471" w:type="pct"/>
            <w:gridSpan w:val="2"/>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365" w:type="pct"/>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rsidR="00DE314D" w:rsidRPr="009E7D16" w:rsidRDefault="00DE314D">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2024</w:t>
            </w:r>
          </w:p>
        </w:tc>
        <w:tc>
          <w:tcPr>
            <w:tcW w:w="437"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2025</w:t>
            </w:r>
          </w:p>
        </w:tc>
        <w:tc>
          <w:tcPr>
            <w:tcW w:w="437" w:type="pct"/>
            <w:gridSpan w:val="3"/>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2026</w:t>
            </w:r>
          </w:p>
        </w:tc>
        <w:tc>
          <w:tcPr>
            <w:tcW w:w="437"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rsidR="00DE314D" w:rsidRPr="009E7D16" w:rsidRDefault="00DE314D">
            <w:pPr>
              <w:spacing w:before="0" w:after="0"/>
              <w:jc w:val="left"/>
              <w:rPr>
                <w:b/>
                <w:bCs/>
                <w:noProof/>
                <w:sz w:val="20"/>
                <w:szCs w:val="20"/>
                <w:lang w:eastAsia="en-IE"/>
              </w:rPr>
            </w:pPr>
          </w:p>
        </w:tc>
      </w:tr>
      <w:tr w:rsidR="00AC781E" w:rsidRPr="009E7D16" w:rsidTr="006C58F6">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rPr>
                <w:noProof/>
                <w:sz w:val="21"/>
                <w:szCs w:val="21"/>
              </w:rPr>
            </w:pPr>
            <w:r w:rsidRPr="009E7D16">
              <w:rPr>
                <w:rFonts w:ascii="Calibri" w:hAnsi="Calibri"/>
                <w:noProof/>
                <w:sz w:val="21"/>
              </w:rPr>
              <w:t xml:space="preserve">• </w:t>
            </w:r>
            <w:r w:rsidRPr="009E7D16">
              <w:rPr>
                <w:noProof/>
                <w:sz w:val="21"/>
              </w:rPr>
              <w:t>TOTAL des crédits opérationnels (toutes les rubriques opérationnelles)</w:t>
            </w:r>
          </w:p>
        </w:tc>
        <w:tc>
          <w:tcPr>
            <w:tcW w:w="471" w:type="pct"/>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731" w:type="pct"/>
            <w:gridSpan w:val="3"/>
            <w:tcBorders>
              <w:top w:val="single" w:sz="8" w:space="0" w:color="auto"/>
              <w:left w:val="nil"/>
              <w:bottom w:val="single" w:sz="8" w:space="0" w:color="auto"/>
              <w:right w:val="single" w:sz="8" w:space="0" w:color="000000"/>
            </w:tcBorders>
            <w:vAlign w:val="center"/>
            <w:hideMark/>
          </w:tcPr>
          <w:p w:rsidR="00DE314D" w:rsidRPr="009E7D16" w:rsidRDefault="00DE314D">
            <w:pPr>
              <w:spacing w:before="0" w:after="0"/>
              <w:jc w:val="center"/>
              <w:rPr>
                <w:noProof/>
                <w:sz w:val="14"/>
                <w:szCs w:val="14"/>
              </w:rPr>
            </w:pPr>
            <w:r w:rsidRPr="009E7D16">
              <w:rPr>
                <w:noProof/>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rsidR="00DE314D" w:rsidRPr="009E7D16" w:rsidRDefault="00DE314D">
            <w:pPr>
              <w:spacing w:before="0" w:after="0"/>
              <w:jc w:val="center"/>
              <w:rPr>
                <w:noProof/>
                <w:sz w:val="14"/>
                <w:szCs w:val="14"/>
              </w:rPr>
            </w:pPr>
            <w:r w:rsidRPr="009E7D16">
              <w:rPr>
                <w:noProof/>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rsidR="00DE314D" w:rsidRPr="009E7D16" w:rsidRDefault="00DE314D">
            <w:pPr>
              <w:spacing w:before="0" w:after="0"/>
              <w:rPr>
                <w:noProof/>
                <w:sz w:val="21"/>
                <w:szCs w:val="21"/>
              </w:rPr>
            </w:pPr>
            <w:r w:rsidRPr="009E7D16">
              <w:rPr>
                <w:rFonts w:ascii="Calibri" w:hAnsi="Calibri"/>
                <w:noProof/>
                <w:sz w:val="21"/>
              </w:rPr>
              <w:t xml:space="preserve">• </w:t>
            </w:r>
            <w:r w:rsidRPr="009E7D16">
              <w:rPr>
                <w:noProof/>
                <w:sz w:val="21"/>
              </w:rPr>
              <w:t>TOTAL des crédits de nature administrative financés par l’enveloppe de certains programmes spécifiques (toutes les rubriques opérationnelles)</w:t>
            </w:r>
          </w:p>
        </w:tc>
        <w:tc>
          <w:tcPr>
            <w:tcW w:w="731" w:type="pct"/>
            <w:gridSpan w:val="3"/>
            <w:tcBorders>
              <w:top w:val="single" w:sz="8" w:space="0" w:color="auto"/>
              <w:left w:val="nil"/>
              <w:bottom w:val="single" w:sz="8" w:space="0" w:color="auto"/>
              <w:right w:val="single" w:sz="8" w:space="0" w:color="000000"/>
            </w:tcBorders>
            <w:vAlign w:val="center"/>
            <w:hideMark/>
          </w:tcPr>
          <w:p w:rsidR="00DE314D" w:rsidRPr="009E7D16" w:rsidRDefault="00DE314D">
            <w:pPr>
              <w:spacing w:before="0" w:after="0"/>
              <w:jc w:val="center"/>
              <w:rPr>
                <w:noProof/>
                <w:sz w:val="14"/>
                <w:szCs w:val="14"/>
              </w:rPr>
            </w:pPr>
            <w:r w:rsidRPr="009E7D16">
              <w:rPr>
                <w:noProof/>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rsidR="00DE314D" w:rsidRPr="009E7D16" w:rsidRDefault="00DE314D">
            <w:pPr>
              <w:spacing w:before="0" w:after="0"/>
              <w:jc w:val="center"/>
              <w:rPr>
                <w:b/>
                <w:bCs/>
                <w:noProof/>
                <w:sz w:val="22"/>
              </w:rPr>
            </w:pPr>
            <w:r w:rsidRPr="009E7D16">
              <w:rPr>
                <w:b/>
                <w:noProof/>
                <w:sz w:val="22"/>
              </w:rPr>
              <w:t>TOTAL des crédits pour les rubriques 1 à 6</w:t>
            </w:r>
          </w:p>
        </w:tc>
        <w:tc>
          <w:tcPr>
            <w:tcW w:w="471" w:type="pct"/>
            <w:gridSpan w:val="2"/>
            <w:tcBorders>
              <w:top w:val="nil"/>
              <w:left w:val="nil"/>
              <w:bottom w:val="nil"/>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731" w:type="pct"/>
            <w:gridSpan w:val="3"/>
            <w:tcBorders>
              <w:top w:val="single" w:sz="8" w:space="0" w:color="auto"/>
              <w:left w:val="nil"/>
              <w:bottom w:val="nil"/>
              <w:right w:val="single" w:sz="8" w:space="0" w:color="000000"/>
            </w:tcBorders>
            <w:vAlign w:val="center"/>
            <w:hideMark/>
          </w:tcPr>
          <w:p w:rsidR="00DE314D" w:rsidRPr="009E7D16" w:rsidRDefault="00DE314D">
            <w:pPr>
              <w:spacing w:before="0" w:after="0"/>
              <w:jc w:val="center"/>
              <w:rPr>
                <w:noProof/>
                <w:sz w:val="14"/>
                <w:szCs w:val="14"/>
              </w:rPr>
            </w:pPr>
            <w:r w:rsidRPr="009E7D16">
              <w:rPr>
                <w:noProof/>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rsidR="00DE314D" w:rsidRPr="009E7D16" w:rsidRDefault="00DE314D">
            <w:pPr>
              <w:spacing w:before="0" w:after="0"/>
              <w:jc w:val="center"/>
              <w:rPr>
                <w:noProof/>
                <w:sz w:val="20"/>
                <w:szCs w:val="20"/>
              </w:rPr>
            </w:pPr>
            <w:r w:rsidRPr="009E7D16">
              <w:rPr>
                <w:noProof/>
                <w:sz w:val="20"/>
              </w:rPr>
              <w:t>du cadre financier pluriannuel (Montant de référence)</w:t>
            </w:r>
          </w:p>
        </w:tc>
        <w:tc>
          <w:tcPr>
            <w:tcW w:w="471" w:type="pct"/>
            <w:gridSpan w:val="2"/>
            <w:tcBorders>
              <w:top w:val="nil"/>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rsidR="00DE314D" w:rsidRPr="009E7D16" w:rsidRDefault="00DE314D">
            <w:pPr>
              <w:spacing w:before="0" w:after="0"/>
              <w:jc w:val="center"/>
              <w:rPr>
                <w:noProof/>
                <w:sz w:val="14"/>
                <w:szCs w:val="14"/>
              </w:rPr>
            </w:pPr>
            <w:r w:rsidRPr="009E7D16">
              <w:rPr>
                <w:noProof/>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bl>
    <w:p w:rsidR="00DE314D" w:rsidRPr="009E7D16" w:rsidRDefault="00DE314D">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AC781E" w:rsidRPr="009E7D16">
        <w:trPr>
          <w:jc w:val="center"/>
        </w:trPr>
        <w:tc>
          <w:tcPr>
            <w:tcW w:w="1668" w:type="pct"/>
            <w:shd w:val="thinDiagStripe" w:color="C0C0C0" w:fill="auto"/>
            <w:vAlign w:val="center"/>
          </w:tcPr>
          <w:p w:rsidR="00DE314D" w:rsidRPr="009E7D16" w:rsidRDefault="00DE314D">
            <w:pPr>
              <w:spacing w:before="60" w:after="60"/>
              <w:jc w:val="center"/>
              <w:rPr>
                <w:b/>
                <w:noProof/>
              </w:rPr>
            </w:pPr>
            <w:r w:rsidRPr="009E7D16">
              <w:rPr>
                <w:noProof/>
              </w:rPr>
              <w:br w:type="page"/>
            </w:r>
            <w:r w:rsidRPr="009E7D16">
              <w:rPr>
                <w:b/>
                <w:noProof/>
                <w:sz w:val="22"/>
              </w:rPr>
              <w:t xml:space="preserve">Rubrique du cadre financier pluriannuel </w:t>
            </w:r>
          </w:p>
        </w:tc>
        <w:tc>
          <w:tcPr>
            <w:tcW w:w="380" w:type="pct"/>
            <w:shd w:val="thinDiagStripe" w:color="C0C0C0" w:fill="auto"/>
            <w:vAlign w:val="center"/>
          </w:tcPr>
          <w:p w:rsidR="00DE314D" w:rsidRPr="009E7D16" w:rsidRDefault="00DE314D">
            <w:pPr>
              <w:spacing w:before="60" w:after="60"/>
              <w:jc w:val="center"/>
              <w:rPr>
                <w:noProof/>
              </w:rPr>
            </w:pPr>
            <w:r w:rsidRPr="009E7D16">
              <w:rPr>
                <w:b/>
                <w:noProof/>
                <w:sz w:val="22"/>
              </w:rPr>
              <w:t>7</w:t>
            </w:r>
          </w:p>
        </w:tc>
        <w:tc>
          <w:tcPr>
            <w:tcW w:w="2749" w:type="pct"/>
            <w:vAlign w:val="center"/>
          </w:tcPr>
          <w:p w:rsidR="00DE314D" w:rsidRPr="009E7D16" w:rsidRDefault="00DE314D">
            <w:pPr>
              <w:spacing w:before="60" w:after="60"/>
              <w:rPr>
                <w:noProof/>
              </w:rPr>
            </w:pPr>
            <w:r w:rsidRPr="009E7D16">
              <w:rPr>
                <w:noProof/>
                <w:sz w:val="22"/>
              </w:rPr>
              <w:t>«Dépenses administratives»</w:t>
            </w:r>
            <w:r w:rsidRPr="009E7D16">
              <w:rPr>
                <w:noProof/>
              </w:rPr>
              <w:t xml:space="preserve"> </w:t>
            </w:r>
          </w:p>
        </w:tc>
      </w:tr>
    </w:tbl>
    <w:p w:rsidR="00DE314D" w:rsidRPr="009E7D16" w:rsidRDefault="00DE314D">
      <w:pPr>
        <w:jc w:val="left"/>
        <w:rPr>
          <w:noProof/>
        </w:rPr>
      </w:pPr>
      <w:r w:rsidRPr="009E7D16">
        <w:rPr>
          <w:noProof/>
        </w:rPr>
        <w:t>Si vous faites état de l’utilisation de crédits de la rubrique 7, vous êtes tenu(e) de remplir l’annexe 5.</w:t>
      </w:r>
    </w:p>
    <w:p w:rsidR="00DE314D" w:rsidRPr="009E7D16" w:rsidRDefault="00DE314D">
      <w:pPr>
        <w:jc w:val="right"/>
        <w:rPr>
          <w:noProof/>
          <w:sz w:val="20"/>
        </w:rPr>
      </w:pPr>
      <w:r w:rsidRPr="009E7D16">
        <w:rPr>
          <w:noProof/>
          <w:sz w:val="20"/>
        </w:rPr>
        <w:t>En Mio EUR (à la 3e décimale)</w:t>
      </w:r>
    </w:p>
    <w:tbl>
      <w:tblPr>
        <w:tblW w:w="13140" w:type="dxa"/>
        <w:tblInd w:w="118" w:type="dxa"/>
        <w:tblLook w:val="04A0" w:firstRow="1" w:lastRow="0" w:firstColumn="1" w:lastColumn="0" w:noHBand="0" w:noVBand="1"/>
      </w:tblPr>
      <w:tblGrid>
        <w:gridCol w:w="4405"/>
        <w:gridCol w:w="2477"/>
        <w:gridCol w:w="578"/>
        <w:gridCol w:w="578"/>
        <w:gridCol w:w="1001"/>
        <w:gridCol w:w="1001"/>
        <w:gridCol w:w="1001"/>
        <w:gridCol w:w="1001"/>
        <w:gridCol w:w="1244"/>
      </w:tblGrid>
      <w:tr w:rsidR="00AC781E" w:rsidRPr="009E7D16" w:rsidTr="006C58F6">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noProof/>
                <w:szCs w:val="24"/>
              </w:rPr>
            </w:pPr>
            <w:r w:rsidRPr="009E7D16">
              <w:rPr>
                <w:noProof/>
              </w:rPr>
              <w:t>DG: &lt;…….&gt;</w:t>
            </w:r>
          </w:p>
        </w:tc>
        <w:tc>
          <w:tcPr>
            <w:tcW w:w="1001"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1001"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1001"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1001"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TOTAL CFP 2021-2027</w:t>
            </w:r>
          </w:p>
        </w:tc>
      </w:tr>
      <w:tr w:rsidR="00AC781E" w:rsidRPr="009E7D16" w:rsidTr="006C58F6">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Cs w:val="24"/>
                <w:lang w:eastAsia="en-IE"/>
              </w:rPr>
            </w:pPr>
          </w:p>
        </w:tc>
        <w:tc>
          <w:tcPr>
            <w:tcW w:w="1001"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2024</w:t>
            </w:r>
          </w:p>
        </w:tc>
        <w:tc>
          <w:tcPr>
            <w:tcW w:w="1001"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2025</w:t>
            </w:r>
          </w:p>
        </w:tc>
        <w:tc>
          <w:tcPr>
            <w:tcW w:w="1001"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2026</w:t>
            </w:r>
          </w:p>
        </w:tc>
        <w:tc>
          <w:tcPr>
            <w:tcW w:w="1001"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DE314D" w:rsidRPr="009E7D16" w:rsidRDefault="00DE314D">
            <w:pPr>
              <w:spacing w:before="0" w:after="0"/>
              <w:jc w:val="left"/>
              <w:rPr>
                <w:b/>
                <w:bCs/>
                <w:noProof/>
                <w:sz w:val="20"/>
                <w:szCs w:val="20"/>
                <w:lang w:eastAsia="en-IE"/>
              </w:rPr>
            </w:pPr>
          </w:p>
        </w:tc>
      </w:tr>
      <w:tr w:rsidR="00AC781E" w:rsidRPr="009E7D16" w:rsidTr="006C58F6">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rFonts w:ascii="Wingdings" w:hAnsi="Wingdings" w:cs="Calibri"/>
                <w:noProof/>
                <w:sz w:val="22"/>
              </w:rPr>
            </w:pPr>
            <w:r w:rsidRPr="009E7D16">
              <w:rPr>
                <w:rFonts w:ascii="Wingdings" w:hAnsi="Wingdings"/>
                <w:noProof/>
                <w:sz w:val="22"/>
              </w:rPr>
              <w:t></w:t>
            </w:r>
            <w:r w:rsidRPr="009E7D16">
              <w:rPr>
                <w:noProof/>
                <w:sz w:val="22"/>
              </w:rPr>
              <w:t xml:space="preserve"> Ressources humaines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rFonts w:ascii="Wingdings" w:hAnsi="Wingdings" w:cs="Calibri"/>
                <w:noProof/>
                <w:sz w:val="22"/>
              </w:rPr>
            </w:pPr>
            <w:r w:rsidRPr="009E7D16">
              <w:rPr>
                <w:rFonts w:ascii="Wingdings" w:hAnsi="Wingdings"/>
                <w:noProof/>
                <w:sz w:val="22"/>
              </w:rPr>
              <w:t></w:t>
            </w:r>
            <w:r w:rsidRPr="009E7D16">
              <w:rPr>
                <w:noProof/>
                <w:sz w:val="22"/>
              </w:rPr>
              <w:t xml:space="preserve"> Autres dépenses administratives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00"/>
        </w:trPr>
        <w:tc>
          <w:tcPr>
            <w:tcW w:w="4405" w:type="dxa"/>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22"/>
              </w:rPr>
            </w:pPr>
            <w:r w:rsidRPr="009E7D16">
              <w:rPr>
                <w:b/>
                <w:noProof/>
                <w:sz w:val="22"/>
              </w:rPr>
              <w:t xml:space="preserve">TOTAL DG </w:t>
            </w:r>
            <w:r w:rsidRPr="009E7D16">
              <w:rPr>
                <w:noProof/>
                <w:sz w:val="22"/>
              </w:rPr>
              <w:t>&lt;…….&gt;</w:t>
            </w:r>
          </w:p>
        </w:tc>
        <w:tc>
          <w:tcPr>
            <w:tcW w:w="3487" w:type="dxa"/>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left"/>
              <w:rPr>
                <w:noProof/>
                <w:sz w:val="18"/>
                <w:szCs w:val="18"/>
              </w:rPr>
            </w:pPr>
            <w:r w:rsidRPr="009E7D16">
              <w:rPr>
                <w:noProof/>
                <w:sz w:val="18"/>
              </w:rPr>
              <w:t xml:space="preserve">Crédits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00"/>
        </w:trPr>
        <w:tc>
          <w:tcPr>
            <w:tcW w:w="4405" w:type="dxa"/>
            <w:tcBorders>
              <w:top w:val="nil"/>
              <w:left w:val="nil"/>
              <w:bottom w:val="nil"/>
              <w:right w:val="nil"/>
            </w:tcBorders>
            <w:noWrap/>
            <w:vAlign w:val="bottom"/>
            <w:hideMark/>
          </w:tcPr>
          <w:p w:rsidR="00DE314D" w:rsidRPr="009E7D16" w:rsidRDefault="00DE314D">
            <w:pPr>
              <w:spacing w:before="0" w:after="0"/>
              <w:jc w:val="right"/>
              <w:rPr>
                <w:b/>
                <w:bCs/>
                <w:noProof/>
                <w:sz w:val="20"/>
                <w:szCs w:val="20"/>
                <w:lang w:eastAsia="en-IE"/>
              </w:rPr>
            </w:pPr>
          </w:p>
        </w:tc>
        <w:tc>
          <w:tcPr>
            <w:tcW w:w="2477"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1244"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r>
      <w:tr w:rsidR="00AC781E" w:rsidRPr="009E7D16" w:rsidTr="006C58F6">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noProof/>
                <w:szCs w:val="24"/>
              </w:rPr>
            </w:pPr>
            <w:r w:rsidRPr="009E7D16">
              <w:rPr>
                <w:noProof/>
              </w:rPr>
              <w:t>DG: &lt;…….&gt;</w:t>
            </w:r>
          </w:p>
        </w:tc>
        <w:tc>
          <w:tcPr>
            <w:tcW w:w="1001"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1001"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1001"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1001"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TOTAL CFP 2021-2027</w:t>
            </w:r>
          </w:p>
        </w:tc>
      </w:tr>
      <w:tr w:rsidR="00AC781E" w:rsidRPr="009E7D16" w:rsidTr="006C58F6">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Cs w:val="24"/>
                <w:lang w:eastAsia="en-IE"/>
              </w:rPr>
            </w:pPr>
          </w:p>
        </w:tc>
        <w:tc>
          <w:tcPr>
            <w:tcW w:w="1001"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2024</w:t>
            </w:r>
          </w:p>
        </w:tc>
        <w:tc>
          <w:tcPr>
            <w:tcW w:w="1001"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2025</w:t>
            </w:r>
          </w:p>
        </w:tc>
        <w:tc>
          <w:tcPr>
            <w:tcW w:w="1001"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2026</w:t>
            </w:r>
          </w:p>
        </w:tc>
        <w:tc>
          <w:tcPr>
            <w:tcW w:w="1001"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DE314D" w:rsidRPr="009E7D16" w:rsidRDefault="00DE314D">
            <w:pPr>
              <w:spacing w:before="0" w:after="0"/>
              <w:jc w:val="left"/>
              <w:rPr>
                <w:b/>
                <w:bCs/>
                <w:noProof/>
                <w:sz w:val="20"/>
                <w:szCs w:val="20"/>
                <w:lang w:eastAsia="en-IE"/>
              </w:rPr>
            </w:pPr>
          </w:p>
        </w:tc>
      </w:tr>
      <w:tr w:rsidR="00AC781E" w:rsidRPr="009E7D16" w:rsidTr="006C58F6">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rFonts w:ascii="Wingdings" w:hAnsi="Wingdings" w:cs="Calibri"/>
                <w:noProof/>
                <w:sz w:val="22"/>
              </w:rPr>
            </w:pPr>
            <w:r w:rsidRPr="009E7D16">
              <w:rPr>
                <w:rFonts w:ascii="Wingdings" w:hAnsi="Wingdings"/>
                <w:noProof/>
                <w:sz w:val="22"/>
              </w:rPr>
              <w:t></w:t>
            </w:r>
            <w:r w:rsidRPr="009E7D16">
              <w:rPr>
                <w:noProof/>
                <w:sz w:val="22"/>
              </w:rPr>
              <w:t xml:space="preserve"> Ressources humaines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rFonts w:ascii="Wingdings" w:hAnsi="Wingdings" w:cs="Calibri"/>
                <w:noProof/>
                <w:sz w:val="22"/>
              </w:rPr>
            </w:pPr>
            <w:r w:rsidRPr="009E7D16">
              <w:rPr>
                <w:rFonts w:ascii="Wingdings" w:hAnsi="Wingdings"/>
                <w:noProof/>
                <w:sz w:val="22"/>
              </w:rPr>
              <w:t></w:t>
            </w:r>
            <w:r w:rsidRPr="009E7D16">
              <w:rPr>
                <w:noProof/>
                <w:sz w:val="22"/>
              </w:rPr>
              <w:t xml:space="preserve"> Autres dépenses administratives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20"/>
                <w:szCs w:val="20"/>
              </w:rPr>
            </w:pPr>
            <w:r w:rsidRPr="009E7D16">
              <w:rPr>
                <w:noProof/>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00"/>
        </w:trPr>
        <w:tc>
          <w:tcPr>
            <w:tcW w:w="4405" w:type="dxa"/>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22"/>
              </w:rPr>
            </w:pPr>
            <w:r w:rsidRPr="009E7D16">
              <w:rPr>
                <w:b/>
                <w:noProof/>
                <w:sz w:val="22"/>
              </w:rPr>
              <w:t xml:space="preserve">TOTAL DG </w:t>
            </w:r>
            <w:r w:rsidRPr="009E7D16">
              <w:rPr>
                <w:noProof/>
                <w:sz w:val="22"/>
              </w:rPr>
              <w:t>&lt;…….&gt;</w:t>
            </w:r>
          </w:p>
        </w:tc>
        <w:tc>
          <w:tcPr>
            <w:tcW w:w="3487" w:type="dxa"/>
            <w:gridSpan w:val="3"/>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left"/>
              <w:rPr>
                <w:noProof/>
                <w:sz w:val="18"/>
                <w:szCs w:val="18"/>
              </w:rPr>
            </w:pPr>
            <w:r w:rsidRPr="009E7D16">
              <w:rPr>
                <w:noProof/>
                <w:sz w:val="18"/>
              </w:rPr>
              <w:t xml:space="preserve">Crédits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r w:rsidR="00AC781E" w:rsidRPr="009E7D16" w:rsidTr="006C58F6">
        <w:trPr>
          <w:trHeight w:val="300"/>
        </w:trPr>
        <w:tc>
          <w:tcPr>
            <w:tcW w:w="4405" w:type="dxa"/>
            <w:tcBorders>
              <w:top w:val="nil"/>
              <w:left w:val="nil"/>
              <w:bottom w:val="nil"/>
              <w:right w:val="nil"/>
            </w:tcBorders>
            <w:noWrap/>
            <w:vAlign w:val="bottom"/>
            <w:hideMark/>
          </w:tcPr>
          <w:p w:rsidR="00DE314D" w:rsidRPr="009E7D16" w:rsidRDefault="00DE314D">
            <w:pPr>
              <w:spacing w:before="0" w:after="0"/>
              <w:jc w:val="right"/>
              <w:rPr>
                <w:b/>
                <w:bCs/>
                <w:noProof/>
                <w:sz w:val="20"/>
                <w:szCs w:val="20"/>
                <w:lang w:eastAsia="en-IE"/>
              </w:rPr>
            </w:pPr>
          </w:p>
        </w:tc>
        <w:tc>
          <w:tcPr>
            <w:tcW w:w="2477"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c>
          <w:tcPr>
            <w:tcW w:w="1244" w:type="dxa"/>
            <w:tcBorders>
              <w:top w:val="nil"/>
              <w:left w:val="nil"/>
              <w:bottom w:val="nil"/>
              <w:right w:val="nil"/>
            </w:tcBorders>
            <w:noWrap/>
            <w:vAlign w:val="bottom"/>
            <w:hideMark/>
          </w:tcPr>
          <w:p w:rsidR="00DE314D" w:rsidRPr="009E7D16" w:rsidRDefault="00DE314D">
            <w:pPr>
              <w:spacing w:before="0" w:after="0"/>
              <w:jc w:val="left"/>
              <w:rPr>
                <w:noProof/>
                <w:sz w:val="20"/>
                <w:szCs w:val="20"/>
                <w:lang w:eastAsia="en-IE"/>
              </w:rPr>
            </w:pPr>
          </w:p>
        </w:tc>
      </w:tr>
      <w:tr w:rsidR="00AC781E" w:rsidRPr="009E7D16" w:rsidTr="006C58F6">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DE314D" w:rsidRPr="009E7D16" w:rsidRDefault="00DE314D">
            <w:pPr>
              <w:spacing w:before="0" w:after="0"/>
              <w:jc w:val="center"/>
              <w:rPr>
                <w:b/>
                <w:bCs/>
                <w:noProof/>
                <w:sz w:val="22"/>
              </w:rPr>
            </w:pPr>
            <w:r w:rsidRPr="009E7D16">
              <w:rPr>
                <w:b/>
                <w:noProof/>
                <w:sz w:val="22"/>
              </w:rPr>
              <w:t xml:space="preserve">TOTAL des crédits pour la RUBRIQUE 7 du cadre financier pluriannuel </w:t>
            </w:r>
          </w:p>
        </w:tc>
        <w:tc>
          <w:tcPr>
            <w:tcW w:w="1010" w:type="dxa"/>
            <w:gridSpan w:val="2"/>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8"/>
                <w:szCs w:val="18"/>
              </w:rPr>
            </w:pPr>
            <w:r w:rsidRPr="009E7D16">
              <w:rPr>
                <w:noProof/>
                <w:sz w:val="18"/>
              </w:rPr>
              <w:t>(Total engagements = Total paiements)</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20"/>
                <w:szCs w:val="20"/>
              </w:rPr>
            </w:pPr>
            <w:r w:rsidRPr="009E7D16">
              <w:rPr>
                <w:b/>
                <w:noProof/>
                <w:sz w:val="20"/>
              </w:rPr>
              <w:t>0,000</w:t>
            </w:r>
          </w:p>
        </w:tc>
      </w:tr>
    </w:tbl>
    <w:p w:rsidR="00DE314D" w:rsidRPr="009E7D16" w:rsidRDefault="00DE314D">
      <w:pPr>
        <w:jc w:val="right"/>
        <w:rPr>
          <w:noProof/>
          <w:sz w:val="20"/>
        </w:rPr>
      </w:pPr>
      <w:r w:rsidRPr="009E7D16">
        <w:rPr>
          <w:noProof/>
          <w:sz w:val="20"/>
        </w:rPr>
        <w:t>En Mio EUR (à la 3</w:t>
      </w:r>
      <w:r w:rsidRPr="009E7D16">
        <w:rPr>
          <w:noProof/>
          <w:sz w:val="20"/>
          <w:vertAlign w:val="superscript"/>
        </w:rPr>
        <w:t>e</w:t>
      </w:r>
      <w:r w:rsidRPr="009E7D16">
        <w:rPr>
          <w:noProof/>
          <w:sz w:val="20"/>
        </w:rPr>
        <w:t> décimale)</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AC781E" w:rsidRPr="009E7D16" w:rsidTr="006C58F6">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noProof/>
                <w:szCs w:val="24"/>
                <w:lang w:eastAsia="en-IE"/>
              </w:rPr>
            </w:pPr>
          </w:p>
        </w:tc>
        <w:tc>
          <w:tcPr>
            <w:tcW w:w="1160"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1160"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1160"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1160"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TOTAL CFP 2021-2027</w:t>
            </w:r>
          </w:p>
        </w:tc>
      </w:tr>
      <w:tr w:rsidR="00AC781E" w:rsidRPr="009E7D16" w:rsidTr="006C58F6">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Cs w:val="24"/>
                <w:lang w:eastAsia="en-IE"/>
              </w:rPr>
            </w:pPr>
          </w:p>
        </w:tc>
        <w:tc>
          <w:tcPr>
            <w:tcW w:w="1160"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2024</w:t>
            </w:r>
          </w:p>
        </w:tc>
        <w:tc>
          <w:tcPr>
            <w:tcW w:w="1160"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2025</w:t>
            </w:r>
          </w:p>
        </w:tc>
        <w:tc>
          <w:tcPr>
            <w:tcW w:w="1160"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2026</w:t>
            </w:r>
          </w:p>
        </w:tc>
        <w:tc>
          <w:tcPr>
            <w:tcW w:w="1160"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rsidR="00DE314D" w:rsidRPr="009E7D16" w:rsidRDefault="00DE314D">
            <w:pPr>
              <w:spacing w:before="0" w:after="0"/>
              <w:jc w:val="left"/>
              <w:rPr>
                <w:b/>
                <w:bCs/>
                <w:noProof/>
                <w:sz w:val="20"/>
                <w:szCs w:val="20"/>
                <w:lang w:eastAsia="en-IE"/>
              </w:rPr>
            </w:pPr>
          </w:p>
        </w:tc>
      </w:tr>
      <w:tr w:rsidR="00AC781E" w:rsidRPr="009E7D16" w:rsidTr="006C58F6">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DE314D" w:rsidRPr="009E7D16" w:rsidRDefault="00DE314D">
            <w:pPr>
              <w:spacing w:before="0" w:after="0"/>
              <w:jc w:val="center"/>
              <w:rPr>
                <w:b/>
                <w:bCs/>
                <w:noProof/>
                <w:sz w:val="22"/>
              </w:rPr>
            </w:pPr>
            <w:r w:rsidRPr="009E7D16">
              <w:rPr>
                <w:b/>
                <w:noProof/>
                <w:sz w:val="22"/>
              </w:rPr>
              <w:t>TOTAL des crédits pour les RUBRIQUES 1 à 7</w:t>
            </w:r>
          </w:p>
        </w:tc>
        <w:tc>
          <w:tcPr>
            <w:tcW w:w="1920" w:type="dxa"/>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Engagements</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Cs w:val="24"/>
              </w:rPr>
            </w:pPr>
            <w:r w:rsidRPr="009E7D16">
              <w:rPr>
                <w:b/>
                <w:noProof/>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Cs w:val="24"/>
              </w:rPr>
            </w:pPr>
            <w:r w:rsidRPr="009E7D16">
              <w:rPr>
                <w:b/>
                <w:noProof/>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Cs w:val="24"/>
              </w:rPr>
            </w:pPr>
            <w:r w:rsidRPr="009E7D16">
              <w:rPr>
                <w:b/>
                <w:noProof/>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Cs w:val="24"/>
              </w:rPr>
            </w:pPr>
            <w:r w:rsidRPr="009E7D16">
              <w:rPr>
                <w:b/>
                <w:noProof/>
              </w:rPr>
              <w:t>0,000</w:t>
            </w:r>
          </w:p>
        </w:tc>
        <w:tc>
          <w:tcPr>
            <w:tcW w:w="140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Cs w:val="24"/>
              </w:rPr>
            </w:pPr>
            <w:r w:rsidRPr="009E7D16">
              <w:rPr>
                <w:b/>
                <w:noProof/>
              </w:rPr>
              <w:t>0,000</w:t>
            </w:r>
          </w:p>
        </w:tc>
      </w:tr>
      <w:tr w:rsidR="00AC781E" w:rsidRPr="009E7D16" w:rsidTr="006C58F6">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DE314D" w:rsidRPr="009E7D16" w:rsidRDefault="00DE314D">
            <w:pPr>
              <w:spacing w:before="0" w:after="0"/>
              <w:jc w:val="center"/>
              <w:rPr>
                <w:noProof/>
                <w:sz w:val="22"/>
              </w:rPr>
            </w:pPr>
            <w:r w:rsidRPr="009E7D16">
              <w:rPr>
                <w:noProof/>
                <w:sz w:val="22"/>
              </w:rPr>
              <w:t>du cadre financier pluriannuel</w:t>
            </w:r>
            <w:r w:rsidRPr="009E7D16">
              <w:rPr>
                <w:b/>
                <w:noProof/>
                <w:sz w:val="22"/>
              </w:rPr>
              <w:t xml:space="preserve"> </w:t>
            </w:r>
          </w:p>
        </w:tc>
        <w:tc>
          <w:tcPr>
            <w:tcW w:w="1920" w:type="dxa"/>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rPr>
                <w:noProof/>
                <w:sz w:val="18"/>
                <w:szCs w:val="18"/>
              </w:rPr>
            </w:pPr>
            <w:r w:rsidRPr="009E7D16">
              <w:rPr>
                <w:noProof/>
                <w:sz w:val="18"/>
              </w:rPr>
              <w:t>Paiements</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Cs w:val="24"/>
              </w:rPr>
            </w:pPr>
            <w:r w:rsidRPr="009E7D16">
              <w:rPr>
                <w:b/>
                <w:noProof/>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Cs w:val="24"/>
              </w:rPr>
            </w:pPr>
            <w:r w:rsidRPr="009E7D16">
              <w:rPr>
                <w:b/>
                <w:noProof/>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Cs w:val="24"/>
              </w:rPr>
            </w:pPr>
            <w:r w:rsidRPr="009E7D16">
              <w:rPr>
                <w:b/>
                <w:noProof/>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Cs w:val="24"/>
              </w:rPr>
            </w:pPr>
            <w:r w:rsidRPr="009E7D16">
              <w:rPr>
                <w:b/>
                <w:noProof/>
              </w:rPr>
              <w:t>0,000</w:t>
            </w:r>
          </w:p>
        </w:tc>
        <w:tc>
          <w:tcPr>
            <w:tcW w:w="140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Cs w:val="24"/>
              </w:rPr>
            </w:pPr>
            <w:r w:rsidRPr="009E7D16">
              <w:rPr>
                <w:b/>
                <w:noProof/>
              </w:rPr>
              <w:t>0,000</w:t>
            </w:r>
          </w:p>
        </w:tc>
      </w:tr>
    </w:tbl>
    <w:p w:rsidR="00DE314D" w:rsidRPr="009E7D16" w:rsidRDefault="00DE314D">
      <w:pPr>
        <w:pStyle w:val="ManualHeading3"/>
        <w:rPr>
          <w:bCs/>
          <w:noProof/>
          <w:szCs w:val="24"/>
        </w:rPr>
      </w:pPr>
      <w:bookmarkStart w:id="151" w:name="_Toc514938054"/>
      <w:bookmarkStart w:id="152" w:name="_Toc520485053"/>
      <w:bookmarkStart w:id="153" w:name="_Toc160804597"/>
      <w:bookmarkStart w:id="154" w:name="_Toc167220289"/>
      <w:bookmarkStart w:id="155" w:name="_Toc177549022"/>
      <w:r w:rsidRPr="009E7D16">
        <w:rPr>
          <w:noProof/>
        </w:rPr>
        <w:t>3.2.2.</w:t>
      </w:r>
      <w:r w:rsidRPr="009E7D16">
        <w:rPr>
          <w:noProof/>
        </w:rPr>
        <w:tab/>
        <w:t>Estimation des réalisations financées à partir des crédits opérationnels</w:t>
      </w:r>
      <w:bookmarkEnd w:id="151"/>
      <w:bookmarkEnd w:id="152"/>
      <w:r w:rsidRPr="009E7D16">
        <w:rPr>
          <w:noProof/>
        </w:rPr>
        <w:t xml:space="preserve"> (cette section ne doit pas être complétée pour les organismes décentralisés)</w:t>
      </w:r>
      <w:bookmarkEnd w:id="153"/>
      <w:bookmarkEnd w:id="154"/>
      <w:bookmarkEnd w:id="155"/>
    </w:p>
    <w:p w:rsidR="00DE314D" w:rsidRPr="009E7D16" w:rsidRDefault="00DE314D">
      <w:pPr>
        <w:jc w:val="right"/>
        <w:rPr>
          <w:noProof/>
          <w:sz w:val="20"/>
        </w:rPr>
      </w:pPr>
      <w:r w:rsidRPr="009E7D16">
        <w:rPr>
          <w:noProof/>
          <w:sz w:val="20"/>
        </w:rPr>
        <w:t>Crédits d’engagement en Mio EUR (à la 3</w:t>
      </w:r>
      <w:r w:rsidRPr="009E7D16">
        <w:rPr>
          <w:noProof/>
          <w:sz w:val="20"/>
          <w:vertAlign w:val="superscript"/>
        </w:rPr>
        <w:t>e</w:t>
      </w:r>
      <w:r w:rsidRPr="009E7D16">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78"/>
        <w:gridCol w:w="427"/>
        <w:gridCol w:w="720"/>
        <w:gridCol w:w="540"/>
        <w:gridCol w:w="720"/>
        <w:gridCol w:w="720"/>
        <w:gridCol w:w="720"/>
        <w:gridCol w:w="900"/>
        <w:gridCol w:w="51"/>
        <w:gridCol w:w="669"/>
        <w:gridCol w:w="540"/>
        <w:gridCol w:w="648"/>
        <w:gridCol w:w="432"/>
        <w:gridCol w:w="720"/>
        <w:gridCol w:w="540"/>
        <w:gridCol w:w="720"/>
        <w:gridCol w:w="720"/>
        <w:gridCol w:w="900"/>
      </w:tblGrid>
      <w:tr w:rsidR="00AC781E" w:rsidRPr="009E7D16" w:rsidTr="00D91278">
        <w:trPr>
          <w:jc w:val="center"/>
        </w:trPr>
        <w:tc>
          <w:tcPr>
            <w:tcW w:w="1423" w:type="dxa"/>
            <w:vMerge w:val="restart"/>
            <w:vAlign w:val="center"/>
          </w:tcPr>
          <w:p w:rsidR="00DE314D" w:rsidRPr="009E7D16" w:rsidRDefault="00DE314D">
            <w:pPr>
              <w:ind w:right="-29"/>
              <w:jc w:val="center"/>
              <w:rPr>
                <w:b/>
                <w:noProof/>
                <w:sz w:val="18"/>
                <w:szCs w:val="18"/>
              </w:rPr>
            </w:pPr>
            <w:r w:rsidRPr="009E7D16">
              <w:rPr>
                <w:b/>
                <w:noProof/>
                <w:sz w:val="18"/>
              </w:rPr>
              <w:t xml:space="preserve">Indiquer les objectifs et les réalisations </w:t>
            </w:r>
          </w:p>
          <w:p w:rsidR="00DE314D" w:rsidRPr="009E7D16" w:rsidRDefault="00DE314D">
            <w:pPr>
              <w:ind w:right="-29"/>
              <w:jc w:val="center"/>
              <w:rPr>
                <w:b/>
                <w:noProof/>
                <w:sz w:val="18"/>
                <w:szCs w:val="18"/>
              </w:rPr>
            </w:pPr>
          </w:p>
          <w:p w:rsidR="00DE314D" w:rsidRPr="009E7D16" w:rsidRDefault="00DE314D">
            <w:pPr>
              <w:ind w:right="-29"/>
              <w:jc w:val="center"/>
              <w:rPr>
                <w:noProof/>
                <w:sz w:val="18"/>
                <w:szCs w:val="18"/>
              </w:rPr>
            </w:pPr>
            <w:r w:rsidRPr="009E7D16">
              <w:rPr>
                <w:rFonts w:ascii="Wingdings" w:hAnsi="Wingdings"/>
                <w:noProof/>
                <w:sz w:val="18"/>
              </w:rPr>
              <w:t></w:t>
            </w:r>
          </w:p>
        </w:tc>
        <w:tc>
          <w:tcPr>
            <w:tcW w:w="720" w:type="dxa"/>
            <w:vAlign w:val="center"/>
          </w:tcPr>
          <w:p w:rsidR="00DE314D" w:rsidRPr="009E7D16" w:rsidRDefault="00DE314D">
            <w:pPr>
              <w:ind w:right="-29"/>
              <w:jc w:val="center"/>
              <w:rPr>
                <w:noProof/>
                <w:sz w:val="18"/>
                <w:szCs w:val="18"/>
              </w:rPr>
            </w:pPr>
          </w:p>
        </w:tc>
        <w:tc>
          <w:tcPr>
            <w:tcW w:w="778" w:type="dxa"/>
            <w:vAlign w:val="center"/>
          </w:tcPr>
          <w:p w:rsidR="00DE314D" w:rsidRPr="009E7D16" w:rsidRDefault="00DE314D">
            <w:pPr>
              <w:ind w:right="-29"/>
              <w:jc w:val="center"/>
              <w:rPr>
                <w:noProof/>
                <w:sz w:val="18"/>
                <w:szCs w:val="18"/>
              </w:rPr>
            </w:pPr>
          </w:p>
        </w:tc>
        <w:tc>
          <w:tcPr>
            <w:tcW w:w="1147" w:type="dxa"/>
            <w:gridSpan w:val="2"/>
            <w:tcBorders>
              <w:left w:val="nil"/>
            </w:tcBorders>
            <w:vAlign w:val="center"/>
          </w:tcPr>
          <w:p w:rsidR="00DE314D" w:rsidRPr="009E7D16" w:rsidRDefault="00DE314D">
            <w:pPr>
              <w:ind w:right="-29"/>
              <w:jc w:val="center"/>
              <w:rPr>
                <w:noProof/>
                <w:sz w:val="18"/>
                <w:szCs w:val="18"/>
              </w:rPr>
            </w:pPr>
            <w:r w:rsidRPr="009E7D16">
              <w:rPr>
                <w:noProof/>
                <w:sz w:val="18"/>
              </w:rPr>
              <w:t xml:space="preserve">Année </w:t>
            </w:r>
            <w:r w:rsidRPr="009E7D16">
              <w:rPr>
                <w:noProof/>
              </w:rPr>
              <w:t xml:space="preserve"> </w:t>
            </w:r>
            <w:r w:rsidRPr="009E7D16">
              <w:rPr>
                <w:noProof/>
              </w:rPr>
              <w:br/>
            </w:r>
            <w:r w:rsidRPr="009E7D16">
              <w:rPr>
                <w:b/>
                <w:noProof/>
                <w:sz w:val="18"/>
              </w:rPr>
              <w:t>2024</w:t>
            </w:r>
          </w:p>
        </w:tc>
        <w:tc>
          <w:tcPr>
            <w:tcW w:w="1260" w:type="dxa"/>
            <w:gridSpan w:val="2"/>
            <w:vAlign w:val="center"/>
          </w:tcPr>
          <w:p w:rsidR="00DE314D" w:rsidRPr="009E7D16" w:rsidRDefault="00DE314D">
            <w:pPr>
              <w:ind w:right="-29"/>
              <w:jc w:val="center"/>
              <w:rPr>
                <w:noProof/>
                <w:sz w:val="18"/>
                <w:szCs w:val="18"/>
              </w:rPr>
            </w:pPr>
            <w:r w:rsidRPr="009E7D16">
              <w:rPr>
                <w:noProof/>
                <w:sz w:val="18"/>
              </w:rPr>
              <w:t xml:space="preserve">Année </w:t>
            </w:r>
            <w:r w:rsidRPr="009E7D16">
              <w:rPr>
                <w:noProof/>
              </w:rPr>
              <w:t xml:space="preserve"> </w:t>
            </w:r>
            <w:r w:rsidRPr="009E7D16">
              <w:rPr>
                <w:noProof/>
              </w:rPr>
              <w:br/>
            </w:r>
            <w:r w:rsidRPr="009E7D16">
              <w:rPr>
                <w:b/>
                <w:noProof/>
                <w:sz w:val="18"/>
              </w:rPr>
              <w:t>2025</w:t>
            </w:r>
          </w:p>
        </w:tc>
        <w:tc>
          <w:tcPr>
            <w:tcW w:w="1440" w:type="dxa"/>
            <w:gridSpan w:val="2"/>
            <w:vAlign w:val="center"/>
          </w:tcPr>
          <w:p w:rsidR="00DE314D" w:rsidRPr="009E7D16" w:rsidRDefault="00DE314D">
            <w:pPr>
              <w:ind w:right="-29"/>
              <w:jc w:val="center"/>
              <w:rPr>
                <w:noProof/>
                <w:sz w:val="18"/>
                <w:szCs w:val="18"/>
              </w:rPr>
            </w:pPr>
            <w:r w:rsidRPr="009E7D16">
              <w:rPr>
                <w:noProof/>
                <w:sz w:val="18"/>
              </w:rPr>
              <w:t xml:space="preserve">Année </w:t>
            </w:r>
            <w:r w:rsidRPr="009E7D16">
              <w:rPr>
                <w:noProof/>
              </w:rPr>
              <w:t xml:space="preserve"> </w:t>
            </w:r>
            <w:r w:rsidRPr="009E7D16">
              <w:rPr>
                <w:noProof/>
              </w:rPr>
              <w:br/>
            </w:r>
            <w:r w:rsidRPr="009E7D16">
              <w:rPr>
                <w:b/>
                <w:noProof/>
                <w:sz w:val="18"/>
              </w:rPr>
              <w:t>2026</w:t>
            </w:r>
          </w:p>
        </w:tc>
        <w:tc>
          <w:tcPr>
            <w:tcW w:w="1620" w:type="dxa"/>
            <w:gridSpan w:val="3"/>
            <w:vAlign w:val="center"/>
          </w:tcPr>
          <w:p w:rsidR="00DE314D" w:rsidRPr="009E7D16" w:rsidRDefault="00DE314D">
            <w:pPr>
              <w:ind w:right="-29"/>
              <w:jc w:val="center"/>
              <w:rPr>
                <w:noProof/>
                <w:sz w:val="18"/>
                <w:szCs w:val="18"/>
              </w:rPr>
            </w:pPr>
            <w:r w:rsidRPr="009E7D16">
              <w:rPr>
                <w:noProof/>
                <w:sz w:val="18"/>
              </w:rPr>
              <w:t xml:space="preserve">Année </w:t>
            </w:r>
            <w:r w:rsidRPr="009E7D16">
              <w:rPr>
                <w:noProof/>
              </w:rPr>
              <w:t xml:space="preserve"> </w:t>
            </w:r>
            <w:r w:rsidRPr="009E7D16">
              <w:rPr>
                <w:noProof/>
              </w:rPr>
              <w:br/>
            </w:r>
            <w:r w:rsidRPr="009E7D16">
              <w:rPr>
                <w:b/>
                <w:noProof/>
                <w:sz w:val="18"/>
              </w:rPr>
              <w:t>2027</w:t>
            </w:r>
          </w:p>
        </w:tc>
        <w:tc>
          <w:tcPr>
            <w:tcW w:w="3600" w:type="dxa"/>
            <w:gridSpan w:val="6"/>
            <w:vAlign w:val="center"/>
          </w:tcPr>
          <w:p w:rsidR="00DE314D" w:rsidRPr="009E7D16" w:rsidRDefault="00DE314D">
            <w:pPr>
              <w:jc w:val="center"/>
              <w:rPr>
                <w:noProof/>
                <w:sz w:val="18"/>
                <w:szCs w:val="18"/>
              </w:rPr>
            </w:pPr>
            <w:r w:rsidRPr="009E7D16">
              <w:rPr>
                <w:noProof/>
                <w:sz w:val="18"/>
              </w:rPr>
              <w:t>Insérer autant d’années que nécessaire, pour refléter la durée de l’incidence (cf. section 1.6)</w:t>
            </w:r>
          </w:p>
        </w:tc>
        <w:tc>
          <w:tcPr>
            <w:tcW w:w="1620" w:type="dxa"/>
            <w:gridSpan w:val="2"/>
            <w:tcBorders>
              <w:left w:val="nil"/>
              <w:bottom w:val="nil"/>
            </w:tcBorders>
            <w:vAlign w:val="center"/>
          </w:tcPr>
          <w:p w:rsidR="00DE314D" w:rsidRPr="009E7D16" w:rsidRDefault="00DE314D">
            <w:pPr>
              <w:ind w:right="-29"/>
              <w:jc w:val="center"/>
              <w:rPr>
                <w:noProof/>
                <w:sz w:val="18"/>
                <w:szCs w:val="18"/>
              </w:rPr>
            </w:pPr>
            <w:r w:rsidRPr="009E7D16">
              <w:rPr>
                <w:b/>
                <w:noProof/>
                <w:sz w:val="18"/>
              </w:rPr>
              <w:t>TOTAL</w:t>
            </w:r>
          </w:p>
        </w:tc>
      </w:tr>
      <w:tr w:rsidR="00AC781E" w:rsidRPr="009E7D16" w:rsidTr="3CFC5CC3">
        <w:trPr>
          <w:jc w:val="center"/>
        </w:trPr>
        <w:tc>
          <w:tcPr>
            <w:tcW w:w="1423" w:type="dxa"/>
            <w:vMerge/>
            <w:vAlign w:val="center"/>
          </w:tcPr>
          <w:p w:rsidR="00DE314D" w:rsidRPr="009E7D16" w:rsidRDefault="00DE314D">
            <w:pPr>
              <w:ind w:right="-29"/>
              <w:jc w:val="center"/>
              <w:rPr>
                <w:noProof/>
                <w:sz w:val="18"/>
                <w:szCs w:val="18"/>
              </w:rPr>
            </w:pPr>
          </w:p>
        </w:tc>
        <w:tc>
          <w:tcPr>
            <w:tcW w:w="12185" w:type="dxa"/>
            <w:gridSpan w:val="19"/>
            <w:vAlign w:val="center"/>
          </w:tcPr>
          <w:p w:rsidR="00DE314D" w:rsidRPr="009E7D16" w:rsidRDefault="00DE314D">
            <w:pPr>
              <w:spacing w:before="60" w:after="60"/>
              <w:ind w:right="-29"/>
              <w:jc w:val="center"/>
              <w:rPr>
                <w:noProof/>
                <w:sz w:val="18"/>
                <w:szCs w:val="18"/>
              </w:rPr>
            </w:pPr>
            <w:r w:rsidRPr="009E7D16">
              <w:rPr>
                <w:b/>
                <w:noProof/>
                <w:sz w:val="18"/>
              </w:rPr>
              <w:t>RÉALISATIONS (outputs)</w:t>
            </w:r>
          </w:p>
        </w:tc>
      </w:tr>
      <w:tr w:rsidR="00AC781E" w:rsidRPr="009E7D16" w:rsidTr="00D91278">
        <w:trPr>
          <w:cantSplit/>
          <w:trHeight w:val="1134"/>
          <w:jc w:val="center"/>
        </w:trPr>
        <w:tc>
          <w:tcPr>
            <w:tcW w:w="1423" w:type="dxa"/>
            <w:vMerge/>
            <w:vAlign w:val="center"/>
          </w:tcPr>
          <w:p w:rsidR="00DE314D" w:rsidRPr="009E7D16" w:rsidRDefault="00DE314D">
            <w:pPr>
              <w:rPr>
                <w:noProof/>
                <w:sz w:val="18"/>
                <w:szCs w:val="18"/>
              </w:rPr>
            </w:pPr>
          </w:p>
        </w:tc>
        <w:tc>
          <w:tcPr>
            <w:tcW w:w="720" w:type="dxa"/>
            <w:vAlign w:val="center"/>
          </w:tcPr>
          <w:p w:rsidR="00DE314D" w:rsidRPr="009E7D16" w:rsidRDefault="00DE314D">
            <w:pPr>
              <w:jc w:val="center"/>
              <w:rPr>
                <w:noProof/>
                <w:sz w:val="18"/>
                <w:szCs w:val="18"/>
              </w:rPr>
            </w:pPr>
            <w:r w:rsidRPr="009E7D16">
              <w:rPr>
                <w:noProof/>
                <w:sz w:val="18"/>
              </w:rPr>
              <w:t>Type</w:t>
            </w:r>
            <w:r w:rsidRPr="009E7D16">
              <w:rPr>
                <w:rStyle w:val="FootnoteReference"/>
                <w:noProof/>
                <w:sz w:val="18"/>
                <w:szCs w:val="18"/>
              </w:rPr>
              <w:footnoteReference w:id="49"/>
            </w:r>
          </w:p>
          <w:p w:rsidR="00DE314D" w:rsidRPr="009E7D16" w:rsidRDefault="00DE314D">
            <w:pPr>
              <w:spacing w:before="0" w:after="0"/>
              <w:jc w:val="center"/>
              <w:rPr>
                <w:noProof/>
                <w:sz w:val="18"/>
                <w:szCs w:val="18"/>
              </w:rPr>
            </w:pPr>
          </w:p>
        </w:tc>
        <w:tc>
          <w:tcPr>
            <w:tcW w:w="778" w:type="dxa"/>
            <w:vAlign w:val="center"/>
          </w:tcPr>
          <w:p w:rsidR="00DE314D" w:rsidRPr="009E7D16" w:rsidRDefault="00DE314D">
            <w:pPr>
              <w:jc w:val="center"/>
              <w:rPr>
                <w:noProof/>
                <w:sz w:val="18"/>
                <w:szCs w:val="18"/>
              </w:rPr>
            </w:pPr>
            <w:r w:rsidRPr="009E7D16">
              <w:rPr>
                <w:noProof/>
                <w:sz w:val="18"/>
              </w:rPr>
              <w:t>Coût moyen</w:t>
            </w:r>
          </w:p>
        </w:tc>
        <w:tc>
          <w:tcPr>
            <w:tcW w:w="427" w:type="dxa"/>
            <w:tcBorders>
              <w:left w:val="nil"/>
              <w:right w:val="dashSmallGap" w:sz="4" w:space="0" w:color="auto"/>
            </w:tcBorders>
            <w:textDirection w:val="btLr"/>
            <w:vAlign w:val="center"/>
          </w:tcPr>
          <w:p w:rsidR="00DE314D" w:rsidRPr="009E7D16" w:rsidRDefault="00DE314D">
            <w:pPr>
              <w:ind w:left="113" w:right="113"/>
              <w:jc w:val="center"/>
              <w:rPr>
                <w:noProof/>
                <w:sz w:val="18"/>
                <w:szCs w:val="18"/>
              </w:rPr>
            </w:pPr>
            <w:r w:rsidRPr="009E7D16">
              <w:rPr>
                <w:noProof/>
                <w:sz w:val="18"/>
              </w:rPr>
              <w:t>Nbre</w:t>
            </w:r>
          </w:p>
        </w:tc>
        <w:tc>
          <w:tcPr>
            <w:tcW w:w="720" w:type="dxa"/>
            <w:tcBorders>
              <w:left w:val="dashSmallGap" w:sz="4" w:space="0" w:color="auto"/>
            </w:tcBorders>
            <w:vAlign w:val="center"/>
          </w:tcPr>
          <w:p w:rsidR="00DE314D" w:rsidRPr="009E7D16" w:rsidRDefault="00DE314D">
            <w:pPr>
              <w:jc w:val="center"/>
              <w:rPr>
                <w:noProof/>
                <w:sz w:val="18"/>
                <w:szCs w:val="18"/>
              </w:rPr>
            </w:pPr>
            <w:r w:rsidRPr="009E7D16">
              <w:rPr>
                <w:noProof/>
                <w:sz w:val="18"/>
              </w:rPr>
              <w:t>Coût</w:t>
            </w:r>
          </w:p>
        </w:tc>
        <w:tc>
          <w:tcPr>
            <w:tcW w:w="540" w:type="dxa"/>
            <w:tcBorders>
              <w:right w:val="dashSmallGap" w:sz="4" w:space="0" w:color="auto"/>
            </w:tcBorders>
            <w:textDirection w:val="btLr"/>
            <w:vAlign w:val="center"/>
          </w:tcPr>
          <w:p w:rsidR="00DE314D" w:rsidRPr="009E7D16" w:rsidRDefault="00DE314D">
            <w:pPr>
              <w:ind w:left="113" w:right="113"/>
              <w:jc w:val="center"/>
              <w:rPr>
                <w:noProof/>
                <w:sz w:val="18"/>
                <w:szCs w:val="18"/>
              </w:rPr>
            </w:pPr>
            <w:r w:rsidRPr="009E7D16">
              <w:rPr>
                <w:noProof/>
                <w:sz w:val="18"/>
              </w:rPr>
              <w:t>Nbre</w:t>
            </w:r>
          </w:p>
        </w:tc>
        <w:tc>
          <w:tcPr>
            <w:tcW w:w="720" w:type="dxa"/>
            <w:tcBorders>
              <w:left w:val="dashSmallGap" w:sz="4" w:space="0" w:color="auto"/>
            </w:tcBorders>
            <w:vAlign w:val="center"/>
          </w:tcPr>
          <w:p w:rsidR="00DE314D" w:rsidRPr="009E7D16" w:rsidRDefault="00DE314D">
            <w:pPr>
              <w:jc w:val="center"/>
              <w:rPr>
                <w:noProof/>
                <w:sz w:val="18"/>
                <w:szCs w:val="18"/>
              </w:rPr>
            </w:pPr>
            <w:r w:rsidRPr="009E7D16">
              <w:rPr>
                <w:noProof/>
                <w:sz w:val="18"/>
              </w:rPr>
              <w:t>Coût</w:t>
            </w:r>
          </w:p>
        </w:tc>
        <w:tc>
          <w:tcPr>
            <w:tcW w:w="720" w:type="dxa"/>
            <w:tcBorders>
              <w:right w:val="dashSmallGap" w:sz="4" w:space="0" w:color="auto"/>
            </w:tcBorders>
            <w:textDirection w:val="btLr"/>
            <w:vAlign w:val="center"/>
          </w:tcPr>
          <w:p w:rsidR="00DE314D" w:rsidRPr="009E7D16" w:rsidRDefault="00DE314D">
            <w:pPr>
              <w:ind w:left="113" w:right="113"/>
              <w:jc w:val="center"/>
              <w:rPr>
                <w:noProof/>
                <w:sz w:val="18"/>
                <w:szCs w:val="18"/>
              </w:rPr>
            </w:pPr>
            <w:r w:rsidRPr="009E7D16">
              <w:rPr>
                <w:noProof/>
                <w:sz w:val="18"/>
              </w:rPr>
              <w:t>Nbre</w:t>
            </w:r>
          </w:p>
        </w:tc>
        <w:tc>
          <w:tcPr>
            <w:tcW w:w="720" w:type="dxa"/>
            <w:tcBorders>
              <w:left w:val="dashSmallGap" w:sz="4" w:space="0" w:color="auto"/>
            </w:tcBorders>
            <w:vAlign w:val="center"/>
          </w:tcPr>
          <w:p w:rsidR="00DE314D" w:rsidRPr="009E7D16" w:rsidRDefault="00DE314D">
            <w:pPr>
              <w:jc w:val="center"/>
              <w:rPr>
                <w:noProof/>
                <w:sz w:val="18"/>
                <w:szCs w:val="18"/>
              </w:rPr>
            </w:pPr>
            <w:r w:rsidRPr="009E7D16">
              <w:rPr>
                <w:noProof/>
                <w:sz w:val="18"/>
              </w:rPr>
              <w:t>Coût</w:t>
            </w:r>
          </w:p>
        </w:tc>
        <w:tc>
          <w:tcPr>
            <w:tcW w:w="900" w:type="dxa"/>
            <w:tcBorders>
              <w:right w:val="dashSmallGap" w:sz="4" w:space="0" w:color="auto"/>
            </w:tcBorders>
            <w:textDirection w:val="btLr"/>
            <w:vAlign w:val="center"/>
          </w:tcPr>
          <w:p w:rsidR="00DE314D" w:rsidRPr="009E7D16" w:rsidRDefault="00DE314D">
            <w:pPr>
              <w:ind w:left="113" w:right="113"/>
              <w:jc w:val="center"/>
              <w:rPr>
                <w:noProof/>
                <w:sz w:val="18"/>
                <w:szCs w:val="18"/>
              </w:rPr>
            </w:pPr>
            <w:r w:rsidRPr="009E7D16">
              <w:rPr>
                <w:noProof/>
                <w:sz w:val="18"/>
              </w:rPr>
              <w:t>Nbre</w:t>
            </w:r>
          </w:p>
        </w:tc>
        <w:tc>
          <w:tcPr>
            <w:tcW w:w="720" w:type="dxa"/>
            <w:gridSpan w:val="2"/>
            <w:tcBorders>
              <w:left w:val="dashSmallGap" w:sz="4" w:space="0" w:color="auto"/>
            </w:tcBorders>
            <w:vAlign w:val="center"/>
          </w:tcPr>
          <w:p w:rsidR="00DE314D" w:rsidRPr="009E7D16" w:rsidRDefault="00DE314D">
            <w:pPr>
              <w:jc w:val="center"/>
              <w:rPr>
                <w:noProof/>
                <w:sz w:val="18"/>
                <w:szCs w:val="18"/>
              </w:rPr>
            </w:pPr>
            <w:r w:rsidRPr="009E7D16">
              <w:rPr>
                <w:noProof/>
                <w:sz w:val="18"/>
              </w:rPr>
              <w:t>Coût</w:t>
            </w:r>
          </w:p>
        </w:tc>
        <w:tc>
          <w:tcPr>
            <w:tcW w:w="540" w:type="dxa"/>
            <w:tcBorders>
              <w:right w:val="dashSmallGap" w:sz="4" w:space="0" w:color="auto"/>
            </w:tcBorders>
            <w:textDirection w:val="btLr"/>
            <w:vAlign w:val="center"/>
          </w:tcPr>
          <w:p w:rsidR="00DE314D" w:rsidRPr="009E7D16" w:rsidRDefault="00DE314D">
            <w:pPr>
              <w:ind w:left="113" w:right="113"/>
              <w:jc w:val="center"/>
              <w:rPr>
                <w:noProof/>
                <w:sz w:val="18"/>
                <w:szCs w:val="18"/>
              </w:rPr>
            </w:pPr>
            <w:r w:rsidRPr="009E7D16">
              <w:rPr>
                <w:noProof/>
                <w:sz w:val="18"/>
              </w:rPr>
              <w:t>Nbre</w:t>
            </w:r>
          </w:p>
        </w:tc>
        <w:tc>
          <w:tcPr>
            <w:tcW w:w="648" w:type="dxa"/>
            <w:tcBorders>
              <w:left w:val="dashSmallGap" w:sz="4" w:space="0" w:color="auto"/>
            </w:tcBorders>
            <w:vAlign w:val="center"/>
          </w:tcPr>
          <w:p w:rsidR="00DE314D" w:rsidRPr="009E7D16" w:rsidRDefault="00DE314D">
            <w:pPr>
              <w:jc w:val="center"/>
              <w:rPr>
                <w:noProof/>
                <w:sz w:val="18"/>
                <w:szCs w:val="18"/>
              </w:rPr>
            </w:pPr>
            <w:r w:rsidRPr="009E7D16">
              <w:rPr>
                <w:noProof/>
                <w:sz w:val="18"/>
              </w:rPr>
              <w:t>Coût</w:t>
            </w:r>
          </w:p>
        </w:tc>
        <w:tc>
          <w:tcPr>
            <w:tcW w:w="432" w:type="dxa"/>
            <w:tcBorders>
              <w:right w:val="dashSmallGap" w:sz="4" w:space="0" w:color="auto"/>
            </w:tcBorders>
            <w:textDirection w:val="btLr"/>
            <w:vAlign w:val="center"/>
          </w:tcPr>
          <w:p w:rsidR="00DE314D" w:rsidRPr="009E7D16" w:rsidRDefault="00DE314D">
            <w:pPr>
              <w:ind w:left="113" w:right="113"/>
              <w:jc w:val="center"/>
              <w:rPr>
                <w:noProof/>
                <w:sz w:val="18"/>
                <w:szCs w:val="18"/>
              </w:rPr>
            </w:pPr>
            <w:r w:rsidRPr="009E7D16">
              <w:rPr>
                <w:noProof/>
                <w:sz w:val="18"/>
              </w:rPr>
              <w:t>Nbre</w:t>
            </w:r>
          </w:p>
        </w:tc>
        <w:tc>
          <w:tcPr>
            <w:tcW w:w="720" w:type="dxa"/>
            <w:tcBorders>
              <w:left w:val="dashSmallGap" w:sz="4" w:space="0" w:color="auto"/>
            </w:tcBorders>
            <w:vAlign w:val="center"/>
          </w:tcPr>
          <w:p w:rsidR="00DE314D" w:rsidRPr="009E7D16" w:rsidRDefault="00DE314D">
            <w:pPr>
              <w:jc w:val="center"/>
              <w:rPr>
                <w:noProof/>
                <w:sz w:val="18"/>
                <w:szCs w:val="18"/>
              </w:rPr>
            </w:pPr>
            <w:r w:rsidRPr="009E7D16">
              <w:rPr>
                <w:noProof/>
                <w:sz w:val="18"/>
              </w:rPr>
              <w:t>Coût</w:t>
            </w:r>
          </w:p>
        </w:tc>
        <w:tc>
          <w:tcPr>
            <w:tcW w:w="540" w:type="dxa"/>
            <w:tcBorders>
              <w:right w:val="dashSmallGap" w:sz="4" w:space="0" w:color="auto"/>
            </w:tcBorders>
            <w:textDirection w:val="btLr"/>
            <w:vAlign w:val="center"/>
          </w:tcPr>
          <w:p w:rsidR="00DE314D" w:rsidRPr="009E7D16" w:rsidRDefault="00DE314D">
            <w:pPr>
              <w:ind w:left="113" w:right="113"/>
              <w:jc w:val="center"/>
              <w:rPr>
                <w:noProof/>
                <w:sz w:val="18"/>
                <w:szCs w:val="18"/>
              </w:rPr>
            </w:pPr>
            <w:r w:rsidRPr="009E7D16">
              <w:rPr>
                <w:noProof/>
                <w:sz w:val="18"/>
              </w:rPr>
              <w:t>Nbre</w:t>
            </w:r>
          </w:p>
        </w:tc>
        <w:tc>
          <w:tcPr>
            <w:tcW w:w="720" w:type="dxa"/>
            <w:tcBorders>
              <w:left w:val="dashSmallGap" w:sz="4" w:space="0" w:color="auto"/>
            </w:tcBorders>
            <w:vAlign w:val="center"/>
          </w:tcPr>
          <w:p w:rsidR="00DE314D" w:rsidRPr="009E7D16" w:rsidRDefault="00DE314D">
            <w:pPr>
              <w:jc w:val="center"/>
              <w:rPr>
                <w:noProof/>
                <w:sz w:val="18"/>
                <w:szCs w:val="18"/>
              </w:rPr>
            </w:pPr>
            <w:r w:rsidRPr="009E7D16">
              <w:rPr>
                <w:noProof/>
                <w:sz w:val="18"/>
              </w:rPr>
              <w:t>Coût</w:t>
            </w:r>
          </w:p>
        </w:tc>
        <w:tc>
          <w:tcPr>
            <w:tcW w:w="720" w:type="dxa"/>
            <w:tcBorders>
              <w:right w:val="dashSmallGap" w:sz="4" w:space="0" w:color="auto"/>
            </w:tcBorders>
            <w:vAlign w:val="center"/>
          </w:tcPr>
          <w:p w:rsidR="00DE314D" w:rsidRPr="009E7D16" w:rsidRDefault="00DE314D">
            <w:pPr>
              <w:jc w:val="center"/>
              <w:rPr>
                <w:noProof/>
                <w:sz w:val="18"/>
                <w:szCs w:val="18"/>
              </w:rPr>
            </w:pPr>
            <w:r w:rsidRPr="009E7D16">
              <w:rPr>
                <w:noProof/>
                <w:sz w:val="18"/>
              </w:rPr>
              <w:t>Nbre total</w:t>
            </w:r>
          </w:p>
        </w:tc>
        <w:tc>
          <w:tcPr>
            <w:tcW w:w="900" w:type="dxa"/>
            <w:tcBorders>
              <w:left w:val="dashSmallGap" w:sz="4" w:space="0" w:color="auto"/>
            </w:tcBorders>
            <w:vAlign w:val="center"/>
          </w:tcPr>
          <w:p w:rsidR="00DE314D" w:rsidRPr="009E7D16" w:rsidRDefault="00DE314D">
            <w:pPr>
              <w:jc w:val="center"/>
              <w:rPr>
                <w:noProof/>
                <w:sz w:val="18"/>
                <w:szCs w:val="18"/>
              </w:rPr>
            </w:pPr>
            <w:r w:rsidRPr="009E7D16">
              <w:rPr>
                <w:noProof/>
                <w:sz w:val="18"/>
              </w:rPr>
              <w:t>Coût total</w:t>
            </w:r>
          </w:p>
        </w:tc>
      </w:tr>
      <w:tr w:rsidR="00AC781E" w:rsidRPr="009E7D16" w:rsidTr="00D91278">
        <w:trPr>
          <w:jc w:val="center"/>
        </w:trPr>
        <w:tc>
          <w:tcPr>
            <w:tcW w:w="2921" w:type="dxa"/>
            <w:gridSpan w:val="3"/>
            <w:vAlign w:val="center"/>
          </w:tcPr>
          <w:p w:rsidR="00DE314D" w:rsidRPr="009E7D16" w:rsidRDefault="00DE314D">
            <w:pPr>
              <w:spacing w:before="60" w:after="60"/>
              <w:ind w:right="-29"/>
              <w:jc w:val="center"/>
              <w:rPr>
                <w:noProof/>
                <w:sz w:val="18"/>
                <w:szCs w:val="18"/>
              </w:rPr>
            </w:pPr>
            <w:r w:rsidRPr="009E7D16">
              <w:rPr>
                <w:noProof/>
                <w:sz w:val="18"/>
              </w:rPr>
              <w:t>OBJECTIF SPÉCIFIQUE nº 1</w:t>
            </w:r>
            <w:r w:rsidRPr="009E7D16">
              <w:rPr>
                <w:rStyle w:val="FootnoteReference"/>
                <w:noProof/>
                <w:sz w:val="18"/>
                <w:szCs w:val="18"/>
              </w:rPr>
              <w:footnoteReference w:id="50"/>
            </w:r>
            <w:r w:rsidRPr="009E7D16">
              <w:rPr>
                <w:noProof/>
                <w:sz w:val="18"/>
              </w:rPr>
              <w:t>...</w:t>
            </w:r>
          </w:p>
        </w:tc>
        <w:tc>
          <w:tcPr>
            <w:tcW w:w="427"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90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gridSpan w:val="2"/>
            <w:tcBorders>
              <w:top w:val="nil"/>
              <w:left w:val="nil"/>
              <w:bottom w:val="nil"/>
              <w:right w:val="nil"/>
            </w:tcBorders>
          </w:tcPr>
          <w:p w:rsidR="00DE314D" w:rsidRPr="009E7D16"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648"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432"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900" w:type="dxa"/>
            <w:tcBorders>
              <w:top w:val="nil"/>
              <w:left w:val="nil"/>
              <w:bottom w:val="nil"/>
              <w:right w:val="nil"/>
            </w:tcBorders>
          </w:tcPr>
          <w:p w:rsidR="00DE314D" w:rsidRPr="009E7D16" w:rsidRDefault="00DE314D">
            <w:pPr>
              <w:spacing w:before="60" w:after="60"/>
              <w:ind w:right="-29"/>
              <w:jc w:val="center"/>
              <w:rPr>
                <w:noProof/>
                <w:sz w:val="18"/>
                <w:szCs w:val="18"/>
              </w:rPr>
            </w:pPr>
          </w:p>
        </w:tc>
      </w:tr>
      <w:tr w:rsidR="00AC781E" w:rsidRPr="009E7D16" w:rsidTr="00D91278">
        <w:trPr>
          <w:trHeight w:hRule="exact" w:val="369"/>
          <w:jc w:val="center"/>
        </w:trPr>
        <w:tc>
          <w:tcPr>
            <w:tcW w:w="1423" w:type="dxa"/>
          </w:tcPr>
          <w:p w:rsidR="00DE314D" w:rsidRPr="009E7D16" w:rsidRDefault="00DE314D">
            <w:pPr>
              <w:ind w:right="-29"/>
              <w:jc w:val="center"/>
              <w:rPr>
                <w:noProof/>
                <w:sz w:val="18"/>
                <w:szCs w:val="18"/>
              </w:rPr>
            </w:pPr>
            <w:r w:rsidRPr="009E7D16">
              <w:rPr>
                <w:noProof/>
                <w:sz w:val="18"/>
              </w:rPr>
              <w:t>- Réalisation</w:t>
            </w:r>
          </w:p>
        </w:tc>
        <w:tc>
          <w:tcPr>
            <w:tcW w:w="720" w:type="dxa"/>
          </w:tcPr>
          <w:p w:rsidR="00DE314D" w:rsidRPr="009E7D16" w:rsidRDefault="00DE314D">
            <w:pPr>
              <w:ind w:right="-29"/>
              <w:jc w:val="center"/>
              <w:rPr>
                <w:noProof/>
                <w:sz w:val="18"/>
                <w:szCs w:val="18"/>
              </w:rPr>
            </w:pPr>
          </w:p>
        </w:tc>
        <w:tc>
          <w:tcPr>
            <w:tcW w:w="778" w:type="dxa"/>
          </w:tcPr>
          <w:p w:rsidR="00DE314D" w:rsidRPr="009E7D16" w:rsidRDefault="00DE314D">
            <w:pPr>
              <w:ind w:right="-29"/>
              <w:jc w:val="center"/>
              <w:rPr>
                <w:noProof/>
                <w:sz w:val="18"/>
                <w:szCs w:val="18"/>
              </w:rPr>
            </w:pPr>
          </w:p>
        </w:tc>
        <w:tc>
          <w:tcPr>
            <w:tcW w:w="427" w:type="dxa"/>
            <w:tcBorders>
              <w:right w:val="dashSmallGap" w:sz="4" w:space="0" w:color="auto"/>
            </w:tcBorders>
          </w:tcPr>
          <w:p w:rsidR="00DE314D" w:rsidRPr="009E7D16" w:rsidRDefault="00DE314D">
            <w:pPr>
              <w:ind w:right="-29"/>
              <w:jc w:val="center"/>
              <w:rPr>
                <w:noProof/>
                <w:sz w:val="18"/>
                <w:szCs w:val="18"/>
              </w:rPr>
            </w:pPr>
          </w:p>
        </w:tc>
        <w:tc>
          <w:tcPr>
            <w:tcW w:w="720" w:type="dxa"/>
            <w:tcBorders>
              <w:left w:val="dashSmallGap" w:sz="4" w:space="0" w:color="auto"/>
            </w:tcBorders>
          </w:tcPr>
          <w:p w:rsidR="00DE314D" w:rsidRPr="009E7D16" w:rsidRDefault="00DE314D">
            <w:pPr>
              <w:ind w:right="-29"/>
              <w:jc w:val="center"/>
              <w:rPr>
                <w:noProof/>
                <w:sz w:val="18"/>
                <w:szCs w:val="18"/>
              </w:rPr>
            </w:pPr>
          </w:p>
        </w:tc>
        <w:tc>
          <w:tcPr>
            <w:tcW w:w="540" w:type="dxa"/>
            <w:tcBorders>
              <w:right w:val="dashSmallGap" w:sz="4" w:space="0" w:color="auto"/>
            </w:tcBorders>
          </w:tcPr>
          <w:p w:rsidR="00DE314D" w:rsidRPr="009E7D16" w:rsidRDefault="00DE314D">
            <w:pPr>
              <w:ind w:right="-29"/>
              <w:jc w:val="center"/>
              <w:rPr>
                <w:noProof/>
                <w:sz w:val="18"/>
                <w:szCs w:val="18"/>
              </w:rPr>
            </w:pPr>
          </w:p>
        </w:tc>
        <w:tc>
          <w:tcPr>
            <w:tcW w:w="720" w:type="dxa"/>
            <w:tcBorders>
              <w:left w:val="dashSmallGap" w:sz="4" w:space="0" w:color="auto"/>
            </w:tcBorders>
          </w:tcPr>
          <w:p w:rsidR="00DE314D" w:rsidRPr="009E7D16" w:rsidRDefault="00DE314D">
            <w:pPr>
              <w:ind w:right="-29"/>
              <w:jc w:val="center"/>
              <w:rPr>
                <w:noProof/>
                <w:sz w:val="18"/>
                <w:szCs w:val="18"/>
              </w:rPr>
            </w:pPr>
          </w:p>
        </w:tc>
        <w:tc>
          <w:tcPr>
            <w:tcW w:w="720" w:type="dxa"/>
            <w:tcBorders>
              <w:right w:val="dashSmallGap" w:sz="4" w:space="0" w:color="auto"/>
            </w:tcBorders>
          </w:tcPr>
          <w:p w:rsidR="00DE314D" w:rsidRPr="009E7D16" w:rsidRDefault="00DE314D">
            <w:pPr>
              <w:ind w:right="-29"/>
              <w:jc w:val="center"/>
              <w:rPr>
                <w:noProof/>
                <w:sz w:val="18"/>
                <w:szCs w:val="18"/>
              </w:rPr>
            </w:pPr>
          </w:p>
        </w:tc>
        <w:tc>
          <w:tcPr>
            <w:tcW w:w="720" w:type="dxa"/>
            <w:tcBorders>
              <w:left w:val="dashSmallGap" w:sz="4" w:space="0" w:color="auto"/>
            </w:tcBorders>
          </w:tcPr>
          <w:p w:rsidR="00DE314D" w:rsidRPr="009E7D16" w:rsidRDefault="00DE314D">
            <w:pPr>
              <w:ind w:right="-29"/>
              <w:jc w:val="center"/>
              <w:rPr>
                <w:noProof/>
                <w:sz w:val="18"/>
                <w:szCs w:val="18"/>
              </w:rPr>
            </w:pPr>
          </w:p>
        </w:tc>
        <w:tc>
          <w:tcPr>
            <w:tcW w:w="900" w:type="dxa"/>
            <w:tcBorders>
              <w:right w:val="dashSmallGap" w:sz="4" w:space="0" w:color="auto"/>
            </w:tcBorders>
          </w:tcPr>
          <w:p w:rsidR="00DE314D" w:rsidRPr="009E7D16" w:rsidRDefault="00DE314D">
            <w:pPr>
              <w:ind w:right="-29"/>
              <w:jc w:val="center"/>
              <w:rPr>
                <w:noProof/>
                <w:sz w:val="18"/>
                <w:szCs w:val="18"/>
              </w:rPr>
            </w:pPr>
          </w:p>
        </w:tc>
        <w:tc>
          <w:tcPr>
            <w:tcW w:w="720" w:type="dxa"/>
            <w:gridSpan w:val="2"/>
            <w:tcBorders>
              <w:left w:val="dashSmallGap" w:sz="4" w:space="0" w:color="auto"/>
            </w:tcBorders>
          </w:tcPr>
          <w:p w:rsidR="00DE314D" w:rsidRPr="009E7D16" w:rsidRDefault="00DE314D">
            <w:pPr>
              <w:ind w:right="-29"/>
              <w:jc w:val="center"/>
              <w:rPr>
                <w:noProof/>
                <w:sz w:val="18"/>
                <w:szCs w:val="18"/>
              </w:rPr>
            </w:pPr>
          </w:p>
        </w:tc>
        <w:tc>
          <w:tcPr>
            <w:tcW w:w="540" w:type="dxa"/>
            <w:tcBorders>
              <w:right w:val="dashSmallGap" w:sz="4" w:space="0" w:color="auto"/>
            </w:tcBorders>
          </w:tcPr>
          <w:p w:rsidR="00DE314D" w:rsidRPr="009E7D16" w:rsidRDefault="00DE314D">
            <w:pPr>
              <w:ind w:right="-29"/>
              <w:jc w:val="center"/>
              <w:rPr>
                <w:noProof/>
                <w:sz w:val="18"/>
                <w:szCs w:val="18"/>
              </w:rPr>
            </w:pPr>
          </w:p>
        </w:tc>
        <w:tc>
          <w:tcPr>
            <w:tcW w:w="648" w:type="dxa"/>
            <w:tcBorders>
              <w:left w:val="dashSmallGap" w:sz="4" w:space="0" w:color="auto"/>
            </w:tcBorders>
          </w:tcPr>
          <w:p w:rsidR="00DE314D" w:rsidRPr="009E7D16" w:rsidRDefault="00DE314D">
            <w:pPr>
              <w:ind w:right="-29"/>
              <w:jc w:val="center"/>
              <w:rPr>
                <w:noProof/>
                <w:sz w:val="18"/>
                <w:szCs w:val="18"/>
              </w:rPr>
            </w:pPr>
          </w:p>
        </w:tc>
        <w:tc>
          <w:tcPr>
            <w:tcW w:w="432" w:type="dxa"/>
            <w:tcBorders>
              <w:right w:val="dashSmallGap" w:sz="4" w:space="0" w:color="auto"/>
            </w:tcBorders>
          </w:tcPr>
          <w:p w:rsidR="00DE314D" w:rsidRPr="009E7D16" w:rsidRDefault="00DE314D">
            <w:pPr>
              <w:ind w:right="-29"/>
              <w:jc w:val="center"/>
              <w:rPr>
                <w:noProof/>
                <w:sz w:val="18"/>
                <w:szCs w:val="18"/>
              </w:rPr>
            </w:pPr>
          </w:p>
        </w:tc>
        <w:tc>
          <w:tcPr>
            <w:tcW w:w="720" w:type="dxa"/>
            <w:tcBorders>
              <w:left w:val="dashSmallGap" w:sz="4" w:space="0" w:color="auto"/>
            </w:tcBorders>
          </w:tcPr>
          <w:p w:rsidR="00DE314D" w:rsidRPr="009E7D16" w:rsidRDefault="00DE314D">
            <w:pPr>
              <w:ind w:right="-29"/>
              <w:jc w:val="center"/>
              <w:rPr>
                <w:noProof/>
                <w:sz w:val="18"/>
                <w:szCs w:val="18"/>
              </w:rPr>
            </w:pPr>
          </w:p>
        </w:tc>
        <w:tc>
          <w:tcPr>
            <w:tcW w:w="540" w:type="dxa"/>
            <w:tcBorders>
              <w:right w:val="dashSmallGap" w:sz="4" w:space="0" w:color="auto"/>
            </w:tcBorders>
          </w:tcPr>
          <w:p w:rsidR="00DE314D" w:rsidRPr="009E7D16" w:rsidRDefault="00DE314D">
            <w:pPr>
              <w:ind w:right="-29"/>
              <w:jc w:val="center"/>
              <w:rPr>
                <w:noProof/>
                <w:sz w:val="18"/>
                <w:szCs w:val="18"/>
              </w:rPr>
            </w:pPr>
          </w:p>
        </w:tc>
        <w:tc>
          <w:tcPr>
            <w:tcW w:w="720" w:type="dxa"/>
            <w:tcBorders>
              <w:left w:val="dashSmallGap" w:sz="4" w:space="0" w:color="auto"/>
            </w:tcBorders>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900" w:type="dxa"/>
          </w:tcPr>
          <w:p w:rsidR="00DE314D" w:rsidRPr="009E7D16" w:rsidRDefault="00DE314D">
            <w:pPr>
              <w:ind w:right="-29"/>
              <w:jc w:val="center"/>
              <w:rPr>
                <w:noProof/>
                <w:sz w:val="18"/>
                <w:szCs w:val="18"/>
              </w:rPr>
            </w:pPr>
          </w:p>
        </w:tc>
      </w:tr>
      <w:tr w:rsidR="00AC781E" w:rsidRPr="009E7D16" w:rsidTr="00D91278">
        <w:trPr>
          <w:trHeight w:hRule="exact" w:val="369"/>
          <w:jc w:val="center"/>
        </w:trPr>
        <w:tc>
          <w:tcPr>
            <w:tcW w:w="1423" w:type="dxa"/>
          </w:tcPr>
          <w:p w:rsidR="00DE314D" w:rsidRPr="009E7D16" w:rsidRDefault="00DE314D">
            <w:pPr>
              <w:ind w:right="-29"/>
              <w:jc w:val="center"/>
              <w:rPr>
                <w:noProof/>
                <w:sz w:val="18"/>
                <w:szCs w:val="18"/>
              </w:rPr>
            </w:pPr>
            <w:r w:rsidRPr="009E7D16">
              <w:rPr>
                <w:noProof/>
                <w:sz w:val="18"/>
              </w:rPr>
              <w:t>- Réalisation</w:t>
            </w:r>
          </w:p>
        </w:tc>
        <w:tc>
          <w:tcPr>
            <w:tcW w:w="720" w:type="dxa"/>
          </w:tcPr>
          <w:p w:rsidR="00DE314D" w:rsidRPr="009E7D16" w:rsidRDefault="00DE314D">
            <w:pPr>
              <w:ind w:right="-29"/>
              <w:jc w:val="center"/>
              <w:rPr>
                <w:noProof/>
                <w:sz w:val="18"/>
                <w:szCs w:val="18"/>
              </w:rPr>
            </w:pPr>
          </w:p>
        </w:tc>
        <w:tc>
          <w:tcPr>
            <w:tcW w:w="778" w:type="dxa"/>
          </w:tcPr>
          <w:p w:rsidR="00DE314D" w:rsidRPr="009E7D16" w:rsidRDefault="00DE314D">
            <w:pPr>
              <w:ind w:right="-29"/>
              <w:jc w:val="center"/>
              <w:rPr>
                <w:noProof/>
                <w:sz w:val="18"/>
                <w:szCs w:val="18"/>
              </w:rPr>
            </w:pPr>
          </w:p>
        </w:tc>
        <w:tc>
          <w:tcPr>
            <w:tcW w:w="427" w:type="dxa"/>
            <w:tcBorders>
              <w:right w:val="dashSmallGap" w:sz="4" w:space="0" w:color="auto"/>
            </w:tcBorders>
          </w:tcPr>
          <w:p w:rsidR="00DE314D" w:rsidRPr="009E7D16" w:rsidRDefault="00DE314D">
            <w:pPr>
              <w:ind w:right="-29"/>
              <w:jc w:val="center"/>
              <w:rPr>
                <w:noProof/>
                <w:sz w:val="18"/>
                <w:szCs w:val="18"/>
              </w:rPr>
            </w:pPr>
          </w:p>
        </w:tc>
        <w:tc>
          <w:tcPr>
            <w:tcW w:w="720" w:type="dxa"/>
            <w:tcBorders>
              <w:left w:val="dashSmallGap" w:sz="4" w:space="0" w:color="auto"/>
            </w:tcBorders>
          </w:tcPr>
          <w:p w:rsidR="00DE314D" w:rsidRPr="009E7D16" w:rsidRDefault="00DE314D">
            <w:pPr>
              <w:ind w:right="-29"/>
              <w:jc w:val="center"/>
              <w:rPr>
                <w:noProof/>
                <w:sz w:val="18"/>
                <w:szCs w:val="18"/>
              </w:rPr>
            </w:pPr>
          </w:p>
        </w:tc>
        <w:tc>
          <w:tcPr>
            <w:tcW w:w="540" w:type="dxa"/>
            <w:tcBorders>
              <w:right w:val="dashSmallGap" w:sz="4" w:space="0" w:color="auto"/>
            </w:tcBorders>
          </w:tcPr>
          <w:p w:rsidR="00DE314D" w:rsidRPr="009E7D16" w:rsidRDefault="00DE314D">
            <w:pPr>
              <w:ind w:right="-29"/>
              <w:jc w:val="center"/>
              <w:rPr>
                <w:noProof/>
                <w:sz w:val="18"/>
                <w:szCs w:val="18"/>
              </w:rPr>
            </w:pPr>
          </w:p>
        </w:tc>
        <w:tc>
          <w:tcPr>
            <w:tcW w:w="720" w:type="dxa"/>
            <w:tcBorders>
              <w:left w:val="dashSmallGap" w:sz="4" w:space="0" w:color="auto"/>
            </w:tcBorders>
          </w:tcPr>
          <w:p w:rsidR="00DE314D" w:rsidRPr="009E7D16" w:rsidRDefault="00DE314D">
            <w:pPr>
              <w:ind w:right="-29"/>
              <w:jc w:val="center"/>
              <w:rPr>
                <w:noProof/>
                <w:sz w:val="18"/>
                <w:szCs w:val="18"/>
              </w:rPr>
            </w:pPr>
          </w:p>
        </w:tc>
        <w:tc>
          <w:tcPr>
            <w:tcW w:w="720" w:type="dxa"/>
            <w:tcBorders>
              <w:right w:val="dashSmallGap" w:sz="4" w:space="0" w:color="auto"/>
            </w:tcBorders>
          </w:tcPr>
          <w:p w:rsidR="00DE314D" w:rsidRPr="009E7D16" w:rsidRDefault="00DE314D">
            <w:pPr>
              <w:ind w:right="-29"/>
              <w:jc w:val="center"/>
              <w:rPr>
                <w:noProof/>
                <w:sz w:val="18"/>
                <w:szCs w:val="18"/>
              </w:rPr>
            </w:pPr>
          </w:p>
        </w:tc>
        <w:tc>
          <w:tcPr>
            <w:tcW w:w="720" w:type="dxa"/>
            <w:tcBorders>
              <w:left w:val="dashSmallGap" w:sz="4" w:space="0" w:color="auto"/>
            </w:tcBorders>
          </w:tcPr>
          <w:p w:rsidR="00DE314D" w:rsidRPr="009E7D16" w:rsidRDefault="00DE314D">
            <w:pPr>
              <w:ind w:right="-29"/>
              <w:jc w:val="center"/>
              <w:rPr>
                <w:noProof/>
                <w:sz w:val="18"/>
                <w:szCs w:val="18"/>
              </w:rPr>
            </w:pPr>
          </w:p>
        </w:tc>
        <w:tc>
          <w:tcPr>
            <w:tcW w:w="900" w:type="dxa"/>
            <w:tcBorders>
              <w:right w:val="dashSmallGap" w:sz="4" w:space="0" w:color="auto"/>
            </w:tcBorders>
          </w:tcPr>
          <w:p w:rsidR="00DE314D" w:rsidRPr="009E7D16" w:rsidRDefault="00DE314D">
            <w:pPr>
              <w:ind w:right="-29"/>
              <w:jc w:val="center"/>
              <w:rPr>
                <w:noProof/>
                <w:sz w:val="18"/>
                <w:szCs w:val="18"/>
              </w:rPr>
            </w:pPr>
          </w:p>
        </w:tc>
        <w:tc>
          <w:tcPr>
            <w:tcW w:w="720" w:type="dxa"/>
            <w:gridSpan w:val="2"/>
            <w:tcBorders>
              <w:left w:val="dashSmallGap" w:sz="4" w:space="0" w:color="auto"/>
            </w:tcBorders>
          </w:tcPr>
          <w:p w:rsidR="00DE314D" w:rsidRPr="009E7D16" w:rsidRDefault="00DE314D">
            <w:pPr>
              <w:ind w:right="-29"/>
              <w:jc w:val="center"/>
              <w:rPr>
                <w:noProof/>
                <w:sz w:val="18"/>
                <w:szCs w:val="18"/>
              </w:rPr>
            </w:pPr>
          </w:p>
        </w:tc>
        <w:tc>
          <w:tcPr>
            <w:tcW w:w="540" w:type="dxa"/>
            <w:tcBorders>
              <w:right w:val="dashSmallGap" w:sz="4" w:space="0" w:color="auto"/>
            </w:tcBorders>
          </w:tcPr>
          <w:p w:rsidR="00DE314D" w:rsidRPr="009E7D16" w:rsidRDefault="00DE314D">
            <w:pPr>
              <w:ind w:right="-29"/>
              <w:jc w:val="center"/>
              <w:rPr>
                <w:noProof/>
                <w:sz w:val="18"/>
                <w:szCs w:val="18"/>
              </w:rPr>
            </w:pPr>
          </w:p>
        </w:tc>
        <w:tc>
          <w:tcPr>
            <w:tcW w:w="648" w:type="dxa"/>
            <w:tcBorders>
              <w:left w:val="dashSmallGap" w:sz="4" w:space="0" w:color="auto"/>
            </w:tcBorders>
          </w:tcPr>
          <w:p w:rsidR="00DE314D" w:rsidRPr="009E7D16" w:rsidRDefault="00DE314D">
            <w:pPr>
              <w:ind w:right="-29"/>
              <w:jc w:val="center"/>
              <w:rPr>
                <w:noProof/>
                <w:sz w:val="18"/>
                <w:szCs w:val="18"/>
              </w:rPr>
            </w:pPr>
          </w:p>
        </w:tc>
        <w:tc>
          <w:tcPr>
            <w:tcW w:w="432" w:type="dxa"/>
            <w:tcBorders>
              <w:right w:val="dashSmallGap" w:sz="4" w:space="0" w:color="auto"/>
            </w:tcBorders>
          </w:tcPr>
          <w:p w:rsidR="00DE314D" w:rsidRPr="009E7D16" w:rsidRDefault="00DE314D">
            <w:pPr>
              <w:ind w:right="-29"/>
              <w:jc w:val="center"/>
              <w:rPr>
                <w:noProof/>
                <w:sz w:val="18"/>
                <w:szCs w:val="18"/>
              </w:rPr>
            </w:pPr>
          </w:p>
        </w:tc>
        <w:tc>
          <w:tcPr>
            <w:tcW w:w="720" w:type="dxa"/>
            <w:tcBorders>
              <w:left w:val="dashSmallGap" w:sz="4" w:space="0" w:color="auto"/>
            </w:tcBorders>
          </w:tcPr>
          <w:p w:rsidR="00DE314D" w:rsidRPr="009E7D16" w:rsidRDefault="00DE314D">
            <w:pPr>
              <w:ind w:right="-29"/>
              <w:jc w:val="center"/>
              <w:rPr>
                <w:noProof/>
                <w:sz w:val="18"/>
                <w:szCs w:val="18"/>
              </w:rPr>
            </w:pPr>
          </w:p>
        </w:tc>
        <w:tc>
          <w:tcPr>
            <w:tcW w:w="540" w:type="dxa"/>
            <w:tcBorders>
              <w:right w:val="dashSmallGap" w:sz="4" w:space="0" w:color="auto"/>
            </w:tcBorders>
          </w:tcPr>
          <w:p w:rsidR="00DE314D" w:rsidRPr="009E7D16" w:rsidRDefault="00DE314D">
            <w:pPr>
              <w:ind w:right="-29"/>
              <w:jc w:val="center"/>
              <w:rPr>
                <w:noProof/>
                <w:sz w:val="18"/>
                <w:szCs w:val="18"/>
              </w:rPr>
            </w:pPr>
          </w:p>
        </w:tc>
        <w:tc>
          <w:tcPr>
            <w:tcW w:w="720" w:type="dxa"/>
            <w:tcBorders>
              <w:left w:val="dashSmallGap" w:sz="4" w:space="0" w:color="auto"/>
            </w:tcBorders>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900" w:type="dxa"/>
          </w:tcPr>
          <w:p w:rsidR="00DE314D" w:rsidRPr="009E7D16" w:rsidRDefault="00DE314D">
            <w:pPr>
              <w:ind w:right="-29"/>
              <w:jc w:val="center"/>
              <w:rPr>
                <w:noProof/>
                <w:sz w:val="18"/>
                <w:szCs w:val="18"/>
              </w:rPr>
            </w:pPr>
          </w:p>
        </w:tc>
      </w:tr>
      <w:tr w:rsidR="00AC781E" w:rsidRPr="009E7D16" w:rsidTr="00D91278">
        <w:trPr>
          <w:trHeight w:hRule="exact" w:val="369"/>
          <w:jc w:val="center"/>
        </w:trPr>
        <w:tc>
          <w:tcPr>
            <w:tcW w:w="1423" w:type="dxa"/>
          </w:tcPr>
          <w:p w:rsidR="00DE314D" w:rsidRPr="009E7D16" w:rsidRDefault="00DE314D">
            <w:pPr>
              <w:ind w:right="-29"/>
              <w:jc w:val="center"/>
              <w:rPr>
                <w:noProof/>
                <w:sz w:val="18"/>
                <w:szCs w:val="18"/>
              </w:rPr>
            </w:pPr>
            <w:r w:rsidRPr="009E7D16">
              <w:rPr>
                <w:noProof/>
                <w:sz w:val="18"/>
              </w:rPr>
              <w:t>- Réalisation</w:t>
            </w:r>
          </w:p>
        </w:tc>
        <w:tc>
          <w:tcPr>
            <w:tcW w:w="720" w:type="dxa"/>
          </w:tcPr>
          <w:p w:rsidR="00DE314D" w:rsidRPr="009E7D16" w:rsidRDefault="00DE314D">
            <w:pPr>
              <w:ind w:right="-29"/>
              <w:jc w:val="center"/>
              <w:rPr>
                <w:noProof/>
                <w:sz w:val="18"/>
                <w:szCs w:val="18"/>
              </w:rPr>
            </w:pPr>
          </w:p>
        </w:tc>
        <w:tc>
          <w:tcPr>
            <w:tcW w:w="778" w:type="dxa"/>
          </w:tcPr>
          <w:p w:rsidR="00DE314D" w:rsidRPr="009E7D16" w:rsidRDefault="00DE314D">
            <w:pPr>
              <w:ind w:right="-29"/>
              <w:jc w:val="center"/>
              <w:rPr>
                <w:noProof/>
                <w:sz w:val="18"/>
                <w:szCs w:val="18"/>
              </w:rPr>
            </w:pPr>
          </w:p>
        </w:tc>
        <w:tc>
          <w:tcPr>
            <w:tcW w:w="427" w:type="dxa"/>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540" w:type="dxa"/>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900" w:type="dxa"/>
          </w:tcPr>
          <w:p w:rsidR="00DE314D" w:rsidRPr="009E7D16" w:rsidRDefault="00DE314D">
            <w:pPr>
              <w:ind w:right="-29"/>
              <w:jc w:val="center"/>
              <w:rPr>
                <w:noProof/>
                <w:sz w:val="18"/>
                <w:szCs w:val="18"/>
              </w:rPr>
            </w:pPr>
          </w:p>
        </w:tc>
        <w:tc>
          <w:tcPr>
            <w:tcW w:w="720" w:type="dxa"/>
            <w:gridSpan w:val="2"/>
          </w:tcPr>
          <w:p w:rsidR="00DE314D" w:rsidRPr="009E7D16" w:rsidRDefault="00DE314D">
            <w:pPr>
              <w:ind w:right="-29"/>
              <w:jc w:val="center"/>
              <w:rPr>
                <w:noProof/>
                <w:sz w:val="18"/>
                <w:szCs w:val="18"/>
              </w:rPr>
            </w:pPr>
          </w:p>
        </w:tc>
        <w:tc>
          <w:tcPr>
            <w:tcW w:w="540" w:type="dxa"/>
          </w:tcPr>
          <w:p w:rsidR="00DE314D" w:rsidRPr="009E7D16" w:rsidRDefault="00DE314D">
            <w:pPr>
              <w:ind w:right="-29"/>
              <w:jc w:val="center"/>
              <w:rPr>
                <w:noProof/>
                <w:sz w:val="18"/>
                <w:szCs w:val="18"/>
              </w:rPr>
            </w:pPr>
          </w:p>
        </w:tc>
        <w:tc>
          <w:tcPr>
            <w:tcW w:w="648" w:type="dxa"/>
          </w:tcPr>
          <w:p w:rsidR="00DE314D" w:rsidRPr="009E7D16" w:rsidRDefault="00DE314D">
            <w:pPr>
              <w:ind w:right="-29"/>
              <w:jc w:val="center"/>
              <w:rPr>
                <w:noProof/>
                <w:sz w:val="18"/>
                <w:szCs w:val="18"/>
              </w:rPr>
            </w:pPr>
          </w:p>
        </w:tc>
        <w:tc>
          <w:tcPr>
            <w:tcW w:w="432" w:type="dxa"/>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540" w:type="dxa"/>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900" w:type="dxa"/>
          </w:tcPr>
          <w:p w:rsidR="00DE314D" w:rsidRPr="009E7D16" w:rsidRDefault="00DE314D">
            <w:pPr>
              <w:ind w:right="-29"/>
              <w:jc w:val="center"/>
              <w:rPr>
                <w:noProof/>
                <w:sz w:val="18"/>
                <w:szCs w:val="18"/>
              </w:rPr>
            </w:pPr>
          </w:p>
        </w:tc>
      </w:tr>
      <w:tr w:rsidR="00AC781E" w:rsidRPr="009E7D16" w:rsidTr="00D91278">
        <w:trPr>
          <w:trHeight w:val="77"/>
          <w:jc w:val="center"/>
        </w:trPr>
        <w:tc>
          <w:tcPr>
            <w:tcW w:w="2921" w:type="dxa"/>
            <w:gridSpan w:val="3"/>
            <w:tcBorders>
              <w:bottom w:val="single" w:sz="12" w:space="0" w:color="auto"/>
            </w:tcBorders>
            <w:vAlign w:val="center"/>
          </w:tcPr>
          <w:p w:rsidR="00DE314D" w:rsidRPr="009E7D16" w:rsidRDefault="00DE314D">
            <w:pPr>
              <w:ind w:right="-29"/>
              <w:jc w:val="center"/>
              <w:rPr>
                <w:noProof/>
                <w:sz w:val="18"/>
                <w:szCs w:val="18"/>
              </w:rPr>
            </w:pPr>
            <w:r w:rsidRPr="009E7D16">
              <w:rPr>
                <w:noProof/>
                <w:sz w:val="18"/>
              </w:rPr>
              <w:t>Sous-total objectif spécifique nº 1</w:t>
            </w:r>
          </w:p>
        </w:tc>
        <w:tc>
          <w:tcPr>
            <w:tcW w:w="427" w:type="dxa"/>
            <w:tcBorders>
              <w:bottom w:val="single" w:sz="12" w:space="0" w:color="auto"/>
            </w:tcBorders>
          </w:tcPr>
          <w:p w:rsidR="00DE314D" w:rsidRPr="009E7D16" w:rsidRDefault="00DE314D">
            <w:pPr>
              <w:ind w:right="-29"/>
              <w:jc w:val="center"/>
              <w:rPr>
                <w:noProof/>
                <w:sz w:val="18"/>
                <w:szCs w:val="18"/>
              </w:rPr>
            </w:pPr>
          </w:p>
        </w:tc>
        <w:tc>
          <w:tcPr>
            <w:tcW w:w="720" w:type="dxa"/>
            <w:tcBorders>
              <w:bottom w:val="single" w:sz="12" w:space="0" w:color="auto"/>
            </w:tcBorders>
          </w:tcPr>
          <w:p w:rsidR="00DE314D" w:rsidRPr="009E7D16" w:rsidRDefault="00DE314D">
            <w:pPr>
              <w:ind w:right="-29"/>
              <w:jc w:val="center"/>
              <w:rPr>
                <w:noProof/>
                <w:sz w:val="18"/>
                <w:szCs w:val="18"/>
              </w:rPr>
            </w:pPr>
          </w:p>
        </w:tc>
        <w:tc>
          <w:tcPr>
            <w:tcW w:w="540" w:type="dxa"/>
            <w:tcBorders>
              <w:bottom w:val="single" w:sz="12" w:space="0" w:color="auto"/>
            </w:tcBorders>
          </w:tcPr>
          <w:p w:rsidR="00DE314D" w:rsidRPr="009E7D16" w:rsidRDefault="00DE314D">
            <w:pPr>
              <w:ind w:right="-29"/>
              <w:jc w:val="center"/>
              <w:rPr>
                <w:noProof/>
                <w:sz w:val="18"/>
                <w:szCs w:val="18"/>
              </w:rPr>
            </w:pPr>
          </w:p>
        </w:tc>
        <w:tc>
          <w:tcPr>
            <w:tcW w:w="720" w:type="dxa"/>
            <w:tcBorders>
              <w:bottom w:val="single" w:sz="12" w:space="0" w:color="auto"/>
            </w:tcBorders>
          </w:tcPr>
          <w:p w:rsidR="00DE314D" w:rsidRPr="009E7D16" w:rsidRDefault="00DE314D">
            <w:pPr>
              <w:ind w:right="-29"/>
              <w:jc w:val="center"/>
              <w:rPr>
                <w:noProof/>
                <w:sz w:val="18"/>
                <w:szCs w:val="18"/>
              </w:rPr>
            </w:pPr>
          </w:p>
        </w:tc>
        <w:tc>
          <w:tcPr>
            <w:tcW w:w="720" w:type="dxa"/>
            <w:tcBorders>
              <w:bottom w:val="single" w:sz="12" w:space="0" w:color="auto"/>
            </w:tcBorders>
          </w:tcPr>
          <w:p w:rsidR="00DE314D" w:rsidRPr="009E7D16" w:rsidRDefault="00DE314D">
            <w:pPr>
              <w:ind w:right="-29"/>
              <w:jc w:val="center"/>
              <w:rPr>
                <w:noProof/>
                <w:sz w:val="18"/>
                <w:szCs w:val="18"/>
              </w:rPr>
            </w:pPr>
          </w:p>
        </w:tc>
        <w:tc>
          <w:tcPr>
            <w:tcW w:w="720" w:type="dxa"/>
            <w:tcBorders>
              <w:bottom w:val="single" w:sz="12" w:space="0" w:color="auto"/>
            </w:tcBorders>
          </w:tcPr>
          <w:p w:rsidR="00DE314D" w:rsidRPr="009E7D16" w:rsidRDefault="00DE314D">
            <w:pPr>
              <w:ind w:right="-29"/>
              <w:jc w:val="center"/>
              <w:rPr>
                <w:noProof/>
                <w:sz w:val="18"/>
                <w:szCs w:val="18"/>
              </w:rPr>
            </w:pPr>
          </w:p>
        </w:tc>
        <w:tc>
          <w:tcPr>
            <w:tcW w:w="900" w:type="dxa"/>
            <w:tcBorders>
              <w:bottom w:val="single" w:sz="12" w:space="0" w:color="auto"/>
            </w:tcBorders>
          </w:tcPr>
          <w:p w:rsidR="00DE314D" w:rsidRPr="009E7D16" w:rsidRDefault="00DE314D">
            <w:pPr>
              <w:ind w:right="-29"/>
              <w:jc w:val="center"/>
              <w:rPr>
                <w:noProof/>
                <w:sz w:val="18"/>
                <w:szCs w:val="18"/>
              </w:rPr>
            </w:pPr>
          </w:p>
        </w:tc>
        <w:tc>
          <w:tcPr>
            <w:tcW w:w="720" w:type="dxa"/>
            <w:gridSpan w:val="2"/>
            <w:tcBorders>
              <w:bottom w:val="single" w:sz="12" w:space="0" w:color="auto"/>
            </w:tcBorders>
          </w:tcPr>
          <w:p w:rsidR="00DE314D" w:rsidRPr="009E7D16" w:rsidRDefault="00DE314D">
            <w:pPr>
              <w:ind w:right="-29"/>
              <w:jc w:val="center"/>
              <w:rPr>
                <w:noProof/>
                <w:sz w:val="18"/>
                <w:szCs w:val="18"/>
              </w:rPr>
            </w:pPr>
          </w:p>
        </w:tc>
        <w:tc>
          <w:tcPr>
            <w:tcW w:w="540" w:type="dxa"/>
            <w:tcBorders>
              <w:bottom w:val="single" w:sz="12" w:space="0" w:color="auto"/>
            </w:tcBorders>
          </w:tcPr>
          <w:p w:rsidR="00DE314D" w:rsidRPr="009E7D16" w:rsidRDefault="00DE314D">
            <w:pPr>
              <w:ind w:right="-29"/>
              <w:jc w:val="center"/>
              <w:rPr>
                <w:noProof/>
                <w:sz w:val="18"/>
                <w:szCs w:val="18"/>
              </w:rPr>
            </w:pPr>
          </w:p>
        </w:tc>
        <w:tc>
          <w:tcPr>
            <w:tcW w:w="648" w:type="dxa"/>
            <w:tcBorders>
              <w:bottom w:val="single" w:sz="12" w:space="0" w:color="auto"/>
            </w:tcBorders>
          </w:tcPr>
          <w:p w:rsidR="00DE314D" w:rsidRPr="009E7D16" w:rsidRDefault="00DE314D">
            <w:pPr>
              <w:ind w:right="-29"/>
              <w:jc w:val="center"/>
              <w:rPr>
                <w:noProof/>
                <w:sz w:val="18"/>
                <w:szCs w:val="18"/>
              </w:rPr>
            </w:pPr>
          </w:p>
        </w:tc>
        <w:tc>
          <w:tcPr>
            <w:tcW w:w="432" w:type="dxa"/>
            <w:tcBorders>
              <w:bottom w:val="single" w:sz="12" w:space="0" w:color="auto"/>
            </w:tcBorders>
          </w:tcPr>
          <w:p w:rsidR="00DE314D" w:rsidRPr="009E7D16" w:rsidRDefault="00DE314D">
            <w:pPr>
              <w:ind w:right="-29"/>
              <w:jc w:val="center"/>
              <w:rPr>
                <w:noProof/>
                <w:sz w:val="18"/>
                <w:szCs w:val="18"/>
              </w:rPr>
            </w:pPr>
          </w:p>
        </w:tc>
        <w:tc>
          <w:tcPr>
            <w:tcW w:w="720" w:type="dxa"/>
            <w:tcBorders>
              <w:bottom w:val="single" w:sz="12" w:space="0" w:color="auto"/>
            </w:tcBorders>
          </w:tcPr>
          <w:p w:rsidR="00DE314D" w:rsidRPr="009E7D16" w:rsidRDefault="00DE314D">
            <w:pPr>
              <w:ind w:right="-29"/>
              <w:jc w:val="center"/>
              <w:rPr>
                <w:noProof/>
                <w:sz w:val="18"/>
                <w:szCs w:val="18"/>
              </w:rPr>
            </w:pPr>
          </w:p>
        </w:tc>
        <w:tc>
          <w:tcPr>
            <w:tcW w:w="540" w:type="dxa"/>
            <w:tcBorders>
              <w:bottom w:val="single" w:sz="12" w:space="0" w:color="auto"/>
            </w:tcBorders>
          </w:tcPr>
          <w:p w:rsidR="00DE314D" w:rsidRPr="009E7D16" w:rsidRDefault="00DE314D">
            <w:pPr>
              <w:ind w:right="-29"/>
              <w:jc w:val="center"/>
              <w:rPr>
                <w:noProof/>
                <w:sz w:val="18"/>
                <w:szCs w:val="18"/>
              </w:rPr>
            </w:pPr>
          </w:p>
        </w:tc>
        <w:tc>
          <w:tcPr>
            <w:tcW w:w="720" w:type="dxa"/>
            <w:tcBorders>
              <w:bottom w:val="single" w:sz="12" w:space="0" w:color="auto"/>
            </w:tcBorders>
          </w:tcPr>
          <w:p w:rsidR="00DE314D" w:rsidRPr="009E7D16" w:rsidRDefault="00DE314D">
            <w:pPr>
              <w:ind w:right="-29"/>
              <w:jc w:val="center"/>
              <w:rPr>
                <w:noProof/>
                <w:sz w:val="18"/>
                <w:szCs w:val="18"/>
              </w:rPr>
            </w:pPr>
          </w:p>
        </w:tc>
        <w:tc>
          <w:tcPr>
            <w:tcW w:w="720" w:type="dxa"/>
            <w:tcBorders>
              <w:bottom w:val="single" w:sz="12" w:space="0" w:color="auto"/>
            </w:tcBorders>
          </w:tcPr>
          <w:p w:rsidR="00DE314D" w:rsidRPr="009E7D16" w:rsidRDefault="00DE314D">
            <w:pPr>
              <w:ind w:right="-29"/>
              <w:jc w:val="center"/>
              <w:rPr>
                <w:noProof/>
                <w:sz w:val="18"/>
                <w:szCs w:val="18"/>
              </w:rPr>
            </w:pPr>
          </w:p>
        </w:tc>
        <w:tc>
          <w:tcPr>
            <w:tcW w:w="900" w:type="dxa"/>
            <w:tcBorders>
              <w:bottom w:val="single" w:sz="12" w:space="0" w:color="auto"/>
            </w:tcBorders>
          </w:tcPr>
          <w:p w:rsidR="00DE314D" w:rsidRPr="009E7D16" w:rsidRDefault="00DE314D">
            <w:pPr>
              <w:ind w:right="-29"/>
              <w:jc w:val="center"/>
              <w:rPr>
                <w:noProof/>
                <w:sz w:val="18"/>
                <w:szCs w:val="18"/>
              </w:rPr>
            </w:pPr>
          </w:p>
        </w:tc>
      </w:tr>
      <w:tr w:rsidR="00AC781E" w:rsidRPr="009E7D16" w:rsidTr="00D91278">
        <w:trPr>
          <w:jc w:val="center"/>
        </w:trPr>
        <w:tc>
          <w:tcPr>
            <w:tcW w:w="2921" w:type="dxa"/>
            <w:gridSpan w:val="3"/>
            <w:vAlign w:val="center"/>
          </w:tcPr>
          <w:p w:rsidR="00DE314D" w:rsidRPr="009E7D16" w:rsidRDefault="00DE314D">
            <w:pPr>
              <w:spacing w:before="60" w:after="60"/>
              <w:ind w:right="-29"/>
              <w:jc w:val="center"/>
              <w:rPr>
                <w:noProof/>
                <w:sz w:val="18"/>
                <w:szCs w:val="18"/>
              </w:rPr>
            </w:pPr>
            <w:r w:rsidRPr="009E7D16">
              <w:rPr>
                <w:noProof/>
                <w:sz w:val="18"/>
              </w:rPr>
              <w:t>OBJECTIF SPÉCIFIQUE nº 2…</w:t>
            </w:r>
          </w:p>
        </w:tc>
        <w:tc>
          <w:tcPr>
            <w:tcW w:w="427"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90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gridSpan w:val="2"/>
            <w:tcBorders>
              <w:top w:val="nil"/>
              <w:left w:val="nil"/>
              <w:bottom w:val="nil"/>
              <w:right w:val="nil"/>
            </w:tcBorders>
          </w:tcPr>
          <w:p w:rsidR="00DE314D" w:rsidRPr="009E7D16"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648"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432"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9E7D16" w:rsidRDefault="00DE314D">
            <w:pPr>
              <w:spacing w:before="60" w:after="60"/>
              <w:ind w:right="-29"/>
              <w:jc w:val="center"/>
              <w:rPr>
                <w:noProof/>
                <w:sz w:val="18"/>
                <w:szCs w:val="18"/>
              </w:rPr>
            </w:pPr>
          </w:p>
        </w:tc>
        <w:tc>
          <w:tcPr>
            <w:tcW w:w="900" w:type="dxa"/>
            <w:tcBorders>
              <w:top w:val="nil"/>
              <w:left w:val="nil"/>
              <w:bottom w:val="nil"/>
              <w:right w:val="nil"/>
            </w:tcBorders>
          </w:tcPr>
          <w:p w:rsidR="00DE314D" w:rsidRPr="009E7D16" w:rsidRDefault="00DE314D">
            <w:pPr>
              <w:spacing w:before="60" w:after="60"/>
              <w:ind w:right="-29"/>
              <w:jc w:val="center"/>
              <w:rPr>
                <w:noProof/>
                <w:sz w:val="18"/>
                <w:szCs w:val="18"/>
              </w:rPr>
            </w:pPr>
          </w:p>
        </w:tc>
      </w:tr>
      <w:tr w:rsidR="00AC781E" w:rsidRPr="009E7D16" w:rsidTr="00D91278">
        <w:trPr>
          <w:trHeight w:hRule="exact" w:val="369"/>
          <w:jc w:val="center"/>
        </w:trPr>
        <w:tc>
          <w:tcPr>
            <w:tcW w:w="1423" w:type="dxa"/>
          </w:tcPr>
          <w:p w:rsidR="00DE314D" w:rsidRPr="009E7D16" w:rsidRDefault="00DE314D">
            <w:pPr>
              <w:ind w:right="-29"/>
              <w:jc w:val="center"/>
              <w:rPr>
                <w:noProof/>
                <w:sz w:val="18"/>
                <w:szCs w:val="18"/>
              </w:rPr>
            </w:pPr>
            <w:r w:rsidRPr="009E7D16">
              <w:rPr>
                <w:noProof/>
                <w:sz w:val="18"/>
              </w:rPr>
              <w:t>- Réalisation</w:t>
            </w:r>
          </w:p>
        </w:tc>
        <w:tc>
          <w:tcPr>
            <w:tcW w:w="720" w:type="dxa"/>
          </w:tcPr>
          <w:p w:rsidR="00DE314D" w:rsidRPr="009E7D16" w:rsidRDefault="00DE314D">
            <w:pPr>
              <w:ind w:right="-29"/>
              <w:jc w:val="center"/>
              <w:rPr>
                <w:noProof/>
                <w:sz w:val="18"/>
                <w:szCs w:val="18"/>
              </w:rPr>
            </w:pPr>
          </w:p>
        </w:tc>
        <w:tc>
          <w:tcPr>
            <w:tcW w:w="778" w:type="dxa"/>
          </w:tcPr>
          <w:p w:rsidR="00DE314D" w:rsidRPr="009E7D16" w:rsidRDefault="00DE314D">
            <w:pPr>
              <w:ind w:right="-29"/>
              <w:jc w:val="center"/>
              <w:rPr>
                <w:noProof/>
                <w:sz w:val="18"/>
                <w:szCs w:val="18"/>
              </w:rPr>
            </w:pPr>
          </w:p>
        </w:tc>
        <w:tc>
          <w:tcPr>
            <w:tcW w:w="427" w:type="dxa"/>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540" w:type="dxa"/>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900" w:type="dxa"/>
          </w:tcPr>
          <w:p w:rsidR="00DE314D" w:rsidRPr="009E7D16" w:rsidRDefault="00DE314D">
            <w:pPr>
              <w:ind w:right="-29"/>
              <w:jc w:val="center"/>
              <w:rPr>
                <w:noProof/>
                <w:sz w:val="18"/>
                <w:szCs w:val="18"/>
              </w:rPr>
            </w:pPr>
          </w:p>
        </w:tc>
        <w:tc>
          <w:tcPr>
            <w:tcW w:w="720" w:type="dxa"/>
            <w:gridSpan w:val="2"/>
          </w:tcPr>
          <w:p w:rsidR="00DE314D" w:rsidRPr="009E7D16" w:rsidRDefault="00DE314D">
            <w:pPr>
              <w:ind w:right="-29"/>
              <w:jc w:val="center"/>
              <w:rPr>
                <w:noProof/>
                <w:sz w:val="18"/>
                <w:szCs w:val="18"/>
              </w:rPr>
            </w:pPr>
          </w:p>
        </w:tc>
        <w:tc>
          <w:tcPr>
            <w:tcW w:w="540" w:type="dxa"/>
          </w:tcPr>
          <w:p w:rsidR="00DE314D" w:rsidRPr="009E7D16" w:rsidRDefault="00DE314D">
            <w:pPr>
              <w:ind w:right="-29"/>
              <w:jc w:val="center"/>
              <w:rPr>
                <w:noProof/>
                <w:sz w:val="18"/>
                <w:szCs w:val="18"/>
              </w:rPr>
            </w:pPr>
          </w:p>
        </w:tc>
        <w:tc>
          <w:tcPr>
            <w:tcW w:w="648" w:type="dxa"/>
          </w:tcPr>
          <w:p w:rsidR="00DE314D" w:rsidRPr="009E7D16" w:rsidRDefault="00DE314D">
            <w:pPr>
              <w:ind w:right="-29"/>
              <w:jc w:val="center"/>
              <w:rPr>
                <w:noProof/>
                <w:sz w:val="18"/>
                <w:szCs w:val="18"/>
              </w:rPr>
            </w:pPr>
          </w:p>
        </w:tc>
        <w:tc>
          <w:tcPr>
            <w:tcW w:w="432" w:type="dxa"/>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540" w:type="dxa"/>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720" w:type="dxa"/>
          </w:tcPr>
          <w:p w:rsidR="00DE314D" w:rsidRPr="009E7D16" w:rsidRDefault="00DE314D">
            <w:pPr>
              <w:ind w:right="-29"/>
              <w:jc w:val="center"/>
              <w:rPr>
                <w:noProof/>
                <w:sz w:val="18"/>
                <w:szCs w:val="18"/>
              </w:rPr>
            </w:pPr>
          </w:p>
        </w:tc>
        <w:tc>
          <w:tcPr>
            <w:tcW w:w="900" w:type="dxa"/>
          </w:tcPr>
          <w:p w:rsidR="00DE314D" w:rsidRPr="009E7D16" w:rsidRDefault="00DE314D">
            <w:pPr>
              <w:ind w:right="-29"/>
              <w:jc w:val="center"/>
              <w:rPr>
                <w:noProof/>
                <w:sz w:val="18"/>
                <w:szCs w:val="18"/>
              </w:rPr>
            </w:pPr>
          </w:p>
        </w:tc>
      </w:tr>
      <w:tr w:rsidR="00AC781E" w:rsidRPr="009E7D16" w:rsidTr="00D91278">
        <w:trPr>
          <w:jc w:val="center"/>
        </w:trPr>
        <w:tc>
          <w:tcPr>
            <w:tcW w:w="2921" w:type="dxa"/>
            <w:gridSpan w:val="3"/>
            <w:tcBorders>
              <w:bottom w:val="single" w:sz="12" w:space="0" w:color="auto"/>
            </w:tcBorders>
            <w:vAlign w:val="center"/>
          </w:tcPr>
          <w:p w:rsidR="00DE314D" w:rsidRPr="009E7D16" w:rsidRDefault="00DE314D">
            <w:pPr>
              <w:jc w:val="center"/>
              <w:rPr>
                <w:noProof/>
                <w:sz w:val="18"/>
                <w:szCs w:val="18"/>
              </w:rPr>
            </w:pPr>
            <w:r w:rsidRPr="009E7D16">
              <w:rPr>
                <w:noProof/>
                <w:sz w:val="18"/>
              </w:rPr>
              <w:t>Sous-total objectif spécifique nº 2</w:t>
            </w:r>
          </w:p>
        </w:tc>
        <w:tc>
          <w:tcPr>
            <w:tcW w:w="427" w:type="dxa"/>
            <w:tcBorders>
              <w:bottom w:val="single" w:sz="12" w:space="0" w:color="auto"/>
            </w:tcBorders>
          </w:tcPr>
          <w:p w:rsidR="00DE314D" w:rsidRPr="009E7D16" w:rsidRDefault="00DE314D">
            <w:pPr>
              <w:ind w:right="-29"/>
              <w:jc w:val="center"/>
              <w:rPr>
                <w:noProof/>
                <w:sz w:val="18"/>
                <w:szCs w:val="18"/>
              </w:rPr>
            </w:pPr>
          </w:p>
        </w:tc>
        <w:tc>
          <w:tcPr>
            <w:tcW w:w="720" w:type="dxa"/>
            <w:tcBorders>
              <w:bottom w:val="single" w:sz="12" w:space="0" w:color="auto"/>
            </w:tcBorders>
          </w:tcPr>
          <w:p w:rsidR="00DE314D" w:rsidRPr="009E7D16" w:rsidRDefault="00DE314D">
            <w:pPr>
              <w:ind w:right="-29"/>
              <w:jc w:val="center"/>
              <w:rPr>
                <w:noProof/>
                <w:sz w:val="18"/>
                <w:szCs w:val="18"/>
              </w:rPr>
            </w:pPr>
          </w:p>
        </w:tc>
        <w:tc>
          <w:tcPr>
            <w:tcW w:w="540" w:type="dxa"/>
            <w:tcBorders>
              <w:bottom w:val="single" w:sz="12" w:space="0" w:color="auto"/>
            </w:tcBorders>
          </w:tcPr>
          <w:p w:rsidR="00DE314D" w:rsidRPr="009E7D16" w:rsidRDefault="00DE314D">
            <w:pPr>
              <w:ind w:right="-29"/>
              <w:jc w:val="center"/>
              <w:rPr>
                <w:noProof/>
                <w:sz w:val="18"/>
                <w:szCs w:val="18"/>
              </w:rPr>
            </w:pPr>
          </w:p>
        </w:tc>
        <w:tc>
          <w:tcPr>
            <w:tcW w:w="720" w:type="dxa"/>
            <w:tcBorders>
              <w:bottom w:val="single" w:sz="12" w:space="0" w:color="auto"/>
            </w:tcBorders>
          </w:tcPr>
          <w:p w:rsidR="00DE314D" w:rsidRPr="009E7D16" w:rsidRDefault="00DE314D">
            <w:pPr>
              <w:ind w:right="-29"/>
              <w:jc w:val="center"/>
              <w:rPr>
                <w:noProof/>
                <w:sz w:val="18"/>
                <w:szCs w:val="18"/>
              </w:rPr>
            </w:pPr>
          </w:p>
        </w:tc>
        <w:tc>
          <w:tcPr>
            <w:tcW w:w="720" w:type="dxa"/>
            <w:tcBorders>
              <w:bottom w:val="single" w:sz="12" w:space="0" w:color="auto"/>
            </w:tcBorders>
          </w:tcPr>
          <w:p w:rsidR="00DE314D" w:rsidRPr="009E7D16" w:rsidRDefault="00DE314D">
            <w:pPr>
              <w:ind w:right="-29"/>
              <w:jc w:val="center"/>
              <w:rPr>
                <w:noProof/>
                <w:sz w:val="18"/>
                <w:szCs w:val="18"/>
              </w:rPr>
            </w:pPr>
          </w:p>
        </w:tc>
        <w:tc>
          <w:tcPr>
            <w:tcW w:w="720" w:type="dxa"/>
            <w:tcBorders>
              <w:bottom w:val="single" w:sz="12" w:space="0" w:color="auto"/>
            </w:tcBorders>
          </w:tcPr>
          <w:p w:rsidR="00DE314D" w:rsidRPr="009E7D16" w:rsidRDefault="00DE314D">
            <w:pPr>
              <w:ind w:right="-29"/>
              <w:jc w:val="center"/>
              <w:rPr>
                <w:noProof/>
                <w:sz w:val="18"/>
                <w:szCs w:val="18"/>
              </w:rPr>
            </w:pPr>
          </w:p>
        </w:tc>
        <w:tc>
          <w:tcPr>
            <w:tcW w:w="951" w:type="dxa"/>
            <w:gridSpan w:val="2"/>
            <w:tcBorders>
              <w:bottom w:val="single" w:sz="12" w:space="0" w:color="auto"/>
            </w:tcBorders>
          </w:tcPr>
          <w:p w:rsidR="00DE314D" w:rsidRPr="009E7D16" w:rsidRDefault="00DE314D">
            <w:pPr>
              <w:ind w:right="-29"/>
              <w:jc w:val="center"/>
              <w:rPr>
                <w:noProof/>
                <w:sz w:val="18"/>
                <w:szCs w:val="18"/>
              </w:rPr>
            </w:pPr>
          </w:p>
        </w:tc>
        <w:tc>
          <w:tcPr>
            <w:tcW w:w="669" w:type="dxa"/>
            <w:tcBorders>
              <w:bottom w:val="single" w:sz="12" w:space="0" w:color="auto"/>
            </w:tcBorders>
          </w:tcPr>
          <w:p w:rsidR="00DE314D" w:rsidRPr="009E7D16" w:rsidRDefault="00DE314D">
            <w:pPr>
              <w:ind w:right="-29"/>
              <w:jc w:val="center"/>
              <w:rPr>
                <w:noProof/>
                <w:sz w:val="18"/>
                <w:szCs w:val="18"/>
              </w:rPr>
            </w:pPr>
          </w:p>
        </w:tc>
        <w:tc>
          <w:tcPr>
            <w:tcW w:w="540" w:type="dxa"/>
            <w:tcBorders>
              <w:bottom w:val="single" w:sz="12" w:space="0" w:color="auto"/>
            </w:tcBorders>
          </w:tcPr>
          <w:p w:rsidR="00DE314D" w:rsidRPr="009E7D16" w:rsidRDefault="00DE314D">
            <w:pPr>
              <w:ind w:right="-29"/>
              <w:jc w:val="center"/>
              <w:rPr>
                <w:noProof/>
                <w:sz w:val="18"/>
                <w:szCs w:val="18"/>
              </w:rPr>
            </w:pPr>
          </w:p>
        </w:tc>
        <w:tc>
          <w:tcPr>
            <w:tcW w:w="648" w:type="dxa"/>
            <w:tcBorders>
              <w:bottom w:val="single" w:sz="12" w:space="0" w:color="auto"/>
            </w:tcBorders>
          </w:tcPr>
          <w:p w:rsidR="00DE314D" w:rsidRPr="009E7D16" w:rsidRDefault="00DE314D">
            <w:pPr>
              <w:ind w:right="-29"/>
              <w:jc w:val="center"/>
              <w:rPr>
                <w:noProof/>
                <w:sz w:val="18"/>
                <w:szCs w:val="18"/>
              </w:rPr>
            </w:pPr>
          </w:p>
        </w:tc>
        <w:tc>
          <w:tcPr>
            <w:tcW w:w="432" w:type="dxa"/>
            <w:tcBorders>
              <w:bottom w:val="single" w:sz="12" w:space="0" w:color="auto"/>
            </w:tcBorders>
          </w:tcPr>
          <w:p w:rsidR="00DE314D" w:rsidRPr="009E7D16" w:rsidRDefault="00DE314D">
            <w:pPr>
              <w:ind w:right="-29"/>
              <w:jc w:val="center"/>
              <w:rPr>
                <w:noProof/>
                <w:sz w:val="18"/>
                <w:szCs w:val="18"/>
              </w:rPr>
            </w:pPr>
          </w:p>
        </w:tc>
        <w:tc>
          <w:tcPr>
            <w:tcW w:w="720" w:type="dxa"/>
            <w:tcBorders>
              <w:bottom w:val="single" w:sz="12" w:space="0" w:color="auto"/>
            </w:tcBorders>
          </w:tcPr>
          <w:p w:rsidR="00DE314D" w:rsidRPr="009E7D16" w:rsidRDefault="00DE314D">
            <w:pPr>
              <w:ind w:right="-29"/>
              <w:jc w:val="center"/>
              <w:rPr>
                <w:noProof/>
                <w:sz w:val="18"/>
                <w:szCs w:val="18"/>
              </w:rPr>
            </w:pPr>
          </w:p>
        </w:tc>
        <w:tc>
          <w:tcPr>
            <w:tcW w:w="540" w:type="dxa"/>
            <w:tcBorders>
              <w:bottom w:val="single" w:sz="12" w:space="0" w:color="auto"/>
            </w:tcBorders>
          </w:tcPr>
          <w:p w:rsidR="00DE314D" w:rsidRPr="009E7D16" w:rsidRDefault="00DE314D">
            <w:pPr>
              <w:ind w:right="-29"/>
              <w:jc w:val="center"/>
              <w:rPr>
                <w:noProof/>
                <w:sz w:val="18"/>
                <w:szCs w:val="18"/>
              </w:rPr>
            </w:pPr>
          </w:p>
        </w:tc>
        <w:tc>
          <w:tcPr>
            <w:tcW w:w="720" w:type="dxa"/>
            <w:tcBorders>
              <w:bottom w:val="single" w:sz="12" w:space="0" w:color="auto"/>
            </w:tcBorders>
          </w:tcPr>
          <w:p w:rsidR="00DE314D" w:rsidRPr="009E7D16" w:rsidRDefault="00DE314D">
            <w:pPr>
              <w:ind w:right="-29"/>
              <w:jc w:val="center"/>
              <w:rPr>
                <w:noProof/>
                <w:sz w:val="18"/>
                <w:szCs w:val="18"/>
              </w:rPr>
            </w:pPr>
          </w:p>
        </w:tc>
        <w:tc>
          <w:tcPr>
            <w:tcW w:w="720" w:type="dxa"/>
            <w:tcBorders>
              <w:bottom w:val="single" w:sz="12" w:space="0" w:color="auto"/>
            </w:tcBorders>
          </w:tcPr>
          <w:p w:rsidR="00DE314D" w:rsidRPr="009E7D16" w:rsidRDefault="00DE314D">
            <w:pPr>
              <w:ind w:right="-29"/>
              <w:jc w:val="center"/>
              <w:rPr>
                <w:noProof/>
                <w:sz w:val="18"/>
                <w:szCs w:val="18"/>
              </w:rPr>
            </w:pPr>
          </w:p>
        </w:tc>
        <w:tc>
          <w:tcPr>
            <w:tcW w:w="900" w:type="dxa"/>
            <w:tcBorders>
              <w:bottom w:val="single" w:sz="12" w:space="0" w:color="auto"/>
            </w:tcBorders>
          </w:tcPr>
          <w:p w:rsidR="00DE314D" w:rsidRPr="009E7D16" w:rsidRDefault="00DE314D">
            <w:pPr>
              <w:ind w:right="-29"/>
              <w:jc w:val="center"/>
              <w:rPr>
                <w:noProof/>
                <w:sz w:val="18"/>
                <w:szCs w:val="18"/>
              </w:rPr>
            </w:pPr>
          </w:p>
        </w:tc>
      </w:tr>
      <w:tr w:rsidR="00AC781E" w:rsidRPr="009E7D16" w:rsidTr="00D91278">
        <w:trPr>
          <w:jc w:val="center"/>
        </w:trPr>
        <w:tc>
          <w:tcPr>
            <w:tcW w:w="2921" w:type="dxa"/>
            <w:gridSpan w:val="3"/>
            <w:tcBorders>
              <w:top w:val="single" w:sz="12" w:space="0" w:color="auto"/>
              <w:left w:val="single" w:sz="12" w:space="0" w:color="auto"/>
              <w:bottom w:val="single" w:sz="12" w:space="0" w:color="auto"/>
            </w:tcBorders>
            <w:vAlign w:val="center"/>
          </w:tcPr>
          <w:p w:rsidR="00DE314D" w:rsidRPr="009E7D16" w:rsidRDefault="00DE314D">
            <w:pPr>
              <w:ind w:right="-29"/>
              <w:jc w:val="center"/>
              <w:rPr>
                <w:noProof/>
                <w:sz w:val="18"/>
                <w:szCs w:val="18"/>
              </w:rPr>
            </w:pPr>
            <w:r w:rsidRPr="009E7D16">
              <w:rPr>
                <w:b/>
                <w:noProof/>
                <w:sz w:val="18"/>
              </w:rPr>
              <w:t>TOTAUX</w:t>
            </w:r>
          </w:p>
        </w:tc>
        <w:tc>
          <w:tcPr>
            <w:tcW w:w="427" w:type="dxa"/>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540" w:type="dxa"/>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900" w:type="dxa"/>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540" w:type="dxa"/>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648" w:type="dxa"/>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432" w:type="dxa"/>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540" w:type="dxa"/>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9E7D16" w:rsidRDefault="00DE314D">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DE314D" w:rsidRPr="009E7D16" w:rsidRDefault="00DE314D">
            <w:pPr>
              <w:spacing w:before="180" w:after="180"/>
              <w:ind w:right="-29"/>
              <w:jc w:val="center"/>
              <w:rPr>
                <w:noProof/>
                <w:sz w:val="18"/>
                <w:szCs w:val="18"/>
              </w:rPr>
            </w:pPr>
          </w:p>
        </w:tc>
      </w:tr>
    </w:tbl>
    <w:p w:rsidR="00DE314D" w:rsidRPr="009E7D16" w:rsidRDefault="00DE314D">
      <w:pPr>
        <w:rPr>
          <w:noProof/>
        </w:rPr>
        <w:sectPr w:rsidR="00DE314D" w:rsidRPr="009E7D16" w:rsidSect="008155FA">
          <w:headerReference w:type="default" r:id="rId19"/>
          <w:footerReference w:type="default" r:id="rId20"/>
          <w:pgSz w:w="16840" w:h="11907" w:orient="landscape" w:code="9"/>
          <w:pgMar w:top="1134" w:right="1418" w:bottom="567" w:left="1418" w:header="709" w:footer="709" w:gutter="0"/>
          <w:cols w:space="708"/>
          <w:docGrid w:linePitch="360"/>
        </w:sectPr>
      </w:pPr>
    </w:p>
    <w:p w:rsidR="00DE314D" w:rsidRPr="009E7D16" w:rsidRDefault="00DE314D">
      <w:pPr>
        <w:pStyle w:val="ManualHeading3"/>
        <w:rPr>
          <w:bCs/>
          <w:noProof/>
          <w:szCs w:val="24"/>
        </w:rPr>
      </w:pPr>
      <w:bookmarkStart w:id="156" w:name="_Toc514938055"/>
      <w:bookmarkStart w:id="157" w:name="_Toc520485054"/>
      <w:bookmarkStart w:id="158" w:name="_Toc160804598"/>
      <w:bookmarkStart w:id="159" w:name="_Toc167220290"/>
      <w:bookmarkStart w:id="160" w:name="_Toc177549023"/>
      <w:r w:rsidRPr="009E7D16">
        <w:rPr>
          <w:noProof/>
        </w:rPr>
        <w:t>3.2.3.</w:t>
      </w:r>
      <w:r w:rsidRPr="009E7D16">
        <w:rPr>
          <w:noProof/>
        </w:rPr>
        <w:tab/>
        <w:t>Synthèse de l’incidence estimée sur les crédits administratifs</w:t>
      </w:r>
      <w:bookmarkEnd w:id="156"/>
      <w:bookmarkEnd w:id="157"/>
      <w:bookmarkEnd w:id="158"/>
      <w:bookmarkEnd w:id="159"/>
      <w:bookmarkEnd w:id="160"/>
      <w:r w:rsidRPr="009E7D16">
        <w:rPr>
          <w:noProof/>
        </w:rPr>
        <w:t xml:space="preserve"> </w:t>
      </w:r>
    </w:p>
    <w:p w:rsidR="00DE314D" w:rsidRPr="009E7D16" w:rsidRDefault="00DE314D">
      <w:pPr>
        <w:pStyle w:val="ListDash1"/>
        <w:rPr>
          <w:noProof/>
        </w:rPr>
      </w:pPr>
      <w:r w:rsidRPr="009E7D16">
        <w:rPr>
          <w:rFonts w:ascii="Wingdings" w:hAnsi="Wingdings"/>
          <w:noProof/>
        </w:rPr>
        <w:t></w:t>
      </w:r>
      <w:r w:rsidRPr="009E7D16">
        <w:rPr>
          <w:noProof/>
        </w:rPr>
        <w:tab/>
        <w:t xml:space="preserve">La proposition/l’initiative n’engendre pas l’utilisation de crédits de nature administrative. </w:t>
      </w:r>
    </w:p>
    <w:p w:rsidR="00DE314D" w:rsidRPr="009E7D16" w:rsidRDefault="00DE314D">
      <w:pPr>
        <w:pStyle w:val="ListDash1"/>
        <w:rPr>
          <w:noProof/>
        </w:rPr>
      </w:pPr>
      <w:r w:rsidRPr="009E7D16">
        <w:rPr>
          <w:rFonts w:ascii="Wingdings" w:hAnsi="Wingdings"/>
          <w:noProof/>
        </w:rPr>
        <w:t></w:t>
      </w:r>
      <w:r w:rsidRPr="009E7D16">
        <w:rPr>
          <w:noProof/>
        </w:rPr>
        <w:tab/>
        <w:t>La proposition/l’initiative engendre l’utilisation de crédits de nature administrative, comme expliqué ci-après:</w:t>
      </w:r>
    </w:p>
    <w:p w:rsidR="00DE314D" w:rsidRPr="009E7D16" w:rsidRDefault="00DE314D">
      <w:pPr>
        <w:pStyle w:val="ManualHeading3"/>
        <w:rPr>
          <w:noProof/>
        </w:rPr>
      </w:pPr>
      <w:bookmarkStart w:id="161" w:name="_Toc167220291"/>
      <w:bookmarkStart w:id="162" w:name="_Toc177549024"/>
      <w:r w:rsidRPr="009E7D16">
        <w:rPr>
          <w:noProof/>
        </w:rPr>
        <w:t>3.2.3.1. Crédits issus du budget voté</w:t>
      </w:r>
      <w:bookmarkEnd w:id="161"/>
      <w:bookmarkEnd w:id="162"/>
    </w:p>
    <w:tbl>
      <w:tblPr>
        <w:tblW w:w="5000" w:type="pct"/>
        <w:tblLook w:val="04A0" w:firstRow="1" w:lastRow="0" w:firstColumn="1" w:lastColumn="0" w:noHBand="0" w:noVBand="1"/>
      </w:tblPr>
      <w:tblGrid>
        <w:gridCol w:w="3994"/>
        <w:gridCol w:w="995"/>
        <w:gridCol w:w="996"/>
        <w:gridCol w:w="996"/>
        <w:gridCol w:w="996"/>
        <w:gridCol w:w="1312"/>
      </w:tblGrid>
      <w:tr w:rsidR="00AC781E" w:rsidRPr="009E7D16" w:rsidTr="006C58F6">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CRÉDITS VOTÉS</w:t>
            </w:r>
          </w:p>
        </w:tc>
        <w:tc>
          <w:tcPr>
            <w:tcW w:w="553" w:type="pct"/>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8"/>
                <w:szCs w:val="18"/>
              </w:rPr>
            </w:pPr>
            <w:r w:rsidRPr="009E7D16">
              <w:rPr>
                <w:noProof/>
                <w:sz w:val="18"/>
              </w:rPr>
              <w:t>Année</w:t>
            </w:r>
          </w:p>
        </w:tc>
        <w:tc>
          <w:tcPr>
            <w:tcW w:w="553" w:type="pct"/>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8"/>
                <w:szCs w:val="18"/>
              </w:rPr>
            </w:pPr>
            <w:r w:rsidRPr="009E7D16">
              <w:rPr>
                <w:noProof/>
                <w:sz w:val="18"/>
              </w:rPr>
              <w:t>Année</w:t>
            </w:r>
          </w:p>
        </w:tc>
        <w:tc>
          <w:tcPr>
            <w:tcW w:w="553" w:type="pct"/>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8"/>
                <w:szCs w:val="18"/>
              </w:rPr>
            </w:pPr>
            <w:r w:rsidRPr="009E7D16">
              <w:rPr>
                <w:noProof/>
                <w:sz w:val="18"/>
              </w:rPr>
              <w:t>Année</w:t>
            </w:r>
          </w:p>
        </w:tc>
        <w:tc>
          <w:tcPr>
            <w:tcW w:w="553" w:type="pct"/>
            <w:tcBorders>
              <w:top w:val="single" w:sz="8" w:space="0" w:color="auto"/>
              <w:left w:val="nil"/>
              <w:bottom w:val="single" w:sz="8" w:space="0" w:color="auto"/>
              <w:right w:val="single" w:sz="8" w:space="0" w:color="auto"/>
            </w:tcBorders>
            <w:vAlign w:val="center"/>
            <w:hideMark/>
          </w:tcPr>
          <w:p w:rsidR="00DE314D" w:rsidRPr="009E7D16" w:rsidRDefault="00DE314D">
            <w:pPr>
              <w:spacing w:before="0" w:after="0"/>
              <w:jc w:val="center"/>
              <w:rPr>
                <w:noProof/>
                <w:sz w:val="18"/>
                <w:szCs w:val="18"/>
              </w:rPr>
            </w:pPr>
            <w:r w:rsidRPr="009E7D16">
              <w:rPr>
                <w:noProof/>
                <w:sz w:val="18"/>
              </w:rPr>
              <w:t>Année</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TOTAL 2021-2027</w:t>
            </w:r>
          </w:p>
        </w:tc>
      </w:tr>
      <w:tr w:rsidR="00AC781E" w:rsidRPr="009E7D16" w:rsidTr="006C58F6">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b/>
                <w:bCs/>
                <w:noProof/>
                <w:sz w:val="18"/>
                <w:szCs w:val="18"/>
                <w:lang w:eastAsia="en-IE"/>
              </w:rPr>
            </w:pPr>
          </w:p>
        </w:tc>
        <w:tc>
          <w:tcPr>
            <w:tcW w:w="553"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2024</w:t>
            </w:r>
          </w:p>
        </w:tc>
        <w:tc>
          <w:tcPr>
            <w:tcW w:w="553"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2025</w:t>
            </w:r>
          </w:p>
        </w:tc>
        <w:tc>
          <w:tcPr>
            <w:tcW w:w="553"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2026</w:t>
            </w:r>
          </w:p>
        </w:tc>
        <w:tc>
          <w:tcPr>
            <w:tcW w:w="553"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b/>
                <w:bCs/>
                <w:noProof/>
                <w:sz w:val="18"/>
                <w:szCs w:val="18"/>
                <w:lang w:eastAsia="en-IE"/>
              </w:rPr>
            </w:pPr>
          </w:p>
        </w:tc>
      </w:tr>
      <w:tr w:rsidR="00AC781E" w:rsidRPr="009E7D16"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9E7D16" w:rsidRDefault="00DE314D">
            <w:pPr>
              <w:spacing w:before="0" w:after="0"/>
              <w:jc w:val="left"/>
              <w:rPr>
                <w:b/>
                <w:bCs/>
                <w:noProof/>
                <w:sz w:val="16"/>
                <w:szCs w:val="16"/>
              </w:rPr>
            </w:pPr>
            <w:r w:rsidRPr="009E7D16">
              <w:rPr>
                <w:b/>
                <w:noProof/>
                <w:sz w:val="16"/>
              </w:rPr>
              <w:t>RUBRIQUE 7</w:t>
            </w:r>
          </w:p>
        </w:tc>
      </w:tr>
      <w:tr w:rsidR="00AC781E" w:rsidRPr="009E7D16"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rPr>
            </w:pPr>
            <w:r w:rsidRPr="009E7D16">
              <w:rPr>
                <w:noProof/>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rPr>
            </w:pPr>
            <w:r w:rsidRPr="009E7D16">
              <w:rPr>
                <w:noProof/>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DE314D" w:rsidRPr="009E7D16" w:rsidRDefault="00DE314D">
            <w:pPr>
              <w:spacing w:before="0" w:after="0"/>
              <w:jc w:val="center"/>
              <w:rPr>
                <w:b/>
                <w:bCs/>
                <w:noProof/>
                <w:sz w:val="16"/>
                <w:szCs w:val="16"/>
              </w:rPr>
            </w:pPr>
            <w:r w:rsidRPr="009E7D16">
              <w:rPr>
                <w:b/>
                <w:noProof/>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9E7D16" w:rsidRDefault="00DE314D">
            <w:pPr>
              <w:spacing w:before="0" w:after="0"/>
              <w:jc w:val="left"/>
              <w:rPr>
                <w:b/>
                <w:bCs/>
                <w:noProof/>
                <w:sz w:val="16"/>
                <w:szCs w:val="16"/>
              </w:rPr>
            </w:pPr>
            <w:r w:rsidRPr="009E7D16">
              <w:rPr>
                <w:b/>
                <w:noProof/>
                <w:sz w:val="16"/>
              </w:rPr>
              <w:t>Hors RUBRIQUE 7</w:t>
            </w:r>
          </w:p>
        </w:tc>
      </w:tr>
      <w:tr w:rsidR="00AC781E" w:rsidRPr="009E7D16"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rPr>
            </w:pPr>
            <w:r w:rsidRPr="009E7D16">
              <w:rPr>
                <w:noProof/>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rPr>
            </w:pPr>
            <w:r w:rsidRPr="009E7D16">
              <w:rPr>
                <w:noProof/>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DE314D" w:rsidRPr="009E7D16" w:rsidRDefault="00DE314D">
            <w:pPr>
              <w:spacing w:before="0" w:after="0"/>
              <w:jc w:val="center"/>
              <w:rPr>
                <w:b/>
                <w:bCs/>
                <w:noProof/>
                <w:sz w:val="16"/>
                <w:szCs w:val="16"/>
              </w:rPr>
            </w:pPr>
            <w:r w:rsidRPr="009E7D16">
              <w:rPr>
                <w:b/>
                <w:noProof/>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rsidR="00DE314D" w:rsidRPr="009E7D16" w:rsidRDefault="00DE314D">
            <w:pPr>
              <w:spacing w:before="0" w:after="0"/>
              <w:jc w:val="center"/>
              <w:rPr>
                <w:noProof/>
                <w:sz w:val="16"/>
                <w:szCs w:val="16"/>
                <w:lang w:eastAsia="en-IE"/>
              </w:rPr>
            </w:pPr>
          </w:p>
        </w:tc>
      </w:tr>
      <w:tr w:rsidR="00AC781E" w:rsidRPr="009E7D16"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b/>
                <w:bCs/>
                <w:noProof/>
                <w:sz w:val="16"/>
                <w:szCs w:val="16"/>
              </w:rPr>
            </w:pPr>
            <w:r w:rsidRPr="009E7D16">
              <w:rPr>
                <w:b/>
                <w:noProof/>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bl>
    <w:p w:rsidR="00DE314D" w:rsidRPr="009E7D16" w:rsidRDefault="00DE314D">
      <w:pPr>
        <w:pStyle w:val="ManualHeading3"/>
        <w:rPr>
          <w:noProof/>
        </w:rPr>
      </w:pPr>
      <w:bookmarkStart w:id="163" w:name="_Toc167220292"/>
      <w:bookmarkStart w:id="164" w:name="_Toc177549025"/>
      <w:r w:rsidRPr="009E7D16">
        <w:rPr>
          <w:noProof/>
        </w:rPr>
        <w:t>3.2.3.2.</w:t>
      </w:r>
      <w:r w:rsidRPr="009E7D16">
        <w:rPr>
          <w:noProof/>
        </w:rPr>
        <w:tab/>
        <w:t>Crédits issus de recettes affectées externes</w:t>
      </w:r>
      <w:bookmarkEnd w:id="163"/>
      <w:bookmarkEnd w:id="164"/>
    </w:p>
    <w:tbl>
      <w:tblPr>
        <w:tblW w:w="5000" w:type="pct"/>
        <w:tblLook w:val="04A0" w:firstRow="1" w:lastRow="0" w:firstColumn="1" w:lastColumn="0" w:noHBand="0" w:noVBand="1"/>
      </w:tblPr>
      <w:tblGrid>
        <w:gridCol w:w="3993"/>
        <w:gridCol w:w="996"/>
        <w:gridCol w:w="996"/>
        <w:gridCol w:w="996"/>
        <w:gridCol w:w="996"/>
        <w:gridCol w:w="1312"/>
      </w:tblGrid>
      <w:tr w:rsidR="00AC781E" w:rsidRPr="009E7D16" w:rsidTr="006C58F6">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RECETTES AFFECTÉES EXTERNES</w:t>
            </w:r>
          </w:p>
        </w:tc>
        <w:tc>
          <w:tcPr>
            <w:tcW w:w="553" w:type="pct"/>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18"/>
                <w:szCs w:val="18"/>
              </w:rPr>
            </w:pPr>
            <w:r w:rsidRPr="009E7D16">
              <w:rPr>
                <w:noProof/>
                <w:sz w:val="18"/>
              </w:rPr>
              <w:t>Année</w:t>
            </w:r>
          </w:p>
        </w:tc>
        <w:tc>
          <w:tcPr>
            <w:tcW w:w="553" w:type="pct"/>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18"/>
                <w:szCs w:val="18"/>
              </w:rPr>
            </w:pPr>
            <w:r w:rsidRPr="009E7D16">
              <w:rPr>
                <w:noProof/>
                <w:sz w:val="18"/>
              </w:rPr>
              <w:t>Année</w:t>
            </w:r>
          </w:p>
        </w:tc>
        <w:tc>
          <w:tcPr>
            <w:tcW w:w="553" w:type="pct"/>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18"/>
                <w:szCs w:val="18"/>
              </w:rPr>
            </w:pPr>
            <w:r w:rsidRPr="009E7D16">
              <w:rPr>
                <w:noProof/>
                <w:sz w:val="18"/>
              </w:rPr>
              <w:t>Année</w:t>
            </w:r>
          </w:p>
        </w:tc>
        <w:tc>
          <w:tcPr>
            <w:tcW w:w="553" w:type="pct"/>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18"/>
                <w:szCs w:val="18"/>
              </w:rPr>
            </w:pPr>
            <w:r w:rsidRPr="009E7D16">
              <w:rPr>
                <w:noProof/>
                <w:sz w:val="18"/>
              </w:rPr>
              <w:t>Année</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TOTAL 2021-2027</w:t>
            </w:r>
          </w:p>
        </w:tc>
      </w:tr>
      <w:tr w:rsidR="00AC781E" w:rsidRPr="009E7D16" w:rsidTr="006C58F6">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b/>
                <w:bCs/>
                <w:noProof/>
                <w:sz w:val="18"/>
                <w:szCs w:val="18"/>
                <w:lang w:eastAsia="en-IE"/>
              </w:rPr>
            </w:pPr>
          </w:p>
        </w:tc>
        <w:tc>
          <w:tcPr>
            <w:tcW w:w="553"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2024</w:t>
            </w:r>
          </w:p>
        </w:tc>
        <w:tc>
          <w:tcPr>
            <w:tcW w:w="553"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2025</w:t>
            </w:r>
          </w:p>
        </w:tc>
        <w:tc>
          <w:tcPr>
            <w:tcW w:w="553"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2026</w:t>
            </w:r>
          </w:p>
        </w:tc>
        <w:tc>
          <w:tcPr>
            <w:tcW w:w="553"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b/>
                <w:bCs/>
                <w:noProof/>
                <w:sz w:val="18"/>
                <w:szCs w:val="18"/>
                <w:lang w:eastAsia="en-IE"/>
              </w:rPr>
            </w:pPr>
          </w:p>
        </w:tc>
      </w:tr>
      <w:tr w:rsidR="00AC781E" w:rsidRPr="009E7D16"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9E7D16" w:rsidRDefault="00DE314D">
            <w:pPr>
              <w:spacing w:before="0" w:after="0"/>
              <w:jc w:val="left"/>
              <w:rPr>
                <w:b/>
                <w:bCs/>
                <w:noProof/>
                <w:sz w:val="16"/>
                <w:szCs w:val="16"/>
              </w:rPr>
            </w:pPr>
            <w:r w:rsidRPr="009E7D16">
              <w:rPr>
                <w:b/>
                <w:noProof/>
                <w:sz w:val="16"/>
              </w:rPr>
              <w:t>RUBRIQUE 7</w:t>
            </w:r>
          </w:p>
        </w:tc>
      </w:tr>
      <w:tr w:rsidR="00AC781E" w:rsidRPr="009E7D16" w:rsidTr="006C58F6">
        <w:trPr>
          <w:trHeight w:val="300"/>
        </w:trPr>
        <w:tc>
          <w:tcPr>
            <w:tcW w:w="2166" w:type="pc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rPr>
            </w:pPr>
            <w:r w:rsidRPr="009E7D16">
              <w:rPr>
                <w:noProof/>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rsidTr="006C58F6">
        <w:trPr>
          <w:trHeight w:val="300"/>
        </w:trPr>
        <w:tc>
          <w:tcPr>
            <w:tcW w:w="2166" w:type="pc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rPr>
            </w:pPr>
            <w:r w:rsidRPr="009E7D16">
              <w:rPr>
                <w:noProof/>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DE314D" w:rsidRPr="009E7D16" w:rsidRDefault="00DE314D">
            <w:pPr>
              <w:spacing w:before="0" w:after="0"/>
              <w:jc w:val="center"/>
              <w:rPr>
                <w:b/>
                <w:bCs/>
                <w:noProof/>
                <w:sz w:val="16"/>
                <w:szCs w:val="16"/>
              </w:rPr>
            </w:pPr>
            <w:r w:rsidRPr="009E7D16">
              <w:rPr>
                <w:b/>
                <w:noProof/>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9E7D16" w:rsidRDefault="00DE314D">
            <w:pPr>
              <w:spacing w:before="0" w:after="0"/>
              <w:jc w:val="left"/>
              <w:rPr>
                <w:b/>
                <w:bCs/>
                <w:noProof/>
                <w:sz w:val="16"/>
                <w:szCs w:val="16"/>
              </w:rPr>
            </w:pPr>
            <w:r w:rsidRPr="009E7D16">
              <w:rPr>
                <w:b/>
                <w:noProof/>
                <w:sz w:val="16"/>
              </w:rPr>
              <w:t>Hors RUBRIQUE 7</w:t>
            </w:r>
          </w:p>
        </w:tc>
      </w:tr>
      <w:tr w:rsidR="00AC781E" w:rsidRPr="009E7D16" w:rsidTr="006C58F6">
        <w:trPr>
          <w:trHeight w:val="300"/>
        </w:trPr>
        <w:tc>
          <w:tcPr>
            <w:tcW w:w="2166" w:type="pc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rPr>
            </w:pPr>
            <w:r w:rsidRPr="009E7D16">
              <w:rPr>
                <w:noProof/>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rsidTr="006C58F6">
        <w:trPr>
          <w:trHeight w:val="300"/>
        </w:trPr>
        <w:tc>
          <w:tcPr>
            <w:tcW w:w="2166" w:type="pc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rPr>
            </w:pPr>
            <w:r w:rsidRPr="009E7D16">
              <w:rPr>
                <w:noProof/>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DE314D" w:rsidRPr="009E7D16" w:rsidRDefault="00DE314D">
            <w:pPr>
              <w:spacing w:before="0" w:after="0"/>
              <w:jc w:val="center"/>
              <w:rPr>
                <w:b/>
                <w:bCs/>
                <w:noProof/>
                <w:sz w:val="16"/>
                <w:szCs w:val="16"/>
              </w:rPr>
            </w:pPr>
            <w:r w:rsidRPr="009E7D16">
              <w:rPr>
                <w:b/>
                <w:noProof/>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rsidR="00DE314D" w:rsidRPr="009E7D16" w:rsidRDefault="00DE314D">
            <w:pPr>
              <w:spacing w:before="0" w:after="0"/>
              <w:jc w:val="center"/>
              <w:rPr>
                <w:noProof/>
                <w:sz w:val="16"/>
                <w:szCs w:val="16"/>
                <w:lang w:eastAsia="en-IE"/>
              </w:rPr>
            </w:pPr>
          </w:p>
        </w:tc>
      </w:tr>
      <w:tr w:rsidR="00AC781E" w:rsidRPr="009E7D16" w:rsidTr="006C58F6">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rsidR="00DE314D" w:rsidRPr="009E7D16" w:rsidRDefault="00DE314D">
            <w:pPr>
              <w:spacing w:before="0" w:after="0"/>
              <w:jc w:val="center"/>
              <w:rPr>
                <w:b/>
                <w:bCs/>
                <w:noProof/>
                <w:sz w:val="16"/>
                <w:szCs w:val="16"/>
              </w:rPr>
            </w:pPr>
            <w:r w:rsidRPr="009E7D16">
              <w:rPr>
                <w:b/>
                <w:noProof/>
                <w:sz w:val="16"/>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bl>
    <w:p w:rsidR="00DE314D" w:rsidRPr="009E7D16" w:rsidRDefault="00DE314D">
      <w:pPr>
        <w:pStyle w:val="ManualHeading3"/>
        <w:rPr>
          <w:noProof/>
        </w:rPr>
      </w:pPr>
      <w:bookmarkStart w:id="165" w:name="_Toc167220293"/>
      <w:bookmarkStart w:id="166" w:name="_Toc177549026"/>
      <w:r w:rsidRPr="009E7D16">
        <w:rPr>
          <w:noProof/>
        </w:rPr>
        <w:t>3.2.3.3.</w:t>
      </w:r>
      <w:r w:rsidRPr="009E7D16">
        <w:rPr>
          <w:noProof/>
        </w:rPr>
        <w:tab/>
        <w:t>Total des crédits</w:t>
      </w:r>
      <w:bookmarkEnd w:id="165"/>
      <w:bookmarkEnd w:id="166"/>
    </w:p>
    <w:tbl>
      <w:tblPr>
        <w:tblW w:w="8680" w:type="dxa"/>
        <w:tblLook w:val="04A0" w:firstRow="1" w:lastRow="0" w:firstColumn="1" w:lastColumn="0" w:noHBand="0" w:noVBand="1"/>
      </w:tblPr>
      <w:tblGrid>
        <w:gridCol w:w="3685"/>
        <w:gridCol w:w="932"/>
        <w:gridCol w:w="925"/>
        <w:gridCol w:w="918"/>
        <w:gridCol w:w="912"/>
        <w:gridCol w:w="1312"/>
      </w:tblGrid>
      <w:tr w:rsidR="00AC781E" w:rsidRPr="009E7D16" w:rsidTr="006C58F6">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TOTAL</w:t>
            </w:r>
            <w:r w:rsidRPr="009E7D16">
              <w:rPr>
                <w:noProof/>
              </w:rPr>
              <w:t xml:space="preserve"> </w:t>
            </w:r>
            <w:r w:rsidRPr="009E7D16">
              <w:rPr>
                <w:noProof/>
              </w:rPr>
              <w:br/>
            </w:r>
            <w:r w:rsidRPr="009E7D16">
              <w:rPr>
                <w:b/>
                <w:noProof/>
                <w:sz w:val="18"/>
              </w:rPr>
              <w:t>CRÉDITS VOTÉS + RECETTES AFFECTÉES EXTERNES</w:t>
            </w:r>
          </w:p>
        </w:tc>
        <w:tc>
          <w:tcPr>
            <w:tcW w:w="960"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18"/>
                <w:szCs w:val="18"/>
              </w:rPr>
            </w:pPr>
            <w:r w:rsidRPr="009E7D16">
              <w:rPr>
                <w:noProof/>
                <w:sz w:val="18"/>
              </w:rPr>
              <w:t>Année</w:t>
            </w:r>
          </w:p>
        </w:tc>
        <w:tc>
          <w:tcPr>
            <w:tcW w:w="960"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18"/>
                <w:szCs w:val="18"/>
              </w:rPr>
            </w:pPr>
            <w:r w:rsidRPr="009E7D16">
              <w:rPr>
                <w:noProof/>
                <w:sz w:val="18"/>
              </w:rPr>
              <w:t>Année</w:t>
            </w:r>
          </w:p>
        </w:tc>
        <w:tc>
          <w:tcPr>
            <w:tcW w:w="960"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18"/>
                <w:szCs w:val="18"/>
              </w:rPr>
            </w:pPr>
            <w:r w:rsidRPr="009E7D16">
              <w:rPr>
                <w:noProof/>
                <w:sz w:val="18"/>
              </w:rPr>
              <w:t>Année</w:t>
            </w:r>
          </w:p>
        </w:tc>
        <w:tc>
          <w:tcPr>
            <w:tcW w:w="960"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18"/>
                <w:szCs w:val="18"/>
              </w:rPr>
            </w:pPr>
            <w:r w:rsidRPr="009E7D16">
              <w:rPr>
                <w:noProof/>
                <w:sz w:val="18"/>
              </w:rPr>
              <w:t>Année</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TOTAL 2021-2027</w:t>
            </w:r>
          </w:p>
        </w:tc>
      </w:tr>
      <w:tr w:rsidR="00AC781E" w:rsidRPr="009E7D16" w:rsidTr="006C58F6">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b/>
                <w:bCs/>
                <w:noProof/>
                <w:sz w:val="18"/>
                <w:szCs w:val="18"/>
                <w:lang w:eastAsia="en-IE"/>
              </w:rPr>
            </w:pPr>
          </w:p>
        </w:tc>
        <w:tc>
          <w:tcPr>
            <w:tcW w:w="960"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2024</w:t>
            </w:r>
          </w:p>
        </w:tc>
        <w:tc>
          <w:tcPr>
            <w:tcW w:w="960"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2025</w:t>
            </w:r>
          </w:p>
        </w:tc>
        <w:tc>
          <w:tcPr>
            <w:tcW w:w="960"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2026</w:t>
            </w:r>
          </w:p>
        </w:tc>
        <w:tc>
          <w:tcPr>
            <w:tcW w:w="960"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18"/>
                <w:szCs w:val="18"/>
              </w:rPr>
            </w:pPr>
            <w:r w:rsidRPr="009E7D16">
              <w:rPr>
                <w:b/>
                <w:noProof/>
                <w:sz w:val="18"/>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b/>
                <w:bCs/>
                <w:noProof/>
                <w:sz w:val="18"/>
                <w:szCs w:val="18"/>
                <w:lang w:eastAsia="en-IE"/>
              </w:rPr>
            </w:pPr>
          </w:p>
        </w:tc>
      </w:tr>
      <w:tr w:rsidR="00AC781E" w:rsidRPr="009E7D16" w:rsidTr="006C58F6">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rsidR="00DE314D" w:rsidRPr="009E7D16" w:rsidRDefault="00DE314D">
            <w:pPr>
              <w:spacing w:before="0" w:after="0"/>
              <w:jc w:val="left"/>
              <w:rPr>
                <w:b/>
                <w:bCs/>
                <w:noProof/>
                <w:sz w:val="16"/>
                <w:szCs w:val="16"/>
              </w:rPr>
            </w:pPr>
            <w:r w:rsidRPr="009E7D16">
              <w:rPr>
                <w:b/>
                <w:noProof/>
                <w:sz w:val="16"/>
              </w:rPr>
              <w:t>RUBRIQUE 7</w:t>
            </w:r>
          </w:p>
        </w:tc>
      </w:tr>
      <w:tr w:rsidR="00AC781E" w:rsidRPr="009E7D16" w:rsidTr="006C58F6">
        <w:trPr>
          <w:trHeight w:val="300"/>
        </w:trPr>
        <w:tc>
          <w:tcPr>
            <w:tcW w:w="3760" w:type="dxa"/>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rPr>
            </w:pPr>
            <w:r w:rsidRPr="009E7D16">
              <w:rPr>
                <w:noProof/>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rsidTr="006C58F6">
        <w:trPr>
          <w:trHeight w:val="300"/>
        </w:trPr>
        <w:tc>
          <w:tcPr>
            <w:tcW w:w="3760" w:type="dxa"/>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rPr>
            </w:pPr>
            <w:r w:rsidRPr="009E7D16">
              <w:rPr>
                <w:noProof/>
                <w:sz w:val="16"/>
              </w:rPr>
              <w:t xml:space="preserve">Autres dépenses administratives </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DE314D" w:rsidRPr="009E7D16" w:rsidRDefault="00DE314D">
            <w:pPr>
              <w:spacing w:before="0" w:after="0"/>
              <w:jc w:val="center"/>
              <w:rPr>
                <w:b/>
                <w:bCs/>
                <w:noProof/>
                <w:sz w:val="16"/>
                <w:szCs w:val="16"/>
              </w:rPr>
            </w:pPr>
            <w:r w:rsidRPr="009E7D16">
              <w:rPr>
                <w:b/>
                <w:noProof/>
                <w:sz w:val="16"/>
              </w:rPr>
              <w:t>Sous-total RUBRIQUE 7</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rsidTr="006C58F6">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rsidR="00DE314D" w:rsidRPr="009E7D16" w:rsidRDefault="00DE314D">
            <w:pPr>
              <w:spacing w:before="0" w:after="0"/>
              <w:jc w:val="left"/>
              <w:rPr>
                <w:b/>
                <w:bCs/>
                <w:noProof/>
                <w:sz w:val="16"/>
                <w:szCs w:val="16"/>
              </w:rPr>
            </w:pPr>
            <w:r w:rsidRPr="009E7D16">
              <w:rPr>
                <w:b/>
                <w:noProof/>
                <w:sz w:val="16"/>
              </w:rPr>
              <w:t>Hors RUBRIQUE 7</w:t>
            </w:r>
          </w:p>
        </w:tc>
      </w:tr>
      <w:tr w:rsidR="00AC781E" w:rsidRPr="009E7D16" w:rsidTr="006C58F6">
        <w:trPr>
          <w:trHeight w:val="300"/>
        </w:trPr>
        <w:tc>
          <w:tcPr>
            <w:tcW w:w="3760" w:type="dxa"/>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rPr>
            </w:pPr>
            <w:r w:rsidRPr="009E7D16">
              <w:rPr>
                <w:noProof/>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rsidTr="006C58F6">
        <w:trPr>
          <w:trHeight w:val="300"/>
        </w:trPr>
        <w:tc>
          <w:tcPr>
            <w:tcW w:w="3760" w:type="dxa"/>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rPr>
            </w:pPr>
            <w:r w:rsidRPr="009E7D16">
              <w:rPr>
                <w:noProof/>
                <w:sz w:val="16"/>
              </w:rPr>
              <w:t>Autres dépenses de nature administrative</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noProof/>
                <w:sz w:val="16"/>
                <w:szCs w:val="16"/>
              </w:rPr>
            </w:pPr>
            <w:r w:rsidRPr="009E7D16">
              <w:rPr>
                <w:noProof/>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DE314D" w:rsidRPr="009E7D16" w:rsidRDefault="00DE314D">
            <w:pPr>
              <w:spacing w:before="0" w:after="0"/>
              <w:jc w:val="center"/>
              <w:rPr>
                <w:b/>
                <w:bCs/>
                <w:noProof/>
                <w:sz w:val="16"/>
                <w:szCs w:val="16"/>
              </w:rPr>
            </w:pPr>
            <w:r w:rsidRPr="009E7D16">
              <w:rPr>
                <w:b/>
                <w:noProof/>
                <w:sz w:val="16"/>
              </w:rPr>
              <w:t>Sous-total hors RUBRIQUE 7</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r w:rsidR="00AC781E" w:rsidRPr="009E7D16" w:rsidTr="006C58F6">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rsidR="00DE314D" w:rsidRPr="009E7D16" w:rsidRDefault="00DE314D">
            <w:pPr>
              <w:spacing w:before="0" w:after="0"/>
              <w:jc w:val="center"/>
              <w:rPr>
                <w:noProof/>
                <w:sz w:val="16"/>
                <w:szCs w:val="16"/>
                <w:lang w:eastAsia="en-IE"/>
              </w:rPr>
            </w:pPr>
          </w:p>
        </w:tc>
      </w:tr>
      <w:tr w:rsidR="00AC781E" w:rsidRPr="009E7D16" w:rsidTr="006C58F6">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rsidR="00DE314D" w:rsidRPr="009E7D16" w:rsidRDefault="00DE314D">
            <w:pPr>
              <w:spacing w:before="0" w:after="0"/>
              <w:jc w:val="center"/>
              <w:rPr>
                <w:b/>
                <w:bCs/>
                <w:noProof/>
                <w:sz w:val="16"/>
                <w:szCs w:val="16"/>
              </w:rPr>
            </w:pPr>
            <w:r w:rsidRPr="009E7D16">
              <w:rPr>
                <w:b/>
                <w:noProof/>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rsidR="00DE314D" w:rsidRPr="009E7D16" w:rsidRDefault="00DE314D">
            <w:pPr>
              <w:spacing w:before="0" w:after="0"/>
              <w:jc w:val="right"/>
              <w:rPr>
                <w:b/>
                <w:bCs/>
                <w:noProof/>
                <w:sz w:val="16"/>
                <w:szCs w:val="16"/>
              </w:rPr>
            </w:pPr>
            <w:r w:rsidRPr="009E7D16">
              <w:rPr>
                <w:b/>
                <w:noProof/>
                <w:sz w:val="16"/>
              </w:rPr>
              <w:t>0,000</w:t>
            </w:r>
          </w:p>
        </w:tc>
      </w:tr>
    </w:tbl>
    <w:p w:rsidR="00DE314D" w:rsidRPr="009E7D16" w:rsidRDefault="00DE314D">
      <w:pPr>
        <w:rPr>
          <w:noProof/>
          <w:sz w:val="22"/>
          <w:szCs w:val="28"/>
        </w:rPr>
      </w:pPr>
      <w:r w:rsidRPr="009E7D16">
        <w:rPr>
          <w:noProof/>
          <w:sz w:val="22"/>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rsidR="00DE314D" w:rsidRPr="009E7D16" w:rsidRDefault="00DE314D">
      <w:pPr>
        <w:pStyle w:val="ManualHeading3"/>
        <w:rPr>
          <w:bCs/>
          <w:noProof/>
          <w:szCs w:val="24"/>
        </w:rPr>
      </w:pPr>
      <w:bookmarkStart w:id="167" w:name="_Toc167220294"/>
      <w:bookmarkStart w:id="168" w:name="_Toc177549027"/>
      <w:r w:rsidRPr="009E7D16">
        <w:rPr>
          <w:noProof/>
        </w:rPr>
        <w:t>3.2.4.</w:t>
      </w:r>
      <w:r w:rsidRPr="009E7D16">
        <w:rPr>
          <w:noProof/>
        </w:rPr>
        <w:tab/>
        <w:t>Besoins estimés en ressources humaines</w:t>
      </w:r>
      <w:bookmarkEnd w:id="167"/>
      <w:bookmarkEnd w:id="168"/>
      <w:r w:rsidRPr="009E7D16">
        <w:rPr>
          <w:noProof/>
        </w:rPr>
        <w:t xml:space="preserve"> </w:t>
      </w:r>
    </w:p>
    <w:p w:rsidR="00DE314D" w:rsidRPr="009E7D16" w:rsidRDefault="007E0AF1">
      <w:pPr>
        <w:pStyle w:val="ListDash1"/>
        <w:rPr>
          <w:noProof/>
        </w:rPr>
      </w:pPr>
      <w:r w:rsidRPr="009E7D16">
        <w:rPr>
          <w:rFonts w:ascii="Wingdings" w:hAnsi="Wingdings"/>
          <w:noProof/>
        </w:rPr>
        <w:t></w:t>
      </w:r>
      <w:r w:rsidRPr="009E7D16">
        <w:rPr>
          <w:noProof/>
        </w:rPr>
        <w:tab/>
        <w:t xml:space="preserve">La proposition/l’initiative n’engendre pas l’utilisation de ressources humaines. </w:t>
      </w:r>
    </w:p>
    <w:p w:rsidR="00DE314D" w:rsidRPr="009E7D16" w:rsidRDefault="00DE314D">
      <w:pPr>
        <w:pStyle w:val="ListDash1"/>
        <w:rPr>
          <w:noProof/>
        </w:rPr>
      </w:pPr>
      <w:r w:rsidRPr="009E7D16">
        <w:rPr>
          <w:rFonts w:ascii="Wingdings" w:hAnsi="Wingdings"/>
          <w:noProof/>
        </w:rPr>
        <w:t></w:t>
      </w:r>
      <w:r w:rsidRPr="009E7D16">
        <w:rPr>
          <w:noProof/>
        </w:rPr>
        <w:tab/>
        <w:t>La proposition/l’initiative engendre l’utilisation de ressources humaines, comme expliqué ci-après:</w:t>
      </w:r>
    </w:p>
    <w:p w:rsidR="00DE314D" w:rsidRPr="009E7D16" w:rsidRDefault="00DE314D">
      <w:pPr>
        <w:pStyle w:val="ManualHeading3"/>
        <w:rPr>
          <w:noProof/>
        </w:rPr>
      </w:pPr>
      <w:bookmarkStart w:id="169" w:name="_Toc167220295"/>
      <w:bookmarkStart w:id="170" w:name="_Toc177549028"/>
      <w:r w:rsidRPr="009E7D16">
        <w:rPr>
          <w:noProof/>
        </w:rPr>
        <w:t>3.2.4.1.</w:t>
      </w:r>
      <w:r w:rsidRPr="009E7D16">
        <w:rPr>
          <w:noProof/>
        </w:rPr>
        <w:tab/>
        <w:t>Financement sur le budget voté</w:t>
      </w:r>
      <w:bookmarkEnd w:id="169"/>
      <w:bookmarkEnd w:id="170"/>
    </w:p>
    <w:p w:rsidR="00DE314D" w:rsidRPr="009E7D16" w:rsidRDefault="00DE314D">
      <w:pPr>
        <w:spacing w:after="60"/>
        <w:jc w:val="right"/>
        <w:rPr>
          <w:i/>
          <w:noProof/>
          <w:sz w:val="20"/>
        </w:rPr>
      </w:pPr>
      <w:r w:rsidRPr="009E7D16">
        <w:rPr>
          <w:i/>
          <w:noProof/>
          <w:sz w:val="20"/>
        </w:rPr>
        <w:t>Estimation à exprimer en équivalents temps plein (ETP)</w:t>
      </w:r>
    </w:p>
    <w:tbl>
      <w:tblPr>
        <w:tblW w:w="5000" w:type="pct"/>
        <w:tblLook w:val="04A0" w:firstRow="1" w:lastRow="0" w:firstColumn="1" w:lastColumn="0" w:noHBand="0" w:noVBand="1"/>
      </w:tblPr>
      <w:tblGrid>
        <w:gridCol w:w="1513"/>
        <w:gridCol w:w="3898"/>
        <w:gridCol w:w="970"/>
        <w:gridCol w:w="970"/>
        <w:gridCol w:w="970"/>
        <w:gridCol w:w="968"/>
      </w:tblGrid>
      <w:tr w:rsidR="00AC781E" w:rsidRPr="009E7D16" w:rsidTr="006C58F6">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DE314D" w:rsidRPr="009E7D16" w:rsidRDefault="00DE314D">
            <w:pPr>
              <w:spacing w:before="0" w:after="0"/>
              <w:jc w:val="center"/>
              <w:rPr>
                <w:b/>
                <w:bCs/>
                <w:noProof/>
                <w:sz w:val="18"/>
                <w:szCs w:val="18"/>
              </w:rPr>
            </w:pPr>
            <w:bookmarkStart w:id="171" w:name="_Hlk156979231"/>
            <w:r w:rsidRPr="009E7D16">
              <w:rPr>
                <w:b/>
                <w:noProof/>
                <w:sz w:val="18"/>
              </w:rPr>
              <w:t>CRÉDITS VOTÉS</w:t>
            </w:r>
          </w:p>
        </w:tc>
        <w:tc>
          <w:tcPr>
            <w:tcW w:w="522" w:type="pct"/>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522" w:type="pct"/>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522" w:type="pct"/>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522" w:type="pct"/>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r>
      <w:tr w:rsidR="00AC781E" w:rsidRPr="009E7D16" w:rsidTr="006C58F6">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DE314D" w:rsidRPr="009E7D16" w:rsidRDefault="00DE314D">
            <w:pPr>
              <w:spacing w:before="0" w:after="0"/>
              <w:jc w:val="left"/>
              <w:rPr>
                <w:b/>
                <w:bCs/>
                <w:noProof/>
                <w:sz w:val="18"/>
                <w:szCs w:val="18"/>
                <w:lang w:eastAsia="en-IE"/>
              </w:rPr>
            </w:pPr>
          </w:p>
        </w:tc>
        <w:tc>
          <w:tcPr>
            <w:tcW w:w="522"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2024</w:t>
            </w:r>
          </w:p>
        </w:tc>
        <w:tc>
          <w:tcPr>
            <w:tcW w:w="522"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2025</w:t>
            </w:r>
          </w:p>
        </w:tc>
        <w:tc>
          <w:tcPr>
            <w:tcW w:w="522"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2026</w:t>
            </w:r>
          </w:p>
        </w:tc>
        <w:tc>
          <w:tcPr>
            <w:tcW w:w="522"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2027</w:t>
            </w:r>
          </w:p>
        </w:tc>
      </w:tr>
      <w:tr w:rsidR="00AC781E" w:rsidRPr="009E7D16"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9E7D16" w:rsidRDefault="00DE314D">
            <w:pPr>
              <w:spacing w:before="0" w:after="0"/>
              <w:jc w:val="left"/>
              <w:rPr>
                <w:rFonts w:ascii="Wingdings" w:hAnsi="Wingdings" w:cs="Calibri"/>
                <w:b/>
                <w:bCs/>
                <w:noProof/>
                <w:sz w:val="16"/>
                <w:szCs w:val="16"/>
              </w:rPr>
            </w:pPr>
            <w:r w:rsidRPr="009E7D16">
              <w:rPr>
                <w:rFonts w:ascii="Wingdings" w:hAnsi="Wingdings"/>
                <w:b/>
                <w:noProof/>
                <w:sz w:val="16"/>
              </w:rPr>
              <w:t></w:t>
            </w:r>
            <w:r w:rsidRPr="009E7D16">
              <w:rPr>
                <w:b/>
                <w:noProof/>
                <w:sz w:val="16"/>
              </w:rPr>
              <w:t xml:space="preserve"> Emplois du tableau des effectifs (fonctionnaires et agents temporaires)</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20 01 02 01</w:t>
            </w:r>
            <w:r w:rsidRPr="009E7D16">
              <w:rPr>
                <w:rFonts w:ascii="Arial Narrow" w:hAnsi="Arial Narrow"/>
                <w:noProof/>
                <w:sz w:val="20"/>
              </w:rPr>
              <w:t xml:space="preserve"> </w:t>
            </w:r>
            <w:r w:rsidRPr="009E7D16">
              <w:rPr>
                <w:noProof/>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01 01 01 01</w:t>
            </w:r>
            <w:r w:rsidRPr="009E7D16">
              <w:rPr>
                <w:rFonts w:ascii="Arial Narrow" w:hAnsi="Arial Narrow"/>
                <w:noProof/>
                <w:sz w:val="20"/>
              </w:rPr>
              <w:t xml:space="preserve"> </w:t>
            </w:r>
            <w:r w:rsidRPr="009E7D16">
              <w:rPr>
                <w:noProof/>
                <w:sz w:val="16"/>
              </w:rPr>
              <w:t xml:space="preserve"> (Recherche indirecte)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9E7D16" w:rsidRDefault="00DE314D">
            <w:pPr>
              <w:spacing w:before="0" w:after="0"/>
              <w:jc w:val="left"/>
              <w:rPr>
                <w:rFonts w:ascii="Wingdings" w:hAnsi="Wingdings" w:cs="Calibri"/>
                <w:b/>
                <w:bCs/>
                <w:noProof/>
                <w:sz w:val="16"/>
                <w:szCs w:val="16"/>
              </w:rPr>
            </w:pPr>
            <w:r w:rsidRPr="009E7D16">
              <w:rPr>
                <w:rFonts w:ascii="Calibri" w:hAnsi="Calibri"/>
                <w:b/>
                <w:noProof/>
                <w:sz w:val="16"/>
              </w:rPr>
              <w:t>•</w:t>
            </w:r>
            <w:r w:rsidRPr="009E7D16">
              <w:rPr>
                <w:b/>
                <w:noProof/>
                <w:sz w:val="16"/>
              </w:rPr>
              <w:t xml:space="preserve"> Personnel externe (en ETP)</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20 02 01</w:t>
            </w:r>
            <w:r w:rsidRPr="009E7D16">
              <w:rPr>
                <w:rFonts w:ascii="Arial Narrow" w:hAnsi="Arial Narrow"/>
                <w:noProof/>
                <w:sz w:val="20"/>
              </w:rPr>
              <w:t xml:space="preserve"> </w:t>
            </w:r>
            <w:r w:rsidRPr="009E7D16">
              <w:rPr>
                <w:noProof/>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noProof/>
                <w:sz w:val="16"/>
                <w:szCs w:val="16"/>
              </w:rPr>
            </w:pPr>
            <w:r w:rsidRPr="009E7D16">
              <w:rPr>
                <w:noProof/>
                <w:sz w:val="16"/>
              </w:rPr>
              <w:t>Ligne d’appui administratif</w:t>
            </w:r>
            <w:r w:rsidRPr="009E7D16">
              <w:rPr>
                <w:noProof/>
              </w:rPr>
              <w:t xml:space="preserve"> </w:t>
            </w:r>
            <w:r w:rsidRPr="009E7D16">
              <w:rPr>
                <w:noProof/>
              </w:rPr>
              <w:br/>
            </w:r>
            <w:r w:rsidRPr="009E7D16">
              <w:rPr>
                <w:noProof/>
                <w:sz w:val="16"/>
              </w:rPr>
              <w:t>[XX.01.YY.YY]</w:t>
            </w:r>
          </w:p>
        </w:tc>
        <w:tc>
          <w:tcPr>
            <w:tcW w:w="2098" w:type="pct"/>
            <w:tcBorders>
              <w:top w:val="nil"/>
              <w:left w:val="nil"/>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815" w:type="pct"/>
            <w:vMerge/>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lang w:eastAsia="en-IE"/>
              </w:rPr>
            </w:pPr>
          </w:p>
        </w:tc>
        <w:tc>
          <w:tcPr>
            <w:tcW w:w="2098" w:type="pct"/>
            <w:tcBorders>
              <w:top w:val="nil"/>
              <w:left w:val="nil"/>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01 01 01 02</w:t>
            </w:r>
            <w:r w:rsidRPr="009E7D16">
              <w:rPr>
                <w:rFonts w:ascii="Arial Narrow" w:hAnsi="Arial Narrow"/>
                <w:noProof/>
                <w:sz w:val="20"/>
              </w:rPr>
              <w:t xml:space="preserve"> </w:t>
            </w:r>
            <w:r w:rsidRPr="009E7D16">
              <w:rPr>
                <w:noProof/>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b/>
                <w:bCs/>
                <w:noProof/>
                <w:sz w:val="16"/>
                <w:szCs w:val="16"/>
              </w:rPr>
            </w:pPr>
            <w:r w:rsidRPr="009E7D16">
              <w:rPr>
                <w:b/>
                <w:noProof/>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b/>
                <w:bCs/>
                <w:noProof/>
                <w:sz w:val="16"/>
                <w:szCs w:val="16"/>
              </w:rPr>
            </w:pPr>
            <w:r w:rsidRPr="009E7D16">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b/>
                <w:bCs/>
                <w:noProof/>
                <w:sz w:val="16"/>
                <w:szCs w:val="16"/>
              </w:rPr>
            </w:pPr>
            <w:r w:rsidRPr="009E7D16">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b/>
                <w:bCs/>
                <w:noProof/>
                <w:sz w:val="16"/>
                <w:szCs w:val="16"/>
              </w:rPr>
            </w:pPr>
            <w:r w:rsidRPr="009E7D16">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b/>
                <w:bCs/>
                <w:noProof/>
                <w:sz w:val="16"/>
                <w:szCs w:val="16"/>
              </w:rPr>
            </w:pPr>
            <w:r w:rsidRPr="009E7D16">
              <w:rPr>
                <w:b/>
                <w:noProof/>
                <w:sz w:val="16"/>
              </w:rPr>
              <w:t>0</w:t>
            </w:r>
          </w:p>
        </w:tc>
      </w:tr>
    </w:tbl>
    <w:p w:rsidR="00DE314D" w:rsidRPr="009E7D16" w:rsidRDefault="00DE314D">
      <w:pPr>
        <w:pStyle w:val="ManualHeading3"/>
        <w:rPr>
          <w:noProof/>
        </w:rPr>
      </w:pPr>
      <w:bookmarkStart w:id="172" w:name="_Toc167220296"/>
      <w:bookmarkStart w:id="173" w:name="_Toc177549029"/>
      <w:r w:rsidRPr="009E7D16">
        <w:rPr>
          <w:noProof/>
        </w:rPr>
        <w:t>3.2.4.2.</w:t>
      </w:r>
      <w:r w:rsidRPr="009E7D16">
        <w:rPr>
          <w:noProof/>
        </w:rPr>
        <w:tab/>
        <w:t>Financement par des recettes affectées externes</w:t>
      </w:r>
      <w:bookmarkEnd w:id="172"/>
      <w:bookmarkEnd w:id="173"/>
    </w:p>
    <w:tbl>
      <w:tblPr>
        <w:tblW w:w="5000" w:type="pct"/>
        <w:tblLook w:val="04A0" w:firstRow="1" w:lastRow="0" w:firstColumn="1" w:lastColumn="0" w:noHBand="0" w:noVBand="1"/>
      </w:tblPr>
      <w:tblGrid>
        <w:gridCol w:w="1513"/>
        <w:gridCol w:w="3898"/>
        <w:gridCol w:w="970"/>
        <w:gridCol w:w="970"/>
        <w:gridCol w:w="970"/>
        <w:gridCol w:w="968"/>
      </w:tblGrid>
      <w:tr w:rsidR="00AC781E" w:rsidRPr="009E7D16" w:rsidTr="006C58F6">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DE314D" w:rsidRPr="009E7D16" w:rsidRDefault="00DE314D">
            <w:pPr>
              <w:spacing w:before="0" w:after="0"/>
              <w:jc w:val="center"/>
              <w:rPr>
                <w:b/>
                <w:bCs/>
                <w:noProof/>
                <w:sz w:val="18"/>
                <w:szCs w:val="18"/>
              </w:rPr>
            </w:pPr>
            <w:r w:rsidRPr="009E7D16">
              <w:rPr>
                <w:b/>
                <w:noProof/>
                <w:sz w:val="18"/>
              </w:rPr>
              <w:t>RECETTES AFFECTÉES EXTERNES</w:t>
            </w:r>
          </w:p>
        </w:tc>
        <w:tc>
          <w:tcPr>
            <w:tcW w:w="522" w:type="pct"/>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522" w:type="pct"/>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522" w:type="pct"/>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522" w:type="pct"/>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r>
      <w:tr w:rsidR="00AC781E" w:rsidRPr="009E7D16" w:rsidTr="006C58F6">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DE314D" w:rsidRPr="009E7D16" w:rsidRDefault="00DE314D">
            <w:pPr>
              <w:spacing w:before="0" w:after="0"/>
              <w:jc w:val="left"/>
              <w:rPr>
                <w:b/>
                <w:bCs/>
                <w:noProof/>
                <w:sz w:val="18"/>
                <w:szCs w:val="18"/>
                <w:lang w:eastAsia="en-IE"/>
              </w:rPr>
            </w:pPr>
          </w:p>
        </w:tc>
        <w:tc>
          <w:tcPr>
            <w:tcW w:w="522"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2024</w:t>
            </w:r>
          </w:p>
        </w:tc>
        <w:tc>
          <w:tcPr>
            <w:tcW w:w="522"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2025</w:t>
            </w:r>
          </w:p>
        </w:tc>
        <w:tc>
          <w:tcPr>
            <w:tcW w:w="522"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2026</w:t>
            </w:r>
          </w:p>
        </w:tc>
        <w:tc>
          <w:tcPr>
            <w:tcW w:w="522" w:type="pct"/>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2027</w:t>
            </w:r>
          </w:p>
        </w:tc>
      </w:tr>
      <w:tr w:rsidR="00AC781E" w:rsidRPr="009E7D16"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9E7D16" w:rsidRDefault="00DE314D">
            <w:pPr>
              <w:spacing w:before="0" w:after="0"/>
              <w:jc w:val="left"/>
              <w:rPr>
                <w:rFonts w:ascii="Wingdings" w:hAnsi="Wingdings" w:cs="Calibri"/>
                <w:b/>
                <w:bCs/>
                <w:noProof/>
                <w:sz w:val="16"/>
                <w:szCs w:val="16"/>
              </w:rPr>
            </w:pPr>
            <w:r w:rsidRPr="009E7D16">
              <w:rPr>
                <w:rFonts w:ascii="Wingdings" w:hAnsi="Wingdings"/>
                <w:b/>
                <w:noProof/>
                <w:sz w:val="16"/>
              </w:rPr>
              <w:t></w:t>
            </w:r>
            <w:r w:rsidRPr="009E7D16">
              <w:rPr>
                <w:b/>
                <w:noProof/>
                <w:sz w:val="16"/>
              </w:rPr>
              <w:t xml:space="preserve"> Emplois du tableau des effectifs (fonctionnaires et agents temporaires)</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20 01 02 01</w:t>
            </w:r>
            <w:r w:rsidRPr="009E7D16">
              <w:rPr>
                <w:rFonts w:ascii="Arial Narrow" w:hAnsi="Arial Narrow"/>
                <w:noProof/>
                <w:sz w:val="20"/>
              </w:rPr>
              <w:t xml:space="preserve"> </w:t>
            </w:r>
            <w:r w:rsidRPr="009E7D16">
              <w:rPr>
                <w:noProof/>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01 01 01 01 (Recherche indirecte)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9E7D16" w:rsidRDefault="00DE314D">
            <w:pPr>
              <w:spacing w:before="0" w:after="0"/>
              <w:jc w:val="left"/>
              <w:rPr>
                <w:rFonts w:ascii="Wingdings" w:hAnsi="Wingdings" w:cs="Calibri"/>
                <w:b/>
                <w:bCs/>
                <w:noProof/>
                <w:sz w:val="16"/>
                <w:szCs w:val="16"/>
              </w:rPr>
            </w:pPr>
            <w:r w:rsidRPr="009E7D16">
              <w:rPr>
                <w:rFonts w:ascii="Calibri" w:hAnsi="Calibri"/>
                <w:b/>
                <w:noProof/>
                <w:sz w:val="16"/>
              </w:rPr>
              <w:t>•</w:t>
            </w:r>
            <w:r w:rsidRPr="009E7D16">
              <w:rPr>
                <w:b/>
                <w:noProof/>
                <w:sz w:val="16"/>
              </w:rPr>
              <w:t xml:space="preserve"> Personnel externe (en équivalents temps plein)</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20 02 01</w:t>
            </w:r>
            <w:r w:rsidRPr="009E7D16">
              <w:rPr>
                <w:rFonts w:ascii="Arial Narrow" w:hAnsi="Arial Narrow"/>
                <w:noProof/>
                <w:sz w:val="20"/>
              </w:rPr>
              <w:t xml:space="preserve"> </w:t>
            </w:r>
            <w:r w:rsidRPr="009E7D16">
              <w:rPr>
                <w:noProof/>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noProof/>
                <w:sz w:val="16"/>
                <w:szCs w:val="16"/>
              </w:rPr>
            </w:pPr>
            <w:r w:rsidRPr="009E7D16">
              <w:rPr>
                <w:noProof/>
                <w:sz w:val="16"/>
              </w:rPr>
              <w:t xml:space="preserve">Ligne d’appui administratif </w:t>
            </w:r>
            <w:r w:rsidRPr="009E7D16">
              <w:rPr>
                <w:noProof/>
              </w:rPr>
              <w:t xml:space="preserve"> </w:t>
            </w:r>
            <w:r w:rsidRPr="009E7D16">
              <w:rPr>
                <w:noProof/>
              </w:rPr>
              <w:br/>
            </w:r>
            <w:r w:rsidRPr="009E7D16">
              <w:rPr>
                <w:noProof/>
                <w:sz w:val="16"/>
              </w:rPr>
              <w:t>[XX.01.YY.YY]</w:t>
            </w:r>
          </w:p>
        </w:tc>
        <w:tc>
          <w:tcPr>
            <w:tcW w:w="2098" w:type="pct"/>
            <w:tcBorders>
              <w:top w:val="nil"/>
              <w:left w:val="nil"/>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815" w:type="pct"/>
            <w:vMerge/>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lang w:eastAsia="en-IE"/>
              </w:rPr>
            </w:pPr>
          </w:p>
        </w:tc>
        <w:tc>
          <w:tcPr>
            <w:tcW w:w="2098" w:type="pct"/>
            <w:tcBorders>
              <w:top w:val="nil"/>
              <w:left w:val="nil"/>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01 01 01 02</w:t>
            </w:r>
            <w:r w:rsidRPr="009E7D16">
              <w:rPr>
                <w:rFonts w:ascii="Arial Narrow" w:hAnsi="Arial Narrow"/>
                <w:noProof/>
                <w:sz w:val="20"/>
              </w:rPr>
              <w:t xml:space="preserve"> </w:t>
            </w:r>
            <w:r w:rsidRPr="009E7D16">
              <w:rPr>
                <w:noProof/>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b/>
                <w:bCs/>
                <w:noProof/>
                <w:sz w:val="16"/>
                <w:szCs w:val="16"/>
              </w:rPr>
            </w:pPr>
            <w:r w:rsidRPr="009E7D16">
              <w:rPr>
                <w:b/>
                <w:noProof/>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b/>
                <w:bCs/>
                <w:noProof/>
                <w:sz w:val="16"/>
                <w:szCs w:val="16"/>
              </w:rPr>
            </w:pPr>
            <w:r w:rsidRPr="009E7D16">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b/>
                <w:bCs/>
                <w:noProof/>
                <w:sz w:val="16"/>
                <w:szCs w:val="16"/>
              </w:rPr>
            </w:pPr>
            <w:r w:rsidRPr="009E7D16">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b/>
                <w:bCs/>
                <w:noProof/>
                <w:sz w:val="16"/>
                <w:szCs w:val="16"/>
              </w:rPr>
            </w:pPr>
            <w:r w:rsidRPr="009E7D16">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b/>
                <w:bCs/>
                <w:noProof/>
                <w:sz w:val="16"/>
                <w:szCs w:val="16"/>
              </w:rPr>
            </w:pPr>
            <w:r w:rsidRPr="009E7D16">
              <w:rPr>
                <w:b/>
                <w:noProof/>
                <w:sz w:val="16"/>
              </w:rPr>
              <w:t>0</w:t>
            </w:r>
          </w:p>
        </w:tc>
      </w:tr>
    </w:tbl>
    <w:p w:rsidR="00DE314D" w:rsidRPr="009E7D16" w:rsidRDefault="00DE314D">
      <w:pPr>
        <w:pStyle w:val="ManualHeading3"/>
        <w:rPr>
          <w:noProof/>
        </w:rPr>
      </w:pPr>
      <w:bookmarkStart w:id="174" w:name="_Toc167220297"/>
      <w:bookmarkStart w:id="175" w:name="_Toc177549030"/>
      <w:r w:rsidRPr="009E7D16">
        <w:rPr>
          <w:noProof/>
        </w:rPr>
        <w:t>3.2.4.3.</w:t>
      </w:r>
      <w:r w:rsidRPr="009E7D16">
        <w:rPr>
          <w:noProof/>
        </w:rPr>
        <w:tab/>
        <w:t>Total des besoins en ressources humaines</w:t>
      </w:r>
      <w:bookmarkEnd w:id="174"/>
      <w:bookmarkEnd w:id="175"/>
    </w:p>
    <w:tbl>
      <w:tblPr>
        <w:tblW w:w="9200" w:type="dxa"/>
        <w:tblLook w:val="04A0" w:firstRow="1" w:lastRow="0" w:firstColumn="1" w:lastColumn="0" w:noHBand="0" w:noVBand="1"/>
      </w:tblPr>
      <w:tblGrid>
        <w:gridCol w:w="1500"/>
        <w:gridCol w:w="3860"/>
        <w:gridCol w:w="960"/>
        <w:gridCol w:w="960"/>
        <w:gridCol w:w="960"/>
        <w:gridCol w:w="960"/>
      </w:tblGrid>
      <w:tr w:rsidR="00AC781E" w:rsidRPr="009E7D16" w:rsidTr="006C58F6">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rsidR="00DE314D" w:rsidRPr="009E7D16" w:rsidRDefault="00DE314D">
            <w:pPr>
              <w:spacing w:before="0" w:after="0"/>
              <w:jc w:val="center"/>
              <w:rPr>
                <w:b/>
                <w:bCs/>
                <w:noProof/>
                <w:sz w:val="18"/>
                <w:szCs w:val="18"/>
              </w:rPr>
            </w:pPr>
            <w:r w:rsidRPr="009E7D16">
              <w:rPr>
                <w:b/>
                <w:noProof/>
                <w:sz w:val="18"/>
              </w:rPr>
              <w:t>TOTAL CRÉDITS VOTÉS + RECETTES AFFECTÉES EXTERNES</w:t>
            </w:r>
          </w:p>
        </w:tc>
        <w:tc>
          <w:tcPr>
            <w:tcW w:w="960"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960"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960"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c>
          <w:tcPr>
            <w:tcW w:w="960" w:type="dxa"/>
            <w:tcBorders>
              <w:top w:val="single" w:sz="8" w:space="0" w:color="auto"/>
              <w:left w:val="nil"/>
              <w:bottom w:val="nil"/>
              <w:right w:val="single" w:sz="8" w:space="0" w:color="auto"/>
            </w:tcBorders>
            <w:vAlign w:val="center"/>
            <w:hideMark/>
          </w:tcPr>
          <w:p w:rsidR="00DE314D" w:rsidRPr="009E7D16" w:rsidRDefault="00DE314D">
            <w:pPr>
              <w:spacing w:before="0" w:after="0"/>
              <w:jc w:val="center"/>
              <w:rPr>
                <w:noProof/>
                <w:sz w:val="20"/>
                <w:szCs w:val="20"/>
              </w:rPr>
            </w:pPr>
            <w:r w:rsidRPr="009E7D16">
              <w:rPr>
                <w:noProof/>
                <w:sz w:val="20"/>
              </w:rPr>
              <w:t>Année</w:t>
            </w:r>
          </w:p>
        </w:tc>
      </w:tr>
      <w:tr w:rsidR="00AC781E" w:rsidRPr="009E7D16" w:rsidTr="006C58F6">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rsidR="00DE314D" w:rsidRPr="009E7D16" w:rsidRDefault="00DE314D">
            <w:pPr>
              <w:spacing w:before="0" w:after="0"/>
              <w:jc w:val="left"/>
              <w:rPr>
                <w:b/>
                <w:bCs/>
                <w:noProof/>
                <w:sz w:val="18"/>
                <w:szCs w:val="18"/>
                <w:lang w:eastAsia="en-IE"/>
              </w:rPr>
            </w:pPr>
          </w:p>
        </w:tc>
        <w:tc>
          <w:tcPr>
            <w:tcW w:w="960"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2024</w:t>
            </w:r>
          </w:p>
        </w:tc>
        <w:tc>
          <w:tcPr>
            <w:tcW w:w="960"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2025</w:t>
            </w:r>
          </w:p>
        </w:tc>
        <w:tc>
          <w:tcPr>
            <w:tcW w:w="960"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2026</w:t>
            </w:r>
          </w:p>
        </w:tc>
        <w:tc>
          <w:tcPr>
            <w:tcW w:w="960" w:type="dxa"/>
            <w:tcBorders>
              <w:top w:val="nil"/>
              <w:left w:val="nil"/>
              <w:bottom w:val="single" w:sz="8" w:space="0" w:color="auto"/>
              <w:right w:val="single" w:sz="8" w:space="0" w:color="auto"/>
            </w:tcBorders>
            <w:vAlign w:val="center"/>
            <w:hideMark/>
          </w:tcPr>
          <w:p w:rsidR="00DE314D" w:rsidRPr="009E7D16" w:rsidRDefault="00DE314D">
            <w:pPr>
              <w:spacing w:before="0" w:after="0"/>
              <w:jc w:val="center"/>
              <w:rPr>
                <w:b/>
                <w:bCs/>
                <w:noProof/>
                <w:sz w:val="20"/>
                <w:szCs w:val="20"/>
              </w:rPr>
            </w:pPr>
            <w:r w:rsidRPr="009E7D16">
              <w:rPr>
                <w:b/>
                <w:noProof/>
                <w:sz w:val="20"/>
              </w:rPr>
              <w:t>2027</w:t>
            </w:r>
          </w:p>
        </w:tc>
      </w:tr>
      <w:tr w:rsidR="00AC781E" w:rsidRPr="009E7D16" w:rsidTr="006C58F6">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rsidR="00DE314D" w:rsidRPr="009E7D16" w:rsidRDefault="00DE314D">
            <w:pPr>
              <w:spacing w:before="0" w:after="0"/>
              <w:jc w:val="left"/>
              <w:rPr>
                <w:rFonts w:ascii="Wingdings" w:hAnsi="Wingdings" w:cs="Calibri"/>
                <w:b/>
                <w:bCs/>
                <w:noProof/>
                <w:sz w:val="16"/>
                <w:szCs w:val="16"/>
              </w:rPr>
            </w:pPr>
            <w:r w:rsidRPr="009E7D16">
              <w:rPr>
                <w:rFonts w:ascii="Wingdings" w:hAnsi="Wingdings"/>
                <w:b/>
                <w:noProof/>
                <w:sz w:val="16"/>
              </w:rPr>
              <w:t></w:t>
            </w:r>
            <w:r w:rsidRPr="009E7D16">
              <w:rPr>
                <w:b/>
                <w:noProof/>
                <w:sz w:val="16"/>
              </w:rPr>
              <w:t xml:space="preserve"> Emplois du tableau des effectifs (fonctionnaires et agents temporaires)</w:t>
            </w:r>
          </w:p>
        </w:tc>
      </w:tr>
      <w:tr w:rsidR="00AC781E" w:rsidRPr="009E7D16"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20 01 02 01</w:t>
            </w:r>
            <w:r w:rsidRPr="009E7D16">
              <w:rPr>
                <w:rFonts w:ascii="Arial Narrow" w:hAnsi="Arial Narrow"/>
                <w:noProof/>
                <w:sz w:val="20"/>
              </w:rPr>
              <w:t xml:space="preserve"> </w:t>
            </w:r>
            <w:r w:rsidRPr="009E7D16">
              <w:rPr>
                <w:noProof/>
                <w:sz w:val="16"/>
              </w:rPr>
              <w:t>(Au siège et dans les bureaux de représentation de la Commission)</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20 01 02 03 (Délégations de l’UE)</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01 01 01 01</w:t>
            </w:r>
            <w:r w:rsidRPr="009E7D16">
              <w:rPr>
                <w:rFonts w:ascii="Arial Narrow" w:hAnsi="Arial Narrow"/>
                <w:noProof/>
                <w:sz w:val="20"/>
              </w:rPr>
              <w:t xml:space="preserve"> </w:t>
            </w:r>
            <w:r w:rsidRPr="009E7D16">
              <w:rPr>
                <w:noProof/>
                <w:sz w:val="16"/>
              </w:rPr>
              <w:t xml:space="preserve"> (Recherche indirecte)</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01 01 01 11 (Recherche directe)</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Autres lignes budgétaires (à préciser)</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rsidR="00DE314D" w:rsidRPr="009E7D16" w:rsidRDefault="00DE314D">
            <w:pPr>
              <w:spacing w:before="0" w:after="0"/>
              <w:jc w:val="left"/>
              <w:rPr>
                <w:rFonts w:ascii="Wingdings" w:hAnsi="Wingdings" w:cs="Calibri"/>
                <w:b/>
                <w:bCs/>
                <w:noProof/>
                <w:sz w:val="16"/>
                <w:szCs w:val="16"/>
              </w:rPr>
            </w:pPr>
            <w:r w:rsidRPr="009E7D16">
              <w:rPr>
                <w:rFonts w:ascii="Calibri" w:hAnsi="Calibri"/>
                <w:b/>
                <w:noProof/>
                <w:sz w:val="16"/>
              </w:rPr>
              <w:t>•</w:t>
            </w:r>
            <w:r w:rsidRPr="009E7D16">
              <w:rPr>
                <w:b/>
                <w:noProof/>
                <w:sz w:val="16"/>
              </w:rPr>
              <w:t xml:space="preserve"> Personnel externe (en équivalents temps plein)</w:t>
            </w:r>
          </w:p>
        </w:tc>
      </w:tr>
      <w:tr w:rsidR="00AC781E" w:rsidRPr="009E7D16"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20 02 01</w:t>
            </w:r>
            <w:r w:rsidRPr="009E7D16">
              <w:rPr>
                <w:rFonts w:ascii="Arial Narrow" w:hAnsi="Arial Narrow"/>
                <w:noProof/>
                <w:sz w:val="20"/>
              </w:rPr>
              <w:t xml:space="preserve"> </w:t>
            </w:r>
            <w:r w:rsidRPr="009E7D16">
              <w:rPr>
                <w:noProof/>
                <w:sz w:val="16"/>
              </w:rPr>
              <w:t>(AC, END de l’«enveloppe globale»)</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20 02 03 (AC, AL, END et JPD dans les délégations de l’UE)</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center"/>
              <w:rPr>
                <w:noProof/>
                <w:sz w:val="16"/>
                <w:szCs w:val="16"/>
              </w:rPr>
            </w:pPr>
            <w:r w:rsidRPr="009E7D16">
              <w:rPr>
                <w:noProof/>
                <w:sz w:val="16"/>
              </w:rPr>
              <w:t xml:space="preserve">Ligne d’appui administratif </w:t>
            </w:r>
            <w:r w:rsidRPr="009E7D16">
              <w:rPr>
                <w:noProof/>
              </w:rPr>
              <w:t xml:space="preserve"> </w:t>
            </w:r>
            <w:r w:rsidRPr="009E7D16">
              <w:rPr>
                <w:noProof/>
              </w:rPr>
              <w:br/>
            </w:r>
            <w:r w:rsidRPr="009E7D16">
              <w:rPr>
                <w:noProof/>
                <w:sz w:val="16"/>
              </w:rPr>
              <w:t>[XX.01.YY.YY]</w:t>
            </w:r>
          </w:p>
        </w:tc>
        <w:tc>
          <w:tcPr>
            <w:tcW w:w="3860" w:type="dxa"/>
            <w:tcBorders>
              <w:top w:val="nil"/>
              <w:left w:val="nil"/>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 au siège</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1500" w:type="dxa"/>
            <w:vMerge/>
            <w:tcBorders>
              <w:top w:val="nil"/>
              <w:left w:val="single" w:sz="8" w:space="0" w:color="auto"/>
              <w:bottom w:val="single" w:sz="8" w:space="0" w:color="auto"/>
              <w:right w:val="single" w:sz="8" w:space="0" w:color="auto"/>
            </w:tcBorders>
            <w:vAlign w:val="center"/>
            <w:hideMark/>
          </w:tcPr>
          <w:p w:rsidR="00DE314D" w:rsidRPr="009E7D16" w:rsidRDefault="00DE314D">
            <w:pPr>
              <w:spacing w:before="0" w:after="0"/>
              <w:jc w:val="left"/>
              <w:rPr>
                <w:noProof/>
                <w:sz w:val="16"/>
                <w:szCs w:val="16"/>
                <w:lang w:eastAsia="en-IE"/>
              </w:rPr>
            </w:pPr>
          </w:p>
        </w:tc>
        <w:tc>
          <w:tcPr>
            <w:tcW w:w="3860" w:type="dxa"/>
            <w:tcBorders>
              <w:top w:val="nil"/>
              <w:left w:val="nil"/>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 xml:space="preserve">- dans les délégations de l’UE </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01 01 01 02</w:t>
            </w:r>
            <w:r w:rsidRPr="009E7D16">
              <w:rPr>
                <w:rFonts w:ascii="Arial Narrow" w:hAnsi="Arial Narrow"/>
                <w:noProof/>
                <w:sz w:val="20"/>
              </w:rPr>
              <w:t xml:space="preserve"> </w:t>
            </w:r>
            <w:r w:rsidRPr="009E7D16">
              <w:rPr>
                <w:noProof/>
                <w:sz w:val="16"/>
              </w:rPr>
              <w:t>(AC, END - Recherche indirecte)</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01 01 01 12 (AC, END - Recherche directe)</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Autres lignes budgétaires (à préciser) - Rubrique 7</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noProof/>
                <w:sz w:val="16"/>
                <w:szCs w:val="16"/>
              </w:rPr>
            </w:pPr>
            <w:r w:rsidRPr="009E7D16">
              <w:rPr>
                <w:noProof/>
                <w:sz w:val="16"/>
              </w:rPr>
              <w:t>Autres lignes budgétaires (à préciser) - Hors rubrique 7</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noProof/>
                <w:sz w:val="16"/>
                <w:szCs w:val="16"/>
              </w:rPr>
            </w:pPr>
            <w:r w:rsidRPr="009E7D16">
              <w:rPr>
                <w:noProof/>
                <w:sz w:val="16"/>
              </w:rPr>
              <w:t>0</w:t>
            </w:r>
          </w:p>
        </w:tc>
      </w:tr>
      <w:tr w:rsidR="00AC781E" w:rsidRPr="009E7D16"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9E7D16" w:rsidRDefault="00DE314D">
            <w:pPr>
              <w:spacing w:before="0" w:after="0"/>
              <w:ind w:firstLineChars="100" w:firstLine="160"/>
              <w:jc w:val="left"/>
              <w:rPr>
                <w:b/>
                <w:bCs/>
                <w:noProof/>
                <w:sz w:val="16"/>
                <w:szCs w:val="16"/>
              </w:rPr>
            </w:pPr>
            <w:r w:rsidRPr="009E7D16">
              <w:rPr>
                <w:b/>
                <w:noProof/>
                <w:sz w:val="16"/>
              </w:rPr>
              <w:t>TOTAL</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b/>
                <w:bCs/>
                <w:noProof/>
                <w:sz w:val="16"/>
                <w:szCs w:val="16"/>
              </w:rPr>
            </w:pPr>
            <w:r w:rsidRPr="009E7D16">
              <w:rPr>
                <w:b/>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b/>
                <w:bCs/>
                <w:noProof/>
                <w:sz w:val="16"/>
                <w:szCs w:val="16"/>
              </w:rPr>
            </w:pPr>
            <w:r w:rsidRPr="009E7D16">
              <w:rPr>
                <w:b/>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b/>
                <w:bCs/>
                <w:noProof/>
                <w:sz w:val="16"/>
                <w:szCs w:val="16"/>
              </w:rPr>
            </w:pPr>
            <w:r w:rsidRPr="009E7D16">
              <w:rPr>
                <w:b/>
                <w:noProof/>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9E7D16" w:rsidRDefault="00DE314D">
            <w:pPr>
              <w:spacing w:before="0" w:after="0"/>
              <w:jc w:val="center"/>
              <w:rPr>
                <w:b/>
                <w:bCs/>
                <w:noProof/>
                <w:sz w:val="16"/>
                <w:szCs w:val="16"/>
              </w:rPr>
            </w:pPr>
            <w:r w:rsidRPr="009E7D16">
              <w:rPr>
                <w:b/>
                <w:noProof/>
                <w:sz w:val="16"/>
              </w:rPr>
              <w:t>0</w:t>
            </w:r>
          </w:p>
        </w:tc>
      </w:tr>
    </w:tbl>
    <w:p w:rsidR="00DE314D" w:rsidRPr="009E7D16" w:rsidRDefault="00DE314D" w:rsidP="00853C97">
      <w:pPr>
        <w:pStyle w:val="Text1"/>
        <w:rPr>
          <w:noProof/>
        </w:rPr>
      </w:pPr>
      <w:bookmarkStart w:id="176" w:name="_Hlk167692843"/>
      <w:bookmarkEnd w:id="171"/>
      <w:r w:rsidRPr="009E7D16">
        <w:rPr>
          <w:noProof/>
        </w:rPr>
        <w:t>Pour estimer la charge de travail et les besoins en personnel, vous pouvez recourir aux orientations sur l’évaluation de la charge de travail élaborées par la DG HR.</w:t>
      </w:r>
    </w:p>
    <w:p w:rsidR="00DE314D" w:rsidRPr="00D12AF1" w:rsidRDefault="00DE314D" w:rsidP="00853C97">
      <w:pPr>
        <w:pStyle w:val="Text1"/>
        <w:rPr>
          <w:noProof/>
        </w:rPr>
      </w:pPr>
      <w:r w:rsidRPr="00D12AF1">
        <w:rPr>
          <w:noProof/>
          <w:lang w:val="en-GB"/>
        </w:rPr>
        <w:t>[Considering the overall strained situation in Heading 7, in terms of both staffing and the level of appropriations, the human resources required will be met by staff from the DG who are already assigned to the management of the action and/or have been redeployed within the DG or other Commission services.]</w:t>
      </w:r>
    </w:p>
    <w:p w:rsidR="00DE314D" w:rsidRPr="009E7D16" w:rsidRDefault="00DE314D" w:rsidP="00853C97">
      <w:pPr>
        <w:pStyle w:val="Text1"/>
        <w:rPr>
          <w:noProof/>
        </w:rPr>
      </w:pPr>
      <w:r w:rsidRPr="009E7D16">
        <w:rPr>
          <w:noProof/>
        </w:rPr>
        <w:t>Veuillez noter que cette exception doit faire l’objet d’un accord avec les services centraux avant le lancement de la CIS. </w:t>
      </w:r>
    </w:p>
    <w:p w:rsidR="00DE314D" w:rsidRPr="009E7D16" w:rsidRDefault="00DE314D" w:rsidP="00853C97">
      <w:pPr>
        <w:pStyle w:val="Text1"/>
        <w:rPr>
          <w:noProof/>
        </w:rPr>
      </w:pPr>
      <w:r w:rsidRPr="009E7D16">
        <w:rPr>
          <w:noProof/>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AC781E" w:rsidRPr="009E7D16" w:rsidTr="004032ED">
        <w:trPr>
          <w:trHeight w:val="300"/>
        </w:trPr>
        <w:tc>
          <w:tcPr>
            <w:tcW w:w="1845" w:type="dxa"/>
          </w:tcPr>
          <w:p w:rsidR="00DE314D" w:rsidRPr="009E7D16" w:rsidRDefault="00DE314D">
            <w:pPr>
              <w:pStyle w:val="Text1"/>
              <w:ind w:left="0"/>
              <w:jc w:val="center"/>
              <w:rPr>
                <w:b/>
                <w:bCs/>
                <w:noProof/>
                <w:sz w:val="22"/>
                <w:szCs w:val="28"/>
              </w:rPr>
            </w:pPr>
          </w:p>
        </w:tc>
        <w:tc>
          <w:tcPr>
            <w:tcW w:w="2031" w:type="dxa"/>
          </w:tcPr>
          <w:p w:rsidR="00DE314D" w:rsidRPr="009E7D16" w:rsidRDefault="00DE314D">
            <w:pPr>
              <w:pStyle w:val="Text1"/>
              <w:ind w:left="0"/>
              <w:jc w:val="center"/>
              <w:rPr>
                <w:b/>
                <w:bCs/>
                <w:noProof/>
                <w:sz w:val="22"/>
              </w:rPr>
            </w:pPr>
            <w:r w:rsidRPr="009E7D16">
              <w:rPr>
                <w:b/>
                <w:noProof/>
                <w:sz w:val="22"/>
              </w:rPr>
              <w:t xml:space="preserve">À couvrir par le personnel actuellement disponible dans les services de la Commission </w:t>
            </w:r>
          </w:p>
        </w:tc>
        <w:tc>
          <w:tcPr>
            <w:tcW w:w="5611" w:type="dxa"/>
            <w:gridSpan w:val="3"/>
          </w:tcPr>
          <w:p w:rsidR="00DE314D" w:rsidRPr="009E7D16" w:rsidRDefault="00DE314D">
            <w:pPr>
              <w:pStyle w:val="Text1"/>
              <w:ind w:left="0"/>
              <w:jc w:val="center"/>
              <w:rPr>
                <w:b/>
                <w:bCs/>
                <w:noProof/>
                <w:sz w:val="22"/>
              </w:rPr>
            </w:pPr>
            <w:r w:rsidRPr="009E7D16">
              <w:rPr>
                <w:b/>
                <w:noProof/>
                <w:sz w:val="22"/>
              </w:rPr>
              <w:t>Personnel supplémentaire exceptionnel*</w:t>
            </w:r>
          </w:p>
        </w:tc>
      </w:tr>
      <w:tr w:rsidR="00AC781E" w:rsidRPr="009E7D16" w:rsidTr="004032ED">
        <w:trPr>
          <w:trHeight w:val="300"/>
        </w:trPr>
        <w:tc>
          <w:tcPr>
            <w:tcW w:w="1845" w:type="dxa"/>
          </w:tcPr>
          <w:p w:rsidR="00DE314D" w:rsidRPr="009E7D16" w:rsidRDefault="00DE314D">
            <w:pPr>
              <w:pStyle w:val="Text1"/>
              <w:ind w:left="0"/>
              <w:jc w:val="center"/>
              <w:rPr>
                <w:b/>
                <w:bCs/>
                <w:noProof/>
                <w:sz w:val="22"/>
                <w:szCs w:val="28"/>
              </w:rPr>
            </w:pPr>
          </w:p>
        </w:tc>
        <w:tc>
          <w:tcPr>
            <w:tcW w:w="2031" w:type="dxa"/>
          </w:tcPr>
          <w:p w:rsidR="00DE314D" w:rsidRPr="009E7D16" w:rsidRDefault="00DE314D">
            <w:pPr>
              <w:pStyle w:val="Text1"/>
              <w:ind w:left="0"/>
              <w:jc w:val="center"/>
              <w:rPr>
                <w:b/>
                <w:bCs/>
                <w:noProof/>
                <w:sz w:val="22"/>
                <w:szCs w:val="28"/>
              </w:rPr>
            </w:pPr>
          </w:p>
        </w:tc>
        <w:tc>
          <w:tcPr>
            <w:tcW w:w="1925" w:type="dxa"/>
          </w:tcPr>
          <w:p w:rsidR="00DE314D" w:rsidRPr="009E7D16" w:rsidRDefault="00DE314D">
            <w:pPr>
              <w:pStyle w:val="Text1"/>
              <w:ind w:left="0"/>
              <w:jc w:val="center"/>
              <w:rPr>
                <w:b/>
                <w:bCs/>
                <w:noProof/>
                <w:sz w:val="22"/>
              </w:rPr>
            </w:pPr>
            <w:r w:rsidRPr="009E7D16">
              <w:rPr>
                <w:b/>
                <w:noProof/>
                <w:sz w:val="22"/>
              </w:rPr>
              <w:t>À financer sur la rubrique 7 ou la recherche</w:t>
            </w:r>
          </w:p>
        </w:tc>
        <w:tc>
          <w:tcPr>
            <w:tcW w:w="1938" w:type="dxa"/>
          </w:tcPr>
          <w:p w:rsidR="00DE314D" w:rsidRPr="009E7D16" w:rsidRDefault="00DE314D">
            <w:pPr>
              <w:pStyle w:val="Text1"/>
              <w:ind w:left="0"/>
              <w:jc w:val="center"/>
              <w:rPr>
                <w:b/>
                <w:bCs/>
                <w:noProof/>
                <w:sz w:val="22"/>
                <w:szCs w:val="28"/>
              </w:rPr>
            </w:pPr>
            <w:r w:rsidRPr="009E7D16">
              <w:rPr>
                <w:b/>
                <w:noProof/>
                <w:sz w:val="22"/>
              </w:rPr>
              <w:t>À financer sur la ligne BA</w:t>
            </w:r>
          </w:p>
        </w:tc>
        <w:tc>
          <w:tcPr>
            <w:tcW w:w="1748" w:type="dxa"/>
          </w:tcPr>
          <w:p w:rsidR="00DE314D" w:rsidRPr="009E7D16" w:rsidRDefault="00DE314D">
            <w:pPr>
              <w:pStyle w:val="Text1"/>
              <w:ind w:left="0"/>
              <w:jc w:val="center"/>
              <w:rPr>
                <w:b/>
                <w:bCs/>
                <w:noProof/>
                <w:sz w:val="22"/>
                <w:szCs w:val="28"/>
              </w:rPr>
            </w:pPr>
            <w:r w:rsidRPr="009E7D16">
              <w:rPr>
                <w:b/>
                <w:noProof/>
                <w:sz w:val="22"/>
              </w:rPr>
              <w:t>À financer sur les redevances</w:t>
            </w:r>
          </w:p>
        </w:tc>
      </w:tr>
      <w:tr w:rsidR="00AC781E" w:rsidRPr="009E7D16" w:rsidTr="004032ED">
        <w:trPr>
          <w:trHeight w:val="300"/>
        </w:trPr>
        <w:tc>
          <w:tcPr>
            <w:tcW w:w="1845" w:type="dxa"/>
          </w:tcPr>
          <w:p w:rsidR="00DE314D" w:rsidRPr="009E7D16" w:rsidRDefault="00DE314D">
            <w:pPr>
              <w:pStyle w:val="Text1"/>
              <w:ind w:left="0"/>
              <w:rPr>
                <w:noProof/>
                <w:sz w:val="22"/>
                <w:szCs w:val="28"/>
              </w:rPr>
            </w:pPr>
            <w:r w:rsidRPr="009E7D16">
              <w:rPr>
                <w:noProof/>
                <w:sz w:val="22"/>
              </w:rPr>
              <w:t>Emplois du tableau des effectifs</w:t>
            </w:r>
          </w:p>
        </w:tc>
        <w:tc>
          <w:tcPr>
            <w:tcW w:w="2031" w:type="dxa"/>
          </w:tcPr>
          <w:p w:rsidR="00DE314D" w:rsidRPr="009E7D16" w:rsidRDefault="00DE314D">
            <w:pPr>
              <w:pStyle w:val="Text1"/>
              <w:ind w:left="0"/>
              <w:rPr>
                <w:noProof/>
                <w:sz w:val="22"/>
                <w:szCs w:val="28"/>
              </w:rPr>
            </w:pPr>
          </w:p>
        </w:tc>
        <w:tc>
          <w:tcPr>
            <w:tcW w:w="1925" w:type="dxa"/>
          </w:tcPr>
          <w:p w:rsidR="00DE314D" w:rsidRPr="009E7D16" w:rsidRDefault="00DE314D">
            <w:pPr>
              <w:pStyle w:val="Text1"/>
              <w:ind w:left="0"/>
              <w:rPr>
                <w:noProof/>
                <w:sz w:val="22"/>
                <w:szCs w:val="28"/>
              </w:rPr>
            </w:pPr>
          </w:p>
        </w:tc>
        <w:tc>
          <w:tcPr>
            <w:tcW w:w="1938" w:type="dxa"/>
          </w:tcPr>
          <w:p w:rsidR="00DE314D" w:rsidRPr="009E7D16" w:rsidRDefault="00DE314D">
            <w:pPr>
              <w:pStyle w:val="Text1"/>
              <w:ind w:left="0"/>
              <w:rPr>
                <w:noProof/>
                <w:sz w:val="22"/>
                <w:szCs w:val="28"/>
              </w:rPr>
            </w:pPr>
            <w:r w:rsidRPr="009E7D16">
              <w:rPr>
                <w:noProof/>
                <w:sz w:val="22"/>
              </w:rPr>
              <w:t>s.o.</w:t>
            </w:r>
          </w:p>
        </w:tc>
        <w:tc>
          <w:tcPr>
            <w:tcW w:w="1748" w:type="dxa"/>
          </w:tcPr>
          <w:p w:rsidR="00DE314D" w:rsidRPr="009E7D16" w:rsidRDefault="00DE314D">
            <w:pPr>
              <w:pStyle w:val="Text1"/>
              <w:ind w:left="0"/>
              <w:rPr>
                <w:noProof/>
                <w:sz w:val="22"/>
                <w:szCs w:val="28"/>
              </w:rPr>
            </w:pPr>
          </w:p>
        </w:tc>
      </w:tr>
      <w:tr w:rsidR="00AC781E" w:rsidRPr="009E7D16" w:rsidTr="004032ED">
        <w:trPr>
          <w:trHeight w:val="300"/>
        </w:trPr>
        <w:tc>
          <w:tcPr>
            <w:tcW w:w="1845" w:type="dxa"/>
          </w:tcPr>
          <w:p w:rsidR="00DE314D" w:rsidRPr="009E7D16" w:rsidRDefault="00DE314D">
            <w:pPr>
              <w:pStyle w:val="Text1"/>
              <w:ind w:left="0"/>
              <w:rPr>
                <w:noProof/>
                <w:sz w:val="22"/>
                <w:szCs w:val="28"/>
              </w:rPr>
            </w:pPr>
            <w:r w:rsidRPr="009E7D16">
              <w:rPr>
                <w:noProof/>
                <w:sz w:val="22"/>
              </w:rPr>
              <w:t>Personnel externe (AC, END, INT)</w:t>
            </w:r>
          </w:p>
        </w:tc>
        <w:tc>
          <w:tcPr>
            <w:tcW w:w="2031" w:type="dxa"/>
          </w:tcPr>
          <w:p w:rsidR="00DE314D" w:rsidRPr="009E7D16" w:rsidRDefault="00DE314D">
            <w:pPr>
              <w:pStyle w:val="Text1"/>
              <w:ind w:left="0"/>
              <w:rPr>
                <w:noProof/>
                <w:sz w:val="22"/>
                <w:szCs w:val="28"/>
              </w:rPr>
            </w:pPr>
          </w:p>
        </w:tc>
        <w:tc>
          <w:tcPr>
            <w:tcW w:w="1925" w:type="dxa"/>
          </w:tcPr>
          <w:p w:rsidR="00DE314D" w:rsidRPr="009E7D16" w:rsidRDefault="00DE314D">
            <w:pPr>
              <w:pStyle w:val="Text1"/>
              <w:ind w:left="0"/>
              <w:rPr>
                <w:noProof/>
                <w:sz w:val="22"/>
                <w:szCs w:val="28"/>
              </w:rPr>
            </w:pPr>
          </w:p>
        </w:tc>
        <w:tc>
          <w:tcPr>
            <w:tcW w:w="1938" w:type="dxa"/>
          </w:tcPr>
          <w:p w:rsidR="00DE314D" w:rsidRPr="009E7D16" w:rsidRDefault="00DE314D">
            <w:pPr>
              <w:pStyle w:val="Text1"/>
              <w:ind w:left="0"/>
              <w:rPr>
                <w:noProof/>
                <w:sz w:val="22"/>
                <w:szCs w:val="28"/>
              </w:rPr>
            </w:pPr>
          </w:p>
        </w:tc>
        <w:tc>
          <w:tcPr>
            <w:tcW w:w="1748" w:type="dxa"/>
          </w:tcPr>
          <w:p w:rsidR="00DE314D" w:rsidRPr="009E7D16" w:rsidRDefault="00DE314D">
            <w:pPr>
              <w:pStyle w:val="Text1"/>
              <w:ind w:left="0"/>
              <w:rPr>
                <w:noProof/>
                <w:sz w:val="22"/>
                <w:szCs w:val="28"/>
              </w:rPr>
            </w:pPr>
          </w:p>
        </w:tc>
      </w:tr>
    </w:tbl>
    <w:p w:rsidR="00DE314D" w:rsidRPr="009E7D16" w:rsidRDefault="00DE314D">
      <w:pPr>
        <w:rPr>
          <w:noProof/>
        </w:rPr>
      </w:pPr>
      <w:r w:rsidRPr="009E7D16">
        <w:rPr>
          <w:noProof/>
        </w:rPr>
        <w:t>*</w:t>
      </w:r>
    </w:p>
    <w:p w:rsidR="00DE314D" w:rsidRPr="009E7D16" w:rsidRDefault="00DE314D" w:rsidP="00853C97">
      <w:pPr>
        <w:pStyle w:val="Text1"/>
        <w:rPr>
          <w:noProof/>
        </w:rPr>
      </w:pPr>
      <w:r w:rsidRPr="009E7D16">
        <w:rPr>
          <w:noProof/>
        </w:rPr>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AC781E" w:rsidRPr="009E7D16" w:rsidTr="005217BD">
        <w:tc>
          <w:tcPr>
            <w:tcW w:w="3240" w:type="dxa"/>
          </w:tcPr>
          <w:p w:rsidR="00DE314D" w:rsidRPr="009E7D16" w:rsidRDefault="00DE314D">
            <w:pPr>
              <w:rPr>
                <w:noProof/>
                <w:sz w:val="20"/>
              </w:rPr>
            </w:pPr>
            <w:r w:rsidRPr="009E7D16">
              <w:rPr>
                <w:noProof/>
                <w:sz w:val="20"/>
              </w:rPr>
              <w:t>les fonctionnaires et agents temporaires</w:t>
            </w:r>
          </w:p>
        </w:tc>
        <w:tc>
          <w:tcPr>
            <w:tcW w:w="7200" w:type="dxa"/>
          </w:tcPr>
          <w:p w:rsidR="00DE314D" w:rsidRPr="009E7D16" w:rsidRDefault="00DE314D">
            <w:pPr>
              <w:rPr>
                <w:noProof/>
                <w:sz w:val="20"/>
              </w:rPr>
            </w:pPr>
          </w:p>
        </w:tc>
      </w:tr>
      <w:tr w:rsidR="00AC781E" w:rsidRPr="009E7D16" w:rsidTr="005217BD">
        <w:tc>
          <w:tcPr>
            <w:tcW w:w="3240" w:type="dxa"/>
          </w:tcPr>
          <w:p w:rsidR="00DE314D" w:rsidRPr="009E7D16" w:rsidRDefault="00DE314D">
            <w:pPr>
              <w:spacing w:before="60" w:after="60"/>
              <w:rPr>
                <w:noProof/>
                <w:sz w:val="20"/>
              </w:rPr>
            </w:pPr>
            <w:r w:rsidRPr="009E7D16">
              <w:rPr>
                <w:noProof/>
                <w:sz w:val="20"/>
              </w:rPr>
              <w:t>le personnel externe</w:t>
            </w:r>
          </w:p>
        </w:tc>
        <w:tc>
          <w:tcPr>
            <w:tcW w:w="7200" w:type="dxa"/>
          </w:tcPr>
          <w:p w:rsidR="00DE314D" w:rsidRPr="009E7D16" w:rsidRDefault="00DE314D">
            <w:pPr>
              <w:rPr>
                <w:noProof/>
                <w:sz w:val="20"/>
              </w:rPr>
            </w:pPr>
          </w:p>
        </w:tc>
      </w:tr>
    </w:tbl>
    <w:p w:rsidR="00DE314D" w:rsidRPr="009E7D16" w:rsidRDefault="00DE314D">
      <w:pPr>
        <w:pStyle w:val="ManualHeading3"/>
        <w:rPr>
          <w:noProof/>
        </w:rPr>
      </w:pPr>
      <w:bookmarkStart w:id="177" w:name="_Toc177549031"/>
      <w:r w:rsidRPr="009E7D16">
        <w:rPr>
          <w:noProof/>
        </w:rPr>
        <w:t>3.2.5.</w:t>
      </w:r>
      <w:r w:rsidRPr="009E7D16">
        <w:rPr>
          <w:noProof/>
        </w:rPr>
        <w:tab/>
        <w:t>Vue d’ensemble de l’incidence estimée sur les investissements liés aux technologies numériques</w:t>
      </w:r>
      <w:bookmarkEnd w:id="177"/>
    </w:p>
    <w:p w:rsidR="00DE314D" w:rsidRPr="009E7D16" w:rsidRDefault="00DE314D">
      <w:pPr>
        <w:pStyle w:val="Text1"/>
        <w:spacing w:line="259" w:lineRule="auto"/>
        <w:rPr>
          <w:noProof/>
        </w:rPr>
      </w:pPr>
      <w:r w:rsidRPr="009E7D16">
        <w:rPr>
          <w:noProof/>
        </w:rPr>
        <w:t xml:space="preserve">Obligatoire: il convient d’indiquer dans le tableau figurant ci-dessous la meilleure estimation des investissements liés aux technologies numériques découlant de la proposition/de l’initiative. </w:t>
      </w:r>
    </w:p>
    <w:p w:rsidR="00DE314D" w:rsidRPr="009E7D16" w:rsidRDefault="00DE314D">
      <w:pPr>
        <w:pStyle w:val="Text1"/>
        <w:spacing w:line="259" w:lineRule="auto"/>
        <w:rPr>
          <w:noProof/>
        </w:rPr>
      </w:pPr>
      <w:r w:rsidRPr="009E7D16">
        <w:rPr>
          <w:noProof/>
        </w:rPr>
        <w:t xml:space="preserve">À titre exceptionnel, lorsque la mise en œuvre de la proposition/de l’initiative l’exige, les crédits de la rubrique 7 doivent être présentés sur la ligne spécifique. </w:t>
      </w:r>
    </w:p>
    <w:p w:rsidR="00DE314D" w:rsidRPr="009E7D16" w:rsidRDefault="00DE314D">
      <w:pPr>
        <w:pStyle w:val="Text1"/>
        <w:spacing w:line="259" w:lineRule="auto"/>
        <w:rPr>
          <w:noProof/>
        </w:rPr>
      </w:pPr>
      <w:r w:rsidRPr="009E7D16">
        <w:rPr>
          <w:noProof/>
        </w:rPr>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0" w:type="auto"/>
        <w:tblLayout w:type="fixed"/>
        <w:tblLook w:val="04A0" w:firstRow="1" w:lastRow="0" w:firstColumn="1" w:lastColumn="0" w:noHBand="0" w:noVBand="1"/>
      </w:tblPr>
      <w:tblGrid>
        <w:gridCol w:w="3214"/>
        <w:gridCol w:w="835"/>
        <w:gridCol w:w="835"/>
        <w:gridCol w:w="835"/>
        <w:gridCol w:w="835"/>
        <w:gridCol w:w="981"/>
      </w:tblGrid>
      <w:tr w:rsidR="00AC781E" w:rsidRPr="009E7D16">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rsidR="00DE314D" w:rsidRPr="009E7D16" w:rsidRDefault="00DE314D">
            <w:pPr>
              <w:spacing w:before="0" w:after="0"/>
              <w:jc w:val="center"/>
              <w:rPr>
                <w:b/>
                <w:bCs/>
                <w:noProof/>
                <w:sz w:val="18"/>
                <w:szCs w:val="18"/>
              </w:rPr>
            </w:pPr>
            <w:r w:rsidRPr="009E7D16">
              <w:rPr>
                <w:b/>
                <w:noProof/>
                <w:sz w:val="18"/>
              </w:rPr>
              <w:t>TOTAL des crédits numériques et informatiques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rsidR="00DE314D" w:rsidRPr="009E7D16" w:rsidRDefault="00DE314D">
            <w:pPr>
              <w:spacing w:before="0" w:after="0"/>
              <w:jc w:val="center"/>
              <w:rPr>
                <w:noProof/>
                <w:sz w:val="18"/>
                <w:szCs w:val="18"/>
              </w:rPr>
            </w:pPr>
            <w:r w:rsidRPr="009E7D16">
              <w:rPr>
                <w:noProof/>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E314D" w:rsidRPr="009E7D16" w:rsidRDefault="00DE314D">
            <w:pPr>
              <w:spacing w:before="0" w:after="0"/>
              <w:jc w:val="center"/>
              <w:rPr>
                <w:noProof/>
                <w:sz w:val="18"/>
                <w:szCs w:val="18"/>
              </w:rPr>
            </w:pPr>
            <w:r w:rsidRPr="009E7D16">
              <w:rPr>
                <w:noProof/>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E314D" w:rsidRPr="009E7D16" w:rsidRDefault="00DE314D">
            <w:pPr>
              <w:spacing w:before="0" w:after="0"/>
              <w:jc w:val="center"/>
              <w:rPr>
                <w:noProof/>
                <w:sz w:val="18"/>
                <w:szCs w:val="18"/>
              </w:rPr>
            </w:pPr>
            <w:r w:rsidRPr="009E7D16">
              <w:rPr>
                <w:noProof/>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E314D" w:rsidRPr="009E7D16" w:rsidRDefault="00DE314D">
            <w:pPr>
              <w:spacing w:before="0" w:after="0"/>
              <w:jc w:val="center"/>
              <w:rPr>
                <w:noProof/>
                <w:sz w:val="18"/>
                <w:szCs w:val="18"/>
              </w:rPr>
            </w:pPr>
            <w:r w:rsidRPr="009E7D16">
              <w:rPr>
                <w:noProof/>
                <w:sz w:val="18"/>
              </w:rPr>
              <w:t>Année</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rsidR="00DE314D" w:rsidRPr="009E7D16" w:rsidRDefault="00DE314D">
            <w:pPr>
              <w:spacing w:before="0" w:after="0"/>
              <w:jc w:val="center"/>
              <w:rPr>
                <w:b/>
                <w:bCs/>
                <w:noProof/>
                <w:sz w:val="18"/>
                <w:szCs w:val="18"/>
              </w:rPr>
            </w:pPr>
            <w:r w:rsidRPr="009E7D16">
              <w:rPr>
                <w:b/>
                <w:noProof/>
                <w:sz w:val="18"/>
              </w:rPr>
              <w:t>TOTAL CFP 2021-2027</w:t>
            </w:r>
          </w:p>
        </w:tc>
      </w:tr>
      <w:tr w:rsidR="00AC781E" w:rsidRPr="009E7D16">
        <w:trPr>
          <w:trHeight w:val="525"/>
        </w:trPr>
        <w:tc>
          <w:tcPr>
            <w:tcW w:w="3214" w:type="dxa"/>
            <w:vMerge/>
            <w:tcBorders>
              <w:top w:val="single" w:sz="8" w:space="0" w:color="auto"/>
              <w:left w:val="single" w:sz="4" w:space="0" w:color="auto"/>
              <w:right w:val="single" w:sz="4" w:space="0" w:color="auto"/>
            </w:tcBorders>
            <w:vAlign w:val="center"/>
          </w:tcPr>
          <w:p w:rsidR="00DE314D" w:rsidRPr="009E7D16" w:rsidRDefault="00DE314D">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rsidR="00DE314D" w:rsidRPr="009E7D16" w:rsidRDefault="00DE314D">
            <w:pPr>
              <w:spacing w:before="0" w:after="0"/>
              <w:jc w:val="center"/>
              <w:rPr>
                <w:b/>
                <w:bCs/>
                <w:noProof/>
                <w:sz w:val="18"/>
                <w:szCs w:val="18"/>
              </w:rPr>
            </w:pPr>
            <w:r w:rsidRPr="009E7D16">
              <w:rPr>
                <w:b/>
                <w:noProof/>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E314D" w:rsidRPr="009E7D16" w:rsidRDefault="00DE314D">
            <w:pPr>
              <w:spacing w:before="0" w:after="0"/>
              <w:jc w:val="center"/>
              <w:rPr>
                <w:b/>
                <w:bCs/>
                <w:noProof/>
                <w:sz w:val="18"/>
                <w:szCs w:val="18"/>
              </w:rPr>
            </w:pPr>
            <w:r w:rsidRPr="009E7D16">
              <w:rPr>
                <w:b/>
                <w:noProof/>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E314D" w:rsidRPr="009E7D16" w:rsidRDefault="00DE314D">
            <w:pPr>
              <w:spacing w:before="0" w:after="0"/>
              <w:jc w:val="center"/>
              <w:rPr>
                <w:b/>
                <w:bCs/>
                <w:noProof/>
                <w:sz w:val="18"/>
                <w:szCs w:val="18"/>
              </w:rPr>
            </w:pPr>
            <w:r w:rsidRPr="009E7D16">
              <w:rPr>
                <w:b/>
                <w:noProof/>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E314D" w:rsidRPr="009E7D16" w:rsidRDefault="00DE314D">
            <w:pPr>
              <w:spacing w:before="0" w:after="0"/>
              <w:jc w:val="center"/>
              <w:rPr>
                <w:b/>
                <w:bCs/>
                <w:noProof/>
                <w:sz w:val="18"/>
                <w:szCs w:val="18"/>
              </w:rPr>
            </w:pPr>
            <w:r w:rsidRPr="009E7D16">
              <w:rPr>
                <w:b/>
                <w:noProof/>
                <w:sz w:val="18"/>
              </w:rPr>
              <w:t>2027</w:t>
            </w:r>
          </w:p>
        </w:tc>
        <w:tc>
          <w:tcPr>
            <w:tcW w:w="981" w:type="dxa"/>
            <w:vMerge/>
            <w:tcBorders>
              <w:bottom w:val="single" w:sz="4" w:space="0" w:color="auto"/>
              <w:right w:val="single" w:sz="4" w:space="0" w:color="auto"/>
            </w:tcBorders>
            <w:vAlign w:val="center"/>
          </w:tcPr>
          <w:p w:rsidR="00DE314D" w:rsidRPr="009E7D16" w:rsidRDefault="00DE314D">
            <w:pPr>
              <w:rPr>
                <w:noProof/>
              </w:rPr>
            </w:pPr>
          </w:p>
        </w:tc>
      </w:tr>
      <w:tr w:rsidR="00AC781E" w:rsidRPr="009E7D16">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rsidR="00DE314D" w:rsidRPr="009E7D16" w:rsidRDefault="00DE314D">
            <w:pPr>
              <w:spacing w:before="0" w:after="0"/>
              <w:jc w:val="left"/>
              <w:rPr>
                <w:b/>
                <w:bCs/>
                <w:noProof/>
                <w:sz w:val="16"/>
                <w:szCs w:val="16"/>
              </w:rPr>
            </w:pPr>
            <w:r w:rsidRPr="009E7D16">
              <w:rPr>
                <w:b/>
                <w:noProof/>
                <w:sz w:val="16"/>
              </w:rPr>
              <w:t>RUBRIQUE 7</w:t>
            </w:r>
          </w:p>
        </w:tc>
      </w:tr>
      <w:tr w:rsidR="00AC781E" w:rsidRPr="009E7D16">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E314D" w:rsidRPr="009E7D16" w:rsidRDefault="00DE314D">
            <w:pPr>
              <w:spacing w:before="0" w:after="0"/>
              <w:jc w:val="left"/>
              <w:rPr>
                <w:noProof/>
                <w:sz w:val="16"/>
                <w:szCs w:val="16"/>
              </w:rPr>
            </w:pPr>
            <w:r w:rsidRPr="009E7D16">
              <w:rPr>
                <w:rFonts w:ascii="Arial Narrow" w:hAnsi="Arial Narrow"/>
                <w:noProof/>
                <w:sz w:val="20"/>
              </w:rPr>
              <w:t>Dépenses informatiques (institutionnelles)</w:t>
            </w:r>
            <w:r w:rsidRPr="009E7D16">
              <w:rPr>
                <w:noProof/>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noProof/>
                <w:sz w:val="16"/>
                <w:szCs w:val="16"/>
              </w:rPr>
            </w:pPr>
            <w:r w:rsidRPr="009E7D1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noProof/>
                <w:sz w:val="16"/>
                <w:szCs w:val="16"/>
              </w:rPr>
            </w:pPr>
            <w:r w:rsidRPr="009E7D1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noProof/>
                <w:sz w:val="16"/>
                <w:szCs w:val="16"/>
              </w:rPr>
            </w:pPr>
            <w:r w:rsidRPr="009E7D1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noProof/>
                <w:sz w:val="16"/>
                <w:szCs w:val="16"/>
              </w:rPr>
            </w:pPr>
            <w:r w:rsidRPr="009E7D16">
              <w:rPr>
                <w:noProof/>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r>
      <w:tr w:rsidR="00AC781E" w:rsidRPr="009E7D16">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DE314D" w:rsidRPr="009E7D16" w:rsidRDefault="00DE314D">
            <w:pPr>
              <w:spacing w:before="0" w:after="0"/>
              <w:jc w:val="center"/>
              <w:rPr>
                <w:b/>
                <w:bCs/>
                <w:noProof/>
                <w:sz w:val="16"/>
                <w:szCs w:val="16"/>
              </w:rPr>
            </w:pPr>
            <w:r w:rsidRPr="009E7D16">
              <w:rPr>
                <w:b/>
                <w:noProof/>
                <w:sz w:val="16"/>
              </w:rPr>
              <w:t>Sous-total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r>
      <w:tr w:rsidR="00AC781E" w:rsidRPr="009E7D16">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E314D" w:rsidRPr="009E7D16" w:rsidRDefault="00DE314D">
            <w:pPr>
              <w:spacing w:before="0" w:after="0"/>
              <w:jc w:val="left"/>
              <w:rPr>
                <w:b/>
                <w:bCs/>
                <w:noProof/>
                <w:sz w:val="16"/>
                <w:szCs w:val="16"/>
              </w:rPr>
            </w:pPr>
            <w:r w:rsidRPr="009E7D16">
              <w:rPr>
                <w:b/>
                <w:noProof/>
                <w:sz w:val="16"/>
              </w:rPr>
              <w:t>Hors RUBRIQUE 7</w:t>
            </w:r>
          </w:p>
        </w:tc>
      </w:tr>
      <w:tr w:rsidR="00AC781E" w:rsidRPr="009E7D16">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E314D" w:rsidRPr="009E7D16" w:rsidRDefault="00DE314D">
            <w:pPr>
              <w:spacing w:before="0" w:after="0"/>
              <w:jc w:val="left"/>
              <w:rPr>
                <w:rFonts w:ascii="Arial Narrow" w:eastAsia="Arial Narrow" w:hAnsi="Arial Narrow" w:cs="Arial Narrow"/>
                <w:noProof/>
                <w:sz w:val="20"/>
                <w:szCs w:val="20"/>
              </w:rPr>
            </w:pPr>
            <w:r w:rsidRPr="009E7D16">
              <w:rPr>
                <w:rFonts w:ascii="Arial Narrow" w:hAnsi="Arial Narrow"/>
                <w:noProof/>
                <w:sz w:val="20"/>
              </w:rPr>
              <w:t>Dépenses pour les systèmes informatiques soutenant une politique consacrées aux programmes opérationnels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noProof/>
                <w:sz w:val="16"/>
                <w:szCs w:val="16"/>
              </w:rPr>
            </w:pPr>
            <w:r w:rsidRPr="009E7D1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noProof/>
                <w:sz w:val="16"/>
                <w:szCs w:val="16"/>
              </w:rPr>
            </w:pPr>
            <w:r w:rsidRPr="009E7D1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noProof/>
                <w:sz w:val="16"/>
                <w:szCs w:val="16"/>
              </w:rPr>
            </w:pPr>
            <w:r w:rsidRPr="009E7D1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noProof/>
                <w:sz w:val="16"/>
                <w:szCs w:val="16"/>
              </w:rPr>
            </w:pPr>
            <w:r w:rsidRPr="009E7D16">
              <w:rPr>
                <w:noProof/>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r>
      <w:tr w:rsidR="00AC781E" w:rsidRPr="009E7D16">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DE314D" w:rsidRPr="009E7D16" w:rsidRDefault="00DE314D">
            <w:pPr>
              <w:spacing w:before="0" w:after="0"/>
              <w:jc w:val="center"/>
              <w:rPr>
                <w:b/>
                <w:bCs/>
                <w:noProof/>
                <w:sz w:val="16"/>
                <w:szCs w:val="16"/>
              </w:rPr>
            </w:pPr>
            <w:r w:rsidRPr="009E7D16">
              <w:rPr>
                <w:b/>
                <w:noProof/>
                <w:sz w:val="16"/>
              </w:rPr>
              <w:t>Sous-total hors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r>
      <w:tr w:rsidR="00AC781E" w:rsidRPr="009E7D16">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E314D" w:rsidRPr="009E7D16" w:rsidRDefault="00DE314D">
            <w:pPr>
              <w:spacing w:before="0" w:after="0"/>
              <w:jc w:val="center"/>
              <w:rPr>
                <w:noProof/>
                <w:sz w:val="16"/>
                <w:szCs w:val="16"/>
              </w:rPr>
            </w:pPr>
          </w:p>
        </w:tc>
      </w:tr>
      <w:tr w:rsidR="00AC781E" w:rsidRPr="009E7D16">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rsidR="00DE314D" w:rsidRPr="009E7D16" w:rsidRDefault="00DE314D">
            <w:pPr>
              <w:spacing w:before="0" w:after="0"/>
              <w:jc w:val="center"/>
              <w:rPr>
                <w:b/>
                <w:bCs/>
                <w:noProof/>
                <w:sz w:val="16"/>
                <w:szCs w:val="16"/>
              </w:rPr>
            </w:pPr>
            <w:r w:rsidRPr="009E7D16">
              <w:rPr>
                <w:b/>
                <w:noProof/>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9E7D16" w:rsidRDefault="00DE314D">
            <w:pPr>
              <w:spacing w:before="0" w:after="0"/>
              <w:jc w:val="right"/>
              <w:rPr>
                <w:b/>
                <w:bCs/>
                <w:noProof/>
                <w:sz w:val="16"/>
                <w:szCs w:val="16"/>
              </w:rPr>
            </w:pPr>
            <w:r w:rsidRPr="009E7D16">
              <w:rPr>
                <w:b/>
                <w:noProof/>
                <w:sz w:val="16"/>
              </w:rPr>
              <w:t>0,000</w:t>
            </w:r>
          </w:p>
        </w:tc>
      </w:tr>
    </w:tbl>
    <w:p w:rsidR="00DE314D" w:rsidRPr="009E7D16" w:rsidRDefault="00DE314D">
      <w:pPr>
        <w:pStyle w:val="ManualHeading3"/>
        <w:rPr>
          <w:noProof/>
        </w:rPr>
      </w:pPr>
      <w:bookmarkStart w:id="178" w:name="_Toc514938056"/>
      <w:bookmarkStart w:id="179" w:name="_Toc520485055"/>
      <w:bookmarkStart w:id="180" w:name="_Toc160804599"/>
      <w:bookmarkStart w:id="181" w:name="_Toc167220298"/>
      <w:bookmarkStart w:id="182" w:name="_Toc177549032"/>
      <w:bookmarkEnd w:id="176"/>
      <w:r w:rsidRPr="009E7D16">
        <w:rPr>
          <w:noProof/>
        </w:rPr>
        <w:t>3.2.6.</w:t>
      </w:r>
      <w:r w:rsidRPr="009E7D16">
        <w:rPr>
          <w:noProof/>
        </w:rPr>
        <w:tab/>
        <w:t>Compatibilité avec le cadre financier pluriannuel actuel</w:t>
      </w:r>
      <w:bookmarkEnd w:id="178"/>
      <w:bookmarkEnd w:id="179"/>
      <w:bookmarkEnd w:id="180"/>
      <w:bookmarkEnd w:id="181"/>
      <w:bookmarkEnd w:id="182"/>
      <w:r w:rsidRPr="009E7D16">
        <w:rPr>
          <w:noProof/>
        </w:rPr>
        <w:t xml:space="preserve"> </w:t>
      </w:r>
    </w:p>
    <w:p w:rsidR="00DE314D" w:rsidRPr="009E7D16" w:rsidRDefault="00DE314D">
      <w:pPr>
        <w:pStyle w:val="Text1"/>
        <w:rPr>
          <w:noProof/>
        </w:rPr>
      </w:pPr>
      <w:r w:rsidRPr="009E7D16">
        <w:rPr>
          <w:noProof/>
        </w:rPr>
        <w:t>La proposition/l’initiative:</w:t>
      </w:r>
    </w:p>
    <w:p w:rsidR="00DE314D" w:rsidRPr="009E7D16" w:rsidRDefault="00DE314D">
      <w:pPr>
        <w:pStyle w:val="ListDash1"/>
        <w:rPr>
          <w:noProof/>
        </w:rPr>
      </w:pPr>
      <w:r w:rsidRPr="009E7D16">
        <w:rPr>
          <w:rFonts w:ascii="Wingdings" w:hAnsi="Wingdings"/>
          <w:noProof/>
        </w:rPr>
        <w:t></w:t>
      </w:r>
      <w:r w:rsidRPr="009E7D16">
        <w:rPr>
          <w:noProof/>
        </w:rPr>
        <w:tab/>
        <w:t>peut être intégralement financée par voie de redéploiement au sein de la rubrique concernée du cadre financier pluriannuel (CFP).</w:t>
      </w:r>
    </w:p>
    <w:p w:rsidR="00DE314D" w:rsidRPr="009E7D16" w:rsidRDefault="00DE314D">
      <w:pPr>
        <w:pStyle w:val="ListDash1"/>
        <w:rPr>
          <w:noProof/>
        </w:rPr>
      </w:pPr>
      <w:r w:rsidRPr="009E7D16">
        <w:rPr>
          <w:rFonts w:ascii="Wingdings" w:hAnsi="Wingdings"/>
          <w:noProof/>
        </w:rPr>
        <w:t></w:t>
      </w:r>
      <w:r w:rsidRPr="009E7D16">
        <w:rPr>
          <w:noProof/>
        </w:rPr>
        <w:tab/>
        <w:t>nécessite l’utilisation de la marge non allouée sous la rubrique correspondante du CFP et/ou le recours aux instruments spéciaux comme le prévoit le règlement CFP.</w:t>
      </w:r>
    </w:p>
    <w:p w:rsidR="00DE314D" w:rsidRPr="009E7D16" w:rsidRDefault="00DE314D">
      <w:pPr>
        <w:pStyle w:val="ListDash1"/>
        <w:rPr>
          <w:noProof/>
        </w:rPr>
      </w:pPr>
      <w:r w:rsidRPr="009E7D16">
        <w:rPr>
          <w:rFonts w:ascii="Wingdings" w:hAnsi="Wingdings"/>
          <w:noProof/>
        </w:rPr>
        <w:t></w:t>
      </w:r>
      <w:r w:rsidRPr="009E7D16">
        <w:rPr>
          <w:noProof/>
        </w:rPr>
        <w:tab/>
        <w:t>nécessite une révision du CFP.</w:t>
      </w:r>
    </w:p>
    <w:p w:rsidR="00DE314D" w:rsidRPr="009E7D16" w:rsidRDefault="00DE314D">
      <w:pPr>
        <w:pStyle w:val="ManualHeading3"/>
        <w:rPr>
          <w:noProof/>
        </w:rPr>
      </w:pPr>
      <w:bookmarkStart w:id="183" w:name="_Toc514938058"/>
      <w:bookmarkStart w:id="184" w:name="_Toc520485056"/>
      <w:bookmarkStart w:id="185" w:name="_Toc160804600"/>
      <w:bookmarkStart w:id="186" w:name="_Toc167220299"/>
      <w:bookmarkStart w:id="187" w:name="_Toc177549033"/>
      <w:r w:rsidRPr="009E7D16">
        <w:rPr>
          <w:noProof/>
        </w:rPr>
        <w:t>3.2.7.</w:t>
      </w:r>
      <w:r w:rsidRPr="009E7D16">
        <w:rPr>
          <w:noProof/>
        </w:rPr>
        <w:tab/>
        <w:t>Participation de tiers au financement</w:t>
      </w:r>
      <w:bookmarkEnd w:id="183"/>
      <w:bookmarkEnd w:id="184"/>
      <w:bookmarkEnd w:id="185"/>
      <w:bookmarkEnd w:id="186"/>
      <w:bookmarkEnd w:id="187"/>
      <w:r w:rsidRPr="009E7D16">
        <w:rPr>
          <w:noProof/>
        </w:rPr>
        <w:t xml:space="preserve"> </w:t>
      </w:r>
    </w:p>
    <w:p w:rsidR="00DE314D" w:rsidRPr="009E7D16" w:rsidRDefault="00DE314D">
      <w:pPr>
        <w:pStyle w:val="Text1"/>
        <w:rPr>
          <w:noProof/>
        </w:rPr>
      </w:pPr>
      <w:r w:rsidRPr="009E7D16">
        <w:rPr>
          <w:noProof/>
        </w:rPr>
        <w:t>La proposition/l’initiative:</w:t>
      </w:r>
    </w:p>
    <w:p w:rsidR="00DE314D" w:rsidRPr="009E7D16" w:rsidRDefault="00DE314D">
      <w:pPr>
        <w:pStyle w:val="ListDash1"/>
        <w:rPr>
          <w:noProof/>
        </w:rPr>
      </w:pPr>
      <w:r w:rsidRPr="009E7D16">
        <w:rPr>
          <w:rFonts w:ascii="Wingdings" w:hAnsi="Wingdings"/>
          <w:noProof/>
        </w:rPr>
        <w:t></w:t>
      </w:r>
      <w:r w:rsidRPr="009E7D16">
        <w:rPr>
          <w:noProof/>
        </w:rPr>
        <w:tab/>
        <w:t>ne prévoit pas de cofinancement par des tierces parties</w:t>
      </w:r>
    </w:p>
    <w:p w:rsidR="00DE314D" w:rsidRPr="009E7D16" w:rsidRDefault="00DE314D">
      <w:pPr>
        <w:pStyle w:val="ListDash1"/>
        <w:rPr>
          <w:noProof/>
        </w:rPr>
      </w:pPr>
      <w:r w:rsidRPr="009E7D16">
        <w:rPr>
          <w:rFonts w:ascii="Wingdings" w:hAnsi="Wingdings"/>
          <w:noProof/>
        </w:rPr>
        <w:t></w:t>
      </w:r>
      <w:r w:rsidRPr="009E7D16">
        <w:rPr>
          <w:noProof/>
        </w:rPr>
        <w:tab/>
        <w:t>prévoit le cofinancement par des tierces parties estimé ci‑après:</w:t>
      </w:r>
    </w:p>
    <w:p w:rsidR="00DE314D" w:rsidRPr="009E7D16" w:rsidRDefault="00DE314D">
      <w:pPr>
        <w:jc w:val="right"/>
        <w:rPr>
          <w:noProof/>
          <w:sz w:val="20"/>
        </w:rPr>
      </w:pPr>
      <w:r w:rsidRPr="009E7D16">
        <w:rPr>
          <w:noProof/>
          <w:sz w:val="20"/>
        </w:rPr>
        <w:t>Crédits en Mio EUR (à la 3</w:t>
      </w:r>
      <w:r w:rsidRPr="009E7D16">
        <w:rPr>
          <w:noProof/>
          <w:sz w:val="20"/>
          <w:vertAlign w:val="superscript"/>
        </w:rPr>
        <w:t>e</w:t>
      </w:r>
      <w:r w:rsidRPr="009E7D16">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AC781E" w:rsidRPr="009E7D16">
        <w:trPr>
          <w:cantSplit/>
        </w:trPr>
        <w:tc>
          <w:tcPr>
            <w:tcW w:w="1591" w:type="pct"/>
          </w:tcPr>
          <w:p w:rsidR="00DE314D" w:rsidRPr="009E7D16" w:rsidRDefault="00DE314D">
            <w:pPr>
              <w:spacing w:before="60" w:after="60"/>
              <w:rPr>
                <w:noProof/>
                <w:sz w:val="20"/>
              </w:rPr>
            </w:pPr>
          </w:p>
        </w:tc>
        <w:tc>
          <w:tcPr>
            <w:tcW w:w="655" w:type="pct"/>
            <w:vAlign w:val="center"/>
          </w:tcPr>
          <w:p w:rsidR="00DE314D" w:rsidRPr="009E7D16" w:rsidRDefault="00DE314D">
            <w:pPr>
              <w:jc w:val="center"/>
              <w:rPr>
                <w:noProof/>
                <w:sz w:val="20"/>
              </w:rPr>
            </w:pPr>
            <w:r w:rsidRPr="009E7D16">
              <w:rPr>
                <w:noProof/>
                <w:sz w:val="20"/>
              </w:rPr>
              <w:t xml:space="preserve">Année </w:t>
            </w:r>
            <w:r w:rsidRPr="009E7D16">
              <w:rPr>
                <w:noProof/>
              </w:rPr>
              <w:t xml:space="preserve"> </w:t>
            </w:r>
            <w:r w:rsidRPr="009E7D16">
              <w:rPr>
                <w:noProof/>
              </w:rPr>
              <w:br/>
            </w:r>
            <w:r w:rsidRPr="009E7D16">
              <w:rPr>
                <w:b/>
                <w:noProof/>
                <w:sz w:val="20"/>
              </w:rPr>
              <w:t>2024</w:t>
            </w:r>
          </w:p>
        </w:tc>
        <w:tc>
          <w:tcPr>
            <w:tcW w:w="655" w:type="pct"/>
            <w:vAlign w:val="center"/>
          </w:tcPr>
          <w:p w:rsidR="00DE314D" w:rsidRPr="009E7D16" w:rsidRDefault="00DE314D">
            <w:pPr>
              <w:jc w:val="center"/>
              <w:rPr>
                <w:noProof/>
                <w:sz w:val="20"/>
              </w:rPr>
            </w:pPr>
            <w:r w:rsidRPr="009E7D16">
              <w:rPr>
                <w:noProof/>
                <w:sz w:val="20"/>
              </w:rPr>
              <w:t xml:space="preserve">Année </w:t>
            </w:r>
            <w:r w:rsidRPr="009E7D16">
              <w:rPr>
                <w:noProof/>
              </w:rPr>
              <w:t xml:space="preserve"> </w:t>
            </w:r>
            <w:r w:rsidRPr="009E7D16">
              <w:rPr>
                <w:noProof/>
              </w:rPr>
              <w:br/>
            </w:r>
            <w:r w:rsidRPr="009E7D16">
              <w:rPr>
                <w:b/>
                <w:noProof/>
                <w:sz w:val="20"/>
              </w:rPr>
              <w:t>2025</w:t>
            </w:r>
          </w:p>
        </w:tc>
        <w:tc>
          <w:tcPr>
            <w:tcW w:w="655" w:type="pct"/>
            <w:vAlign w:val="center"/>
          </w:tcPr>
          <w:p w:rsidR="00DE314D" w:rsidRPr="009E7D16" w:rsidRDefault="00DE314D">
            <w:pPr>
              <w:jc w:val="center"/>
              <w:rPr>
                <w:noProof/>
                <w:sz w:val="20"/>
              </w:rPr>
            </w:pPr>
            <w:r w:rsidRPr="009E7D16">
              <w:rPr>
                <w:noProof/>
                <w:sz w:val="20"/>
              </w:rPr>
              <w:t xml:space="preserve">Année </w:t>
            </w:r>
            <w:r w:rsidRPr="009E7D16">
              <w:rPr>
                <w:noProof/>
              </w:rPr>
              <w:t xml:space="preserve"> </w:t>
            </w:r>
            <w:r w:rsidRPr="009E7D16">
              <w:rPr>
                <w:noProof/>
              </w:rPr>
              <w:br/>
            </w:r>
            <w:r w:rsidRPr="009E7D16">
              <w:rPr>
                <w:b/>
                <w:noProof/>
                <w:sz w:val="20"/>
              </w:rPr>
              <w:t>2026</w:t>
            </w:r>
          </w:p>
        </w:tc>
        <w:tc>
          <w:tcPr>
            <w:tcW w:w="655" w:type="pct"/>
            <w:vAlign w:val="center"/>
          </w:tcPr>
          <w:p w:rsidR="00DE314D" w:rsidRPr="009E7D16" w:rsidRDefault="00DE314D">
            <w:pPr>
              <w:jc w:val="center"/>
              <w:rPr>
                <w:noProof/>
                <w:sz w:val="20"/>
              </w:rPr>
            </w:pPr>
            <w:r w:rsidRPr="009E7D16">
              <w:rPr>
                <w:noProof/>
                <w:sz w:val="20"/>
              </w:rPr>
              <w:t xml:space="preserve">Année </w:t>
            </w:r>
            <w:r w:rsidRPr="009E7D16">
              <w:rPr>
                <w:noProof/>
              </w:rPr>
              <w:t xml:space="preserve"> </w:t>
            </w:r>
            <w:r w:rsidRPr="009E7D16">
              <w:rPr>
                <w:noProof/>
              </w:rPr>
              <w:br/>
            </w:r>
            <w:r w:rsidRPr="009E7D16">
              <w:rPr>
                <w:b/>
                <w:noProof/>
                <w:sz w:val="20"/>
              </w:rPr>
              <w:t>2027</w:t>
            </w:r>
          </w:p>
        </w:tc>
        <w:tc>
          <w:tcPr>
            <w:tcW w:w="787" w:type="pct"/>
            <w:vAlign w:val="center"/>
          </w:tcPr>
          <w:p w:rsidR="00DE314D" w:rsidRPr="009E7D16" w:rsidRDefault="00DE314D">
            <w:pPr>
              <w:spacing w:before="60" w:after="60"/>
              <w:jc w:val="center"/>
              <w:rPr>
                <w:noProof/>
                <w:sz w:val="20"/>
              </w:rPr>
            </w:pPr>
            <w:r w:rsidRPr="009E7D16">
              <w:rPr>
                <w:noProof/>
                <w:sz w:val="20"/>
              </w:rPr>
              <w:t>Total</w:t>
            </w:r>
          </w:p>
        </w:tc>
      </w:tr>
      <w:tr w:rsidR="00AC781E" w:rsidRPr="009E7D16">
        <w:trPr>
          <w:cantSplit/>
        </w:trPr>
        <w:tc>
          <w:tcPr>
            <w:tcW w:w="1591" w:type="pct"/>
          </w:tcPr>
          <w:p w:rsidR="00DE314D" w:rsidRPr="009E7D16" w:rsidRDefault="00DE314D">
            <w:pPr>
              <w:rPr>
                <w:noProof/>
              </w:rPr>
            </w:pPr>
            <w:r w:rsidRPr="009E7D16">
              <w:rPr>
                <w:noProof/>
                <w:sz w:val="20"/>
              </w:rPr>
              <w:t>Préciser l’organisme de cofinancement</w:t>
            </w:r>
            <w:r w:rsidRPr="009E7D16">
              <w:rPr>
                <w:i/>
                <w:noProof/>
                <w:sz w:val="20"/>
              </w:rPr>
              <w:t xml:space="preserve"> </w:t>
            </w:r>
          </w:p>
        </w:tc>
        <w:tc>
          <w:tcPr>
            <w:tcW w:w="655" w:type="pct"/>
            <w:vAlign w:val="center"/>
          </w:tcPr>
          <w:p w:rsidR="00DE314D" w:rsidRPr="009E7D16" w:rsidRDefault="00DE314D">
            <w:pPr>
              <w:spacing w:before="60" w:after="60"/>
              <w:jc w:val="center"/>
              <w:rPr>
                <w:noProof/>
                <w:sz w:val="20"/>
              </w:rPr>
            </w:pPr>
          </w:p>
        </w:tc>
        <w:tc>
          <w:tcPr>
            <w:tcW w:w="655" w:type="pct"/>
            <w:vAlign w:val="center"/>
          </w:tcPr>
          <w:p w:rsidR="00DE314D" w:rsidRPr="009E7D16" w:rsidRDefault="00DE314D">
            <w:pPr>
              <w:spacing w:before="60" w:after="60"/>
              <w:jc w:val="center"/>
              <w:rPr>
                <w:noProof/>
                <w:sz w:val="20"/>
              </w:rPr>
            </w:pPr>
          </w:p>
        </w:tc>
        <w:tc>
          <w:tcPr>
            <w:tcW w:w="655" w:type="pct"/>
            <w:vAlign w:val="center"/>
          </w:tcPr>
          <w:p w:rsidR="00DE314D" w:rsidRPr="009E7D16" w:rsidRDefault="00DE314D">
            <w:pPr>
              <w:spacing w:before="60" w:after="60"/>
              <w:jc w:val="center"/>
              <w:rPr>
                <w:noProof/>
                <w:sz w:val="20"/>
              </w:rPr>
            </w:pPr>
          </w:p>
        </w:tc>
        <w:tc>
          <w:tcPr>
            <w:tcW w:w="655" w:type="pct"/>
            <w:vAlign w:val="center"/>
          </w:tcPr>
          <w:p w:rsidR="00DE314D" w:rsidRPr="009E7D16" w:rsidRDefault="00DE314D">
            <w:pPr>
              <w:spacing w:before="60" w:after="60"/>
              <w:jc w:val="center"/>
              <w:rPr>
                <w:noProof/>
                <w:sz w:val="20"/>
              </w:rPr>
            </w:pPr>
          </w:p>
        </w:tc>
        <w:tc>
          <w:tcPr>
            <w:tcW w:w="787" w:type="pct"/>
            <w:vAlign w:val="center"/>
          </w:tcPr>
          <w:p w:rsidR="00DE314D" w:rsidRPr="009E7D16" w:rsidRDefault="00DE314D">
            <w:pPr>
              <w:spacing w:before="60" w:after="60"/>
              <w:jc w:val="center"/>
              <w:rPr>
                <w:noProof/>
                <w:sz w:val="20"/>
              </w:rPr>
            </w:pPr>
          </w:p>
        </w:tc>
      </w:tr>
      <w:tr w:rsidR="00AC781E" w:rsidRPr="009E7D16">
        <w:trPr>
          <w:cantSplit/>
        </w:trPr>
        <w:tc>
          <w:tcPr>
            <w:tcW w:w="1591" w:type="pct"/>
          </w:tcPr>
          <w:p w:rsidR="00DE314D" w:rsidRPr="009E7D16" w:rsidRDefault="00DE314D">
            <w:pPr>
              <w:spacing w:before="60" w:after="60"/>
              <w:jc w:val="left"/>
              <w:rPr>
                <w:noProof/>
                <w:sz w:val="20"/>
              </w:rPr>
            </w:pPr>
            <w:r w:rsidRPr="009E7D16">
              <w:rPr>
                <w:noProof/>
                <w:sz w:val="20"/>
              </w:rPr>
              <w:t xml:space="preserve">TOTAL crédits cofinancés </w:t>
            </w:r>
          </w:p>
        </w:tc>
        <w:tc>
          <w:tcPr>
            <w:tcW w:w="655" w:type="pct"/>
            <w:vAlign w:val="center"/>
          </w:tcPr>
          <w:p w:rsidR="00DE314D" w:rsidRPr="009E7D16" w:rsidRDefault="00DE314D">
            <w:pPr>
              <w:spacing w:before="60" w:after="60"/>
              <w:jc w:val="center"/>
              <w:rPr>
                <w:noProof/>
                <w:sz w:val="20"/>
              </w:rPr>
            </w:pPr>
          </w:p>
        </w:tc>
        <w:tc>
          <w:tcPr>
            <w:tcW w:w="655" w:type="pct"/>
            <w:vAlign w:val="center"/>
          </w:tcPr>
          <w:p w:rsidR="00DE314D" w:rsidRPr="009E7D16" w:rsidRDefault="00DE314D">
            <w:pPr>
              <w:spacing w:before="60" w:after="60"/>
              <w:jc w:val="center"/>
              <w:rPr>
                <w:noProof/>
                <w:sz w:val="20"/>
              </w:rPr>
            </w:pPr>
          </w:p>
        </w:tc>
        <w:tc>
          <w:tcPr>
            <w:tcW w:w="655" w:type="pct"/>
            <w:vAlign w:val="center"/>
          </w:tcPr>
          <w:p w:rsidR="00DE314D" w:rsidRPr="009E7D16" w:rsidRDefault="00DE314D">
            <w:pPr>
              <w:spacing w:before="60" w:after="60"/>
              <w:jc w:val="center"/>
              <w:rPr>
                <w:noProof/>
                <w:sz w:val="20"/>
              </w:rPr>
            </w:pPr>
          </w:p>
        </w:tc>
        <w:tc>
          <w:tcPr>
            <w:tcW w:w="655" w:type="pct"/>
            <w:vAlign w:val="center"/>
          </w:tcPr>
          <w:p w:rsidR="00DE314D" w:rsidRPr="009E7D16" w:rsidRDefault="00DE314D">
            <w:pPr>
              <w:spacing w:before="60" w:after="60"/>
              <w:jc w:val="center"/>
              <w:rPr>
                <w:noProof/>
                <w:sz w:val="20"/>
              </w:rPr>
            </w:pPr>
          </w:p>
        </w:tc>
        <w:tc>
          <w:tcPr>
            <w:tcW w:w="787" w:type="pct"/>
            <w:vAlign w:val="center"/>
          </w:tcPr>
          <w:p w:rsidR="00DE314D" w:rsidRPr="009E7D16" w:rsidRDefault="00DE314D">
            <w:pPr>
              <w:spacing w:before="60" w:after="60"/>
              <w:jc w:val="center"/>
              <w:rPr>
                <w:noProof/>
                <w:sz w:val="20"/>
              </w:rPr>
            </w:pPr>
          </w:p>
        </w:tc>
      </w:tr>
    </w:tbl>
    <w:p w:rsidR="00DE314D" w:rsidRPr="009E7D16" w:rsidRDefault="00DE314D">
      <w:pPr>
        <w:outlineLvl w:val="1"/>
        <w:rPr>
          <w:noProof/>
          <w:szCs w:val="24"/>
        </w:rPr>
      </w:pPr>
      <w:r w:rsidRPr="009E7D16">
        <w:rPr>
          <w:noProof/>
        </w:rPr>
        <w:t xml:space="preserve"> </w:t>
      </w:r>
      <w:r w:rsidRPr="009E7D16">
        <w:rPr>
          <w:noProof/>
        </w:rPr>
        <w:br/>
      </w:r>
      <w:bookmarkStart w:id="188" w:name="_Toc514938059"/>
      <w:bookmarkStart w:id="189" w:name="_Toc520485057"/>
      <w:bookmarkStart w:id="190" w:name="_Toc160804602"/>
      <w:bookmarkStart w:id="191" w:name="_Toc167220300"/>
      <w:bookmarkStart w:id="192" w:name="_Toc177549034"/>
      <w:bookmarkStart w:id="193" w:name="_Hlk166860179"/>
      <w:r w:rsidRPr="009E7D16">
        <w:rPr>
          <w:noProof/>
        </w:rPr>
        <w:t>3.3.</w:t>
      </w:r>
      <w:r w:rsidRPr="009E7D16">
        <w:rPr>
          <w:noProof/>
        </w:rPr>
        <w:tab/>
        <w:t>Incidence estimée sur les recettes</w:t>
      </w:r>
      <w:bookmarkEnd w:id="188"/>
      <w:bookmarkEnd w:id="189"/>
      <w:bookmarkEnd w:id="190"/>
      <w:bookmarkEnd w:id="191"/>
      <w:bookmarkEnd w:id="192"/>
      <w:r w:rsidRPr="009E7D16">
        <w:rPr>
          <w:noProof/>
        </w:rPr>
        <w:t xml:space="preserve"> </w:t>
      </w:r>
    </w:p>
    <w:bookmarkEnd w:id="193"/>
    <w:p w:rsidR="00DE314D" w:rsidRPr="009E7D16" w:rsidRDefault="00DE314D">
      <w:pPr>
        <w:pStyle w:val="ListDash1"/>
        <w:rPr>
          <w:noProof/>
        </w:rPr>
      </w:pPr>
      <w:r w:rsidRPr="009E7D16">
        <w:rPr>
          <w:rFonts w:ascii="Wingdings" w:hAnsi="Wingdings"/>
          <w:noProof/>
        </w:rPr>
        <w:t></w:t>
      </w:r>
      <w:r w:rsidRPr="009E7D16">
        <w:rPr>
          <w:noProof/>
        </w:rPr>
        <w:tab/>
        <w:t>La proposition/l’initiative est sans incidence financière sur les recettes.</w:t>
      </w:r>
    </w:p>
    <w:p w:rsidR="00DE314D" w:rsidRPr="009E7D16" w:rsidRDefault="00DE314D">
      <w:pPr>
        <w:pStyle w:val="ListDash1"/>
        <w:rPr>
          <w:noProof/>
        </w:rPr>
      </w:pPr>
      <w:r w:rsidRPr="009E7D16">
        <w:rPr>
          <w:rFonts w:ascii="Wingdings" w:hAnsi="Wingdings"/>
          <w:noProof/>
        </w:rPr>
        <w:t></w:t>
      </w:r>
      <w:r w:rsidRPr="009E7D16">
        <w:rPr>
          <w:noProof/>
        </w:rPr>
        <w:tab/>
        <w:t>La proposition/l’initiative a une incidence financière décrite ci‑après:</w:t>
      </w:r>
    </w:p>
    <w:p w:rsidR="00DE314D" w:rsidRPr="009E7D16" w:rsidRDefault="00DE314D" w:rsidP="00DE314D">
      <w:pPr>
        <w:pStyle w:val="ListNumberLevel3"/>
        <w:rPr>
          <w:noProof/>
        </w:rPr>
      </w:pPr>
      <w:r w:rsidRPr="009E7D16">
        <w:rPr>
          <w:rFonts w:ascii="Wingdings" w:hAnsi="Wingdings"/>
          <w:noProof/>
        </w:rPr>
        <w:t></w:t>
      </w:r>
      <w:r w:rsidRPr="009E7D16">
        <w:rPr>
          <w:noProof/>
        </w:rPr>
        <w:tab/>
        <w:t xml:space="preserve">sur les ressources propres </w:t>
      </w:r>
    </w:p>
    <w:p w:rsidR="00DE314D" w:rsidRPr="009E7D16" w:rsidRDefault="00DE314D" w:rsidP="00DE314D">
      <w:pPr>
        <w:pStyle w:val="ListNumberLevel3"/>
        <w:rPr>
          <w:noProof/>
        </w:rPr>
      </w:pPr>
      <w:r w:rsidRPr="009E7D16">
        <w:rPr>
          <w:rFonts w:ascii="Wingdings" w:hAnsi="Wingdings"/>
          <w:noProof/>
        </w:rPr>
        <w:t></w:t>
      </w:r>
      <w:r w:rsidRPr="009E7D16">
        <w:rPr>
          <w:noProof/>
        </w:rPr>
        <w:tab/>
        <w:t>sur les autres recettes</w:t>
      </w:r>
    </w:p>
    <w:p w:rsidR="00DE314D" w:rsidRPr="009E7D16" w:rsidRDefault="00DE314D" w:rsidP="00DE314D">
      <w:pPr>
        <w:pStyle w:val="ListNumberLevel3"/>
        <w:rPr>
          <w:noProof/>
        </w:rPr>
      </w:pPr>
      <w:r w:rsidRPr="009E7D16">
        <w:rPr>
          <w:rFonts w:ascii="Wingdings" w:hAnsi="Wingdings"/>
          <w:noProof/>
        </w:rPr>
        <w:t></w:t>
      </w:r>
      <w:r w:rsidRPr="009E7D16">
        <w:rPr>
          <w:noProof/>
        </w:rPr>
        <w:tab/>
        <w:t>veuillez indiquer si les recettes sont affectées à des lignes de dépenses</w:t>
      </w:r>
    </w:p>
    <w:p w:rsidR="00DE314D" w:rsidRPr="009E7D16" w:rsidRDefault="00DE314D">
      <w:pPr>
        <w:jc w:val="right"/>
        <w:rPr>
          <w:noProof/>
          <w:sz w:val="20"/>
        </w:rPr>
      </w:pPr>
      <w:r w:rsidRPr="009E7D16">
        <w:rPr>
          <w:noProof/>
          <w:sz w:val="20"/>
        </w:rPr>
        <w:t>En Mio EUR (à la 3</w:t>
      </w:r>
      <w:r w:rsidRPr="009E7D16">
        <w:rPr>
          <w:noProof/>
          <w:sz w:val="20"/>
          <w:vertAlign w:val="superscript"/>
        </w:rPr>
        <w:t>e</w:t>
      </w:r>
      <w:r w:rsidRPr="009E7D16">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AC781E" w:rsidRPr="009E7D16" w:rsidTr="3CFC5CC3">
        <w:trPr>
          <w:trHeight w:val="388"/>
        </w:trPr>
        <w:tc>
          <w:tcPr>
            <w:tcW w:w="1423" w:type="pct"/>
            <w:vMerge w:val="restart"/>
            <w:vAlign w:val="center"/>
          </w:tcPr>
          <w:p w:rsidR="00DE314D" w:rsidRPr="009E7D16" w:rsidRDefault="00DE314D">
            <w:pPr>
              <w:spacing w:before="40" w:after="40"/>
              <w:rPr>
                <w:noProof/>
                <w:sz w:val="18"/>
              </w:rPr>
            </w:pPr>
            <w:r w:rsidRPr="009E7D16">
              <w:rPr>
                <w:noProof/>
                <w:sz w:val="18"/>
              </w:rPr>
              <w:t>Ligne budgétaire de recettes:</w:t>
            </w:r>
          </w:p>
        </w:tc>
        <w:tc>
          <w:tcPr>
            <w:tcW w:w="869" w:type="pct"/>
            <w:vMerge w:val="restart"/>
            <w:vAlign w:val="center"/>
          </w:tcPr>
          <w:p w:rsidR="00DE314D" w:rsidRPr="009E7D16" w:rsidRDefault="00DE314D">
            <w:pPr>
              <w:jc w:val="center"/>
              <w:rPr>
                <w:noProof/>
                <w:sz w:val="18"/>
              </w:rPr>
            </w:pPr>
            <w:r w:rsidRPr="009E7D16">
              <w:rPr>
                <w:noProof/>
                <w:sz w:val="18"/>
              </w:rPr>
              <w:t>Montants inscrits pour l’exercice en cours</w:t>
            </w:r>
          </w:p>
        </w:tc>
        <w:tc>
          <w:tcPr>
            <w:tcW w:w="2709" w:type="pct"/>
            <w:gridSpan w:val="4"/>
            <w:vAlign w:val="center"/>
          </w:tcPr>
          <w:p w:rsidR="00DE314D" w:rsidRPr="009E7D16" w:rsidRDefault="00DE314D">
            <w:pPr>
              <w:jc w:val="center"/>
              <w:rPr>
                <w:noProof/>
                <w:sz w:val="18"/>
              </w:rPr>
            </w:pPr>
            <w:r w:rsidRPr="009E7D16">
              <w:rPr>
                <w:noProof/>
                <w:sz w:val="18"/>
              </w:rPr>
              <w:t>Incidence de la proposition/de l’initiative</w:t>
            </w:r>
            <w:r w:rsidRPr="009E7D16">
              <w:rPr>
                <w:rStyle w:val="FootnoteReference"/>
                <w:noProof/>
                <w:sz w:val="18"/>
                <w:szCs w:val="18"/>
              </w:rPr>
              <w:footnoteReference w:id="51"/>
            </w:r>
          </w:p>
        </w:tc>
      </w:tr>
      <w:tr w:rsidR="00AC781E" w:rsidRPr="009E7D16" w:rsidTr="3CFC5CC3">
        <w:trPr>
          <w:trHeight w:val="388"/>
        </w:trPr>
        <w:tc>
          <w:tcPr>
            <w:tcW w:w="1423" w:type="pct"/>
            <w:vMerge/>
          </w:tcPr>
          <w:p w:rsidR="00DE314D" w:rsidRPr="009E7D16" w:rsidRDefault="00DE314D">
            <w:pPr>
              <w:spacing w:before="40" w:after="40"/>
              <w:rPr>
                <w:noProof/>
                <w:sz w:val="18"/>
              </w:rPr>
            </w:pPr>
          </w:p>
        </w:tc>
        <w:tc>
          <w:tcPr>
            <w:tcW w:w="869" w:type="pct"/>
            <w:vMerge/>
          </w:tcPr>
          <w:p w:rsidR="00DE314D" w:rsidRPr="009E7D16" w:rsidRDefault="00DE314D">
            <w:pPr>
              <w:spacing w:beforeLines="40" w:before="96" w:afterLines="40" w:after="96"/>
              <w:rPr>
                <w:i/>
                <w:noProof/>
                <w:sz w:val="18"/>
              </w:rPr>
            </w:pPr>
          </w:p>
        </w:tc>
        <w:tc>
          <w:tcPr>
            <w:tcW w:w="911" w:type="pct"/>
            <w:vAlign w:val="center"/>
          </w:tcPr>
          <w:p w:rsidR="00DE314D" w:rsidRPr="009E7D16" w:rsidRDefault="00DE314D">
            <w:pPr>
              <w:jc w:val="center"/>
              <w:rPr>
                <w:noProof/>
                <w:sz w:val="18"/>
              </w:rPr>
            </w:pPr>
            <w:r w:rsidRPr="009E7D16">
              <w:rPr>
                <w:noProof/>
                <w:sz w:val="18"/>
              </w:rPr>
              <w:t xml:space="preserve">Année </w:t>
            </w:r>
            <w:r w:rsidRPr="009E7D16">
              <w:rPr>
                <w:b/>
                <w:noProof/>
                <w:sz w:val="18"/>
              </w:rPr>
              <w:t>2024</w:t>
            </w:r>
          </w:p>
        </w:tc>
        <w:tc>
          <w:tcPr>
            <w:tcW w:w="562" w:type="pct"/>
            <w:vAlign w:val="center"/>
          </w:tcPr>
          <w:p w:rsidR="00DE314D" w:rsidRPr="009E7D16" w:rsidRDefault="00DE314D">
            <w:pPr>
              <w:jc w:val="center"/>
              <w:rPr>
                <w:noProof/>
                <w:sz w:val="18"/>
              </w:rPr>
            </w:pPr>
            <w:r w:rsidRPr="009E7D16">
              <w:rPr>
                <w:noProof/>
                <w:sz w:val="18"/>
              </w:rPr>
              <w:t xml:space="preserve">Année </w:t>
            </w:r>
            <w:r w:rsidRPr="009E7D16">
              <w:rPr>
                <w:b/>
                <w:noProof/>
                <w:sz w:val="18"/>
              </w:rPr>
              <w:t>2025</w:t>
            </w:r>
          </w:p>
        </w:tc>
        <w:tc>
          <w:tcPr>
            <w:tcW w:w="557" w:type="pct"/>
            <w:vAlign w:val="center"/>
          </w:tcPr>
          <w:p w:rsidR="00DE314D" w:rsidRPr="009E7D16" w:rsidRDefault="00DE314D">
            <w:pPr>
              <w:jc w:val="center"/>
              <w:rPr>
                <w:noProof/>
                <w:sz w:val="18"/>
              </w:rPr>
            </w:pPr>
            <w:r w:rsidRPr="009E7D16">
              <w:rPr>
                <w:noProof/>
                <w:sz w:val="18"/>
              </w:rPr>
              <w:t xml:space="preserve">Année </w:t>
            </w:r>
            <w:r w:rsidRPr="009E7D16">
              <w:rPr>
                <w:b/>
                <w:noProof/>
                <w:sz w:val="18"/>
              </w:rPr>
              <w:t>2026</w:t>
            </w:r>
          </w:p>
        </w:tc>
        <w:tc>
          <w:tcPr>
            <w:tcW w:w="679" w:type="pct"/>
            <w:vAlign w:val="center"/>
          </w:tcPr>
          <w:p w:rsidR="00DE314D" w:rsidRPr="009E7D16" w:rsidRDefault="00DE314D">
            <w:pPr>
              <w:jc w:val="center"/>
              <w:rPr>
                <w:noProof/>
                <w:sz w:val="18"/>
              </w:rPr>
            </w:pPr>
            <w:r w:rsidRPr="009E7D16">
              <w:rPr>
                <w:noProof/>
                <w:sz w:val="18"/>
              </w:rPr>
              <w:t xml:space="preserve">Année </w:t>
            </w:r>
            <w:r w:rsidRPr="009E7D16">
              <w:rPr>
                <w:b/>
                <w:noProof/>
                <w:sz w:val="18"/>
              </w:rPr>
              <w:t>2027</w:t>
            </w:r>
          </w:p>
        </w:tc>
      </w:tr>
      <w:tr w:rsidR="00AC781E" w:rsidRPr="009E7D16" w:rsidTr="3CFC5CC3">
        <w:trPr>
          <w:trHeight w:val="388"/>
        </w:trPr>
        <w:tc>
          <w:tcPr>
            <w:tcW w:w="1423" w:type="pct"/>
            <w:vAlign w:val="center"/>
          </w:tcPr>
          <w:p w:rsidR="00DE314D" w:rsidRPr="009E7D16" w:rsidRDefault="00DE314D">
            <w:pPr>
              <w:spacing w:before="40" w:after="40"/>
              <w:rPr>
                <w:noProof/>
                <w:sz w:val="18"/>
              </w:rPr>
            </w:pPr>
            <w:r w:rsidRPr="009E7D16">
              <w:rPr>
                <w:noProof/>
                <w:sz w:val="18"/>
              </w:rPr>
              <w:t>Article ………….</w:t>
            </w:r>
          </w:p>
        </w:tc>
        <w:tc>
          <w:tcPr>
            <w:tcW w:w="869" w:type="pct"/>
          </w:tcPr>
          <w:p w:rsidR="00DE314D" w:rsidRPr="009E7D16" w:rsidRDefault="00DE314D">
            <w:pPr>
              <w:spacing w:beforeLines="40" w:before="96" w:afterLines="40" w:after="96"/>
              <w:jc w:val="center"/>
              <w:rPr>
                <w:i/>
                <w:noProof/>
                <w:sz w:val="18"/>
              </w:rPr>
            </w:pPr>
          </w:p>
        </w:tc>
        <w:tc>
          <w:tcPr>
            <w:tcW w:w="911" w:type="pct"/>
          </w:tcPr>
          <w:p w:rsidR="00DE314D" w:rsidRPr="009E7D16" w:rsidRDefault="00DE314D">
            <w:pPr>
              <w:spacing w:beforeLines="40" w:before="96" w:afterLines="40" w:after="96"/>
              <w:jc w:val="center"/>
              <w:rPr>
                <w:noProof/>
                <w:sz w:val="18"/>
              </w:rPr>
            </w:pPr>
          </w:p>
        </w:tc>
        <w:tc>
          <w:tcPr>
            <w:tcW w:w="562" w:type="pct"/>
          </w:tcPr>
          <w:p w:rsidR="00DE314D" w:rsidRPr="009E7D16" w:rsidRDefault="00DE314D">
            <w:pPr>
              <w:spacing w:beforeLines="40" w:before="96" w:afterLines="40" w:after="96"/>
              <w:jc w:val="center"/>
              <w:rPr>
                <w:noProof/>
                <w:sz w:val="18"/>
              </w:rPr>
            </w:pPr>
          </w:p>
        </w:tc>
        <w:tc>
          <w:tcPr>
            <w:tcW w:w="557" w:type="pct"/>
          </w:tcPr>
          <w:p w:rsidR="00DE314D" w:rsidRPr="009E7D16" w:rsidRDefault="00DE314D">
            <w:pPr>
              <w:spacing w:beforeLines="40" w:before="96" w:afterLines="40" w:after="96"/>
              <w:jc w:val="center"/>
              <w:rPr>
                <w:noProof/>
                <w:sz w:val="18"/>
              </w:rPr>
            </w:pPr>
          </w:p>
        </w:tc>
        <w:tc>
          <w:tcPr>
            <w:tcW w:w="679" w:type="pct"/>
          </w:tcPr>
          <w:p w:rsidR="00DE314D" w:rsidRPr="009E7D16" w:rsidRDefault="00DE314D">
            <w:pPr>
              <w:spacing w:beforeLines="40" w:before="96" w:afterLines="40" w:after="96"/>
              <w:jc w:val="center"/>
              <w:rPr>
                <w:noProof/>
                <w:sz w:val="18"/>
              </w:rPr>
            </w:pPr>
          </w:p>
        </w:tc>
      </w:tr>
    </w:tbl>
    <w:p w:rsidR="00DE314D" w:rsidRPr="009E7D16" w:rsidRDefault="00DE314D">
      <w:pPr>
        <w:pStyle w:val="Text1"/>
        <w:rPr>
          <w:noProof/>
          <w:szCs w:val="24"/>
        </w:rPr>
      </w:pPr>
      <w:r w:rsidRPr="009E7D16">
        <w:rPr>
          <w:noProof/>
        </w:rPr>
        <w:t>Pour les recettes affectées, préciser la(les) ligne(s) budgétaire(s) de dépenses concernée(s).</w:t>
      </w:r>
    </w:p>
    <w:p w:rsidR="00DE314D" w:rsidRPr="009E7D16" w:rsidRDefault="00DE314D">
      <w:pPr>
        <w:pStyle w:val="Text1"/>
        <w:rPr>
          <w:noProof/>
          <w:szCs w:val="24"/>
        </w:rPr>
      </w:pPr>
      <w:r w:rsidRPr="009E7D16">
        <w:rPr>
          <w:noProof/>
        </w:rPr>
        <w:t>Autres remarques (relatives par exemple à la méthode/formule utilisée pour le calcul de l’incidence sur les recettes ou toute autre information).</w:t>
      </w:r>
    </w:p>
    <w:p w:rsidR="00DE314D" w:rsidRPr="009E7D16" w:rsidRDefault="00DE314D">
      <w:pPr>
        <w:pStyle w:val="ManualHeading1"/>
        <w:rPr>
          <w:caps/>
          <w:noProof/>
        </w:rPr>
      </w:pPr>
      <w:bookmarkStart w:id="194" w:name="_Toc167220301"/>
      <w:bookmarkStart w:id="195" w:name="_Toc177549035"/>
      <w:r w:rsidRPr="009E7D16">
        <w:rPr>
          <w:noProof/>
        </w:rPr>
        <w:t>4.</w:t>
      </w:r>
      <w:r w:rsidRPr="009E7D16">
        <w:rPr>
          <w:noProof/>
        </w:rPr>
        <w:tab/>
      </w:r>
      <w:bookmarkStart w:id="196" w:name="_Hlk167692977"/>
      <w:r w:rsidRPr="009E7D16">
        <w:rPr>
          <w:caps/>
          <w:noProof/>
        </w:rPr>
        <w:t>Dimensions numériques</w:t>
      </w:r>
      <w:bookmarkEnd w:id="194"/>
      <w:bookmarkEnd w:id="195"/>
    </w:p>
    <w:p w:rsidR="00DE314D" w:rsidRPr="009E7D16" w:rsidRDefault="00DE314D">
      <w:pPr>
        <w:pStyle w:val="ManualHeading2"/>
        <w:rPr>
          <w:noProof/>
        </w:rPr>
      </w:pPr>
      <w:bookmarkStart w:id="197" w:name="_Toc167220302"/>
      <w:bookmarkStart w:id="198" w:name="_Toc177549037"/>
      <w:r w:rsidRPr="009E7D16">
        <w:rPr>
          <w:noProof/>
        </w:rPr>
        <w:t>4.1.</w:t>
      </w:r>
      <w:r w:rsidRPr="009E7D16">
        <w:rPr>
          <w:noProof/>
        </w:rPr>
        <w:tab/>
        <w:t>Exigences pertinentes en matière numérique</w:t>
      </w:r>
      <w:bookmarkEnd w:id="197"/>
      <w:bookmarkEnd w:id="198"/>
    </w:p>
    <w:tbl>
      <w:tblPr>
        <w:tblStyle w:val="TableGrid"/>
        <w:tblW w:w="9072" w:type="dxa"/>
        <w:tblInd w:w="-5" w:type="dxa"/>
        <w:tblLayout w:type="fixed"/>
        <w:tblLook w:val="06A0" w:firstRow="1" w:lastRow="0" w:firstColumn="1" w:lastColumn="0" w:noHBand="1" w:noVBand="1"/>
      </w:tblPr>
      <w:tblGrid>
        <w:gridCol w:w="9072"/>
      </w:tblGrid>
      <w:tr w:rsidR="00AC781E" w:rsidRPr="009E7D16" w:rsidTr="77BC4F07">
        <w:trPr>
          <w:trHeight w:val="300"/>
        </w:trPr>
        <w:tc>
          <w:tcPr>
            <w:tcW w:w="9072" w:type="dxa"/>
          </w:tcPr>
          <w:p w:rsidR="00DE314D" w:rsidRPr="009E7D16" w:rsidRDefault="0017445D" w:rsidP="0017445D">
            <w:pPr>
              <w:rPr>
                <w:noProof/>
              </w:rPr>
            </w:pPr>
            <w:r w:rsidRPr="009E7D16">
              <w:rPr>
                <w:noProof/>
              </w:rPr>
              <w:t>Sans objet.</w:t>
            </w:r>
          </w:p>
        </w:tc>
      </w:tr>
    </w:tbl>
    <w:p w:rsidR="00DE314D" w:rsidRPr="009E7D16" w:rsidRDefault="00DE314D">
      <w:pPr>
        <w:pStyle w:val="ManualHeading2"/>
        <w:rPr>
          <w:noProof/>
        </w:rPr>
      </w:pPr>
      <w:bookmarkStart w:id="199" w:name="_Toc167220303"/>
      <w:bookmarkStart w:id="200" w:name="_Toc177549038"/>
      <w:r w:rsidRPr="009E7D16">
        <w:rPr>
          <w:noProof/>
        </w:rPr>
        <w:t>4.2.</w:t>
      </w:r>
      <w:r w:rsidRPr="009E7D16">
        <w:rPr>
          <w:noProof/>
        </w:rPr>
        <w:tab/>
        <w:t>Données</w:t>
      </w:r>
      <w:bookmarkEnd w:id="199"/>
      <w:bookmarkEnd w:id="200"/>
    </w:p>
    <w:tbl>
      <w:tblPr>
        <w:tblStyle w:val="TableGrid"/>
        <w:tblW w:w="0" w:type="auto"/>
        <w:tblLook w:val="04A0" w:firstRow="1" w:lastRow="0" w:firstColumn="1" w:lastColumn="0" w:noHBand="0" w:noVBand="1"/>
      </w:tblPr>
      <w:tblGrid>
        <w:gridCol w:w="9063"/>
      </w:tblGrid>
      <w:tr w:rsidR="00AC781E" w:rsidRPr="009E7D16" w:rsidTr="004032ED">
        <w:tc>
          <w:tcPr>
            <w:tcW w:w="9063" w:type="dxa"/>
          </w:tcPr>
          <w:p w:rsidR="00DE314D" w:rsidRPr="009E7D16" w:rsidRDefault="0017445D" w:rsidP="0017445D">
            <w:pPr>
              <w:rPr>
                <w:noProof/>
              </w:rPr>
            </w:pPr>
            <w:r w:rsidRPr="009E7D16">
              <w:rPr>
                <w:noProof/>
              </w:rPr>
              <w:t>Sans objet.</w:t>
            </w:r>
          </w:p>
        </w:tc>
      </w:tr>
    </w:tbl>
    <w:p w:rsidR="00DE314D" w:rsidRPr="009E7D16" w:rsidRDefault="00DE314D">
      <w:pPr>
        <w:pStyle w:val="ManualHeading2"/>
        <w:rPr>
          <w:noProof/>
        </w:rPr>
      </w:pPr>
      <w:bookmarkStart w:id="201" w:name="_Toc167220305"/>
      <w:bookmarkStart w:id="202" w:name="_Toc177549039"/>
      <w:r w:rsidRPr="009E7D16">
        <w:rPr>
          <w:noProof/>
        </w:rPr>
        <w:t>4.3.</w:t>
      </w:r>
      <w:r w:rsidRPr="009E7D16">
        <w:rPr>
          <w:noProof/>
        </w:rPr>
        <w:tab/>
        <w:t>Solutions numériques</w:t>
      </w:r>
      <w:bookmarkEnd w:id="201"/>
      <w:bookmarkEnd w:id="202"/>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AC781E" w:rsidRPr="009E7D16" w:rsidTr="193F07E0">
        <w:tc>
          <w:tcPr>
            <w:tcW w:w="9067" w:type="dxa"/>
          </w:tcPr>
          <w:p w:rsidR="00DE314D" w:rsidRPr="009E7D16" w:rsidRDefault="0017445D">
            <w:pPr>
              <w:rPr>
                <w:noProof/>
              </w:rPr>
            </w:pPr>
            <w:r w:rsidRPr="009E7D16">
              <w:rPr>
                <w:noProof/>
              </w:rPr>
              <w:t>Sans objet.</w:t>
            </w:r>
          </w:p>
        </w:tc>
      </w:tr>
    </w:tbl>
    <w:p w:rsidR="00DE314D" w:rsidRPr="009E7D16" w:rsidRDefault="00DE314D" w:rsidP="77BC4F07">
      <w:pPr>
        <w:pStyle w:val="ManualHeading2"/>
        <w:rPr>
          <w:rStyle w:val="Emphasis"/>
          <w:b w:val="0"/>
          <w:i w:val="0"/>
          <w:iCs w:val="0"/>
          <w:noProof/>
        </w:rPr>
      </w:pPr>
      <w:bookmarkStart w:id="203" w:name="_Toc167220304"/>
      <w:bookmarkStart w:id="204" w:name="_Toc177549040"/>
      <w:r w:rsidRPr="009E7D16">
        <w:rPr>
          <w:rStyle w:val="Emphasis"/>
          <w:noProof/>
        </w:rPr>
        <w:t>4.4.</w:t>
      </w:r>
      <w:r w:rsidRPr="009E7D16">
        <w:rPr>
          <w:noProof/>
        </w:rPr>
        <w:tab/>
      </w:r>
      <w:r w:rsidRPr="009E7D16">
        <w:rPr>
          <w:rStyle w:val="Emphasis"/>
          <w:noProof/>
        </w:rPr>
        <w:t>Évaluation de l’interopérabilité</w:t>
      </w:r>
      <w:bookmarkEnd w:id="203"/>
      <w:bookmarkEnd w:id="204"/>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AC781E" w:rsidRPr="009E7D16" w:rsidTr="193F07E0">
        <w:trPr>
          <w:trHeight w:val="300"/>
        </w:trPr>
        <w:tc>
          <w:tcPr>
            <w:tcW w:w="9067" w:type="dxa"/>
          </w:tcPr>
          <w:p w:rsidR="00DE314D" w:rsidRPr="009E7D16" w:rsidRDefault="0017445D" w:rsidP="193F07E0">
            <w:pPr>
              <w:rPr>
                <w:i/>
                <w:iCs/>
                <w:noProof/>
              </w:rPr>
            </w:pPr>
            <w:r w:rsidRPr="009E7D16">
              <w:rPr>
                <w:noProof/>
              </w:rPr>
              <w:t>Sans objet.</w:t>
            </w:r>
          </w:p>
        </w:tc>
      </w:tr>
    </w:tbl>
    <w:p w:rsidR="00DE314D" w:rsidRPr="009E7D16" w:rsidRDefault="00DE314D">
      <w:pPr>
        <w:pStyle w:val="ManualHeading2"/>
        <w:rPr>
          <w:noProof/>
        </w:rPr>
      </w:pPr>
      <w:bookmarkStart w:id="205" w:name="_Toc167220306"/>
      <w:bookmarkStart w:id="206" w:name="_Toc177549041"/>
      <w:r w:rsidRPr="009E7D16">
        <w:rPr>
          <w:noProof/>
        </w:rPr>
        <w:t>4.5.</w:t>
      </w:r>
      <w:r w:rsidRPr="009E7D16">
        <w:rPr>
          <w:noProof/>
        </w:rPr>
        <w:tab/>
        <w:t>Mesures de soutien de la mise en œuvre numérique</w:t>
      </w:r>
      <w:bookmarkEnd w:id="205"/>
      <w:bookmarkEnd w:id="206"/>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AC781E" w:rsidRPr="009E7D16" w:rsidTr="193F07E0">
        <w:tc>
          <w:tcPr>
            <w:tcW w:w="9067" w:type="dxa"/>
          </w:tcPr>
          <w:p w:rsidR="00DE314D" w:rsidRPr="009E7D16" w:rsidRDefault="0017445D" w:rsidP="0017445D">
            <w:pPr>
              <w:rPr>
                <w:noProof/>
              </w:rPr>
            </w:pPr>
            <w:r w:rsidRPr="009E7D16">
              <w:rPr>
                <w:noProof/>
              </w:rPr>
              <w:t>Sans objet.</w:t>
            </w:r>
          </w:p>
        </w:tc>
      </w:tr>
      <w:bookmarkEnd w:id="196"/>
    </w:tbl>
    <w:p w:rsidR="00DE314D" w:rsidRPr="009E7D16" w:rsidRDefault="00DE314D">
      <w:pPr>
        <w:rPr>
          <w:noProof/>
        </w:rPr>
      </w:pPr>
    </w:p>
    <w:sectPr w:rsidR="00DE314D" w:rsidRPr="009E7D16" w:rsidSect="008155FA">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4FB" w:rsidRDefault="006504FB" w:rsidP="00DE314D">
      <w:pPr>
        <w:spacing w:before="0" w:after="0"/>
      </w:pPr>
      <w:r>
        <w:separator/>
      </w:r>
    </w:p>
  </w:endnote>
  <w:endnote w:type="continuationSeparator" w:id="0">
    <w:p w:rsidR="006504FB" w:rsidRDefault="006504FB" w:rsidP="00DE314D">
      <w:pPr>
        <w:spacing w:before="0" w:after="0"/>
      </w:pPr>
      <w:r>
        <w:continuationSeparator/>
      </w:r>
    </w:p>
  </w:endnote>
  <w:endnote w:type="continuationNotice" w:id="1">
    <w:p w:rsidR="006504FB" w:rsidRDefault="006504F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 w:name="Arial Unicode MS">
    <w:panose1 w:val="020B0604020202020204"/>
    <w:charset w:val="00"/>
    <w:family w:val="roman"/>
    <w:pitch w:val="default"/>
  </w:font>
  <w:font w:name="MS Mincho">
    <w:altName w:val="Yu Gothic UI"/>
    <w:panose1 w:val="02020609040205080304"/>
    <w:charset w:val="80"/>
    <w:family w:val="modern"/>
    <w:pitch w:val="fixed"/>
    <w:sig w:usb0="E00002FF" w:usb1="6AC7FDFB" w:usb2="08000012" w:usb3="00000000" w:csb0="0002009F"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5FA" w:rsidRPr="008155FA" w:rsidRDefault="008155FA" w:rsidP="008155FA">
    <w:pPr>
      <w:pStyle w:val="Footer"/>
      <w:rPr>
        <w:rFonts w:ascii="Arial" w:hAnsi="Arial" w:cs="Arial"/>
        <w:b/>
        <w:sz w:val="48"/>
      </w:rPr>
    </w:pPr>
    <w:r w:rsidRPr="008155FA">
      <w:rPr>
        <w:rFonts w:ascii="Arial" w:hAnsi="Arial" w:cs="Arial"/>
        <w:b/>
        <w:sz w:val="48"/>
      </w:rPr>
      <w:t>FR</w:t>
    </w:r>
    <w:r w:rsidRPr="008155FA">
      <w:rPr>
        <w:rFonts w:ascii="Arial" w:hAnsi="Arial" w:cs="Arial"/>
        <w:b/>
        <w:sz w:val="48"/>
      </w:rPr>
      <w:tab/>
    </w:r>
    <w:r w:rsidRPr="008155FA">
      <w:rPr>
        <w:rFonts w:ascii="Arial" w:hAnsi="Arial" w:cs="Arial"/>
        <w:b/>
        <w:sz w:val="48"/>
      </w:rPr>
      <w:tab/>
    </w:r>
    <w:r w:rsidRPr="008155FA">
      <w:tab/>
    </w:r>
    <w:r w:rsidRPr="008155F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5FA" w:rsidRPr="008155FA" w:rsidRDefault="008155FA" w:rsidP="008155FA">
    <w:pPr>
      <w:pStyle w:val="Footer"/>
      <w:rPr>
        <w:rFonts w:ascii="Arial" w:hAnsi="Arial" w:cs="Arial"/>
        <w:b/>
        <w:sz w:val="48"/>
      </w:rPr>
    </w:pPr>
    <w:r w:rsidRPr="008155FA">
      <w:rPr>
        <w:rFonts w:ascii="Arial" w:hAnsi="Arial" w:cs="Arial"/>
        <w:b/>
        <w:sz w:val="48"/>
      </w:rPr>
      <w:t>FR</w:t>
    </w:r>
    <w:r w:rsidRPr="008155FA">
      <w:rPr>
        <w:rFonts w:ascii="Arial" w:hAnsi="Arial" w:cs="Arial"/>
        <w:b/>
        <w:sz w:val="48"/>
      </w:rPr>
      <w:tab/>
    </w:r>
    <w:r w:rsidRPr="008155FA">
      <w:rPr>
        <w:rFonts w:ascii="Arial" w:hAnsi="Arial" w:cs="Arial"/>
        <w:b/>
        <w:sz w:val="48"/>
      </w:rPr>
      <w:tab/>
    </w:r>
    <w:r w:rsidRPr="008155FA">
      <w:tab/>
    </w:r>
    <w:r w:rsidRPr="008155F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5FA" w:rsidRDefault="008155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5FA" w:rsidRPr="008155FA" w:rsidRDefault="008155FA" w:rsidP="008155FA">
    <w:pPr>
      <w:pStyle w:val="Footer"/>
      <w:rPr>
        <w:rFonts w:ascii="Arial" w:hAnsi="Arial" w:cs="Arial"/>
        <w:b/>
        <w:sz w:val="48"/>
      </w:rPr>
    </w:pPr>
    <w:r w:rsidRPr="008155FA">
      <w:rPr>
        <w:rFonts w:ascii="Arial" w:hAnsi="Arial" w:cs="Arial"/>
        <w:b/>
        <w:sz w:val="48"/>
      </w:rPr>
      <w:t>FR</w:t>
    </w:r>
    <w:r w:rsidRPr="008155FA">
      <w:rPr>
        <w:rFonts w:ascii="Arial" w:hAnsi="Arial" w:cs="Arial"/>
        <w:b/>
        <w:sz w:val="48"/>
      </w:rPr>
      <w:tab/>
    </w:r>
    <w:r>
      <w:fldChar w:fldCharType="begin"/>
    </w:r>
    <w:r>
      <w:instrText xml:space="preserve"> PAGE  \* MERGEFORMAT </w:instrText>
    </w:r>
    <w:r>
      <w:fldChar w:fldCharType="separate"/>
    </w:r>
    <w:r w:rsidR="00D472CE">
      <w:rPr>
        <w:noProof/>
      </w:rPr>
      <w:t>16</w:t>
    </w:r>
    <w:r>
      <w:fldChar w:fldCharType="end"/>
    </w:r>
    <w:r>
      <w:tab/>
    </w:r>
    <w:r w:rsidRPr="008155FA">
      <w:tab/>
    </w:r>
    <w:r w:rsidRPr="008155FA">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5FA" w:rsidRDefault="008155FA" w:rsidP="008155F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5FA" w:rsidRPr="008155FA" w:rsidRDefault="008155FA" w:rsidP="008155FA">
    <w:pPr>
      <w:pStyle w:val="FooterLandscape"/>
      <w:rPr>
        <w:rFonts w:ascii="Arial" w:hAnsi="Arial" w:cs="Arial"/>
        <w:b/>
        <w:sz w:val="48"/>
      </w:rPr>
    </w:pPr>
    <w:r w:rsidRPr="008155FA">
      <w:rPr>
        <w:rFonts w:ascii="Arial" w:hAnsi="Arial" w:cs="Arial"/>
        <w:b/>
        <w:sz w:val="48"/>
      </w:rPr>
      <w:t>FR</w:t>
    </w:r>
    <w:r w:rsidRPr="008155F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8155FA">
      <w:tab/>
    </w:r>
    <w:r w:rsidRPr="008155FA">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5FA" w:rsidRPr="008155FA" w:rsidRDefault="008155FA" w:rsidP="008155FA">
    <w:pPr>
      <w:pStyle w:val="Footer"/>
      <w:rPr>
        <w:rFonts w:ascii="Arial" w:hAnsi="Arial" w:cs="Arial"/>
        <w:b/>
        <w:sz w:val="48"/>
      </w:rPr>
    </w:pPr>
    <w:r w:rsidRPr="008155FA">
      <w:rPr>
        <w:rFonts w:ascii="Arial" w:hAnsi="Arial" w:cs="Arial"/>
        <w:b/>
        <w:sz w:val="48"/>
      </w:rPr>
      <w:t>FR</w:t>
    </w:r>
    <w:r w:rsidRPr="008155F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8155FA">
      <w:tab/>
    </w:r>
    <w:r w:rsidRPr="008155FA">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4FB" w:rsidRDefault="006504FB" w:rsidP="00DE314D">
      <w:pPr>
        <w:spacing w:before="0" w:after="0"/>
      </w:pPr>
      <w:r>
        <w:separator/>
      </w:r>
    </w:p>
  </w:footnote>
  <w:footnote w:type="continuationSeparator" w:id="0">
    <w:p w:rsidR="006504FB" w:rsidRDefault="006504FB" w:rsidP="00DE314D">
      <w:pPr>
        <w:spacing w:before="0" w:after="0"/>
      </w:pPr>
      <w:r>
        <w:continuationSeparator/>
      </w:r>
    </w:p>
  </w:footnote>
  <w:footnote w:type="continuationNotice" w:id="1">
    <w:p w:rsidR="006504FB" w:rsidRDefault="006504FB">
      <w:pPr>
        <w:spacing w:before="0" w:after="0"/>
      </w:pPr>
    </w:p>
  </w:footnote>
  <w:footnote w:id="2">
    <w:p w:rsidR="005C5BC3" w:rsidRPr="009E7D16" w:rsidRDefault="005C5BC3" w:rsidP="00853C97">
      <w:pPr>
        <w:pStyle w:val="FootnoteText"/>
        <w:rPr>
          <w:lang w:val="fr-BE"/>
        </w:rPr>
      </w:pPr>
      <w:r>
        <w:rPr>
          <w:rStyle w:val="FootnoteReference"/>
        </w:rPr>
        <w:footnoteRef/>
      </w:r>
      <w:r w:rsidRPr="009E7D16">
        <w:rPr>
          <w:lang w:val="fr-BE"/>
        </w:rPr>
        <w:tab/>
        <w:t>Conclusions du Conseil européen du 24 février 2022 (réunion extraordinaire), EUCO 18/22, point 1.</w:t>
      </w:r>
    </w:p>
  </w:footnote>
  <w:footnote w:id="3">
    <w:p w:rsidR="005C5BC3" w:rsidRPr="009E7D16" w:rsidRDefault="005C5BC3" w:rsidP="00853C97">
      <w:pPr>
        <w:pStyle w:val="FootnoteText"/>
        <w:rPr>
          <w:lang w:val="fr-BE"/>
        </w:rPr>
      </w:pPr>
      <w:r>
        <w:rPr>
          <w:rStyle w:val="FootnoteReference"/>
        </w:rPr>
        <w:footnoteRef/>
      </w:r>
      <w:r w:rsidRPr="009E7D16">
        <w:rPr>
          <w:lang w:val="fr-BE"/>
        </w:rPr>
        <w:tab/>
        <w:t>Résolution de l’Assemblée générale des Nations unies intitulée «Agression contre l’Ukraine», 2 mars 2022, a/res/es-11/1, en particulier les points 2 à 4 du dispositif.</w:t>
      </w:r>
    </w:p>
  </w:footnote>
  <w:footnote w:id="4">
    <w:p w:rsidR="005C5BC3" w:rsidRPr="009E7D16" w:rsidRDefault="005C5BC3" w:rsidP="00853C97">
      <w:pPr>
        <w:pStyle w:val="FootnoteText"/>
        <w:rPr>
          <w:lang w:val="fr-BE"/>
        </w:rPr>
      </w:pPr>
      <w:r>
        <w:rPr>
          <w:rStyle w:val="FootnoteReference"/>
        </w:rPr>
        <w:footnoteRef/>
      </w:r>
      <w:r w:rsidRPr="009E7D16">
        <w:rPr>
          <w:lang w:val="fr-BE"/>
        </w:rPr>
        <w:tab/>
        <w:t>Par la suite, quatre autres États parties ont saisi la CPI de la situation en Ukraine, portant à 43 le nombre total d’États parties à l’avoir fait. Voir la déclaration de Karim Asad Ahmad Khan QC, procureur de la CPI, sur la situation en Ukraine, intitulée «Réception des renvois de la part de 39 États parties et ouverture d’une enquête», 2 mars 2022.</w:t>
      </w:r>
    </w:p>
  </w:footnote>
  <w:footnote w:id="5">
    <w:p w:rsidR="005C5BC3" w:rsidRPr="009E7D16" w:rsidRDefault="005C5BC3" w:rsidP="00853C97">
      <w:pPr>
        <w:pStyle w:val="FootnoteText"/>
        <w:rPr>
          <w:lang w:val="fr-BE"/>
        </w:rPr>
      </w:pPr>
      <w:r>
        <w:rPr>
          <w:rStyle w:val="FootnoteReference"/>
        </w:rPr>
        <w:footnoteRef/>
      </w:r>
      <w:r w:rsidRPr="009E7D16">
        <w:rPr>
          <w:lang w:val="fr-BE"/>
        </w:rPr>
        <w:tab/>
        <w:t>Conclusions du Conseil européen des 20 et 21 octobre 2022, EUCO 31/22, point 6.</w:t>
      </w:r>
    </w:p>
  </w:footnote>
  <w:footnote w:id="6">
    <w:p w:rsidR="005C5BC3" w:rsidRPr="009E7D16" w:rsidRDefault="005C5BC3" w:rsidP="00853C97">
      <w:pPr>
        <w:pStyle w:val="FootnoteText"/>
        <w:rPr>
          <w:lang w:val="fr-BE"/>
        </w:rPr>
      </w:pPr>
      <w:r>
        <w:rPr>
          <w:rStyle w:val="FootnoteReference"/>
        </w:rPr>
        <w:footnoteRef/>
      </w:r>
      <w:r w:rsidRPr="009E7D16">
        <w:rPr>
          <w:lang w:val="fr-BE"/>
        </w:rPr>
        <w:tab/>
      </w:r>
      <w:r w:rsidRPr="009E7D16">
        <w:rPr>
          <w:i/>
          <w:lang w:val="fr-BE"/>
        </w:rPr>
        <w:t>Document proposant des options du haut représentant de l’Union pour les affaires étrangères et la politique de sécurité et de la Commission européenne visant à faire en sorte que les personnes responsables de crimes internationaux en Ukraine répondent pleinement de leurs actes</w:t>
      </w:r>
      <w:r w:rsidRPr="009E7D16">
        <w:rPr>
          <w:lang w:val="fr-BE"/>
        </w:rPr>
        <w:t>, Bruxelles, 30 novembre 2022, 15321/22.</w:t>
      </w:r>
    </w:p>
  </w:footnote>
  <w:footnote w:id="7">
    <w:p w:rsidR="00EC272D" w:rsidRPr="009E7D16" w:rsidRDefault="00EC272D">
      <w:pPr>
        <w:pStyle w:val="FootnoteText"/>
        <w:rPr>
          <w:lang w:val="fr-BE"/>
        </w:rPr>
      </w:pPr>
      <w:r>
        <w:rPr>
          <w:rStyle w:val="FootnoteReference"/>
        </w:rPr>
        <w:footnoteRef/>
      </w:r>
      <w:r w:rsidRPr="009E7D16">
        <w:rPr>
          <w:lang w:val="fr-BE"/>
        </w:rPr>
        <w:tab/>
        <w:t>Conclusions du Conseil européen du 15 décembre 2022, EUCO 34/22, point 8.</w:t>
      </w:r>
    </w:p>
  </w:footnote>
  <w:footnote w:id="8">
    <w:p w:rsidR="005C5BC3" w:rsidRPr="009E7D16" w:rsidRDefault="005C5BC3" w:rsidP="00853C97">
      <w:pPr>
        <w:pStyle w:val="FootnoteText"/>
        <w:rPr>
          <w:lang w:val="fr-BE"/>
        </w:rPr>
      </w:pPr>
      <w:r>
        <w:rPr>
          <w:rStyle w:val="FootnoteReference"/>
        </w:rPr>
        <w:footnoteRef/>
      </w:r>
      <w:r w:rsidRPr="009E7D16">
        <w:rPr>
          <w:lang w:val="fr-BE"/>
        </w:rPr>
        <w:tab/>
        <w:t>Résolution de l’Assemblée générale des Nations unies intitulée «Principes de la Charte des Nations Unies sous-tendant une paix globale, juste et durable en Ukraine», 23 février 2023, a/res/es-11/6.</w:t>
      </w:r>
    </w:p>
  </w:footnote>
  <w:footnote w:id="9">
    <w:p w:rsidR="005C5BC3" w:rsidRPr="009E7D16" w:rsidRDefault="005C5BC3">
      <w:pPr>
        <w:pStyle w:val="FootnoteText"/>
        <w:rPr>
          <w:lang w:val="fr-BE"/>
        </w:rPr>
      </w:pPr>
      <w:r>
        <w:rPr>
          <w:rStyle w:val="FootnoteReference"/>
        </w:rPr>
        <w:footnoteRef/>
      </w:r>
      <w:r w:rsidRPr="009E7D16">
        <w:rPr>
          <w:lang w:val="fr-BE"/>
        </w:rPr>
        <w:tab/>
        <w:t xml:space="preserve">Conclusions du Conseil européen des 29 et 30 juin 2023, EUCO 7/23, point 7; conclusions du Conseil européen des 26 et 27 octobre 2023, EUCO 14/23, point 7; conclusions du Conseil européen des 14 et 15 décembre 2023, EUCO 20/23, point 7. </w:t>
      </w:r>
    </w:p>
  </w:footnote>
  <w:footnote w:id="10">
    <w:p w:rsidR="0068689B" w:rsidRPr="009E7D16" w:rsidRDefault="005C5BC3" w:rsidP="0068689B">
      <w:pPr>
        <w:pStyle w:val="FootnoteText"/>
        <w:rPr>
          <w:lang w:val="fr-BE"/>
        </w:rPr>
      </w:pPr>
      <w:r>
        <w:rPr>
          <w:rStyle w:val="FootnoteReference"/>
        </w:rPr>
        <w:footnoteRef/>
      </w:r>
      <w:r w:rsidRPr="009E7D16">
        <w:rPr>
          <w:lang w:val="fr-BE"/>
        </w:rPr>
        <w:tab/>
        <w:t>Conclusions du Conseil européen des 21 et 22 mars 2024, EUCO 7/24, point 9.</w:t>
      </w:r>
    </w:p>
  </w:footnote>
  <w:footnote w:id="11">
    <w:p w:rsidR="0068689B" w:rsidRPr="009E7D16" w:rsidRDefault="0068689B" w:rsidP="0068689B">
      <w:pPr>
        <w:pStyle w:val="FootnoteText"/>
        <w:rPr>
          <w:lang w:val="fr-BE"/>
        </w:rPr>
      </w:pPr>
      <w:r>
        <w:rPr>
          <w:rStyle w:val="FootnoteReference"/>
        </w:rPr>
        <w:footnoteRef/>
      </w:r>
      <w:r w:rsidRPr="009E7D16">
        <w:rPr>
          <w:lang w:val="fr-BE"/>
        </w:rPr>
        <w:tab/>
        <w:t xml:space="preserve">Groupe restreint sur la création d’un tribunal spécial pour le crime d’agression contre l’Ukraine, </w:t>
      </w:r>
      <w:r w:rsidRPr="009E7D16">
        <w:rPr>
          <w:i/>
          <w:lang w:val="fr-BE"/>
        </w:rPr>
        <w:t>«Déclaration conjointe de la réunion des ministres des affaires étrangères relative au tribunal spécial pour le crime d’agression contre l’Ukraine»</w:t>
      </w:r>
      <w:r w:rsidRPr="009E7D16">
        <w:rPr>
          <w:lang w:val="fr-BE"/>
        </w:rPr>
        <w:t xml:space="preserve"> (Lviv, 9 mai 2025).</w:t>
      </w:r>
    </w:p>
  </w:footnote>
  <w:footnote w:id="12">
    <w:p w:rsidR="005C5BC3" w:rsidRPr="009E7D16" w:rsidRDefault="005C5BC3">
      <w:pPr>
        <w:pStyle w:val="FootnoteText"/>
        <w:rPr>
          <w:lang w:val="fr-BE"/>
        </w:rPr>
      </w:pPr>
      <w:r>
        <w:rPr>
          <w:rStyle w:val="FootnoteReference"/>
        </w:rPr>
        <w:footnoteRef/>
      </w:r>
      <w:r w:rsidRPr="009E7D16">
        <w:rPr>
          <w:lang w:val="fr-BE"/>
        </w:rPr>
        <w:tab/>
        <w:t>CM/Del/Dec(2025)1530/1.6 - 134</w:t>
      </w:r>
      <w:r w:rsidRPr="009E7D16">
        <w:rPr>
          <w:vertAlign w:val="superscript"/>
          <w:lang w:val="fr-BE"/>
        </w:rPr>
        <w:t>e</w:t>
      </w:r>
      <w:r w:rsidRPr="009E7D16">
        <w:rPr>
          <w:lang w:val="fr-BE"/>
        </w:rPr>
        <w:t> session du Comité des ministres (Luxembourg, 13-14 mai 2025) – Suites à donner.</w:t>
      </w:r>
    </w:p>
  </w:footnote>
  <w:footnote w:id="13">
    <w:p w:rsidR="006825AA" w:rsidRPr="009E7D16" w:rsidRDefault="006825AA">
      <w:pPr>
        <w:pStyle w:val="FootnoteText"/>
        <w:rPr>
          <w:lang w:val="fr-BE"/>
        </w:rPr>
      </w:pPr>
      <w:r>
        <w:rPr>
          <w:rStyle w:val="FootnoteReference"/>
        </w:rPr>
        <w:footnoteRef/>
      </w:r>
      <w:r w:rsidRPr="009E7D16">
        <w:rPr>
          <w:lang w:val="fr-BE"/>
        </w:rPr>
        <w:tab/>
        <w:t>CM/Del/Dec(2025)1532/2.3 - Conséquences de l’agression de la Fédération de Russie contre l’Ukraine - Tribunal spécial pour le crime d’agression contre l’Ukraine (Strasbourg, 24 juin 2025).</w:t>
      </w:r>
    </w:p>
  </w:footnote>
  <w:footnote w:id="14">
    <w:p w:rsidR="000E7A7F" w:rsidRPr="009E7D16" w:rsidRDefault="000E7A7F">
      <w:pPr>
        <w:pStyle w:val="FootnoteText"/>
        <w:rPr>
          <w:lang w:val="fr-BE"/>
        </w:rPr>
      </w:pPr>
      <w:r>
        <w:rPr>
          <w:rStyle w:val="FootnoteReference"/>
        </w:rPr>
        <w:footnoteRef/>
      </w:r>
      <w:r w:rsidRPr="009E7D16">
        <w:rPr>
          <w:lang w:val="fr-BE"/>
        </w:rPr>
        <w:tab/>
        <w:t>CM(2025)104-final - [1532/2.3] Conséquences de l’agression de la Fédération de Russie contre l’Ukraine - Accord entre le Conseil de l’Europe et l’Ukraine relatif à la création du Tribunal spécial pour le crime d’agression contre l’Ukraine. (Strasbourg, 24 juin 2025).</w:t>
      </w:r>
    </w:p>
  </w:footnote>
  <w:footnote w:id="15">
    <w:p w:rsidR="00203F73" w:rsidRPr="009E7D16" w:rsidRDefault="00203F73">
      <w:pPr>
        <w:pStyle w:val="FootnoteText"/>
        <w:rPr>
          <w:lang w:val="fr-BE"/>
        </w:rPr>
      </w:pPr>
      <w:r>
        <w:rPr>
          <w:rStyle w:val="FootnoteReference"/>
        </w:rPr>
        <w:footnoteRef/>
      </w:r>
      <w:r w:rsidRPr="009E7D16">
        <w:rPr>
          <w:lang w:val="fr-BE"/>
        </w:rPr>
        <w:tab/>
        <w:t>CM/Del/Dec(2026)1548/2.3 - Conséquences de l’agression de la Fédération de Russie contre l’Ukraine - Tribunal spécial pour le crime d’agression contre l’Ukraine (GT-TRIBUNAL) (Strasbourg, 21 janvier 2026).</w:t>
      </w:r>
    </w:p>
  </w:footnote>
  <w:footnote w:id="16">
    <w:p w:rsidR="005C5BC3" w:rsidRPr="009E7D16" w:rsidRDefault="005C5BC3" w:rsidP="00951157">
      <w:pPr>
        <w:pStyle w:val="FootnoteText"/>
        <w:rPr>
          <w:lang w:val="fr-BE"/>
        </w:rPr>
      </w:pPr>
      <w:r>
        <w:rPr>
          <w:rStyle w:val="FootnoteReference"/>
        </w:rPr>
        <w:footnoteRef/>
      </w:r>
      <w:r w:rsidRPr="009E7D16">
        <w:rPr>
          <w:lang w:val="fr-BE"/>
        </w:rPr>
        <w:tab/>
        <w:t>Règlement (UE) 2022/838 du Parlement européen et du Conseil du 30 mai 2022 modifiant le règlement (UE) 2018/1727 en ce qui concerne la préservation, l’analyse et la conservation, au sein d’Eurojust, des éléments de preuve relatifs aux génocides, aux crimes contre l’humanité, aux crimes de guerre et aux infractions pénales connexes (JO L 148 du 31.5.2022).</w:t>
      </w:r>
    </w:p>
  </w:footnote>
  <w:footnote w:id="17">
    <w:p w:rsidR="005C5BC3" w:rsidRPr="009E7D16" w:rsidRDefault="005C5BC3" w:rsidP="00853C97">
      <w:pPr>
        <w:pStyle w:val="FootnoteText"/>
        <w:rPr>
          <w:lang w:val="fr-BE"/>
        </w:rPr>
      </w:pPr>
      <w:r>
        <w:rPr>
          <w:rStyle w:val="FootnoteReference"/>
        </w:rPr>
        <w:footnoteRef/>
      </w:r>
      <w:r w:rsidRPr="009E7D16">
        <w:rPr>
          <w:lang w:val="fr-BE"/>
        </w:rPr>
        <w:tab/>
      </w:r>
      <w:hyperlink r:id="rId1" w:anchor="{%22CoEIdentifier%22:[%220900001680b678ca%22],%22sort%22:[%22CoEValidationDate%20Descending%22]}" w:history="1">
        <w:r w:rsidRPr="009E7D16">
          <w:rPr>
            <w:rStyle w:val="Hyperlink"/>
            <w:color w:val="auto"/>
            <w:u w:val="none"/>
            <w:lang w:val="fr-BE"/>
          </w:rPr>
          <w:t>CM(2025)103-final - [1532/2.3] Conséquences de l’agression de la Fédération de Russie contre l’Ukraine - Statut du Tribunal spécial pour le crime d’agression contre l’Ukraine</w:t>
        </w:r>
      </w:hyperlink>
      <w:r w:rsidRPr="009E7D16">
        <w:rPr>
          <w:lang w:val="fr-BE"/>
        </w:rPr>
        <w:t>.</w:t>
      </w:r>
    </w:p>
  </w:footnote>
  <w:footnote w:id="18">
    <w:p w:rsidR="00F044B3" w:rsidRPr="009E7D16" w:rsidRDefault="00F044B3" w:rsidP="00F044B3">
      <w:pPr>
        <w:pStyle w:val="FootnoteText"/>
        <w:rPr>
          <w:lang w:val="fr-BE"/>
        </w:rPr>
      </w:pPr>
      <w:r>
        <w:rPr>
          <w:rStyle w:val="FootnoteReference"/>
        </w:rPr>
        <w:footnoteRef/>
      </w:r>
      <w:r w:rsidRPr="009E7D16">
        <w:rPr>
          <w:lang w:val="fr-BE"/>
        </w:rPr>
        <w:tab/>
        <w:t>Règlement (UE) 2024/792 du Parlement européen et du Conseil du 29 février 2024 établissant la facilité pour l’Ukraine (JO L, 2024/792, 29.2.2024).</w:t>
      </w:r>
    </w:p>
  </w:footnote>
  <w:footnote w:id="19">
    <w:p w:rsidR="005C5BC3" w:rsidRPr="009E7D16" w:rsidRDefault="005C5BC3" w:rsidP="00853C97">
      <w:pPr>
        <w:pStyle w:val="FootnoteText"/>
        <w:rPr>
          <w:lang w:val="fr-BE"/>
        </w:rPr>
      </w:pPr>
      <w:r>
        <w:rPr>
          <w:rStyle w:val="FootnoteReference"/>
        </w:rPr>
        <w:footnoteRef/>
      </w:r>
      <w:r w:rsidRPr="009E7D16">
        <w:rPr>
          <w:lang w:val="fr-BE"/>
        </w:rPr>
        <w:tab/>
        <w:t>Résolution A/RES/ES-11/5 de l’Assemblée générale des Nations unies intitulée «Agression contre l’Ukraine: recours et réparation», 14 novembre 2022.</w:t>
      </w:r>
    </w:p>
  </w:footnote>
  <w:footnote w:id="20">
    <w:p w:rsidR="005C5BC3" w:rsidRPr="009E7D16" w:rsidRDefault="005C5BC3">
      <w:pPr>
        <w:pStyle w:val="FootnoteText"/>
        <w:rPr>
          <w:lang w:val="fr-BE"/>
        </w:rPr>
      </w:pPr>
      <w:r>
        <w:rPr>
          <w:rStyle w:val="FootnoteReference"/>
        </w:rPr>
        <w:footnoteRef/>
      </w:r>
      <w:r w:rsidRPr="009E7D16">
        <w:rPr>
          <w:lang w:val="fr-BE"/>
        </w:rPr>
        <w:tab/>
        <w:t>Décision (UE) 2024/2045 du Conseil du 22 juillet 2024 relative à la position à prendre, au nom de l’Union, au sein des organes du Conseil de l’Europe en ce qui concerne le statut de l’Union européenne au sein de l’accord partiel élargi sur le registre des dommages causés par l’agression de la Fédération de Russie contre l’Ukraine (JO L, 2024/2045, 24.7.2024).</w:t>
      </w:r>
    </w:p>
  </w:footnote>
  <w:footnote w:id="21">
    <w:p w:rsidR="00BF3861" w:rsidRPr="009E7D16" w:rsidRDefault="00BF3861">
      <w:pPr>
        <w:pStyle w:val="FootnoteText"/>
        <w:rPr>
          <w:lang w:val="fr-BE"/>
        </w:rPr>
      </w:pPr>
      <w:r>
        <w:rPr>
          <w:rStyle w:val="FootnoteReference"/>
        </w:rPr>
        <w:footnoteRef/>
      </w:r>
      <w:r w:rsidRPr="009E7D16">
        <w:rPr>
          <w:lang w:val="fr-BE"/>
        </w:rPr>
        <w:tab/>
        <w:t xml:space="preserve">Décision (UE) </w:t>
      </w:r>
      <w:bookmarkStart w:id="3" w:name="_Hlk221539036"/>
      <w:r w:rsidRPr="009E7D16">
        <w:rPr>
          <w:lang w:val="fr-BE"/>
        </w:rPr>
        <w:t>2025/702</w:t>
      </w:r>
      <w:bookmarkEnd w:id="3"/>
      <w:r w:rsidRPr="009E7D16">
        <w:rPr>
          <w:lang w:val="fr-BE"/>
        </w:rPr>
        <w:t xml:space="preserve"> du Conseil du 17 mars 2025 autorisant la Commission européenne à participer, au nom de l’Union, aux négociations relatives à un instrument international instituant une commission internationale des demandes d’indemnisation pour l’Ukraine (JO L, 2025/702, 8.4.2025).</w:t>
      </w:r>
    </w:p>
  </w:footnote>
  <w:footnote w:id="22">
    <w:p w:rsidR="00172415" w:rsidRPr="009E7D16" w:rsidRDefault="00172415">
      <w:pPr>
        <w:pStyle w:val="FootnoteText"/>
        <w:rPr>
          <w:lang w:val="fr-BE"/>
        </w:rPr>
      </w:pPr>
      <w:r>
        <w:rPr>
          <w:rStyle w:val="FootnoteReference"/>
        </w:rPr>
        <w:footnoteRef/>
      </w:r>
      <w:r w:rsidRPr="009E7D16">
        <w:rPr>
          <w:lang w:val="fr-BE"/>
        </w:rPr>
        <w:tab/>
      </w:r>
      <w:bookmarkStart w:id="4" w:name="_Hlk221538192"/>
      <w:r w:rsidRPr="009E7D16">
        <w:rPr>
          <w:lang w:val="fr-BE"/>
        </w:rPr>
        <w:t>Décision (UE) 2025/2655 du Conseil du 16 décembre 2025 relative à la signature, au nom de l’Union européenne, de la convention établissant la Commission internationale des réclamations pour l’Ukraine (JO L, 2025/2655, 23.12.2025).</w:t>
      </w:r>
      <w:bookmarkEnd w:id="4"/>
    </w:p>
  </w:footnote>
  <w:footnote w:id="23">
    <w:p w:rsidR="00C446DB" w:rsidRPr="009E7D16" w:rsidRDefault="00C446DB" w:rsidP="00C446DB">
      <w:pPr>
        <w:pStyle w:val="FootnoteText"/>
        <w:rPr>
          <w:lang w:val="fr-BE"/>
        </w:rPr>
      </w:pPr>
      <w:r>
        <w:rPr>
          <w:rStyle w:val="FootnoteReference"/>
        </w:rPr>
        <w:footnoteRef/>
      </w:r>
      <w:r w:rsidRPr="009E7D16">
        <w:rPr>
          <w:lang w:val="fr-BE"/>
        </w:rPr>
        <w:tab/>
      </w:r>
      <w:bookmarkStart w:id="5" w:name="_Hlk221538768"/>
      <w:r w:rsidRPr="009E7D16">
        <w:rPr>
          <w:lang w:val="fr-BE"/>
        </w:rPr>
        <w:t>Mesures les plus récentes: décision (PESC) 2026/260 du Conseil du 29 janvier 2026 modifiant la décision (PESC) 2024/2643 concernant des mesures restrictives eu égard aux activités déstabilisatrices menées par la Russie (JO L, 2026/260, 29.1.2026); décision (PESC) 2025/2648 du Conseil du 22 décembre 2025 modifiant la décision 2014/512/PESC concernant des mesures restrictives eu égard aux actions de la Russie déstabilisant la situation en Ukraine (JO L, 2025/2648, 23.12.2025); décision (PESC) 2025/2572 du Conseil du 15 décembre 2025 modifiant la décision (PESC) 2024/2643 concernant des mesures restrictives eu égard aux activités déstabilisatrices menées par la Russie (JO L, 2025/2572, 15.12.2025).</w:t>
      </w:r>
      <w:bookmarkEnd w:id="5"/>
    </w:p>
  </w:footnote>
  <w:footnote w:id="24">
    <w:p w:rsidR="005C5BC3" w:rsidRPr="009E7D16" w:rsidRDefault="005C5BC3" w:rsidP="00853C97">
      <w:pPr>
        <w:pStyle w:val="FootnoteText"/>
        <w:rPr>
          <w:lang w:val="fr-BE"/>
        </w:rPr>
      </w:pPr>
      <w:r>
        <w:rPr>
          <w:rStyle w:val="FootnoteReference"/>
        </w:rPr>
        <w:footnoteRef/>
      </w:r>
      <w:r w:rsidRPr="009E7D16">
        <w:rPr>
          <w:lang w:val="fr-BE"/>
        </w:rPr>
        <w:tab/>
        <w:t>Directive (UE) 2024/1226 du Parlement européen et du Conseil du 24 avril 2024 relative à la définition des infractions pénales et des sanctions en cas de violation des mesures restrictives de l’Union et modifiant la directive (UE) 2018/1673 (JO L, 2024/1226, 29.4.2024).</w:t>
      </w:r>
    </w:p>
  </w:footnote>
  <w:footnote w:id="25">
    <w:p w:rsidR="00A44879" w:rsidRPr="009E7D16" w:rsidRDefault="00A44879">
      <w:pPr>
        <w:pStyle w:val="FootnoteText"/>
        <w:rPr>
          <w:lang w:val="fr-BE"/>
        </w:rPr>
      </w:pPr>
      <w:r>
        <w:rPr>
          <w:rStyle w:val="FootnoteReference"/>
        </w:rPr>
        <w:footnoteRef/>
      </w:r>
      <w:r w:rsidRPr="009E7D16">
        <w:rPr>
          <w:lang w:val="fr-BE"/>
        </w:rPr>
        <w:tab/>
        <w:t xml:space="preserve">Convention de Vienne sur le droit des traités (adoptée le 23 mai 1969 et entrée en vigueur le 27 janvier 1980) 1155 RTNU 331. Article 18, point a): </w:t>
      </w:r>
      <w:r w:rsidRPr="009E7D16">
        <w:rPr>
          <w:i/>
          <w:lang w:val="fr-BE"/>
        </w:rPr>
        <w:t>«Un État doit s’abstenir d’actes qui priveraient un traité de son objet et de son but lorsqu’il a signé le traité ou a échangé les instruments constituant le traité sous réserve de ratification, d’acceptation ou d’approbation, tant qu’il n’a pas manifesté son intention de ne pas devenir partie au traité».</w:t>
      </w:r>
    </w:p>
  </w:footnote>
  <w:footnote w:id="26">
    <w:p w:rsidR="005C5BC3" w:rsidRPr="009E7D16" w:rsidRDefault="005C5BC3" w:rsidP="00853C97">
      <w:pPr>
        <w:pStyle w:val="FootnoteText"/>
        <w:rPr>
          <w:lang w:val="fr-BE"/>
        </w:rPr>
      </w:pPr>
      <w:r>
        <w:rPr>
          <w:rStyle w:val="FootnoteReference"/>
        </w:rPr>
        <w:footnoteRef/>
      </w:r>
      <w:r w:rsidRPr="009E7D16">
        <w:rPr>
          <w:lang w:val="fr-BE"/>
        </w:rPr>
        <w:tab/>
        <w:t>Arrêt de la Cour (grande chambre) du 24 juin 2014, Parlement européen/Conseil, C-658/11, points 55 à 57, et arrêt de la Cour de justice, Parlement européen/Conseil, C-130/10, point 80.</w:t>
      </w:r>
    </w:p>
  </w:footnote>
  <w:footnote w:id="27">
    <w:p w:rsidR="002A59CD" w:rsidRPr="009E7D16" w:rsidRDefault="002A59CD" w:rsidP="002A59CD">
      <w:pPr>
        <w:pStyle w:val="FootnoteText"/>
        <w:ind w:firstLine="0"/>
        <w:rPr>
          <w:lang w:val="fr-BE"/>
        </w:rPr>
      </w:pPr>
      <w:r>
        <w:rPr>
          <w:rStyle w:val="FootnoteReference"/>
        </w:rPr>
        <w:footnoteRef/>
      </w:r>
      <w:r w:rsidRPr="009E7D16">
        <w:rPr>
          <w:lang w:val="fr-BE"/>
        </w:rPr>
        <w:tab/>
        <w:t>Conclusions du Conseil européen du 24 février 2022 (réunion extraordinaire), EUCO 18/22, point 1.</w:t>
      </w:r>
    </w:p>
  </w:footnote>
  <w:footnote w:id="28">
    <w:p w:rsidR="002A59CD" w:rsidRPr="009E7D16" w:rsidRDefault="002A59CD" w:rsidP="002A59CD">
      <w:pPr>
        <w:pStyle w:val="FootnoteText"/>
        <w:ind w:firstLine="0"/>
        <w:rPr>
          <w:lang w:val="fr-BE"/>
        </w:rPr>
      </w:pPr>
      <w:r>
        <w:rPr>
          <w:rStyle w:val="FootnoteReference"/>
        </w:rPr>
        <w:footnoteRef/>
      </w:r>
      <w:r w:rsidRPr="009E7D16">
        <w:rPr>
          <w:lang w:val="fr-BE"/>
        </w:rPr>
        <w:tab/>
        <w:t>Résolution de l’Assemblée générale des Nations unies intitulée «Agression contre l’Ukraine», 2 mars 2022, a/res/es-11/1, en particulier les points 2 à 4 du dispositif.</w:t>
      </w:r>
    </w:p>
  </w:footnote>
  <w:footnote w:id="29">
    <w:p w:rsidR="00F2211E" w:rsidRPr="009E7D16" w:rsidRDefault="00F2211E" w:rsidP="00F2211E">
      <w:pPr>
        <w:pStyle w:val="FootnoteText"/>
        <w:ind w:firstLine="0"/>
        <w:rPr>
          <w:lang w:val="fr-BE"/>
        </w:rPr>
      </w:pPr>
      <w:r>
        <w:rPr>
          <w:rStyle w:val="FootnoteReference"/>
        </w:rPr>
        <w:footnoteRef/>
      </w:r>
      <w:r w:rsidRPr="009E7D16">
        <w:rPr>
          <w:lang w:val="fr-BE"/>
        </w:rPr>
        <w:tab/>
        <w:t>Conclusions du Conseil européen des 20 et 21 octobre 2022, EUCO 31/22, point 6.</w:t>
      </w:r>
    </w:p>
  </w:footnote>
  <w:footnote w:id="30">
    <w:p w:rsidR="00F2211E" w:rsidRPr="009E7D16" w:rsidRDefault="00F2211E" w:rsidP="00F2211E">
      <w:pPr>
        <w:pStyle w:val="FootnoteText"/>
        <w:rPr>
          <w:lang w:val="fr-BE"/>
        </w:rPr>
      </w:pPr>
      <w:r>
        <w:rPr>
          <w:rStyle w:val="FootnoteReference"/>
        </w:rPr>
        <w:footnoteRef/>
      </w:r>
      <w:r w:rsidRPr="009E7D16">
        <w:rPr>
          <w:lang w:val="fr-BE"/>
        </w:rPr>
        <w:tab/>
        <w:t>Conclusions du Conseil européen du 15 décembre 2022, EUCO 34/22, point 8.</w:t>
      </w:r>
    </w:p>
  </w:footnote>
  <w:footnote w:id="31">
    <w:p w:rsidR="00F2211E" w:rsidRPr="009E7D16" w:rsidRDefault="00F2211E">
      <w:pPr>
        <w:pStyle w:val="FootnoteText"/>
        <w:rPr>
          <w:lang w:val="fr-BE"/>
        </w:rPr>
      </w:pPr>
      <w:r>
        <w:rPr>
          <w:rStyle w:val="FootnoteReference"/>
        </w:rPr>
        <w:footnoteRef/>
      </w:r>
      <w:r w:rsidRPr="009E7D16">
        <w:rPr>
          <w:lang w:val="fr-BE"/>
        </w:rPr>
        <w:tab/>
        <w:t>Résolution de l’Assemblée générale des Nations unies intitulée «Principes de la Charte des Nations Unies sous-tendant une paix globale, juste et durable en Ukraine», 23 février 2023, a/res/es-11/6.</w:t>
      </w:r>
    </w:p>
  </w:footnote>
  <w:footnote w:id="32">
    <w:p w:rsidR="006825AA" w:rsidRPr="009E7D16" w:rsidRDefault="006825AA">
      <w:pPr>
        <w:pStyle w:val="FootnoteText"/>
        <w:rPr>
          <w:lang w:val="fr-BE"/>
        </w:rPr>
      </w:pPr>
      <w:r>
        <w:rPr>
          <w:rStyle w:val="FootnoteReference"/>
        </w:rPr>
        <w:footnoteRef/>
      </w:r>
      <w:r w:rsidRPr="009E7D16">
        <w:rPr>
          <w:lang w:val="fr-BE"/>
        </w:rPr>
        <w:tab/>
        <w:t>Règlement (UE) 2022/838 du Parlement européen et du Conseil du 30 mai 2022 modifiant le règlement (UE) 2018/1727 en ce qui concerne la préservation, l’analyse et la conservation, au sein d’Eurojust, des éléments de preuve relatifs aux génocides, aux crimes contre l’humanité, aux crimes de guerre et aux infractions pénales connexes (JO L 148 du 31.5.2022).</w:t>
      </w:r>
    </w:p>
  </w:footnote>
  <w:footnote w:id="33">
    <w:p w:rsidR="005C5BC3" w:rsidRPr="009E7D16" w:rsidRDefault="005C5BC3" w:rsidP="00C25F36">
      <w:pPr>
        <w:pStyle w:val="FootnoteText"/>
        <w:rPr>
          <w:lang w:val="fr-BE"/>
        </w:rPr>
      </w:pPr>
      <w:r>
        <w:rPr>
          <w:rStyle w:val="FootnoteReference"/>
        </w:rPr>
        <w:footnoteRef/>
      </w:r>
      <w:r w:rsidRPr="009E7D16">
        <w:rPr>
          <w:lang w:val="fr-BE"/>
        </w:rPr>
        <w:tab/>
        <w:t>Conclusions du Conseil européen des 29 et 30 juin 2023, EUCO 7/23, point 7; conclusions du Conseil européen des 26 et 27 octobre 2023, EUCO 14/23, point 7; conclusions du Conseil européen des 14 et 27 décembre 2023, EUCO 20/23, point 7.</w:t>
      </w:r>
    </w:p>
  </w:footnote>
  <w:footnote w:id="34">
    <w:p w:rsidR="005C5BC3" w:rsidRPr="009E7D16" w:rsidRDefault="005C5BC3" w:rsidP="00C25F36">
      <w:pPr>
        <w:pStyle w:val="FootnoteText"/>
        <w:rPr>
          <w:lang w:val="fr-BE"/>
        </w:rPr>
      </w:pPr>
      <w:r>
        <w:rPr>
          <w:rStyle w:val="FootnoteReference"/>
        </w:rPr>
        <w:footnoteRef/>
      </w:r>
      <w:r w:rsidRPr="009E7D16">
        <w:rPr>
          <w:lang w:val="fr-BE"/>
        </w:rPr>
        <w:tab/>
        <w:t>Conclusions du Conseil européen des 21 et 22 mars 2024, EUCO 7/24, point 9.</w:t>
      </w:r>
    </w:p>
  </w:footnote>
  <w:footnote w:id="35">
    <w:p w:rsidR="00052DB6" w:rsidRPr="009E7D16" w:rsidRDefault="00052DB6">
      <w:pPr>
        <w:pStyle w:val="FootnoteText"/>
        <w:rPr>
          <w:lang w:val="fr-BE"/>
        </w:rPr>
      </w:pPr>
      <w:r>
        <w:rPr>
          <w:rStyle w:val="FootnoteReference"/>
        </w:rPr>
        <w:footnoteRef/>
      </w:r>
      <w:r w:rsidRPr="009E7D16">
        <w:rPr>
          <w:lang w:val="fr-BE"/>
        </w:rPr>
        <w:tab/>
        <w:t xml:space="preserve">Groupe restreint sur la création d’un tribunal spécial pour le crime d’agression contre l’Ukraine, </w:t>
      </w:r>
      <w:r w:rsidRPr="009E7D16">
        <w:rPr>
          <w:i/>
          <w:lang w:val="fr-BE"/>
        </w:rPr>
        <w:t>«Déclaration conjointe de la réunion des ministres des affaires étrangères relative au tribunal spécial pour le crime d’agression contre l’Ukraine»</w:t>
      </w:r>
      <w:r w:rsidRPr="009E7D16">
        <w:rPr>
          <w:lang w:val="fr-BE"/>
        </w:rPr>
        <w:t xml:space="preserve"> (Lviv, 9 mai 2025).</w:t>
      </w:r>
    </w:p>
  </w:footnote>
  <w:footnote w:id="36">
    <w:p w:rsidR="00F55D37" w:rsidRPr="009E7D16" w:rsidRDefault="00F55D37">
      <w:pPr>
        <w:pStyle w:val="FootnoteText"/>
        <w:rPr>
          <w:lang w:val="fr-BE"/>
        </w:rPr>
      </w:pPr>
      <w:r>
        <w:rPr>
          <w:rStyle w:val="FootnoteReference"/>
        </w:rPr>
        <w:footnoteRef/>
      </w:r>
      <w:r w:rsidRPr="009E7D16">
        <w:rPr>
          <w:lang w:val="fr-BE"/>
        </w:rPr>
        <w:tab/>
        <w:t>CM/Del/Dec(2025)1532/2.3 - Conséquences de l’agression de la Fédération de Russie contre l’Ukraine - Tribunal spécial pour le crime d’agression contre l’Ukraine (Strasbourg, 24 juin 2025).</w:t>
      </w:r>
    </w:p>
  </w:footnote>
  <w:footnote w:id="37">
    <w:p w:rsidR="004221E3" w:rsidRPr="009E7D16" w:rsidRDefault="004221E3">
      <w:pPr>
        <w:pStyle w:val="FootnoteText"/>
        <w:rPr>
          <w:lang w:val="fr-BE"/>
        </w:rPr>
      </w:pPr>
      <w:r>
        <w:rPr>
          <w:rStyle w:val="FootnoteReference"/>
        </w:rPr>
        <w:footnoteRef/>
      </w:r>
      <w:r w:rsidRPr="009E7D16">
        <w:rPr>
          <w:lang w:val="fr-BE"/>
        </w:rPr>
        <w:tab/>
        <w:t>Idem.</w:t>
      </w:r>
    </w:p>
  </w:footnote>
  <w:footnote w:id="38">
    <w:p w:rsidR="00194950" w:rsidRPr="009E7D16" w:rsidRDefault="00194950" w:rsidP="00194950">
      <w:pPr>
        <w:pStyle w:val="FootnoteText"/>
        <w:rPr>
          <w:lang w:val="fr-BE"/>
        </w:rPr>
      </w:pPr>
      <w:r>
        <w:rPr>
          <w:rStyle w:val="FootnoteReference"/>
        </w:rPr>
        <w:footnoteRef/>
      </w:r>
      <w:r w:rsidRPr="009E7D16">
        <w:rPr>
          <w:lang w:val="fr-BE"/>
        </w:rPr>
        <w:tab/>
        <w:t>CM/Del/Dec(2026)1548/2.3 - Conséquences de l’agression de la Fédération de Russie contre l’Ukraine - Tribunal spécial pour le crime d’agression contre l’Ukraine (GT-TRIBUNAL) (Strasbourg, 21 janvier 2026).</w:t>
      </w:r>
    </w:p>
  </w:footnote>
  <w:footnote w:id="39">
    <w:p w:rsidR="005C5BC3" w:rsidRPr="009E7D16" w:rsidRDefault="005C5BC3">
      <w:pPr>
        <w:pStyle w:val="FootnoteText"/>
        <w:rPr>
          <w:lang w:val="fr-BE"/>
        </w:rPr>
      </w:pPr>
      <w:r>
        <w:rPr>
          <w:rStyle w:val="FootnoteReference"/>
        </w:rPr>
        <w:footnoteRef/>
      </w:r>
      <w:r w:rsidRPr="009E7D16">
        <w:rPr>
          <w:lang w:val="fr-BE"/>
        </w:rPr>
        <w:tab/>
        <w:t>Le texte de l’accord est publié au JO L, …., ELI …</w:t>
      </w:r>
    </w:p>
  </w:footnote>
  <w:footnote w:id="40">
    <w:p w:rsidR="001C54EA" w:rsidRPr="009E7D16" w:rsidRDefault="001C54EA" w:rsidP="001C54EA">
      <w:pPr>
        <w:pStyle w:val="FootnoteText"/>
        <w:tabs>
          <w:tab w:val="left" w:pos="816"/>
        </w:tabs>
        <w:rPr>
          <w:i/>
          <w:iCs/>
          <w:lang w:val="fr-BE"/>
        </w:rPr>
      </w:pPr>
      <w:r>
        <w:rPr>
          <w:rStyle w:val="FootnoteReference"/>
        </w:rPr>
        <w:footnoteRef/>
      </w:r>
      <w:r w:rsidRPr="009E7D16">
        <w:rPr>
          <w:lang w:val="fr-BE"/>
        </w:rPr>
        <w:tab/>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et du mécanisme de pilotage. Tous les crédits et dotations en personnel à partir de 2028 sont indicatifs.</w:t>
      </w:r>
    </w:p>
    <w:p w:rsidR="001C54EA" w:rsidRPr="009E7D16" w:rsidRDefault="001C54EA">
      <w:pPr>
        <w:pStyle w:val="FootnoteText"/>
        <w:rPr>
          <w:lang w:val="fr-BE"/>
        </w:rPr>
      </w:pPr>
    </w:p>
  </w:footnote>
  <w:footnote w:id="41">
    <w:p w:rsidR="005C5BC3" w:rsidRPr="009E7D16" w:rsidRDefault="005C5BC3">
      <w:pPr>
        <w:pStyle w:val="FootnoteText"/>
        <w:rPr>
          <w:lang w:val="fr-BE"/>
        </w:rPr>
      </w:pPr>
      <w:r>
        <w:rPr>
          <w:rStyle w:val="FootnoteReference"/>
        </w:rPr>
        <w:footnoteRef/>
      </w:r>
      <w:r w:rsidRPr="009E7D16">
        <w:rPr>
          <w:lang w:val="fr-BE"/>
        </w:rPr>
        <w:tab/>
        <w:t>Tel(le) que visé(e) à l’article 58, paragraphe 2, point a) ou b), du règlement financier.</w:t>
      </w:r>
    </w:p>
  </w:footnote>
  <w:footnote w:id="42">
    <w:p w:rsidR="001C54EA" w:rsidRPr="009E7D16" w:rsidRDefault="001C54EA" w:rsidP="001C54EA">
      <w:pPr>
        <w:pStyle w:val="FootnoteText"/>
        <w:tabs>
          <w:tab w:val="left" w:pos="816"/>
        </w:tabs>
        <w:rPr>
          <w:i/>
          <w:iCs/>
          <w:lang w:val="fr-BE"/>
        </w:rPr>
      </w:pPr>
      <w:r>
        <w:rPr>
          <w:rStyle w:val="FootnoteReference"/>
        </w:rPr>
        <w:footnoteRef/>
      </w:r>
      <w:r w:rsidRPr="009E7D16">
        <w:rPr>
          <w:lang w:val="fr-BE"/>
        </w:rPr>
        <w:tab/>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et du mécanisme de pilotage. Tous les crédits et dotations en personnel à partir de 2028 sont indicatifs.</w:t>
      </w:r>
    </w:p>
    <w:p w:rsidR="001C54EA" w:rsidRPr="009E7D16" w:rsidRDefault="001C54EA">
      <w:pPr>
        <w:pStyle w:val="FootnoteText"/>
        <w:rPr>
          <w:lang w:val="fr-BE"/>
        </w:rPr>
      </w:pPr>
    </w:p>
  </w:footnote>
  <w:footnote w:id="43">
    <w:p w:rsidR="00D1491A" w:rsidRPr="009E7D16" w:rsidRDefault="00D1491A" w:rsidP="00D1491A">
      <w:pPr>
        <w:pStyle w:val="FootnoteText"/>
        <w:rPr>
          <w:szCs w:val="24"/>
          <w:lang w:val="fr-BE"/>
        </w:rPr>
      </w:pPr>
      <w:r>
        <w:rPr>
          <w:rStyle w:val="FootnoteReference"/>
        </w:rPr>
        <w:footnoteRef/>
      </w:r>
      <w:r w:rsidRPr="009E7D16">
        <w:rPr>
          <w:lang w:val="fr-BE"/>
        </w:rPr>
        <w:tab/>
        <w:t>CD = crédits dissociés / CND = crédits non dissociés.</w:t>
      </w:r>
    </w:p>
  </w:footnote>
  <w:footnote w:id="44">
    <w:p w:rsidR="00D1491A" w:rsidRPr="009E7D16" w:rsidRDefault="00D1491A" w:rsidP="00D1491A">
      <w:pPr>
        <w:pStyle w:val="FootnoteText"/>
        <w:rPr>
          <w:szCs w:val="24"/>
          <w:lang w:val="fr-BE"/>
        </w:rPr>
      </w:pPr>
      <w:r>
        <w:rPr>
          <w:rStyle w:val="FootnoteReference"/>
        </w:rPr>
        <w:footnoteRef/>
      </w:r>
      <w:r w:rsidRPr="009E7D16">
        <w:rPr>
          <w:lang w:val="fr-BE"/>
        </w:rPr>
        <w:tab/>
        <w:t xml:space="preserve">AELE: Association européenne de libre-échange. </w:t>
      </w:r>
    </w:p>
  </w:footnote>
  <w:footnote w:id="45">
    <w:p w:rsidR="00D1491A" w:rsidRPr="009E7D16" w:rsidRDefault="00D1491A" w:rsidP="00D1491A">
      <w:pPr>
        <w:pStyle w:val="FootnoteText"/>
        <w:rPr>
          <w:szCs w:val="24"/>
          <w:lang w:val="fr-BE"/>
        </w:rPr>
      </w:pPr>
      <w:r>
        <w:rPr>
          <w:rStyle w:val="FootnoteReference"/>
        </w:rPr>
        <w:footnoteRef/>
      </w:r>
      <w:r w:rsidRPr="009E7D16">
        <w:rPr>
          <w:lang w:val="fr-BE"/>
        </w:rPr>
        <w:tab/>
        <w:t>Pays candidats et, le cas échéant, pays candidats potentiels des Balkans occidentaux.</w:t>
      </w:r>
    </w:p>
  </w:footnote>
  <w:footnote w:id="46">
    <w:p w:rsidR="00D1491A" w:rsidRPr="009E7D16" w:rsidRDefault="00D1491A" w:rsidP="00D1491A">
      <w:pPr>
        <w:pStyle w:val="FootnoteText"/>
        <w:tabs>
          <w:tab w:val="left" w:pos="816"/>
        </w:tabs>
        <w:rPr>
          <w:i/>
          <w:iCs/>
          <w:lang w:val="fr-BE"/>
        </w:rPr>
      </w:pPr>
      <w:r>
        <w:rPr>
          <w:rStyle w:val="FootnoteReference"/>
        </w:rPr>
        <w:footnoteRef/>
      </w:r>
      <w:r w:rsidRPr="009E7D16">
        <w:rPr>
          <w:lang w:val="fr-BE"/>
        </w:rPr>
        <w:tab/>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et du mécanisme de pilotage. Tous les crédits et dotations en personnel à partir de 2028 sont indicatifs.</w:t>
      </w:r>
    </w:p>
    <w:p w:rsidR="002F5675" w:rsidRPr="009E7D16" w:rsidRDefault="002F5675" w:rsidP="002F5675">
      <w:pPr>
        <w:pStyle w:val="FootnoteText"/>
        <w:tabs>
          <w:tab w:val="left" w:pos="816"/>
        </w:tabs>
        <w:ind w:left="0" w:firstLine="0"/>
        <w:rPr>
          <w:lang w:val="fr-BE"/>
        </w:rPr>
      </w:pPr>
    </w:p>
    <w:p w:rsidR="00D1491A" w:rsidRPr="009E7D16" w:rsidRDefault="00D1491A" w:rsidP="00D1491A">
      <w:pPr>
        <w:pStyle w:val="FootnoteText"/>
        <w:tabs>
          <w:tab w:val="left" w:pos="816"/>
        </w:tabs>
        <w:rPr>
          <w:lang w:val="fr-BE"/>
        </w:rPr>
      </w:pPr>
    </w:p>
  </w:footnote>
  <w:footnote w:id="47">
    <w:p w:rsidR="009460B9" w:rsidRPr="009E7D16" w:rsidRDefault="009460B9" w:rsidP="00492235">
      <w:pPr>
        <w:pStyle w:val="FootnoteText"/>
        <w:rPr>
          <w:lang w:val="fr-BE"/>
        </w:rPr>
      </w:pPr>
      <w:r>
        <w:rPr>
          <w:rStyle w:val="FootnoteReference"/>
        </w:rPr>
        <w:footnoteRef/>
      </w:r>
      <w:r w:rsidRPr="009E7D16">
        <w:rPr>
          <w:lang w:val="fr-BE"/>
        </w:rPr>
        <w:tab/>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et du mécanisme de pilotage. Tous les crédits et dotations en personnel à partir de 2028 sont indicatifs.</w:t>
      </w:r>
    </w:p>
  </w:footnote>
  <w:footnote w:id="48">
    <w:p w:rsidR="00D613E7" w:rsidRPr="009E7D16" w:rsidRDefault="00D613E7" w:rsidP="00793465">
      <w:pPr>
        <w:pStyle w:val="FootnoteText"/>
        <w:rPr>
          <w:lang w:val="fr-BE"/>
        </w:rPr>
      </w:pPr>
      <w:r>
        <w:rPr>
          <w:rStyle w:val="FootnoteReference"/>
        </w:rPr>
        <w:footnoteRef/>
      </w:r>
      <w:r w:rsidRPr="009E7D16">
        <w:rPr>
          <w:lang w:val="fr-BE"/>
        </w:rPr>
        <w:tab/>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et du mécanisme de pilotage. Tous les crédits et dotations en personnel à partir de 2028 sont indicatifs.</w:t>
      </w:r>
    </w:p>
  </w:footnote>
  <w:footnote w:id="49">
    <w:p w:rsidR="005C5BC3" w:rsidRPr="009E7D16" w:rsidRDefault="005C5BC3">
      <w:pPr>
        <w:pStyle w:val="FootnoteText"/>
        <w:rPr>
          <w:szCs w:val="24"/>
          <w:lang w:val="fr-BE"/>
        </w:rPr>
      </w:pPr>
      <w:r>
        <w:rPr>
          <w:rStyle w:val="FootnoteReference"/>
        </w:rPr>
        <w:footnoteRef/>
      </w:r>
      <w:r w:rsidRPr="009E7D16">
        <w:rPr>
          <w:lang w:val="fr-BE"/>
        </w:rPr>
        <w:tab/>
        <w:t>Les réalisations se réfèrent aux produits et services qui seront fournis (par exemple: nombre d’échanges d’étudiants financés, nombre de km de routes construites, etc.).</w:t>
      </w:r>
    </w:p>
  </w:footnote>
  <w:footnote w:id="50">
    <w:p w:rsidR="005C5BC3" w:rsidRPr="009E7D16" w:rsidRDefault="005C5BC3">
      <w:pPr>
        <w:pStyle w:val="FootnoteText"/>
        <w:rPr>
          <w:szCs w:val="24"/>
          <w:lang w:val="fr-BE"/>
        </w:rPr>
      </w:pPr>
      <w:r>
        <w:rPr>
          <w:rStyle w:val="FootnoteReference"/>
        </w:rPr>
        <w:footnoteRef/>
      </w:r>
      <w:r w:rsidRPr="009E7D16">
        <w:rPr>
          <w:lang w:val="fr-BE"/>
        </w:rPr>
        <w:tab/>
        <w:t xml:space="preserve">Tel que décrit dans la section 1.3.2. «Objectif(s) spécifique(s)». </w:t>
      </w:r>
    </w:p>
  </w:footnote>
  <w:footnote w:id="51">
    <w:p w:rsidR="005C5BC3" w:rsidRPr="009E7D16" w:rsidRDefault="005C5BC3">
      <w:pPr>
        <w:pStyle w:val="FootnoteText"/>
        <w:rPr>
          <w:szCs w:val="24"/>
          <w:lang w:val="fr-BE"/>
        </w:rPr>
      </w:pPr>
      <w:r>
        <w:rPr>
          <w:rStyle w:val="FootnoteReference"/>
        </w:rPr>
        <w:footnoteRef/>
      </w:r>
      <w:r w:rsidRPr="009E7D16">
        <w:rPr>
          <w:lang w:val="fr-BE"/>
        </w:rP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5FA" w:rsidRDefault="008155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5FA" w:rsidRDefault="008155FA" w:rsidP="008155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5FA" w:rsidRPr="008155FA" w:rsidRDefault="008155FA" w:rsidP="008155FA">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5FA" w:rsidRPr="008155FA" w:rsidRDefault="008155FA" w:rsidP="008155FA">
    <w:pPr>
      <w:pStyle w:val="Header"/>
    </w:pPr>
  </w:p>
</w:hdr>
</file>

<file path=word/intelligence2.xml><?xml version="1.0" encoding="utf-8"?>
<int2:intelligence xmlns:int2="http://schemas.microsoft.com/office/intelligence/2020/intelligence" xmlns:oel="http://schemas.microsoft.com/office/2019/extlst">
  <int2:observations>
    <int2:textHash int2:hashCode="YwL6FPuwxnkr4X" int2:id="izmlwmI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A4F27"/>
    <w:multiLevelType w:val="hybridMultilevel"/>
    <w:tmpl w:val="9A065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1C3D1349"/>
    <w:multiLevelType w:val="hybridMultilevel"/>
    <w:tmpl w:val="2C9CE1DC"/>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22"/>
  </w:num>
  <w:num w:numId="3">
    <w:abstractNumId w:val="10"/>
  </w:num>
  <w:num w:numId="4">
    <w:abstractNumId w:val="19"/>
  </w:num>
  <w:num w:numId="5">
    <w:abstractNumId w:val="18"/>
  </w:num>
  <w:num w:numId="6">
    <w:abstractNumId w:val="29"/>
  </w:num>
  <w:num w:numId="7">
    <w:abstractNumId w:val="26"/>
  </w:num>
  <w:num w:numId="8">
    <w:abstractNumId w:val="30"/>
  </w:num>
  <w:num w:numId="9">
    <w:abstractNumId w:val="31"/>
  </w:num>
  <w:num w:numId="10">
    <w:abstractNumId w:val="2"/>
  </w:num>
  <w:num w:numId="11">
    <w:abstractNumId w:val="12"/>
  </w:num>
  <w:num w:numId="12">
    <w:abstractNumId w:val="3"/>
  </w:num>
  <w:num w:numId="13">
    <w:abstractNumId w:val="13"/>
  </w:num>
  <w:num w:numId="14">
    <w:abstractNumId w:val="11"/>
  </w:num>
  <w:num w:numId="15">
    <w:abstractNumId w:val="20"/>
  </w:num>
  <w:num w:numId="16">
    <w:abstractNumId w:val="9"/>
  </w:num>
  <w:num w:numId="17">
    <w:abstractNumId w:val="0"/>
  </w:num>
  <w:num w:numId="18">
    <w:abstractNumId w:val="17"/>
    <w:lvlOverride w:ilvl="0">
      <w:startOverride w:val="1"/>
    </w:lvlOverride>
  </w:num>
  <w:num w:numId="19">
    <w:abstractNumId w:val="5"/>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num>
  <w:num w:numId="22">
    <w:abstractNumId w:val="25"/>
  </w:num>
  <w:num w:numId="23">
    <w:abstractNumId w:val="14"/>
  </w:num>
  <w:num w:numId="24">
    <w:abstractNumId w:val="28"/>
  </w:num>
  <w:num w:numId="25">
    <w:abstractNumId w:val="8"/>
  </w:num>
  <w:num w:numId="26">
    <w:abstractNumId w:val="15"/>
  </w:num>
  <w:num w:numId="27">
    <w:abstractNumId w:val="16"/>
  </w:num>
  <w:num w:numId="28">
    <w:abstractNumId w:val="6"/>
  </w:num>
  <w:num w:numId="29">
    <w:abstractNumId w:val="27"/>
  </w:num>
  <w:num w:numId="30">
    <w:abstractNumId w:val="4"/>
  </w:num>
  <w:num w:numId="31">
    <w:abstractNumId w:val="17"/>
  </w:num>
  <w:num w:numId="32">
    <w:abstractNumId w:val="23"/>
  </w:num>
  <w:num w:numId="33">
    <w:abstractNumId w:val="24"/>
  </w:num>
  <w:num w:numId="34">
    <w:abstractNumId w:val="7"/>
  </w:num>
  <w:num w:numId="35">
    <w:abstractNumId w:val="21"/>
  </w:num>
  <w:num w:numId="36">
    <w:abstractNumId w:val="3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de-AT"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4-20 09:39: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75E671A-5874-465B-BB02-32CE6000DD65"/>
    <w:docVar w:name="LW_COVERPAGE_TYPE" w:val="1"/>
    <w:docVar w:name="LW_CreatedUtc" w:val="2025-07-11T16:38:27.3590377Z"/>
    <w:docVar w:name="LW_CROSSREFERENCE" w:val="&lt;UNUSED&gt;"/>
    <w:docVar w:name="LW_DocType" w:val="COM"/>
    <w:docVar w:name="LW_EMISSION" w:val="24.3.2026"/>
    <w:docVar w:name="LW_EMISSION_ISODATE" w:val="2026-03-24"/>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80"/>
    <w:docVar w:name="LW_REF.II.NEW.CP_YEAR" w:val="2026"/>
    <w:docVar w:name="LW_REF.INST.NEW" w:val="COM"/>
    <w:docVar w:name="LW_REF.INST.NEW_ADOPTED" w:val="final"/>
    <w:docVar w:name="LW_REF.INST.NEW_TEXT" w:val="(2026) 1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a signature, au nom de l\u8217?Union européenne, de l\u8217?accord partiel élargi sur le comité de direction du Tribunal spécial pour le crime d\u8217?agression contre l\u8217?Ukraine "/>
    <w:docVar w:name="LW_TYPE.DOC.CP" w:val="DÉCISION DU CONSEIL"/>
    <w:docVar w:name="LwApiVersions" w:val="LW4CoDe 1.24.5.0; LW 9.2, Build 20251112"/>
  </w:docVars>
  <w:rsids>
    <w:rsidRoot w:val="00DE314D"/>
    <w:rsid w:val="00001668"/>
    <w:rsid w:val="00001879"/>
    <w:rsid w:val="0000222B"/>
    <w:rsid w:val="00002AD6"/>
    <w:rsid w:val="000030AA"/>
    <w:rsid w:val="00004C83"/>
    <w:rsid w:val="000069D1"/>
    <w:rsid w:val="00007195"/>
    <w:rsid w:val="00007227"/>
    <w:rsid w:val="0001069B"/>
    <w:rsid w:val="000107EF"/>
    <w:rsid w:val="00011903"/>
    <w:rsid w:val="00011B74"/>
    <w:rsid w:val="00011E59"/>
    <w:rsid w:val="000133BD"/>
    <w:rsid w:val="0001420F"/>
    <w:rsid w:val="000146FD"/>
    <w:rsid w:val="00017FD8"/>
    <w:rsid w:val="00021A98"/>
    <w:rsid w:val="0002206A"/>
    <w:rsid w:val="000244F4"/>
    <w:rsid w:val="0002612F"/>
    <w:rsid w:val="00026B01"/>
    <w:rsid w:val="0003181C"/>
    <w:rsid w:val="000332AD"/>
    <w:rsid w:val="00033533"/>
    <w:rsid w:val="00035D26"/>
    <w:rsid w:val="0003699E"/>
    <w:rsid w:val="00037495"/>
    <w:rsid w:val="00040CFE"/>
    <w:rsid w:val="00040DB1"/>
    <w:rsid w:val="0004199A"/>
    <w:rsid w:val="000427E6"/>
    <w:rsid w:val="00042DC5"/>
    <w:rsid w:val="00044555"/>
    <w:rsid w:val="0004579E"/>
    <w:rsid w:val="00045FEA"/>
    <w:rsid w:val="000463F2"/>
    <w:rsid w:val="00046690"/>
    <w:rsid w:val="00047C2C"/>
    <w:rsid w:val="00050632"/>
    <w:rsid w:val="00050964"/>
    <w:rsid w:val="00050F94"/>
    <w:rsid w:val="00051114"/>
    <w:rsid w:val="00052DB6"/>
    <w:rsid w:val="00053DC9"/>
    <w:rsid w:val="00056EB0"/>
    <w:rsid w:val="00060C16"/>
    <w:rsid w:val="0006245E"/>
    <w:rsid w:val="000628CB"/>
    <w:rsid w:val="000706E6"/>
    <w:rsid w:val="000726D1"/>
    <w:rsid w:val="00072B14"/>
    <w:rsid w:val="0007572D"/>
    <w:rsid w:val="00077BFB"/>
    <w:rsid w:val="00083956"/>
    <w:rsid w:val="000847BF"/>
    <w:rsid w:val="00086AB3"/>
    <w:rsid w:val="000874D0"/>
    <w:rsid w:val="00093678"/>
    <w:rsid w:val="0009581A"/>
    <w:rsid w:val="00095928"/>
    <w:rsid w:val="00096EF2"/>
    <w:rsid w:val="00097358"/>
    <w:rsid w:val="000A2439"/>
    <w:rsid w:val="000A65F1"/>
    <w:rsid w:val="000A6A0B"/>
    <w:rsid w:val="000B647D"/>
    <w:rsid w:val="000C001A"/>
    <w:rsid w:val="000C03E6"/>
    <w:rsid w:val="000C0565"/>
    <w:rsid w:val="000C0FA3"/>
    <w:rsid w:val="000C10EE"/>
    <w:rsid w:val="000C5F30"/>
    <w:rsid w:val="000C718C"/>
    <w:rsid w:val="000C7276"/>
    <w:rsid w:val="000C7D55"/>
    <w:rsid w:val="000D0D15"/>
    <w:rsid w:val="000D13A7"/>
    <w:rsid w:val="000D2979"/>
    <w:rsid w:val="000D4008"/>
    <w:rsid w:val="000D401D"/>
    <w:rsid w:val="000D494F"/>
    <w:rsid w:val="000E08BA"/>
    <w:rsid w:val="000E1BC6"/>
    <w:rsid w:val="000E4793"/>
    <w:rsid w:val="000E5882"/>
    <w:rsid w:val="000E7A7F"/>
    <w:rsid w:val="000E7C3F"/>
    <w:rsid w:val="000F0ACC"/>
    <w:rsid w:val="000F1766"/>
    <w:rsid w:val="000F18C4"/>
    <w:rsid w:val="000F43A8"/>
    <w:rsid w:val="000F440F"/>
    <w:rsid w:val="000F45F8"/>
    <w:rsid w:val="000F5436"/>
    <w:rsid w:val="000F5A3C"/>
    <w:rsid w:val="000F7710"/>
    <w:rsid w:val="00100444"/>
    <w:rsid w:val="001018C4"/>
    <w:rsid w:val="00104AAB"/>
    <w:rsid w:val="001065F5"/>
    <w:rsid w:val="00112897"/>
    <w:rsid w:val="001143F5"/>
    <w:rsid w:val="00114697"/>
    <w:rsid w:val="00116763"/>
    <w:rsid w:val="00121892"/>
    <w:rsid w:val="00122184"/>
    <w:rsid w:val="00123116"/>
    <w:rsid w:val="001234F1"/>
    <w:rsid w:val="001235F8"/>
    <w:rsid w:val="001238EF"/>
    <w:rsid w:val="00124513"/>
    <w:rsid w:val="001314B1"/>
    <w:rsid w:val="001317FC"/>
    <w:rsid w:val="0013629D"/>
    <w:rsid w:val="001401A2"/>
    <w:rsid w:val="001409D1"/>
    <w:rsid w:val="00140C96"/>
    <w:rsid w:val="00141895"/>
    <w:rsid w:val="00141FF3"/>
    <w:rsid w:val="001450F1"/>
    <w:rsid w:val="00146810"/>
    <w:rsid w:val="00147D10"/>
    <w:rsid w:val="00151528"/>
    <w:rsid w:val="0015296D"/>
    <w:rsid w:val="0015376F"/>
    <w:rsid w:val="00154CB5"/>
    <w:rsid w:val="0015609F"/>
    <w:rsid w:val="0015736B"/>
    <w:rsid w:val="00160326"/>
    <w:rsid w:val="00160B56"/>
    <w:rsid w:val="0016179A"/>
    <w:rsid w:val="00171972"/>
    <w:rsid w:val="00172415"/>
    <w:rsid w:val="00173C56"/>
    <w:rsid w:val="00174015"/>
    <w:rsid w:val="0017408D"/>
    <w:rsid w:val="0017445D"/>
    <w:rsid w:val="00174F8F"/>
    <w:rsid w:val="0017566F"/>
    <w:rsid w:val="0017655E"/>
    <w:rsid w:val="00177EC1"/>
    <w:rsid w:val="001809FB"/>
    <w:rsid w:val="00183431"/>
    <w:rsid w:val="00183B29"/>
    <w:rsid w:val="001857E9"/>
    <w:rsid w:val="00187028"/>
    <w:rsid w:val="00187510"/>
    <w:rsid w:val="001907A0"/>
    <w:rsid w:val="00190FD1"/>
    <w:rsid w:val="001915E6"/>
    <w:rsid w:val="00193A8D"/>
    <w:rsid w:val="00194950"/>
    <w:rsid w:val="001952A1"/>
    <w:rsid w:val="00197613"/>
    <w:rsid w:val="001A0F49"/>
    <w:rsid w:val="001A12CF"/>
    <w:rsid w:val="001A2140"/>
    <w:rsid w:val="001A3EC1"/>
    <w:rsid w:val="001A4C83"/>
    <w:rsid w:val="001A5C1E"/>
    <w:rsid w:val="001B04CB"/>
    <w:rsid w:val="001B0BEB"/>
    <w:rsid w:val="001B0EA0"/>
    <w:rsid w:val="001B1446"/>
    <w:rsid w:val="001B7C19"/>
    <w:rsid w:val="001C035D"/>
    <w:rsid w:val="001C0CAE"/>
    <w:rsid w:val="001C3565"/>
    <w:rsid w:val="001C35FC"/>
    <w:rsid w:val="001C489D"/>
    <w:rsid w:val="001C4E02"/>
    <w:rsid w:val="001C544F"/>
    <w:rsid w:val="001C54EA"/>
    <w:rsid w:val="001C5EBB"/>
    <w:rsid w:val="001C60E4"/>
    <w:rsid w:val="001C634D"/>
    <w:rsid w:val="001C6793"/>
    <w:rsid w:val="001C6CB1"/>
    <w:rsid w:val="001C6FFE"/>
    <w:rsid w:val="001D2172"/>
    <w:rsid w:val="001D4847"/>
    <w:rsid w:val="001D6532"/>
    <w:rsid w:val="001D77E5"/>
    <w:rsid w:val="001E2E8F"/>
    <w:rsid w:val="001E408A"/>
    <w:rsid w:val="001E5729"/>
    <w:rsid w:val="001E7215"/>
    <w:rsid w:val="001E7284"/>
    <w:rsid w:val="001E7ABA"/>
    <w:rsid w:val="001E7C37"/>
    <w:rsid w:val="001F02C8"/>
    <w:rsid w:val="001F2241"/>
    <w:rsid w:val="001F2D59"/>
    <w:rsid w:val="001F50E7"/>
    <w:rsid w:val="001F558E"/>
    <w:rsid w:val="001F6448"/>
    <w:rsid w:val="00200132"/>
    <w:rsid w:val="00201C5F"/>
    <w:rsid w:val="00201F52"/>
    <w:rsid w:val="00203F73"/>
    <w:rsid w:val="00204033"/>
    <w:rsid w:val="00205160"/>
    <w:rsid w:val="002056C6"/>
    <w:rsid w:val="00205D01"/>
    <w:rsid w:val="00210A98"/>
    <w:rsid w:val="00212444"/>
    <w:rsid w:val="00213AAA"/>
    <w:rsid w:val="00217C0A"/>
    <w:rsid w:val="002207AA"/>
    <w:rsid w:val="002215F8"/>
    <w:rsid w:val="00222D6C"/>
    <w:rsid w:val="00223359"/>
    <w:rsid w:val="0022446D"/>
    <w:rsid w:val="00225729"/>
    <w:rsid w:val="00227771"/>
    <w:rsid w:val="00231862"/>
    <w:rsid w:val="002339F1"/>
    <w:rsid w:val="00233DC7"/>
    <w:rsid w:val="00234AE9"/>
    <w:rsid w:val="00235E8C"/>
    <w:rsid w:val="002367E3"/>
    <w:rsid w:val="00240BFA"/>
    <w:rsid w:val="00240C8C"/>
    <w:rsid w:val="00246D77"/>
    <w:rsid w:val="00247779"/>
    <w:rsid w:val="00251645"/>
    <w:rsid w:val="0025200A"/>
    <w:rsid w:val="002528DF"/>
    <w:rsid w:val="00253178"/>
    <w:rsid w:val="0025338A"/>
    <w:rsid w:val="00253CE3"/>
    <w:rsid w:val="00253E39"/>
    <w:rsid w:val="002559C6"/>
    <w:rsid w:val="0026014A"/>
    <w:rsid w:val="00263053"/>
    <w:rsid w:val="00264DE4"/>
    <w:rsid w:val="0028203D"/>
    <w:rsid w:val="00282E4D"/>
    <w:rsid w:val="002832A0"/>
    <w:rsid w:val="0028412E"/>
    <w:rsid w:val="0028460A"/>
    <w:rsid w:val="00285BEE"/>
    <w:rsid w:val="00285CA2"/>
    <w:rsid w:val="00287425"/>
    <w:rsid w:val="00290AB4"/>
    <w:rsid w:val="0029445C"/>
    <w:rsid w:val="002946B9"/>
    <w:rsid w:val="002947B8"/>
    <w:rsid w:val="0029517C"/>
    <w:rsid w:val="0029533F"/>
    <w:rsid w:val="002973C0"/>
    <w:rsid w:val="00297893"/>
    <w:rsid w:val="00297ED0"/>
    <w:rsid w:val="002A0129"/>
    <w:rsid w:val="002A2A03"/>
    <w:rsid w:val="002A32B1"/>
    <w:rsid w:val="002A4FA3"/>
    <w:rsid w:val="002A53BD"/>
    <w:rsid w:val="002A59CD"/>
    <w:rsid w:val="002A5A10"/>
    <w:rsid w:val="002B0692"/>
    <w:rsid w:val="002B0FDF"/>
    <w:rsid w:val="002B30AF"/>
    <w:rsid w:val="002B37D8"/>
    <w:rsid w:val="002B6AFE"/>
    <w:rsid w:val="002C042E"/>
    <w:rsid w:val="002C148F"/>
    <w:rsid w:val="002C5812"/>
    <w:rsid w:val="002C5A51"/>
    <w:rsid w:val="002D20A9"/>
    <w:rsid w:val="002D3EEA"/>
    <w:rsid w:val="002D638C"/>
    <w:rsid w:val="002D79A4"/>
    <w:rsid w:val="002E1858"/>
    <w:rsid w:val="002E3E89"/>
    <w:rsid w:val="002E69FE"/>
    <w:rsid w:val="002E7D8B"/>
    <w:rsid w:val="002F0A48"/>
    <w:rsid w:val="002F25F4"/>
    <w:rsid w:val="002F2606"/>
    <w:rsid w:val="002F3070"/>
    <w:rsid w:val="002F4735"/>
    <w:rsid w:val="002F5675"/>
    <w:rsid w:val="002F79CC"/>
    <w:rsid w:val="00300EA5"/>
    <w:rsid w:val="003014FE"/>
    <w:rsid w:val="00301896"/>
    <w:rsid w:val="003035C9"/>
    <w:rsid w:val="003037F2"/>
    <w:rsid w:val="003039A0"/>
    <w:rsid w:val="0030585F"/>
    <w:rsid w:val="00306C28"/>
    <w:rsid w:val="003123E1"/>
    <w:rsid w:val="00312895"/>
    <w:rsid w:val="0031511A"/>
    <w:rsid w:val="00315F16"/>
    <w:rsid w:val="00320D5B"/>
    <w:rsid w:val="00323842"/>
    <w:rsid w:val="00325051"/>
    <w:rsid w:val="003260E2"/>
    <w:rsid w:val="00326D52"/>
    <w:rsid w:val="00331611"/>
    <w:rsid w:val="003323B8"/>
    <w:rsid w:val="0033344A"/>
    <w:rsid w:val="003353F9"/>
    <w:rsid w:val="003365F7"/>
    <w:rsid w:val="00336F24"/>
    <w:rsid w:val="0033789B"/>
    <w:rsid w:val="00340597"/>
    <w:rsid w:val="00341EB2"/>
    <w:rsid w:val="003438E6"/>
    <w:rsid w:val="0034518D"/>
    <w:rsid w:val="003567B4"/>
    <w:rsid w:val="003575E2"/>
    <w:rsid w:val="00360B70"/>
    <w:rsid w:val="00363D17"/>
    <w:rsid w:val="003642E7"/>
    <w:rsid w:val="00364864"/>
    <w:rsid w:val="0036609C"/>
    <w:rsid w:val="00367F89"/>
    <w:rsid w:val="003710AE"/>
    <w:rsid w:val="0037163C"/>
    <w:rsid w:val="00371A97"/>
    <w:rsid w:val="00377C1D"/>
    <w:rsid w:val="00383453"/>
    <w:rsid w:val="0038395C"/>
    <w:rsid w:val="00387F12"/>
    <w:rsid w:val="00392ADD"/>
    <w:rsid w:val="00394783"/>
    <w:rsid w:val="00397373"/>
    <w:rsid w:val="003A0498"/>
    <w:rsid w:val="003A1143"/>
    <w:rsid w:val="003A3207"/>
    <w:rsid w:val="003A4A0F"/>
    <w:rsid w:val="003A677E"/>
    <w:rsid w:val="003A7218"/>
    <w:rsid w:val="003A737C"/>
    <w:rsid w:val="003B07CC"/>
    <w:rsid w:val="003B287D"/>
    <w:rsid w:val="003B3714"/>
    <w:rsid w:val="003B5B4F"/>
    <w:rsid w:val="003B7C27"/>
    <w:rsid w:val="003C1E21"/>
    <w:rsid w:val="003C2661"/>
    <w:rsid w:val="003C649E"/>
    <w:rsid w:val="003C666D"/>
    <w:rsid w:val="003C73A6"/>
    <w:rsid w:val="003D03A0"/>
    <w:rsid w:val="003D4443"/>
    <w:rsid w:val="003D452C"/>
    <w:rsid w:val="003D4A1D"/>
    <w:rsid w:val="003D6323"/>
    <w:rsid w:val="003D7797"/>
    <w:rsid w:val="003E04D4"/>
    <w:rsid w:val="003E0677"/>
    <w:rsid w:val="003E1088"/>
    <w:rsid w:val="003E1527"/>
    <w:rsid w:val="003E2CD7"/>
    <w:rsid w:val="003E2D8B"/>
    <w:rsid w:val="003E69BF"/>
    <w:rsid w:val="003E7864"/>
    <w:rsid w:val="003F1B2B"/>
    <w:rsid w:val="003F1D03"/>
    <w:rsid w:val="003F2234"/>
    <w:rsid w:val="003F2BD9"/>
    <w:rsid w:val="003F4372"/>
    <w:rsid w:val="003F7E1D"/>
    <w:rsid w:val="004032ED"/>
    <w:rsid w:val="00403EC4"/>
    <w:rsid w:val="0040611F"/>
    <w:rsid w:val="00406279"/>
    <w:rsid w:val="00407025"/>
    <w:rsid w:val="00407569"/>
    <w:rsid w:val="004077C1"/>
    <w:rsid w:val="00410DE6"/>
    <w:rsid w:val="00411E3F"/>
    <w:rsid w:val="004130A4"/>
    <w:rsid w:val="00415FBF"/>
    <w:rsid w:val="00417968"/>
    <w:rsid w:val="00420E69"/>
    <w:rsid w:val="004221E3"/>
    <w:rsid w:val="004254FA"/>
    <w:rsid w:val="00425854"/>
    <w:rsid w:val="00425BA4"/>
    <w:rsid w:val="0042648E"/>
    <w:rsid w:val="0042683D"/>
    <w:rsid w:val="00426C27"/>
    <w:rsid w:val="004304C4"/>
    <w:rsid w:val="00431449"/>
    <w:rsid w:val="0043316D"/>
    <w:rsid w:val="004336E7"/>
    <w:rsid w:val="00434302"/>
    <w:rsid w:val="00435041"/>
    <w:rsid w:val="00437061"/>
    <w:rsid w:val="004466E9"/>
    <w:rsid w:val="00446D07"/>
    <w:rsid w:val="00450A43"/>
    <w:rsid w:val="00451177"/>
    <w:rsid w:val="00454149"/>
    <w:rsid w:val="0046000A"/>
    <w:rsid w:val="00461666"/>
    <w:rsid w:val="004662A1"/>
    <w:rsid w:val="0046657E"/>
    <w:rsid w:val="004673B1"/>
    <w:rsid w:val="004678F4"/>
    <w:rsid w:val="00475EB1"/>
    <w:rsid w:val="00481610"/>
    <w:rsid w:val="00483F0E"/>
    <w:rsid w:val="004841E0"/>
    <w:rsid w:val="00485F8D"/>
    <w:rsid w:val="00486310"/>
    <w:rsid w:val="00486A10"/>
    <w:rsid w:val="0048781C"/>
    <w:rsid w:val="004915D8"/>
    <w:rsid w:val="00491877"/>
    <w:rsid w:val="00492235"/>
    <w:rsid w:val="004924D6"/>
    <w:rsid w:val="004936D2"/>
    <w:rsid w:val="00493B04"/>
    <w:rsid w:val="004958F3"/>
    <w:rsid w:val="00497389"/>
    <w:rsid w:val="00497C40"/>
    <w:rsid w:val="004A111F"/>
    <w:rsid w:val="004A2C2E"/>
    <w:rsid w:val="004A4FD3"/>
    <w:rsid w:val="004A5913"/>
    <w:rsid w:val="004A7A39"/>
    <w:rsid w:val="004B1638"/>
    <w:rsid w:val="004B4B17"/>
    <w:rsid w:val="004C0590"/>
    <w:rsid w:val="004C32EE"/>
    <w:rsid w:val="004C44D1"/>
    <w:rsid w:val="004C48B8"/>
    <w:rsid w:val="004C54B6"/>
    <w:rsid w:val="004D036D"/>
    <w:rsid w:val="004D04F8"/>
    <w:rsid w:val="004D3BB3"/>
    <w:rsid w:val="004E1218"/>
    <w:rsid w:val="004E3DED"/>
    <w:rsid w:val="004E4BCE"/>
    <w:rsid w:val="004E6749"/>
    <w:rsid w:val="004F097E"/>
    <w:rsid w:val="004F2BD7"/>
    <w:rsid w:val="004F57A8"/>
    <w:rsid w:val="004F5DC7"/>
    <w:rsid w:val="00500920"/>
    <w:rsid w:val="00500941"/>
    <w:rsid w:val="00502649"/>
    <w:rsid w:val="0050381E"/>
    <w:rsid w:val="0050636A"/>
    <w:rsid w:val="00506E1A"/>
    <w:rsid w:val="00507A8C"/>
    <w:rsid w:val="00510082"/>
    <w:rsid w:val="00510981"/>
    <w:rsid w:val="00513B84"/>
    <w:rsid w:val="00515AAE"/>
    <w:rsid w:val="0052070B"/>
    <w:rsid w:val="005207FF"/>
    <w:rsid w:val="005217BD"/>
    <w:rsid w:val="005222B6"/>
    <w:rsid w:val="00525230"/>
    <w:rsid w:val="00526A4D"/>
    <w:rsid w:val="00526ECF"/>
    <w:rsid w:val="005275A8"/>
    <w:rsid w:val="005275ED"/>
    <w:rsid w:val="005353DF"/>
    <w:rsid w:val="00535E3E"/>
    <w:rsid w:val="00540D0E"/>
    <w:rsid w:val="00540E88"/>
    <w:rsid w:val="00542DC7"/>
    <w:rsid w:val="005430CC"/>
    <w:rsid w:val="00547619"/>
    <w:rsid w:val="00547D60"/>
    <w:rsid w:val="0055039F"/>
    <w:rsid w:val="005514EB"/>
    <w:rsid w:val="005525F4"/>
    <w:rsid w:val="00552879"/>
    <w:rsid w:val="00552D09"/>
    <w:rsid w:val="0055569B"/>
    <w:rsid w:val="005563C4"/>
    <w:rsid w:val="00557151"/>
    <w:rsid w:val="0056058C"/>
    <w:rsid w:val="00560AA6"/>
    <w:rsid w:val="00560E3E"/>
    <w:rsid w:val="00561A21"/>
    <w:rsid w:val="00563BEF"/>
    <w:rsid w:val="00563C69"/>
    <w:rsid w:val="00566868"/>
    <w:rsid w:val="00566CAC"/>
    <w:rsid w:val="00567C8E"/>
    <w:rsid w:val="00575AC5"/>
    <w:rsid w:val="00577835"/>
    <w:rsid w:val="00580DBF"/>
    <w:rsid w:val="005813A7"/>
    <w:rsid w:val="0058161C"/>
    <w:rsid w:val="00581A56"/>
    <w:rsid w:val="00582C6D"/>
    <w:rsid w:val="00582E45"/>
    <w:rsid w:val="00583642"/>
    <w:rsid w:val="00585BEB"/>
    <w:rsid w:val="00585C83"/>
    <w:rsid w:val="00585EEE"/>
    <w:rsid w:val="0059043A"/>
    <w:rsid w:val="005913BA"/>
    <w:rsid w:val="005931BD"/>
    <w:rsid w:val="005939A2"/>
    <w:rsid w:val="00594672"/>
    <w:rsid w:val="0059480B"/>
    <w:rsid w:val="005952F9"/>
    <w:rsid w:val="00595B78"/>
    <w:rsid w:val="00595CA3"/>
    <w:rsid w:val="005960B8"/>
    <w:rsid w:val="005961B3"/>
    <w:rsid w:val="00597835"/>
    <w:rsid w:val="005978F9"/>
    <w:rsid w:val="005A05BA"/>
    <w:rsid w:val="005A05FD"/>
    <w:rsid w:val="005A09F7"/>
    <w:rsid w:val="005A13D2"/>
    <w:rsid w:val="005A355A"/>
    <w:rsid w:val="005A3A87"/>
    <w:rsid w:val="005A5779"/>
    <w:rsid w:val="005A591B"/>
    <w:rsid w:val="005A7129"/>
    <w:rsid w:val="005A7A6B"/>
    <w:rsid w:val="005A7BD6"/>
    <w:rsid w:val="005B01E8"/>
    <w:rsid w:val="005B1EB6"/>
    <w:rsid w:val="005B2CCB"/>
    <w:rsid w:val="005B32B1"/>
    <w:rsid w:val="005B35FD"/>
    <w:rsid w:val="005B3E6D"/>
    <w:rsid w:val="005B5151"/>
    <w:rsid w:val="005B5EAB"/>
    <w:rsid w:val="005B63D9"/>
    <w:rsid w:val="005C05DB"/>
    <w:rsid w:val="005C07D4"/>
    <w:rsid w:val="005C3D3D"/>
    <w:rsid w:val="005C5BC3"/>
    <w:rsid w:val="005C7A0B"/>
    <w:rsid w:val="005D0503"/>
    <w:rsid w:val="005D06E4"/>
    <w:rsid w:val="005D3408"/>
    <w:rsid w:val="005D4CB9"/>
    <w:rsid w:val="005E183C"/>
    <w:rsid w:val="005E25B5"/>
    <w:rsid w:val="005E3170"/>
    <w:rsid w:val="005E358C"/>
    <w:rsid w:val="005E3FB1"/>
    <w:rsid w:val="005E67D3"/>
    <w:rsid w:val="005E7F1B"/>
    <w:rsid w:val="005F035A"/>
    <w:rsid w:val="005F136B"/>
    <w:rsid w:val="005F2ECD"/>
    <w:rsid w:val="005F4577"/>
    <w:rsid w:val="005F4B5B"/>
    <w:rsid w:val="005F6EB8"/>
    <w:rsid w:val="005F733E"/>
    <w:rsid w:val="005F7AA2"/>
    <w:rsid w:val="005F7E1B"/>
    <w:rsid w:val="005F7EF4"/>
    <w:rsid w:val="00601C47"/>
    <w:rsid w:val="006028FF"/>
    <w:rsid w:val="0060347E"/>
    <w:rsid w:val="00604D13"/>
    <w:rsid w:val="00605132"/>
    <w:rsid w:val="006055EF"/>
    <w:rsid w:val="00605C42"/>
    <w:rsid w:val="00605DA8"/>
    <w:rsid w:val="00606FA0"/>
    <w:rsid w:val="00612843"/>
    <w:rsid w:val="0062190F"/>
    <w:rsid w:val="00622B9C"/>
    <w:rsid w:val="00622F83"/>
    <w:rsid w:val="00625019"/>
    <w:rsid w:val="00626B60"/>
    <w:rsid w:val="0063139C"/>
    <w:rsid w:val="00631AA8"/>
    <w:rsid w:val="00632697"/>
    <w:rsid w:val="00632A10"/>
    <w:rsid w:val="00632EBB"/>
    <w:rsid w:val="00633E71"/>
    <w:rsid w:val="00636908"/>
    <w:rsid w:val="00636C67"/>
    <w:rsid w:val="0064039E"/>
    <w:rsid w:val="006432E9"/>
    <w:rsid w:val="00647BBC"/>
    <w:rsid w:val="0065045C"/>
    <w:rsid w:val="006504FB"/>
    <w:rsid w:val="00650591"/>
    <w:rsid w:val="00652468"/>
    <w:rsid w:val="0065251E"/>
    <w:rsid w:val="00652A4E"/>
    <w:rsid w:val="006530AC"/>
    <w:rsid w:val="0065393C"/>
    <w:rsid w:val="00654023"/>
    <w:rsid w:val="00655325"/>
    <w:rsid w:val="00656FC4"/>
    <w:rsid w:val="00657943"/>
    <w:rsid w:val="00663556"/>
    <w:rsid w:val="00665E0A"/>
    <w:rsid w:val="00666D45"/>
    <w:rsid w:val="00667235"/>
    <w:rsid w:val="00671670"/>
    <w:rsid w:val="00672BB3"/>
    <w:rsid w:val="00674C86"/>
    <w:rsid w:val="0067620A"/>
    <w:rsid w:val="006769A1"/>
    <w:rsid w:val="00677AF9"/>
    <w:rsid w:val="006817E1"/>
    <w:rsid w:val="006825AA"/>
    <w:rsid w:val="006825F7"/>
    <w:rsid w:val="00682FD2"/>
    <w:rsid w:val="00684124"/>
    <w:rsid w:val="00685754"/>
    <w:rsid w:val="006857DE"/>
    <w:rsid w:val="0068689B"/>
    <w:rsid w:val="00686A98"/>
    <w:rsid w:val="0068705A"/>
    <w:rsid w:val="00690098"/>
    <w:rsid w:val="00690C9D"/>
    <w:rsid w:val="00690EAA"/>
    <w:rsid w:val="006910BE"/>
    <w:rsid w:val="00692118"/>
    <w:rsid w:val="00692801"/>
    <w:rsid w:val="00693312"/>
    <w:rsid w:val="00693554"/>
    <w:rsid w:val="00693B03"/>
    <w:rsid w:val="006951A9"/>
    <w:rsid w:val="00695895"/>
    <w:rsid w:val="00695CB9"/>
    <w:rsid w:val="00696B50"/>
    <w:rsid w:val="00696FC4"/>
    <w:rsid w:val="006A25FD"/>
    <w:rsid w:val="006A2B65"/>
    <w:rsid w:val="006A4698"/>
    <w:rsid w:val="006A6E55"/>
    <w:rsid w:val="006A713E"/>
    <w:rsid w:val="006A7840"/>
    <w:rsid w:val="006B1594"/>
    <w:rsid w:val="006B16DC"/>
    <w:rsid w:val="006B21C4"/>
    <w:rsid w:val="006B43A3"/>
    <w:rsid w:val="006B5C4E"/>
    <w:rsid w:val="006B6168"/>
    <w:rsid w:val="006B6169"/>
    <w:rsid w:val="006C25C7"/>
    <w:rsid w:val="006C4214"/>
    <w:rsid w:val="006C58F6"/>
    <w:rsid w:val="006C5AED"/>
    <w:rsid w:val="006C5F1D"/>
    <w:rsid w:val="006C75AD"/>
    <w:rsid w:val="006D1DBB"/>
    <w:rsid w:val="006D21F4"/>
    <w:rsid w:val="006D2767"/>
    <w:rsid w:val="006D4602"/>
    <w:rsid w:val="006D7343"/>
    <w:rsid w:val="006D7BD8"/>
    <w:rsid w:val="006E1385"/>
    <w:rsid w:val="006E1E12"/>
    <w:rsid w:val="006E2174"/>
    <w:rsid w:val="006E30F2"/>
    <w:rsid w:val="006E3764"/>
    <w:rsid w:val="006E4D3C"/>
    <w:rsid w:val="006E5034"/>
    <w:rsid w:val="006F1C1E"/>
    <w:rsid w:val="006F2D97"/>
    <w:rsid w:val="006F4C37"/>
    <w:rsid w:val="006F69CB"/>
    <w:rsid w:val="00700714"/>
    <w:rsid w:val="0070144B"/>
    <w:rsid w:val="0070156A"/>
    <w:rsid w:val="00701EB1"/>
    <w:rsid w:val="007051B2"/>
    <w:rsid w:val="007066D4"/>
    <w:rsid w:val="00706CE0"/>
    <w:rsid w:val="00706E2E"/>
    <w:rsid w:val="007109B1"/>
    <w:rsid w:val="007110D0"/>
    <w:rsid w:val="007140D9"/>
    <w:rsid w:val="00716C1E"/>
    <w:rsid w:val="007178B4"/>
    <w:rsid w:val="00718881"/>
    <w:rsid w:val="007212F5"/>
    <w:rsid w:val="00721412"/>
    <w:rsid w:val="00727279"/>
    <w:rsid w:val="0073109C"/>
    <w:rsid w:val="00731A44"/>
    <w:rsid w:val="00731FB2"/>
    <w:rsid w:val="00732BE6"/>
    <w:rsid w:val="00733398"/>
    <w:rsid w:val="00733DEA"/>
    <w:rsid w:val="00737563"/>
    <w:rsid w:val="00740B1A"/>
    <w:rsid w:val="00741BC8"/>
    <w:rsid w:val="00741E59"/>
    <w:rsid w:val="00742552"/>
    <w:rsid w:val="00743DF4"/>
    <w:rsid w:val="00747931"/>
    <w:rsid w:val="007507C7"/>
    <w:rsid w:val="00752403"/>
    <w:rsid w:val="00761DDF"/>
    <w:rsid w:val="00761E7C"/>
    <w:rsid w:val="00764A3B"/>
    <w:rsid w:val="0076648A"/>
    <w:rsid w:val="007702BD"/>
    <w:rsid w:val="007703F1"/>
    <w:rsid w:val="00770A3F"/>
    <w:rsid w:val="007711D1"/>
    <w:rsid w:val="00772D4F"/>
    <w:rsid w:val="00773331"/>
    <w:rsid w:val="00774945"/>
    <w:rsid w:val="00774994"/>
    <w:rsid w:val="00774EB0"/>
    <w:rsid w:val="00777C7C"/>
    <w:rsid w:val="0078428F"/>
    <w:rsid w:val="00786D8D"/>
    <w:rsid w:val="00787488"/>
    <w:rsid w:val="00790B22"/>
    <w:rsid w:val="0079134D"/>
    <w:rsid w:val="0079192A"/>
    <w:rsid w:val="00792467"/>
    <w:rsid w:val="007932EF"/>
    <w:rsid w:val="00793465"/>
    <w:rsid w:val="00795ED6"/>
    <w:rsid w:val="00797746"/>
    <w:rsid w:val="00797AA4"/>
    <w:rsid w:val="007A43A5"/>
    <w:rsid w:val="007A53D0"/>
    <w:rsid w:val="007B39A8"/>
    <w:rsid w:val="007B584F"/>
    <w:rsid w:val="007B58C0"/>
    <w:rsid w:val="007B5954"/>
    <w:rsid w:val="007B6F70"/>
    <w:rsid w:val="007B7852"/>
    <w:rsid w:val="007C008C"/>
    <w:rsid w:val="007C059A"/>
    <w:rsid w:val="007C21FB"/>
    <w:rsid w:val="007C3B2D"/>
    <w:rsid w:val="007C3B6A"/>
    <w:rsid w:val="007C6253"/>
    <w:rsid w:val="007C7FB8"/>
    <w:rsid w:val="007D02E1"/>
    <w:rsid w:val="007D0512"/>
    <w:rsid w:val="007D0B2C"/>
    <w:rsid w:val="007D0D0D"/>
    <w:rsid w:val="007D111F"/>
    <w:rsid w:val="007D1D14"/>
    <w:rsid w:val="007D3529"/>
    <w:rsid w:val="007D3670"/>
    <w:rsid w:val="007D5642"/>
    <w:rsid w:val="007E05B0"/>
    <w:rsid w:val="007E0AF1"/>
    <w:rsid w:val="007E29AE"/>
    <w:rsid w:val="007E4744"/>
    <w:rsid w:val="007E47F9"/>
    <w:rsid w:val="007E4877"/>
    <w:rsid w:val="007E5DD6"/>
    <w:rsid w:val="007E66A8"/>
    <w:rsid w:val="007E67B8"/>
    <w:rsid w:val="007E76BD"/>
    <w:rsid w:val="007E7E9B"/>
    <w:rsid w:val="007F07CB"/>
    <w:rsid w:val="007F1201"/>
    <w:rsid w:val="007F2A36"/>
    <w:rsid w:val="007F6DA4"/>
    <w:rsid w:val="007F6F45"/>
    <w:rsid w:val="00803D59"/>
    <w:rsid w:val="0080445C"/>
    <w:rsid w:val="00804E10"/>
    <w:rsid w:val="00805006"/>
    <w:rsid w:val="0080556F"/>
    <w:rsid w:val="00805755"/>
    <w:rsid w:val="00806E93"/>
    <w:rsid w:val="0081158D"/>
    <w:rsid w:val="0081406F"/>
    <w:rsid w:val="00814FF8"/>
    <w:rsid w:val="00815433"/>
    <w:rsid w:val="008155FA"/>
    <w:rsid w:val="0082136C"/>
    <w:rsid w:val="00823115"/>
    <w:rsid w:val="0082331B"/>
    <w:rsid w:val="00824718"/>
    <w:rsid w:val="00825126"/>
    <w:rsid w:val="00827988"/>
    <w:rsid w:val="00831B0B"/>
    <w:rsid w:val="00832336"/>
    <w:rsid w:val="00834FE1"/>
    <w:rsid w:val="00836492"/>
    <w:rsid w:val="00840096"/>
    <w:rsid w:val="00840F0F"/>
    <w:rsid w:val="008417BD"/>
    <w:rsid w:val="008431B5"/>
    <w:rsid w:val="00843265"/>
    <w:rsid w:val="00843841"/>
    <w:rsid w:val="008449E7"/>
    <w:rsid w:val="00846401"/>
    <w:rsid w:val="0084641E"/>
    <w:rsid w:val="00847591"/>
    <w:rsid w:val="00847985"/>
    <w:rsid w:val="00850096"/>
    <w:rsid w:val="00850756"/>
    <w:rsid w:val="00852AC7"/>
    <w:rsid w:val="00853C97"/>
    <w:rsid w:val="008543A3"/>
    <w:rsid w:val="008556C2"/>
    <w:rsid w:val="0085614C"/>
    <w:rsid w:val="00860EF0"/>
    <w:rsid w:val="008621A3"/>
    <w:rsid w:val="00863BE8"/>
    <w:rsid w:val="00863F33"/>
    <w:rsid w:val="00865354"/>
    <w:rsid w:val="008670F9"/>
    <w:rsid w:val="00867D99"/>
    <w:rsid w:val="00867E97"/>
    <w:rsid w:val="00867F4B"/>
    <w:rsid w:val="008723B0"/>
    <w:rsid w:val="0087353B"/>
    <w:rsid w:val="00874D22"/>
    <w:rsid w:val="00876CB1"/>
    <w:rsid w:val="00877523"/>
    <w:rsid w:val="00877645"/>
    <w:rsid w:val="008808A7"/>
    <w:rsid w:val="008813E8"/>
    <w:rsid w:val="00881624"/>
    <w:rsid w:val="00882CA6"/>
    <w:rsid w:val="008860F4"/>
    <w:rsid w:val="00886F2A"/>
    <w:rsid w:val="00887361"/>
    <w:rsid w:val="008904D5"/>
    <w:rsid w:val="008A2914"/>
    <w:rsid w:val="008A33E9"/>
    <w:rsid w:val="008A3D0F"/>
    <w:rsid w:val="008A4C56"/>
    <w:rsid w:val="008A6203"/>
    <w:rsid w:val="008A72B0"/>
    <w:rsid w:val="008A7EDE"/>
    <w:rsid w:val="008B29D1"/>
    <w:rsid w:val="008B2CFF"/>
    <w:rsid w:val="008B745F"/>
    <w:rsid w:val="008C05A5"/>
    <w:rsid w:val="008C1A6E"/>
    <w:rsid w:val="008C1B1D"/>
    <w:rsid w:val="008C3DD7"/>
    <w:rsid w:val="008C40A4"/>
    <w:rsid w:val="008C424D"/>
    <w:rsid w:val="008C54C1"/>
    <w:rsid w:val="008C72B9"/>
    <w:rsid w:val="008D1C4A"/>
    <w:rsid w:val="008D38F6"/>
    <w:rsid w:val="008D49DF"/>
    <w:rsid w:val="008D5A0D"/>
    <w:rsid w:val="008D5B3B"/>
    <w:rsid w:val="008E1068"/>
    <w:rsid w:val="008E16B8"/>
    <w:rsid w:val="008E1EE4"/>
    <w:rsid w:val="008E3107"/>
    <w:rsid w:val="008E43C3"/>
    <w:rsid w:val="008E4D8E"/>
    <w:rsid w:val="008E4F91"/>
    <w:rsid w:val="008E67FE"/>
    <w:rsid w:val="008F0065"/>
    <w:rsid w:val="008F045B"/>
    <w:rsid w:val="008F3183"/>
    <w:rsid w:val="008F461C"/>
    <w:rsid w:val="00902AFA"/>
    <w:rsid w:val="00903380"/>
    <w:rsid w:val="009050E2"/>
    <w:rsid w:val="00905270"/>
    <w:rsid w:val="00906259"/>
    <w:rsid w:val="00906C54"/>
    <w:rsid w:val="00907DCD"/>
    <w:rsid w:val="0091154D"/>
    <w:rsid w:val="0091301A"/>
    <w:rsid w:val="00915E0C"/>
    <w:rsid w:val="009164ED"/>
    <w:rsid w:val="009206DF"/>
    <w:rsid w:val="00920799"/>
    <w:rsid w:val="00921063"/>
    <w:rsid w:val="00921500"/>
    <w:rsid w:val="00926B56"/>
    <w:rsid w:val="009273E1"/>
    <w:rsid w:val="0093263C"/>
    <w:rsid w:val="009364DC"/>
    <w:rsid w:val="0093731A"/>
    <w:rsid w:val="00937841"/>
    <w:rsid w:val="00942D7C"/>
    <w:rsid w:val="00944F12"/>
    <w:rsid w:val="00945508"/>
    <w:rsid w:val="009460B9"/>
    <w:rsid w:val="00947E7B"/>
    <w:rsid w:val="00950854"/>
    <w:rsid w:val="00951157"/>
    <w:rsid w:val="009517EE"/>
    <w:rsid w:val="00956B29"/>
    <w:rsid w:val="00962FE8"/>
    <w:rsid w:val="009635B5"/>
    <w:rsid w:val="009708E9"/>
    <w:rsid w:val="009734F6"/>
    <w:rsid w:val="00974792"/>
    <w:rsid w:val="00974D78"/>
    <w:rsid w:val="0098091E"/>
    <w:rsid w:val="00981176"/>
    <w:rsid w:val="00982A1E"/>
    <w:rsid w:val="00984FCF"/>
    <w:rsid w:val="00986F16"/>
    <w:rsid w:val="0098760C"/>
    <w:rsid w:val="00990082"/>
    <w:rsid w:val="00992CD1"/>
    <w:rsid w:val="00994048"/>
    <w:rsid w:val="00994491"/>
    <w:rsid w:val="0099646B"/>
    <w:rsid w:val="00997EEC"/>
    <w:rsid w:val="009A0308"/>
    <w:rsid w:val="009A11AB"/>
    <w:rsid w:val="009A1A7E"/>
    <w:rsid w:val="009A37B1"/>
    <w:rsid w:val="009A49A9"/>
    <w:rsid w:val="009A5BF6"/>
    <w:rsid w:val="009A7F9A"/>
    <w:rsid w:val="009B060F"/>
    <w:rsid w:val="009B31DB"/>
    <w:rsid w:val="009B34E3"/>
    <w:rsid w:val="009B4FE0"/>
    <w:rsid w:val="009C018E"/>
    <w:rsid w:val="009C0A88"/>
    <w:rsid w:val="009C11BA"/>
    <w:rsid w:val="009C386E"/>
    <w:rsid w:val="009C3A01"/>
    <w:rsid w:val="009C3C9B"/>
    <w:rsid w:val="009C3ED4"/>
    <w:rsid w:val="009C5B8C"/>
    <w:rsid w:val="009C6A5A"/>
    <w:rsid w:val="009C807B"/>
    <w:rsid w:val="009D2040"/>
    <w:rsid w:val="009D44D5"/>
    <w:rsid w:val="009D7224"/>
    <w:rsid w:val="009D78D7"/>
    <w:rsid w:val="009E0034"/>
    <w:rsid w:val="009E1FB5"/>
    <w:rsid w:val="009E4162"/>
    <w:rsid w:val="009E46E1"/>
    <w:rsid w:val="009E6311"/>
    <w:rsid w:val="009E64DA"/>
    <w:rsid w:val="009E7D16"/>
    <w:rsid w:val="009F0481"/>
    <w:rsid w:val="009F2065"/>
    <w:rsid w:val="009F2A08"/>
    <w:rsid w:val="009F6D02"/>
    <w:rsid w:val="009F7AEF"/>
    <w:rsid w:val="00A01791"/>
    <w:rsid w:val="00A03A6A"/>
    <w:rsid w:val="00A03FF9"/>
    <w:rsid w:val="00A04336"/>
    <w:rsid w:val="00A07FEB"/>
    <w:rsid w:val="00A13CEF"/>
    <w:rsid w:val="00A13FCA"/>
    <w:rsid w:val="00A15823"/>
    <w:rsid w:val="00A15C33"/>
    <w:rsid w:val="00A15E45"/>
    <w:rsid w:val="00A167DD"/>
    <w:rsid w:val="00A178B2"/>
    <w:rsid w:val="00A17A28"/>
    <w:rsid w:val="00A2027F"/>
    <w:rsid w:val="00A225BE"/>
    <w:rsid w:val="00A2328D"/>
    <w:rsid w:val="00A27002"/>
    <w:rsid w:val="00A2799A"/>
    <w:rsid w:val="00A27EFF"/>
    <w:rsid w:val="00A30DB5"/>
    <w:rsid w:val="00A31D48"/>
    <w:rsid w:val="00A3488A"/>
    <w:rsid w:val="00A35772"/>
    <w:rsid w:val="00A35FE6"/>
    <w:rsid w:val="00A36557"/>
    <w:rsid w:val="00A410C1"/>
    <w:rsid w:val="00A4192D"/>
    <w:rsid w:val="00A41E3E"/>
    <w:rsid w:val="00A424E9"/>
    <w:rsid w:val="00A42534"/>
    <w:rsid w:val="00A44879"/>
    <w:rsid w:val="00A451FE"/>
    <w:rsid w:val="00A46584"/>
    <w:rsid w:val="00A46FE7"/>
    <w:rsid w:val="00A47FC0"/>
    <w:rsid w:val="00A51600"/>
    <w:rsid w:val="00A52ECE"/>
    <w:rsid w:val="00A54673"/>
    <w:rsid w:val="00A56EC9"/>
    <w:rsid w:val="00A57A3D"/>
    <w:rsid w:val="00A60311"/>
    <w:rsid w:val="00A6265E"/>
    <w:rsid w:val="00A649E6"/>
    <w:rsid w:val="00A65277"/>
    <w:rsid w:val="00A66A16"/>
    <w:rsid w:val="00A71BDC"/>
    <w:rsid w:val="00A74BBD"/>
    <w:rsid w:val="00A7643D"/>
    <w:rsid w:val="00A76689"/>
    <w:rsid w:val="00A76D79"/>
    <w:rsid w:val="00A810DD"/>
    <w:rsid w:val="00A83A78"/>
    <w:rsid w:val="00A851E1"/>
    <w:rsid w:val="00A85C73"/>
    <w:rsid w:val="00A8646B"/>
    <w:rsid w:val="00A8766A"/>
    <w:rsid w:val="00A91ED3"/>
    <w:rsid w:val="00A92E82"/>
    <w:rsid w:val="00A94843"/>
    <w:rsid w:val="00A964DB"/>
    <w:rsid w:val="00A97C50"/>
    <w:rsid w:val="00A97DB2"/>
    <w:rsid w:val="00AA0199"/>
    <w:rsid w:val="00AA0435"/>
    <w:rsid w:val="00AA3723"/>
    <w:rsid w:val="00AA4923"/>
    <w:rsid w:val="00AA64CE"/>
    <w:rsid w:val="00AA6547"/>
    <w:rsid w:val="00AB2D19"/>
    <w:rsid w:val="00AB31F6"/>
    <w:rsid w:val="00AB468E"/>
    <w:rsid w:val="00AB49C1"/>
    <w:rsid w:val="00AB57E6"/>
    <w:rsid w:val="00AB61F7"/>
    <w:rsid w:val="00AB6F0E"/>
    <w:rsid w:val="00AB787A"/>
    <w:rsid w:val="00AC0235"/>
    <w:rsid w:val="00AC0FB1"/>
    <w:rsid w:val="00AC1C9B"/>
    <w:rsid w:val="00AC287A"/>
    <w:rsid w:val="00AC437A"/>
    <w:rsid w:val="00AC5D12"/>
    <w:rsid w:val="00AC6F4F"/>
    <w:rsid w:val="00AC781E"/>
    <w:rsid w:val="00AD0C31"/>
    <w:rsid w:val="00AD2ABA"/>
    <w:rsid w:val="00AD30E0"/>
    <w:rsid w:val="00AD3802"/>
    <w:rsid w:val="00AD4476"/>
    <w:rsid w:val="00AD4995"/>
    <w:rsid w:val="00AE0CDF"/>
    <w:rsid w:val="00AE2516"/>
    <w:rsid w:val="00AE4316"/>
    <w:rsid w:val="00AE6C8B"/>
    <w:rsid w:val="00AF08D5"/>
    <w:rsid w:val="00AF1572"/>
    <w:rsid w:val="00AF3150"/>
    <w:rsid w:val="00AF3481"/>
    <w:rsid w:val="00AF392D"/>
    <w:rsid w:val="00AF396B"/>
    <w:rsid w:val="00AF3FF5"/>
    <w:rsid w:val="00AF4497"/>
    <w:rsid w:val="00AF470C"/>
    <w:rsid w:val="00AF4763"/>
    <w:rsid w:val="00AF5186"/>
    <w:rsid w:val="00B00304"/>
    <w:rsid w:val="00B00417"/>
    <w:rsid w:val="00B02FCE"/>
    <w:rsid w:val="00B05A00"/>
    <w:rsid w:val="00B1058A"/>
    <w:rsid w:val="00B20459"/>
    <w:rsid w:val="00B221C3"/>
    <w:rsid w:val="00B229BA"/>
    <w:rsid w:val="00B22B5F"/>
    <w:rsid w:val="00B23340"/>
    <w:rsid w:val="00B23705"/>
    <w:rsid w:val="00B264FE"/>
    <w:rsid w:val="00B267E5"/>
    <w:rsid w:val="00B30819"/>
    <w:rsid w:val="00B3274F"/>
    <w:rsid w:val="00B3373E"/>
    <w:rsid w:val="00B376AB"/>
    <w:rsid w:val="00B37EE6"/>
    <w:rsid w:val="00B425E1"/>
    <w:rsid w:val="00B43B96"/>
    <w:rsid w:val="00B43C39"/>
    <w:rsid w:val="00B449FA"/>
    <w:rsid w:val="00B4537F"/>
    <w:rsid w:val="00B46797"/>
    <w:rsid w:val="00B479CC"/>
    <w:rsid w:val="00B5100B"/>
    <w:rsid w:val="00B52E63"/>
    <w:rsid w:val="00B53306"/>
    <w:rsid w:val="00B538D0"/>
    <w:rsid w:val="00B556C7"/>
    <w:rsid w:val="00B55726"/>
    <w:rsid w:val="00B5677D"/>
    <w:rsid w:val="00B60523"/>
    <w:rsid w:val="00B60696"/>
    <w:rsid w:val="00B613AF"/>
    <w:rsid w:val="00B614DB"/>
    <w:rsid w:val="00B637C1"/>
    <w:rsid w:val="00B63EE0"/>
    <w:rsid w:val="00B64203"/>
    <w:rsid w:val="00B65673"/>
    <w:rsid w:val="00B65A19"/>
    <w:rsid w:val="00B65AE3"/>
    <w:rsid w:val="00B67275"/>
    <w:rsid w:val="00B67AD0"/>
    <w:rsid w:val="00B702AB"/>
    <w:rsid w:val="00B7118A"/>
    <w:rsid w:val="00B80098"/>
    <w:rsid w:val="00B805A7"/>
    <w:rsid w:val="00B828DB"/>
    <w:rsid w:val="00B912DA"/>
    <w:rsid w:val="00B92EA5"/>
    <w:rsid w:val="00B937D3"/>
    <w:rsid w:val="00B955C7"/>
    <w:rsid w:val="00B96E22"/>
    <w:rsid w:val="00B97D51"/>
    <w:rsid w:val="00BA055C"/>
    <w:rsid w:val="00BA0BB8"/>
    <w:rsid w:val="00BA16BD"/>
    <w:rsid w:val="00BA1AD9"/>
    <w:rsid w:val="00BA223D"/>
    <w:rsid w:val="00BA29FE"/>
    <w:rsid w:val="00BA4353"/>
    <w:rsid w:val="00BA44AB"/>
    <w:rsid w:val="00BA560A"/>
    <w:rsid w:val="00BB0A20"/>
    <w:rsid w:val="00BB0D5C"/>
    <w:rsid w:val="00BB282B"/>
    <w:rsid w:val="00BB59B9"/>
    <w:rsid w:val="00BB5B41"/>
    <w:rsid w:val="00BB6460"/>
    <w:rsid w:val="00BB67C3"/>
    <w:rsid w:val="00BC134B"/>
    <w:rsid w:val="00BC239C"/>
    <w:rsid w:val="00BC4575"/>
    <w:rsid w:val="00BC5528"/>
    <w:rsid w:val="00BC6DB4"/>
    <w:rsid w:val="00BD1B68"/>
    <w:rsid w:val="00BD4239"/>
    <w:rsid w:val="00BD6E20"/>
    <w:rsid w:val="00BE1D0B"/>
    <w:rsid w:val="00BE229B"/>
    <w:rsid w:val="00BE74EA"/>
    <w:rsid w:val="00BF2D56"/>
    <w:rsid w:val="00BF35ED"/>
    <w:rsid w:val="00BF3861"/>
    <w:rsid w:val="00BF3B1D"/>
    <w:rsid w:val="00BF5E66"/>
    <w:rsid w:val="00C0125C"/>
    <w:rsid w:val="00C01665"/>
    <w:rsid w:val="00C03AAF"/>
    <w:rsid w:val="00C070DA"/>
    <w:rsid w:val="00C11348"/>
    <w:rsid w:val="00C12301"/>
    <w:rsid w:val="00C153CA"/>
    <w:rsid w:val="00C16DE3"/>
    <w:rsid w:val="00C175FB"/>
    <w:rsid w:val="00C201F0"/>
    <w:rsid w:val="00C212BF"/>
    <w:rsid w:val="00C2207D"/>
    <w:rsid w:val="00C25F36"/>
    <w:rsid w:val="00C3405F"/>
    <w:rsid w:val="00C34682"/>
    <w:rsid w:val="00C3521D"/>
    <w:rsid w:val="00C353D5"/>
    <w:rsid w:val="00C37170"/>
    <w:rsid w:val="00C417E3"/>
    <w:rsid w:val="00C446DB"/>
    <w:rsid w:val="00C476FB"/>
    <w:rsid w:val="00C50D45"/>
    <w:rsid w:val="00C554EA"/>
    <w:rsid w:val="00C568F2"/>
    <w:rsid w:val="00C60D34"/>
    <w:rsid w:val="00C629F6"/>
    <w:rsid w:val="00C64AE8"/>
    <w:rsid w:val="00C712C2"/>
    <w:rsid w:val="00C72AC0"/>
    <w:rsid w:val="00C77AFC"/>
    <w:rsid w:val="00C77D1F"/>
    <w:rsid w:val="00C80011"/>
    <w:rsid w:val="00C817E3"/>
    <w:rsid w:val="00C81AC3"/>
    <w:rsid w:val="00C820F1"/>
    <w:rsid w:val="00C8217F"/>
    <w:rsid w:val="00C838DA"/>
    <w:rsid w:val="00C85140"/>
    <w:rsid w:val="00C85C7A"/>
    <w:rsid w:val="00C85CE7"/>
    <w:rsid w:val="00C86F8D"/>
    <w:rsid w:val="00C901DB"/>
    <w:rsid w:val="00C93AA6"/>
    <w:rsid w:val="00C93DFB"/>
    <w:rsid w:val="00C96038"/>
    <w:rsid w:val="00CA2CD9"/>
    <w:rsid w:val="00CA41C4"/>
    <w:rsid w:val="00CB065A"/>
    <w:rsid w:val="00CB0795"/>
    <w:rsid w:val="00CB14E0"/>
    <w:rsid w:val="00CB2C65"/>
    <w:rsid w:val="00CB363E"/>
    <w:rsid w:val="00CB450B"/>
    <w:rsid w:val="00CB5486"/>
    <w:rsid w:val="00CB5B1C"/>
    <w:rsid w:val="00CB69D2"/>
    <w:rsid w:val="00CC2CBA"/>
    <w:rsid w:val="00CC402F"/>
    <w:rsid w:val="00CC4600"/>
    <w:rsid w:val="00CC4A2B"/>
    <w:rsid w:val="00CC60C6"/>
    <w:rsid w:val="00CC79B1"/>
    <w:rsid w:val="00CC79D0"/>
    <w:rsid w:val="00CD0863"/>
    <w:rsid w:val="00CD2E79"/>
    <w:rsid w:val="00CD5303"/>
    <w:rsid w:val="00CD5668"/>
    <w:rsid w:val="00CD79C3"/>
    <w:rsid w:val="00CE0830"/>
    <w:rsid w:val="00CE1E66"/>
    <w:rsid w:val="00CE2D04"/>
    <w:rsid w:val="00CE43CB"/>
    <w:rsid w:val="00CE66E5"/>
    <w:rsid w:val="00CE67E6"/>
    <w:rsid w:val="00CF12F8"/>
    <w:rsid w:val="00CF23D9"/>
    <w:rsid w:val="00CF3C53"/>
    <w:rsid w:val="00CF6109"/>
    <w:rsid w:val="00CF6537"/>
    <w:rsid w:val="00CF756F"/>
    <w:rsid w:val="00D00D59"/>
    <w:rsid w:val="00D03110"/>
    <w:rsid w:val="00D11DE1"/>
    <w:rsid w:val="00D1297F"/>
    <w:rsid w:val="00D12AF1"/>
    <w:rsid w:val="00D12C96"/>
    <w:rsid w:val="00D14289"/>
    <w:rsid w:val="00D14379"/>
    <w:rsid w:val="00D1491A"/>
    <w:rsid w:val="00D153BC"/>
    <w:rsid w:val="00D20381"/>
    <w:rsid w:val="00D218B5"/>
    <w:rsid w:val="00D22DD8"/>
    <w:rsid w:val="00D22F0C"/>
    <w:rsid w:val="00D24090"/>
    <w:rsid w:val="00D2465C"/>
    <w:rsid w:val="00D251EC"/>
    <w:rsid w:val="00D268CC"/>
    <w:rsid w:val="00D274D8"/>
    <w:rsid w:val="00D30108"/>
    <w:rsid w:val="00D322E6"/>
    <w:rsid w:val="00D351FB"/>
    <w:rsid w:val="00D36846"/>
    <w:rsid w:val="00D43A46"/>
    <w:rsid w:val="00D449E4"/>
    <w:rsid w:val="00D44E82"/>
    <w:rsid w:val="00D4514F"/>
    <w:rsid w:val="00D46433"/>
    <w:rsid w:val="00D472CE"/>
    <w:rsid w:val="00D47CD4"/>
    <w:rsid w:val="00D47D31"/>
    <w:rsid w:val="00D502E1"/>
    <w:rsid w:val="00D502E4"/>
    <w:rsid w:val="00D51988"/>
    <w:rsid w:val="00D51EC1"/>
    <w:rsid w:val="00D5265F"/>
    <w:rsid w:val="00D53B9E"/>
    <w:rsid w:val="00D53BAB"/>
    <w:rsid w:val="00D543F1"/>
    <w:rsid w:val="00D55D06"/>
    <w:rsid w:val="00D57A18"/>
    <w:rsid w:val="00D60143"/>
    <w:rsid w:val="00D60BCF"/>
    <w:rsid w:val="00D60C92"/>
    <w:rsid w:val="00D613E7"/>
    <w:rsid w:val="00D620BC"/>
    <w:rsid w:val="00D621BE"/>
    <w:rsid w:val="00D62C26"/>
    <w:rsid w:val="00D6398A"/>
    <w:rsid w:val="00D662D4"/>
    <w:rsid w:val="00D71E62"/>
    <w:rsid w:val="00D71F39"/>
    <w:rsid w:val="00D72F77"/>
    <w:rsid w:val="00D7578F"/>
    <w:rsid w:val="00D75EEC"/>
    <w:rsid w:val="00D77C43"/>
    <w:rsid w:val="00D8265C"/>
    <w:rsid w:val="00D83039"/>
    <w:rsid w:val="00D830C3"/>
    <w:rsid w:val="00D85AF3"/>
    <w:rsid w:val="00D86117"/>
    <w:rsid w:val="00D8776C"/>
    <w:rsid w:val="00D906F1"/>
    <w:rsid w:val="00D91278"/>
    <w:rsid w:val="00D913F7"/>
    <w:rsid w:val="00D915DC"/>
    <w:rsid w:val="00D945A9"/>
    <w:rsid w:val="00D95288"/>
    <w:rsid w:val="00D95ED3"/>
    <w:rsid w:val="00D95F95"/>
    <w:rsid w:val="00D9618E"/>
    <w:rsid w:val="00D964B7"/>
    <w:rsid w:val="00D96A09"/>
    <w:rsid w:val="00DA228D"/>
    <w:rsid w:val="00DA2D9C"/>
    <w:rsid w:val="00DA3928"/>
    <w:rsid w:val="00DA50AB"/>
    <w:rsid w:val="00DA5498"/>
    <w:rsid w:val="00DB0192"/>
    <w:rsid w:val="00DB1CD4"/>
    <w:rsid w:val="00DB2003"/>
    <w:rsid w:val="00DB316B"/>
    <w:rsid w:val="00DB4493"/>
    <w:rsid w:val="00DB4AD9"/>
    <w:rsid w:val="00DC1148"/>
    <w:rsid w:val="00DC1D27"/>
    <w:rsid w:val="00DC2ACB"/>
    <w:rsid w:val="00DC2C40"/>
    <w:rsid w:val="00DC2ED3"/>
    <w:rsid w:val="00DC3A36"/>
    <w:rsid w:val="00DC6052"/>
    <w:rsid w:val="00DD14F4"/>
    <w:rsid w:val="00DD3097"/>
    <w:rsid w:val="00DD441E"/>
    <w:rsid w:val="00DE15E1"/>
    <w:rsid w:val="00DE220C"/>
    <w:rsid w:val="00DE314D"/>
    <w:rsid w:val="00DE4028"/>
    <w:rsid w:val="00DE4B50"/>
    <w:rsid w:val="00DE50DE"/>
    <w:rsid w:val="00DF3C8C"/>
    <w:rsid w:val="00DF452E"/>
    <w:rsid w:val="00DF4BE4"/>
    <w:rsid w:val="00E01FF0"/>
    <w:rsid w:val="00E0222F"/>
    <w:rsid w:val="00E023FE"/>
    <w:rsid w:val="00E03358"/>
    <w:rsid w:val="00E036CA"/>
    <w:rsid w:val="00E03A48"/>
    <w:rsid w:val="00E049FB"/>
    <w:rsid w:val="00E05E1B"/>
    <w:rsid w:val="00E05EE3"/>
    <w:rsid w:val="00E066C3"/>
    <w:rsid w:val="00E11273"/>
    <w:rsid w:val="00E1130F"/>
    <w:rsid w:val="00E20522"/>
    <w:rsid w:val="00E22C6D"/>
    <w:rsid w:val="00E23DF8"/>
    <w:rsid w:val="00E24F2B"/>
    <w:rsid w:val="00E26E13"/>
    <w:rsid w:val="00E27D5C"/>
    <w:rsid w:val="00E30F4E"/>
    <w:rsid w:val="00E340DB"/>
    <w:rsid w:val="00E34396"/>
    <w:rsid w:val="00E35512"/>
    <w:rsid w:val="00E3748C"/>
    <w:rsid w:val="00E4043C"/>
    <w:rsid w:val="00E41B1B"/>
    <w:rsid w:val="00E43440"/>
    <w:rsid w:val="00E47B14"/>
    <w:rsid w:val="00E52C09"/>
    <w:rsid w:val="00E5457D"/>
    <w:rsid w:val="00E54CF8"/>
    <w:rsid w:val="00E61222"/>
    <w:rsid w:val="00E62077"/>
    <w:rsid w:val="00E63923"/>
    <w:rsid w:val="00E6508E"/>
    <w:rsid w:val="00E658A2"/>
    <w:rsid w:val="00E670F0"/>
    <w:rsid w:val="00E67DDB"/>
    <w:rsid w:val="00E67E66"/>
    <w:rsid w:val="00E76623"/>
    <w:rsid w:val="00E76C08"/>
    <w:rsid w:val="00E7748E"/>
    <w:rsid w:val="00E82D1B"/>
    <w:rsid w:val="00E85494"/>
    <w:rsid w:val="00E854BE"/>
    <w:rsid w:val="00E878C5"/>
    <w:rsid w:val="00E87FAE"/>
    <w:rsid w:val="00E90F8E"/>
    <w:rsid w:val="00E91A74"/>
    <w:rsid w:val="00E9267D"/>
    <w:rsid w:val="00E92AF1"/>
    <w:rsid w:val="00E93A02"/>
    <w:rsid w:val="00E94B8F"/>
    <w:rsid w:val="00E9758A"/>
    <w:rsid w:val="00E97F76"/>
    <w:rsid w:val="00EA0AC5"/>
    <w:rsid w:val="00EA12B4"/>
    <w:rsid w:val="00EA3D49"/>
    <w:rsid w:val="00EB0629"/>
    <w:rsid w:val="00EB1A9A"/>
    <w:rsid w:val="00EB1ED0"/>
    <w:rsid w:val="00EB42AB"/>
    <w:rsid w:val="00EB4DB6"/>
    <w:rsid w:val="00EB7EA3"/>
    <w:rsid w:val="00EC0272"/>
    <w:rsid w:val="00EC04C2"/>
    <w:rsid w:val="00EC0A85"/>
    <w:rsid w:val="00EC1138"/>
    <w:rsid w:val="00EC204A"/>
    <w:rsid w:val="00EC2424"/>
    <w:rsid w:val="00EC272D"/>
    <w:rsid w:val="00EC4604"/>
    <w:rsid w:val="00ED08E1"/>
    <w:rsid w:val="00ED17E9"/>
    <w:rsid w:val="00ED2103"/>
    <w:rsid w:val="00ED4654"/>
    <w:rsid w:val="00EE246F"/>
    <w:rsid w:val="00EE4D0B"/>
    <w:rsid w:val="00EE4EF2"/>
    <w:rsid w:val="00EE583D"/>
    <w:rsid w:val="00EE62CB"/>
    <w:rsid w:val="00EF00CB"/>
    <w:rsid w:val="00EF070B"/>
    <w:rsid w:val="00EF1CF7"/>
    <w:rsid w:val="00EF6E8C"/>
    <w:rsid w:val="00EF7987"/>
    <w:rsid w:val="00F00A0E"/>
    <w:rsid w:val="00F044B3"/>
    <w:rsid w:val="00F0578D"/>
    <w:rsid w:val="00F05C1E"/>
    <w:rsid w:val="00F05E99"/>
    <w:rsid w:val="00F06160"/>
    <w:rsid w:val="00F06226"/>
    <w:rsid w:val="00F0676B"/>
    <w:rsid w:val="00F0691D"/>
    <w:rsid w:val="00F108E1"/>
    <w:rsid w:val="00F13CF5"/>
    <w:rsid w:val="00F21254"/>
    <w:rsid w:val="00F2211E"/>
    <w:rsid w:val="00F23953"/>
    <w:rsid w:val="00F272E4"/>
    <w:rsid w:val="00F310AA"/>
    <w:rsid w:val="00F3364C"/>
    <w:rsid w:val="00F338E0"/>
    <w:rsid w:val="00F347C3"/>
    <w:rsid w:val="00F34A06"/>
    <w:rsid w:val="00F34AA4"/>
    <w:rsid w:val="00F35B9E"/>
    <w:rsid w:val="00F42E01"/>
    <w:rsid w:val="00F4480F"/>
    <w:rsid w:val="00F44BF0"/>
    <w:rsid w:val="00F44F56"/>
    <w:rsid w:val="00F466D2"/>
    <w:rsid w:val="00F4677D"/>
    <w:rsid w:val="00F4726C"/>
    <w:rsid w:val="00F47357"/>
    <w:rsid w:val="00F47AE7"/>
    <w:rsid w:val="00F5056F"/>
    <w:rsid w:val="00F50819"/>
    <w:rsid w:val="00F51C8E"/>
    <w:rsid w:val="00F51F4E"/>
    <w:rsid w:val="00F530D8"/>
    <w:rsid w:val="00F5359C"/>
    <w:rsid w:val="00F54DBD"/>
    <w:rsid w:val="00F5588B"/>
    <w:rsid w:val="00F55D37"/>
    <w:rsid w:val="00F64A36"/>
    <w:rsid w:val="00F6558B"/>
    <w:rsid w:val="00F6696A"/>
    <w:rsid w:val="00F66C73"/>
    <w:rsid w:val="00F70598"/>
    <w:rsid w:val="00F7090F"/>
    <w:rsid w:val="00F71F3B"/>
    <w:rsid w:val="00F75A49"/>
    <w:rsid w:val="00F76902"/>
    <w:rsid w:val="00F80511"/>
    <w:rsid w:val="00F8067F"/>
    <w:rsid w:val="00F81FE9"/>
    <w:rsid w:val="00F82CE2"/>
    <w:rsid w:val="00F86123"/>
    <w:rsid w:val="00F8625D"/>
    <w:rsid w:val="00F869D8"/>
    <w:rsid w:val="00F901E6"/>
    <w:rsid w:val="00F91FB7"/>
    <w:rsid w:val="00F93537"/>
    <w:rsid w:val="00F94407"/>
    <w:rsid w:val="00F94998"/>
    <w:rsid w:val="00F95E94"/>
    <w:rsid w:val="00F961EE"/>
    <w:rsid w:val="00F969A6"/>
    <w:rsid w:val="00F9779F"/>
    <w:rsid w:val="00FA0381"/>
    <w:rsid w:val="00FA6F5A"/>
    <w:rsid w:val="00FA7243"/>
    <w:rsid w:val="00FB324B"/>
    <w:rsid w:val="00FB350F"/>
    <w:rsid w:val="00FB41D9"/>
    <w:rsid w:val="00FB5CBD"/>
    <w:rsid w:val="00FB6198"/>
    <w:rsid w:val="00FC06D8"/>
    <w:rsid w:val="00FC08A6"/>
    <w:rsid w:val="00FC0DC2"/>
    <w:rsid w:val="00FC0E7D"/>
    <w:rsid w:val="00FC234E"/>
    <w:rsid w:val="00FC2DC5"/>
    <w:rsid w:val="00FC3577"/>
    <w:rsid w:val="00FC38F8"/>
    <w:rsid w:val="00FC52DD"/>
    <w:rsid w:val="00FC5345"/>
    <w:rsid w:val="00FC5511"/>
    <w:rsid w:val="00FC6A26"/>
    <w:rsid w:val="00FC7C89"/>
    <w:rsid w:val="00FD0066"/>
    <w:rsid w:val="00FD070A"/>
    <w:rsid w:val="00FD2B7D"/>
    <w:rsid w:val="00FD468E"/>
    <w:rsid w:val="00FD4D1A"/>
    <w:rsid w:val="00FD5EF8"/>
    <w:rsid w:val="00FD7499"/>
    <w:rsid w:val="00FE086D"/>
    <w:rsid w:val="00FE1319"/>
    <w:rsid w:val="00FE4CE3"/>
    <w:rsid w:val="00FE5A4B"/>
    <w:rsid w:val="00FF3122"/>
    <w:rsid w:val="00FF5A3E"/>
    <w:rsid w:val="00FF6774"/>
    <w:rsid w:val="016A0284"/>
    <w:rsid w:val="01F49314"/>
    <w:rsid w:val="02579553"/>
    <w:rsid w:val="026F6C26"/>
    <w:rsid w:val="0297E0FB"/>
    <w:rsid w:val="02A17CB1"/>
    <w:rsid w:val="02A4BC8A"/>
    <w:rsid w:val="02AA8488"/>
    <w:rsid w:val="038C81B1"/>
    <w:rsid w:val="03BF4511"/>
    <w:rsid w:val="03E2E087"/>
    <w:rsid w:val="047A6820"/>
    <w:rsid w:val="047C1584"/>
    <w:rsid w:val="04FEB5F4"/>
    <w:rsid w:val="0554ED57"/>
    <w:rsid w:val="05A51E74"/>
    <w:rsid w:val="05B58B52"/>
    <w:rsid w:val="05BA0D24"/>
    <w:rsid w:val="05BA4AFB"/>
    <w:rsid w:val="05D80EAE"/>
    <w:rsid w:val="062CA418"/>
    <w:rsid w:val="0689E5E6"/>
    <w:rsid w:val="06FEFD88"/>
    <w:rsid w:val="07114823"/>
    <w:rsid w:val="073C119D"/>
    <w:rsid w:val="075CB0A6"/>
    <w:rsid w:val="0762B350"/>
    <w:rsid w:val="077E9340"/>
    <w:rsid w:val="07A8AE38"/>
    <w:rsid w:val="07E85053"/>
    <w:rsid w:val="08286DFA"/>
    <w:rsid w:val="087FED2B"/>
    <w:rsid w:val="08BE9CE8"/>
    <w:rsid w:val="08E16EF9"/>
    <w:rsid w:val="0938B582"/>
    <w:rsid w:val="0953BA49"/>
    <w:rsid w:val="097A0893"/>
    <w:rsid w:val="09A46F6B"/>
    <w:rsid w:val="09B5C4FB"/>
    <w:rsid w:val="09F69529"/>
    <w:rsid w:val="0A09DBD4"/>
    <w:rsid w:val="0A6B03BB"/>
    <w:rsid w:val="0B24FFBC"/>
    <w:rsid w:val="0B420806"/>
    <w:rsid w:val="0B757083"/>
    <w:rsid w:val="0BA4E207"/>
    <w:rsid w:val="0BC69D93"/>
    <w:rsid w:val="0BC9DE03"/>
    <w:rsid w:val="0C1204CA"/>
    <w:rsid w:val="0C592B4D"/>
    <w:rsid w:val="0C70947D"/>
    <w:rsid w:val="0CF24DD3"/>
    <w:rsid w:val="0D0ECA7B"/>
    <w:rsid w:val="0D292F47"/>
    <w:rsid w:val="0D3A59E3"/>
    <w:rsid w:val="0D81FD02"/>
    <w:rsid w:val="0DC6EF10"/>
    <w:rsid w:val="0DDCD245"/>
    <w:rsid w:val="0E4B363B"/>
    <w:rsid w:val="0E8DBBA4"/>
    <w:rsid w:val="0E9483AA"/>
    <w:rsid w:val="0EC07B67"/>
    <w:rsid w:val="0EF929E7"/>
    <w:rsid w:val="0F37269C"/>
    <w:rsid w:val="0F55EF2D"/>
    <w:rsid w:val="0F732EF8"/>
    <w:rsid w:val="0F8018FC"/>
    <w:rsid w:val="0F921AC5"/>
    <w:rsid w:val="0F947AB5"/>
    <w:rsid w:val="1004ED2F"/>
    <w:rsid w:val="108F88AB"/>
    <w:rsid w:val="10DEFE0F"/>
    <w:rsid w:val="10EECE67"/>
    <w:rsid w:val="111864C2"/>
    <w:rsid w:val="11714ABE"/>
    <w:rsid w:val="117BA9D6"/>
    <w:rsid w:val="11F0F310"/>
    <w:rsid w:val="1240F062"/>
    <w:rsid w:val="12442A14"/>
    <w:rsid w:val="12DDEDC3"/>
    <w:rsid w:val="1359DA31"/>
    <w:rsid w:val="1378FCE7"/>
    <w:rsid w:val="13E3F15D"/>
    <w:rsid w:val="14635FDE"/>
    <w:rsid w:val="14BDA2E4"/>
    <w:rsid w:val="14D02C20"/>
    <w:rsid w:val="15CDA7F0"/>
    <w:rsid w:val="15E05330"/>
    <w:rsid w:val="15E47CAF"/>
    <w:rsid w:val="161F917E"/>
    <w:rsid w:val="166296F7"/>
    <w:rsid w:val="1723CF11"/>
    <w:rsid w:val="17740148"/>
    <w:rsid w:val="178EB50D"/>
    <w:rsid w:val="1795E6A4"/>
    <w:rsid w:val="179D57A9"/>
    <w:rsid w:val="17B50B87"/>
    <w:rsid w:val="17CAF123"/>
    <w:rsid w:val="18269A9E"/>
    <w:rsid w:val="1831C13B"/>
    <w:rsid w:val="18E538F4"/>
    <w:rsid w:val="18EA4107"/>
    <w:rsid w:val="193F07E0"/>
    <w:rsid w:val="1940D87E"/>
    <w:rsid w:val="19466730"/>
    <w:rsid w:val="1A409599"/>
    <w:rsid w:val="1A5B619A"/>
    <w:rsid w:val="1AD71723"/>
    <w:rsid w:val="1B160A50"/>
    <w:rsid w:val="1B613CA7"/>
    <w:rsid w:val="1C068326"/>
    <w:rsid w:val="1C169A02"/>
    <w:rsid w:val="1C547272"/>
    <w:rsid w:val="1CC9B181"/>
    <w:rsid w:val="1CE95DE4"/>
    <w:rsid w:val="1D13AAE7"/>
    <w:rsid w:val="1DA6DE9D"/>
    <w:rsid w:val="1E638D9F"/>
    <w:rsid w:val="1F1CAB15"/>
    <w:rsid w:val="1F2237CC"/>
    <w:rsid w:val="1F5D6F95"/>
    <w:rsid w:val="1F91C964"/>
    <w:rsid w:val="1FEA6230"/>
    <w:rsid w:val="20021A6B"/>
    <w:rsid w:val="2043E15E"/>
    <w:rsid w:val="21627CA7"/>
    <w:rsid w:val="21A035FF"/>
    <w:rsid w:val="21C02F1F"/>
    <w:rsid w:val="21C93792"/>
    <w:rsid w:val="21D7FE94"/>
    <w:rsid w:val="22661EC8"/>
    <w:rsid w:val="228DE548"/>
    <w:rsid w:val="22AAA327"/>
    <w:rsid w:val="22D05A24"/>
    <w:rsid w:val="23028B90"/>
    <w:rsid w:val="23901943"/>
    <w:rsid w:val="24233510"/>
    <w:rsid w:val="2432E0A3"/>
    <w:rsid w:val="2436734D"/>
    <w:rsid w:val="24694A96"/>
    <w:rsid w:val="248A2D26"/>
    <w:rsid w:val="24A9B327"/>
    <w:rsid w:val="2511FC8F"/>
    <w:rsid w:val="251857B4"/>
    <w:rsid w:val="251FE823"/>
    <w:rsid w:val="25770064"/>
    <w:rsid w:val="261276B5"/>
    <w:rsid w:val="265644C0"/>
    <w:rsid w:val="26B08A7C"/>
    <w:rsid w:val="26B88693"/>
    <w:rsid w:val="26BD6981"/>
    <w:rsid w:val="26E993B1"/>
    <w:rsid w:val="27036272"/>
    <w:rsid w:val="2737C0BA"/>
    <w:rsid w:val="2745EDE7"/>
    <w:rsid w:val="27461D72"/>
    <w:rsid w:val="275D4D0D"/>
    <w:rsid w:val="27F7F902"/>
    <w:rsid w:val="2827F392"/>
    <w:rsid w:val="282ABAB8"/>
    <w:rsid w:val="28338E60"/>
    <w:rsid w:val="2847B8D3"/>
    <w:rsid w:val="284D463E"/>
    <w:rsid w:val="28C8E2BF"/>
    <w:rsid w:val="28F709A1"/>
    <w:rsid w:val="2AC2BD62"/>
    <w:rsid w:val="2AD61213"/>
    <w:rsid w:val="2B0DF2B7"/>
    <w:rsid w:val="2B37824E"/>
    <w:rsid w:val="2B4A4107"/>
    <w:rsid w:val="2B4B9376"/>
    <w:rsid w:val="2C680544"/>
    <w:rsid w:val="2C771790"/>
    <w:rsid w:val="2CA22866"/>
    <w:rsid w:val="2D04AEFE"/>
    <w:rsid w:val="2D5B79BF"/>
    <w:rsid w:val="2D5C1473"/>
    <w:rsid w:val="2D60B6EE"/>
    <w:rsid w:val="2D8594DB"/>
    <w:rsid w:val="2D9009DC"/>
    <w:rsid w:val="2D9C826A"/>
    <w:rsid w:val="2DAE0CC9"/>
    <w:rsid w:val="2E3D857A"/>
    <w:rsid w:val="2EB3459D"/>
    <w:rsid w:val="2F0BF9B6"/>
    <w:rsid w:val="2F3D3330"/>
    <w:rsid w:val="2F6005F5"/>
    <w:rsid w:val="2F8F355E"/>
    <w:rsid w:val="2F980F81"/>
    <w:rsid w:val="2FED00C9"/>
    <w:rsid w:val="2FF798A8"/>
    <w:rsid w:val="30032CA0"/>
    <w:rsid w:val="302CC7A5"/>
    <w:rsid w:val="3171F4AC"/>
    <w:rsid w:val="31A8E1B1"/>
    <w:rsid w:val="31F2577E"/>
    <w:rsid w:val="3228D9DF"/>
    <w:rsid w:val="32CD429B"/>
    <w:rsid w:val="32EEFA96"/>
    <w:rsid w:val="3329F315"/>
    <w:rsid w:val="340E6378"/>
    <w:rsid w:val="34CC3CAF"/>
    <w:rsid w:val="34E21989"/>
    <w:rsid w:val="34F3A33C"/>
    <w:rsid w:val="350C6784"/>
    <w:rsid w:val="3519EE9E"/>
    <w:rsid w:val="351E24D1"/>
    <w:rsid w:val="35672EA2"/>
    <w:rsid w:val="35700432"/>
    <w:rsid w:val="360C5DF5"/>
    <w:rsid w:val="360C8EEB"/>
    <w:rsid w:val="3657B7C6"/>
    <w:rsid w:val="368BD1C9"/>
    <w:rsid w:val="3701F05C"/>
    <w:rsid w:val="3706AD08"/>
    <w:rsid w:val="37143189"/>
    <w:rsid w:val="371D6E1B"/>
    <w:rsid w:val="373B4432"/>
    <w:rsid w:val="37A67773"/>
    <w:rsid w:val="37AA39D6"/>
    <w:rsid w:val="37E7349D"/>
    <w:rsid w:val="388971CA"/>
    <w:rsid w:val="38906817"/>
    <w:rsid w:val="38E72455"/>
    <w:rsid w:val="392FA571"/>
    <w:rsid w:val="39D16BB6"/>
    <w:rsid w:val="39D1FA7F"/>
    <w:rsid w:val="39DDA748"/>
    <w:rsid w:val="39E6A1CF"/>
    <w:rsid w:val="3A073ABF"/>
    <w:rsid w:val="3A5595AF"/>
    <w:rsid w:val="3A8D85BB"/>
    <w:rsid w:val="3AAF7167"/>
    <w:rsid w:val="3AF79D0F"/>
    <w:rsid w:val="3B227EC8"/>
    <w:rsid w:val="3BC3BFA3"/>
    <w:rsid w:val="3BFF6E80"/>
    <w:rsid w:val="3C8ADE0A"/>
    <w:rsid w:val="3CDCDDFF"/>
    <w:rsid w:val="3CFC5CC3"/>
    <w:rsid w:val="3D35B68A"/>
    <w:rsid w:val="3DF23470"/>
    <w:rsid w:val="3E1383CA"/>
    <w:rsid w:val="3E59051C"/>
    <w:rsid w:val="3EA1713F"/>
    <w:rsid w:val="3F1B8311"/>
    <w:rsid w:val="3F25329D"/>
    <w:rsid w:val="4025E235"/>
    <w:rsid w:val="403E684A"/>
    <w:rsid w:val="40B744FA"/>
    <w:rsid w:val="40B94C2C"/>
    <w:rsid w:val="41520A89"/>
    <w:rsid w:val="418D61CC"/>
    <w:rsid w:val="41A57D64"/>
    <w:rsid w:val="4207C161"/>
    <w:rsid w:val="4222E1F5"/>
    <w:rsid w:val="42E7AEF2"/>
    <w:rsid w:val="42F92772"/>
    <w:rsid w:val="43621CAF"/>
    <w:rsid w:val="43718B7B"/>
    <w:rsid w:val="439E83D9"/>
    <w:rsid w:val="43A824AF"/>
    <w:rsid w:val="43BCB0BA"/>
    <w:rsid w:val="43DEE4FD"/>
    <w:rsid w:val="442DC85F"/>
    <w:rsid w:val="44B8AEA0"/>
    <w:rsid w:val="44D56E20"/>
    <w:rsid w:val="454BB842"/>
    <w:rsid w:val="45B56109"/>
    <w:rsid w:val="45EA2638"/>
    <w:rsid w:val="464B61BF"/>
    <w:rsid w:val="46ADD21C"/>
    <w:rsid w:val="47061766"/>
    <w:rsid w:val="471CEA44"/>
    <w:rsid w:val="4727D26C"/>
    <w:rsid w:val="472B01EF"/>
    <w:rsid w:val="4735EB1D"/>
    <w:rsid w:val="47387BF8"/>
    <w:rsid w:val="47B4283C"/>
    <w:rsid w:val="47EEDCD5"/>
    <w:rsid w:val="48022A46"/>
    <w:rsid w:val="48433421"/>
    <w:rsid w:val="488CF016"/>
    <w:rsid w:val="48D00024"/>
    <w:rsid w:val="48D3A9B3"/>
    <w:rsid w:val="48E93FCA"/>
    <w:rsid w:val="4906463B"/>
    <w:rsid w:val="4915FD36"/>
    <w:rsid w:val="491FC231"/>
    <w:rsid w:val="494484DD"/>
    <w:rsid w:val="4954D99F"/>
    <w:rsid w:val="49598E38"/>
    <w:rsid w:val="49FC007A"/>
    <w:rsid w:val="4A21DBF2"/>
    <w:rsid w:val="4A23522D"/>
    <w:rsid w:val="4A3B0324"/>
    <w:rsid w:val="4A72E431"/>
    <w:rsid w:val="4A9C4B78"/>
    <w:rsid w:val="4AD46C2D"/>
    <w:rsid w:val="4B283948"/>
    <w:rsid w:val="4B9F3F2C"/>
    <w:rsid w:val="4BC6AD3F"/>
    <w:rsid w:val="4BE4AA0D"/>
    <w:rsid w:val="4C3198CF"/>
    <w:rsid w:val="4C5630F2"/>
    <w:rsid w:val="4C9075A0"/>
    <w:rsid w:val="4CA0C377"/>
    <w:rsid w:val="4CD74070"/>
    <w:rsid w:val="4D6723AA"/>
    <w:rsid w:val="4D80D92D"/>
    <w:rsid w:val="4DAAE0C6"/>
    <w:rsid w:val="4E11020E"/>
    <w:rsid w:val="4E7C54CA"/>
    <w:rsid w:val="4ED21A79"/>
    <w:rsid w:val="4F6D77F2"/>
    <w:rsid w:val="4FFD14D7"/>
    <w:rsid w:val="5076991C"/>
    <w:rsid w:val="50804769"/>
    <w:rsid w:val="50CFD8A1"/>
    <w:rsid w:val="50DE664F"/>
    <w:rsid w:val="50EDC578"/>
    <w:rsid w:val="51364EFE"/>
    <w:rsid w:val="513C2304"/>
    <w:rsid w:val="51D621AA"/>
    <w:rsid w:val="51DA804F"/>
    <w:rsid w:val="51F6A129"/>
    <w:rsid w:val="523105F0"/>
    <w:rsid w:val="530DFED6"/>
    <w:rsid w:val="531A9B78"/>
    <w:rsid w:val="53709ED1"/>
    <w:rsid w:val="53B21726"/>
    <w:rsid w:val="54276986"/>
    <w:rsid w:val="5435EE8A"/>
    <w:rsid w:val="54409FDE"/>
    <w:rsid w:val="548F7CBF"/>
    <w:rsid w:val="550F6DF9"/>
    <w:rsid w:val="553B05C4"/>
    <w:rsid w:val="5554EB5D"/>
    <w:rsid w:val="5560DCAD"/>
    <w:rsid w:val="55D4DD91"/>
    <w:rsid w:val="5601B1E4"/>
    <w:rsid w:val="5632D007"/>
    <w:rsid w:val="56807B8F"/>
    <w:rsid w:val="56DC6611"/>
    <w:rsid w:val="56F80454"/>
    <w:rsid w:val="56F94F0E"/>
    <w:rsid w:val="57A460F3"/>
    <w:rsid w:val="57B8CFB5"/>
    <w:rsid w:val="5886ADD0"/>
    <w:rsid w:val="58D5406B"/>
    <w:rsid w:val="590276D7"/>
    <w:rsid w:val="5934819B"/>
    <w:rsid w:val="5992BE92"/>
    <w:rsid w:val="599ADCAF"/>
    <w:rsid w:val="59DD74D9"/>
    <w:rsid w:val="5A847F7E"/>
    <w:rsid w:val="5A8BB644"/>
    <w:rsid w:val="5A8D8F7E"/>
    <w:rsid w:val="5B7EE93B"/>
    <w:rsid w:val="5BD926FA"/>
    <w:rsid w:val="5BE4C7CE"/>
    <w:rsid w:val="5BF61620"/>
    <w:rsid w:val="5C1D454B"/>
    <w:rsid w:val="5C5191D8"/>
    <w:rsid w:val="5C909876"/>
    <w:rsid w:val="5C9481D1"/>
    <w:rsid w:val="5CC049CA"/>
    <w:rsid w:val="5CF36C5E"/>
    <w:rsid w:val="5D060B8A"/>
    <w:rsid w:val="5D17F1E9"/>
    <w:rsid w:val="5D34AD41"/>
    <w:rsid w:val="5D53595B"/>
    <w:rsid w:val="5E2FFD06"/>
    <w:rsid w:val="5E6624DD"/>
    <w:rsid w:val="5EBB8B7C"/>
    <w:rsid w:val="5EBCE032"/>
    <w:rsid w:val="5F057A4E"/>
    <w:rsid w:val="5F300CFA"/>
    <w:rsid w:val="5F62B235"/>
    <w:rsid w:val="5F7E24EE"/>
    <w:rsid w:val="5FDE7CDD"/>
    <w:rsid w:val="6019687E"/>
    <w:rsid w:val="6019B7DB"/>
    <w:rsid w:val="601F5305"/>
    <w:rsid w:val="608643AD"/>
    <w:rsid w:val="6086F1F5"/>
    <w:rsid w:val="60A99D46"/>
    <w:rsid w:val="60C49558"/>
    <w:rsid w:val="60EC2D09"/>
    <w:rsid w:val="60FF4462"/>
    <w:rsid w:val="614B8FD3"/>
    <w:rsid w:val="6161013E"/>
    <w:rsid w:val="618AD833"/>
    <w:rsid w:val="61AA3AFC"/>
    <w:rsid w:val="62022248"/>
    <w:rsid w:val="623A4DF3"/>
    <w:rsid w:val="625A870D"/>
    <w:rsid w:val="62DE5F4D"/>
    <w:rsid w:val="63551304"/>
    <w:rsid w:val="636CE0AC"/>
    <w:rsid w:val="63927340"/>
    <w:rsid w:val="6392DEEB"/>
    <w:rsid w:val="63CC82BA"/>
    <w:rsid w:val="63DDB2A6"/>
    <w:rsid w:val="641B622F"/>
    <w:rsid w:val="64317113"/>
    <w:rsid w:val="646279A9"/>
    <w:rsid w:val="648DB409"/>
    <w:rsid w:val="64B05129"/>
    <w:rsid w:val="64BEBB5C"/>
    <w:rsid w:val="6526D8FB"/>
    <w:rsid w:val="65B40534"/>
    <w:rsid w:val="65E874CC"/>
    <w:rsid w:val="66369EED"/>
    <w:rsid w:val="665438F2"/>
    <w:rsid w:val="6667EFD2"/>
    <w:rsid w:val="66830E72"/>
    <w:rsid w:val="66BC7469"/>
    <w:rsid w:val="66E8DC02"/>
    <w:rsid w:val="67FB0C08"/>
    <w:rsid w:val="68573E62"/>
    <w:rsid w:val="687E81A1"/>
    <w:rsid w:val="68AE5D29"/>
    <w:rsid w:val="68CDA576"/>
    <w:rsid w:val="693CBF78"/>
    <w:rsid w:val="69955443"/>
    <w:rsid w:val="699C8800"/>
    <w:rsid w:val="69BCB848"/>
    <w:rsid w:val="6A295189"/>
    <w:rsid w:val="6A8E946A"/>
    <w:rsid w:val="6AA700A1"/>
    <w:rsid w:val="6AE15ECD"/>
    <w:rsid w:val="6B19E10F"/>
    <w:rsid w:val="6B3A3B2B"/>
    <w:rsid w:val="6B67E387"/>
    <w:rsid w:val="6B8B7AB8"/>
    <w:rsid w:val="6BC33FC5"/>
    <w:rsid w:val="6CBA5400"/>
    <w:rsid w:val="6CFB0CAC"/>
    <w:rsid w:val="6D1C8AB2"/>
    <w:rsid w:val="6D5A913E"/>
    <w:rsid w:val="6D64B437"/>
    <w:rsid w:val="6D75A004"/>
    <w:rsid w:val="6D8ABE94"/>
    <w:rsid w:val="6D9FA550"/>
    <w:rsid w:val="6E19FDE6"/>
    <w:rsid w:val="6E1D005B"/>
    <w:rsid w:val="6E321610"/>
    <w:rsid w:val="6E3579D7"/>
    <w:rsid w:val="6E646F12"/>
    <w:rsid w:val="6EE9445F"/>
    <w:rsid w:val="6F088031"/>
    <w:rsid w:val="6F8808FA"/>
    <w:rsid w:val="6FAF5D1F"/>
    <w:rsid w:val="6FF892F7"/>
    <w:rsid w:val="7011E838"/>
    <w:rsid w:val="70FE3B78"/>
    <w:rsid w:val="7140F12A"/>
    <w:rsid w:val="71454EBB"/>
    <w:rsid w:val="718B4436"/>
    <w:rsid w:val="71CEAB60"/>
    <w:rsid w:val="7203036C"/>
    <w:rsid w:val="7212FF61"/>
    <w:rsid w:val="726F94E9"/>
    <w:rsid w:val="72B8FE52"/>
    <w:rsid w:val="72DA0333"/>
    <w:rsid w:val="7304CB05"/>
    <w:rsid w:val="733B369E"/>
    <w:rsid w:val="7357336A"/>
    <w:rsid w:val="7357F9E2"/>
    <w:rsid w:val="737BC232"/>
    <w:rsid w:val="73B27FB4"/>
    <w:rsid w:val="7464B1EC"/>
    <w:rsid w:val="748A452A"/>
    <w:rsid w:val="74C71A87"/>
    <w:rsid w:val="755BDB13"/>
    <w:rsid w:val="7583FF56"/>
    <w:rsid w:val="7591971C"/>
    <w:rsid w:val="76449BBD"/>
    <w:rsid w:val="76456FBD"/>
    <w:rsid w:val="76836E22"/>
    <w:rsid w:val="76938009"/>
    <w:rsid w:val="76ACA1EB"/>
    <w:rsid w:val="7707422E"/>
    <w:rsid w:val="773AE3F5"/>
    <w:rsid w:val="77BC4F07"/>
    <w:rsid w:val="7863884B"/>
    <w:rsid w:val="786B0823"/>
    <w:rsid w:val="787352E8"/>
    <w:rsid w:val="78772611"/>
    <w:rsid w:val="78E80568"/>
    <w:rsid w:val="79236A31"/>
    <w:rsid w:val="794AEFA9"/>
    <w:rsid w:val="79CB7AB0"/>
    <w:rsid w:val="7A1E1491"/>
    <w:rsid w:val="7B222450"/>
    <w:rsid w:val="7B8638A6"/>
    <w:rsid w:val="7B9746A4"/>
    <w:rsid w:val="7BB73F9E"/>
    <w:rsid w:val="7C2D79EC"/>
    <w:rsid w:val="7C3F9ADA"/>
    <w:rsid w:val="7C5F3C60"/>
    <w:rsid w:val="7C665D7B"/>
    <w:rsid w:val="7C74AE8C"/>
    <w:rsid w:val="7CA1697E"/>
    <w:rsid w:val="7D0834C5"/>
    <w:rsid w:val="7D2A3DF9"/>
    <w:rsid w:val="7E904D32"/>
    <w:rsid w:val="7EA5B7DB"/>
    <w:rsid w:val="7F36937A"/>
    <w:rsid w:val="7F3AC687"/>
    <w:rsid w:val="7F83CCE2"/>
    <w:rsid w:val="7FECF99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A16A8B5-DCF2-475D-84F8-57451806F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DE314D"/>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DE314D"/>
    <w:pPr>
      <w:numPr>
        <w:numId w:val="6"/>
      </w:numPr>
    </w:pPr>
    <w:rPr>
      <w:rFonts w:eastAsia="Times New Roman"/>
      <w:lang w:eastAsia="de-DE"/>
    </w:rPr>
  </w:style>
  <w:style w:type="paragraph" w:customStyle="1" w:styleId="ListBullet1">
    <w:name w:val="List Bullet 1"/>
    <w:basedOn w:val="Normal"/>
    <w:rsid w:val="00DE314D"/>
    <w:pPr>
      <w:numPr>
        <w:numId w:val="1"/>
      </w:numPr>
    </w:pPr>
    <w:rPr>
      <w:rFonts w:eastAsia="Times New Roman"/>
      <w:lang w:eastAsia="de-DE"/>
    </w:rPr>
  </w:style>
  <w:style w:type="paragraph" w:customStyle="1" w:styleId="ListDash">
    <w:name w:val="List Dash"/>
    <w:basedOn w:val="Normal"/>
    <w:rsid w:val="00DE314D"/>
    <w:pPr>
      <w:numPr>
        <w:numId w:val="3"/>
      </w:numPr>
    </w:pPr>
    <w:rPr>
      <w:rFonts w:eastAsia="Times New Roman"/>
      <w:lang w:eastAsia="de-DE"/>
    </w:rPr>
  </w:style>
  <w:style w:type="paragraph" w:customStyle="1" w:styleId="ListDash1">
    <w:name w:val="List Dash 1"/>
    <w:basedOn w:val="Normal"/>
    <w:rsid w:val="00DE314D"/>
    <w:pPr>
      <w:numPr>
        <w:numId w:val="4"/>
      </w:numPr>
    </w:pPr>
    <w:rPr>
      <w:rFonts w:eastAsia="Times New Roman"/>
      <w:lang w:eastAsia="de-DE"/>
    </w:rPr>
  </w:style>
  <w:style w:type="paragraph" w:customStyle="1" w:styleId="ListDash2">
    <w:name w:val="List Dash 2"/>
    <w:basedOn w:val="Normal"/>
    <w:rsid w:val="00DE314D"/>
    <w:pPr>
      <w:numPr>
        <w:numId w:val="5"/>
      </w:numPr>
    </w:pPr>
    <w:rPr>
      <w:rFonts w:eastAsia="Times New Roman"/>
      <w:lang w:eastAsia="de-DE"/>
    </w:rPr>
  </w:style>
  <w:style w:type="paragraph" w:customStyle="1" w:styleId="ListNumberLevel2">
    <w:name w:val="List Number (Level 2)"/>
    <w:basedOn w:val="Normal"/>
    <w:rsid w:val="00DE314D"/>
    <w:pPr>
      <w:numPr>
        <w:ilvl w:val="1"/>
        <w:numId w:val="6"/>
      </w:numPr>
    </w:pPr>
    <w:rPr>
      <w:rFonts w:eastAsia="Times New Roman"/>
      <w:lang w:eastAsia="de-DE"/>
    </w:rPr>
  </w:style>
  <w:style w:type="paragraph" w:customStyle="1" w:styleId="ListNumberLevel3">
    <w:name w:val="List Number (Level 3)"/>
    <w:basedOn w:val="Normal"/>
    <w:rsid w:val="00DE314D"/>
    <w:pPr>
      <w:numPr>
        <w:ilvl w:val="2"/>
        <w:numId w:val="6"/>
      </w:numPr>
    </w:pPr>
    <w:rPr>
      <w:rFonts w:eastAsia="Times New Roman"/>
      <w:lang w:eastAsia="de-DE"/>
    </w:rPr>
  </w:style>
  <w:style w:type="paragraph" w:customStyle="1" w:styleId="ListNumberLevel4">
    <w:name w:val="List Number (Level 4)"/>
    <w:basedOn w:val="Normal"/>
    <w:rsid w:val="00DE314D"/>
    <w:pPr>
      <w:numPr>
        <w:ilvl w:val="3"/>
        <w:numId w:val="6"/>
      </w:numPr>
    </w:pPr>
    <w:rPr>
      <w:rFonts w:eastAsia="Times New Roman"/>
      <w:lang w:eastAsia="de-DE"/>
    </w:rPr>
  </w:style>
  <w:style w:type="table" w:styleId="TableGrid">
    <w:name w:val="Table Grid"/>
    <w:basedOn w:val="TableNormal"/>
    <w:rsid w:val="00DE314D"/>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E314D"/>
    <w:rPr>
      <w:color w:val="0000FF"/>
      <w:u w:val="single"/>
    </w:rPr>
  </w:style>
  <w:style w:type="paragraph" w:styleId="ListBullet">
    <w:name w:val="List Bullet"/>
    <w:basedOn w:val="Normal"/>
    <w:rsid w:val="00DE314D"/>
    <w:pPr>
      <w:numPr>
        <w:numId w:val="7"/>
      </w:numPr>
    </w:pPr>
    <w:rPr>
      <w:rFonts w:eastAsia="Times New Roman"/>
      <w:lang w:eastAsia="en-GB"/>
    </w:rPr>
  </w:style>
  <w:style w:type="paragraph" w:styleId="ListBullet2">
    <w:name w:val="List Bullet 2"/>
    <w:basedOn w:val="Normal"/>
    <w:rsid w:val="00DE314D"/>
    <w:pPr>
      <w:numPr>
        <w:numId w:val="8"/>
      </w:numPr>
    </w:pPr>
    <w:rPr>
      <w:rFonts w:eastAsia="Times New Roman"/>
      <w:lang w:eastAsia="en-GB"/>
    </w:rPr>
  </w:style>
  <w:style w:type="paragraph" w:styleId="ListBullet3">
    <w:name w:val="List Bullet 3"/>
    <w:basedOn w:val="Normal"/>
    <w:rsid w:val="00DE314D"/>
    <w:pPr>
      <w:numPr>
        <w:numId w:val="9"/>
      </w:numPr>
    </w:pPr>
    <w:rPr>
      <w:rFonts w:eastAsia="Times New Roman"/>
      <w:lang w:eastAsia="en-GB"/>
    </w:rPr>
  </w:style>
  <w:style w:type="paragraph" w:styleId="ListNumber2">
    <w:name w:val="List Number 2"/>
    <w:basedOn w:val="Normal"/>
    <w:rsid w:val="00DE314D"/>
    <w:pPr>
      <w:numPr>
        <w:numId w:val="13"/>
      </w:numPr>
    </w:pPr>
    <w:rPr>
      <w:rFonts w:eastAsia="Times New Roman"/>
      <w:lang w:eastAsia="en-GB"/>
    </w:rPr>
  </w:style>
  <w:style w:type="paragraph" w:styleId="ListNumber3">
    <w:name w:val="List Number 3"/>
    <w:basedOn w:val="Normal"/>
    <w:rsid w:val="00DE314D"/>
    <w:pPr>
      <w:numPr>
        <w:numId w:val="14"/>
      </w:numPr>
    </w:pPr>
    <w:rPr>
      <w:rFonts w:eastAsia="Times New Roman"/>
      <w:lang w:eastAsia="en-GB"/>
    </w:rPr>
  </w:style>
  <w:style w:type="paragraph" w:styleId="ListNumber4">
    <w:name w:val="List Number 4"/>
    <w:basedOn w:val="Normal"/>
    <w:rsid w:val="00DE314D"/>
    <w:pPr>
      <w:numPr>
        <w:numId w:val="15"/>
      </w:numPr>
    </w:pPr>
    <w:rPr>
      <w:rFonts w:eastAsia="Times New Roman"/>
      <w:lang w:eastAsia="en-GB"/>
    </w:rPr>
  </w:style>
  <w:style w:type="paragraph" w:customStyle="1" w:styleId="ListDash3">
    <w:name w:val="List Dash 3"/>
    <w:basedOn w:val="Normal"/>
    <w:rsid w:val="00DE314D"/>
    <w:pPr>
      <w:numPr>
        <w:numId w:val="10"/>
      </w:numPr>
    </w:pPr>
    <w:rPr>
      <w:rFonts w:eastAsia="Times New Roman"/>
      <w:lang w:eastAsia="en-GB"/>
    </w:rPr>
  </w:style>
  <w:style w:type="paragraph" w:customStyle="1" w:styleId="ListDash4">
    <w:name w:val="List Dash 4"/>
    <w:basedOn w:val="Normal"/>
    <w:rsid w:val="00DE314D"/>
    <w:pPr>
      <w:numPr>
        <w:numId w:val="11"/>
      </w:numPr>
    </w:pPr>
    <w:rPr>
      <w:rFonts w:eastAsia="Times New Roman"/>
      <w:lang w:eastAsia="en-GB"/>
    </w:rPr>
  </w:style>
  <w:style w:type="paragraph" w:customStyle="1" w:styleId="ListNumber1">
    <w:name w:val="List Number 1"/>
    <w:basedOn w:val="Text1"/>
    <w:rsid w:val="00DE314D"/>
    <w:pPr>
      <w:numPr>
        <w:numId w:val="12"/>
      </w:numPr>
    </w:pPr>
    <w:rPr>
      <w:rFonts w:eastAsia="Times New Roman"/>
      <w:lang w:eastAsia="en-GB"/>
    </w:rPr>
  </w:style>
  <w:style w:type="paragraph" w:customStyle="1" w:styleId="ListNumber1Level2">
    <w:name w:val="List Number 1 (Level 2)"/>
    <w:basedOn w:val="Text1"/>
    <w:rsid w:val="00DE314D"/>
    <w:pPr>
      <w:numPr>
        <w:ilvl w:val="1"/>
        <w:numId w:val="12"/>
      </w:numPr>
    </w:pPr>
    <w:rPr>
      <w:rFonts w:eastAsia="Times New Roman"/>
      <w:lang w:eastAsia="en-GB"/>
    </w:rPr>
  </w:style>
  <w:style w:type="paragraph" w:customStyle="1" w:styleId="ListNumber2Level2">
    <w:name w:val="List Number 2 (Level 2)"/>
    <w:basedOn w:val="Text2"/>
    <w:rsid w:val="00DE314D"/>
    <w:pPr>
      <w:numPr>
        <w:ilvl w:val="1"/>
        <w:numId w:val="13"/>
      </w:numPr>
    </w:pPr>
    <w:rPr>
      <w:rFonts w:eastAsia="Times New Roman"/>
      <w:lang w:eastAsia="en-GB"/>
    </w:rPr>
  </w:style>
  <w:style w:type="paragraph" w:customStyle="1" w:styleId="ListNumber3Level2">
    <w:name w:val="List Number 3 (Level 2)"/>
    <w:basedOn w:val="Text3"/>
    <w:rsid w:val="00DE314D"/>
    <w:pPr>
      <w:numPr>
        <w:ilvl w:val="1"/>
        <w:numId w:val="14"/>
      </w:numPr>
    </w:pPr>
    <w:rPr>
      <w:rFonts w:eastAsia="Times New Roman"/>
      <w:lang w:eastAsia="en-GB"/>
    </w:rPr>
  </w:style>
  <w:style w:type="paragraph" w:customStyle="1" w:styleId="ListNumber4Level2">
    <w:name w:val="List Number 4 (Level 2)"/>
    <w:basedOn w:val="Text4"/>
    <w:rsid w:val="00DE314D"/>
    <w:pPr>
      <w:numPr>
        <w:ilvl w:val="1"/>
        <w:numId w:val="15"/>
      </w:numPr>
    </w:pPr>
    <w:rPr>
      <w:rFonts w:eastAsia="Times New Roman"/>
      <w:lang w:eastAsia="en-GB"/>
    </w:rPr>
  </w:style>
  <w:style w:type="paragraph" w:customStyle="1" w:styleId="ListNumber1Level3">
    <w:name w:val="List Number 1 (Level 3)"/>
    <w:basedOn w:val="Text1"/>
    <w:rsid w:val="00DE314D"/>
    <w:pPr>
      <w:numPr>
        <w:ilvl w:val="2"/>
        <w:numId w:val="12"/>
      </w:numPr>
    </w:pPr>
    <w:rPr>
      <w:rFonts w:eastAsia="Times New Roman"/>
      <w:lang w:eastAsia="en-GB"/>
    </w:rPr>
  </w:style>
  <w:style w:type="paragraph" w:customStyle="1" w:styleId="ListNumber2Level3">
    <w:name w:val="List Number 2 (Level 3)"/>
    <w:basedOn w:val="Text2"/>
    <w:rsid w:val="00DE314D"/>
    <w:pPr>
      <w:numPr>
        <w:ilvl w:val="2"/>
        <w:numId w:val="13"/>
      </w:numPr>
    </w:pPr>
    <w:rPr>
      <w:rFonts w:eastAsia="Times New Roman"/>
      <w:lang w:eastAsia="en-GB"/>
    </w:rPr>
  </w:style>
  <w:style w:type="paragraph" w:customStyle="1" w:styleId="ListNumber3Level3">
    <w:name w:val="List Number 3 (Level 3)"/>
    <w:basedOn w:val="Text3"/>
    <w:rsid w:val="00DE314D"/>
    <w:pPr>
      <w:numPr>
        <w:ilvl w:val="2"/>
        <w:numId w:val="14"/>
      </w:numPr>
    </w:pPr>
    <w:rPr>
      <w:rFonts w:eastAsia="Times New Roman"/>
      <w:lang w:eastAsia="en-GB"/>
    </w:rPr>
  </w:style>
  <w:style w:type="paragraph" w:customStyle="1" w:styleId="ListNumber4Level3">
    <w:name w:val="List Number 4 (Level 3)"/>
    <w:basedOn w:val="Text4"/>
    <w:rsid w:val="00DE314D"/>
    <w:pPr>
      <w:numPr>
        <w:ilvl w:val="2"/>
        <w:numId w:val="15"/>
      </w:numPr>
    </w:pPr>
    <w:rPr>
      <w:rFonts w:eastAsia="Times New Roman"/>
      <w:lang w:eastAsia="en-GB"/>
    </w:rPr>
  </w:style>
  <w:style w:type="paragraph" w:customStyle="1" w:styleId="ListNumber1Level4">
    <w:name w:val="List Number 1 (Level 4)"/>
    <w:basedOn w:val="Text1"/>
    <w:rsid w:val="00DE314D"/>
    <w:pPr>
      <w:numPr>
        <w:ilvl w:val="3"/>
        <w:numId w:val="12"/>
      </w:numPr>
    </w:pPr>
    <w:rPr>
      <w:rFonts w:eastAsia="Times New Roman"/>
      <w:lang w:eastAsia="en-GB"/>
    </w:rPr>
  </w:style>
  <w:style w:type="paragraph" w:customStyle="1" w:styleId="ListNumber2Level4">
    <w:name w:val="List Number 2 (Level 4)"/>
    <w:basedOn w:val="Text2"/>
    <w:rsid w:val="00DE314D"/>
    <w:pPr>
      <w:numPr>
        <w:ilvl w:val="3"/>
        <w:numId w:val="13"/>
      </w:numPr>
    </w:pPr>
    <w:rPr>
      <w:rFonts w:eastAsia="Times New Roman"/>
      <w:lang w:eastAsia="en-GB"/>
    </w:rPr>
  </w:style>
  <w:style w:type="paragraph" w:customStyle="1" w:styleId="ListNumber3Level4">
    <w:name w:val="List Number 3 (Level 4)"/>
    <w:basedOn w:val="Text3"/>
    <w:rsid w:val="00DE314D"/>
    <w:pPr>
      <w:numPr>
        <w:ilvl w:val="3"/>
        <w:numId w:val="14"/>
      </w:numPr>
    </w:pPr>
    <w:rPr>
      <w:rFonts w:eastAsia="Times New Roman"/>
      <w:lang w:eastAsia="en-GB"/>
    </w:rPr>
  </w:style>
  <w:style w:type="paragraph" w:customStyle="1" w:styleId="ListNumber4Level4">
    <w:name w:val="List Number 4 (Level 4)"/>
    <w:basedOn w:val="Text4"/>
    <w:rsid w:val="00DE314D"/>
    <w:pPr>
      <w:numPr>
        <w:ilvl w:val="3"/>
        <w:numId w:val="15"/>
      </w:numPr>
    </w:pPr>
    <w:rPr>
      <w:rFonts w:eastAsia="Times New Roman"/>
      <w:lang w:eastAsia="en-GB"/>
    </w:rPr>
  </w:style>
  <w:style w:type="paragraph" w:customStyle="1" w:styleId="Annexetitreacte">
    <w:name w:val="Annexe titre (acte)"/>
    <w:basedOn w:val="Normal"/>
    <w:next w:val="Normal"/>
    <w:rsid w:val="00DE314D"/>
    <w:pPr>
      <w:jc w:val="center"/>
    </w:pPr>
    <w:rPr>
      <w:rFonts w:eastAsia="Times New Roman"/>
      <w:b/>
      <w:u w:val="single"/>
      <w:lang w:eastAsia="en-GB"/>
    </w:rPr>
  </w:style>
  <w:style w:type="paragraph" w:customStyle="1" w:styleId="Annexetitreexposglobal">
    <w:name w:val="Annexe titre (exposé global)"/>
    <w:basedOn w:val="Normal"/>
    <w:next w:val="Normal"/>
    <w:rsid w:val="00DE314D"/>
    <w:pPr>
      <w:jc w:val="center"/>
    </w:pPr>
    <w:rPr>
      <w:rFonts w:eastAsia="Times New Roman"/>
      <w:b/>
      <w:u w:val="single"/>
      <w:lang w:eastAsia="en-GB"/>
    </w:rPr>
  </w:style>
  <w:style w:type="paragraph" w:customStyle="1" w:styleId="Annexetitrefichefinacte">
    <w:name w:val="Annexe titre (fiche fin. acte)"/>
    <w:basedOn w:val="Normal"/>
    <w:next w:val="Normal"/>
    <w:rsid w:val="00DE314D"/>
    <w:pPr>
      <w:jc w:val="center"/>
    </w:pPr>
    <w:rPr>
      <w:rFonts w:eastAsia="Times New Roman"/>
      <w:b/>
      <w:u w:val="single"/>
      <w:lang w:eastAsia="en-GB"/>
    </w:rPr>
  </w:style>
  <w:style w:type="paragraph" w:customStyle="1" w:styleId="Annexetitrefichefinglobale">
    <w:name w:val="Annexe titre (fiche fin. globale)"/>
    <w:basedOn w:val="Normal"/>
    <w:next w:val="Normal"/>
    <w:rsid w:val="00DE314D"/>
    <w:pPr>
      <w:jc w:val="center"/>
    </w:pPr>
    <w:rPr>
      <w:rFonts w:eastAsia="Times New Roman"/>
      <w:b/>
      <w:u w:val="single"/>
      <w:lang w:eastAsia="en-GB"/>
    </w:rPr>
  </w:style>
  <w:style w:type="paragraph" w:customStyle="1" w:styleId="Annexetitreglobale">
    <w:name w:val="Annexe titre (globale)"/>
    <w:basedOn w:val="Normal"/>
    <w:next w:val="Normal"/>
    <w:rsid w:val="00DE314D"/>
    <w:pPr>
      <w:jc w:val="center"/>
    </w:pPr>
    <w:rPr>
      <w:rFonts w:eastAsia="Times New Roman"/>
      <w:b/>
      <w:u w:val="single"/>
      <w:lang w:eastAsia="en-GB"/>
    </w:rPr>
  </w:style>
  <w:style w:type="paragraph" w:customStyle="1" w:styleId="Exposdesmotifstitreglobal">
    <w:name w:val="Exposé des motifs titre (global)"/>
    <w:basedOn w:val="Normal"/>
    <w:next w:val="Normal"/>
    <w:rsid w:val="00DE314D"/>
    <w:pPr>
      <w:jc w:val="center"/>
    </w:pPr>
    <w:rPr>
      <w:rFonts w:eastAsia="Times New Roman"/>
      <w:b/>
      <w:u w:val="single"/>
      <w:lang w:eastAsia="en-GB"/>
    </w:rPr>
  </w:style>
  <w:style w:type="paragraph" w:customStyle="1" w:styleId="Langueoriginale">
    <w:name w:val="Langue originale"/>
    <w:basedOn w:val="Normal"/>
    <w:rsid w:val="00DE314D"/>
    <w:pPr>
      <w:spacing w:before="360"/>
      <w:jc w:val="center"/>
    </w:pPr>
    <w:rPr>
      <w:rFonts w:eastAsia="Times New Roman"/>
      <w:caps/>
      <w:lang w:eastAsia="en-GB"/>
    </w:rPr>
  </w:style>
  <w:style w:type="paragraph" w:customStyle="1" w:styleId="Phrasefinale">
    <w:name w:val="Phrase finale"/>
    <w:basedOn w:val="Normal"/>
    <w:next w:val="Normal"/>
    <w:rsid w:val="00DE314D"/>
    <w:pPr>
      <w:spacing w:before="360" w:after="0"/>
      <w:jc w:val="center"/>
    </w:pPr>
    <w:rPr>
      <w:rFonts w:eastAsia="Times New Roman"/>
      <w:lang w:eastAsia="en-GB"/>
    </w:rPr>
  </w:style>
  <w:style w:type="paragraph" w:customStyle="1" w:styleId="Prliminairetitre">
    <w:name w:val="Préliminaire titre"/>
    <w:basedOn w:val="Normal"/>
    <w:next w:val="Normal"/>
    <w:rsid w:val="00DE314D"/>
    <w:pPr>
      <w:spacing w:before="360" w:after="360"/>
      <w:jc w:val="center"/>
    </w:pPr>
    <w:rPr>
      <w:rFonts w:eastAsia="Times New Roman"/>
      <w:b/>
      <w:lang w:eastAsia="en-GB"/>
    </w:rPr>
  </w:style>
  <w:style w:type="paragraph" w:customStyle="1" w:styleId="Prliminairetype">
    <w:name w:val="Préliminaire type"/>
    <w:basedOn w:val="Normal"/>
    <w:next w:val="Normal"/>
    <w:rsid w:val="00DE314D"/>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DE314D"/>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DE314D"/>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DE314D"/>
    <w:pPr>
      <w:spacing w:before="0" w:after="0"/>
      <w:ind w:left="5103"/>
      <w:jc w:val="left"/>
    </w:pPr>
    <w:rPr>
      <w:rFonts w:eastAsia="Times New Roman"/>
      <w:lang w:eastAsia="en-GB"/>
    </w:rPr>
  </w:style>
  <w:style w:type="paragraph" w:customStyle="1" w:styleId="Sous-titreobjetprliminaire">
    <w:name w:val="Sous-titre objet (préliminaire)"/>
    <w:basedOn w:val="Normal"/>
    <w:rsid w:val="00DE314D"/>
    <w:pPr>
      <w:spacing w:before="0" w:after="0"/>
      <w:jc w:val="center"/>
    </w:pPr>
    <w:rPr>
      <w:rFonts w:eastAsia="Times New Roman"/>
      <w:b/>
      <w:lang w:eastAsia="en-GB"/>
    </w:rPr>
  </w:style>
  <w:style w:type="paragraph" w:customStyle="1" w:styleId="Statutprliminaire">
    <w:name w:val="Statut (préliminaire)"/>
    <w:basedOn w:val="Normal"/>
    <w:next w:val="Normal"/>
    <w:rsid w:val="00DE314D"/>
    <w:pPr>
      <w:spacing w:before="360" w:after="0"/>
      <w:jc w:val="center"/>
    </w:pPr>
    <w:rPr>
      <w:rFonts w:eastAsia="Times New Roman"/>
      <w:lang w:eastAsia="en-GB"/>
    </w:rPr>
  </w:style>
  <w:style w:type="paragraph" w:customStyle="1" w:styleId="Titreobjetprliminaire">
    <w:name w:val="Titre objet (préliminaire)"/>
    <w:basedOn w:val="Normal"/>
    <w:next w:val="Normal"/>
    <w:rsid w:val="00DE314D"/>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DE314D"/>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DE314D"/>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DE314D"/>
    <w:pPr>
      <w:jc w:val="center"/>
    </w:pPr>
    <w:rPr>
      <w:rFonts w:eastAsia="Times New Roman"/>
      <w:b/>
      <w:u w:val="single"/>
      <w:lang w:eastAsia="en-GB"/>
    </w:rPr>
  </w:style>
  <w:style w:type="paragraph" w:customStyle="1" w:styleId="Fichefinanciretravailtitre">
    <w:name w:val="Fiche financière (travail) titre"/>
    <w:basedOn w:val="Normal"/>
    <w:next w:val="Normal"/>
    <w:rsid w:val="00DE314D"/>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DE314D"/>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DE314D"/>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DE314D"/>
    <w:pPr>
      <w:jc w:val="center"/>
    </w:pPr>
    <w:rPr>
      <w:rFonts w:eastAsia="Times New Roman"/>
      <w:b/>
      <w:u w:val="single"/>
      <w:lang w:eastAsia="en-GB"/>
    </w:rPr>
  </w:style>
  <w:style w:type="character" w:styleId="CommentReference">
    <w:name w:val="annotation reference"/>
    <w:rsid w:val="00DE314D"/>
    <w:rPr>
      <w:rFonts w:cs="Times New Roman"/>
      <w:sz w:val="16"/>
      <w:szCs w:val="16"/>
    </w:rPr>
  </w:style>
  <w:style w:type="paragraph" w:styleId="CommentText">
    <w:name w:val="annotation text"/>
    <w:basedOn w:val="Normal"/>
    <w:link w:val="CommentTextChar"/>
    <w:rsid w:val="00DE314D"/>
    <w:rPr>
      <w:rFonts w:eastAsia="Times New Roman"/>
      <w:sz w:val="20"/>
      <w:szCs w:val="20"/>
      <w:lang w:eastAsia="en-GB"/>
    </w:rPr>
  </w:style>
  <w:style w:type="character" w:customStyle="1" w:styleId="CommentTextChar">
    <w:name w:val="Comment Text Char"/>
    <w:basedOn w:val="DefaultParagraphFont"/>
    <w:link w:val="CommentText"/>
    <w:rsid w:val="00DE314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DE314D"/>
    <w:rPr>
      <w:b/>
      <w:bCs/>
    </w:rPr>
  </w:style>
  <w:style w:type="character" w:customStyle="1" w:styleId="CommentSubjectChar">
    <w:name w:val="Comment Subject Char"/>
    <w:basedOn w:val="CommentTextChar"/>
    <w:link w:val="CommentSubject"/>
    <w:rsid w:val="00DE314D"/>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DE314D"/>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DE314D"/>
    <w:rPr>
      <w:rFonts w:ascii="Tahoma" w:eastAsia="Times New Roman" w:hAnsi="Tahoma" w:cs="Tahoma"/>
      <w:sz w:val="16"/>
      <w:szCs w:val="16"/>
      <w:lang w:val="fr-FR" w:eastAsia="en-GB"/>
    </w:rPr>
  </w:style>
  <w:style w:type="paragraph" w:styleId="Caption">
    <w:name w:val="caption"/>
    <w:basedOn w:val="Normal"/>
    <w:next w:val="Normal"/>
    <w:qFormat/>
    <w:rsid w:val="00DE314D"/>
    <w:rPr>
      <w:rFonts w:eastAsia="Times New Roman"/>
      <w:b/>
      <w:bCs/>
      <w:sz w:val="20"/>
      <w:szCs w:val="20"/>
      <w:lang w:eastAsia="en-GB"/>
    </w:rPr>
  </w:style>
  <w:style w:type="paragraph" w:styleId="TableofFigures">
    <w:name w:val="table of figures"/>
    <w:basedOn w:val="Normal"/>
    <w:next w:val="Normal"/>
    <w:rsid w:val="00DE314D"/>
    <w:rPr>
      <w:rFonts w:eastAsia="Times New Roman"/>
      <w:lang w:eastAsia="en-GB"/>
    </w:rPr>
  </w:style>
  <w:style w:type="character" w:styleId="PageNumber">
    <w:name w:val="page number"/>
    <w:rsid w:val="00DE314D"/>
  </w:style>
  <w:style w:type="character" w:customStyle="1" w:styleId="tw4winMark">
    <w:name w:val="tw4winMark"/>
    <w:rsid w:val="00DE314D"/>
    <w:rPr>
      <w:vanish/>
      <w:color w:val="800080"/>
      <w:vertAlign w:val="subscript"/>
    </w:rPr>
  </w:style>
  <w:style w:type="character" w:styleId="FollowedHyperlink">
    <w:name w:val="FollowedHyperlink"/>
    <w:rsid w:val="00DE314D"/>
    <w:rPr>
      <w:color w:val="800080"/>
      <w:u w:val="single"/>
    </w:rPr>
  </w:style>
  <w:style w:type="paragraph" w:customStyle="1" w:styleId="Sous-titreobjet">
    <w:name w:val="Sous-titre objet"/>
    <w:basedOn w:val="Normal"/>
    <w:rsid w:val="00DE314D"/>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DE314D"/>
  </w:style>
  <w:style w:type="paragraph" w:styleId="Revision">
    <w:name w:val="Revision"/>
    <w:hidden/>
    <w:uiPriority w:val="99"/>
    <w:semiHidden/>
    <w:rsid w:val="00DE314D"/>
    <w:rPr>
      <w:rFonts w:ascii="Calibri" w:eastAsia="Calibri" w:hAnsi="Calibri" w:cs="Times New Roman"/>
      <w:sz w:val="24"/>
      <w:lang w:eastAsia="en-GB"/>
    </w:rPr>
  </w:style>
  <w:style w:type="paragraph" w:customStyle="1" w:styleId="FooterCoverPage">
    <w:name w:val="Footer Cover Page"/>
    <w:basedOn w:val="Normal"/>
    <w:link w:val="FooterCoverPageChar"/>
    <w:rsid w:val="00DE314D"/>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DE314D"/>
    <w:rPr>
      <w:rFonts w:ascii="Times New Roman" w:hAnsi="Times New Roman" w:cs="Times New Roman"/>
      <w:b/>
      <w:sz w:val="28"/>
      <w:lang w:val="fr-FR"/>
    </w:rPr>
  </w:style>
  <w:style w:type="character" w:customStyle="1" w:styleId="FooterCoverPageChar">
    <w:name w:val="Footer Cover Page Char"/>
    <w:link w:val="FooterCoverPage"/>
    <w:rsid w:val="00DE314D"/>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DE314D"/>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DE314D"/>
    <w:rPr>
      <w:rFonts w:ascii="Times New Roman" w:eastAsia="Calibri" w:hAnsi="Times New Roman" w:cs="Times New Roman"/>
      <w:sz w:val="24"/>
      <w:lang w:val="fr-FR" w:eastAsia="en-GB"/>
    </w:rPr>
  </w:style>
  <w:style w:type="character" w:customStyle="1" w:styleId="FooterSensitivityChar">
    <w:name w:val="Footer Sensitivity Char"/>
    <w:rsid w:val="00DE314D"/>
    <w:rPr>
      <w:rFonts w:ascii="Times New Roman" w:hAnsi="Times New Roman" w:cs="Times New Roman"/>
      <w:b/>
      <w:sz w:val="32"/>
      <w:lang w:val="fr-FR"/>
    </w:rPr>
  </w:style>
  <w:style w:type="character" w:customStyle="1" w:styleId="HeaderSensitivityChar">
    <w:name w:val="Header Sensitivity Char"/>
    <w:rsid w:val="00DE314D"/>
    <w:rPr>
      <w:rFonts w:ascii="Times New Roman" w:hAnsi="Times New Roman" w:cs="Times New Roman"/>
      <w:b/>
      <w:sz w:val="32"/>
      <w:lang w:val="fr-FR"/>
    </w:rPr>
  </w:style>
  <w:style w:type="character" w:customStyle="1" w:styleId="HeaderSensitivityRightChar">
    <w:name w:val="Header Sensitivity Right Char"/>
    <w:rsid w:val="00DE314D"/>
    <w:rPr>
      <w:rFonts w:ascii="Times New Roman" w:hAnsi="Times New Roman" w:cs="Times New Roman"/>
      <w:sz w:val="28"/>
      <w:lang w:val="fr-FR"/>
    </w:rPr>
  </w:style>
  <w:style w:type="paragraph" w:customStyle="1" w:styleId="LegalNumPar">
    <w:name w:val="LegalNumPar"/>
    <w:basedOn w:val="Normal"/>
    <w:rsid w:val="00DE314D"/>
    <w:pPr>
      <w:numPr>
        <w:numId w:val="16"/>
      </w:numPr>
      <w:spacing w:line="360" w:lineRule="auto"/>
    </w:pPr>
    <w:rPr>
      <w:rFonts w:eastAsia="Times New Roman"/>
      <w:lang w:eastAsia="en-GB"/>
    </w:rPr>
  </w:style>
  <w:style w:type="paragraph" w:customStyle="1" w:styleId="LegalNumPar2">
    <w:name w:val="LegalNumPar2"/>
    <w:basedOn w:val="Normal"/>
    <w:rsid w:val="00DE314D"/>
    <w:pPr>
      <w:numPr>
        <w:ilvl w:val="1"/>
        <w:numId w:val="16"/>
      </w:numPr>
      <w:spacing w:line="360" w:lineRule="auto"/>
    </w:pPr>
    <w:rPr>
      <w:rFonts w:eastAsia="Times New Roman"/>
      <w:lang w:eastAsia="en-GB"/>
    </w:rPr>
  </w:style>
  <w:style w:type="paragraph" w:customStyle="1" w:styleId="LegalNumPar3">
    <w:name w:val="LegalNumPar3"/>
    <w:basedOn w:val="Normal"/>
    <w:rsid w:val="00DE314D"/>
    <w:pPr>
      <w:numPr>
        <w:ilvl w:val="2"/>
        <w:numId w:val="16"/>
      </w:numPr>
      <w:spacing w:line="360" w:lineRule="auto"/>
    </w:pPr>
    <w:rPr>
      <w:rFonts w:eastAsia="Times New Roman"/>
      <w:lang w:eastAsia="en-GB"/>
    </w:rPr>
  </w:style>
  <w:style w:type="paragraph" w:styleId="ListParagraph">
    <w:name w:val="List Paragraph"/>
    <w:aliases w:val="Bullets,Numbered List Paragraph,Dot pt,F5 List Paragraph,List Paragraph1,No Spacing1,List Paragraph Char Char Char,Indicator Text,Numbered Para 1,Colorful List - Accent 11,Bullet Points,List Paragraph2,MAIN CONTENT,ANNEX,EC,L,2,l"/>
    <w:basedOn w:val="Normal"/>
    <w:link w:val="ListParagraphChar"/>
    <w:uiPriority w:val="34"/>
    <w:qFormat/>
    <w:rsid w:val="00DE314D"/>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DE314D"/>
    <w:rPr>
      <w:color w:val="605E5C"/>
      <w:shd w:val="clear" w:color="auto" w:fill="E1DFDD"/>
    </w:rPr>
  </w:style>
  <w:style w:type="character" w:styleId="Strong">
    <w:name w:val="Strong"/>
    <w:basedOn w:val="DefaultParagraphFont"/>
    <w:qFormat/>
    <w:rsid w:val="00DE314D"/>
    <w:rPr>
      <w:b/>
      <w:bCs/>
    </w:rPr>
  </w:style>
  <w:style w:type="character" w:styleId="Emphasis">
    <w:name w:val="Emphasis"/>
    <w:basedOn w:val="DefaultParagraphFont"/>
    <w:qFormat/>
    <w:rsid w:val="00DE314D"/>
    <w:rPr>
      <w:i/>
      <w:iCs/>
    </w:rPr>
  </w:style>
  <w:style w:type="character" w:customStyle="1" w:styleId="Mention1">
    <w:name w:val="Mention1"/>
    <w:basedOn w:val="DefaultParagraphFont"/>
    <w:uiPriority w:val="99"/>
    <w:unhideWhenUsed/>
    <w:rsid w:val="00DE314D"/>
    <w:rPr>
      <w:color w:val="2B579A"/>
      <w:shd w:val="clear" w:color="auto" w:fill="E1DFDD"/>
    </w:rPr>
  </w:style>
  <w:style w:type="character" w:customStyle="1" w:styleId="normaltextrun">
    <w:name w:val="normaltextrun"/>
    <w:basedOn w:val="DefaultParagraphFont"/>
    <w:rsid w:val="00DE314D"/>
  </w:style>
  <w:style w:type="character" w:customStyle="1" w:styleId="eop">
    <w:name w:val="eop"/>
    <w:basedOn w:val="DefaultParagraphFont"/>
    <w:rsid w:val="00DE314D"/>
  </w:style>
  <w:style w:type="character" w:customStyle="1" w:styleId="ListParagraphChar">
    <w:name w:val="List Paragraph Char"/>
    <w:aliases w:val="Bullets Char,Numbered List Paragraph Char,Dot pt Char,F5 List Paragraph Char,List Paragraph1 Char,No Spacing1 Char,List Paragraph Char Char Char Char,Indicator Text Char,Numbered Para 1 Char,Colorful List - Accent 11 Char,ANNEX Char"/>
    <w:basedOn w:val="DefaultParagraphFont"/>
    <w:link w:val="ListParagraph"/>
    <w:uiPriority w:val="34"/>
    <w:qFormat/>
    <w:rsid w:val="005A591B"/>
    <w:rPr>
      <w:rFonts w:ascii="Times New Roman" w:eastAsia="Times New Roman" w:hAnsi="Times New Roman" w:cs="Times New Roman"/>
      <w:sz w:val="24"/>
      <w:lang w:val="fr-FR" w:eastAsia="en-GB"/>
    </w:rPr>
  </w:style>
  <w:style w:type="paragraph" w:styleId="NormalWeb">
    <w:name w:val="Normal (Web)"/>
    <w:basedOn w:val="Normal"/>
    <w:uiPriority w:val="99"/>
    <w:unhideWhenUsed/>
    <w:rsid w:val="00EB7EA3"/>
    <w:pPr>
      <w:spacing w:before="100" w:beforeAutospacing="1" w:after="100" w:afterAutospacing="1"/>
      <w:jc w:val="left"/>
    </w:pPr>
    <w:rPr>
      <w:rFonts w:eastAsia="Times New Roman"/>
      <w:szCs w:val="24"/>
      <w:lang w:eastAsia="en-GB"/>
    </w:rPr>
  </w:style>
  <w:style w:type="character" w:customStyle="1" w:styleId="UnresolvedMention">
    <w:name w:val="Unresolved Mention"/>
    <w:basedOn w:val="DefaultParagraphFont"/>
    <w:uiPriority w:val="99"/>
    <w:semiHidden/>
    <w:unhideWhenUsed/>
    <w:rsid w:val="00B614DB"/>
    <w:rPr>
      <w:color w:val="605E5C"/>
      <w:shd w:val="clear" w:color="auto" w:fill="E1DFDD"/>
    </w:rPr>
  </w:style>
  <w:style w:type="character" w:customStyle="1" w:styleId="whitespace-normal">
    <w:name w:val="whitespace-normal"/>
    <w:basedOn w:val="DefaultParagraphFont"/>
    <w:rsid w:val="006E3764"/>
  </w:style>
  <w:style w:type="paragraph" w:customStyle="1" w:styleId="CharCharChar1">
    <w:name w:val="Char Char Char1"/>
    <w:basedOn w:val="Normal"/>
    <w:link w:val="FootnoteReference"/>
    <w:uiPriority w:val="99"/>
    <w:rsid w:val="00D1491A"/>
    <w:pPr>
      <w:spacing w:before="0" w:after="160" w:line="240" w:lineRule="exact"/>
    </w:pPr>
    <w:rPr>
      <w:rFonts w:asciiTheme="minorHAnsi" w:hAnsiTheme="minorHAnsi" w:cstheme="minorBidi"/>
      <w:sz w:val="22"/>
      <w:vertAlign w:val="superscript"/>
    </w:rPr>
  </w:style>
  <w:style w:type="paragraph" w:customStyle="1" w:styleId="xxnull">
    <w:name w:val="x_xnull"/>
    <w:basedOn w:val="Normal"/>
    <w:rsid w:val="00B53306"/>
    <w:pPr>
      <w:spacing w:before="100" w:beforeAutospacing="1" w:after="100" w:afterAutospacing="1"/>
      <w:jc w:val="left"/>
    </w:pPr>
    <w:rPr>
      <w:rFonts w:ascii="Calibri" w:eastAsia="Aptos" w:hAnsi="Calibri" w:cs="Calibri"/>
      <w:sz w:val="22"/>
      <w:lang w:eastAsia="en-GB"/>
    </w:rPr>
  </w:style>
  <w:style w:type="character" w:customStyle="1" w:styleId="HeaderChar">
    <w:name w:val="Header Char"/>
    <w:basedOn w:val="DefaultParagraphFont"/>
    <w:link w:val="Header"/>
    <w:uiPriority w:val="99"/>
    <w:rsid w:val="008155FA"/>
    <w:rPr>
      <w:rFonts w:ascii="Times New Roman" w:hAnsi="Times New Roman" w:cs="Times New Roman"/>
      <w:sz w:val="24"/>
      <w:lang w:val="fr-FR"/>
    </w:rPr>
  </w:style>
  <w:style w:type="character" w:customStyle="1" w:styleId="FooterChar">
    <w:name w:val="Footer Char"/>
    <w:basedOn w:val="DefaultParagraphFont"/>
    <w:link w:val="Footer"/>
    <w:uiPriority w:val="99"/>
    <w:rsid w:val="008155F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8155F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155FA"/>
    <w:pPr>
      <w:spacing w:before="0"/>
      <w:jc w:val="right"/>
    </w:pPr>
    <w:rPr>
      <w:sz w:val="28"/>
    </w:rPr>
  </w:style>
  <w:style w:type="paragraph" w:customStyle="1" w:styleId="FooterSensitivity">
    <w:name w:val="Footer Sensitivity"/>
    <w:basedOn w:val="Normal"/>
    <w:rsid w:val="008155F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155FA"/>
    <w:pPr>
      <w:tabs>
        <w:tab w:val="center" w:pos="4535"/>
        <w:tab w:val="right" w:pos="9071"/>
      </w:tabs>
      <w:spacing w:before="0"/>
    </w:pPr>
  </w:style>
  <w:style w:type="paragraph" w:customStyle="1" w:styleId="HeaderLandscape">
    <w:name w:val="HeaderLandscape"/>
    <w:basedOn w:val="Normal"/>
    <w:rsid w:val="008155FA"/>
    <w:pPr>
      <w:tabs>
        <w:tab w:val="center" w:pos="7285"/>
        <w:tab w:val="right" w:pos="14003"/>
      </w:tabs>
      <w:spacing w:before="0"/>
    </w:pPr>
  </w:style>
  <w:style w:type="paragraph" w:styleId="Footer">
    <w:name w:val="footer"/>
    <w:basedOn w:val="Normal"/>
    <w:link w:val="FooterChar"/>
    <w:uiPriority w:val="99"/>
    <w:unhideWhenUsed/>
    <w:rsid w:val="008155F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155F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94412">
      <w:bodyDiv w:val="1"/>
      <w:marLeft w:val="0"/>
      <w:marRight w:val="0"/>
      <w:marTop w:val="0"/>
      <w:marBottom w:val="0"/>
      <w:divBdr>
        <w:top w:val="none" w:sz="0" w:space="0" w:color="auto"/>
        <w:left w:val="none" w:sz="0" w:space="0" w:color="auto"/>
        <w:bottom w:val="none" w:sz="0" w:space="0" w:color="auto"/>
        <w:right w:val="none" w:sz="0" w:space="0" w:color="auto"/>
      </w:divBdr>
    </w:div>
    <w:div w:id="112215191">
      <w:bodyDiv w:val="1"/>
      <w:marLeft w:val="0"/>
      <w:marRight w:val="0"/>
      <w:marTop w:val="0"/>
      <w:marBottom w:val="0"/>
      <w:divBdr>
        <w:top w:val="none" w:sz="0" w:space="0" w:color="auto"/>
        <w:left w:val="none" w:sz="0" w:space="0" w:color="auto"/>
        <w:bottom w:val="none" w:sz="0" w:space="0" w:color="auto"/>
        <w:right w:val="none" w:sz="0" w:space="0" w:color="auto"/>
      </w:divBdr>
    </w:div>
    <w:div w:id="186410056">
      <w:bodyDiv w:val="1"/>
      <w:marLeft w:val="0"/>
      <w:marRight w:val="0"/>
      <w:marTop w:val="0"/>
      <w:marBottom w:val="0"/>
      <w:divBdr>
        <w:top w:val="none" w:sz="0" w:space="0" w:color="auto"/>
        <w:left w:val="none" w:sz="0" w:space="0" w:color="auto"/>
        <w:bottom w:val="none" w:sz="0" w:space="0" w:color="auto"/>
        <w:right w:val="none" w:sz="0" w:space="0" w:color="auto"/>
      </w:divBdr>
    </w:div>
    <w:div w:id="188958835">
      <w:bodyDiv w:val="1"/>
      <w:marLeft w:val="0"/>
      <w:marRight w:val="0"/>
      <w:marTop w:val="0"/>
      <w:marBottom w:val="0"/>
      <w:divBdr>
        <w:top w:val="none" w:sz="0" w:space="0" w:color="auto"/>
        <w:left w:val="none" w:sz="0" w:space="0" w:color="auto"/>
        <w:bottom w:val="none" w:sz="0" w:space="0" w:color="auto"/>
        <w:right w:val="none" w:sz="0" w:space="0" w:color="auto"/>
      </w:divBdr>
    </w:div>
    <w:div w:id="197204554">
      <w:bodyDiv w:val="1"/>
      <w:marLeft w:val="0"/>
      <w:marRight w:val="0"/>
      <w:marTop w:val="0"/>
      <w:marBottom w:val="0"/>
      <w:divBdr>
        <w:top w:val="none" w:sz="0" w:space="0" w:color="auto"/>
        <w:left w:val="none" w:sz="0" w:space="0" w:color="auto"/>
        <w:bottom w:val="none" w:sz="0" w:space="0" w:color="auto"/>
        <w:right w:val="none" w:sz="0" w:space="0" w:color="auto"/>
      </w:divBdr>
    </w:div>
    <w:div w:id="224032236">
      <w:bodyDiv w:val="1"/>
      <w:marLeft w:val="0"/>
      <w:marRight w:val="0"/>
      <w:marTop w:val="0"/>
      <w:marBottom w:val="0"/>
      <w:divBdr>
        <w:top w:val="none" w:sz="0" w:space="0" w:color="auto"/>
        <w:left w:val="none" w:sz="0" w:space="0" w:color="auto"/>
        <w:bottom w:val="none" w:sz="0" w:space="0" w:color="auto"/>
        <w:right w:val="none" w:sz="0" w:space="0" w:color="auto"/>
      </w:divBdr>
      <w:divsChild>
        <w:div w:id="1321813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1415607">
      <w:bodyDiv w:val="1"/>
      <w:marLeft w:val="0"/>
      <w:marRight w:val="0"/>
      <w:marTop w:val="0"/>
      <w:marBottom w:val="0"/>
      <w:divBdr>
        <w:top w:val="none" w:sz="0" w:space="0" w:color="auto"/>
        <w:left w:val="none" w:sz="0" w:space="0" w:color="auto"/>
        <w:bottom w:val="none" w:sz="0" w:space="0" w:color="auto"/>
        <w:right w:val="none" w:sz="0" w:space="0" w:color="auto"/>
      </w:divBdr>
    </w:div>
    <w:div w:id="363138981">
      <w:bodyDiv w:val="1"/>
      <w:marLeft w:val="0"/>
      <w:marRight w:val="0"/>
      <w:marTop w:val="0"/>
      <w:marBottom w:val="0"/>
      <w:divBdr>
        <w:top w:val="none" w:sz="0" w:space="0" w:color="auto"/>
        <w:left w:val="none" w:sz="0" w:space="0" w:color="auto"/>
        <w:bottom w:val="none" w:sz="0" w:space="0" w:color="auto"/>
        <w:right w:val="none" w:sz="0" w:space="0" w:color="auto"/>
      </w:divBdr>
    </w:div>
    <w:div w:id="385379516">
      <w:bodyDiv w:val="1"/>
      <w:marLeft w:val="0"/>
      <w:marRight w:val="0"/>
      <w:marTop w:val="0"/>
      <w:marBottom w:val="0"/>
      <w:divBdr>
        <w:top w:val="none" w:sz="0" w:space="0" w:color="auto"/>
        <w:left w:val="none" w:sz="0" w:space="0" w:color="auto"/>
        <w:bottom w:val="none" w:sz="0" w:space="0" w:color="auto"/>
        <w:right w:val="none" w:sz="0" w:space="0" w:color="auto"/>
      </w:divBdr>
    </w:div>
    <w:div w:id="467629861">
      <w:bodyDiv w:val="1"/>
      <w:marLeft w:val="0"/>
      <w:marRight w:val="0"/>
      <w:marTop w:val="0"/>
      <w:marBottom w:val="0"/>
      <w:divBdr>
        <w:top w:val="none" w:sz="0" w:space="0" w:color="auto"/>
        <w:left w:val="none" w:sz="0" w:space="0" w:color="auto"/>
        <w:bottom w:val="none" w:sz="0" w:space="0" w:color="auto"/>
        <w:right w:val="none" w:sz="0" w:space="0" w:color="auto"/>
      </w:divBdr>
    </w:div>
    <w:div w:id="561798391">
      <w:bodyDiv w:val="1"/>
      <w:marLeft w:val="0"/>
      <w:marRight w:val="0"/>
      <w:marTop w:val="0"/>
      <w:marBottom w:val="0"/>
      <w:divBdr>
        <w:top w:val="none" w:sz="0" w:space="0" w:color="auto"/>
        <w:left w:val="none" w:sz="0" w:space="0" w:color="auto"/>
        <w:bottom w:val="none" w:sz="0" w:space="0" w:color="auto"/>
        <w:right w:val="none" w:sz="0" w:space="0" w:color="auto"/>
      </w:divBdr>
    </w:div>
    <w:div w:id="611741332">
      <w:bodyDiv w:val="1"/>
      <w:marLeft w:val="0"/>
      <w:marRight w:val="0"/>
      <w:marTop w:val="0"/>
      <w:marBottom w:val="0"/>
      <w:divBdr>
        <w:top w:val="none" w:sz="0" w:space="0" w:color="auto"/>
        <w:left w:val="none" w:sz="0" w:space="0" w:color="auto"/>
        <w:bottom w:val="none" w:sz="0" w:space="0" w:color="auto"/>
        <w:right w:val="none" w:sz="0" w:space="0" w:color="auto"/>
      </w:divBdr>
    </w:div>
    <w:div w:id="620695645">
      <w:bodyDiv w:val="1"/>
      <w:marLeft w:val="0"/>
      <w:marRight w:val="0"/>
      <w:marTop w:val="0"/>
      <w:marBottom w:val="0"/>
      <w:divBdr>
        <w:top w:val="none" w:sz="0" w:space="0" w:color="auto"/>
        <w:left w:val="none" w:sz="0" w:space="0" w:color="auto"/>
        <w:bottom w:val="none" w:sz="0" w:space="0" w:color="auto"/>
        <w:right w:val="none" w:sz="0" w:space="0" w:color="auto"/>
      </w:divBdr>
    </w:div>
    <w:div w:id="648748638">
      <w:bodyDiv w:val="1"/>
      <w:marLeft w:val="0"/>
      <w:marRight w:val="0"/>
      <w:marTop w:val="0"/>
      <w:marBottom w:val="0"/>
      <w:divBdr>
        <w:top w:val="none" w:sz="0" w:space="0" w:color="auto"/>
        <w:left w:val="none" w:sz="0" w:space="0" w:color="auto"/>
        <w:bottom w:val="none" w:sz="0" w:space="0" w:color="auto"/>
        <w:right w:val="none" w:sz="0" w:space="0" w:color="auto"/>
      </w:divBdr>
    </w:div>
    <w:div w:id="685249654">
      <w:bodyDiv w:val="1"/>
      <w:marLeft w:val="0"/>
      <w:marRight w:val="0"/>
      <w:marTop w:val="0"/>
      <w:marBottom w:val="0"/>
      <w:divBdr>
        <w:top w:val="none" w:sz="0" w:space="0" w:color="auto"/>
        <w:left w:val="none" w:sz="0" w:space="0" w:color="auto"/>
        <w:bottom w:val="none" w:sz="0" w:space="0" w:color="auto"/>
        <w:right w:val="none" w:sz="0" w:space="0" w:color="auto"/>
      </w:divBdr>
    </w:div>
    <w:div w:id="699860445">
      <w:bodyDiv w:val="1"/>
      <w:marLeft w:val="0"/>
      <w:marRight w:val="0"/>
      <w:marTop w:val="0"/>
      <w:marBottom w:val="0"/>
      <w:divBdr>
        <w:top w:val="none" w:sz="0" w:space="0" w:color="auto"/>
        <w:left w:val="none" w:sz="0" w:space="0" w:color="auto"/>
        <w:bottom w:val="none" w:sz="0" w:space="0" w:color="auto"/>
        <w:right w:val="none" w:sz="0" w:space="0" w:color="auto"/>
      </w:divBdr>
    </w:div>
    <w:div w:id="711424615">
      <w:bodyDiv w:val="1"/>
      <w:marLeft w:val="0"/>
      <w:marRight w:val="0"/>
      <w:marTop w:val="0"/>
      <w:marBottom w:val="0"/>
      <w:divBdr>
        <w:top w:val="none" w:sz="0" w:space="0" w:color="auto"/>
        <w:left w:val="none" w:sz="0" w:space="0" w:color="auto"/>
        <w:bottom w:val="none" w:sz="0" w:space="0" w:color="auto"/>
        <w:right w:val="none" w:sz="0" w:space="0" w:color="auto"/>
      </w:divBdr>
    </w:div>
    <w:div w:id="724984667">
      <w:bodyDiv w:val="1"/>
      <w:marLeft w:val="0"/>
      <w:marRight w:val="0"/>
      <w:marTop w:val="0"/>
      <w:marBottom w:val="0"/>
      <w:divBdr>
        <w:top w:val="none" w:sz="0" w:space="0" w:color="auto"/>
        <w:left w:val="none" w:sz="0" w:space="0" w:color="auto"/>
        <w:bottom w:val="none" w:sz="0" w:space="0" w:color="auto"/>
        <w:right w:val="none" w:sz="0" w:space="0" w:color="auto"/>
      </w:divBdr>
    </w:div>
    <w:div w:id="736127086">
      <w:bodyDiv w:val="1"/>
      <w:marLeft w:val="0"/>
      <w:marRight w:val="0"/>
      <w:marTop w:val="0"/>
      <w:marBottom w:val="0"/>
      <w:divBdr>
        <w:top w:val="none" w:sz="0" w:space="0" w:color="auto"/>
        <w:left w:val="none" w:sz="0" w:space="0" w:color="auto"/>
        <w:bottom w:val="none" w:sz="0" w:space="0" w:color="auto"/>
        <w:right w:val="none" w:sz="0" w:space="0" w:color="auto"/>
      </w:divBdr>
    </w:div>
    <w:div w:id="742873656">
      <w:bodyDiv w:val="1"/>
      <w:marLeft w:val="0"/>
      <w:marRight w:val="0"/>
      <w:marTop w:val="0"/>
      <w:marBottom w:val="0"/>
      <w:divBdr>
        <w:top w:val="none" w:sz="0" w:space="0" w:color="auto"/>
        <w:left w:val="none" w:sz="0" w:space="0" w:color="auto"/>
        <w:bottom w:val="none" w:sz="0" w:space="0" w:color="auto"/>
        <w:right w:val="none" w:sz="0" w:space="0" w:color="auto"/>
      </w:divBdr>
    </w:div>
    <w:div w:id="744643950">
      <w:bodyDiv w:val="1"/>
      <w:marLeft w:val="0"/>
      <w:marRight w:val="0"/>
      <w:marTop w:val="0"/>
      <w:marBottom w:val="0"/>
      <w:divBdr>
        <w:top w:val="none" w:sz="0" w:space="0" w:color="auto"/>
        <w:left w:val="none" w:sz="0" w:space="0" w:color="auto"/>
        <w:bottom w:val="none" w:sz="0" w:space="0" w:color="auto"/>
        <w:right w:val="none" w:sz="0" w:space="0" w:color="auto"/>
      </w:divBdr>
    </w:div>
    <w:div w:id="755051661">
      <w:bodyDiv w:val="1"/>
      <w:marLeft w:val="0"/>
      <w:marRight w:val="0"/>
      <w:marTop w:val="0"/>
      <w:marBottom w:val="0"/>
      <w:divBdr>
        <w:top w:val="none" w:sz="0" w:space="0" w:color="auto"/>
        <w:left w:val="none" w:sz="0" w:space="0" w:color="auto"/>
        <w:bottom w:val="none" w:sz="0" w:space="0" w:color="auto"/>
        <w:right w:val="none" w:sz="0" w:space="0" w:color="auto"/>
      </w:divBdr>
    </w:div>
    <w:div w:id="780759597">
      <w:bodyDiv w:val="1"/>
      <w:marLeft w:val="0"/>
      <w:marRight w:val="0"/>
      <w:marTop w:val="0"/>
      <w:marBottom w:val="0"/>
      <w:divBdr>
        <w:top w:val="none" w:sz="0" w:space="0" w:color="auto"/>
        <w:left w:val="none" w:sz="0" w:space="0" w:color="auto"/>
        <w:bottom w:val="none" w:sz="0" w:space="0" w:color="auto"/>
        <w:right w:val="none" w:sz="0" w:space="0" w:color="auto"/>
      </w:divBdr>
    </w:div>
    <w:div w:id="819462455">
      <w:bodyDiv w:val="1"/>
      <w:marLeft w:val="0"/>
      <w:marRight w:val="0"/>
      <w:marTop w:val="0"/>
      <w:marBottom w:val="0"/>
      <w:divBdr>
        <w:top w:val="none" w:sz="0" w:space="0" w:color="auto"/>
        <w:left w:val="none" w:sz="0" w:space="0" w:color="auto"/>
        <w:bottom w:val="none" w:sz="0" w:space="0" w:color="auto"/>
        <w:right w:val="none" w:sz="0" w:space="0" w:color="auto"/>
      </w:divBdr>
    </w:div>
    <w:div w:id="826896296">
      <w:bodyDiv w:val="1"/>
      <w:marLeft w:val="0"/>
      <w:marRight w:val="0"/>
      <w:marTop w:val="0"/>
      <w:marBottom w:val="0"/>
      <w:divBdr>
        <w:top w:val="none" w:sz="0" w:space="0" w:color="auto"/>
        <w:left w:val="none" w:sz="0" w:space="0" w:color="auto"/>
        <w:bottom w:val="none" w:sz="0" w:space="0" w:color="auto"/>
        <w:right w:val="none" w:sz="0" w:space="0" w:color="auto"/>
      </w:divBdr>
      <w:divsChild>
        <w:div w:id="754086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503543">
      <w:bodyDiv w:val="1"/>
      <w:marLeft w:val="0"/>
      <w:marRight w:val="0"/>
      <w:marTop w:val="0"/>
      <w:marBottom w:val="0"/>
      <w:divBdr>
        <w:top w:val="none" w:sz="0" w:space="0" w:color="auto"/>
        <w:left w:val="none" w:sz="0" w:space="0" w:color="auto"/>
        <w:bottom w:val="none" w:sz="0" w:space="0" w:color="auto"/>
        <w:right w:val="none" w:sz="0" w:space="0" w:color="auto"/>
      </w:divBdr>
    </w:div>
    <w:div w:id="1025867643">
      <w:bodyDiv w:val="1"/>
      <w:marLeft w:val="0"/>
      <w:marRight w:val="0"/>
      <w:marTop w:val="0"/>
      <w:marBottom w:val="0"/>
      <w:divBdr>
        <w:top w:val="none" w:sz="0" w:space="0" w:color="auto"/>
        <w:left w:val="none" w:sz="0" w:space="0" w:color="auto"/>
        <w:bottom w:val="none" w:sz="0" w:space="0" w:color="auto"/>
        <w:right w:val="none" w:sz="0" w:space="0" w:color="auto"/>
      </w:divBdr>
    </w:div>
    <w:div w:id="1138844785">
      <w:bodyDiv w:val="1"/>
      <w:marLeft w:val="0"/>
      <w:marRight w:val="0"/>
      <w:marTop w:val="0"/>
      <w:marBottom w:val="0"/>
      <w:divBdr>
        <w:top w:val="none" w:sz="0" w:space="0" w:color="auto"/>
        <w:left w:val="none" w:sz="0" w:space="0" w:color="auto"/>
        <w:bottom w:val="none" w:sz="0" w:space="0" w:color="auto"/>
        <w:right w:val="none" w:sz="0" w:space="0" w:color="auto"/>
      </w:divBdr>
    </w:div>
    <w:div w:id="1185480820">
      <w:bodyDiv w:val="1"/>
      <w:marLeft w:val="0"/>
      <w:marRight w:val="0"/>
      <w:marTop w:val="0"/>
      <w:marBottom w:val="0"/>
      <w:divBdr>
        <w:top w:val="none" w:sz="0" w:space="0" w:color="auto"/>
        <w:left w:val="none" w:sz="0" w:space="0" w:color="auto"/>
        <w:bottom w:val="none" w:sz="0" w:space="0" w:color="auto"/>
        <w:right w:val="none" w:sz="0" w:space="0" w:color="auto"/>
      </w:divBdr>
    </w:div>
    <w:div w:id="1206024107">
      <w:bodyDiv w:val="1"/>
      <w:marLeft w:val="0"/>
      <w:marRight w:val="0"/>
      <w:marTop w:val="0"/>
      <w:marBottom w:val="0"/>
      <w:divBdr>
        <w:top w:val="none" w:sz="0" w:space="0" w:color="auto"/>
        <w:left w:val="none" w:sz="0" w:space="0" w:color="auto"/>
        <w:bottom w:val="none" w:sz="0" w:space="0" w:color="auto"/>
        <w:right w:val="none" w:sz="0" w:space="0" w:color="auto"/>
      </w:divBdr>
    </w:div>
    <w:div w:id="1231231710">
      <w:bodyDiv w:val="1"/>
      <w:marLeft w:val="0"/>
      <w:marRight w:val="0"/>
      <w:marTop w:val="0"/>
      <w:marBottom w:val="0"/>
      <w:divBdr>
        <w:top w:val="none" w:sz="0" w:space="0" w:color="auto"/>
        <w:left w:val="none" w:sz="0" w:space="0" w:color="auto"/>
        <w:bottom w:val="none" w:sz="0" w:space="0" w:color="auto"/>
        <w:right w:val="none" w:sz="0" w:space="0" w:color="auto"/>
      </w:divBdr>
    </w:div>
    <w:div w:id="1243175529">
      <w:bodyDiv w:val="1"/>
      <w:marLeft w:val="0"/>
      <w:marRight w:val="0"/>
      <w:marTop w:val="0"/>
      <w:marBottom w:val="0"/>
      <w:divBdr>
        <w:top w:val="none" w:sz="0" w:space="0" w:color="auto"/>
        <w:left w:val="none" w:sz="0" w:space="0" w:color="auto"/>
        <w:bottom w:val="none" w:sz="0" w:space="0" w:color="auto"/>
        <w:right w:val="none" w:sz="0" w:space="0" w:color="auto"/>
      </w:divBdr>
    </w:div>
    <w:div w:id="1372025800">
      <w:bodyDiv w:val="1"/>
      <w:marLeft w:val="0"/>
      <w:marRight w:val="0"/>
      <w:marTop w:val="0"/>
      <w:marBottom w:val="0"/>
      <w:divBdr>
        <w:top w:val="none" w:sz="0" w:space="0" w:color="auto"/>
        <w:left w:val="none" w:sz="0" w:space="0" w:color="auto"/>
        <w:bottom w:val="none" w:sz="0" w:space="0" w:color="auto"/>
        <w:right w:val="none" w:sz="0" w:space="0" w:color="auto"/>
      </w:divBdr>
    </w:div>
    <w:div w:id="1376270841">
      <w:bodyDiv w:val="1"/>
      <w:marLeft w:val="0"/>
      <w:marRight w:val="0"/>
      <w:marTop w:val="0"/>
      <w:marBottom w:val="0"/>
      <w:divBdr>
        <w:top w:val="none" w:sz="0" w:space="0" w:color="auto"/>
        <w:left w:val="none" w:sz="0" w:space="0" w:color="auto"/>
        <w:bottom w:val="none" w:sz="0" w:space="0" w:color="auto"/>
        <w:right w:val="none" w:sz="0" w:space="0" w:color="auto"/>
      </w:divBdr>
    </w:div>
    <w:div w:id="1431658730">
      <w:bodyDiv w:val="1"/>
      <w:marLeft w:val="0"/>
      <w:marRight w:val="0"/>
      <w:marTop w:val="0"/>
      <w:marBottom w:val="0"/>
      <w:divBdr>
        <w:top w:val="none" w:sz="0" w:space="0" w:color="auto"/>
        <w:left w:val="none" w:sz="0" w:space="0" w:color="auto"/>
        <w:bottom w:val="none" w:sz="0" w:space="0" w:color="auto"/>
        <w:right w:val="none" w:sz="0" w:space="0" w:color="auto"/>
      </w:divBdr>
    </w:div>
    <w:div w:id="1444576371">
      <w:bodyDiv w:val="1"/>
      <w:marLeft w:val="0"/>
      <w:marRight w:val="0"/>
      <w:marTop w:val="0"/>
      <w:marBottom w:val="0"/>
      <w:divBdr>
        <w:top w:val="none" w:sz="0" w:space="0" w:color="auto"/>
        <w:left w:val="none" w:sz="0" w:space="0" w:color="auto"/>
        <w:bottom w:val="none" w:sz="0" w:space="0" w:color="auto"/>
        <w:right w:val="none" w:sz="0" w:space="0" w:color="auto"/>
      </w:divBdr>
    </w:div>
    <w:div w:id="1466779334">
      <w:bodyDiv w:val="1"/>
      <w:marLeft w:val="0"/>
      <w:marRight w:val="0"/>
      <w:marTop w:val="0"/>
      <w:marBottom w:val="0"/>
      <w:divBdr>
        <w:top w:val="none" w:sz="0" w:space="0" w:color="auto"/>
        <w:left w:val="none" w:sz="0" w:space="0" w:color="auto"/>
        <w:bottom w:val="none" w:sz="0" w:space="0" w:color="auto"/>
        <w:right w:val="none" w:sz="0" w:space="0" w:color="auto"/>
      </w:divBdr>
    </w:div>
    <w:div w:id="1479414514">
      <w:bodyDiv w:val="1"/>
      <w:marLeft w:val="0"/>
      <w:marRight w:val="0"/>
      <w:marTop w:val="0"/>
      <w:marBottom w:val="0"/>
      <w:divBdr>
        <w:top w:val="none" w:sz="0" w:space="0" w:color="auto"/>
        <w:left w:val="none" w:sz="0" w:space="0" w:color="auto"/>
        <w:bottom w:val="none" w:sz="0" w:space="0" w:color="auto"/>
        <w:right w:val="none" w:sz="0" w:space="0" w:color="auto"/>
      </w:divBdr>
    </w:div>
    <w:div w:id="1498762900">
      <w:bodyDiv w:val="1"/>
      <w:marLeft w:val="0"/>
      <w:marRight w:val="0"/>
      <w:marTop w:val="0"/>
      <w:marBottom w:val="0"/>
      <w:divBdr>
        <w:top w:val="none" w:sz="0" w:space="0" w:color="auto"/>
        <w:left w:val="none" w:sz="0" w:space="0" w:color="auto"/>
        <w:bottom w:val="none" w:sz="0" w:space="0" w:color="auto"/>
        <w:right w:val="none" w:sz="0" w:space="0" w:color="auto"/>
      </w:divBdr>
    </w:div>
    <w:div w:id="1537278045">
      <w:bodyDiv w:val="1"/>
      <w:marLeft w:val="0"/>
      <w:marRight w:val="0"/>
      <w:marTop w:val="0"/>
      <w:marBottom w:val="0"/>
      <w:divBdr>
        <w:top w:val="none" w:sz="0" w:space="0" w:color="auto"/>
        <w:left w:val="none" w:sz="0" w:space="0" w:color="auto"/>
        <w:bottom w:val="none" w:sz="0" w:space="0" w:color="auto"/>
        <w:right w:val="none" w:sz="0" w:space="0" w:color="auto"/>
      </w:divBdr>
    </w:div>
    <w:div w:id="1587105188">
      <w:bodyDiv w:val="1"/>
      <w:marLeft w:val="0"/>
      <w:marRight w:val="0"/>
      <w:marTop w:val="0"/>
      <w:marBottom w:val="0"/>
      <w:divBdr>
        <w:top w:val="none" w:sz="0" w:space="0" w:color="auto"/>
        <w:left w:val="none" w:sz="0" w:space="0" w:color="auto"/>
        <w:bottom w:val="none" w:sz="0" w:space="0" w:color="auto"/>
        <w:right w:val="none" w:sz="0" w:space="0" w:color="auto"/>
      </w:divBdr>
    </w:div>
    <w:div w:id="1638216901">
      <w:bodyDiv w:val="1"/>
      <w:marLeft w:val="0"/>
      <w:marRight w:val="0"/>
      <w:marTop w:val="0"/>
      <w:marBottom w:val="0"/>
      <w:divBdr>
        <w:top w:val="none" w:sz="0" w:space="0" w:color="auto"/>
        <w:left w:val="none" w:sz="0" w:space="0" w:color="auto"/>
        <w:bottom w:val="none" w:sz="0" w:space="0" w:color="auto"/>
        <w:right w:val="none" w:sz="0" w:space="0" w:color="auto"/>
      </w:divBdr>
    </w:div>
    <w:div w:id="1705522064">
      <w:bodyDiv w:val="1"/>
      <w:marLeft w:val="0"/>
      <w:marRight w:val="0"/>
      <w:marTop w:val="0"/>
      <w:marBottom w:val="0"/>
      <w:divBdr>
        <w:top w:val="none" w:sz="0" w:space="0" w:color="auto"/>
        <w:left w:val="none" w:sz="0" w:space="0" w:color="auto"/>
        <w:bottom w:val="none" w:sz="0" w:space="0" w:color="auto"/>
        <w:right w:val="none" w:sz="0" w:space="0" w:color="auto"/>
      </w:divBdr>
    </w:div>
    <w:div w:id="1740249940">
      <w:bodyDiv w:val="1"/>
      <w:marLeft w:val="0"/>
      <w:marRight w:val="0"/>
      <w:marTop w:val="0"/>
      <w:marBottom w:val="0"/>
      <w:divBdr>
        <w:top w:val="none" w:sz="0" w:space="0" w:color="auto"/>
        <w:left w:val="none" w:sz="0" w:space="0" w:color="auto"/>
        <w:bottom w:val="none" w:sz="0" w:space="0" w:color="auto"/>
        <w:right w:val="none" w:sz="0" w:space="0" w:color="auto"/>
      </w:divBdr>
    </w:div>
    <w:div w:id="1780298985">
      <w:bodyDiv w:val="1"/>
      <w:marLeft w:val="0"/>
      <w:marRight w:val="0"/>
      <w:marTop w:val="0"/>
      <w:marBottom w:val="0"/>
      <w:divBdr>
        <w:top w:val="none" w:sz="0" w:space="0" w:color="auto"/>
        <w:left w:val="none" w:sz="0" w:space="0" w:color="auto"/>
        <w:bottom w:val="none" w:sz="0" w:space="0" w:color="auto"/>
        <w:right w:val="none" w:sz="0" w:space="0" w:color="auto"/>
      </w:divBdr>
    </w:div>
    <w:div w:id="1791777715">
      <w:bodyDiv w:val="1"/>
      <w:marLeft w:val="0"/>
      <w:marRight w:val="0"/>
      <w:marTop w:val="0"/>
      <w:marBottom w:val="0"/>
      <w:divBdr>
        <w:top w:val="none" w:sz="0" w:space="0" w:color="auto"/>
        <w:left w:val="none" w:sz="0" w:space="0" w:color="auto"/>
        <w:bottom w:val="none" w:sz="0" w:space="0" w:color="auto"/>
        <w:right w:val="none" w:sz="0" w:space="0" w:color="auto"/>
      </w:divBdr>
    </w:div>
    <w:div w:id="1807818175">
      <w:bodyDiv w:val="1"/>
      <w:marLeft w:val="0"/>
      <w:marRight w:val="0"/>
      <w:marTop w:val="0"/>
      <w:marBottom w:val="0"/>
      <w:divBdr>
        <w:top w:val="none" w:sz="0" w:space="0" w:color="auto"/>
        <w:left w:val="none" w:sz="0" w:space="0" w:color="auto"/>
        <w:bottom w:val="none" w:sz="0" w:space="0" w:color="auto"/>
        <w:right w:val="none" w:sz="0" w:space="0" w:color="auto"/>
      </w:divBdr>
    </w:div>
    <w:div w:id="1928270035">
      <w:bodyDiv w:val="1"/>
      <w:marLeft w:val="0"/>
      <w:marRight w:val="0"/>
      <w:marTop w:val="0"/>
      <w:marBottom w:val="0"/>
      <w:divBdr>
        <w:top w:val="none" w:sz="0" w:space="0" w:color="auto"/>
        <w:left w:val="none" w:sz="0" w:space="0" w:color="auto"/>
        <w:bottom w:val="none" w:sz="0" w:space="0" w:color="auto"/>
        <w:right w:val="none" w:sz="0" w:space="0" w:color="auto"/>
      </w:divBdr>
    </w:div>
    <w:div w:id="2001808644">
      <w:bodyDiv w:val="1"/>
      <w:marLeft w:val="0"/>
      <w:marRight w:val="0"/>
      <w:marTop w:val="0"/>
      <w:marBottom w:val="0"/>
      <w:divBdr>
        <w:top w:val="none" w:sz="0" w:space="0" w:color="auto"/>
        <w:left w:val="none" w:sz="0" w:space="0" w:color="auto"/>
        <w:bottom w:val="none" w:sz="0" w:space="0" w:color="auto"/>
        <w:right w:val="none" w:sz="0" w:space="0" w:color="auto"/>
      </w:divBdr>
    </w:div>
    <w:div w:id="2004698645">
      <w:bodyDiv w:val="1"/>
      <w:marLeft w:val="0"/>
      <w:marRight w:val="0"/>
      <w:marTop w:val="0"/>
      <w:marBottom w:val="0"/>
      <w:divBdr>
        <w:top w:val="none" w:sz="0" w:space="0" w:color="auto"/>
        <w:left w:val="none" w:sz="0" w:space="0" w:color="auto"/>
        <w:bottom w:val="none" w:sz="0" w:space="0" w:color="auto"/>
        <w:right w:val="none" w:sz="0" w:space="0" w:color="auto"/>
      </w:divBdr>
    </w:div>
    <w:div w:id="2052413739">
      <w:bodyDiv w:val="1"/>
      <w:marLeft w:val="0"/>
      <w:marRight w:val="0"/>
      <w:marTop w:val="0"/>
      <w:marBottom w:val="0"/>
      <w:divBdr>
        <w:top w:val="none" w:sz="0" w:space="0" w:color="auto"/>
        <w:left w:val="none" w:sz="0" w:space="0" w:color="auto"/>
        <w:bottom w:val="none" w:sz="0" w:space="0" w:color="auto"/>
        <w:right w:val="none" w:sz="0" w:space="0" w:color="auto"/>
      </w:divBdr>
    </w:div>
    <w:div w:id="205974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 Id="rId30" Type="http://schemas.microsoft.com/office/2020/10/relationships/intelligence" Target="intelligence2.xml"/></Relationships>
</file>

<file path=word/_rels/footnotes.xml.rels><?xml version="1.0" encoding="UTF-8" standalone="yes"?>
<Relationships xmlns="http://schemas.openxmlformats.org/package/2006/relationships"><Relationship Id="rId1" Type="http://schemas.openxmlformats.org/officeDocument/2006/relationships/hyperlink" Target="https://search.coe.int/c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DATE_TRANSFERRED xmlns="e1b8e98d-2274-4a9c-a8af-402331d7adc0" xsi:nil="true"/>
    <EC_ARES_TRANSFERRED_BY xmlns="e1b8e98d-2274-4a9c-a8af-402331d7adc0" xsi:nil="true"/>
    <IconOverlay xmlns="http://schemas.microsoft.com/sharepoint/v4" xsi:nil="true"/>
    <EC_ARES_NUMBER xmlns="e1b8e98d-2274-4a9c-a8af-402331d7adc0">
      <Url xsi:nil="true"/>
      <Description xsi:nil="true"/>
    </EC_ARES_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0E61352F2D740A023EB807E79BD8E" ma:contentTypeVersion="14" ma:contentTypeDescription="Create a new document." ma:contentTypeScope="" ma:versionID="b996e0804a88b7514a7ab6cde99a79f2">
  <xsd:schema xmlns:xsd="http://www.w3.org/2001/XMLSchema" xmlns:xs="http://www.w3.org/2001/XMLSchema" xmlns:p="http://schemas.microsoft.com/office/2006/metadata/properties" xmlns:ns1="http://schemas.microsoft.com/sharepoint/v3" xmlns:ns2="ab108156-68d2-4c3c-ba64-c0bf96163667" xmlns:ns3="e1b8e98d-2274-4a9c-a8af-402331d7adc0" xmlns:ns4="http://schemas.microsoft.com/sharepoint/v4" targetNamespace="http://schemas.microsoft.com/office/2006/metadata/properties" ma:root="true" ma:fieldsID="7369c6723f88b0688e75d02e212a26e2" ns1:_="" ns2:_="" ns3:_="" ns4:_="">
    <xsd:import namespace="http://schemas.microsoft.com/sharepoint/v3"/>
    <xsd:import namespace="ab108156-68d2-4c3c-ba64-c0bf96163667"/>
    <xsd:import namespace="e1b8e98d-2274-4a9c-a8af-402331d7adc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6" nillable="true" ma:displayName="Declared Record" ma:hidden="true" ma:internalName="_vti_ItemDeclaredRecord" ma:readOnly="true">
      <xsd:simpleType>
        <xsd:restriction base="dms:DateTime"/>
      </xsd:simpleType>
    </xsd:element>
    <xsd:element name="_vti_ItemHoldRecordStatus" ma:index="17"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108156-68d2-4c3c-ba64-c0bf96163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b8e98d-2274-4a9c-a8af-402331d7adc0" elementFormDefault="qualified">
    <xsd:import namespace="http://schemas.microsoft.com/office/2006/documentManagement/types"/>
    <xsd:import namespace="http://schemas.microsoft.com/office/infopath/2007/PartnerControls"/>
    <xsd:element name="EC_ARES_NUMBER" ma:index="1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3" nillable="true" ma:displayName="Transferred to Ares" ma:format="DateTime" ma:hidden="true" ma:internalName="EC_ARES_DATE_TRANSFERRED">
      <xsd:simpleType>
        <xsd:restriction base="dms:DateTime"/>
      </xsd:simpleType>
    </xsd:element>
    <xsd:element name="EC_ARES_TRANSFERRED_BY" ma:index="14"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90ADE-C1A0-4DF6-AFB7-C2AAF7952E62}">
  <ds:schemaRefs>
    <ds:schemaRef ds:uri="http://schemas.microsoft.com/office/2006/metadata/properties"/>
    <ds:schemaRef ds:uri="http://schemas.microsoft.com/office/infopath/2007/PartnerControls"/>
    <ds:schemaRef ds:uri="e1b8e98d-2274-4a9c-a8af-402331d7adc0"/>
    <ds:schemaRef ds:uri="http://schemas.microsoft.com/sharepoint/v4"/>
  </ds:schemaRefs>
</ds:datastoreItem>
</file>

<file path=customXml/itemProps2.xml><?xml version="1.0" encoding="utf-8"?>
<ds:datastoreItem xmlns:ds="http://schemas.openxmlformats.org/officeDocument/2006/customXml" ds:itemID="{593B3A63-5DE8-45CB-936D-D13CCBC4A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108156-68d2-4c3c-ba64-c0bf96163667"/>
    <ds:schemaRef ds:uri="e1b8e98d-2274-4a9c-a8af-402331d7adc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75821A-9592-4667-B071-105608EFBAC3}">
  <ds:schemaRefs>
    <ds:schemaRef ds:uri="http://schemas.microsoft.com/sharepoint/v3/contenttype/forms"/>
  </ds:schemaRefs>
</ds:datastoreItem>
</file>

<file path=customXml/itemProps4.xml><?xml version="1.0" encoding="utf-8"?>
<ds:datastoreItem xmlns:ds="http://schemas.openxmlformats.org/officeDocument/2006/customXml" ds:itemID="{9ED608A2-64CB-449F-8B35-2B173E718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30</TotalTime>
  <Pages>16</Pages>
  <Words>12350</Words>
  <Characters>70401</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cp:lastPrinted>2025-09-15T08:36:00Z</cp:lastPrinted>
  <dcterms:created xsi:type="dcterms:W3CDTF">2026-03-20T12:45:00Z</dcterms:created>
  <dcterms:modified xsi:type="dcterms:W3CDTF">2026-04-20T07:39:00Z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2025-07-11T16:50:27Z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6818ee7e-cc2f-4f57-9ed2-6c11103c0529</vt:lpwstr>
  </property>
  <property fmtid="{D5CDD505-2E9C-101B-9397-08002B2CF9AE}" pid="16" name="MSIP_Label_6bd9ddd1-4d20-43f6-abfa-fc3c07406f94_ContentBits">
    <vt:lpwstr>0</vt:lpwstr>
  </property>
  <property fmtid="{D5CDD505-2E9C-101B-9397-08002B2CF9AE}" pid="17" name="ContentTypeId">
    <vt:lpwstr>0x0101008820E61352F2D740A023EB807E79BD8E</vt:lpwstr>
  </property>
  <property fmtid="{D5CDD505-2E9C-101B-9397-08002B2CF9AE}" pid="18" name="DQCStatus">
    <vt:lpwstr>Green (DQC version 03)</vt:lpwstr>
  </property>
</Properties>
</file>